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5AA" w:rsidRPr="001765AA" w:rsidRDefault="00483306" w:rsidP="00415F39">
      <w:pPr>
        <w:pStyle w:val="Heading1"/>
        <w:spacing w:before="0"/>
        <w:rPr>
          <w:color w:val="FFFFFF" w:themeColor="background1"/>
          <w:sz w:val="16"/>
          <w:szCs w:val="16"/>
        </w:rPr>
      </w:pPr>
      <w:bookmarkStart w:id="0" w:name="ChapterNumber"/>
      <w:r w:rsidRPr="001765AA">
        <w:rPr>
          <w:noProof/>
          <w:color w:val="FFFFFF" w:themeColor="background1"/>
          <w:sz w:val="16"/>
          <w:szCs w:val="16"/>
        </w:rPr>
        <w:drawing>
          <wp:anchor distT="0" distB="0" distL="114300" distR="114300" simplePos="0" relativeHeight="251658240" behindDoc="0" locked="0" layoutInCell="1" allowOverlap="1" wp14:anchorId="2C247783" wp14:editId="0E09B815">
            <wp:simplePos x="0" y="0"/>
            <wp:positionH relativeFrom="page">
              <wp:align>center</wp:align>
            </wp:positionH>
            <wp:positionV relativeFrom="page">
              <wp:align>center</wp:align>
            </wp:positionV>
            <wp:extent cx="7560000" cy="10692000"/>
            <wp:effectExtent l="0" t="0" r="3175" b="0"/>
            <wp:wrapNone/>
            <wp:docPr id="1" name="Picture 1" descr="Cover for Murray-Darling Basin Plan: Five-year assessment, March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sues-paper-cover-MDBP-inquiry.png"/>
                    <pic:cNvPicPr/>
                  </pic:nvPicPr>
                  <pic:blipFill>
                    <a:blip r:embed="rId14">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5E09B2" w:rsidRPr="001765AA">
        <w:rPr>
          <w:color w:val="FFFFFF" w:themeColor="background1"/>
          <w:sz w:val="16"/>
          <w:szCs w:val="16"/>
        </w:rPr>
        <w:t>Murray-Darling Basin Plan: Five-year assessment</w:t>
      </w:r>
    </w:p>
    <w:p w:rsidR="00415F39" w:rsidRPr="001765AA" w:rsidRDefault="005E09B2" w:rsidP="001765AA">
      <w:pPr>
        <w:pStyle w:val="BodyText"/>
      </w:pPr>
      <w:r w:rsidRPr="001765AA">
        <w:rPr>
          <w:color w:val="FFFFFF" w:themeColor="background1"/>
          <w:sz w:val="16"/>
          <w:szCs w:val="16"/>
        </w:rPr>
        <w:t>Productivity Commission Issues Paper</w:t>
      </w:r>
      <w:r w:rsidR="001765AA" w:rsidRPr="001765AA">
        <w:rPr>
          <w:color w:val="FFFFFF" w:themeColor="background1"/>
          <w:sz w:val="16"/>
          <w:szCs w:val="16"/>
        </w:rPr>
        <w:t xml:space="preserve">, </w:t>
      </w:r>
      <w:r w:rsidRPr="001765AA">
        <w:rPr>
          <w:color w:val="FFFFFF" w:themeColor="background1"/>
          <w:sz w:val="16"/>
          <w:szCs w:val="16"/>
        </w:rPr>
        <w:t>March 2018.</w:t>
      </w:r>
      <w:r w:rsidR="00415F39" w:rsidRPr="001765AA">
        <w:br w:type="page"/>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9744FA" w:rsidRPr="009744FA" w:rsidTr="00423F5C">
        <w:trPr>
          <w:tblHeader/>
        </w:trPr>
        <w:tc>
          <w:tcPr>
            <w:tcW w:w="8771" w:type="dxa"/>
            <w:tcBorders>
              <w:top w:val="single" w:sz="6" w:space="0" w:color="78A22F"/>
              <w:left w:val="nil"/>
              <w:bottom w:val="nil"/>
              <w:right w:val="nil"/>
            </w:tcBorders>
            <w:shd w:val="clear" w:color="auto" w:fill="F2F2F2" w:themeFill="background1" w:themeFillShade="F2"/>
          </w:tcPr>
          <w:p w:rsidR="009744FA" w:rsidRPr="009744FA" w:rsidRDefault="009744FA" w:rsidP="009744FA">
            <w:pPr>
              <w:keepNext/>
              <w:keepLines/>
              <w:spacing w:before="120" w:line="280" w:lineRule="exact"/>
              <w:ind w:left="1474" w:hanging="1474"/>
              <w:rPr>
                <w:rFonts w:ascii="Arial" w:hAnsi="Arial"/>
                <w:b/>
                <w:sz w:val="22"/>
                <w:szCs w:val="22"/>
              </w:rPr>
            </w:pPr>
            <w:r w:rsidRPr="009744FA">
              <w:rPr>
                <w:rFonts w:ascii="Arial" w:hAnsi="Arial"/>
                <w:b/>
                <w:sz w:val="22"/>
                <w:szCs w:val="22"/>
              </w:rPr>
              <w:lastRenderedPageBreak/>
              <w:t>The Issues Paper</w:t>
            </w:r>
          </w:p>
        </w:tc>
      </w:tr>
      <w:tr w:rsidR="009744FA" w:rsidRPr="009744FA" w:rsidTr="00423F5C">
        <w:tc>
          <w:tcPr>
            <w:tcW w:w="8771" w:type="dxa"/>
            <w:tcBorders>
              <w:top w:val="nil"/>
              <w:left w:val="nil"/>
              <w:bottom w:val="nil"/>
              <w:right w:val="nil"/>
            </w:tcBorders>
            <w:shd w:val="clear" w:color="auto" w:fill="F2F2F2" w:themeFill="background1" w:themeFillShade="F2"/>
          </w:tcPr>
          <w:p w:rsidR="009744FA" w:rsidRPr="009744FA" w:rsidRDefault="009744FA" w:rsidP="003164DA">
            <w:pPr>
              <w:pStyle w:val="Box"/>
            </w:pPr>
            <w:r w:rsidRPr="003164DA">
              <w:t>The Commission has released this issues paper to assist individuals and organisations to prepare submissions to the inquiry. It contains and outlines:</w:t>
            </w:r>
          </w:p>
          <w:p w:rsidR="009744FA" w:rsidRPr="003164DA" w:rsidRDefault="009744FA" w:rsidP="003164DA">
            <w:pPr>
              <w:pStyle w:val="ListBullet"/>
              <w:spacing w:before="60" w:line="260" w:lineRule="atLeast"/>
              <w:rPr>
                <w:rFonts w:ascii="Arial" w:hAnsi="Arial" w:cs="Arial"/>
                <w:sz w:val="20"/>
              </w:rPr>
            </w:pPr>
            <w:r w:rsidRPr="003164DA">
              <w:rPr>
                <w:rFonts w:ascii="Arial" w:hAnsi="Arial" w:cs="Arial"/>
                <w:sz w:val="20"/>
              </w:rPr>
              <w:t>the scope of the inquiry</w:t>
            </w:r>
          </w:p>
          <w:p w:rsidR="009744FA" w:rsidRPr="003164DA" w:rsidRDefault="009744FA" w:rsidP="003164DA">
            <w:pPr>
              <w:pStyle w:val="ListBullet"/>
              <w:spacing w:before="60" w:line="260" w:lineRule="atLeast"/>
              <w:rPr>
                <w:rFonts w:ascii="Arial" w:hAnsi="Arial" w:cs="Arial"/>
                <w:sz w:val="20"/>
              </w:rPr>
            </w:pPr>
            <w:r w:rsidRPr="003164DA">
              <w:rPr>
                <w:rFonts w:ascii="Arial" w:hAnsi="Arial" w:cs="Arial"/>
                <w:sz w:val="20"/>
              </w:rPr>
              <w:t>the Commission’s procedures</w:t>
            </w:r>
          </w:p>
          <w:p w:rsidR="009744FA" w:rsidRPr="003164DA" w:rsidRDefault="009744FA" w:rsidP="003164DA">
            <w:pPr>
              <w:pStyle w:val="ListBullet"/>
              <w:spacing w:before="60" w:line="260" w:lineRule="atLeast"/>
              <w:rPr>
                <w:rFonts w:ascii="Arial" w:hAnsi="Arial" w:cs="Arial"/>
                <w:sz w:val="20"/>
              </w:rPr>
            </w:pPr>
            <w:r w:rsidRPr="003164DA">
              <w:rPr>
                <w:rFonts w:ascii="Arial" w:hAnsi="Arial" w:cs="Arial"/>
                <w:sz w:val="20"/>
              </w:rPr>
              <w:t>matters about which the Commission is seeking comment and information</w:t>
            </w:r>
          </w:p>
          <w:p w:rsidR="009744FA" w:rsidRPr="003164DA" w:rsidRDefault="009744FA" w:rsidP="003164DA">
            <w:pPr>
              <w:pStyle w:val="ListBullet"/>
              <w:spacing w:before="60" w:line="260" w:lineRule="atLeast"/>
              <w:rPr>
                <w:rFonts w:ascii="Arial" w:hAnsi="Arial" w:cs="Arial"/>
                <w:sz w:val="20"/>
              </w:rPr>
            </w:pPr>
            <w:r w:rsidRPr="003164DA">
              <w:rPr>
                <w:rFonts w:ascii="Arial" w:hAnsi="Arial" w:cs="Arial"/>
                <w:sz w:val="20"/>
              </w:rPr>
              <w:t>how to make a submission.</w:t>
            </w:r>
          </w:p>
          <w:p w:rsidR="009744FA" w:rsidRPr="009744FA" w:rsidRDefault="009744FA" w:rsidP="003164DA">
            <w:pPr>
              <w:pStyle w:val="Box"/>
            </w:pPr>
            <w:r w:rsidRPr="009744FA">
              <w:t>Participants should not feel that they are restricted to comment only on matters raised in the issues paper. The Commission wishes to receive information and comment on issues which partici</w:t>
            </w:r>
            <w:r>
              <w:t xml:space="preserve">pants consider relevant to the </w:t>
            </w:r>
            <w:r w:rsidR="003164DA">
              <w:t>inquiry</w:t>
            </w:r>
            <w:r w:rsidRPr="009744FA">
              <w:t xml:space="preserve"> terms of reference.</w:t>
            </w:r>
          </w:p>
          <w:p w:rsidR="009744FA" w:rsidRPr="009744FA" w:rsidRDefault="00B04F4D" w:rsidP="009744FA">
            <w:pPr>
              <w:keepNext/>
              <w:spacing w:before="200" w:line="280" w:lineRule="atLeast"/>
              <w:jc w:val="both"/>
              <w:rPr>
                <w:rFonts w:ascii="Arial" w:hAnsi="Arial"/>
                <w:b/>
                <w:sz w:val="22"/>
              </w:rPr>
            </w:pPr>
            <w:r>
              <w:rPr>
                <w:rFonts w:ascii="Arial" w:hAnsi="Arial"/>
                <w:b/>
                <w:sz w:val="22"/>
              </w:rPr>
              <w:t>Key inquiry</w:t>
            </w:r>
            <w:r w:rsidR="009744FA" w:rsidRPr="009744FA">
              <w:rPr>
                <w:rFonts w:ascii="Arial" w:hAnsi="Arial"/>
                <w:b/>
                <w:sz w:val="22"/>
              </w:rPr>
              <w:t xml:space="preserve">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9744FA" w:rsidRPr="009744FA" w:rsidTr="00423F5C">
              <w:trPr>
                <w:tblHeader/>
              </w:trPr>
              <w:tc>
                <w:tcPr>
                  <w:tcW w:w="3522" w:type="dxa"/>
                  <w:tcMar>
                    <w:left w:w="0" w:type="dxa"/>
                  </w:tcMar>
                </w:tcPr>
                <w:p w:rsidR="009744FA" w:rsidRPr="009744FA" w:rsidRDefault="009744FA" w:rsidP="009744FA">
                  <w:pPr>
                    <w:keepNext/>
                    <w:spacing w:before="120" w:line="260" w:lineRule="atLeast"/>
                    <w:jc w:val="both"/>
                    <w:rPr>
                      <w:rFonts w:ascii="Arial" w:hAnsi="Arial"/>
                      <w:sz w:val="20"/>
                    </w:rPr>
                  </w:pPr>
                  <w:r w:rsidRPr="009744FA">
                    <w:rPr>
                      <w:rFonts w:ascii="Arial" w:hAnsi="Arial"/>
                      <w:sz w:val="20"/>
                    </w:rPr>
                    <w:t>Receipt of terms of reference</w:t>
                  </w:r>
                </w:p>
              </w:tc>
              <w:tc>
                <w:tcPr>
                  <w:tcW w:w="4950" w:type="dxa"/>
                </w:tcPr>
                <w:p w:rsidR="009744FA" w:rsidRPr="009744FA" w:rsidRDefault="00EB0508" w:rsidP="009744FA">
                  <w:pPr>
                    <w:keepNext/>
                    <w:spacing w:before="120" w:line="260" w:lineRule="atLeast"/>
                    <w:jc w:val="both"/>
                    <w:rPr>
                      <w:rFonts w:ascii="Arial" w:hAnsi="Arial"/>
                      <w:sz w:val="20"/>
                    </w:rPr>
                  </w:pPr>
                  <w:r>
                    <w:rPr>
                      <w:rFonts w:ascii="Arial" w:hAnsi="Arial"/>
                      <w:sz w:val="20"/>
                    </w:rPr>
                    <w:t>7 March 2018</w:t>
                  </w:r>
                </w:p>
              </w:tc>
            </w:tr>
            <w:tr w:rsidR="009744FA" w:rsidRPr="009744FA" w:rsidTr="00423F5C">
              <w:tc>
                <w:tcPr>
                  <w:tcW w:w="3522" w:type="dxa"/>
                  <w:tcMar>
                    <w:left w:w="0" w:type="dxa"/>
                  </w:tcMar>
                </w:tcPr>
                <w:p w:rsidR="009744FA" w:rsidRPr="009744FA" w:rsidRDefault="009744FA" w:rsidP="009744FA">
                  <w:pPr>
                    <w:keepNext/>
                    <w:spacing w:before="60" w:line="260" w:lineRule="atLeast"/>
                    <w:jc w:val="both"/>
                    <w:rPr>
                      <w:rFonts w:ascii="Arial" w:hAnsi="Arial"/>
                      <w:sz w:val="20"/>
                    </w:rPr>
                  </w:pPr>
                  <w:r w:rsidRPr="009744FA">
                    <w:rPr>
                      <w:rFonts w:ascii="Arial" w:hAnsi="Arial"/>
                      <w:sz w:val="20"/>
                    </w:rPr>
                    <w:t>Due date for submissions</w:t>
                  </w:r>
                </w:p>
              </w:tc>
              <w:tc>
                <w:tcPr>
                  <w:tcW w:w="4950" w:type="dxa"/>
                </w:tcPr>
                <w:p w:rsidR="009744FA" w:rsidRPr="009744FA" w:rsidRDefault="00EB0508" w:rsidP="009744FA">
                  <w:pPr>
                    <w:keepNext/>
                    <w:spacing w:before="60" w:line="260" w:lineRule="atLeast"/>
                    <w:jc w:val="both"/>
                    <w:rPr>
                      <w:rFonts w:ascii="Arial" w:hAnsi="Arial"/>
                      <w:sz w:val="20"/>
                    </w:rPr>
                  </w:pPr>
                  <w:r>
                    <w:rPr>
                      <w:rFonts w:ascii="Arial" w:hAnsi="Arial"/>
                      <w:sz w:val="20"/>
                    </w:rPr>
                    <w:t>19 April 2018</w:t>
                  </w:r>
                </w:p>
              </w:tc>
            </w:tr>
            <w:tr w:rsidR="009744FA" w:rsidRPr="009744FA" w:rsidTr="00423F5C">
              <w:tc>
                <w:tcPr>
                  <w:tcW w:w="3522" w:type="dxa"/>
                  <w:tcMar>
                    <w:left w:w="0" w:type="dxa"/>
                  </w:tcMar>
                </w:tcPr>
                <w:p w:rsidR="009744FA" w:rsidRPr="009744FA" w:rsidRDefault="009744FA" w:rsidP="009744FA">
                  <w:pPr>
                    <w:keepNext/>
                    <w:spacing w:before="60" w:line="260" w:lineRule="atLeast"/>
                    <w:jc w:val="both"/>
                    <w:rPr>
                      <w:rFonts w:ascii="Arial" w:hAnsi="Arial"/>
                      <w:sz w:val="20"/>
                    </w:rPr>
                  </w:pPr>
                  <w:r w:rsidRPr="009744FA">
                    <w:rPr>
                      <w:rFonts w:ascii="Arial" w:hAnsi="Arial"/>
                      <w:sz w:val="20"/>
                    </w:rPr>
                    <w:t>Release of draft report</w:t>
                  </w:r>
                </w:p>
              </w:tc>
              <w:tc>
                <w:tcPr>
                  <w:tcW w:w="4950" w:type="dxa"/>
                </w:tcPr>
                <w:p w:rsidR="009744FA" w:rsidRPr="009744FA" w:rsidRDefault="009744FA" w:rsidP="009744FA">
                  <w:pPr>
                    <w:keepNext/>
                    <w:spacing w:before="60" w:line="260" w:lineRule="atLeast"/>
                    <w:jc w:val="both"/>
                    <w:rPr>
                      <w:rFonts w:ascii="Arial" w:hAnsi="Arial"/>
                      <w:sz w:val="20"/>
                    </w:rPr>
                  </w:pPr>
                  <w:r w:rsidRPr="009744FA">
                    <w:rPr>
                      <w:rFonts w:ascii="Arial" w:hAnsi="Arial"/>
                      <w:sz w:val="20"/>
                    </w:rPr>
                    <w:t>August 2018</w:t>
                  </w:r>
                </w:p>
              </w:tc>
            </w:tr>
            <w:tr w:rsidR="009744FA" w:rsidRPr="009744FA" w:rsidTr="00423F5C">
              <w:tc>
                <w:tcPr>
                  <w:tcW w:w="3522" w:type="dxa"/>
                  <w:tcMar>
                    <w:left w:w="0" w:type="dxa"/>
                  </w:tcMar>
                </w:tcPr>
                <w:p w:rsidR="009744FA" w:rsidRPr="009744FA" w:rsidRDefault="009744FA" w:rsidP="009744FA">
                  <w:pPr>
                    <w:keepNext/>
                    <w:spacing w:before="60" w:line="260" w:lineRule="atLeast"/>
                    <w:jc w:val="both"/>
                    <w:rPr>
                      <w:rFonts w:ascii="Arial" w:hAnsi="Arial"/>
                      <w:sz w:val="20"/>
                    </w:rPr>
                  </w:pPr>
                  <w:r w:rsidRPr="009744FA">
                    <w:rPr>
                      <w:rFonts w:ascii="Arial" w:hAnsi="Arial"/>
                      <w:sz w:val="20"/>
                    </w:rPr>
                    <w:t>Draft report public hearings</w:t>
                  </w:r>
                </w:p>
              </w:tc>
              <w:tc>
                <w:tcPr>
                  <w:tcW w:w="4950" w:type="dxa"/>
                </w:tcPr>
                <w:p w:rsidR="009744FA" w:rsidRPr="009744FA" w:rsidRDefault="00EB0508" w:rsidP="009744FA">
                  <w:pPr>
                    <w:keepNext/>
                    <w:spacing w:before="60" w:line="260" w:lineRule="atLeast"/>
                    <w:jc w:val="both"/>
                    <w:rPr>
                      <w:rFonts w:ascii="Arial" w:hAnsi="Arial"/>
                      <w:sz w:val="20"/>
                    </w:rPr>
                  </w:pPr>
                  <w:r>
                    <w:rPr>
                      <w:rFonts w:ascii="Arial" w:hAnsi="Arial"/>
                      <w:sz w:val="20"/>
                    </w:rPr>
                    <w:t>September/October</w:t>
                  </w:r>
                  <w:r w:rsidR="002C09AA">
                    <w:rPr>
                      <w:rFonts w:ascii="Arial" w:hAnsi="Arial"/>
                      <w:sz w:val="20"/>
                    </w:rPr>
                    <w:t xml:space="preserve"> 2018</w:t>
                  </w:r>
                </w:p>
              </w:tc>
            </w:tr>
            <w:tr w:rsidR="009744FA" w:rsidRPr="009744FA" w:rsidTr="00423F5C">
              <w:tc>
                <w:tcPr>
                  <w:tcW w:w="3522" w:type="dxa"/>
                  <w:tcMar>
                    <w:left w:w="0" w:type="dxa"/>
                  </w:tcMar>
                </w:tcPr>
                <w:p w:rsidR="009744FA" w:rsidRPr="009744FA" w:rsidRDefault="009744FA" w:rsidP="009744FA">
                  <w:pPr>
                    <w:keepNext/>
                    <w:spacing w:before="60" w:line="260" w:lineRule="atLeast"/>
                    <w:jc w:val="both"/>
                    <w:rPr>
                      <w:rFonts w:ascii="Arial" w:hAnsi="Arial"/>
                      <w:sz w:val="20"/>
                    </w:rPr>
                  </w:pPr>
                  <w:r w:rsidRPr="009744FA">
                    <w:rPr>
                      <w:rFonts w:ascii="Arial" w:hAnsi="Arial"/>
                      <w:sz w:val="20"/>
                    </w:rPr>
                    <w:t>Final report to Government</w:t>
                  </w:r>
                </w:p>
              </w:tc>
              <w:tc>
                <w:tcPr>
                  <w:tcW w:w="4950" w:type="dxa"/>
                </w:tcPr>
                <w:p w:rsidR="009744FA" w:rsidRPr="009744FA" w:rsidRDefault="00650E2F" w:rsidP="009744FA">
                  <w:pPr>
                    <w:keepNext/>
                    <w:spacing w:before="60" w:line="260" w:lineRule="atLeast"/>
                    <w:jc w:val="both"/>
                    <w:rPr>
                      <w:rFonts w:ascii="Arial" w:hAnsi="Arial"/>
                      <w:sz w:val="20"/>
                    </w:rPr>
                  </w:pPr>
                  <w:r>
                    <w:rPr>
                      <w:rFonts w:ascii="Arial" w:hAnsi="Arial"/>
                      <w:sz w:val="20"/>
                    </w:rPr>
                    <w:t xml:space="preserve">31 </w:t>
                  </w:r>
                  <w:r w:rsidR="009744FA" w:rsidRPr="009744FA">
                    <w:rPr>
                      <w:rFonts w:ascii="Arial" w:hAnsi="Arial"/>
                      <w:sz w:val="20"/>
                    </w:rPr>
                    <w:t>December 2018</w:t>
                  </w:r>
                </w:p>
              </w:tc>
            </w:tr>
          </w:tbl>
          <w:p w:rsidR="009744FA" w:rsidRPr="009744FA" w:rsidRDefault="009744FA" w:rsidP="009744FA">
            <w:pPr>
              <w:keepNext/>
              <w:spacing w:before="200" w:line="280" w:lineRule="atLeast"/>
              <w:jc w:val="both"/>
              <w:rPr>
                <w:rFonts w:ascii="Arial" w:hAnsi="Arial"/>
                <w:b/>
                <w:sz w:val="22"/>
              </w:rPr>
            </w:pPr>
            <w:r w:rsidRPr="009744FA">
              <w:rPr>
                <w:rFonts w:ascii="Arial" w:hAnsi="Arial"/>
                <w:b/>
                <w:sz w:val="22"/>
              </w:rPr>
              <w:t>Submissions can be 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9744FA" w:rsidRPr="009744FA" w:rsidTr="00423F5C">
              <w:trPr>
                <w:tblHeader/>
              </w:trPr>
              <w:tc>
                <w:tcPr>
                  <w:tcW w:w="3522" w:type="dxa"/>
                  <w:tcMar>
                    <w:left w:w="0" w:type="dxa"/>
                  </w:tcMar>
                </w:tcPr>
                <w:p w:rsidR="009744FA" w:rsidRPr="009744FA" w:rsidRDefault="009744FA" w:rsidP="009744FA">
                  <w:pPr>
                    <w:keepNext/>
                    <w:spacing w:before="120" w:line="260" w:lineRule="atLeast"/>
                    <w:jc w:val="both"/>
                    <w:rPr>
                      <w:rFonts w:ascii="Arial" w:hAnsi="Arial"/>
                      <w:sz w:val="20"/>
                    </w:rPr>
                  </w:pPr>
                  <w:r w:rsidRPr="009744FA">
                    <w:rPr>
                      <w:rFonts w:ascii="Arial" w:hAnsi="Arial"/>
                      <w:sz w:val="20"/>
                    </w:rPr>
                    <w:t>Online:</w:t>
                  </w:r>
                </w:p>
              </w:tc>
              <w:tc>
                <w:tcPr>
                  <w:tcW w:w="4950" w:type="dxa"/>
                </w:tcPr>
                <w:p w:rsidR="009744FA" w:rsidRPr="001765AA" w:rsidRDefault="00BC3D8A" w:rsidP="00887F1B">
                  <w:pPr>
                    <w:keepNext/>
                    <w:spacing w:before="60" w:line="260" w:lineRule="atLeast"/>
                    <w:jc w:val="both"/>
                    <w:rPr>
                      <w:rFonts w:ascii="Arial" w:hAnsi="Arial"/>
                      <w:sz w:val="20"/>
                    </w:rPr>
                  </w:pPr>
                  <w:hyperlink r:id="rId15" w:history="1">
                    <w:r w:rsidR="00887F1B" w:rsidRPr="00825355">
                      <w:rPr>
                        <w:rStyle w:val="Hyperlink"/>
                        <w:rFonts w:ascii="Arial" w:hAnsi="Arial"/>
                        <w:sz w:val="20"/>
                      </w:rPr>
                      <w:t>http://</w:t>
                    </w:r>
                    <w:proofErr w:type="spellStart"/>
                    <w:r w:rsidR="00887F1B" w:rsidRPr="00825355">
                      <w:rPr>
                        <w:rStyle w:val="Hyperlink"/>
                        <w:rFonts w:ascii="Arial" w:hAnsi="Arial"/>
                        <w:sz w:val="20"/>
                      </w:rPr>
                      <w:t>www.pc.gov.au</w:t>
                    </w:r>
                    <w:proofErr w:type="spellEnd"/>
                    <w:r w:rsidR="00887F1B" w:rsidRPr="00825355">
                      <w:rPr>
                        <w:rStyle w:val="Hyperlink"/>
                        <w:rFonts w:ascii="Arial" w:hAnsi="Arial"/>
                        <w:sz w:val="20"/>
                      </w:rPr>
                      <w:t>/inquiries/current/basin-plan</w:t>
                    </w:r>
                  </w:hyperlink>
                </w:p>
              </w:tc>
            </w:tr>
            <w:tr w:rsidR="009744FA" w:rsidRPr="009744FA" w:rsidTr="00423F5C">
              <w:tc>
                <w:tcPr>
                  <w:tcW w:w="3522" w:type="dxa"/>
                  <w:tcMar>
                    <w:left w:w="0" w:type="dxa"/>
                  </w:tcMar>
                </w:tcPr>
                <w:p w:rsidR="009744FA" w:rsidRPr="009744FA" w:rsidRDefault="00EB0508" w:rsidP="009744FA">
                  <w:pPr>
                    <w:keepNext/>
                    <w:spacing w:before="60" w:line="260" w:lineRule="atLeast"/>
                    <w:rPr>
                      <w:rFonts w:ascii="Arial" w:hAnsi="Arial"/>
                      <w:sz w:val="20"/>
                    </w:rPr>
                  </w:pPr>
                  <w:r>
                    <w:rPr>
                      <w:rFonts w:ascii="Arial" w:hAnsi="Arial"/>
                      <w:sz w:val="20"/>
                    </w:rPr>
                    <w:t>Or email</w:t>
                  </w:r>
                  <w:r w:rsidR="001765AA">
                    <w:rPr>
                      <w:rFonts w:ascii="Arial" w:hAnsi="Arial"/>
                      <w:sz w:val="20"/>
                    </w:rPr>
                    <w:t>:</w:t>
                  </w:r>
                </w:p>
              </w:tc>
              <w:tc>
                <w:tcPr>
                  <w:tcW w:w="4950" w:type="dxa"/>
                </w:tcPr>
                <w:p w:rsidR="009744FA" w:rsidRPr="009744FA" w:rsidRDefault="00A7642A" w:rsidP="00C37B8E">
                  <w:pPr>
                    <w:keepNext/>
                    <w:spacing w:before="60" w:line="260" w:lineRule="atLeast"/>
                    <w:rPr>
                      <w:rFonts w:ascii="Arial" w:hAnsi="Arial"/>
                      <w:sz w:val="20"/>
                    </w:rPr>
                  </w:pPr>
                  <w:proofErr w:type="spellStart"/>
                  <w:r>
                    <w:rPr>
                      <w:rFonts w:ascii="Arial" w:hAnsi="Arial"/>
                      <w:sz w:val="20"/>
                    </w:rPr>
                    <w:t>Basin.plan@pc.gov.au</w:t>
                  </w:r>
                  <w:proofErr w:type="spellEnd"/>
                </w:p>
              </w:tc>
            </w:tr>
          </w:tbl>
          <w:p w:rsidR="009744FA" w:rsidRPr="009744FA" w:rsidRDefault="009744FA" w:rsidP="009744FA">
            <w:pPr>
              <w:keepNext/>
              <w:spacing w:before="200" w:line="280" w:lineRule="atLeast"/>
              <w:jc w:val="both"/>
              <w:rPr>
                <w:rFonts w:ascii="Arial" w:hAnsi="Arial"/>
                <w:b/>
                <w:sz w:val="22"/>
              </w:rPr>
            </w:pPr>
            <w:r w:rsidRPr="009744FA">
              <w:rPr>
                <w:rFonts w:ascii="Arial" w:hAnsi="Arial"/>
                <w:b/>
                <w:sz w:val="22"/>
              </w:rP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2268"/>
              <w:gridCol w:w="2682"/>
            </w:tblGrid>
            <w:tr w:rsidR="009744FA" w:rsidRPr="009744FA" w:rsidTr="00423F5C">
              <w:trPr>
                <w:tblHeader/>
              </w:trPr>
              <w:tc>
                <w:tcPr>
                  <w:tcW w:w="3522" w:type="dxa"/>
                  <w:tcMar>
                    <w:left w:w="0" w:type="dxa"/>
                  </w:tcMar>
                </w:tcPr>
                <w:p w:rsidR="009744FA" w:rsidRPr="009744FA" w:rsidRDefault="009744FA" w:rsidP="009744FA">
                  <w:pPr>
                    <w:keepNext/>
                    <w:spacing w:before="120" w:line="260" w:lineRule="atLeast"/>
                    <w:jc w:val="both"/>
                    <w:rPr>
                      <w:rFonts w:ascii="Arial" w:hAnsi="Arial"/>
                      <w:sz w:val="20"/>
                    </w:rPr>
                  </w:pPr>
                  <w:r w:rsidRPr="009744FA">
                    <w:rPr>
                      <w:rFonts w:ascii="Arial" w:hAnsi="Arial"/>
                      <w:sz w:val="20"/>
                    </w:rPr>
                    <w:t>Administrative matters:</w:t>
                  </w:r>
                </w:p>
              </w:tc>
              <w:tc>
                <w:tcPr>
                  <w:tcW w:w="2268" w:type="dxa"/>
                </w:tcPr>
                <w:p w:rsidR="009744FA" w:rsidRPr="009744FA" w:rsidRDefault="00EB0508" w:rsidP="009744FA">
                  <w:pPr>
                    <w:keepNext/>
                    <w:spacing w:before="120" w:line="260" w:lineRule="atLeast"/>
                    <w:jc w:val="both"/>
                    <w:rPr>
                      <w:rFonts w:ascii="Arial" w:hAnsi="Arial"/>
                      <w:sz w:val="20"/>
                    </w:rPr>
                  </w:pPr>
                  <w:r>
                    <w:rPr>
                      <w:rFonts w:ascii="Arial" w:hAnsi="Arial"/>
                      <w:sz w:val="20"/>
                    </w:rPr>
                    <w:t>Tracey Horsfall</w:t>
                  </w:r>
                </w:p>
              </w:tc>
              <w:tc>
                <w:tcPr>
                  <w:tcW w:w="2682" w:type="dxa"/>
                </w:tcPr>
                <w:p w:rsidR="009744FA" w:rsidRPr="009744FA" w:rsidRDefault="009744FA" w:rsidP="009744FA">
                  <w:pPr>
                    <w:keepNext/>
                    <w:spacing w:before="120" w:line="260" w:lineRule="atLeast"/>
                    <w:jc w:val="both"/>
                    <w:rPr>
                      <w:rFonts w:ascii="Arial" w:hAnsi="Arial"/>
                      <w:sz w:val="20"/>
                    </w:rPr>
                  </w:pPr>
                  <w:proofErr w:type="spellStart"/>
                  <w:r w:rsidRPr="009744FA">
                    <w:rPr>
                      <w:rFonts w:ascii="Arial" w:hAnsi="Arial"/>
                      <w:sz w:val="20"/>
                    </w:rPr>
                    <w:t>Ph</w:t>
                  </w:r>
                  <w:proofErr w:type="spellEnd"/>
                  <w:r w:rsidRPr="009744FA">
                    <w:rPr>
                      <w:rFonts w:ascii="Arial" w:hAnsi="Arial"/>
                      <w:sz w:val="20"/>
                    </w:rPr>
                    <w:t xml:space="preserve">: </w:t>
                  </w:r>
                  <w:r w:rsidR="00EB0508">
                    <w:rPr>
                      <w:rFonts w:ascii="Arial" w:hAnsi="Arial"/>
                      <w:sz w:val="20"/>
                    </w:rPr>
                    <w:t>02 6240 3261</w:t>
                  </w:r>
                </w:p>
              </w:tc>
            </w:tr>
            <w:tr w:rsidR="009744FA" w:rsidRPr="009744FA" w:rsidTr="00423F5C">
              <w:tc>
                <w:tcPr>
                  <w:tcW w:w="3522" w:type="dxa"/>
                  <w:tcMar>
                    <w:left w:w="0" w:type="dxa"/>
                  </w:tcMar>
                </w:tcPr>
                <w:p w:rsidR="009744FA" w:rsidRPr="009744FA" w:rsidRDefault="009744FA" w:rsidP="009744FA">
                  <w:pPr>
                    <w:keepNext/>
                    <w:spacing w:before="60" w:line="260" w:lineRule="atLeast"/>
                    <w:jc w:val="both"/>
                    <w:rPr>
                      <w:rFonts w:ascii="Arial" w:hAnsi="Arial"/>
                      <w:sz w:val="20"/>
                    </w:rPr>
                  </w:pPr>
                  <w:r w:rsidRPr="009744FA">
                    <w:rPr>
                      <w:rFonts w:ascii="Arial" w:hAnsi="Arial"/>
                      <w:sz w:val="20"/>
                    </w:rPr>
                    <w:t>Other matters:</w:t>
                  </w:r>
                </w:p>
              </w:tc>
              <w:tc>
                <w:tcPr>
                  <w:tcW w:w="2268" w:type="dxa"/>
                </w:tcPr>
                <w:p w:rsidR="009744FA" w:rsidRPr="009744FA" w:rsidRDefault="00EB0508" w:rsidP="009744FA">
                  <w:pPr>
                    <w:keepNext/>
                    <w:spacing w:before="60" w:line="260" w:lineRule="atLeast"/>
                    <w:jc w:val="both"/>
                    <w:rPr>
                      <w:rFonts w:ascii="Arial" w:hAnsi="Arial"/>
                      <w:sz w:val="20"/>
                    </w:rPr>
                  </w:pPr>
                  <w:r>
                    <w:rPr>
                      <w:rFonts w:ascii="Arial" w:hAnsi="Arial"/>
                      <w:sz w:val="20"/>
                    </w:rPr>
                    <w:t>Jessica Hartmann</w:t>
                  </w:r>
                </w:p>
              </w:tc>
              <w:tc>
                <w:tcPr>
                  <w:tcW w:w="2682" w:type="dxa"/>
                </w:tcPr>
                <w:p w:rsidR="009744FA" w:rsidRPr="009744FA" w:rsidRDefault="009744FA" w:rsidP="009744FA">
                  <w:pPr>
                    <w:keepNext/>
                    <w:spacing w:before="60" w:line="260" w:lineRule="atLeast"/>
                    <w:jc w:val="both"/>
                    <w:rPr>
                      <w:rFonts w:ascii="Arial" w:hAnsi="Arial"/>
                      <w:sz w:val="20"/>
                    </w:rPr>
                  </w:pPr>
                  <w:proofErr w:type="spellStart"/>
                  <w:r w:rsidRPr="009744FA">
                    <w:rPr>
                      <w:rFonts w:ascii="Arial" w:hAnsi="Arial"/>
                      <w:sz w:val="20"/>
                    </w:rPr>
                    <w:t>Ph</w:t>
                  </w:r>
                  <w:proofErr w:type="spellEnd"/>
                  <w:r w:rsidRPr="009744FA">
                    <w:rPr>
                      <w:rFonts w:ascii="Arial" w:hAnsi="Arial"/>
                      <w:sz w:val="20"/>
                    </w:rPr>
                    <w:t xml:space="preserve">: </w:t>
                  </w:r>
                  <w:r w:rsidR="00EB0508">
                    <w:rPr>
                      <w:rFonts w:ascii="Arial" w:hAnsi="Arial"/>
                      <w:sz w:val="20"/>
                    </w:rPr>
                    <w:t>02 6240 3222</w:t>
                  </w:r>
                </w:p>
              </w:tc>
            </w:tr>
            <w:tr w:rsidR="009744FA" w:rsidRPr="009744FA" w:rsidTr="00423F5C">
              <w:tc>
                <w:tcPr>
                  <w:tcW w:w="3522" w:type="dxa"/>
                  <w:tcMar>
                    <w:left w:w="0" w:type="dxa"/>
                  </w:tcMar>
                </w:tcPr>
                <w:p w:rsidR="009744FA" w:rsidRPr="009744FA" w:rsidRDefault="009744FA" w:rsidP="009744FA">
                  <w:pPr>
                    <w:keepNext/>
                    <w:spacing w:before="60" w:line="260" w:lineRule="atLeast"/>
                    <w:jc w:val="both"/>
                    <w:rPr>
                      <w:rFonts w:ascii="Arial" w:hAnsi="Arial"/>
                      <w:sz w:val="20"/>
                    </w:rPr>
                  </w:pPr>
                  <w:proofErr w:type="spellStart"/>
                  <w:r w:rsidRPr="009744FA">
                    <w:rPr>
                      <w:rFonts w:ascii="Arial" w:hAnsi="Arial"/>
                      <w:sz w:val="20"/>
                    </w:rPr>
                    <w:t>Freecall</w:t>
                  </w:r>
                  <w:proofErr w:type="spellEnd"/>
                  <w:r w:rsidRPr="009744FA">
                    <w:rPr>
                      <w:rFonts w:ascii="Arial" w:hAnsi="Arial"/>
                      <w:sz w:val="20"/>
                    </w:rPr>
                    <w:t xml:space="preserve"> number for regional areas:</w:t>
                  </w:r>
                </w:p>
              </w:tc>
              <w:tc>
                <w:tcPr>
                  <w:tcW w:w="2268" w:type="dxa"/>
                </w:tcPr>
                <w:p w:rsidR="009744FA" w:rsidRPr="009744FA" w:rsidRDefault="009744FA" w:rsidP="009744FA">
                  <w:pPr>
                    <w:keepNext/>
                    <w:spacing w:before="60" w:line="260" w:lineRule="atLeast"/>
                    <w:jc w:val="both"/>
                    <w:rPr>
                      <w:rFonts w:ascii="Arial" w:hAnsi="Arial"/>
                      <w:sz w:val="20"/>
                    </w:rPr>
                  </w:pPr>
                  <w:r w:rsidRPr="009744FA">
                    <w:rPr>
                      <w:rFonts w:ascii="Arial" w:hAnsi="Arial"/>
                      <w:sz w:val="20"/>
                    </w:rPr>
                    <w:t>1800 020 083</w:t>
                  </w:r>
                </w:p>
              </w:tc>
              <w:tc>
                <w:tcPr>
                  <w:tcW w:w="2682" w:type="dxa"/>
                </w:tcPr>
                <w:p w:rsidR="009744FA" w:rsidRPr="009744FA" w:rsidRDefault="009744FA" w:rsidP="009744FA">
                  <w:pPr>
                    <w:keepNext/>
                    <w:spacing w:before="60" w:line="260" w:lineRule="atLeast"/>
                    <w:jc w:val="both"/>
                    <w:rPr>
                      <w:rFonts w:ascii="Arial" w:hAnsi="Arial"/>
                      <w:sz w:val="20"/>
                    </w:rPr>
                  </w:pPr>
                </w:p>
              </w:tc>
            </w:tr>
            <w:tr w:rsidR="009744FA" w:rsidRPr="009744FA" w:rsidTr="00423F5C">
              <w:tc>
                <w:tcPr>
                  <w:tcW w:w="3522" w:type="dxa"/>
                  <w:tcMar>
                    <w:left w:w="0" w:type="dxa"/>
                  </w:tcMar>
                </w:tcPr>
                <w:p w:rsidR="009744FA" w:rsidRPr="009744FA" w:rsidRDefault="009744FA" w:rsidP="009744FA">
                  <w:pPr>
                    <w:keepNext/>
                    <w:spacing w:before="60" w:line="260" w:lineRule="atLeast"/>
                    <w:jc w:val="both"/>
                    <w:rPr>
                      <w:rFonts w:ascii="Arial" w:hAnsi="Arial"/>
                      <w:sz w:val="20"/>
                    </w:rPr>
                  </w:pPr>
                  <w:r w:rsidRPr="009744FA">
                    <w:rPr>
                      <w:rFonts w:ascii="Arial" w:hAnsi="Arial"/>
                      <w:sz w:val="20"/>
                    </w:rPr>
                    <w:t>Website:</w:t>
                  </w:r>
                </w:p>
              </w:tc>
              <w:tc>
                <w:tcPr>
                  <w:tcW w:w="2268" w:type="dxa"/>
                </w:tcPr>
                <w:p w:rsidR="009744FA" w:rsidRPr="009744FA" w:rsidRDefault="009744FA" w:rsidP="009744FA">
                  <w:pPr>
                    <w:keepNext/>
                    <w:spacing w:before="60" w:line="260" w:lineRule="atLeast"/>
                    <w:jc w:val="both"/>
                    <w:rPr>
                      <w:rFonts w:ascii="Arial" w:hAnsi="Arial"/>
                      <w:b/>
                      <w:sz w:val="20"/>
                    </w:rPr>
                  </w:pPr>
                  <w:proofErr w:type="spellStart"/>
                  <w:r w:rsidRPr="009744FA">
                    <w:rPr>
                      <w:rFonts w:ascii="Arial" w:hAnsi="Arial"/>
                      <w:b/>
                      <w:sz w:val="20"/>
                    </w:rPr>
                    <w:t>www.pc.gov.au</w:t>
                  </w:r>
                  <w:proofErr w:type="spellEnd"/>
                </w:p>
              </w:tc>
              <w:tc>
                <w:tcPr>
                  <w:tcW w:w="2682" w:type="dxa"/>
                </w:tcPr>
                <w:p w:rsidR="009744FA" w:rsidRPr="009744FA" w:rsidRDefault="009744FA" w:rsidP="009744FA">
                  <w:pPr>
                    <w:keepNext/>
                    <w:spacing w:before="60" w:line="260" w:lineRule="atLeast"/>
                    <w:jc w:val="both"/>
                    <w:rPr>
                      <w:rFonts w:ascii="Arial" w:hAnsi="Arial"/>
                      <w:sz w:val="20"/>
                    </w:rPr>
                  </w:pPr>
                </w:p>
              </w:tc>
            </w:tr>
          </w:tbl>
          <w:p w:rsidR="009744FA" w:rsidRPr="009744FA" w:rsidRDefault="009744FA" w:rsidP="009744FA">
            <w:pPr>
              <w:keepNext/>
              <w:spacing w:before="120" w:line="260" w:lineRule="atLeast"/>
              <w:jc w:val="both"/>
              <w:rPr>
                <w:rFonts w:ascii="Arial" w:hAnsi="Arial"/>
                <w:sz w:val="20"/>
              </w:rPr>
            </w:pPr>
          </w:p>
        </w:tc>
      </w:tr>
      <w:tr w:rsidR="009744FA" w:rsidRPr="009744FA" w:rsidTr="00423F5C">
        <w:tc>
          <w:tcPr>
            <w:tcW w:w="8771" w:type="dxa"/>
            <w:tcBorders>
              <w:top w:val="nil"/>
              <w:left w:val="nil"/>
              <w:bottom w:val="single" w:sz="6" w:space="0" w:color="78A22F"/>
              <w:right w:val="nil"/>
            </w:tcBorders>
            <w:shd w:val="clear" w:color="auto" w:fill="F2F2F2" w:themeFill="background1" w:themeFillShade="F2"/>
          </w:tcPr>
          <w:p w:rsidR="009744FA" w:rsidRPr="009744FA" w:rsidRDefault="009744FA" w:rsidP="009744FA">
            <w:pPr>
              <w:keepNext/>
              <w:spacing w:line="120" w:lineRule="exact"/>
              <w:jc w:val="both"/>
              <w:rPr>
                <w:rFonts w:ascii="Arial" w:hAnsi="Arial"/>
                <w:sz w:val="20"/>
              </w:rPr>
            </w:pPr>
          </w:p>
        </w:tc>
      </w:tr>
    </w:tbl>
    <w:p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15F39" w:rsidTr="001E4D46">
        <w:trPr>
          <w:tblHeader/>
        </w:trPr>
        <w:tc>
          <w:tcPr>
            <w:tcW w:w="8771" w:type="dxa"/>
            <w:tcBorders>
              <w:top w:val="single" w:sz="6" w:space="0" w:color="78A22F"/>
              <w:left w:val="nil"/>
              <w:bottom w:val="nil"/>
              <w:right w:val="nil"/>
            </w:tcBorders>
            <w:shd w:val="clear" w:color="auto" w:fill="F2F2F2" w:themeFill="background1" w:themeFillShade="F2"/>
          </w:tcPr>
          <w:p w:rsidR="00415F39" w:rsidRPr="008A3857" w:rsidRDefault="00415F39" w:rsidP="00423F5C">
            <w:pPr>
              <w:pStyle w:val="BoxTitle"/>
              <w:rPr>
                <w:sz w:val="22"/>
                <w:szCs w:val="22"/>
              </w:rPr>
            </w:pPr>
            <w:r w:rsidRPr="008A3857">
              <w:rPr>
                <w:sz w:val="22"/>
                <w:szCs w:val="22"/>
              </w:rPr>
              <w:t>The Productivity Commission</w:t>
            </w:r>
          </w:p>
        </w:tc>
      </w:tr>
      <w:tr w:rsidR="00415F39" w:rsidTr="00423F5C">
        <w:trPr>
          <w:cantSplit/>
        </w:trPr>
        <w:tc>
          <w:tcPr>
            <w:tcW w:w="8771" w:type="dxa"/>
            <w:tcBorders>
              <w:top w:val="nil"/>
              <w:left w:val="nil"/>
              <w:bottom w:val="nil"/>
              <w:right w:val="nil"/>
            </w:tcBorders>
            <w:shd w:val="clear" w:color="auto" w:fill="F2F2F2" w:themeFill="background1" w:themeFillShade="F2"/>
          </w:tcPr>
          <w:p w:rsidR="00415F39" w:rsidRDefault="00415F39" w:rsidP="00C37B8E">
            <w:pPr>
              <w:pStyle w:val="Box"/>
              <w:spacing w:before="100"/>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415F39" w:rsidRDefault="00415F39" w:rsidP="00C37B8E">
            <w:pPr>
              <w:pStyle w:val="Box"/>
              <w:spacing w:before="100"/>
            </w:pPr>
            <w:r w:rsidRPr="00BB5DCF">
              <w:t>The Commission’s independence is underpinned by an Act of Parliament. Its processes and outputs are open to public scrutiny and are driven by concern for the wellbeing of the community as a whole.</w:t>
            </w:r>
          </w:p>
          <w:p w:rsidR="00415F39" w:rsidRDefault="00415F39" w:rsidP="00C37B8E">
            <w:pPr>
              <w:pStyle w:val="Box"/>
              <w:spacing w:before="100"/>
            </w:pPr>
            <w:r w:rsidRPr="00BB5DCF">
              <w:rPr>
                <w:szCs w:val="24"/>
              </w:rPr>
              <w:t>Further information on the Productivity Commission can be obtained from the Commission’s website (</w:t>
            </w:r>
            <w:proofErr w:type="spellStart"/>
            <w:r w:rsidRPr="00BB5DCF">
              <w:rPr>
                <w:szCs w:val="24"/>
              </w:rPr>
              <w:t>www.pc.gov.au</w:t>
            </w:r>
            <w:proofErr w:type="spellEnd"/>
            <w:r w:rsidRPr="00BB5DCF">
              <w:rPr>
                <w:szCs w:val="24"/>
              </w:rPr>
              <w:t>)</w:t>
            </w:r>
            <w:r>
              <w:rPr>
                <w:szCs w:val="24"/>
              </w:rPr>
              <w:t>.</w:t>
            </w:r>
          </w:p>
        </w:tc>
      </w:tr>
      <w:tr w:rsidR="00415F39" w:rsidTr="00423F5C">
        <w:trPr>
          <w:cantSplit/>
        </w:trPr>
        <w:tc>
          <w:tcPr>
            <w:tcW w:w="8771" w:type="dxa"/>
            <w:tcBorders>
              <w:top w:val="nil"/>
              <w:left w:val="nil"/>
              <w:bottom w:val="single" w:sz="6" w:space="0" w:color="78A22F"/>
              <w:right w:val="nil"/>
            </w:tcBorders>
            <w:shd w:val="clear" w:color="auto" w:fill="F2F2F2" w:themeFill="background1" w:themeFillShade="F2"/>
          </w:tcPr>
          <w:p w:rsidR="00415F39" w:rsidRDefault="00415F39" w:rsidP="00423F5C">
            <w:pPr>
              <w:pStyle w:val="Box"/>
              <w:spacing w:before="0" w:line="120" w:lineRule="exact"/>
            </w:pPr>
          </w:p>
        </w:tc>
      </w:tr>
    </w:tbl>
    <w:p w:rsidR="00EC0A05" w:rsidRDefault="00EC0A05" w:rsidP="00EC0A05">
      <w:pPr>
        <w:pStyle w:val="BodyText"/>
      </w:pPr>
    </w:p>
    <w:p w:rsidR="00EC0A05" w:rsidRPr="00415F39" w:rsidRDefault="00EC0A05" w:rsidP="00EC0A05">
      <w:pPr>
        <w:pStyle w:val="BodyText"/>
        <w:sectPr w:rsidR="00EC0A05" w:rsidRPr="00415F39" w:rsidSect="00C37B8E">
          <w:footerReference w:type="default" r:id="rId16"/>
          <w:pgSz w:w="11907" w:h="16840" w:code="9"/>
          <w:pgMar w:top="1984" w:right="1304" w:bottom="1247" w:left="1814" w:header="1701" w:footer="397" w:gutter="0"/>
          <w:pgNumType w:fmt="lowerRoman" w:chapSep="period"/>
          <w:cols w:space="720"/>
          <w:docGrid w:linePitch="326"/>
        </w:sectPr>
      </w:pPr>
    </w:p>
    <w:p w:rsidR="00F056FC" w:rsidRDefault="00EC0A05" w:rsidP="001765AA">
      <w:pPr>
        <w:pStyle w:val="Heading2nosectionno"/>
        <w:spacing w:after="600"/>
      </w:pPr>
      <w:bookmarkStart w:id="1" w:name="begin"/>
      <w:bookmarkEnd w:id="0"/>
      <w:bookmarkEnd w:id="1"/>
      <w:r>
        <w:lastRenderedPageBreak/>
        <w:t>Contents</w:t>
      </w:r>
    </w:p>
    <w:sdt>
      <w:sdtPr>
        <w:rPr>
          <w:rFonts w:ascii="Times New Roman" w:hAnsi="Times New Roman"/>
          <w:b/>
          <w:kern w:val="28"/>
          <w:sz w:val="52"/>
          <w:szCs w:val="20"/>
          <w:lang w:eastAsia="en-AU"/>
        </w:rPr>
        <w:id w:val="-1601250822"/>
        <w:docPartObj>
          <w:docPartGallery w:val="Table of Contents"/>
          <w:docPartUnique/>
        </w:docPartObj>
      </w:sdtPr>
      <w:sdtEndPr>
        <w:rPr>
          <w:rFonts w:ascii="Arial" w:hAnsi="Arial"/>
          <w:b w:val="0"/>
          <w:kern w:val="0"/>
          <w:sz w:val="26"/>
          <w:szCs w:val="26"/>
          <w:lang w:eastAsia="en-US"/>
        </w:rPr>
      </w:sdtEndPr>
      <w:sdtContent>
        <w:p w:rsidR="003E0DEA" w:rsidRDefault="003E0DEA" w:rsidP="00563B55">
          <w:pPr>
            <w:pStyle w:val="TOC3"/>
            <w:ind w:left="680"/>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What is this inquiry about?</w:t>
          </w:r>
          <w:r>
            <w:rPr>
              <w:noProof/>
            </w:rPr>
            <w:tab/>
          </w:r>
          <w:r w:rsidR="0032133C">
            <w:rPr>
              <w:noProof/>
            </w:rPr>
            <w:t>1</w:t>
          </w:r>
        </w:p>
        <w:p w:rsidR="003E0DEA" w:rsidRDefault="003E0DEA" w:rsidP="00563B55">
          <w:pPr>
            <w:pStyle w:val="TOC3"/>
            <w:ind w:left="680"/>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Resetting the balance in the Basin</w:t>
          </w:r>
          <w:r>
            <w:rPr>
              <w:noProof/>
            </w:rPr>
            <w:tab/>
          </w:r>
          <w:r w:rsidR="0032133C">
            <w:rPr>
              <w:noProof/>
            </w:rPr>
            <w:t>3</w:t>
          </w:r>
        </w:p>
        <w:p w:rsidR="003E0DEA" w:rsidRDefault="003E0DEA" w:rsidP="00563B55">
          <w:pPr>
            <w:pStyle w:val="TOC3"/>
            <w:ind w:left="680"/>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The Commission’s assessment approach</w:t>
          </w:r>
          <w:r>
            <w:rPr>
              <w:noProof/>
            </w:rPr>
            <w:tab/>
          </w:r>
          <w:r w:rsidR="0032133C">
            <w:rPr>
              <w:noProof/>
            </w:rPr>
            <w:t>8</w:t>
          </w:r>
        </w:p>
        <w:p w:rsidR="003E0DEA" w:rsidRDefault="003E0DEA" w:rsidP="00563B55">
          <w:pPr>
            <w:pStyle w:val="TOC3"/>
            <w:ind w:left="680"/>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The key elements required to implement the Plan</w:t>
          </w:r>
          <w:r>
            <w:rPr>
              <w:noProof/>
            </w:rPr>
            <w:tab/>
          </w:r>
          <w:r w:rsidR="0032133C">
            <w:rPr>
              <w:noProof/>
            </w:rPr>
            <w:t>10</w:t>
          </w:r>
        </w:p>
        <w:p w:rsidR="003E0DEA" w:rsidRDefault="003E0DEA" w:rsidP="00563B55">
          <w:pPr>
            <w:pStyle w:val="TOC3"/>
            <w:ind w:left="680"/>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Basin institutional and governance arrangements</w:t>
          </w:r>
          <w:r>
            <w:rPr>
              <w:noProof/>
            </w:rPr>
            <w:tab/>
          </w:r>
          <w:r w:rsidR="0032133C">
            <w:rPr>
              <w:noProof/>
            </w:rPr>
            <w:t>31</w:t>
          </w:r>
        </w:p>
        <w:p w:rsidR="003E0DEA" w:rsidRDefault="003E0DEA" w:rsidP="00563B55">
          <w:pPr>
            <w:pStyle w:val="TOC3"/>
            <w:ind w:left="680"/>
            <w:rPr>
              <w:rFonts w:asciiTheme="minorHAnsi" w:eastAsiaTheme="minorEastAsia" w:hAnsiTheme="minorHAnsi" w:cstheme="minorBidi"/>
              <w:noProof/>
              <w:sz w:val="22"/>
              <w:szCs w:val="22"/>
              <w:lang w:eastAsia="en-AU"/>
            </w:rPr>
          </w:pPr>
          <w:r>
            <w:rPr>
              <w:noProof/>
            </w:rPr>
            <w:t>References</w:t>
          </w:r>
          <w:r>
            <w:rPr>
              <w:noProof/>
            </w:rPr>
            <w:tab/>
          </w:r>
          <w:r w:rsidR="0032133C">
            <w:rPr>
              <w:noProof/>
            </w:rPr>
            <w:t>34</w:t>
          </w:r>
        </w:p>
        <w:p w:rsidR="001765AA" w:rsidRDefault="001765AA" w:rsidP="00563B55">
          <w:pPr>
            <w:pStyle w:val="TOC3"/>
            <w:spacing w:before="240"/>
            <w:ind w:left="680"/>
            <w:rPr>
              <w:noProof/>
            </w:rPr>
          </w:pPr>
          <w:r>
            <w:rPr>
              <w:noProof/>
            </w:rPr>
            <w:t>Attachments</w:t>
          </w:r>
        </w:p>
        <w:p w:rsidR="003E0DEA" w:rsidRDefault="003E0DEA" w:rsidP="00563B55">
          <w:pPr>
            <w:pStyle w:val="TOC3"/>
            <w:ind w:left="680"/>
            <w:rPr>
              <w:rFonts w:asciiTheme="minorHAnsi" w:eastAsiaTheme="minorEastAsia" w:hAnsiTheme="minorHAnsi" w:cstheme="minorBidi"/>
              <w:noProof/>
              <w:sz w:val="22"/>
              <w:szCs w:val="22"/>
              <w:lang w:eastAsia="en-AU"/>
            </w:rPr>
          </w:pPr>
          <w:r>
            <w:rPr>
              <w:noProof/>
            </w:rPr>
            <w:t>A</w:t>
          </w:r>
          <w:r>
            <w:rPr>
              <w:noProof/>
            </w:rPr>
            <w:tab/>
          </w:r>
          <w:r w:rsidR="00617772">
            <w:rPr>
              <w:noProof/>
            </w:rPr>
            <w:t>Terms of reference</w:t>
          </w:r>
          <w:r w:rsidR="004048FB">
            <w:rPr>
              <w:noProof/>
            </w:rPr>
            <w:tab/>
          </w:r>
          <w:r w:rsidR="0032133C">
            <w:rPr>
              <w:noProof/>
            </w:rPr>
            <w:t>36</w:t>
          </w:r>
        </w:p>
        <w:p w:rsidR="00391500" w:rsidRDefault="003E0DEA" w:rsidP="00563B55">
          <w:pPr>
            <w:pStyle w:val="TOC3"/>
            <w:ind w:left="680"/>
            <w:sectPr w:rsidR="00391500" w:rsidSect="00E43A85">
              <w:headerReference w:type="even" r:id="rId17"/>
              <w:headerReference w:type="default" r:id="rId18"/>
              <w:footerReference w:type="even" r:id="rId19"/>
              <w:footerReference w:type="default" r:id="rId20"/>
              <w:pgSz w:w="11907" w:h="16840" w:code="9"/>
              <w:pgMar w:top="1984" w:right="1304" w:bottom="1247" w:left="1814" w:header="1701" w:footer="397" w:gutter="0"/>
              <w:pgNumType w:fmt="lowerRoman" w:start="3" w:chapSep="period"/>
              <w:cols w:space="720"/>
              <w:docGrid w:linePitch="326"/>
            </w:sectPr>
          </w:pPr>
          <w:r>
            <w:rPr>
              <w:noProof/>
            </w:rPr>
            <w:t>B</w:t>
          </w:r>
          <w:r>
            <w:rPr>
              <w:noProof/>
            </w:rPr>
            <w:tab/>
          </w:r>
          <w:r w:rsidR="00617772">
            <w:rPr>
              <w:noProof/>
            </w:rPr>
            <w:t>How to prepare a submission</w:t>
          </w:r>
          <w:r w:rsidR="004048FB">
            <w:rPr>
              <w:noProof/>
            </w:rPr>
            <w:tab/>
          </w:r>
          <w:r w:rsidR="0032133C">
            <w:rPr>
              <w:noProof/>
            </w:rPr>
            <w:t>39</w:t>
          </w:r>
        </w:p>
      </w:sdtContent>
    </w:sdt>
    <w:p w:rsidR="009744FA" w:rsidRDefault="00E120C7" w:rsidP="00E43A85">
      <w:pPr>
        <w:pStyle w:val="Heading2"/>
        <w:spacing w:before="0"/>
        <w:rPr>
          <w:noProof/>
        </w:rPr>
      </w:pPr>
      <w:bookmarkStart w:id="2" w:name="_Toc505802560"/>
      <w:bookmarkStart w:id="3" w:name="_Toc506967716"/>
      <w:bookmarkStart w:id="4" w:name="_Toc506967933"/>
      <w:bookmarkStart w:id="5" w:name="_Toc506968432"/>
      <w:bookmarkStart w:id="6" w:name="_Toc506968468"/>
      <w:bookmarkStart w:id="7" w:name="_Toc506968735"/>
      <w:bookmarkStart w:id="8" w:name="_Toc506968780"/>
      <w:bookmarkStart w:id="9" w:name="_Toc506968841"/>
      <w:bookmarkStart w:id="10" w:name="_Toc506968931"/>
      <w:bookmarkStart w:id="11" w:name="_Toc508287770"/>
      <w:bookmarkStart w:id="12" w:name="_Toc508289807"/>
      <w:bookmarkStart w:id="13" w:name="_Toc504573544"/>
      <w:bookmarkStart w:id="14" w:name="_Toc504576658"/>
      <w:bookmarkStart w:id="15" w:name="_Toc504576704"/>
      <w:bookmarkStart w:id="16" w:name="_Toc504579555"/>
      <w:r>
        <w:rPr>
          <w:noProof/>
        </w:rPr>
        <w:lastRenderedPageBreak/>
        <w:t>1</w:t>
      </w:r>
      <w:r w:rsidR="009744FA" w:rsidRPr="009744FA">
        <w:rPr>
          <w:noProof/>
        </w:rPr>
        <w:tab/>
      </w:r>
      <w:bookmarkEnd w:id="2"/>
      <w:r w:rsidR="009744FA" w:rsidRPr="009744FA">
        <w:rPr>
          <w:noProof/>
        </w:rPr>
        <w:t>What is this inquiry about?</w:t>
      </w:r>
      <w:bookmarkEnd w:id="3"/>
      <w:bookmarkEnd w:id="4"/>
      <w:bookmarkEnd w:id="5"/>
      <w:bookmarkEnd w:id="6"/>
      <w:bookmarkEnd w:id="7"/>
      <w:bookmarkEnd w:id="8"/>
      <w:bookmarkEnd w:id="9"/>
      <w:bookmarkEnd w:id="10"/>
      <w:bookmarkEnd w:id="11"/>
      <w:bookmarkEnd w:id="12"/>
    </w:p>
    <w:p w:rsidR="00946AB7" w:rsidRPr="00FA0099" w:rsidRDefault="00946AB7" w:rsidP="00F937AD">
      <w:pPr>
        <w:pStyle w:val="BodyText"/>
      </w:pPr>
      <w:r w:rsidRPr="00FA0099">
        <w:t xml:space="preserve">Under the </w:t>
      </w:r>
      <w:r w:rsidRPr="007A7786">
        <w:rPr>
          <w:i/>
        </w:rPr>
        <w:t xml:space="preserve">Water Act </w:t>
      </w:r>
      <w:r w:rsidRPr="00075436">
        <w:rPr>
          <w:i/>
        </w:rPr>
        <w:t>2007</w:t>
      </w:r>
      <w:r w:rsidRPr="00FA0099">
        <w:t xml:space="preserve"> (</w:t>
      </w:r>
      <w:proofErr w:type="spellStart"/>
      <w:r>
        <w:t>Cwlth</w:t>
      </w:r>
      <w:proofErr w:type="spellEnd"/>
      <w:r w:rsidRPr="00FA0099">
        <w:t xml:space="preserve">), the Productivity Commission </w:t>
      </w:r>
      <w:r>
        <w:t xml:space="preserve">(the Commission) </w:t>
      </w:r>
      <w:r w:rsidRPr="00FA0099">
        <w:t>has responsibility for assessing</w:t>
      </w:r>
      <w:r w:rsidR="002A7E12">
        <w:t xml:space="preserve"> the</w:t>
      </w:r>
      <w:r w:rsidRPr="00FA0099">
        <w:t xml:space="preserve"> effectiveness of implementation of the Basin Plan </w:t>
      </w:r>
      <w:r w:rsidR="007C1766">
        <w:t xml:space="preserve">— </w:t>
      </w:r>
      <w:r w:rsidRPr="00FA0099">
        <w:t xml:space="preserve">and associated </w:t>
      </w:r>
      <w:r>
        <w:t>water resource plans (</w:t>
      </w:r>
      <w:proofErr w:type="spellStart"/>
      <w:r w:rsidRPr="00FA0099">
        <w:t>WRPs</w:t>
      </w:r>
      <w:proofErr w:type="spellEnd"/>
      <w:r>
        <w:t xml:space="preserve">) </w:t>
      </w:r>
      <w:r w:rsidR="007C1766">
        <w:t>—</w:t>
      </w:r>
      <w:r w:rsidRPr="00FA0099">
        <w:t xml:space="preserve"> every 5 years. </w:t>
      </w:r>
      <w:r>
        <w:t>This function</w:t>
      </w:r>
      <w:r w:rsidRPr="00321A76">
        <w:t xml:space="preserve"> </w:t>
      </w:r>
      <w:r>
        <w:t>was</w:t>
      </w:r>
      <w:r w:rsidRPr="00321A76">
        <w:t xml:space="preserve"> transferred to the Commission when the National Water Commission (</w:t>
      </w:r>
      <w:proofErr w:type="spellStart"/>
      <w:r w:rsidRPr="00321A76">
        <w:t>NWC</w:t>
      </w:r>
      <w:proofErr w:type="spellEnd"/>
      <w:r w:rsidRPr="00321A76">
        <w:t>) was abolished in 2015.</w:t>
      </w:r>
      <w:r>
        <w:t xml:space="preserve"> This assessment is the first to be undertaken by the Commission. </w:t>
      </w:r>
    </w:p>
    <w:p w:rsidR="00712F04" w:rsidRPr="00F937AD" w:rsidRDefault="00712F04" w:rsidP="00E43A85">
      <w:pPr>
        <w:pStyle w:val="BodyText"/>
        <w:spacing w:before="200"/>
        <w:rPr>
          <w:spacing w:val="-4"/>
        </w:rPr>
      </w:pPr>
      <w:r w:rsidRPr="00F937AD">
        <w:rPr>
          <w:spacing w:val="-4"/>
        </w:rPr>
        <w:t>The Basin Plan represents a major step change in the management of the Murray</w:t>
      </w:r>
      <w:r w:rsidR="00B37F8F" w:rsidRPr="00F937AD">
        <w:rPr>
          <w:spacing w:val="-4"/>
        </w:rPr>
        <w:noBreakHyphen/>
      </w:r>
      <w:r w:rsidRPr="00F937AD">
        <w:rPr>
          <w:spacing w:val="-4"/>
        </w:rPr>
        <w:t xml:space="preserve">Darling Basin (the Basin). It is </w:t>
      </w:r>
      <w:r w:rsidR="00EC2889" w:rsidRPr="00F937AD">
        <w:rPr>
          <w:spacing w:val="-4"/>
        </w:rPr>
        <w:t>part</w:t>
      </w:r>
      <w:r w:rsidRPr="00F937AD">
        <w:rPr>
          <w:spacing w:val="-4"/>
        </w:rPr>
        <w:t xml:space="preserve"> of a comprehensive, large</w:t>
      </w:r>
      <w:r w:rsidR="00B37F8F" w:rsidRPr="00F937AD">
        <w:rPr>
          <w:spacing w:val="-4"/>
        </w:rPr>
        <w:noBreakHyphen/>
      </w:r>
      <w:r w:rsidRPr="00F937AD">
        <w:rPr>
          <w:spacing w:val="-4"/>
        </w:rPr>
        <w:t>scale Australian and Basin State</w:t>
      </w:r>
      <w:r w:rsidR="00441D29" w:rsidRPr="00C45348">
        <w:rPr>
          <w:rStyle w:val="FootnoteReference"/>
        </w:rPr>
        <w:footnoteReference w:id="2"/>
      </w:r>
      <w:r w:rsidRPr="00F937AD">
        <w:rPr>
          <w:spacing w:val="-4"/>
        </w:rPr>
        <w:t xml:space="preserve"> government reform initiative to reset the balance between environmental and consumptive use of water across the Basin and establish a long</w:t>
      </w:r>
      <w:r w:rsidR="001449E4" w:rsidRPr="00F937AD">
        <w:rPr>
          <w:spacing w:val="-4"/>
        </w:rPr>
        <w:noBreakHyphen/>
      </w:r>
      <w:r w:rsidRPr="00F937AD">
        <w:rPr>
          <w:spacing w:val="-4"/>
        </w:rPr>
        <w:t>term, sustainable water management system.</w:t>
      </w:r>
    </w:p>
    <w:p w:rsidR="00712F04" w:rsidRPr="00E82186" w:rsidRDefault="00712F04" w:rsidP="00E43A85">
      <w:pPr>
        <w:pStyle w:val="BodyText"/>
        <w:spacing w:before="200"/>
      </w:pPr>
      <w:r w:rsidRPr="00E82186">
        <w:t xml:space="preserve">The move to a more sustainable balance required </w:t>
      </w:r>
      <w:r>
        <w:t>a series of substantial trade</w:t>
      </w:r>
      <w:r w:rsidR="00B37F8F">
        <w:noBreakHyphen/>
      </w:r>
      <w:r>
        <w:t xml:space="preserve">off decisions </w:t>
      </w:r>
      <w:r w:rsidR="00C67FA0">
        <w:t>—</w:t>
      </w:r>
      <w:r>
        <w:t xml:space="preserve"> balancing the environmental benefits to the system overall against the socioeconomic impacts </w:t>
      </w:r>
      <w:r w:rsidR="000F7076">
        <w:t xml:space="preserve">on industries and regional communities </w:t>
      </w:r>
      <w:r>
        <w:t>of a permanent reduction in water for irrigation</w:t>
      </w:r>
      <w:r w:rsidR="003C7AFB">
        <w:t>.</w:t>
      </w:r>
      <w:r>
        <w:t xml:space="preserve"> </w:t>
      </w:r>
      <w:r w:rsidR="00BC53B1">
        <w:t>As such</w:t>
      </w:r>
      <w:r w:rsidRPr="00E82186">
        <w:t xml:space="preserve">, the development of the Basin Plan </w:t>
      </w:r>
      <w:r>
        <w:t>by the Murray</w:t>
      </w:r>
      <w:r w:rsidR="00B37F8F">
        <w:noBreakHyphen/>
      </w:r>
      <w:r>
        <w:t>Darling Basin Authority (</w:t>
      </w:r>
      <w:proofErr w:type="spellStart"/>
      <w:r>
        <w:t>MDBA</w:t>
      </w:r>
      <w:proofErr w:type="spellEnd"/>
      <w:r>
        <w:t xml:space="preserve">) </w:t>
      </w:r>
      <w:r w:rsidRPr="00E82186">
        <w:t>was a lengthy and an often</w:t>
      </w:r>
      <w:r w:rsidR="00B37F8F">
        <w:noBreakHyphen/>
      </w:r>
      <w:r w:rsidRPr="00E82186">
        <w:t>contested process, involving considerable negotiation and compromise</w:t>
      </w:r>
      <w:r>
        <w:t xml:space="preserve"> before it was finalised and became law in November 2012</w:t>
      </w:r>
      <w:r w:rsidRPr="00E82186">
        <w:t xml:space="preserve">. </w:t>
      </w:r>
    </w:p>
    <w:p w:rsidR="00712F04" w:rsidRDefault="00712F04" w:rsidP="00E43A85">
      <w:pPr>
        <w:pStyle w:val="BodyText"/>
        <w:spacing w:before="200"/>
      </w:pPr>
      <w:r>
        <w:t xml:space="preserve">Since then, all jurisdictions have been involved in the process of </w:t>
      </w:r>
      <w:r w:rsidR="007D3475">
        <w:t xml:space="preserve">implementing </w:t>
      </w:r>
      <w:r w:rsidR="006315D8">
        <w:t>the Basin Plan</w:t>
      </w:r>
      <w:r>
        <w:t xml:space="preserve">. </w:t>
      </w:r>
      <w:r w:rsidRPr="009744FA">
        <w:t>By June 2019,</w:t>
      </w:r>
      <w:r w:rsidRPr="009744FA" w:rsidDel="00E52B70">
        <w:t xml:space="preserve"> </w:t>
      </w:r>
      <w:r w:rsidR="00E52B70">
        <w:t>g</w:t>
      </w:r>
      <w:r w:rsidR="00E52B70" w:rsidRPr="009744FA">
        <w:t xml:space="preserve">overnments </w:t>
      </w:r>
      <w:r w:rsidRPr="009744FA">
        <w:t xml:space="preserve">are due to have largely </w:t>
      </w:r>
      <w:r>
        <w:t xml:space="preserve">established the arrangements for a new management regime under the Basin Plan, with </w:t>
      </w:r>
      <w:r w:rsidRPr="009744FA">
        <w:t xml:space="preserve">full implementation </w:t>
      </w:r>
      <w:r>
        <w:t xml:space="preserve">by </w:t>
      </w:r>
      <w:r w:rsidRPr="009744FA">
        <w:t>2024.</w:t>
      </w:r>
      <w:r w:rsidR="00B910FE">
        <w:t xml:space="preserve"> </w:t>
      </w:r>
    </w:p>
    <w:p w:rsidR="007C1766" w:rsidRDefault="00BF6B23" w:rsidP="00E43A85">
      <w:pPr>
        <w:pStyle w:val="BodyText"/>
        <w:spacing w:before="200"/>
      </w:pPr>
      <w:r>
        <w:t>I</w:t>
      </w:r>
      <w:r w:rsidRPr="00907932">
        <w:t>mplement</w:t>
      </w:r>
      <w:r>
        <w:t>ing</w:t>
      </w:r>
      <w:r w:rsidR="00712F04" w:rsidRPr="00907932" w:rsidDel="00BF6B23">
        <w:t xml:space="preserve"> </w:t>
      </w:r>
      <w:r w:rsidR="00712F04" w:rsidRPr="00907932">
        <w:t>the Basin Plan</w:t>
      </w:r>
      <w:r w:rsidR="00712F04">
        <w:t xml:space="preserve"> and associated reforms</w:t>
      </w:r>
      <w:r w:rsidR="00712F04" w:rsidRPr="00907932">
        <w:t xml:space="preserve"> is a complex process. </w:t>
      </w:r>
      <w:r w:rsidR="00712F04">
        <w:t>Basin State</w:t>
      </w:r>
      <w:r w:rsidR="00712F04" w:rsidRPr="00907932">
        <w:t xml:space="preserve">s must develop new planning frameworks to manage water, implement significant water recovery </w:t>
      </w:r>
      <w:r w:rsidR="00712F04">
        <w:t xml:space="preserve">and infrastructure </w:t>
      </w:r>
      <w:r w:rsidR="00712F04" w:rsidRPr="00907932">
        <w:t xml:space="preserve">projects and develop new approaches to </w:t>
      </w:r>
      <w:r w:rsidR="00712F04">
        <w:t xml:space="preserve">managing </w:t>
      </w:r>
      <w:r w:rsidR="00712F04" w:rsidRPr="00907932">
        <w:t>water for the environment.</w:t>
      </w:r>
      <w:r w:rsidR="00712F04">
        <w:t xml:space="preserve"> It </w:t>
      </w:r>
      <w:r w:rsidR="00712F04" w:rsidRPr="00E82186">
        <w:t xml:space="preserve">is also prone to controversy as governments work through review and adjustment provisions, </w:t>
      </w:r>
      <w:r w:rsidR="00311F0C">
        <w:t>and</w:t>
      </w:r>
      <w:r w:rsidR="00311F0C" w:rsidRPr="00E82186">
        <w:t xml:space="preserve"> </w:t>
      </w:r>
      <w:r w:rsidR="00712F04" w:rsidRPr="00E82186">
        <w:t xml:space="preserve">issues covered </w:t>
      </w:r>
      <w:r w:rsidR="00712F04">
        <w:t xml:space="preserve">when formulating </w:t>
      </w:r>
      <w:r w:rsidR="00712F04" w:rsidRPr="00E82186">
        <w:t>the Plan</w:t>
      </w:r>
      <w:r w:rsidR="00311F0C">
        <w:t xml:space="preserve"> are reopened</w:t>
      </w:r>
      <w:r w:rsidR="00712F04" w:rsidRPr="00E82186">
        <w:t xml:space="preserve">. This is made more difficult as </w:t>
      </w:r>
      <w:r w:rsidR="00BE3554">
        <w:t>the</w:t>
      </w:r>
      <w:r w:rsidR="00BE3554" w:rsidRPr="00E82186">
        <w:t xml:space="preserve"> </w:t>
      </w:r>
      <w:r w:rsidR="00712F04" w:rsidRPr="00E82186">
        <w:t xml:space="preserve">socioeconomic impacts of rebalancing to the new </w:t>
      </w:r>
      <w:r w:rsidR="007C1766">
        <w:t>S</w:t>
      </w:r>
      <w:r w:rsidR="00712F04" w:rsidRPr="00E82186">
        <w:t xml:space="preserve">ustainable </w:t>
      </w:r>
      <w:r w:rsidR="007C1766">
        <w:t>D</w:t>
      </w:r>
      <w:r w:rsidR="00712F04" w:rsidRPr="00E82186">
        <w:t xml:space="preserve">iversion </w:t>
      </w:r>
      <w:r w:rsidR="007C1766">
        <w:t>L</w:t>
      </w:r>
      <w:r w:rsidR="00712F04" w:rsidRPr="00E82186">
        <w:t>imit</w:t>
      </w:r>
      <w:r w:rsidR="002A7E12">
        <w:t xml:space="preserve"> (</w:t>
      </w:r>
      <w:proofErr w:type="spellStart"/>
      <w:r w:rsidR="002A7E12">
        <w:t>SDL</w:t>
      </w:r>
      <w:proofErr w:type="spellEnd"/>
      <w:r w:rsidR="002A7E12">
        <w:t>)</w:t>
      </w:r>
      <w:r w:rsidR="00712F04" w:rsidRPr="00E82186">
        <w:t xml:space="preserve"> </w:t>
      </w:r>
      <w:r w:rsidR="00BE3554" w:rsidRPr="00E82186">
        <w:t>becom</w:t>
      </w:r>
      <w:r w:rsidR="00BE3554">
        <w:t>e</w:t>
      </w:r>
      <w:r w:rsidR="00BE3554" w:rsidRPr="00E82186">
        <w:t xml:space="preserve"> </w:t>
      </w:r>
      <w:r w:rsidR="00712F04" w:rsidRPr="00E82186">
        <w:t xml:space="preserve">apparent and </w:t>
      </w:r>
      <w:r w:rsidR="00BE3554">
        <w:t xml:space="preserve">as </w:t>
      </w:r>
      <w:r w:rsidR="00712F04" w:rsidRPr="00E82186">
        <w:t xml:space="preserve">some communities </w:t>
      </w:r>
      <w:r w:rsidR="00BE3554" w:rsidRPr="00E82186">
        <w:t>grappl</w:t>
      </w:r>
      <w:r w:rsidR="00BE3554">
        <w:t>e</w:t>
      </w:r>
      <w:r w:rsidR="00BE3554" w:rsidRPr="00E82186">
        <w:t xml:space="preserve"> </w:t>
      </w:r>
      <w:r w:rsidR="00712F04" w:rsidRPr="00E82186">
        <w:t>with the realities of adjustment against a background of changing commodity prices</w:t>
      </w:r>
      <w:r w:rsidR="00712F04">
        <w:t xml:space="preserve"> and</w:t>
      </w:r>
      <w:r w:rsidR="00411A63">
        <w:t xml:space="preserve">, in the southern </w:t>
      </w:r>
      <w:r w:rsidR="00062E36">
        <w:t>Basin</w:t>
      </w:r>
      <w:r w:rsidR="00185CD8">
        <w:t>,</w:t>
      </w:r>
      <w:r w:rsidR="00712F04">
        <w:t xml:space="preserve"> water trade</w:t>
      </w:r>
      <w:r w:rsidR="00712F04" w:rsidRPr="00E82186">
        <w:t>.</w:t>
      </w:r>
    </w:p>
    <w:p w:rsidR="00BD5114" w:rsidRPr="009744FA" w:rsidRDefault="009744FA" w:rsidP="00E43A85">
      <w:pPr>
        <w:pStyle w:val="Heading3"/>
        <w:spacing w:before="360"/>
      </w:pPr>
      <w:r w:rsidRPr="009744FA">
        <w:t xml:space="preserve">What </w:t>
      </w:r>
      <w:r w:rsidR="00362500">
        <w:t>is</w:t>
      </w:r>
      <w:r w:rsidRPr="009744FA">
        <w:t xml:space="preserve"> the Commission </w:t>
      </w:r>
      <w:r w:rsidR="00362500">
        <w:t>required</w:t>
      </w:r>
      <w:r w:rsidRPr="009744FA">
        <w:t xml:space="preserve"> to do?</w:t>
      </w:r>
    </w:p>
    <w:p w:rsidR="009744FA" w:rsidRPr="005D7A6B" w:rsidRDefault="00FA0099" w:rsidP="00E43A85">
      <w:pPr>
        <w:pStyle w:val="BodyText"/>
        <w:spacing w:before="200"/>
        <w:rPr>
          <w:spacing w:val="-4"/>
        </w:rPr>
      </w:pPr>
      <w:r w:rsidRPr="005D7A6B">
        <w:rPr>
          <w:spacing w:val="-4"/>
        </w:rPr>
        <w:t xml:space="preserve">The </w:t>
      </w:r>
      <w:r w:rsidR="00B37F8F" w:rsidRPr="005D7A6B">
        <w:rPr>
          <w:spacing w:val="-4"/>
        </w:rPr>
        <w:t>t</w:t>
      </w:r>
      <w:r w:rsidRPr="005D7A6B">
        <w:rPr>
          <w:spacing w:val="-4"/>
        </w:rPr>
        <w:t xml:space="preserve">erms of </w:t>
      </w:r>
      <w:r w:rsidR="00B37F8F" w:rsidRPr="005D7A6B">
        <w:rPr>
          <w:spacing w:val="-4"/>
        </w:rPr>
        <w:t>r</w:t>
      </w:r>
      <w:r w:rsidRPr="005D7A6B">
        <w:rPr>
          <w:spacing w:val="-4"/>
        </w:rPr>
        <w:t xml:space="preserve">eference </w:t>
      </w:r>
      <w:r w:rsidR="005D7A6B" w:rsidRPr="005D7A6B">
        <w:rPr>
          <w:spacing w:val="-4"/>
        </w:rPr>
        <w:t xml:space="preserve">(attachment A) </w:t>
      </w:r>
      <w:r w:rsidRPr="005D7A6B">
        <w:rPr>
          <w:spacing w:val="-4"/>
        </w:rPr>
        <w:t>require the Commission</w:t>
      </w:r>
      <w:r w:rsidR="009744FA" w:rsidRPr="005D7A6B">
        <w:rPr>
          <w:spacing w:val="-4"/>
        </w:rPr>
        <w:t xml:space="preserve"> to assess progress towards implementing actions required under the Basin Plan within legislated timeframes, including the:</w:t>
      </w:r>
    </w:p>
    <w:p w:rsidR="009744FA" w:rsidRPr="00D46DE6" w:rsidRDefault="009744FA" w:rsidP="00E43A85">
      <w:pPr>
        <w:pStyle w:val="ListBullet"/>
        <w:spacing w:before="100"/>
      </w:pPr>
      <w:r w:rsidRPr="00D46DE6">
        <w:t>extent to which stated water recovery and other targets are on track to be delivered within statutory timeframes</w:t>
      </w:r>
    </w:p>
    <w:p w:rsidR="009744FA" w:rsidRPr="00D46DE6" w:rsidRDefault="009744FA" w:rsidP="00E43A85">
      <w:pPr>
        <w:pStyle w:val="ListBullet"/>
        <w:spacing w:before="100"/>
      </w:pPr>
      <w:r w:rsidRPr="00D46DE6">
        <w:t>likelihood that activities and arrangements now in place will ensure that these targets and timeframes will be met.</w:t>
      </w:r>
    </w:p>
    <w:p w:rsidR="009744FA" w:rsidRPr="009744FA" w:rsidRDefault="00FA0099" w:rsidP="00F937AD">
      <w:pPr>
        <w:pStyle w:val="BodyText"/>
        <w:spacing w:before="200"/>
      </w:pPr>
      <w:r w:rsidRPr="00FA0099">
        <w:lastRenderedPageBreak/>
        <w:t xml:space="preserve">The </w:t>
      </w:r>
      <w:r w:rsidR="00B90F1E">
        <w:t>Commission has</w:t>
      </w:r>
      <w:r w:rsidR="00FF79C5">
        <w:t xml:space="preserve"> also</w:t>
      </w:r>
      <w:r w:rsidR="00B90F1E">
        <w:t xml:space="preserve"> been asked to</w:t>
      </w:r>
      <w:r w:rsidR="009744FA" w:rsidRPr="00FA0099">
        <w:t xml:space="preserve"> </w:t>
      </w:r>
      <w:r w:rsidR="00B90F1E">
        <w:t>examine</w:t>
      </w:r>
      <w:r w:rsidR="009744FA" w:rsidRPr="00FA0099">
        <w:t xml:space="preserve"> the extent to which current arrangements for implementing the Basin Plan — including for monitoring, compliance, reporting and evaluation — are likely to be </w:t>
      </w:r>
      <w:r w:rsidR="009744FA" w:rsidRPr="007A7786">
        <w:t>sufficient</w:t>
      </w:r>
      <w:r w:rsidR="009744FA" w:rsidRPr="009744FA">
        <w:t xml:space="preserve"> to:</w:t>
      </w:r>
    </w:p>
    <w:p w:rsidR="00FA0099" w:rsidRPr="00FA0099" w:rsidRDefault="00FA0099" w:rsidP="00C37B8E">
      <w:pPr>
        <w:pStyle w:val="ListBullet"/>
      </w:pPr>
      <w:r w:rsidRPr="0045114A">
        <w:t>support delivery of the objectives and outcomes of the Basin Plan and associated reforms (as listed in chapter</w:t>
      </w:r>
      <w:r w:rsidR="00B37F8F">
        <w:t> </w:t>
      </w:r>
      <w:r w:rsidRPr="0045114A">
        <w:t>5 of the Plan)</w:t>
      </w:r>
    </w:p>
    <w:p w:rsidR="009744FA" w:rsidRPr="00D46DE6" w:rsidRDefault="009744FA" w:rsidP="00C37B8E">
      <w:pPr>
        <w:pStyle w:val="ListBullet"/>
      </w:pPr>
      <w:r w:rsidRPr="00D46DE6">
        <w:t>enable assessment of risks and risk mitigation requirements and provisions associated with Basin Plan implementation</w:t>
      </w:r>
    </w:p>
    <w:p w:rsidR="009744FA" w:rsidRPr="00D46DE6" w:rsidRDefault="009744FA" w:rsidP="00C37B8E">
      <w:pPr>
        <w:pStyle w:val="ListBullet"/>
      </w:pPr>
      <w:r w:rsidRPr="00D46DE6">
        <w:t xml:space="preserve">enable an assessment </w:t>
      </w:r>
      <w:r w:rsidR="00B71553">
        <w:t>of progress in meeting the Plan’</w:t>
      </w:r>
      <w:r w:rsidRPr="00D46DE6">
        <w:t xml:space="preserve">s objectives and outcomes </w:t>
      </w:r>
      <w:r w:rsidR="006C07C1">
        <w:t xml:space="preserve">when the </w:t>
      </w:r>
      <w:proofErr w:type="spellStart"/>
      <w:r w:rsidR="006C07C1">
        <w:t>MDBA</w:t>
      </w:r>
      <w:proofErr w:type="spellEnd"/>
      <w:r w:rsidR="006C07C1">
        <w:t xml:space="preserve"> reviews the Plan in</w:t>
      </w:r>
      <w:r w:rsidRPr="00D46DE6">
        <w:t xml:space="preserve"> 2026.</w:t>
      </w:r>
    </w:p>
    <w:p w:rsidR="009744FA" w:rsidRPr="009744FA" w:rsidRDefault="009744FA" w:rsidP="00F937AD">
      <w:pPr>
        <w:pStyle w:val="BodyText"/>
        <w:spacing w:before="200"/>
      </w:pPr>
      <w:r w:rsidRPr="009744FA">
        <w:t xml:space="preserve">The Commission has been </w:t>
      </w:r>
      <w:r w:rsidR="00656EE4">
        <w:t>asked</w:t>
      </w:r>
      <w:r w:rsidRPr="009744FA">
        <w:t xml:space="preserve"> to make findings on progress </w:t>
      </w:r>
      <w:r w:rsidR="00975E5A">
        <w:t>towards implementing the actions required under the Basin Plan</w:t>
      </w:r>
      <w:r w:rsidR="000208A9">
        <w:t xml:space="preserve">. </w:t>
      </w:r>
      <w:r w:rsidR="008E137C">
        <w:t>In particular, the Commission is</w:t>
      </w:r>
      <w:r w:rsidR="000208A9">
        <w:t xml:space="preserve"> to</w:t>
      </w:r>
      <w:r w:rsidR="00FA0099" w:rsidRPr="00FA0099">
        <w:t xml:space="preserve"> make recommendations on</w:t>
      </w:r>
      <w:r w:rsidRPr="009744FA">
        <w:t xml:space="preserve"> any actions required by the </w:t>
      </w:r>
      <w:r w:rsidR="005E28B1">
        <w:t>Australian Government</w:t>
      </w:r>
      <w:r w:rsidRPr="009744FA">
        <w:t xml:space="preserve"> or Basin </w:t>
      </w:r>
      <w:r w:rsidR="00A00094">
        <w:t>S</w:t>
      </w:r>
      <w:r w:rsidR="00FA0099" w:rsidRPr="00FA0099">
        <w:t>tates</w:t>
      </w:r>
      <w:r w:rsidRPr="009744FA">
        <w:t xml:space="preserve"> to ensure timely implementation of </w:t>
      </w:r>
      <w:r w:rsidR="000208A9">
        <w:t>the Basin Plan</w:t>
      </w:r>
      <w:r w:rsidRPr="009744FA">
        <w:t xml:space="preserve"> and </w:t>
      </w:r>
      <w:r w:rsidR="000208A9">
        <w:t xml:space="preserve">the </w:t>
      </w:r>
      <w:r w:rsidRPr="009744FA">
        <w:t xml:space="preserve">effective achievement of </w:t>
      </w:r>
      <w:r w:rsidR="000208A9">
        <w:t xml:space="preserve">its intended </w:t>
      </w:r>
      <w:r w:rsidRPr="009744FA">
        <w:t>outcomes</w:t>
      </w:r>
      <w:r w:rsidR="00975E5A" w:rsidRPr="009744FA">
        <w:t>.</w:t>
      </w:r>
      <w:r w:rsidR="008D51AC">
        <w:t xml:space="preserve"> </w:t>
      </w:r>
      <w:r w:rsidRPr="009744FA">
        <w:t>The scope of the inquiry does not extend to considering changes to the water recovery and other targets set by governments as part of the Basin Plan</w:t>
      </w:r>
      <w:r w:rsidR="00FA0099" w:rsidRPr="00FA0099">
        <w:t>.</w:t>
      </w:r>
    </w:p>
    <w:p w:rsidR="00F86ECC" w:rsidRDefault="00DE36BD" w:rsidP="00F937AD">
      <w:pPr>
        <w:spacing w:before="200" w:line="300" w:lineRule="atLeast"/>
        <w:jc w:val="both"/>
      </w:pPr>
      <w:r>
        <w:t xml:space="preserve">In undertaking the </w:t>
      </w:r>
      <w:r w:rsidR="005E28B1">
        <w:t>inquiry</w:t>
      </w:r>
      <w:r>
        <w:t>, the Commission will consider a number of</w:t>
      </w:r>
      <w:r w:rsidR="001A61F8">
        <w:t xml:space="preserve"> other reviews and audits of the Basin Plan, including those </w:t>
      </w:r>
      <w:r w:rsidR="00466AB7">
        <w:t>in response to allegations of water theft in the Basin</w:t>
      </w:r>
      <w:r w:rsidR="009654AC">
        <w:t xml:space="preserve"> that</w:t>
      </w:r>
      <w:r w:rsidR="00011BFE">
        <w:t xml:space="preserve"> have been completed or are ongoing. </w:t>
      </w:r>
      <w:r w:rsidR="00DA6DE3">
        <w:t>In accordance with</w:t>
      </w:r>
      <w:r w:rsidR="000208A9">
        <w:t xml:space="preserve"> the Water Act</w:t>
      </w:r>
      <w:r w:rsidR="00F86ECC">
        <w:t>,</w:t>
      </w:r>
      <w:r w:rsidR="00DA6DE3" w:rsidRPr="00DD0A91">
        <w:t xml:space="preserve"> the </w:t>
      </w:r>
      <w:r w:rsidR="00DA6DE3" w:rsidRPr="009744FA">
        <w:t>Commission will consult widely</w:t>
      </w:r>
      <w:r w:rsidR="00DA6DE3">
        <w:t xml:space="preserve"> including with stakeholders with interests from agriculture, industry and the environment, and Indigenous groups </w:t>
      </w:r>
      <w:r w:rsidR="00DA6DE3" w:rsidRPr="009744FA">
        <w:t>through submissions and public hearings.</w:t>
      </w:r>
      <w:r w:rsidR="00DA6DE3">
        <w:t xml:space="preserve"> </w:t>
      </w:r>
      <w:r w:rsidR="00F86ECC">
        <w:t xml:space="preserve">The Commission will </w:t>
      </w:r>
      <w:r w:rsidR="007B1C7B">
        <w:t>listen to different perspectives through visits to</w:t>
      </w:r>
      <w:r w:rsidR="00F86ECC">
        <w:t xml:space="preserve"> a number of regional communities in the Basin prior to publication of the draft report. Details of these regional visits can be found on </w:t>
      </w:r>
      <w:r w:rsidR="00F86ECC" w:rsidRPr="009744FA">
        <w:t xml:space="preserve">the inquiry </w:t>
      </w:r>
      <w:proofErr w:type="spellStart"/>
      <w:r w:rsidR="00F86ECC" w:rsidRPr="009744FA">
        <w:t>webpage</w:t>
      </w:r>
      <w:proofErr w:type="spellEnd"/>
      <w:r w:rsidR="00F86ECC">
        <w:t>.</w:t>
      </w:r>
    </w:p>
    <w:p w:rsidR="00DA6DE3" w:rsidRPr="009744FA" w:rsidRDefault="00DA6DE3" w:rsidP="00F937AD">
      <w:pPr>
        <w:pStyle w:val="BodyText"/>
        <w:spacing w:before="200"/>
      </w:pPr>
      <w:r>
        <w:t>In addition, a</w:t>
      </w:r>
      <w:r w:rsidRPr="009744FA">
        <w:t xml:space="preserve"> stakeholder working group will be established. The purpose of the working group is to provide a consultation forum to exchange information and views on issues relevant to </w:t>
      </w:r>
      <w:r w:rsidR="00D1045C">
        <w:t>the</w:t>
      </w:r>
      <w:r w:rsidR="00D1045C" w:rsidRPr="009744FA">
        <w:t xml:space="preserve"> </w:t>
      </w:r>
      <w:r w:rsidRPr="009744FA">
        <w:t xml:space="preserve">inquiry. </w:t>
      </w:r>
      <w:r w:rsidR="006E7574" w:rsidRPr="009744FA">
        <w:t xml:space="preserve">Membership of the stakeholder working group can be found on the inquiry </w:t>
      </w:r>
      <w:proofErr w:type="spellStart"/>
      <w:r w:rsidR="006E7574" w:rsidRPr="009744FA">
        <w:t>webpage</w:t>
      </w:r>
      <w:proofErr w:type="spellEnd"/>
      <w:r w:rsidR="006E7574" w:rsidRPr="009744FA">
        <w:t>.</w:t>
      </w:r>
    </w:p>
    <w:p w:rsidR="009744FA" w:rsidRPr="009744FA" w:rsidRDefault="009744FA" w:rsidP="00F937AD">
      <w:pPr>
        <w:spacing w:before="200" w:line="300" w:lineRule="atLeast"/>
        <w:jc w:val="both"/>
      </w:pPr>
      <w:r w:rsidRPr="009744FA">
        <w:t>The Commission encourages submissions on issues relevant to the inquiry’s terms of reference. As a guide to preparing submissions, this issues paper outlines what the Commission sees as the material and relevant issues; it also contains a number of questions. It is not a requirement that participants answer all the questions nor limit their submissions to the questions raised.</w:t>
      </w:r>
      <w:r w:rsidR="00F86ECC">
        <w:t xml:space="preserve"> </w:t>
      </w:r>
    </w:p>
    <w:p w:rsidR="002D32EA" w:rsidRPr="004C212E" w:rsidRDefault="009744FA" w:rsidP="00F937AD">
      <w:pPr>
        <w:pStyle w:val="BodyText"/>
        <w:spacing w:before="200"/>
      </w:pPr>
      <w:r w:rsidRPr="004C212E">
        <w:t xml:space="preserve">Initial submissions should be provided to the Commission by </w:t>
      </w:r>
      <w:r w:rsidR="00F35185">
        <w:t xml:space="preserve">19 April 2018. </w:t>
      </w:r>
      <w:r w:rsidRPr="009744FA">
        <w:t>Attachment </w:t>
      </w:r>
      <w:r w:rsidR="00F35185">
        <w:t>B</w:t>
      </w:r>
      <w:r w:rsidRPr="009744FA">
        <w:t xml:space="preserve"> provides further details on how to make a submission. There will be opportunities to make further submissions following the public release of the draft report in </w:t>
      </w:r>
      <w:r w:rsidR="001877B3" w:rsidRPr="001877B3">
        <w:t>August</w:t>
      </w:r>
      <w:r w:rsidR="006B7935">
        <w:t xml:space="preserve"> 2018</w:t>
      </w:r>
      <w:r w:rsidRPr="009744FA">
        <w:t>. Key dates for the inquiry are set out at the front of this issues paper.</w:t>
      </w:r>
      <w:bookmarkStart w:id="17" w:name="_Ref506898838"/>
    </w:p>
    <w:p w:rsidR="009744FA" w:rsidRDefault="00E120C7" w:rsidP="00D63D79">
      <w:pPr>
        <w:pStyle w:val="Heading2"/>
      </w:pPr>
      <w:bookmarkStart w:id="18" w:name="_Toc506967717"/>
      <w:bookmarkStart w:id="19" w:name="_Toc506967934"/>
      <w:bookmarkStart w:id="20" w:name="_Toc506968433"/>
      <w:bookmarkStart w:id="21" w:name="_Toc506968469"/>
      <w:bookmarkStart w:id="22" w:name="_Toc506968736"/>
      <w:bookmarkStart w:id="23" w:name="_Toc506968781"/>
      <w:bookmarkStart w:id="24" w:name="_Toc506968842"/>
      <w:bookmarkStart w:id="25" w:name="_Toc506968932"/>
      <w:bookmarkStart w:id="26" w:name="_Toc508287771"/>
      <w:bookmarkStart w:id="27" w:name="_Toc508289808"/>
      <w:r>
        <w:rPr>
          <w:noProof/>
        </w:rPr>
        <w:lastRenderedPageBreak/>
        <w:t>2</w:t>
      </w:r>
      <w:r w:rsidR="00693A0C" w:rsidRPr="00D204A4">
        <w:tab/>
      </w:r>
      <w:r w:rsidR="00CE38AB">
        <w:t>Resetting the balance</w:t>
      </w:r>
      <w:r w:rsidR="009744FA" w:rsidRPr="009744FA">
        <w:t xml:space="preserve"> in the Basin</w:t>
      </w:r>
      <w:bookmarkEnd w:id="17"/>
      <w:bookmarkEnd w:id="18"/>
      <w:bookmarkEnd w:id="19"/>
      <w:bookmarkEnd w:id="20"/>
      <w:bookmarkEnd w:id="21"/>
      <w:bookmarkEnd w:id="22"/>
      <w:bookmarkEnd w:id="23"/>
      <w:bookmarkEnd w:id="24"/>
      <w:bookmarkEnd w:id="25"/>
      <w:bookmarkEnd w:id="26"/>
      <w:bookmarkEnd w:id="27"/>
    </w:p>
    <w:bookmarkEnd w:id="13"/>
    <w:bookmarkEnd w:id="14"/>
    <w:bookmarkEnd w:id="15"/>
    <w:bookmarkEnd w:id="16"/>
    <w:p w:rsidR="00401FC2" w:rsidRPr="00401FC2" w:rsidRDefault="00401FC2" w:rsidP="00F937AD">
      <w:pPr>
        <w:pStyle w:val="BodyText"/>
        <w:spacing w:before="200"/>
      </w:pPr>
      <w:r w:rsidRPr="00401FC2">
        <w:t>The Basin includes significant areas of inland New South Wales, Victoria, and the ACT, and parts of Queensland and South Australia</w:t>
      </w:r>
      <w:r w:rsidR="000D7901">
        <w:t>.</w:t>
      </w:r>
      <w:r w:rsidRPr="00401FC2">
        <w:t xml:space="preserve"> In the past, it was managed </w:t>
      </w:r>
      <w:r w:rsidR="00055ED5">
        <w:t xml:space="preserve">under state legislation with issues of common concern addressed </w:t>
      </w:r>
      <w:r w:rsidRPr="00401FC2">
        <w:t xml:space="preserve">through a formalised agreement between these jurisdictions and the </w:t>
      </w:r>
      <w:r w:rsidR="003421C0">
        <w:t>Australian</w:t>
      </w:r>
      <w:r w:rsidR="003421C0" w:rsidRPr="00401FC2">
        <w:t xml:space="preserve"> </w:t>
      </w:r>
      <w:r w:rsidR="0078346D">
        <w:t>G</w:t>
      </w:r>
      <w:r w:rsidR="0078346D" w:rsidRPr="00401FC2">
        <w:t xml:space="preserve">overnment </w:t>
      </w:r>
      <w:r w:rsidRPr="00401FC2">
        <w:t xml:space="preserve">– the </w:t>
      </w:r>
      <w:r w:rsidR="000E7C99" w:rsidRPr="00401FC2">
        <w:t>Murray</w:t>
      </w:r>
      <w:r w:rsidR="00B37F8F">
        <w:noBreakHyphen/>
      </w:r>
      <w:r w:rsidRPr="00401FC2">
        <w:t>Darling Basin Agreement</w:t>
      </w:r>
      <w:r w:rsidR="00BF0443">
        <w:t xml:space="preserve"> (</w:t>
      </w:r>
      <w:proofErr w:type="spellStart"/>
      <w:r w:rsidR="00BF0443">
        <w:t>MDB</w:t>
      </w:r>
      <w:proofErr w:type="spellEnd"/>
      <w:r w:rsidR="00BF0443">
        <w:t xml:space="preserve"> Agreement)</w:t>
      </w:r>
      <w:r w:rsidR="003421C0">
        <w:t>. Th</w:t>
      </w:r>
      <w:r w:rsidR="00BF0443">
        <w:t xml:space="preserve">e </w:t>
      </w:r>
      <w:proofErr w:type="spellStart"/>
      <w:r w:rsidR="00BF0443">
        <w:t>MDB</w:t>
      </w:r>
      <w:proofErr w:type="spellEnd"/>
      <w:r w:rsidR="00BF0443">
        <w:t xml:space="preserve"> Agreement</w:t>
      </w:r>
      <w:r w:rsidR="003421C0">
        <w:t xml:space="preserve"> set out arrangements</w:t>
      </w:r>
      <w:r w:rsidRPr="00401FC2">
        <w:t xml:space="preserve"> for water sharing</w:t>
      </w:r>
      <w:r w:rsidR="00055ED5">
        <w:t xml:space="preserve"> between states</w:t>
      </w:r>
      <w:r w:rsidRPr="00401FC2">
        <w:t>, river operations and other matters of common interest.</w:t>
      </w:r>
      <w:r w:rsidRPr="00401FC2" w:rsidDel="003421C0">
        <w:t xml:space="preserve"> </w:t>
      </w:r>
      <w:r w:rsidR="007A2E6C">
        <w:t>T</w:t>
      </w:r>
      <w:r w:rsidRPr="00401FC2">
        <w:t>he Agreement</w:t>
      </w:r>
      <w:r w:rsidR="008C47E3">
        <w:t xml:space="preserve"> was based on a</w:t>
      </w:r>
      <w:r w:rsidRPr="00401FC2" w:rsidDel="007A2E6C">
        <w:t xml:space="preserve"> </w:t>
      </w:r>
      <w:r w:rsidRPr="00401FC2">
        <w:t>consensus decision</w:t>
      </w:r>
      <w:r w:rsidR="00B37F8F">
        <w:noBreakHyphen/>
      </w:r>
      <w:r w:rsidRPr="00401FC2">
        <w:t xml:space="preserve">making model and, over time, </w:t>
      </w:r>
      <w:r w:rsidR="00611A11">
        <w:t xml:space="preserve">jurisdictions </w:t>
      </w:r>
      <w:r w:rsidRPr="00401FC2">
        <w:t>collectively made a number of significant reforms</w:t>
      </w:r>
      <w:r w:rsidR="00B02A12">
        <w:t>,</w:t>
      </w:r>
      <w:r w:rsidRPr="00401FC2">
        <w:t xml:space="preserve"> including</w:t>
      </w:r>
      <w:r w:rsidR="00B02A12">
        <w:t>:</w:t>
      </w:r>
    </w:p>
    <w:p w:rsidR="00401FC2" w:rsidRPr="00401FC2" w:rsidRDefault="00401FC2" w:rsidP="00C37B8E">
      <w:pPr>
        <w:pStyle w:val="ListBullet"/>
      </w:pPr>
      <w:r w:rsidRPr="00401FC2">
        <w:t>managing salinity</w:t>
      </w:r>
      <w:r w:rsidR="009A726F">
        <w:t>,</w:t>
      </w:r>
      <w:r w:rsidRPr="00401FC2">
        <w:t xml:space="preserve"> with the first strategy agreed in 1985</w:t>
      </w:r>
    </w:p>
    <w:p w:rsidR="00401FC2" w:rsidRPr="00401FC2" w:rsidRDefault="00401FC2" w:rsidP="00C37B8E">
      <w:pPr>
        <w:pStyle w:val="ListBullet"/>
      </w:pPr>
      <w:r w:rsidRPr="00401FC2">
        <w:t>capping water extractions across the Basin in 1995</w:t>
      </w:r>
    </w:p>
    <w:p w:rsidR="00401FC2" w:rsidRPr="00401FC2" w:rsidRDefault="00401FC2" w:rsidP="00C37B8E">
      <w:pPr>
        <w:pStyle w:val="ListBullet"/>
      </w:pPr>
      <w:r w:rsidRPr="00401FC2">
        <w:t>improving environmental flows in the River Murray through The Living Murray program</w:t>
      </w:r>
      <w:r w:rsidR="00B71553">
        <w:t>,</w:t>
      </w:r>
      <w:r w:rsidRPr="00401FC2">
        <w:t xml:space="preserve"> which recovered 500</w:t>
      </w:r>
      <w:r w:rsidR="00B02A12">
        <w:t> </w:t>
      </w:r>
      <w:r w:rsidRPr="00401FC2">
        <w:t xml:space="preserve">GL of water for the environment and built environmental works along the </w:t>
      </w:r>
      <w:r w:rsidR="009A726F">
        <w:t xml:space="preserve">River </w:t>
      </w:r>
      <w:r w:rsidRPr="00401FC2">
        <w:t>Murray</w:t>
      </w:r>
      <w:r w:rsidR="00B02A12">
        <w:t>.</w:t>
      </w:r>
    </w:p>
    <w:p w:rsidR="00401FC2" w:rsidRPr="00401FC2" w:rsidRDefault="00401FC2" w:rsidP="00F937AD">
      <w:pPr>
        <w:pStyle w:val="BodyText"/>
        <w:spacing w:before="200"/>
      </w:pPr>
      <w:r w:rsidRPr="00401FC2">
        <w:t xml:space="preserve">However, </w:t>
      </w:r>
      <w:r w:rsidR="000208A9">
        <w:t>the consensus</w:t>
      </w:r>
      <w:r w:rsidR="00B37F8F">
        <w:noBreakHyphen/>
      </w:r>
      <w:r w:rsidR="000208A9">
        <w:t>based</w:t>
      </w:r>
      <w:r w:rsidR="000208A9" w:rsidRPr="00401FC2" w:rsidDel="000318CC">
        <w:t xml:space="preserve"> </w:t>
      </w:r>
      <w:r w:rsidR="000318CC">
        <w:t>approach to managing the Basin</w:t>
      </w:r>
      <w:r w:rsidRPr="00401FC2">
        <w:t xml:space="preserve"> </w:t>
      </w:r>
      <w:r w:rsidR="000318CC">
        <w:t xml:space="preserve">was </w:t>
      </w:r>
      <w:r w:rsidRPr="00401FC2">
        <w:t xml:space="preserve">challenged in the later years of the Millennium Drought (1997 </w:t>
      </w:r>
      <w:r w:rsidR="00710F8B">
        <w:t>to</w:t>
      </w:r>
      <w:r w:rsidRPr="00401FC2" w:rsidDel="00710F8B">
        <w:t xml:space="preserve"> </w:t>
      </w:r>
      <w:r w:rsidRPr="00401FC2">
        <w:t xml:space="preserve">2009). </w:t>
      </w:r>
      <w:r w:rsidR="007B1C7B">
        <w:t>In 2006,</w:t>
      </w:r>
      <w:r w:rsidRPr="00401FC2">
        <w:t xml:space="preserve"> </w:t>
      </w:r>
      <w:r w:rsidR="007B1C7B">
        <w:t xml:space="preserve">the lowest </w:t>
      </w:r>
      <w:r w:rsidRPr="00401FC2">
        <w:t>inflows to the River Murray system</w:t>
      </w:r>
      <w:r w:rsidR="007B1C7B">
        <w:t xml:space="preserve"> were recorded</w:t>
      </w:r>
      <w:r w:rsidRPr="00401FC2">
        <w:t xml:space="preserve">, causing significant risk to the drinking water supplies of towns and cities that relied on the river and imminent risk of widespread and irreversible acidification of the Lower Lakes at the end of the river system. This triggered the </w:t>
      </w:r>
      <w:r w:rsidR="00B07F08">
        <w:t>Australian</w:t>
      </w:r>
      <w:r w:rsidR="00B07F08" w:rsidRPr="00401FC2">
        <w:t xml:space="preserve"> </w:t>
      </w:r>
      <w:r w:rsidRPr="00401FC2">
        <w:t xml:space="preserve">Government to intervene in </w:t>
      </w:r>
      <w:r w:rsidR="005F43CD">
        <w:t xml:space="preserve">the </w:t>
      </w:r>
      <w:r w:rsidRPr="00401FC2">
        <w:t xml:space="preserve">management of the Basin with a comprehensive initiative to reset the balance between environmental and consumptive </w:t>
      </w:r>
      <w:r w:rsidR="00055ED5">
        <w:t xml:space="preserve">water </w:t>
      </w:r>
      <w:r w:rsidRPr="00401FC2">
        <w:t xml:space="preserve">use and </w:t>
      </w:r>
      <w:r w:rsidR="006824A5">
        <w:t xml:space="preserve">to </w:t>
      </w:r>
      <w:r w:rsidRPr="00401FC2">
        <w:t>establish a long</w:t>
      </w:r>
      <w:r w:rsidR="00B37F8F">
        <w:noBreakHyphen/>
      </w:r>
      <w:r w:rsidRPr="00401FC2">
        <w:t>term</w:t>
      </w:r>
      <w:r w:rsidR="000C50D6">
        <w:t xml:space="preserve"> and</w:t>
      </w:r>
      <w:r w:rsidR="000C50D6" w:rsidRPr="00401FC2">
        <w:t xml:space="preserve"> </w:t>
      </w:r>
      <w:r w:rsidRPr="00401FC2">
        <w:t>sustainable water management system for the Basin overall.</w:t>
      </w:r>
    </w:p>
    <w:p w:rsidR="00401FC2" w:rsidRPr="00401FC2" w:rsidRDefault="00B07F08" w:rsidP="00F937AD">
      <w:pPr>
        <w:pStyle w:val="BodyText"/>
        <w:spacing w:before="200"/>
      </w:pPr>
      <w:r>
        <w:t>The</w:t>
      </w:r>
      <w:r w:rsidRPr="00401FC2">
        <w:t xml:space="preserve"> </w:t>
      </w:r>
      <w:r w:rsidR="00446DF1">
        <w:t xml:space="preserve">Australian Government’s </w:t>
      </w:r>
      <w:r w:rsidR="003D5101">
        <w:t>initiative</w:t>
      </w:r>
      <w:r w:rsidR="00446DF1" w:rsidRPr="00401FC2">
        <w:t xml:space="preserve"> </w:t>
      </w:r>
      <w:r w:rsidR="00401FC2" w:rsidRPr="00401FC2">
        <w:t>in</w:t>
      </w:r>
      <w:r w:rsidR="00E1451B">
        <w:t>cluded:</w:t>
      </w:r>
    </w:p>
    <w:p w:rsidR="00401FC2" w:rsidRPr="00401FC2" w:rsidRDefault="00401FC2" w:rsidP="00C37B8E">
      <w:pPr>
        <w:pStyle w:val="ListBullet"/>
      </w:pPr>
      <w:r w:rsidRPr="00401FC2">
        <w:t xml:space="preserve">Commonwealth legislation – the </w:t>
      </w:r>
      <w:r w:rsidRPr="00F35185">
        <w:rPr>
          <w:i/>
        </w:rPr>
        <w:t>Water Act</w:t>
      </w:r>
      <w:r w:rsidRPr="00F35185" w:rsidDel="00172CA4">
        <w:rPr>
          <w:i/>
        </w:rPr>
        <w:t xml:space="preserve"> 2007</w:t>
      </w:r>
    </w:p>
    <w:p w:rsidR="00401FC2" w:rsidRPr="00401FC2" w:rsidRDefault="00B70A34" w:rsidP="00C37B8E">
      <w:pPr>
        <w:pStyle w:val="ListBullet"/>
      </w:pPr>
      <w:r>
        <w:t>a</w:t>
      </w:r>
      <w:r w:rsidRPr="00401FC2">
        <w:t xml:space="preserve"> </w:t>
      </w:r>
      <w:r w:rsidR="004D2F81">
        <w:t>shift</w:t>
      </w:r>
      <w:r w:rsidR="00401FC2" w:rsidRPr="00401FC2">
        <w:t xml:space="preserve"> from the model of consensus decision</w:t>
      </w:r>
      <w:r w:rsidR="00B37F8F">
        <w:noBreakHyphen/>
      </w:r>
      <w:r w:rsidR="00401FC2" w:rsidRPr="00401FC2">
        <w:t xml:space="preserve">making to </w:t>
      </w:r>
      <w:r w:rsidR="004D2F81">
        <w:t>one</w:t>
      </w:r>
      <w:r w:rsidR="00401FC2" w:rsidRPr="00401FC2">
        <w:t xml:space="preserve"> </w:t>
      </w:r>
      <w:r w:rsidR="00401FC2" w:rsidRPr="00401FC2" w:rsidDel="00B13A76">
        <w:t xml:space="preserve">where the </w:t>
      </w:r>
      <w:r w:rsidR="00B13A76">
        <w:t>Australian</w:t>
      </w:r>
      <w:r w:rsidR="00B13A76" w:rsidRPr="00401FC2">
        <w:t xml:space="preserve"> </w:t>
      </w:r>
      <w:r w:rsidR="00401FC2" w:rsidRPr="00401FC2">
        <w:t xml:space="preserve">Government </w:t>
      </w:r>
      <w:r w:rsidR="0036544D">
        <w:t>was</w:t>
      </w:r>
      <w:r w:rsidR="00E028EE">
        <w:t xml:space="preserve"> </w:t>
      </w:r>
      <w:r w:rsidR="00B13A76">
        <w:t>responsible for determining a maximum level of extraction for consumptive use</w:t>
      </w:r>
      <w:r w:rsidR="00A16153">
        <w:t xml:space="preserve"> </w:t>
      </w:r>
      <w:r w:rsidR="00B96278">
        <w:t xml:space="preserve">— the </w:t>
      </w:r>
      <w:proofErr w:type="spellStart"/>
      <w:r w:rsidR="00B71553">
        <w:t>SDL</w:t>
      </w:r>
      <w:proofErr w:type="spellEnd"/>
      <w:r w:rsidR="00401FC2" w:rsidRPr="00401FC2">
        <w:t xml:space="preserve"> </w:t>
      </w:r>
      <w:r w:rsidR="00B96278">
        <w:t xml:space="preserve">— </w:t>
      </w:r>
      <w:r w:rsidR="00E24260">
        <w:t xml:space="preserve">with </w:t>
      </w:r>
      <w:r w:rsidR="007660E1">
        <w:t>which Basin</w:t>
      </w:r>
      <w:r w:rsidR="00401FC2" w:rsidRPr="00401FC2">
        <w:t xml:space="preserve"> </w:t>
      </w:r>
      <w:r w:rsidR="00F51C36">
        <w:t>S</w:t>
      </w:r>
      <w:r w:rsidR="00F51C36" w:rsidRPr="00401FC2">
        <w:t xml:space="preserve">tates </w:t>
      </w:r>
      <w:r w:rsidR="00401FC2" w:rsidRPr="00401FC2">
        <w:t>are required to comply</w:t>
      </w:r>
    </w:p>
    <w:p w:rsidR="00401FC2" w:rsidRPr="00401FC2" w:rsidRDefault="00331F3B" w:rsidP="00C37B8E">
      <w:pPr>
        <w:pStyle w:val="ListBullet"/>
      </w:pPr>
      <w:r>
        <w:t>developing</w:t>
      </w:r>
      <w:r w:rsidR="00401FC2" w:rsidRPr="00401FC2">
        <w:t xml:space="preserve"> the Basin Plan </w:t>
      </w:r>
      <w:r w:rsidR="00B13A76">
        <w:t xml:space="preserve">to </w:t>
      </w:r>
      <w:r w:rsidR="00401FC2" w:rsidRPr="00401FC2">
        <w:t>set a new, lower</w:t>
      </w:r>
      <w:r w:rsidR="006575F9">
        <w:t>,</w:t>
      </w:r>
      <w:r w:rsidR="00401FC2" w:rsidRPr="00401FC2">
        <w:t xml:space="preserve"> </w:t>
      </w:r>
      <w:proofErr w:type="spellStart"/>
      <w:r w:rsidR="00401FC2" w:rsidRPr="00401FC2">
        <w:t>SDL</w:t>
      </w:r>
      <w:proofErr w:type="spellEnd"/>
      <w:r w:rsidR="00275B8A">
        <w:t>,</w:t>
      </w:r>
      <w:r w:rsidR="00401FC2" w:rsidRPr="00401FC2">
        <w:t xml:space="preserve"> and the framework for the sustainable management of water resources across the Basin</w:t>
      </w:r>
    </w:p>
    <w:p w:rsidR="00401FC2" w:rsidRPr="00401FC2" w:rsidRDefault="003F1193" w:rsidP="00C37B8E">
      <w:pPr>
        <w:pStyle w:val="ListBullet"/>
      </w:pPr>
      <w:r>
        <w:t>creating</w:t>
      </w:r>
      <w:r w:rsidR="00401FC2" w:rsidRPr="00401FC2">
        <w:t xml:space="preserve"> a new independent </w:t>
      </w:r>
      <w:r w:rsidR="005E28B1">
        <w:t>Australian Government</w:t>
      </w:r>
      <w:r w:rsidR="00401FC2" w:rsidRPr="00401FC2">
        <w:t xml:space="preserve"> agency</w:t>
      </w:r>
      <w:r w:rsidR="007C1766">
        <w:t xml:space="preserve"> (the </w:t>
      </w:r>
      <w:proofErr w:type="spellStart"/>
      <w:r w:rsidR="000D7901">
        <w:t>MDBA</w:t>
      </w:r>
      <w:proofErr w:type="spellEnd"/>
      <w:r w:rsidR="007C1766">
        <w:t>)</w:t>
      </w:r>
      <w:r w:rsidR="00401FC2" w:rsidRPr="00401FC2">
        <w:t xml:space="preserve"> to develop and over</w:t>
      </w:r>
      <w:r w:rsidR="009279A4">
        <w:t>see</w:t>
      </w:r>
      <w:r w:rsidR="00401FC2" w:rsidRPr="00401FC2">
        <w:t xml:space="preserve"> the Basin Plan</w:t>
      </w:r>
    </w:p>
    <w:p w:rsidR="00401FC2" w:rsidRPr="00401FC2" w:rsidRDefault="00DA4BC5" w:rsidP="00C37B8E">
      <w:pPr>
        <w:pStyle w:val="ListBullet"/>
      </w:pPr>
      <w:r>
        <w:t>providing</w:t>
      </w:r>
      <w:r w:rsidR="00401FC2" w:rsidRPr="00401FC2">
        <w:t xml:space="preserve"> </w:t>
      </w:r>
      <w:r w:rsidR="00460598">
        <w:t>approximately</w:t>
      </w:r>
      <w:r w:rsidR="00390470">
        <w:t xml:space="preserve"> </w:t>
      </w:r>
      <w:r w:rsidR="00401FC2" w:rsidRPr="00401FC2">
        <w:t>$13</w:t>
      </w:r>
      <w:r w:rsidR="00E8729E">
        <w:t> </w:t>
      </w:r>
      <w:r w:rsidR="00446DF1">
        <w:t>billion</w:t>
      </w:r>
      <w:r w:rsidR="00401FC2" w:rsidRPr="00401FC2">
        <w:t xml:space="preserve"> to recover enough water </w:t>
      </w:r>
      <w:r w:rsidR="00B3637C">
        <w:t xml:space="preserve">from consumptive use </w:t>
      </w:r>
      <w:r w:rsidR="00401FC2" w:rsidRPr="00401FC2">
        <w:t xml:space="preserve">to achieve the new </w:t>
      </w:r>
      <w:proofErr w:type="spellStart"/>
      <w:r w:rsidR="00401FC2" w:rsidRPr="00401FC2">
        <w:t>SDL</w:t>
      </w:r>
      <w:proofErr w:type="spellEnd"/>
      <w:r w:rsidR="00401FC2" w:rsidRPr="00401FC2">
        <w:t xml:space="preserve"> whilst minimising the socioeconomic impact on irrigators and communities</w:t>
      </w:r>
      <w:r w:rsidR="006542A8" w:rsidRPr="009A5FC0">
        <w:t>,</w:t>
      </w:r>
      <w:r w:rsidR="00401FC2" w:rsidRPr="00401FC2">
        <w:t xml:space="preserve"> and </w:t>
      </w:r>
      <w:r w:rsidR="00BE3E92">
        <w:t>to implement sustainable water management across the Basin</w:t>
      </w:r>
    </w:p>
    <w:p w:rsidR="00401FC2" w:rsidRPr="00401FC2" w:rsidRDefault="008D0013" w:rsidP="00C37B8E">
      <w:pPr>
        <w:pStyle w:val="ListBullet"/>
      </w:pPr>
      <w:r>
        <w:t>creating</w:t>
      </w:r>
      <w:r w:rsidR="00401FC2" w:rsidRPr="00401FC2">
        <w:t xml:space="preserve"> a Commonwealth Environmental Water Holder </w:t>
      </w:r>
      <w:r w:rsidR="00517D12">
        <w:t>(</w:t>
      </w:r>
      <w:proofErr w:type="spellStart"/>
      <w:r w:rsidR="00517D12">
        <w:t>CEWH</w:t>
      </w:r>
      <w:proofErr w:type="spellEnd"/>
      <w:r w:rsidR="00517D12">
        <w:t xml:space="preserve">) </w:t>
      </w:r>
      <w:r w:rsidR="00401FC2" w:rsidRPr="00401FC2">
        <w:t>to manage water recovered for the environment</w:t>
      </w:r>
      <w:r w:rsidR="008C5704">
        <w:t>.</w:t>
      </w:r>
    </w:p>
    <w:p w:rsidR="00401FC2" w:rsidRPr="00401FC2" w:rsidRDefault="00401FC2" w:rsidP="00F937AD">
      <w:pPr>
        <w:pStyle w:val="BodyText"/>
        <w:spacing w:before="200"/>
      </w:pPr>
      <w:r w:rsidRPr="00401FC2">
        <w:t xml:space="preserve">The </w:t>
      </w:r>
      <w:r w:rsidR="0040133F">
        <w:t xml:space="preserve">new </w:t>
      </w:r>
      <w:r w:rsidR="000F2D70">
        <w:t>approach was</w:t>
      </w:r>
      <w:r w:rsidRPr="00401FC2">
        <w:t xml:space="preserve"> ultimately agreed by all </w:t>
      </w:r>
      <w:r w:rsidR="00B3637C">
        <w:t>Basin</w:t>
      </w:r>
      <w:r w:rsidRPr="00401FC2">
        <w:t xml:space="preserve"> </w:t>
      </w:r>
      <w:r w:rsidR="00B3637C">
        <w:t>S</w:t>
      </w:r>
      <w:r w:rsidRPr="00401FC2">
        <w:t>tates</w:t>
      </w:r>
      <w:r w:rsidR="00A96582">
        <w:t xml:space="preserve"> who </w:t>
      </w:r>
      <w:r w:rsidR="00DB60A6">
        <w:t xml:space="preserve">passed </w:t>
      </w:r>
      <w:r w:rsidR="00B05B80">
        <w:t>l</w:t>
      </w:r>
      <w:r w:rsidR="00DB4765">
        <w:t xml:space="preserve">egislation that </w:t>
      </w:r>
      <w:r w:rsidR="00B05B80">
        <w:t xml:space="preserve">referred </w:t>
      </w:r>
      <w:r w:rsidR="00A96582">
        <w:t xml:space="preserve">some </w:t>
      </w:r>
      <w:r w:rsidR="00B05B80">
        <w:t xml:space="preserve">powers for water management functions, covered in the </w:t>
      </w:r>
      <w:proofErr w:type="spellStart"/>
      <w:r w:rsidR="00B05B80">
        <w:t>MDB</w:t>
      </w:r>
      <w:proofErr w:type="spellEnd"/>
      <w:r w:rsidR="00B05B80">
        <w:t xml:space="preserve"> Agreement, to </w:t>
      </w:r>
      <w:r w:rsidR="00B05B80">
        <w:lastRenderedPageBreak/>
        <w:t>the Commonwealth</w:t>
      </w:r>
      <w:r w:rsidRPr="00401FC2">
        <w:t xml:space="preserve">. In addition, the importance of the </w:t>
      </w:r>
      <w:proofErr w:type="spellStart"/>
      <w:r w:rsidRPr="00401FC2">
        <w:t>MDB</w:t>
      </w:r>
      <w:proofErr w:type="spellEnd"/>
      <w:r w:rsidRPr="00401FC2">
        <w:t xml:space="preserve"> Agreement was recognised and it was included in the Water Act.</w:t>
      </w:r>
      <w:r w:rsidR="00BD65A9">
        <w:t xml:space="preserve"> The Basin Plan </w:t>
      </w:r>
      <w:r w:rsidR="00275B8A">
        <w:t>became law</w:t>
      </w:r>
      <w:r w:rsidR="00F33687">
        <w:t xml:space="preserve"> </w:t>
      </w:r>
      <w:r w:rsidR="00BD65A9">
        <w:t>in 2012.</w:t>
      </w:r>
    </w:p>
    <w:p w:rsidR="009744FA" w:rsidRPr="009744FA" w:rsidRDefault="009744FA" w:rsidP="00E43A85">
      <w:pPr>
        <w:pStyle w:val="Heading3"/>
        <w:spacing w:before="480"/>
      </w:pPr>
      <w:r w:rsidRPr="009744FA">
        <w:t>The Basin Plan</w:t>
      </w:r>
    </w:p>
    <w:p w:rsidR="009A5575" w:rsidRDefault="009A5575" w:rsidP="00F937AD">
      <w:pPr>
        <w:pStyle w:val="BodyText"/>
        <w:spacing w:before="200"/>
      </w:pPr>
      <w:r w:rsidRPr="009A5575">
        <w:t>The Basin Plan provides the guidance and legal framework to reset the balance of water us</w:t>
      </w:r>
      <w:r>
        <w:t xml:space="preserve">e in the Basin. </w:t>
      </w:r>
      <w:r w:rsidRPr="009A5575">
        <w:t>It</w:t>
      </w:r>
      <w:r w:rsidR="00E71F7F" w:rsidDel="005128B8">
        <w:t xml:space="preserve"> </w:t>
      </w:r>
      <w:r w:rsidR="00BE3E92">
        <w:t>sets objectives for the Basin and establishes new, lower sustainable extraction limits to achieve th</w:t>
      </w:r>
      <w:r w:rsidR="00046602">
        <w:t>em</w:t>
      </w:r>
      <w:r w:rsidR="00BE3E92">
        <w:t>.</w:t>
      </w:r>
      <w:r w:rsidR="00B910FE">
        <w:t xml:space="preserve"> </w:t>
      </w:r>
      <w:r w:rsidRPr="009A5575">
        <w:t xml:space="preserve">It </w:t>
      </w:r>
      <w:r w:rsidR="00E71F7F">
        <w:t xml:space="preserve">outlines key </w:t>
      </w:r>
      <w:r w:rsidRPr="009A5575">
        <w:t xml:space="preserve">actions, decision making processes and timeframes that Governments are to adopt </w:t>
      </w:r>
      <w:r w:rsidR="00CC0157">
        <w:t>to implement</w:t>
      </w:r>
      <w:r w:rsidR="00BE3E92">
        <w:t xml:space="preserve"> the Plan</w:t>
      </w:r>
      <w:r w:rsidR="00E71F7F">
        <w:t>.</w:t>
      </w:r>
    </w:p>
    <w:p w:rsidR="00130D58" w:rsidRPr="00130D58" w:rsidRDefault="00660D75" w:rsidP="00F937AD">
      <w:pPr>
        <w:pStyle w:val="BodyText"/>
        <w:spacing w:before="200"/>
      </w:pPr>
      <w:r>
        <w:t>S</w:t>
      </w:r>
      <w:r w:rsidR="00130D58" w:rsidRPr="00130D58">
        <w:t>uccessful</w:t>
      </w:r>
      <w:r w:rsidR="005B79BC">
        <w:t xml:space="preserve"> </w:t>
      </w:r>
      <w:r w:rsidR="00130D58" w:rsidRPr="00130D58">
        <w:t xml:space="preserve">implementation </w:t>
      </w:r>
      <w:r>
        <w:t xml:space="preserve">of the Basin Plan </w:t>
      </w:r>
      <w:r w:rsidR="00CC0157">
        <w:t xml:space="preserve">also </w:t>
      </w:r>
      <w:r w:rsidR="00130D58" w:rsidRPr="00130D58">
        <w:t xml:space="preserve">depends on a range of </w:t>
      </w:r>
      <w:r w:rsidR="000000EA">
        <w:t>inter</w:t>
      </w:r>
      <w:r w:rsidR="00B37F8F">
        <w:noBreakHyphen/>
      </w:r>
      <w:r w:rsidR="000000EA">
        <w:t>related</w:t>
      </w:r>
      <w:r w:rsidR="00130D58" w:rsidRPr="00130D58">
        <w:t xml:space="preserve"> elements</w:t>
      </w:r>
      <w:r w:rsidR="00CC0157">
        <w:t xml:space="preserve"> </w:t>
      </w:r>
      <w:r w:rsidR="00325815">
        <w:t xml:space="preserve">to be </w:t>
      </w:r>
      <w:r w:rsidR="00CC0157">
        <w:t>delivered in conjunction with the Basin Plan</w:t>
      </w:r>
      <w:r w:rsidR="000000EA">
        <w:t>, including</w:t>
      </w:r>
      <w:r w:rsidR="004C547A">
        <w:t>:</w:t>
      </w:r>
    </w:p>
    <w:p w:rsidR="00130D58" w:rsidRPr="00130D58" w:rsidRDefault="00130D58" w:rsidP="00F937AD">
      <w:pPr>
        <w:pStyle w:val="ListBullet"/>
        <w:spacing w:before="100"/>
      </w:pPr>
      <w:r w:rsidRPr="00130D58">
        <w:t>water recovery programs</w:t>
      </w:r>
      <w:r w:rsidR="00E11CAB">
        <w:t>,</w:t>
      </w:r>
      <w:r w:rsidRPr="00130D58">
        <w:t xml:space="preserve"> where government is investing directly in water entitlements purchase or irrigation efficiencies to recover water entitlements for the environment and enable communities to transition to new extraction limits</w:t>
      </w:r>
    </w:p>
    <w:p w:rsidR="00130D58" w:rsidRPr="00130D58" w:rsidRDefault="00130D58" w:rsidP="00F937AD">
      <w:pPr>
        <w:pStyle w:val="ListBullet"/>
        <w:spacing w:before="100"/>
      </w:pPr>
      <w:r w:rsidRPr="00130D58">
        <w:t xml:space="preserve">structural adjustment programs aimed at assisting affected communities to adjust to reduced water availability as a result of the </w:t>
      </w:r>
      <w:r w:rsidR="00150B34">
        <w:t xml:space="preserve">Basin </w:t>
      </w:r>
      <w:r w:rsidRPr="00130D58">
        <w:t>Plan</w:t>
      </w:r>
    </w:p>
    <w:p w:rsidR="00130D58" w:rsidRPr="00130D58" w:rsidRDefault="00130D58" w:rsidP="00F937AD">
      <w:pPr>
        <w:pStyle w:val="ListBullet"/>
        <w:spacing w:before="100"/>
      </w:pPr>
      <w:r w:rsidRPr="00130D58">
        <w:t xml:space="preserve">environmental water management </w:t>
      </w:r>
      <w:r w:rsidR="00415385">
        <w:t>activities</w:t>
      </w:r>
      <w:r w:rsidRPr="00130D58">
        <w:t xml:space="preserve"> where environmental water holders work together to deploy environmental water and achieve the environmental objectives of the Plan</w:t>
      </w:r>
    </w:p>
    <w:p w:rsidR="00130D58" w:rsidRPr="00130D58" w:rsidRDefault="00130D58" w:rsidP="00F937AD">
      <w:pPr>
        <w:pStyle w:val="ListBullet"/>
        <w:spacing w:before="100"/>
      </w:pPr>
      <w:r w:rsidRPr="00130D58">
        <w:t xml:space="preserve">jurisdictions embedding key parts of the </w:t>
      </w:r>
      <w:r w:rsidR="006157DF">
        <w:t>P</w:t>
      </w:r>
      <w:r w:rsidRPr="00130D58">
        <w:t xml:space="preserve">lan in their normal water planning and management processes through </w:t>
      </w:r>
      <w:proofErr w:type="spellStart"/>
      <w:r w:rsidR="00B61D12">
        <w:t>WRPs</w:t>
      </w:r>
      <w:proofErr w:type="spellEnd"/>
      <w:r w:rsidR="004C547A">
        <w:t>.</w:t>
      </w:r>
    </w:p>
    <w:p w:rsidR="009744FA" w:rsidRDefault="00B65517" w:rsidP="00F937AD">
      <w:pPr>
        <w:spacing w:before="200" w:line="300" w:lineRule="atLeast"/>
        <w:jc w:val="both"/>
      </w:pPr>
      <w:r>
        <w:t>T</w:t>
      </w:r>
      <w:r w:rsidR="009744FA" w:rsidRPr="009744FA">
        <w:t xml:space="preserve">he </w:t>
      </w:r>
      <w:r w:rsidR="00C626BA">
        <w:t xml:space="preserve">key </w:t>
      </w:r>
      <w:r w:rsidR="00F9694B">
        <w:t>element</w:t>
      </w:r>
      <w:r w:rsidR="00C626BA">
        <w:t xml:space="preserve">s </w:t>
      </w:r>
      <w:r w:rsidR="005B79BC">
        <w:t xml:space="preserve">for </w:t>
      </w:r>
      <w:r w:rsidR="00A72049">
        <w:t>establishing and</w:t>
      </w:r>
      <w:r w:rsidR="00C626BA">
        <w:t xml:space="preserve"> implementing the Plan</w:t>
      </w:r>
      <w:r>
        <w:t xml:space="preserve"> are described in figure</w:t>
      </w:r>
      <w:r w:rsidR="00B37F8F">
        <w:t> </w:t>
      </w:r>
      <w:r>
        <w:t>1</w:t>
      </w:r>
      <w:r w:rsidR="00C626BA">
        <w:t xml:space="preserve">. </w:t>
      </w:r>
    </w:p>
    <w:p w:rsidR="006A1795" w:rsidRDefault="00D3152B" w:rsidP="00F937AD">
      <w:pPr>
        <w:spacing w:before="200" w:line="300" w:lineRule="atLeast"/>
        <w:jc w:val="both"/>
      </w:pPr>
      <w:r>
        <w:t>I</w:t>
      </w:r>
      <w:r w:rsidR="006A1795">
        <w:t>mplementation of the Basin Plan is a long</w:t>
      </w:r>
      <w:r w:rsidR="00B37F8F">
        <w:noBreakHyphen/>
      </w:r>
      <w:r w:rsidR="006A1795">
        <w:t xml:space="preserve">term undertaking requiring communities and institutions to adapt to </w:t>
      </w:r>
      <w:r w:rsidR="00D92034">
        <w:t xml:space="preserve">the </w:t>
      </w:r>
      <w:r w:rsidR="006A1795">
        <w:t xml:space="preserve">new </w:t>
      </w:r>
      <w:proofErr w:type="spellStart"/>
      <w:r w:rsidR="006A1795">
        <w:t>SDL</w:t>
      </w:r>
      <w:r w:rsidR="00D92034">
        <w:t>s</w:t>
      </w:r>
      <w:proofErr w:type="spellEnd"/>
      <w:r w:rsidR="006A1795">
        <w:t xml:space="preserve">, build new infrastructure works, implement specific projects and develop new ways of working to manage environmental water. </w:t>
      </w:r>
    </w:p>
    <w:p w:rsidR="006A1795" w:rsidRPr="00C626BA" w:rsidRDefault="006A1795" w:rsidP="00F937AD">
      <w:pPr>
        <w:spacing w:before="200" w:line="300" w:lineRule="atLeast"/>
        <w:jc w:val="both"/>
      </w:pPr>
      <w:r>
        <w:t xml:space="preserve">The timing for each of the major elements of the Plan is outlined in </w:t>
      </w:r>
      <w:r w:rsidR="007E7C82">
        <w:t>f</w:t>
      </w:r>
      <w:r>
        <w:t>igure</w:t>
      </w:r>
      <w:r w:rsidR="00B37F8F">
        <w:t> </w:t>
      </w:r>
      <w:r>
        <w:t>2. Formulation of the Plan was completed in 2012. Governments are now working towards establishing the arrangements required to implement the Plan — this phase must be completed by 30</w:t>
      </w:r>
      <w:r w:rsidR="00B37F8F">
        <w:t> </w:t>
      </w:r>
      <w:r>
        <w:t xml:space="preserve">June 2019. This work includes establishing the final target for </w:t>
      </w:r>
      <w:proofErr w:type="spellStart"/>
      <w:r>
        <w:t>SDLs</w:t>
      </w:r>
      <w:proofErr w:type="spellEnd"/>
      <w:r>
        <w:t xml:space="preserve"> and developing </w:t>
      </w:r>
      <w:proofErr w:type="spellStart"/>
      <w:r>
        <w:t>WRPs</w:t>
      </w:r>
      <w:proofErr w:type="spellEnd"/>
      <w:r>
        <w:t xml:space="preserve"> which will give effect to the new</w:t>
      </w:r>
      <w:r w:rsidR="00D92034">
        <w:t xml:space="preserve"> </w:t>
      </w:r>
      <w:proofErr w:type="spellStart"/>
      <w:r>
        <w:t>SDLs</w:t>
      </w:r>
      <w:proofErr w:type="spellEnd"/>
      <w:r>
        <w:t>, completing the majority of the water recovery.</w:t>
      </w:r>
    </w:p>
    <w:p w:rsidR="00423F5C" w:rsidRDefault="00423F5C" w:rsidP="00423F5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23F5C" w:rsidTr="00563B55">
        <w:trPr>
          <w:tblHeader/>
        </w:trPr>
        <w:tc>
          <w:tcPr>
            <w:tcW w:w="5000" w:type="pct"/>
            <w:tcBorders>
              <w:top w:val="single" w:sz="6" w:space="0" w:color="78A22F"/>
              <w:left w:val="nil"/>
              <w:bottom w:val="nil"/>
              <w:right w:val="nil"/>
            </w:tcBorders>
            <w:shd w:val="clear" w:color="auto" w:fill="auto"/>
          </w:tcPr>
          <w:p w:rsidR="00423F5C" w:rsidRPr="00176D3F" w:rsidRDefault="00423F5C" w:rsidP="00C21592">
            <w:pPr>
              <w:pStyle w:val="FigureTitle"/>
            </w:pPr>
            <w:r w:rsidRPr="00784A05">
              <w:rPr>
                <w:b w:val="0"/>
              </w:rPr>
              <w:t xml:space="preserve">Figure </w:t>
            </w:r>
            <w:bookmarkStart w:id="28" w:name="OLE_LINK1"/>
            <w:r w:rsidR="00E120C7">
              <w:rPr>
                <w:b w:val="0"/>
                <w:noProof/>
              </w:rPr>
              <w:t>1</w:t>
            </w:r>
            <w:bookmarkEnd w:id="28"/>
            <w:r w:rsidR="005A7660">
              <w:tab/>
              <w:t xml:space="preserve">Basin Plan </w:t>
            </w:r>
            <w:r w:rsidR="0039220C">
              <w:t xml:space="preserve">– key </w:t>
            </w:r>
            <w:r w:rsidR="005A7660">
              <w:t xml:space="preserve">elements </w:t>
            </w:r>
            <w:r w:rsidR="0039220C">
              <w:t>of establishment and implementation</w:t>
            </w:r>
            <w:r w:rsidR="00B910FE">
              <w:t xml:space="preserve"> </w:t>
            </w:r>
          </w:p>
        </w:tc>
      </w:tr>
      <w:tr w:rsidR="00423F5C" w:rsidTr="00563B55">
        <w:trPr>
          <w:trHeight w:val="10945"/>
        </w:trPr>
        <w:tc>
          <w:tcPr>
            <w:tcW w:w="5000" w:type="pct"/>
            <w:tcBorders>
              <w:top w:val="nil"/>
              <w:left w:val="nil"/>
              <w:bottom w:val="nil"/>
              <w:right w:val="nil"/>
            </w:tcBorders>
            <w:shd w:val="clear" w:color="auto" w:fill="auto"/>
            <w:tcMar>
              <w:top w:w="28" w:type="dxa"/>
              <w:bottom w:w="28" w:type="dxa"/>
            </w:tcMar>
          </w:tcPr>
          <w:p w:rsidR="00423F5C" w:rsidRDefault="00790B27" w:rsidP="006C28E0">
            <w:pPr>
              <w:pStyle w:val="Figure"/>
              <w:spacing w:before="0" w:after="0"/>
            </w:pPr>
            <w:r w:rsidRPr="00790B27">
              <w:rPr>
                <w:noProof/>
              </w:rPr>
              <w:drawing>
                <wp:inline distT="0" distB="0" distL="0" distR="0" wp14:anchorId="6D1B5FF4" wp14:editId="4E3D12A5">
                  <wp:extent cx="5389755" cy="6702849"/>
                  <wp:effectExtent l="0" t="0" r="1905" b="3175"/>
                  <wp:docPr id="5" name="Picture 5" descr="This figure outlines the elements involved with establishing and implementing the Basin Plan and the parties that are responsible for delivering each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9755" cy="6702849"/>
                          </a:xfrm>
                          <a:prstGeom prst="rect">
                            <a:avLst/>
                          </a:prstGeom>
                          <a:noFill/>
                          <a:ln>
                            <a:noFill/>
                          </a:ln>
                        </pic:spPr>
                      </pic:pic>
                    </a:graphicData>
                  </a:graphic>
                </wp:inline>
              </w:drawing>
            </w:r>
          </w:p>
        </w:tc>
      </w:tr>
      <w:tr w:rsidR="00423F5C" w:rsidRPr="00176D3F" w:rsidTr="00563B55">
        <w:trPr>
          <w:trHeight w:val="560"/>
        </w:trPr>
        <w:tc>
          <w:tcPr>
            <w:tcW w:w="5000" w:type="pct"/>
            <w:tcBorders>
              <w:top w:val="nil"/>
              <w:left w:val="nil"/>
              <w:bottom w:val="nil"/>
              <w:right w:val="nil"/>
            </w:tcBorders>
            <w:shd w:val="clear" w:color="auto" w:fill="auto"/>
          </w:tcPr>
          <w:p w:rsidR="00423F5C" w:rsidRPr="00176D3F" w:rsidRDefault="00771506" w:rsidP="00EE266D">
            <w:pPr>
              <w:pStyle w:val="Source"/>
            </w:pPr>
            <w:proofErr w:type="spellStart"/>
            <w:r w:rsidRPr="00BC2490">
              <w:rPr>
                <w:rStyle w:val="NoteLabel"/>
                <w:position w:val="0"/>
              </w:rPr>
              <w:t>CEW</w:t>
            </w:r>
            <w:r w:rsidR="006B514E" w:rsidRPr="00BC2490">
              <w:rPr>
                <w:rStyle w:val="NoteLabel"/>
                <w:position w:val="0"/>
              </w:rPr>
              <w:t>H</w:t>
            </w:r>
            <w:proofErr w:type="spellEnd"/>
            <w:r w:rsidRPr="00BC2490">
              <w:rPr>
                <w:rStyle w:val="NoteLabel"/>
                <w:position w:val="0"/>
              </w:rPr>
              <w:t>:</w:t>
            </w:r>
            <w:r w:rsidRPr="00BC2490">
              <w:rPr>
                <w:rStyle w:val="NoteLabel"/>
                <w:b w:val="0"/>
                <w:position w:val="0"/>
              </w:rPr>
              <w:t xml:space="preserve"> Commonwealth Environmental Water </w:t>
            </w:r>
            <w:r w:rsidR="006B514E" w:rsidRPr="00BC2490">
              <w:rPr>
                <w:rStyle w:val="NoteLabel"/>
                <w:b w:val="0"/>
                <w:position w:val="0"/>
              </w:rPr>
              <w:t>Holder</w:t>
            </w:r>
            <w:r w:rsidR="00BC2490">
              <w:rPr>
                <w:rStyle w:val="NoteLabel"/>
                <w:b w:val="0"/>
                <w:position w:val="0"/>
              </w:rPr>
              <w:t>;</w:t>
            </w:r>
            <w:r w:rsidRPr="00BC2490">
              <w:rPr>
                <w:rStyle w:val="NoteLabel"/>
                <w:b w:val="0"/>
                <w:position w:val="0"/>
              </w:rPr>
              <w:t xml:space="preserve"> </w:t>
            </w:r>
            <w:proofErr w:type="spellStart"/>
            <w:r w:rsidR="00AA055F">
              <w:rPr>
                <w:rStyle w:val="NoteLabel"/>
                <w:position w:val="0"/>
              </w:rPr>
              <w:t>DAWR</w:t>
            </w:r>
            <w:proofErr w:type="spellEnd"/>
            <w:r w:rsidR="00AA055F">
              <w:rPr>
                <w:rStyle w:val="NoteLabel"/>
                <w:position w:val="0"/>
              </w:rPr>
              <w:t xml:space="preserve">: </w:t>
            </w:r>
            <w:r w:rsidR="00AA055F">
              <w:rPr>
                <w:rStyle w:val="NoteLabel"/>
                <w:b w:val="0"/>
                <w:position w:val="0"/>
              </w:rPr>
              <w:t>Department of Agriculture and Water Resources (</w:t>
            </w:r>
            <w:proofErr w:type="spellStart"/>
            <w:r w:rsidR="00AA055F">
              <w:rPr>
                <w:rStyle w:val="NoteLabel"/>
                <w:b w:val="0"/>
                <w:position w:val="0"/>
              </w:rPr>
              <w:t>Cwlth</w:t>
            </w:r>
            <w:proofErr w:type="spellEnd"/>
            <w:r w:rsidR="00AA055F">
              <w:rPr>
                <w:rStyle w:val="NoteLabel"/>
                <w:b w:val="0"/>
                <w:position w:val="0"/>
              </w:rPr>
              <w:t>);</w:t>
            </w:r>
            <w:r w:rsidRPr="00BC2490">
              <w:rPr>
                <w:rStyle w:val="NoteLabel"/>
                <w:b w:val="0"/>
                <w:position w:val="0"/>
              </w:rPr>
              <w:t xml:space="preserve"> </w:t>
            </w:r>
            <w:proofErr w:type="spellStart"/>
            <w:r w:rsidRPr="00BC2490">
              <w:rPr>
                <w:rStyle w:val="NoteLabel"/>
                <w:position w:val="0"/>
              </w:rPr>
              <w:t>D</w:t>
            </w:r>
            <w:r w:rsidR="00D92C04">
              <w:rPr>
                <w:rStyle w:val="NoteLabel"/>
                <w:position w:val="0"/>
              </w:rPr>
              <w:t>IRDC</w:t>
            </w:r>
            <w:proofErr w:type="spellEnd"/>
            <w:r w:rsidRPr="00BC2490">
              <w:rPr>
                <w:rStyle w:val="NoteLabel"/>
                <w:position w:val="0"/>
              </w:rPr>
              <w:t>:</w:t>
            </w:r>
            <w:r w:rsidRPr="00BC2490">
              <w:rPr>
                <w:rStyle w:val="NoteLabel"/>
                <w:b w:val="0"/>
                <w:position w:val="0"/>
              </w:rPr>
              <w:t xml:space="preserve"> </w:t>
            </w:r>
            <w:r w:rsidR="00D92C04">
              <w:t>Department of Infrastructure, Regional Development and Cities</w:t>
            </w:r>
            <w:r w:rsidR="00BC2490">
              <w:rPr>
                <w:rStyle w:val="NoteLabel"/>
                <w:b w:val="0"/>
                <w:position w:val="0"/>
              </w:rPr>
              <w:t xml:space="preserve"> </w:t>
            </w:r>
            <w:r w:rsidR="0023240A" w:rsidRPr="00BC2490">
              <w:rPr>
                <w:rStyle w:val="NoteLabel"/>
                <w:b w:val="0"/>
                <w:position w:val="0"/>
              </w:rPr>
              <w:t>(</w:t>
            </w:r>
            <w:proofErr w:type="spellStart"/>
            <w:r w:rsidR="0023240A" w:rsidRPr="00BC2490">
              <w:rPr>
                <w:rStyle w:val="NoteLabel"/>
                <w:b w:val="0"/>
                <w:position w:val="0"/>
              </w:rPr>
              <w:t>Cwlth</w:t>
            </w:r>
            <w:proofErr w:type="spellEnd"/>
            <w:r w:rsidR="0023240A" w:rsidRPr="00BC2490">
              <w:rPr>
                <w:rStyle w:val="NoteLabel"/>
                <w:b w:val="0"/>
                <w:position w:val="0"/>
              </w:rPr>
              <w:t>)</w:t>
            </w:r>
            <w:r w:rsidR="00BC2490">
              <w:rPr>
                <w:rStyle w:val="NoteLabel"/>
                <w:b w:val="0"/>
                <w:position w:val="0"/>
              </w:rPr>
              <w:t>;</w:t>
            </w:r>
            <w:r w:rsidR="00BC2490" w:rsidRPr="00BC2490">
              <w:rPr>
                <w:rStyle w:val="NoteLabel"/>
                <w:b w:val="0"/>
                <w:position w:val="0"/>
              </w:rPr>
              <w:t xml:space="preserve"> </w:t>
            </w:r>
            <w:proofErr w:type="spellStart"/>
            <w:r w:rsidR="00BC2490" w:rsidRPr="00BC2490">
              <w:rPr>
                <w:rStyle w:val="NoteLabel"/>
                <w:position w:val="0"/>
              </w:rPr>
              <w:t>MDBA</w:t>
            </w:r>
            <w:proofErr w:type="spellEnd"/>
            <w:r w:rsidR="00BC2490" w:rsidRPr="00BC2490">
              <w:rPr>
                <w:rStyle w:val="NoteLabel"/>
                <w:position w:val="0"/>
              </w:rPr>
              <w:t>:</w:t>
            </w:r>
            <w:r w:rsidR="00BC2490">
              <w:rPr>
                <w:rStyle w:val="NoteLabel"/>
                <w:b w:val="0"/>
                <w:position w:val="0"/>
              </w:rPr>
              <w:t xml:space="preserve"> Murray</w:t>
            </w:r>
            <w:r w:rsidR="00B37F8F">
              <w:rPr>
                <w:rStyle w:val="NoteLabel"/>
                <w:b w:val="0"/>
                <w:position w:val="0"/>
              </w:rPr>
              <w:noBreakHyphen/>
            </w:r>
            <w:r w:rsidR="00BC2490">
              <w:rPr>
                <w:rStyle w:val="NoteLabel"/>
                <w:b w:val="0"/>
                <w:position w:val="0"/>
              </w:rPr>
              <w:t>Darling Basin Authority</w:t>
            </w:r>
          </w:p>
        </w:tc>
      </w:tr>
      <w:tr w:rsidR="00423F5C" w:rsidTr="00563B55">
        <w:tc>
          <w:tcPr>
            <w:tcW w:w="5000" w:type="pct"/>
            <w:tcBorders>
              <w:top w:val="nil"/>
              <w:left w:val="nil"/>
              <w:bottom w:val="single" w:sz="6" w:space="0" w:color="78A22F"/>
              <w:right w:val="nil"/>
            </w:tcBorders>
            <w:shd w:val="clear" w:color="auto" w:fill="auto"/>
          </w:tcPr>
          <w:p w:rsidR="00423F5C" w:rsidRDefault="00423F5C" w:rsidP="00423F5C">
            <w:pPr>
              <w:pStyle w:val="Figurespace"/>
            </w:pPr>
          </w:p>
        </w:tc>
      </w:tr>
      <w:tr w:rsidR="00423F5C" w:rsidRPr="000863A5" w:rsidTr="00563B55">
        <w:trPr>
          <w:trHeight w:val="65"/>
        </w:trPr>
        <w:tc>
          <w:tcPr>
            <w:tcW w:w="5000" w:type="pct"/>
            <w:tcBorders>
              <w:top w:val="single" w:sz="6" w:space="0" w:color="78A22F"/>
              <w:left w:val="nil"/>
              <w:bottom w:val="nil"/>
              <w:right w:val="nil"/>
            </w:tcBorders>
          </w:tcPr>
          <w:p w:rsidR="00423F5C" w:rsidRPr="00626D32" w:rsidRDefault="00423F5C" w:rsidP="00423F5C">
            <w:pPr>
              <w:pStyle w:val="BoxSpaceBelow"/>
            </w:pPr>
          </w:p>
        </w:tc>
      </w:tr>
    </w:tbl>
    <w:p w:rsidR="00110C23" w:rsidRDefault="00A3589B" w:rsidP="008445E4">
      <w:pPr>
        <w:pStyle w:val="BodyText"/>
      </w:pPr>
      <w:r>
        <w:t>.</w:t>
      </w:r>
    </w:p>
    <w:p w:rsidR="00110C23" w:rsidRDefault="00110C23">
      <w:pPr>
        <w:pStyle w:val="BodyText"/>
        <w:sectPr w:rsidR="00110C23" w:rsidSect="00E43A85">
          <w:headerReference w:type="default" r:id="rId22"/>
          <w:footerReference w:type="even" r:id="rId23"/>
          <w:footerReference w:type="default" r:id="rId24"/>
          <w:type w:val="oddPage"/>
          <w:pgSz w:w="11907" w:h="16840" w:code="9"/>
          <w:pgMar w:top="1984" w:right="1304" w:bottom="1247" w:left="1814" w:header="1701" w:footer="397" w:gutter="0"/>
          <w:pgNumType w:start="1" w:chapSep="period"/>
          <w:cols w:space="720"/>
          <w:docGrid w:linePitch="326"/>
        </w:sect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13609"/>
      </w:tblGrid>
      <w:tr w:rsidR="004120B7" w:rsidTr="004120B7">
        <w:trPr>
          <w:tblHeader/>
        </w:trPr>
        <w:tc>
          <w:tcPr>
            <w:tcW w:w="5000" w:type="pct"/>
            <w:tcBorders>
              <w:top w:val="single" w:sz="6" w:space="0" w:color="78A22F"/>
              <w:left w:val="nil"/>
              <w:bottom w:val="nil"/>
              <w:right w:val="nil"/>
            </w:tcBorders>
            <w:shd w:val="clear" w:color="auto" w:fill="auto"/>
          </w:tcPr>
          <w:p w:rsidR="004120B7" w:rsidRPr="00176D3F" w:rsidRDefault="004120B7" w:rsidP="00980509">
            <w:pPr>
              <w:pStyle w:val="FigureTitle"/>
              <w:spacing w:before="100" w:after="60"/>
            </w:pPr>
            <w:r w:rsidRPr="00784A05">
              <w:rPr>
                <w:b w:val="0"/>
              </w:rPr>
              <w:lastRenderedPageBreak/>
              <w:t xml:space="preserve">Figure </w:t>
            </w:r>
            <w:r w:rsidR="00E120C7">
              <w:rPr>
                <w:b w:val="0"/>
                <w:noProof/>
              </w:rPr>
              <w:t>2</w:t>
            </w:r>
            <w:r>
              <w:tab/>
            </w:r>
            <w:r w:rsidRPr="00FF371B">
              <w:t>Phases</w:t>
            </w:r>
            <w:r>
              <w:t xml:space="preserve"> of the Basin Plan</w:t>
            </w:r>
          </w:p>
        </w:tc>
      </w:tr>
      <w:tr w:rsidR="004120B7" w:rsidTr="004120B7">
        <w:tc>
          <w:tcPr>
            <w:tcW w:w="5000" w:type="pct"/>
            <w:tcBorders>
              <w:top w:val="nil"/>
              <w:left w:val="nil"/>
              <w:bottom w:val="nil"/>
              <w:right w:val="nil"/>
            </w:tcBorders>
            <w:shd w:val="clear" w:color="auto" w:fill="auto"/>
            <w:tcMar>
              <w:top w:w="28" w:type="dxa"/>
              <w:bottom w:w="28" w:type="dxa"/>
            </w:tcMar>
          </w:tcPr>
          <w:tbl>
            <w:tblPr>
              <w:tblW w:w="1325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13320"/>
            </w:tblGrid>
            <w:tr w:rsidR="004120B7" w:rsidRPr="00B1465D" w:rsidTr="004120B7">
              <w:trPr>
                <w:tblHeader/>
                <w:jc w:val="center"/>
              </w:trPr>
              <w:tc>
                <w:tcPr>
                  <w:tcW w:w="5000" w:type="pct"/>
                  <w:tcBorders>
                    <w:top w:val="nil"/>
                    <w:bottom w:val="nil"/>
                  </w:tcBorders>
                </w:tcPr>
                <w:p w:rsidR="004120B7" w:rsidRPr="00B1465D" w:rsidRDefault="006542A8" w:rsidP="006542A8">
                  <w:pPr>
                    <w:pStyle w:val="Figure"/>
                    <w:spacing w:before="0" w:after="0"/>
                    <w:rPr>
                      <w:rFonts w:ascii="Arial" w:hAnsi="Arial" w:cs="Arial"/>
                      <w:sz w:val="18"/>
                      <w:szCs w:val="18"/>
                    </w:rPr>
                  </w:pPr>
                  <w:r w:rsidRPr="006542A8">
                    <w:rPr>
                      <w:rFonts w:ascii="Arial" w:hAnsi="Arial" w:cs="Arial"/>
                      <w:noProof/>
                      <w:sz w:val="18"/>
                      <w:szCs w:val="18"/>
                    </w:rPr>
                    <w:drawing>
                      <wp:inline distT="0" distB="0" distL="0" distR="0" wp14:anchorId="05372DFF" wp14:editId="44DE3451">
                        <wp:extent cx="8458200" cy="4703445"/>
                        <wp:effectExtent l="0" t="0" r="0" b="0"/>
                        <wp:docPr id="8" name="Picture 8" descr="This is a figure that describes the timeline for each of the elements required to implement the Basin Pl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61180" cy="4705102"/>
                                </a:xfrm>
                                <a:prstGeom prst="rect">
                                  <a:avLst/>
                                </a:prstGeom>
                                <a:noFill/>
                                <a:ln>
                                  <a:noFill/>
                                </a:ln>
                              </pic:spPr>
                            </pic:pic>
                          </a:graphicData>
                        </a:graphic>
                      </wp:inline>
                    </w:drawing>
                  </w:r>
                </w:p>
              </w:tc>
            </w:tr>
          </w:tbl>
          <w:p w:rsidR="004120B7" w:rsidRDefault="004120B7" w:rsidP="004120B7">
            <w:pPr>
              <w:pStyle w:val="Figure"/>
            </w:pPr>
          </w:p>
        </w:tc>
      </w:tr>
      <w:tr w:rsidR="004120B7" w:rsidRPr="00176D3F" w:rsidTr="004120B7">
        <w:tc>
          <w:tcPr>
            <w:tcW w:w="5000" w:type="pct"/>
            <w:tcBorders>
              <w:top w:val="nil"/>
              <w:left w:val="nil"/>
              <w:bottom w:val="nil"/>
              <w:right w:val="nil"/>
            </w:tcBorders>
            <w:shd w:val="clear" w:color="auto" w:fill="auto"/>
          </w:tcPr>
          <w:p w:rsidR="004120B7" w:rsidRPr="00176D3F" w:rsidRDefault="004120B7" w:rsidP="00B37F8F">
            <w:pPr>
              <w:pStyle w:val="Source"/>
            </w:pPr>
            <w:r w:rsidRPr="00784A05">
              <w:rPr>
                <w:i/>
              </w:rPr>
              <w:t>Data source</w:t>
            </w:r>
            <w:r>
              <w:rPr>
                <w:i/>
              </w:rPr>
              <w:t>s</w:t>
            </w:r>
            <w:r w:rsidRPr="00176D3F">
              <w:t xml:space="preserve">: </w:t>
            </w:r>
            <w:r w:rsidRPr="00D13AC7">
              <w:rPr>
                <w:i/>
              </w:rPr>
              <w:t>Water Act 2007</w:t>
            </w:r>
            <w:r>
              <w:t xml:space="preserve"> (</w:t>
            </w:r>
            <w:proofErr w:type="spellStart"/>
            <w:r>
              <w:t>Cwlth</w:t>
            </w:r>
            <w:proofErr w:type="spellEnd"/>
            <w:r>
              <w:t>)</w:t>
            </w:r>
            <w:r w:rsidR="00E43A85">
              <w:t>;</w:t>
            </w:r>
            <w:r>
              <w:t xml:space="preserve"> Basin Plan 2012 (</w:t>
            </w:r>
            <w:proofErr w:type="spellStart"/>
            <w:r>
              <w:t>Cwlth</w:t>
            </w:r>
            <w:proofErr w:type="spellEnd"/>
            <w:r>
              <w:t xml:space="preserve">), </w:t>
            </w:r>
            <w:proofErr w:type="spellStart"/>
            <w:r>
              <w:t>COAG</w:t>
            </w:r>
            <w:proofErr w:type="spellEnd"/>
            <w:r w:rsidR="009B6B3F">
              <w:t xml:space="preserve"> </w:t>
            </w:r>
            <w:r w:rsidR="00885F6C" w:rsidRPr="00885F6C">
              <w:rPr>
                <w:rFonts w:cs="Arial"/>
              </w:rPr>
              <w:t>(2013)</w:t>
            </w:r>
            <w:r w:rsidR="00B37F8F">
              <w:t>.</w:t>
            </w:r>
          </w:p>
        </w:tc>
      </w:tr>
      <w:tr w:rsidR="004120B7" w:rsidTr="004120B7">
        <w:tc>
          <w:tcPr>
            <w:tcW w:w="5000" w:type="pct"/>
            <w:tcBorders>
              <w:top w:val="nil"/>
              <w:left w:val="nil"/>
              <w:bottom w:val="single" w:sz="6" w:space="0" w:color="78A22F"/>
              <w:right w:val="nil"/>
            </w:tcBorders>
            <w:shd w:val="clear" w:color="auto" w:fill="auto"/>
          </w:tcPr>
          <w:p w:rsidR="004120B7" w:rsidRDefault="004120B7" w:rsidP="004120B7">
            <w:pPr>
              <w:pStyle w:val="Figurespace"/>
            </w:pPr>
          </w:p>
        </w:tc>
      </w:tr>
      <w:tr w:rsidR="004120B7" w:rsidRPr="000863A5" w:rsidTr="004120B7">
        <w:tc>
          <w:tcPr>
            <w:tcW w:w="5000" w:type="pct"/>
            <w:tcBorders>
              <w:top w:val="single" w:sz="6" w:space="0" w:color="78A22F"/>
              <w:left w:val="nil"/>
              <w:bottom w:val="nil"/>
              <w:right w:val="nil"/>
            </w:tcBorders>
          </w:tcPr>
          <w:p w:rsidR="004120B7" w:rsidRPr="00626D32" w:rsidRDefault="004120B7" w:rsidP="004120B7">
            <w:pPr>
              <w:pStyle w:val="BoxSpaceBelow"/>
            </w:pPr>
          </w:p>
        </w:tc>
      </w:tr>
    </w:tbl>
    <w:p w:rsidR="00110C23" w:rsidRPr="00A554D9" w:rsidRDefault="00110C23">
      <w:pPr>
        <w:pStyle w:val="BodyText"/>
        <w:rPr>
          <w:sz w:val="16"/>
          <w:szCs w:val="16"/>
        </w:rPr>
        <w:sectPr w:rsidR="00110C23" w:rsidRPr="00A554D9" w:rsidSect="006C28E0">
          <w:headerReference w:type="even" r:id="rId26"/>
          <w:headerReference w:type="default" r:id="rId27"/>
          <w:footerReference w:type="even" r:id="rId28"/>
          <w:footerReference w:type="default" r:id="rId29"/>
          <w:pgSz w:w="16840" w:h="11907" w:orient="landscape" w:code="9"/>
          <w:pgMar w:top="1814" w:right="1984" w:bottom="1304" w:left="1247" w:header="1701" w:footer="397" w:gutter="0"/>
          <w:pgNumType w:chapSep="period"/>
          <w:cols w:space="720"/>
          <w:docGrid w:linePitch="326"/>
        </w:sectPr>
      </w:pPr>
    </w:p>
    <w:p w:rsidR="009744FA" w:rsidRPr="009744FA" w:rsidRDefault="00A75274" w:rsidP="006C28E0">
      <w:pPr>
        <w:pStyle w:val="Heading3"/>
        <w:spacing w:before="240"/>
        <w:rPr>
          <w:b w:val="0"/>
        </w:rPr>
      </w:pPr>
      <w:r w:rsidRPr="00217886">
        <w:lastRenderedPageBreak/>
        <w:t>Roles and</w:t>
      </w:r>
      <w:r w:rsidR="009744FA" w:rsidRPr="0029113F">
        <w:t xml:space="preserve"> </w:t>
      </w:r>
      <w:r w:rsidRPr="0029113F">
        <w:t>responsibilities</w:t>
      </w:r>
    </w:p>
    <w:p w:rsidR="0050262F" w:rsidRDefault="0050262F" w:rsidP="0050262F">
      <w:pPr>
        <w:spacing w:before="240" w:line="300" w:lineRule="atLeast"/>
        <w:jc w:val="both"/>
      </w:pPr>
      <w:r w:rsidRPr="0050262F">
        <w:t xml:space="preserve">The Water Act and the Basin Plan are laws made by the Parliament of Australia. However, under the </w:t>
      </w:r>
      <w:r w:rsidRPr="0050262F">
        <w:rPr>
          <w:i/>
        </w:rPr>
        <w:t>Australian Constitution</w:t>
      </w:r>
      <w:r w:rsidRPr="0050262F">
        <w:t>, the management of water resources is vested in State and Territory Governments and</w:t>
      </w:r>
      <w:r w:rsidR="00641C5D">
        <w:t>,</w:t>
      </w:r>
      <w:r w:rsidRPr="0050262F">
        <w:t xml:space="preserve"> as such</w:t>
      </w:r>
      <w:r w:rsidR="00641C5D">
        <w:t>,</w:t>
      </w:r>
      <w:r w:rsidRPr="0050262F">
        <w:t xml:space="preserve"> each Basin State is responsible for water resource management within its jurisdiction. A number of the state responsibilities for water management, particularly in shared water resources, are managed cooperatively by Basin States and the Australian Government under the </w:t>
      </w:r>
      <w:proofErr w:type="spellStart"/>
      <w:r w:rsidRPr="0050262F">
        <w:t>MDB</w:t>
      </w:r>
      <w:proofErr w:type="spellEnd"/>
      <w:r w:rsidRPr="0050262F">
        <w:t xml:space="preserve"> Agreement.</w:t>
      </w:r>
      <w:r w:rsidR="0045449C" w:rsidRPr="0045449C">
        <w:t xml:space="preserve"> </w:t>
      </w:r>
      <w:r w:rsidR="0045449C" w:rsidRPr="0050262F">
        <w:t xml:space="preserve">The </w:t>
      </w:r>
      <w:r w:rsidR="00CF6549">
        <w:t xml:space="preserve">relationships between key institutions is shown in </w:t>
      </w:r>
      <w:r w:rsidR="00B37F8F">
        <w:t>f</w:t>
      </w:r>
      <w:r w:rsidR="0045449C" w:rsidRPr="0050262F">
        <w:t>ig</w:t>
      </w:r>
      <w:r w:rsidR="008D36F6">
        <w:t>ure</w:t>
      </w:r>
      <w:r w:rsidR="00B37F8F">
        <w:t> </w:t>
      </w:r>
      <w:r w:rsidR="008D36F6">
        <w:t>3</w:t>
      </w:r>
      <w:r w:rsidR="0045449C" w:rsidRPr="0050262F">
        <w:t>.</w:t>
      </w:r>
    </w:p>
    <w:p w:rsidR="0051771F" w:rsidRPr="0050262F" w:rsidRDefault="0051771F" w:rsidP="0051771F">
      <w:pPr>
        <w:keepNext/>
        <w:spacing w:before="360" w:line="80" w:lineRule="exact"/>
      </w:pPr>
    </w:p>
    <w:tbl>
      <w:tblPr>
        <w:tblW w:w="4857"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1771F" w:rsidRPr="0050262F" w:rsidTr="00E43A85">
        <w:trPr>
          <w:tblHeader/>
        </w:trPr>
        <w:tc>
          <w:tcPr>
            <w:tcW w:w="5000" w:type="pct"/>
            <w:tcBorders>
              <w:top w:val="single" w:sz="6" w:space="0" w:color="78A22F"/>
              <w:left w:val="nil"/>
              <w:bottom w:val="nil"/>
              <w:right w:val="nil"/>
            </w:tcBorders>
            <w:shd w:val="clear" w:color="auto" w:fill="auto"/>
          </w:tcPr>
          <w:p w:rsidR="0051771F" w:rsidRPr="00826729" w:rsidRDefault="0051771F" w:rsidP="00470F8D">
            <w:pPr>
              <w:keepNext/>
              <w:keepLines/>
              <w:spacing w:before="120" w:after="80" w:line="280" w:lineRule="exact"/>
              <w:ind w:left="1474" w:hanging="1474"/>
              <w:rPr>
                <w:rFonts w:ascii="Arial" w:hAnsi="Arial"/>
                <w:b/>
              </w:rPr>
            </w:pPr>
            <w:r w:rsidRPr="0050262F">
              <w:rPr>
                <w:rFonts w:ascii="Arial" w:hAnsi="Arial"/>
              </w:rPr>
              <w:t>Figure</w:t>
            </w:r>
            <w:r w:rsidR="00B37F8F">
              <w:rPr>
                <w:rFonts w:ascii="Arial" w:hAnsi="Arial"/>
              </w:rPr>
              <w:t> </w:t>
            </w:r>
            <w:r w:rsidR="00E120C7">
              <w:rPr>
                <w:rFonts w:ascii="Arial" w:hAnsi="Arial"/>
                <w:noProof/>
              </w:rPr>
              <w:t>3</w:t>
            </w:r>
            <w:r w:rsidRPr="0050262F">
              <w:rPr>
                <w:rFonts w:ascii="Arial" w:hAnsi="Arial"/>
                <w:b/>
              </w:rPr>
              <w:tab/>
            </w:r>
            <w:r w:rsidR="00470F8D">
              <w:rPr>
                <w:rFonts w:ascii="Arial" w:hAnsi="Arial"/>
                <w:b/>
              </w:rPr>
              <w:t>Institutional</w:t>
            </w:r>
            <w:r>
              <w:rPr>
                <w:rFonts w:ascii="Arial" w:hAnsi="Arial"/>
                <w:b/>
              </w:rPr>
              <w:t xml:space="preserve"> relationships</w:t>
            </w:r>
          </w:p>
        </w:tc>
      </w:tr>
      <w:tr w:rsidR="0051771F" w:rsidRPr="0050262F" w:rsidTr="00E43A85">
        <w:tc>
          <w:tcPr>
            <w:tcW w:w="5000" w:type="pct"/>
            <w:tcBorders>
              <w:top w:val="nil"/>
              <w:left w:val="nil"/>
              <w:bottom w:val="nil"/>
              <w:right w:val="nil"/>
            </w:tcBorders>
            <w:shd w:val="clear" w:color="auto" w:fill="auto"/>
            <w:tcMar>
              <w:top w:w="28" w:type="dxa"/>
              <w:bottom w:w="28" w:type="dxa"/>
            </w:tcMar>
          </w:tcPr>
          <w:p w:rsidR="0051771F" w:rsidRPr="0050262F" w:rsidRDefault="008F4189" w:rsidP="00496226">
            <w:pPr>
              <w:pStyle w:val="TableBodyText"/>
            </w:pPr>
            <w:r w:rsidRPr="008F4189">
              <w:rPr>
                <w:noProof/>
              </w:rPr>
              <w:drawing>
                <wp:inline distT="0" distB="0" distL="0" distR="0" wp14:anchorId="3682BC0F" wp14:editId="228A5966">
                  <wp:extent cx="5325745" cy="4267200"/>
                  <wp:effectExtent l="0" t="0" r="8255" b="0"/>
                  <wp:docPr id="11" name="Picture 11" descr="This is a diagram that shows the institutional relationships between the Parliament of Australia, Australian Government, the Basin States, Ministerial Council, the Basin Officials Committee and the MDBA. These relationships are as described by the Basin Plan and MDB Agre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25745" cy="4267200"/>
                          </a:xfrm>
                          <a:prstGeom prst="rect">
                            <a:avLst/>
                          </a:prstGeom>
                          <a:noFill/>
                          <a:ln>
                            <a:noFill/>
                          </a:ln>
                        </pic:spPr>
                      </pic:pic>
                    </a:graphicData>
                  </a:graphic>
                </wp:inline>
              </w:drawing>
            </w:r>
          </w:p>
        </w:tc>
      </w:tr>
      <w:tr w:rsidR="0051771F" w:rsidRPr="0050262F" w:rsidTr="00E43A85">
        <w:tc>
          <w:tcPr>
            <w:tcW w:w="5000" w:type="pct"/>
            <w:tcBorders>
              <w:top w:val="nil"/>
              <w:left w:val="nil"/>
              <w:bottom w:val="nil"/>
              <w:right w:val="nil"/>
            </w:tcBorders>
            <w:shd w:val="clear" w:color="auto" w:fill="auto"/>
          </w:tcPr>
          <w:p w:rsidR="0051771F" w:rsidRPr="0050262F" w:rsidRDefault="0051771F" w:rsidP="00FF2E16">
            <w:pPr>
              <w:keepLines/>
              <w:spacing w:before="80" w:line="220" w:lineRule="exact"/>
              <w:jc w:val="both"/>
              <w:rPr>
                <w:rFonts w:ascii="Arial" w:hAnsi="Arial"/>
                <w:sz w:val="18"/>
              </w:rPr>
            </w:pPr>
            <w:r w:rsidRPr="0050262F">
              <w:rPr>
                <w:rFonts w:ascii="Arial" w:hAnsi="Arial"/>
                <w:i/>
                <w:sz w:val="18"/>
              </w:rPr>
              <w:t>Data source</w:t>
            </w:r>
            <w:r w:rsidRPr="0050262F">
              <w:rPr>
                <w:rFonts w:ascii="Arial" w:hAnsi="Arial"/>
                <w:sz w:val="18"/>
              </w:rPr>
              <w:t>:</w:t>
            </w:r>
            <w:r>
              <w:rPr>
                <w:rFonts w:ascii="Arial" w:hAnsi="Arial"/>
                <w:sz w:val="18"/>
              </w:rPr>
              <w:t xml:space="preserve"> </w:t>
            </w:r>
            <w:r w:rsidRPr="00D13AC7">
              <w:rPr>
                <w:rFonts w:ascii="Arial" w:hAnsi="Arial"/>
                <w:i/>
                <w:sz w:val="18"/>
              </w:rPr>
              <w:t>Water Act 2007</w:t>
            </w:r>
            <w:r>
              <w:rPr>
                <w:rFonts w:ascii="Arial" w:hAnsi="Arial"/>
                <w:sz w:val="18"/>
              </w:rPr>
              <w:t xml:space="preserve"> (</w:t>
            </w:r>
            <w:proofErr w:type="spellStart"/>
            <w:r>
              <w:rPr>
                <w:rFonts w:ascii="Arial" w:hAnsi="Arial"/>
                <w:sz w:val="18"/>
              </w:rPr>
              <w:t>Cw</w:t>
            </w:r>
            <w:r w:rsidR="00746FDD">
              <w:rPr>
                <w:rFonts w:ascii="Arial" w:hAnsi="Arial"/>
                <w:sz w:val="18"/>
              </w:rPr>
              <w:t>l</w:t>
            </w:r>
            <w:r w:rsidR="00FF2E16">
              <w:rPr>
                <w:rFonts w:ascii="Arial" w:hAnsi="Arial"/>
                <w:sz w:val="18"/>
              </w:rPr>
              <w:t>th</w:t>
            </w:r>
            <w:proofErr w:type="spellEnd"/>
            <w:r w:rsidR="00FF2E16">
              <w:rPr>
                <w:rFonts w:ascii="Arial" w:hAnsi="Arial"/>
                <w:sz w:val="18"/>
              </w:rPr>
              <w:t>);</w:t>
            </w:r>
            <w:r>
              <w:rPr>
                <w:rFonts w:ascii="Arial" w:hAnsi="Arial"/>
                <w:sz w:val="18"/>
              </w:rPr>
              <w:t xml:space="preserve"> Basin Plan 2012 (</w:t>
            </w:r>
            <w:proofErr w:type="spellStart"/>
            <w:r>
              <w:rPr>
                <w:rFonts w:ascii="Arial" w:hAnsi="Arial"/>
                <w:sz w:val="18"/>
              </w:rPr>
              <w:t>Cw</w:t>
            </w:r>
            <w:r w:rsidR="00746FDD">
              <w:rPr>
                <w:rFonts w:ascii="Arial" w:hAnsi="Arial"/>
                <w:sz w:val="18"/>
              </w:rPr>
              <w:t>l</w:t>
            </w:r>
            <w:r>
              <w:rPr>
                <w:rFonts w:ascii="Arial" w:hAnsi="Arial"/>
                <w:sz w:val="18"/>
              </w:rPr>
              <w:t>th</w:t>
            </w:r>
            <w:proofErr w:type="spellEnd"/>
            <w:r>
              <w:rPr>
                <w:rFonts w:ascii="Arial" w:hAnsi="Arial"/>
                <w:sz w:val="18"/>
              </w:rPr>
              <w:t>)</w:t>
            </w:r>
            <w:r w:rsidR="00FF2E16">
              <w:rPr>
                <w:rFonts w:ascii="Arial" w:hAnsi="Arial"/>
                <w:sz w:val="18"/>
              </w:rPr>
              <w:t>.</w:t>
            </w:r>
          </w:p>
        </w:tc>
      </w:tr>
      <w:tr w:rsidR="0051771F" w:rsidRPr="0050262F" w:rsidTr="00E43A85">
        <w:tc>
          <w:tcPr>
            <w:tcW w:w="5000" w:type="pct"/>
            <w:tcBorders>
              <w:top w:val="nil"/>
              <w:left w:val="nil"/>
              <w:bottom w:val="single" w:sz="6" w:space="0" w:color="78A22F"/>
              <w:right w:val="nil"/>
            </w:tcBorders>
            <w:shd w:val="clear" w:color="auto" w:fill="auto"/>
          </w:tcPr>
          <w:p w:rsidR="0051771F" w:rsidRPr="0050262F" w:rsidRDefault="0051771F" w:rsidP="00496226">
            <w:pPr>
              <w:keepNext/>
              <w:spacing w:line="120" w:lineRule="exact"/>
              <w:jc w:val="both"/>
              <w:rPr>
                <w:rFonts w:ascii="Arial" w:hAnsi="Arial"/>
                <w:sz w:val="20"/>
              </w:rPr>
            </w:pPr>
          </w:p>
        </w:tc>
      </w:tr>
      <w:tr w:rsidR="0051771F" w:rsidRPr="0050262F" w:rsidTr="00E43A85">
        <w:tc>
          <w:tcPr>
            <w:tcW w:w="5000" w:type="pct"/>
            <w:tcBorders>
              <w:top w:val="single" w:sz="6" w:space="0" w:color="78A22F"/>
              <w:left w:val="nil"/>
              <w:bottom w:val="nil"/>
              <w:right w:val="nil"/>
            </w:tcBorders>
          </w:tcPr>
          <w:p w:rsidR="0051771F" w:rsidRPr="0050262F" w:rsidRDefault="0051771F" w:rsidP="00496226">
            <w:pPr>
              <w:spacing w:before="60" w:after="60" w:line="80" w:lineRule="exact"/>
              <w:jc w:val="both"/>
              <w:rPr>
                <w:rFonts w:ascii="Arial" w:hAnsi="Arial"/>
                <w:sz w:val="14"/>
              </w:rPr>
            </w:pPr>
          </w:p>
        </w:tc>
      </w:tr>
    </w:tbl>
    <w:p w:rsidR="00BE2A96" w:rsidRDefault="00BE2A96" w:rsidP="00BE2A96">
      <w:pPr>
        <w:spacing w:before="240" w:line="300" w:lineRule="atLeast"/>
        <w:jc w:val="both"/>
      </w:pPr>
      <w:r>
        <w:t xml:space="preserve">The Water Act, </w:t>
      </w:r>
      <w:proofErr w:type="spellStart"/>
      <w:r>
        <w:t>MDB</w:t>
      </w:r>
      <w:proofErr w:type="spellEnd"/>
      <w:r>
        <w:t xml:space="preserve"> Agreement and the Basin Plan result in a </w:t>
      </w:r>
      <w:r w:rsidRPr="0050262F">
        <w:t>complex suite of governance and institutional arrangements for water management in the Basin</w:t>
      </w:r>
      <w:r>
        <w:t xml:space="preserve">. </w:t>
      </w:r>
      <w:r w:rsidRPr="0050262F">
        <w:t xml:space="preserve">The complexity of the current governance arrangements is highlighted </w:t>
      </w:r>
      <w:r>
        <w:t>by:</w:t>
      </w:r>
    </w:p>
    <w:p w:rsidR="00BE2A96" w:rsidRPr="00FF4AF8" w:rsidRDefault="00BE2A96" w:rsidP="00BE2A96">
      <w:pPr>
        <w:pStyle w:val="ListBullet"/>
      </w:pPr>
      <w:r w:rsidRPr="00150B34">
        <w:t xml:space="preserve">the multiple roles of the </w:t>
      </w:r>
      <w:proofErr w:type="spellStart"/>
      <w:r w:rsidRPr="00150B34">
        <w:t>MDBA</w:t>
      </w:r>
      <w:proofErr w:type="spellEnd"/>
      <w:r w:rsidR="00F51C36">
        <w:t xml:space="preserve">: </w:t>
      </w:r>
      <w:r w:rsidRPr="00150B34">
        <w:t>it is an independent authority advising the Australian Government on formulat</w:t>
      </w:r>
      <w:r>
        <w:t>ion</w:t>
      </w:r>
      <w:r w:rsidRPr="00150B34">
        <w:t xml:space="preserve"> and establish</w:t>
      </w:r>
      <w:r>
        <w:t>ment</w:t>
      </w:r>
      <w:r w:rsidRPr="00150B34">
        <w:t xml:space="preserve"> </w:t>
      </w:r>
      <w:r>
        <w:t>of</w:t>
      </w:r>
      <w:r w:rsidRPr="00892E8A">
        <w:t xml:space="preserve"> </w:t>
      </w:r>
      <w:r w:rsidRPr="00150B34">
        <w:t xml:space="preserve">the </w:t>
      </w:r>
      <w:r>
        <w:t xml:space="preserve">Basin </w:t>
      </w:r>
      <w:r w:rsidRPr="00150B34">
        <w:t>Plan</w:t>
      </w:r>
      <w:r w:rsidR="00F51C36">
        <w:t>;</w:t>
      </w:r>
      <w:r w:rsidRPr="00150B34">
        <w:t xml:space="preserve"> it is a regulator </w:t>
      </w:r>
      <w:r w:rsidR="00313DA9">
        <w:t xml:space="preserve">that </w:t>
      </w:r>
      <w:r w:rsidRPr="00150B34">
        <w:t>oversee</w:t>
      </w:r>
      <w:r w:rsidR="009673FC">
        <w:t>s</w:t>
      </w:r>
      <w:r w:rsidR="00F51C36">
        <w:t>, ensures compliance</w:t>
      </w:r>
      <w:r w:rsidR="009673FC">
        <w:t xml:space="preserve"> </w:t>
      </w:r>
      <w:r w:rsidR="00034888">
        <w:t xml:space="preserve">with </w:t>
      </w:r>
      <w:r w:rsidR="009673FC">
        <w:t>and reports on the</w:t>
      </w:r>
      <w:r w:rsidRPr="00150B34">
        <w:t xml:space="preserve"> implementation of the Plan</w:t>
      </w:r>
      <w:r w:rsidR="009673FC">
        <w:t xml:space="preserve"> by </w:t>
      </w:r>
      <w:r w:rsidR="009673FC">
        <w:lastRenderedPageBreak/>
        <w:t>Basin States</w:t>
      </w:r>
      <w:r w:rsidR="00F51C36">
        <w:t>;</w:t>
      </w:r>
      <w:r w:rsidR="00025681" w:rsidDel="00F51C36">
        <w:t xml:space="preserve"> </w:t>
      </w:r>
      <w:r w:rsidRPr="00772ABE">
        <w:t xml:space="preserve">and </w:t>
      </w:r>
      <w:r w:rsidR="009673FC">
        <w:t xml:space="preserve">under the </w:t>
      </w:r>
      <w:proofErr w:type="spellStart"/>
      <w:r w:rsidR="003F55D2">
        <w:t>MDB</w:t>
      </w:r>
      <w:proofErr w:type="spellEnd"/>
      <w:r w:rsidR="009673FC">
        <w:t xml:space="preserve"> Agreement,</w:t>
      </w:r>
      <w:r w:rsidRPr="00772ABE">
        <w:t xml:space="preserve"> it </w:t>
      </w:r>
      <w:r w:rsidR="003C6AD4">
        <w:t xml:space="preserve">is </w:t>
      </w:r>
      <w:r w:rsidR="008E0530">
        <w:t xml:space="preserve">funded by </w:t>
      </w:r>
      <w:r w:rsidR="000B7A76">
        <w:t xml:space="preserve">and </w:t>
      </w:r>
      <w:r w:rsidRPr="00772ABE">
        <w:t xml:space="preserve">delivers River Murray operations and joint programs on behalf of the </w:t>
      </w:r>
      <w:proofErr w:type="spellStart"/>
      <w:r w:rsidRPr="00772ABE">
        <w:t>MDB</w:t>
      </w:r>
      <w:proofErr w:type="spellEnd"/>
      <w:r w:rsidRPr="00772ABE">
        <w:t xml:space="preserve"> Ministerial Council</w:t>
      </w:r>
      <w:r w:rsidRPr="00FF4AF8">
        <w:t>.</w:t>
      </w:r>
    </w:p>
    <w:p w:rsidR="00BE2A96" w:rsidRDefault="00BE2A96" w:rsidP="00BE2A96">
      <w:pPr>
        <w:pStyle w:val="ListBullet"/>
      </w:pPr>
      <w:r w:rsidRPr="00F4322B">
        <w:t>the</w:t>
      </w:r>
      <w:r w:rsidRPr="00F4322B" w:rsidDel="00830680">
        <w:t xml:space="preserve"> </w:t>
      </w:r>
      <w:r w:rsidR="00830680">
        <w:t>dual</w:t>
      </w:r>
      <w:r w:rsidR="00830680" w:rsidRPr="00F4322B">
        <w:t xml:space="preserve"> </w:t>
      </w:r>
      <w:r w:rsidRPr="00F4322B">
        <w:t xml:space="preserve">roles of </w:t>
      </w:r>
      <w:r w:rsidR="00666527">
        <w:t>the Basin Officials Committee (</w:t>
      </w:r>
      <w:r w:rsidRPr="00F4322B">
        <w:t>BOC</w:t>
      </w:r>
      <w:r w:rsidR="00666527">
        <w:t>)</w:t>
      </w:r>
      <w:r w:rsidR="00830680">
        <w:t>:</w:t>
      </w:r>
      <w:r w:rsidRPr="00F4322B" w:rsidDel="00830680">
        <w:t xml:space="preserve"> </w:t>
      </w:r>
      <w:r w:rsidRPr="00F4322B">
        <w:t xml:space="preserve">it directs the </w:t>
      </w:r>
      <w:proofErr w:type="spellStart"/>
      <w:r w:rsidRPr="00F4322B">
        <w:t>MDBA</w:t>
      </w:r>
      <w:proofErr w:type="spellEnd"/>
      <w:r w:rsidRPr="00F4322B">
        <w:t xml:space="preserve"> on </w:t>
      </w:r>
      <w:proofErr w:type="spellStart"/>
      <w:r w:rsidRPr="00F4322B">
        <w:t>MDB</w:t>
      </w:r>
      <w:proofErr w:type="spellEnd"/>
      <w:r w:rsidRPr="00F4322B">
        <w:t xml:space="preserve"> </w:t>
      </w:r>
      <w:r w:rsidRPr="00150B34">
        <w:t>Agreement functions</w:t>
      </w:r>
      <w:r>
        <w:t xml:space="preserve"> and</w:t>
      </w:r>
      <w:r w:rsidRPr="00150B34">
        <w:t xml:space="preserve"> it requires the support of </w:t>
      </w:r>
      <w:r w:rsidR="00830680">
        <w:t xml:space="preserve">and is overseen by </w:t>
      </w:r>
      <w:r w:rsidRPr="00150B34">
        <w:t xml:space="preserve">the </w:t>
      </w:r>
      <w:proofErr w:type="spellStart"/>
      <w:r w:rsidRPr="00150B34">
        <w:t>MDBA</w:t>
      </w:r>
      <w:proofErr w:type="spellEnd"/>
      <w:r w:rsidRPr="00150B34">
        <w:t xml:space="preserve"> </w:t>
      </w:r>
      <w:r>
        <w:t>in undertaking its Basin Plan responsibilities.</w:t>
      </w:r>
    </w:p>
    <w:p w:rsidR="002E6DCF" w:rsidRDefault="00BE2A96" w:rsidP="002E6DCF">
      <w:pPr>
        <w:pStyle w:val="BodyText"/>
      </w:pPr>
      <w:r>
        <w:t xml:space="preserve">Ultimately, the Australian Government, the </w:t>
      </w:r>
      <w:proofErr w:type="spellStart"/>
      <w:r>
        <w:t>MDBA</w:t>
      </w:r>
      <w:proofErr w:type="spellEnd"/>
      <w:r>
        <w:t xml:space="preserve"> and the </w:t>
      </w:r>
      <w:r w:rsidR="00AE52C7">
        <w:t xml:space="preserve">Basin </w:t>
      </w:r>
      <w:r>
        <w:t>States have to work together to effectively implement the Basin Plan.</w:t>
      </w:r>
      <w:r w:rsidDel="00B32325">
        <w:t xml:space="preserve"> </w:t>
      </w:r>
      <w:r>
        <w:t xml:space="preserve">The institutional and governance arrangements for the Basin are explored further in </w:t>
      </w:r>
      <w:r w:rsidR="00B37F8F">
        <w:t>s</w:t>
      </w:r>
      <w:r>
        <w:t>ection</w:t>
      </w:r>
      <w:r w:rsidR="00B37F8F">
        <w:t> </w:t>
      </w:r>
      <w:r w:rsidR="00CF6549">
        <w:t>5</w:t>
      </w:r>
      <w:r>
        <w:t>.</w:t>
      </w:r>
    </w:p>
    <w:p w:rsidR="009744FA" w:rsidRPr="009744FA" w:rsidRDefault="00E120C7" w:rsidP="00F4322B">
      <w:pPr>
        <w:pStyle w:val="Heading2"/>
        <w:rPr>
          <w:noProof/>
        </w:rPr>
      </w:pPr>
      <w:bookmarkStart w:id="29" w:name="_Toc504573546"/>
      <w:bookmarkStart w:id="30" w:name="_Toc504576660"/>
      <w:bookmarkStart w:id="31" w:name="_Toc504576706"/>
      <w:bookmarkStart w:id="32" w:name="_Toc504579557"/>
      <w:bookmarkStart w:id="33" w:name="_Toc505802563"/>
      <w:bookmarkStart w:id="34" w:name="_Toc506967719"/>
      <w:bookmarkStart w:id="35" w:name="_Toc506967936"/>
      <w:bookmarkStart w:id="36" w:name="_Toc506968434"/>
      <w:bookmarkStart w:id="37" w:name="_Toc506968470"/>
      <w:bookmarkStart w:id="38" w:name="_Toc506968738"/>
      <w:bookmarkStart w:id="39" w:name="_Toc506968783"/>
      <w:bookmarkStart w:id="40" w:name="_Toc506968844"/>
      <w:bookmarkStart w:id="41" w:name="_Toc506968934"/>
      <w:bookmarkStart w:id="42" w:name="_Toc508287772"/>
      <w:bookmarkStart w:id="43" w:name="_Toc508289809"/>
      <w:r>
        <w:rPr>
          <w:noProof/>
        </w:rPr>
        <w:t>3</w:t>
      </w:r>
      <w:r w:rsidR="009744FA" w:rsidRPr="009744FA">
        <w:rPr>
          <w:noProof/>
        </w:rPr>
        <w:tab/>
      </w:r>
      <w:bookmarkEnd w:id="29"/>
      <w:bookmarkEnd w:id="30"/>
      <w:bookmarkEnd w:id="31"/>
      <w:bookmarkEnd w:id="32"/>
      <w:bookmarkEnd w:id="33"/>
      <w:r w:rsidR="00FD0FAB">
        <w:rPr>
          <w:noProof/>
        </w:rPr>
        <w:t xml:space="preserve">The Commission’s </w:t>
      </w:r>
      <w:r w:rsidR="00A91343">
        <w:rPr>
          <w:noProof/>
        </w:rPr>
        <w:t xml:space="preserve">assessment </w:t>
      </w:r>
      <w:r w:rsidR="00FD0FAB">
        <w:rPr>
          <w:noProof/>
        </w:rPr>
        <w:t>approach</w:t>
      </w:r>
      <w:bookmarkEnd w:id="34"/>
      <w:bookmarkEnd w:id="35"/>
      <w:bookmarkEnd w:id="36"/>
      <w:bookmarkEnd w:id="37"/>
      <w:bookmarkEnd w:id="38"/>
      <w:bookmarkEnd w:id="39"/>
      <w:bookmarkEnd w:id="40"/>
      <w:bookmarkEnd w:id="41"/>
      <w:bookmarkEnd w:id="42"/>
      <w:bookmarkEnd w:id="43"/>
    </w:p>
    <w:p w:rsidR="00B91E18" w:rsidRPr="00B91E18" w:rsidRDefault="00B91E18" w:rsidP="003449EF">
      <w:pPr>
        <w:pStyle w:val="BodyText"/>
      </w:pPr>
      <w:r w:rsidRPr="00B91E18">
        <w:t xml:space="preserve">The Commission has been asked to assess the effectiveness of the implementation of the Basin Plan. </w:t>
      </w:r>
      <w:r w:rsidR="00ED33F5" w:rsidRPr="00ED33F5">
        <w:t xml:space="preserve">Effectiveness is the extent to which a policy achieves its intended outcome. </w:t>
      </w:r>
      <w:r w:rsidR="000B4909" w:rsidRPr="00B91E18">
        <w:t>For the Basin Plan, the intended outcome is ‘a healthy and working Basin’ (Basin Plan, s.</w:t>
      </w:r>
      <w:r w:rsidR="006542A8">
        <w:t> </w:t>
      </w:r>
      <w:r w:rsidR="000B4909" w:rsidRPr="00B91E18">
        <w:t>5.02)</w:t>
      </w:r>
      <w:r w:rsidR="00B251F9">
        <w:t>.</w:t>
      </w:r>
      <w:r w:rsidR="000B4909" w:rsidRPr="00B91E18">
        <w:t xml:space="preserve"> </w:t>
      </w:r>
      <w:r w:rsidR="00B251F9">
        <w:t>The</w:t>
      </w:r>
      <w:r w:rsidR="00DE2B48">
        <w:t xml:space="preserve"> P</w:t>
      </w:r>
      <w:r w:rsidR="00D26FC3" w:rsidRPr="00D26FC3">
        <w:t xml:space="preserve">lan outlines the objectives, environmental targets and the </w:t>
      </w:r>
      <w:proofErr w:type="spellStart"/>
      <w:r w:rsidR="00D26FC3" w:rsidRPr="00D26FC3">
        <w:t>SDLs</w:t>
      </w:r>
      <w:proofErr w:type="spellEnd"/>
      <w:r w:rsidR="00D26FC3" w:rsidRPr="00D26FC3">
        <w:t xml:space="preserve"> which would enable that outcome to be delivered in the longer term. In undertaking its assessment, the Commission will accept these as the starting point of the </w:t>
      </w:r>
      <w:r w:rsidR="00D26FC3">
        <w:t>i</w:t>
      </w:r>
      <w:r w:rsidR="00D26FC3" w:rsidRPr="00D26FC3">
        <w:t>nquiry</w:t>
      </w:r>
      <w:r w:rsidR="000B4909" w:rsidRPr="00B91E18">
        <w:t>.</w:t>
      </w:r>
      <w:r w:rsidR="000B4909" w:rsidRPr="000B4909">
        <w:t xml:space="preserve"> </w:t>
      </w:r>
    </w:p>
    <w:p w:rsidR="00EF5FA1" w:rsidRDefault="009744FA" w:rsidP="003449EF">
      <w:pPr>
        <w:pStyle w:val="BodyText"/>
      </w:pPr>
      <w:r w:rsidRPr="009744FA">
        <w:t xml:space="preserve">The Commission will assess the Basin Plan’s effectiveness by gauging the extent to which </w:t>
      </w:r>
      <w:r w:rsidR="005D0913">
        <w:t>the following are</w:t>
      </w:r>
      <w:r w:rsidR="00EF5FA1">
        <w:t xml:space="preserve"> </w:t>
      </w:r>
      <w:r w:rsidR="00EF5FA1" w:rsidRPr="009744FA">
        <w:t>on track to be delivered within legislated timeframes</w:t>
      </w:r>
      <w:r w:rsidR="00EF5FA1">
        <w:t>:</w:t>
      </w:r>
    </w:p>
    <w:p w:rsidR="00EF5FA1" w:rsidRDefault="009744FA" w:rsidP="006C28E0">
      <w:pPr>
        <w:pStyle w:val="ListBullet"/>
        <w:rPr>
          <w:color w:val="000000" w:themeColor="text1"/>
        </w:rPr>
      </w:pPr>
      <w:r w:rsidRPr="009744FA">
        <w:t xml:space="preserve">actions required to implement the </w:t>
      </w:r>
      <w:r w:rsidR="001A678A">
        <w:t xml:space="preserve">various </w:t>
      </w:r>
      <w:r w:rsidR="00D72DAE">
        <w:rPr>
          <w:color w:val="000000" w:themeColor="text1"/>
        </w:rPr>
        <w:t>elements</w:t>
      </w:r>
      <w:r w:rsidR="00EF5FA1">
        <w:rPr>
          <w:color w:val="000000" w:themeColor="text1"/>
        </w:rPr>
        <w:t xml:space="preserve"> of the Basin Plan</w:t>
      </w:r>
    </w:p>
    <w:p w:rsidR="00EF5FA1" w:rsidRPr="00EF5FA1" w:rsidRDefault="009744FA" w:rsidP="006C28E0">
      <w:pPr>
        <w:pStyle w:val="ListBullet"/>
      </w:pPr>
      <w:r w:rsidRPr="00EF5FA1">
        <w:t>water recovery and other targets</w:t>
      </w:r>
      <w:r w:rsidR="00EF5FA1">
        <w:t>.</w:t>
      </w:r>
    </w:p>
    <w:p w:rsidR="009744FA" w:rsidRPr="003449EF" w:rsidRDefault="006B0153" w:rsidP="003449EF">
      <w:pPr>
        <w:pStyle w:val="BodyText"/>
      </w:pPr>
      <w:r w:rsidRPr="003449EF">
        <w:t>T</w:t>
      </w:r>
      <w:r w:rsidR="009744FA" w:rsidRPr="003449EF">
        <w:t>hese will be used as proxies for the (difficult to measure) intended outcome of the Plan.</w:t>
      </w:r>
    </w:p>
    <w:p w:rsidR="00EA34F2" w:rsidRDefault="009744FA" w:rsidP="003449EF">
      <w:pPr>
        <w:pStyle w:val="BodyText"/>
      </w:pPr>
      <w:r w:rsidRPr="009744FA">
        <w:t>Effectiveness will be assessed in terms of the extent to which</w:t>
      </w:r>
      <w:r w:rsidR="00EA34F2">
        <w:t>:</w:t>
      </w:r>
    </w:p>
    <w:p w:rsidR="00EA34F2" w:rsidRDefault="00FF6E05" w:rsidP="00EA34F2">
      <w:pPr>
        <w:pStyle w:val="ListBullet"/>
      </w:pPr>
      <w:r w:rsidRPr="009744FA">
        <w:t>current progress is</w:t>
      </w:r>
      <w:r w:rsidR="009744FA" w:rsidRPr="009744FA">
        <w:t xml:space="preserve"> on schedule</w:t>
      </w:r>
      <w:r w:rsidR="00CF7268" w:rsidRPr="00CF7268">
        <w:t xml:space="preserve"> </w:t>
      </w:r>
      <w:r w:rsidR="00CF7268">
        <w:t xml:space="preserve">for </w:t>
      </w:r>
      <w:r w:rsidR="00000462">
        <w:t xml:space="preserve">each </w:t>
      </w:r>
      <w:r w:rsidR="00CF7268">
        <w:t>element of the Basin Plan</w:t>
      </w:r>
    </w:p>
    <w:p w:rsidR="00EA34F2" w:rsidRDefault="009744FA" w:rsidP="00EA34F2">
      <w:pPr>
        <w:pStyle w:val="ListBullet"/>
      </w:pPr>
      <w:r w:rsidRPr="009744FA">
        <w:t xml:space="preserve">future progress </w:t>
      </w:r>
      <w:r w:rsidR="00C43055">
        <w:t xml:space="preserve">is likely to </w:t>
      </w:r>
      <w:r w:rsidRPr="009744FA">
        <w:t xml:space="preserve">meet legislated </w:t>
      </w:r>
      <w:r w:rsidR="005F6FEA">
        <w:t>time</w:t>
      </w:r>
      <w:r w:rsidR="00AA3A6D">
        <w:t>frames</w:t>
      </w:r>
      <w:r w:rsidR="005F6FEA" w:rsidRPr="009744FA">
        <w:t xml:space="preserve"> </w:t>
      </w:r>
      <w:r w:rsidRPr="009744FA">
        <w:t xml:space="preserve">to fully implement the </w:t>
      </w:r>
      <w:r w:rsidR="00D72DAE">
        <w:rPr>
          <w:color w:val="000000" w:themeColor="text1"/>
        </w:rPr>
        <w:t xml:space="preserve">elements </w:t>
      </w:r>
      <w:r w:rsidRPr="009744FA">
        <w:t>and achieve associated targets</w:t>
      </w:r>
      <w:r w:rsidR="008E14DA">
        <w:t>.</w:t>
      </w:r>
    </w:p>
    <w:p w:rsidR="009744FA" w:rsidRPr="009744FA" w:rsidRDefault="009744FA" w:rsidP="003449EF">
      <w:pPr>
        <w:pStyle w:val="BodyText"/>
      </w:pPr>
      <w:r w:rsidRPr="009744FA">
        <w:t xml:space="preserve">Where possible, and considered important, the Commission will also assess the Basin Plan’s cost effectiveness (cost of achieving the intended outcome) and technical efficiency (quantity of inputs used to produce a given level of output, such as a particular volume of recovered water). The relationship between these concepts and effectiveness is outlined in </w:t>
      </w:r>
      <w:r w:rsidRPr="002E61E4">
        <w:rPr>
          <w:rStyle w:val="BodyTextChar"/>
        </w:rPr>
        <w:t>figure </w:t>
      </w:r>
      <w:r w:rsidR="00423635">
        <w:rPr>
          <w:rStyle w:val="BodyTextChar"/>
        </w:rPr>
        <w:t>4</w:t>
      </w:r>
      <w:r w:rsidRPr="009744FA">
        <w:t>.</w:t>
      </w:r>
    </w:p>
    <w:p w:rsidR="00A22B32" w:rsidRPr="009744FA" w:rsidRDefault="00A22B32" w:rsidP="00A22B32">
      <w:pPr>
        <w:spacing w:before="240" w:line="300" w:lineRule="atLeast"/>
        <w:jc w:val="both"/>
      </w:pPr>
      <w:r w:rsidRPr="009744FA">
        <w:t>The Commission</w:t>
      </w:r>
      <w:r>
        <w:t xml:space="preserve"> </w:t>
      </w:r>
      <w:r w:rsidRPr="009744FA">
        <w:t xml:space="preserve">will place greatest emphasis on assessing required actions and targets </w:t>
      </w:r>
      <w:r>
        <w:t xml:space="preserve">that </w:t>
      </w:r>
      <w:r w:rsidRPr="009744FA">
        <w:t xml:space="preserve">inquiry participants and </w:t>
      </w:r>
      <w:r>
        <w:t>the Commission’s own investigations</w:t>
      </w:r>
      <w:r w:rsidRPr="009744FA">
        <w:t xml:space="preserve"> indicate are most critical to achieving the Plan’s intended outcome</w:t>
      </w:r>
      <w:r>
        <w:t>s</w:t>
      </w:r>
      <w:r w:rsidRPr="009744FA">
        <w:t xml:space="preserve">. </w:t>
      </w:r>
      <w:r>
        <w:t>The Commission is therefore interested in early input on the actions and targets that inquiry participants consider to be most critical to achieving the Plan’s intended outcomes.</w:t>
      </w:r>
    </w:p>
    <w:p w:rsidR="009744FA" w:rsidRPr="009744FA" w:rsidRDefault="009744FA" w:rsidP="0023240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62B7F" w:rsidTr="00563B55">
        <w:trPr>
          <w:tblHeader/>
        </w:trPr>
        <w:tc>
          <w:tcPr>
            <w:tcW w:w="5000" w:type="pct"/>
            <w:tcBorders>
              <w:top w:val="single" w:sz="6" w:space="0" w:color="78A22F"/>
              <w:left w:val="nil"/>
              <w:bottom w:val="nil"/>
              <w:right w:val="nil"/>
            </w:tcBorders>
            <w:shd w:val="clear" w:color="auto" w:fill="auto"/>
          </w:tcPr>
          <w:p w:rsidR="00862B7F" w:rsidRPr="00176D3F" w:rsidRDefault="00862B7F" w:rsidP="00862B7F">
            <w:pPr>
              <w:pStyle w:val="FigureTitle"/>
            </w:pPr>
            <w:r w:rsidRPr="00784A05">
              <w:rPr>
                <w:b w:val="0"/>
              </w:rPr>
              <w:t xml:space="preserve">Figure </w:t>
            </w:r>
            <w:bookmarkStart w:id="44" w:name="OLE_LINK2"/>
            <w:r w:rsidR="00E120C7">
              <w:rPr>
                <w:b w:val="0"/>
                <w:noProof/>
              </w:rPr>
              <w:t>4</w:t>
            </w:r>
            <w:bookmarkEnd w:id="44"/>
            <w:r>
              <w:tab/>
            </w:r>
            <w:r w:rsidRPr="00862B7F">
              <w:t>The Commission’s approach to assessing the Basin Plan</w:t>
            </w:r>
          </w:p>
        </w:tc>
      </w:tr>
      <w:tr w:rsidR="00862B7F" w:rsidTr="00563B55">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862B7F" w:rsidRPr="00B1465D" w:rsidTr="0023240A">
              <w:trPr>
                <w:tblHeader/>
                <w:jc w:val="center"/>
              </w:trPr>
              <w:tc>
                <w:tcPr>
                  <w:tcW w:w="5000" w:type="pct"/>
                  <w:tcBorders>
                    <w:top w:val="nil"/>
                    <w:bottom w:val="nil"/>
                  </w:tcBorders>
                </w:tcPr>
                <w:p w:rsidR="00862B7F" w:rsidRPr="00B1465D" w:rsidRDefault="006F3832" w:rsidP="0023240A">
                  <w:pPr>
                    <w:pStyle w:val="Figure"/>
                    <w:spacing w:before="60" w:after="60"/>
                    <w:rPr>
                      <w:rFonts w:ascii="Arial" w:hAnsi="Arial" w:cs="Arial"/>
                      <w:sz w:val="18"/>
                      <w:szCs w:val="18"/>
                    </w:rPr>
                  </w:pPr>
                  <w:r w:rsidRPr="006F3832">
                    <w:rPr>
                      <w:rFonts w:ascii="Arial" w:hAnsi="Arial" w:cs="Arial"/>
                      <w:noProof/>
                      <w:sz w:val="18"/>
                      <w:szCs w:val="18"/>
                    </w:rPr>
                    <w:drawing>
                      <wp:inline distT="0" distB="0" distL="0" distR="0" wp14:anchorId="619F9D75" wp14:editId="57947049">
                        <wp:extent cx="5325161" cy="4663440"/>
                        <wp:effectExtent l="0" t="0" r="8890" b="0"/>
                        <wp:docPr id="4" name="Picture 4" descr="The Commission has been asked to assess the effectiveness of the implementation of the Basin Plan. Effectiveness is the extent to which a policy achieves its intended outcome. &#10;Where possible, and considered important, the Commission will also assess the Basin Plan’s cost effectiveness (which is the cost of achieving the intended outcome) and technical efficiency (which is the quantity of inputs used to produce a given level of output, such as a particular volume of recovered water).&#10;" title="Figure 4, The Commission’s approach to assessing the Basi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26444" cy="4664564"/>
                                </a:xfrm>
                                <a:prstGeom prst="rect">
                                  <a:avLst/>
                                </a:prstGeom>
                                <a:noFill/>
                                <a:ln>
                                  <a:noFill/>
                                </a:ln>
                              </pic:spPr>
                            </pic:pic>
                          </a:graphicData>
                        </a:graphic>
                      </wp:inline>
                    </w:drawing>
                  </w:r>
                </w:p>
              </w:tc>
            </w:tr>
          </w:tbl>
          <w:p w:rsidR="00862B7F" w:rsidRDefault="00862B7F" w:rsidP="0023240A">
            <w:pPr>
              <w:pStyle w:val="Figure"/>
            </w:pPr>
          </w:p>
        </w:tc>
      </w:tr>
      <w:tr w:rsidR="00862B7F" w:rsidTr="00563B55">
        <w:tc>
          <w:tcPr>
            <w:tcW w:w="5000" w:type="pct"/>
            <w:tcBorders>
              <w:top w:val="nil"/>
              <w:left w:val="nil"/>
              <w:bottom w:val="single" w:sz="6" w:space="0" w:color="78A22F"/>
              <w:right w:val="nil"/>
            </w:tcBorders>
            <w:shd w:val="clear" w:color="auto" w:fill="auto"/>
          </w:tcPr>
          <w:p w:rsidR="00862B7F" w:rsidRDefault="00862B7F" w:rsidP="0023240A">
            <w:pPr>
              <w:pStyle w:val="Figurespace"/>
            </w:pPr>
          </w:p>
        </w:tc>
      </w:tr>
      <w:tr w:rsidR="00862B7F" w:rsidRPr="000863A5" w:rsidTr="00563B55">
        <w:tc>
          <w:tcPr>
            <w:tcW w:w="5000" w:type="pct"/>
            <w:tcBorders>
              <w:top w:val="single" w:sz="6" w:space="0" w:color="78A22F"/>
              <w:left w:val="nil"/>
              <w:bottom w:val="nil"/>
              <w:right w:val="nil"/>
            </w:tcBorders>
          </w:tcPr>
          <w:p w:rsidR="00862B7F" w:rsidRPr="00626D32" w:rsidRDefault="00862B7F" w:rsidP="0023240A">
            <w:pPr>
              <w:pStyle w:val="BoxSpaceBelow"/>
            </w:pPr>
          </w:p>
        </w:tc>
      </w:tr>
    </w:tbl>
    <w:p w:rsidR="009744FA" w:rsidRPr="009744FA" w:rsidRDefault="009744FA" w:rsidP="009744FA">
      <w:pPr>
        <w:keepNext/>
        <w:spacing w:before="240" w:line="300" w:lineRule="atLeast"/>
        <w:jc w:val="both"/>
      </w:pPr>
      <w:r w:rsidRPr="009744FA">
        <w:t>It</w:t>
      </w:r>
      <w:r w:rsidRPr="009744FA" w:rsidDel="001901CC">
        <w:t xml:space="preserve"> </w:t>
      </w:r>
      <w:r w:rsidRPr="009744FA">
        <w:t xml:space="preserve">will </w:t>
      </w:r>
      <w:r w:rsidR="00C32FB1">
        <w:t xml:space="preserve">only </w:t>
      </w:r>
      <w:r w:rsidRPr="009744FA">
        <w:t xml:space="preserve">be possible to quantify progress on required actions and targets for some </w:t>
      </w:r>
      <w:r w:rsidR="00111CBA">
        <w:rPr>
          <w:color w:val="000000" w:themeColor="text1"/>
        </w:rPr>
        <w:t>elements</w:t>
      </w:r>
      <w:r w:rsidRPr="009744FA">
        <w:t xml:space="preserve">, such as the number of </w:t>
      </w:r>
      <w:proofErr w:type="spellStart"/>
      <w:r w:rsidRPr="009744FA">
        <w:t>WRPs</w:t>
      </w:r>
      <w:proofErr w:type="spellEnd"/>
      <w:r w:rsidRPr="009744FA">
        <w:t xml:space="preserve"> accredited and volume of water recovered. The Commission will supplement this with </w:t>
      </w:r>
      <w:r w:rsidR="004259E7">
        <w:t xml:space="preserve">a </w:t>
      </w:r>
      <w:r w:rsidRPr="009744FA">
        <w:t>qualitative analysis of implementation of the Basin Plan</w:t>
      </w:r>
      <w:r w:rsidR="004259E7">
        <w:t>,</w:t>
      </w:r>
      <w:r w:rsidR="00316CD1" w:rsidRPr="00316CD1">
        <w:t xml:space="preserve"> </w:t>
      </w:r>
      <w:r w:rsidR="00200A00">
        <w:t>including</w:t>
      </w:r>
      <w:r w:rsidR="00316CD1" w:rsidRPr="00316CD1">
        <w:t xml:space="preserve"> the process</w:t>
      </w:r>
      <w:r w:rsidR="00200A00">
        <w:t>es</w:t>
      </w:r>
      <w:r w:rsidR="00316CD1" w:rsidRPr="00316CD1">
        <w:t xml:space="preserve"> by which this is being achieved</w:t>
      </w:r>
      <w:r w:rsidRPr="009744FA">
        <w:t xml:space="preserve">. </w:t>
      </w:r>
      <w:r w:rsidR="00D853CD">
        <w:t xml:space="preserve">The qualitative analysis </w:t>
      </w:r>
      <w:r w:rsidR="005A0BE2">
        <w:t>will, among other things, examine</w:t>
      </w:r>
      <w:r w:rsidRPr="009744FA">
        <w:t>:</w:t>
      </w:r>
    </w:p>
    <w:p w:rsidR="009744FA" w:rsidRPr="009744FA" w:rsidRDefault="009744FA" w:rsidP="006C28E0">
      <w:pPr>
        <w:pStyle w:val="ListBullet"/>
      </w:pPr>
      <w:r w:rsidRPr="009744FA">
        <w:t>what policy instruments are being used, the extent to which they directly influence the targeted objective, and whether the objective conflicts with what is being sought and done elsewhere in the Basin Plan</w:t>
      </w:r>
    </w:p>
    <w:p w:rsidR="009744FA" w:rsidRPr="009744FA" w:rsidRDefault="009744FA" w:rsidP="006C28E0">
      <w:pPr>
        <w:pStyle w:val="ListBullet"/>
      </w:pPr>
      <w:r w:rsidRPr="009744FA">
        <w:t>how clear are the steps to be taken, their timing, roles of different parties, and what the objective is</w:t>
      </w:r>
    </w:p>
    <w:p w:rsidR="009744FA" w:rsidRPr="009744FA" w:rsidRDefault="009744FA" w:rsidP="006C28E0">
      <w:pPr>
        <w:pStyle w:val="ListBullet"/>
      </w:pPr>
      <w:r w:rsidRPr="009744FA">
        <w:t xml:space="preserve">risks to achieving </w:t>
      </w:r>
      <w:r w:rsidR="00820E16">
        <w:t xml:space="preserve">the management objectives and outcomes, as well as </w:t>
      </w:r>
      <w:r w:rsidR="00E90FD1">
        <w:t>any targets,</w:t>
      </w:r>
      <w:r w:rsidR="00820E16">
        <w:t xml:space="preserve"> s</w:t>
      </w:r>
      <w:r w:rsidR="00E90FD1">
        <w:t>et out in the Plan</w:t>
      </w:r>
      <w:r w:rsidRPr="009744FA">
        <w:t>; uncertainty about impacts on communities, industries and the environment; and whether adaptive management is built in to policies, such as scope for timely and low</w:t>
      </w:r>
      <w:r w:rsidR="00B37F8F">
        <w:noBreakHyphen/>
      </w:r>
      <w:r w:rsidRPr="009744FA">
        <w:t>cost adjustment to policy settings in response to new information</w:t>
      </w:r>
    </w:p>
    <w:p w:rsidR="009744FA" w:rsidRPr="009744FA" w:rsidRDefault="009744FA" w:rsidP="006C28E0">
      <w:pPr>
        <w:pStyle w:val="ListBullet"/>
      </w:pPr>
      <w:r w:rsidRPr="009744FA">
        <w:lastRenderedPageBreak/>
        <w:t>institutional</w:t>
      </w:r>
      <w:r w:rsidRPr="009744FA" w:rsidDel="00B407A7">
        <w:t xml:space="preserve"> </w:t>
      </w:r>
      <w:r w:rsidRPr="009744FA">
        <w:t>and governance</w:t>
      </w:r>
      <w:r w:rsidR="00B407A7" w:rsidRPr="00B407A7">
        <w:t xml:space="preserve"> </w:t>
      </w:r>
      <w:r w:rsidR="00B407A7" w:rsidRPr="009744FA">
        <w:t>arrangements</w:t>
      </w:r>
      <w:r w:rsidRPr="009744FA">
        <w:t xml:space="preserve">, </w:t>
      </w:r>
      <w:r w:rsidR="00D7191F">
        <w:t xml:space="preserve">for both the individual elements of the Plan and the Plan as a whole, </w:t>
      </w:r>
      <w:r w:rsidRPr="009744FA">
        <w:t>including whether there are clear lines of responsibility and accountability</w:t>
      </w:r>
      <w:r w:rsidR="009905CB">
        <w:t>;</w:t>
      </w:r>
      <w:r w:rsidRPr="009744FA">
        <w:t xml:space="preserve"> assignment of functions to agencies best equipped to deliver them</w:t>
      </w:r>
      <w:r w:rsidR="009905CB">
        <w:t>;</w:t>
      </w:r>
      <w:r w:rsidRPr="009744FA">
        <w:t xml:space="preserve"> credible monitoring</w:t>
      </w:r>
      <w:r w:rsidR="005E0080">
        <w:t>, reporting</w:t>
      </w:r>
      <w:r w:rsidRPr="009744FA">
        <w:t xml:space="preserve"> and enforcement</w:t>
      </w:r>
      <w:r w:rsidR="009905CB">
        <w:t>;</w:t>
      </w:r>
      <w:r w:rsidRPr="009744FA">
        <w:t xml:space="preserve"> and a separation of regulatory and policy</w:t>
      </w:r>
      <w:r w:rsidR="00B37F8F">
        <w:noBreakHyphen/>
      </w:r>
      <w:r w:rsidRPr="009744FA">
        <w:t>making functions</w:t>
      </w:r>
    </w:p>
    <w:p w:rsidR="009744FA" w:rsidRPr="009744FA" w:rsidRDefault="009744FA" w:rsidP="005C6A3D">
      <w:pPr>
        <w:pStyle w:val="ListBullet"/>
      </w:pPr>
      <w:r w:rsidRPr="006C28E0">
        <w:rPr>
          <w:rStyle w:val="ListBulletChar"/>
        </w:rPr>
        <w:t xml:space="preserve">whether the steps actually taken have been consistent with </w:t>
      </w:r>
      <w:r w:rsidR="00CA7F23" w:rsidRPr="00CA7F23">
        <w:t>stated policies and agreed methodologies;</w:t>
      </w:r>
      <w:r w:rsidR="00CA7F23">
        <w:t xml:space="preserve"> </w:t>
      </w:r>
      <w:r w:rsidRPr="006C28E0">
        <w:rPr>
          <w:rStyle w:val="ListBulletChar"/>
        </w:rPr>
        <w:t>how trade</w:t>
      </w:r>
      <w:r w:rsidR="00B37F8F">
        <w:rPr>
          <w:rStyle w:val="ListBulletChar"/>
        </w:rPr>
        <w:noBreakHyphen/>
      </w:r>
      <w:r w:rsidRPr="009744FA">
        <w:t xml:space="preserve">offs have been made between different water uses; whether there been any observed changes to local communities, industries and the environment; and what concerns, policy flaws or barriers have been exposed during </w:t>
      </w:r>
      <w:r w:rsidR="00B25046" w:rsidRPr="00B25046">
        <w:t xml:space="preserve">implementation </w:t>
      </w:r>
      <w:r w:rsidR="004E159F">
        <w:t xml:space="preserve">that </w:t>
      </w:r>
      <w:r w:rsidR="00B25046" w:rsidRPr="00B25046">
        <w:t>need to be addressed to achieve</w:t>
      </w:r>
      <w:r w:rsidR="008E0F58">
        <w:t xml:space="preserve"> the intended outcome </w:t>
      </w:r>
      <w:r w:rsidR="00B25046" w:rsidRPr="00B25046">
        <w:t xml:space="preserve">of </w:t>
      </w:r>
      <w:r w:rsidR="008E0F58">
        <w:t xml:space="preserve">the </w:t>
      </w:r>
      <w:r w:rsidR="00B25046" w:rsidRPr="00B25046">
        <w:t>Basin Plan in the long term</w:t>
      </w:r>
      <w:r w:rsidRPr="009744FA">
        <w:t>.</w:t>
      </w:r>
    </w:p>
    <w:p w:rsidR="009744FA" w:rsidRPr="009744FA" w:rsidRDefault="009744FA" w:rsidP="009744FA">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744FA" w:rsidRPr="009744FA" w:rsidTr="00563B55">
        <w:trPr>
          <w:tblHeader/>
        </w:trPr>
        <w:tc>
          <w:tcPr>
            <w:tcW w:w="5000" w:type="pct"/>
            <w:tcBorders>
              <w:top w:val="single" w:sz="6" w:space="0" w:color="78A22F"/>
              <w:left w:val="nil"/>
              <w:bottom w:val="nil"/>
              <w:right w:val="nil"/>
            </w:tcBorders>
            <w:shd w:val="clear" w:color="auto" w:fill="auto"/>
          </w:tcPr>
          <w:p w:rsidR="009744FA" w:rsidRPr="009744FA" w:rsidRDefault="009744FA" w:rsidP="009744FA">
            <w:pPr>
              <w:keepNext/>
              <w:keepLines/>
              <w:spacing w:before="120" w:line="280" w:lineRule="atLeast"/>
              <w:jc w:val="both"/>
              <w:rPr>
                <w:rFonts w:ascii="Arial" w:hAnsi="Arial"/>
                <w:i/>
                <w:caps/>
                <w:sz w:val="18"/>
              </w:rPr>
            </w:pPr>
            <w:r w:rsidRPr="009744FA">
              <w:rPr>
                <w:rFonts w:ascii="Arial" w:hAnsi="Arial"/>
                <w:i/>
                <w:caps/>
                <w:sz w:val="18"/>
              </w:rPr>
              <w:t>Information request 1</w:t>
            </w:r>
          </w:p>
        </w:tc>
      </w:tr>
      <w:tr w:rsidR="009744FA" w:rsidRPr="009744FA" w:rsidTr="00563B55">
        <w:tc>
          <w:tcPr>
            <w:tcW w:w="5000" w:type="pct"/>
            <w:tcBorders>
              <w:top w:val="nil"/>
              <w:left w:val="nil"/>
              <w:bottom w:val="nil"/>
              <w:right w:val="nil"/>
            </w:tcBorders>
            <w:shd w:val="clear" w:color="auto" w:fill="auto"/>
          </w:tcPr>
          <w:p w:rsidR="009744FA" w:rsidRPr="009744FA" w:rsidRDefault="009744FA" w:rsidP="00FC06BE">
            <w:pPr>
              <w:pStyle w:val="InformationRequest"/>
              <w:rPr>
                <w:i w:val="0"/>
              </w:rPr>
            </w:pPr>
            <w:r w:rsidRPr="009744FA">
              <w:t xml:space="preserve">The Commission welcomes feedback on its approach to </w:t>
            </w:r>
            <w:r w:rsidRPr="00E6449A">
              <w:t xml:space="preserve">assessing </w:t>
            </w:r>
            <w:r w:rsidR="00771C65" w:rsidRPr="00E6449A">
              <w:t>the Basin Plan</w:t>
            </w:r>
            <w:r w:rsidRPr="00E6449A">
              <w:t>.</w:t>
            </w:r>
            <w:r w:rsidRPr="009744FA">
              <w:rPr>
                <w:i w:val="0"/>
              </w:rPr>
              <w:t xml:space="preserve"> </w:t>
            </w:r>
          </w:p>
        </w:tc>
      </w:tr>
      <w:tr w:rsidR="009744FA" w:rsidRPr="009744FA" w:rsidTr="00563B55">
        <w:tc>
          <w:tcPr>
            <w:tcW w:w="5000" w:type="pct"/>
            <w:tcBorders>
              <w:top w:val="nil"/>
              <w:left w:val="nil"/>
              <w:bottom w:val="single" w:sz="6" w:space="0" w:color="78A22F"/>
              <w:right w:val="nil"/>
            </w:tcBorders>
            <w:shd w:val="clear" w:color="auto" w:fill="auto"/>
          </w:tcPr>
          <w:p w:rsidR="009744FA" w:rsidRPr="009744FA" w:rsidRDefault="009744FA" w:rsidP="009744FA">
            <w:pPr>
              <w:keepNext/>
              <w:keepLines/>
              <w:spacing w:line="120" w:lineRule="exact"/>
              <w:jc w:val="both"/>
              <w:rPr>
                <w:rFonts w:ascii="Arial" w:hAnsi="Arial"/>
                <w:sz w:val="20"/>
              </w:rPr>
            </w:pPr>
          </w:p>
        </w:tc>
      </w:tr>
      <w:tr w:rsidR="009744FA" w:rsidRPr="009744FA" w:rsidTr="00563B55">
        <w:tc>
          <w:tcPr>
            <w:tcW w:w="5000" w:type="pct"/>
            <w:tcBorders>
              <w:top w:val="single" w:sz="6" w:space="0" w:color="78A22F"/>
              <w:left w:val="nil"/>
              <w:bottom w:val="nil"/>
              <w:right w:val="nil"/>
            </w:tcBorders>
          </w:tcPr>
          <w:p w:rsidR="009744FA" w:rsidRPr="009744FA" w:rsidRDefault="009744FA" w:rsidP="009744FA">
            <w:pPr>
              <w:keepLines/>
              <w:spacing w:before="60" w:after="60" w:line="80" w:lineRule="exact"/>
              <w:jc w:val="both"/>
              <w:rPr>
                <w:rFonts w:ascii="Arial" w:hAnsi="Arial"/>
                <w:sz w:val="14"/>
              </w:rPr>
            </w:pPr>
          </w:p>
        </w:tc>
      </w:tr>
    </w:tbl>
    <w:p w:rsidR="009744FA" w:rsidRPr="009744FA" w:rsidRDefault="00E120C7" w:rsidP="00D63D79">
      <w:pPr>
        <w:pStyle w:val="Heading2"/>
      </w:pPr>
      <w:bookmarkStart w:id="45" w:name="OLE_LINK3"/>
      <w:bookmarkStart w:id="46" w:name="_Toc505802564"/>
      <w:bookmarkStart w:id="47" w:name="_Toc504573547"/>
      <w:bookmarkStart w:id="48" w:name="_Toc504576661"/>
      <w:bookmarkStart w:id="49" w:name="_Toc504576707"/>
      <w:bookmarkStart w:id="50" w:name="_Toc504579558"/>
      <w:bookmarkStart w:id="51" w:name="_Toc506967720"/>
      <w:bookmarkStart w:id="52" w:name="_Toc506967937"/>
      <w:bookmarkStart w:id="53" w:name="_Toc506968435"/>
      <w:bookmarkStart w:id="54" w:name="_Toc506968471"/>
      <w:bookmarkStart w:id="55" w:name="_Toc506968739"/>
      <w:bookmarkStart w:id="56" w:name="_Toc506968784"/>
      <w:bookmarkStart w:id="57" w:name="_Toc506968845"/>
      <w:bookmarkStart w:id="58" w:name="_Toc506968935"/>
      <w:bookmarkStart w:id="59" w:name="_Toc508287773"/>
      <w:bookmarkStart w:id="60" w:name="_Toc508289810"/>
      <w:r>
        <w:rPr>
          <w:noProof/>
        </w:rPr>
        <w:t>4</w:t>
      </w:r>
      <w:bookmarkEnd w:id="45"/>
      <w:r w:rsidR="009744FA" w:rsidRPr="009744FA">
        <w:rPr>
          <w:noProof/>
        </w:rPr>
        <w:tab/>
      </w:r>
      <w:r w:rsidR="003A0BDA">
        <w:rPr>
          <w:noProof/>
        </w:rPr>
        <w:t>The key e</w:t>
      </w:r>
      <w:r w:rsidR="00AB7F8B" w:rsidRPr="00AB7F8B">
        <w:rPr>
          <w:noProof/>
        </w:rPr>
        <w:t>lements</w:t>
      </w:r>
      <w:r w:rsidR="00AB7F8B">
        <w:rPr>
          <w:noProof/>
        </w:rPr>
        <w:t xml:space="preserve"> </w:t>
      </w:r>
      <w:bookmarkEnd w:id="46"/>
      <w:bookmarkEnd w:id="47"/>
      <w:bookmarkEnd w:id="48"/>
      <w:bookmarkEnd w:id="49"/>
      <w:bookmarkEnd w:id="50"/>
      <w:r w:rsidR="003A0BDA">
        <w:rPr>
          <w:noProof/>
        </w:rPr>
        <w:t>required to implement the Plan</w:t>
      </w:r>
      <w:bookmarkEnd w:id="51"/>
      <w:bookmarkEnd w:id="52"/>
      <w:bookmarkEnd w:id="53"/>
      <w:bookmarkEnd w:id="54"/>
      <w:bookmarkEnd w:id="55"/>
      <w:bookmarkEnd w:id="56"/>
      <w:bookmarkEnd w:id="57"/>
      <w:bookmarkEnd w:id="58"/>
      <w:bookmarkEnd w:id="59"/>
      <w:bookmarkEnd w:id="60"/>
    </w:p>
    <w:p w:rsidR="001F378D" w:rsidRDefault="008406A7" w:rsidP="009744FA">
      <w:pPr>
        <w:spacing w:before="240" w:line="300" w:lineRule="atLeast"/>
        <w:jc w:val="both"/>
      </w:pPr>
      <w:r>
        <w:t>T</w:t>
      </w:r>
      <w:r w:rsidR="009744FA" w:rsidRPr="009744FA">
        <w:t>he Commission</w:t>
      </w:r>
      <w:r w:rsidR="00F705FE">
        <w:t>’</w:t>
      </w:r>
      <w:r w:rsidR="009744FA" w:rsidRPr="009744FA">
        <w:t xml:space="preserve">s assessment </w:t>
      </w:r>
      <w:r>
        <w:t xml:space="preserve">will </w:t>
      </w:r>
      <w:r w:rsidR="009744FA" w:rsidRPr="009744FA">
        <w:t>involve examining a range of inter</w:t>
      </w:r>
      <w:r w:rsidR="00B37F8F">
        <w:noBreakHyphen/>
      </w:r>
      <w:r w:rsidR="009744FA" w:rsidRPr="009744FA">
        <w:t>related factors that are broadly structured around</w:t>
      </w:r>
      <w:r w:rsidR="009A6B19">
        <w:t>:</w:t>
      </w:r>
      <w:r w:rsidR="009744FA" w:rsidRPr="009744FA">
        <w:t xml:space="preserve"> </w:t>
      </w:r>
    </w:p>
    <w:p w:rsidR="001F378D" w:rsidRPr="0020067D" w:rsidRDefault="009E4228" w:rsidP="0020067D">
      <w:pPr>
        <w:numPr>
          <w:ilvl w:val="0"/>
          <w:numId w:val="2"/>
        </w:numPr>
        <w:spacing w:before="120" w:line="300" w:lineRule="atLeast"/>
        <w:jc w:val="both"/>
      </w:pPr>
      <w:r>
        <w:t>establishing the arrangements for implementing the Plan</w:t>
      </w:r>
      <w:r w:rsidR="001F378D" w:rsidRPr="0020067D">
        <w:t xml:space="preserve"> (</w:t>
      </w:r>
      <w:proofErr w:type="spellStart"/>
      <w:r w:rsidR="001F378D" w:rsidRPr="0020067D">
        <w:t>SDL</w:t>
      </w:r>
      <w:r w:rsidR="00F705FE">
        <w:t>s</w:t>
      </w:r>
      <w:proofErr w:type="spellEnd"/>
      <w:r w:rsidR="001F378D" w:rsidRPr="0020067D">
        <w:t xml:space="preserve"> and </w:t>
      </w:r>
      <w:r w:rsidR="00B71553">
        <w:t>Adjustment;</w:t>
      </w:r>
      <w:r w:rsidR="009A6B19" w:rsidRPr="0020067D">
        <w:t xml:space="preserve"> c</w:t>
      </w:r>
      <w:r w:rsidR="001F378D" w:rsidRPr="0020067D">
        <w:t>onstraints management</w:t>
      </w:r>
      <w:r w:rsidR="00B71553">
        <w:t>;</w:t>
      </w:r>
      <w:r w:rsidR="001F378D" w:rsidRPr="0020067D">
        <w:t xml:space="preserve"> water recovery</w:t>
      </w:r>
      <w:r w:rsidR="00B71553">
        <w:t>;</w:t>
      </w:r>
      <w:r w:rsidR="001F378D" w:rsidRPr="0020067D">
        <w:t xml:space="preserve"> </w:t>
      </w:r>
      <w:r w:rsidR="00CE31BA" w:rsidRPr="0020067D">
        <w:t xml:space="preserve">and </w:t>
      </w:r>
      <w:r w:rsidR="001F378D" w:rsidRPr="0020067D">
        <w:t>structural adjustment</w:t>
      </w:r>
      <w:r w:rsidR="00300989" w:rsidRPr="0020067D">
        <w:t>)</w:t>
      </w:r>
      <w:r w:rsidR="001F378D" w:rsidRPr="0020067D">
        <w:t xml:space="preserve"> </w:t>
      </w:r>
    </w:p>
    <w:p w:rsidR="001F378D" w:rsidRPr="0020067D" w:rsidRDefault="001F378D" w:rsidP="0020067D">
      <w:pPr>
        <w:numPr>
          <w:ilvl w:val="0"/>
          <w:numId w:val="2"/>
        </w:numPr>
        <w:spacing w:before="120" w:line="300" w:lineRule="atLeast"/>
        <w:jc w:val="both"/>
      </w:pPr>
      <w:r w:rsidRPr="0020067D">
        <w:t>plan</w:t>
      </w:r>
      <w:r w:rsidR="009744FA" w:rsidRPr="0020067D">
        <w:t xml:space="preserve"> implementation </w:t>
      </w:r>
      <w:r w:rsidR="004A2A8A">
        <w:t>and long</w:t>
      </w:r>
      <w:r w:rsidR="00B37F8F">
        <w:noBreakHyphen/>
      </w:r>
      <w:r w:rsidR="004A2A8A">
        <w:t xml:space="preserve">term management </w:t>
      </w:r>
      <w:r w:rsidR="009744FA" w:rsidRPr="0020067D">
        <w:t>(</w:t>
      </w:r>
      <w:proofErr w:type="spellStart"/>
      <w:r w:rsidR="00CE31BA" w:rsidRPr="0020067D">
        <w:t>WRPs</w:t>
      </w:r>
      <w:proofErr w:type="spellEnd"/>
      <w:r w:rsidR="006542A8">
        <w:t>;</w:t>
      </w:r>
      <w:r w:rsidRPr="0020067D">
        <w:t xml:space="preserve"> compliance</w:t>
      </w:r>
      <w:r w:rsidR="006542A8">
        <w:t>;</w:t>
      </w:r>
      <w:r w:rsidR="00CE31BA" w:rsidRPr="0020067D">
        <w:t xml:space="preserve"> environmental water planning and management</w:t>
      </w:r>
      <w:r w:rsidR="006542A8">
        <w:t>;</w:t>
      </w:r>
      <w:r w:rsidR="00CE31BA" w:rsidRPr="0020067D">
        <w:t xml:space="preserve"> water quality and salinity management</w:t>
      </w:r>
      <w:r w:rsidR="006542A8">
        <w:t>;</w:t>
      </w:r>
      <w:r w:rsidR="00CE31BA" w:rsidRPr="0020067D">
        <w:t xml:space="preserve"> water trading rules</w:t>
      </w:r>
      <w:r w:rsidR="006542A8">
        <w:t>;</w:t>
      </w:r>
      <w:r w:rsidR="00CE31BA" w:rsidRPr="0020067D">
        <w:t xml:space="preserve"> critical human water needs</w:t>
      </w:r>
      <w:r w:rsidR="006542A8">
        <w:t>;</w:t>
      </w:r>
      <w:r w:rsidR="00CE31BA" w:rsidRPr="0020067D">
        <w:t xml:space="preserve"> and monitoring, evaluation and reporting) </w:t>
      </w:r>
      <w:r w:rsidR="009744FA" w:rsidRPr="0020067D">
        <w:t>(figure</w:t>
      </w:r>
      <w:r w:rsidR="00B03184" w:rsidRPr="0020067D">
        <w:t> </w:t>
      </w:r>
      <w:r w:rsidR="00B036D5">
        <w:t>2</w:t>
      </w:r>
      <w:r w:rsidR="009744FA" w:rsidRPr="0020067D">
        <w:t xml:space="preserve">). </w:t>
      </w:r>
    </w:p>
    <w:p w:rsidR="00213FF3" w:rsidRPr="005D1BD3" w:rsidRDefault="00213FF3" w:rsidP="006C28E0">
      <w:pPr>
        <w:pStyle w:val="Heading3"/>
      </w:pPr>
      <w:r w:rsidRPr="009744FA">
        <w:t xml:space="preserve">Sustainable Diversion Limits </w:t>
      </w:r>
      <w:r w:rsidR="006F18DC">
        <w:t xml:space="preserve">and </w:t>
      </w:r>
      <w:r w:rsidRPr="009744FA">
        <w:t xml:space="preserve">Adjustments </w:t>
      </w:r>
    </w:p>
    <w:p w:rsidR="007335F3" w:rsidRDefault="00213FF3" w:rsidP="00213FF3">
      <w:pPr>
        <w:spacing w:before="240" w:line="300" w:lineRule="atLeast"/>
        <w:jc w:val="both"/>
      </w:pPr>
      <w:proofErr w:type="spellStart"/>
      <w:r>
        <w:t>SDL</w:t>
      </w:r>
      <w:r w:rsidR="00412D9D">
        <w:t>s</w:t>
      </w:r>
      <w:proofErr w:type="spellEnd"/>
      <w:r w:rsidR="00C2496A">
        <w:t xml:space="preserve"> </w:t>
      </w:r>
      <w:r w:rsidR="005E6502">
        <w:t xml:space="preserve">are a core element </w:t>
      </w:r>
      <w:r w:rsidR="00B42384">
        <w:t xml:space="preserve">of </w:t>
      </w:r>
      <w:r w:rsidR="00412D9D">
        <w:t>the Basin Plan</w:t>
      </w:r>
      <w:r>
        <w:t xml:space="preserve">. </w:t>
      </w:r>
      <w:r w:rsidR="00AD48D1">
        <w:t>They</w:t>
      </w:r>
      <w:r w:rsidR="000A083D">
        <w:t xml:space="preserve"> represent the </w:t>
      </w:r>
      <w:r w:rsidR="00F97024">
        <w:t>maximum long</w:t>
      </w:r>
      <w:r w:rsidR="00B37F8F">
        <w:noBreakHyphen/>
      </w:r>
      <w:r w:rsidR="00F97024">
        <w:t>term average</w:t>
      </w:r>
      <w:r w:rsidR="00B37F8F">
        <w:noBreakHyphen/>
      </w:r>
      <w:r w:rsidR="007F5F89">
        <w:t>annual quantities of water that can be taken</w:t>
      </w:r>
      <w:r w:rsidR="000A083D">
        <w:t xml:space="preserve"> </w:t>
      </w:r>
      <w:r w:rsidR="00BF0EFF">
        <w:t xml:space="preserve">from </w:t>
      </w:r>
      <w:r w:rsidR="000A083D">
        <w:t>the water resource areas of the Basin</w:t>
      </w:r>
      <w:r w:rsidR="00CD6BD1">
        <w:t xml:space="preserve">. </w:t>
      </w:r>
    </w:p>
    <w:p w:rsidR="00E371CD" w:rsidRDefault="00E371CD" w:rsidP="00213FF3">
      <w:pPr>
        <w:spacing w:before="240" w:line="300" w:lineRule="atLeast"/>
        <w:jc w:val="both"/>
      </w:pPr>
      <w:r w:rsidRPr="00E371CD">
        <w:t xml:space="preserve">The Basin Plan sets an </w:t>
      </w:r>
      <w:proofErr w:type="spellStart"/>
      <w:r w:rsidRPr="00E371CD">
        <w:t>SDL</w:t>
      </w:r>
      <w:proofErr w:type="spellEnd"/>
      <w:r w:rsidRPr="00E371CD">
        <w:t xml:space="preserve"> for all surface water units at 10</w:t>
      </w:r>
      <w:r w:rsidR="00637CAA">
        <w:t> </w:t>
      </w:r>
      <w:r w:rsidRPr="00E371CD">
        <w:t>873</w:t>
      </w:r>
      <w:r w:rsidR="00637CAA">
        <w:t> </w:t>
      </w:r>
      <w:r w:rsidRPr="00E371CD">
        <w:t xml:space="preserve">GL per year </w:t>
      </w:r>
      <w:r w:rsidR="00BF0EFF">
        <w:t>which requires</w:t>
      </w:r>
      <w:r w:rsidR="00BF0EFF" w:rsidRPr="00E371CD">
        <w:t xml:space="preserve"> </w:t>
      </w:r>
      <w:r w:rsidRPr="00E371CD">
        <w:t xml:space="preserve">a water recovery target of </w:t>
      </w:r>
      <w:r w:rsidR="00637CAA" w:rsidRPr="00E371CD">
        <w:t>2750</w:t>
      </w:r>
      <w:r w:rsidR="00637CAA">
        <w:t> </w:t>
      </w:r>
      <w:r w:rsidRPr="00E371CD">
        <w:t xml:space="preserve">GL (the water recovery target is the difference between the </w:t>
      </w:r>
      <w:proofErr w:type="spellStart"/>
      <w:r w:rsidRPr="00E371CD">
        <w:t>SDL</w:t>
      </w:r>
      <w:proofErr w:type="spellEnd"/>
      <w:r w:rsidRPr="00E371CD">
        <w:t xml:space="preserve"> and estimated diversions prior to the </w:t>
      </w:r>
      <w:r w:rsidR="00D3670F">
        <w:t xml:space="preserve">commencement of the Basin Plan — </w:t>
      </w:r>
      <w:r w:rsidRPr="00E371CD">
        <w:t xml:space="preserve">the baseline diversion limit, or </w:t>
      </w:r>
      <w:proofErr w:type="spellStart"/>
      <w:r w:rsidRPr="00E371CD">
        <w:t>BDL</w:t>
      </w:r>
      <w:proofErr w:type="spellEnd"/>
      <w:r w:rsidRPr="00E371CD">
        <w:t>).</w:t>
      </w:r>
      <w:r w:rsidR="00746A98">
        <w:t xml:space="preserve"> The </w:t>
      </w:r>
      <w:proofErr w:type="spellStart"/>
      <w:r w:rsidR="00746A98">
        <w:t>SDL</w:t>
      </w:r>
      <w:proofErr w:type="spellEnd"/>
      <w:r w:rsidR="00746A98">
        <w:t xml:space="preserve"> for groundwater take in the </w:t>
      </w:r>
      <w:r w:rsidR="004A2000">
        <w:t xml:space="preserve">Basin </w:t>
      </w:r>
      <w:r w:rsidR="00746A98">
        <w:t xml:space="preserve">is </w:t>
      </w:r>
      <w:r w:rsidR="005E3CAC">
        <w:t>3334 </w:t>
      </w:r>
      <w:r w:rsidR="00746A98">
        <w:t xml:space="preserve">GL per </w:t>
      </w:r>
      <w:r w:rsidR="00746A98" w:rsidRPr="00746A98">
        <w:t>y</w:t>
      </w:r>
      <w:r w:rsidR="00096736">
        <w:t>ea</w:t>
      </w:r>
      <w:r w:rsidR="00746A98" w:rsidRPr="00746A98">
        <w:t>r.</w:t>
      </w:r>
    </w:p>
    <w:p w:rsidR="00F50DA3" w:rsidRPr="00F50DA3" w:rsidRDefault="00F50DA3" w:rsidP="00F50DA3">
      <w:pPr>
        <w:pStyle w:val="Heading4"/>
        <w:tabs>
          <w:tab w:val="right" w:pos="8789"/>
        </w:tabs>
      </w:pPr>
      <w:r w:rsidRPr="00F50DA3">
        <w:lastRenderedPageBreak/>
        <w:t xml:space="preserve">Sustainable Diversion </w:t>
      </w:r>
      <w:r w:rsidR="00E371CD">
        <w:t xml:space="preserve">Limit </w:t>
      </w:r>
      <w:r w:rsidRPr="00F50DA3">
        <w:t>Adjustment Mechanism</w:t>
      </w:r>
    </w:p>
    <w:p w:rsidR="000628D3" w:rsidRPr="008E0600" w:rsidRDefault="00C036C7" w:rsidP="003E54C9">
      <w:pPr>
        <w:spacing w:before="240" w:line="300" w:lineRule="atLeast"/>
        <w:jc w:val="both"/>
      </w:pPr>
      <w:r>
        <w:t xml:space="preserve">The Basin Plan provides </w:t>
      </w:r>
      <w:r w:rsidR="00BF0EFF">
        <w:t>an opportunity</w:t>
      </w:r>
      <w:r>
        <w:t xml:space="preserve"> to </w:t>
      </w:r>
      <w:r w:rsidR="00BF0EFF">
        <w:t xml:space="preserve">adjust the proposed </w:t>
      </w:r>
      <w:proofErr w:type="spellStart"/>
      <w:r>
        <w:t>SDLs</w:t>
      </w:r>
      <w:proofErr w:type="spellEnd"/>
      <w:r>
        <w:t xml:space="preserve"> and </w:t>
      </w:r>
      <w:r w:rsidR="00BF0EFF">
        <w:t xml:space="preserve">consequential </w:t>
      </w:r>
      <w:r>
        <w:t xml:space="preserve">water recovery targets prior to </w:t>
      </w:r>
      <w:proofErr w:type="spellStart"/>
      <w:r>
        <w:t>SDLs</w:t>
      </w:r>
      <w:proofErr w:type="spellEnd"/>
      <w:r>
        <w:t xml:space="preserve"> commencing </w:t>
      </w:r>
      <w:r w:rsidR="00006416">
        <w:t>o</w:t>
      </w:r>
      <w:r>
        <w:t xml:space="preserve">n </w:t>
      </w:r>
      <w:r w:rsidR="00006416">
        <w:t>1</w:t>
      </w:r>
      <w:r w:rsidR="00B37F8F">
        <w:t> </w:t>
      </w:r>
      <w:r w:rsidR="00751049">
        <w:t xml:space="preserve">July </w:t>
      </w:r>
      <w:r>
        <w:t>2019</w:t>
      </w:r>
      <w:r w:rsidR="00BF0EFF">
        <w:t xml:space="preserve"> under certain circumstances</w:t>
      </w:r>
      <w:r>
        <w:t xml:space="preserve">. </w:t>
      </w:r>
      <w:r w:rsidR="00BF0EFF">
        <w:t xml:space="preserve">Under the adjustment mechanism, the surface water </w:t>
      </w:r>
      <w:proofErr w:type="spellStart"/>
      <w:r w:rsidR="00BF0EFF">
        <w:t>SDL</w:t>
      </w:r>
      <w:proofErr w:type="spellEnd"/>
      <w:r w:rsidR="00BF0EFF">
        <w:t xml:space="preserve"> in the southern connected part of the Basin</w:t>
      </w:r>
      <w:r w:rsidR="00BF0EFF" w:rsidDel="000E43FE">
        <w:t xml:space="preserve"> </w:t>
      </w:r>
      <w:r w:rsidR="00B6300B" w:rsidDel="000E43FE">
        <w:t>can</w:t>
      </w:r>
      <w:r w:rsidR="005024DD" w:rsidDel="000E43FE">
        <w:t xml:space="preserve"> be</w:t>
      </w:r>
      <w:r w:rsidR="005024DD">
        <w:t xml:space="preserve"> </w:t>
      </w:r>
      <w:r w:rsidR="00BF0EFF" w:rsidRPr="00200D93">
        <w:rPr>
          <w:u w:val="single"/>
        </w:rPr>
        <w:t>increase</w:t>
      </w:r>
      <w:r w:rsidR="00974E92" w:rsidRPr="00200D93">
        <w:rPr>
          <w:u w:val="single"/>
        </w:rPr>
        <w:t>d</w:t>
      </w:r>
      <w:r w:rsidR="00BF0EFF">
        <w:t xml:space="preserve"> where works and</w:t>
      </w:r>
      <w:r w:rsidR="00B6300B">
        <w:t xml:space="preserve"> measures </w:t>
      </w:r>
      <w:r w:rsidR="00BF0EFF">
        <w:t>can be shown</w:t>
      </w:r>
      <w:r w:rsidR="000D6235">
        <w:t xml:space="preserve"> </w:t>
      </w:r>
      <w:r w:rsidR="000D6235" w:rsidRPr="00D76231">
        <w:rPr>
          <w:rStyle w:val="BodyTextChar"/>
        </w:rPr>
        <w:t>to</w:t>
      </w:r>
      <w:r w:rsidR="000D6235">
        <w:t xml:space="preserve"> </w:t>
      </w:r>
      <w:r w:rsidR="00B6300B" w:rsidRPr="00B6300B">
        <w:t>achieve equivalent environmental outcomes with a lower volume of environmental water</w:t>
      </w:r>
      <w:r w:rsidR="00F9788A">
        <w:rPr>
          <w:rStyle w:val="BodyTextChar"/>
        </w:rPr>
        <w:t>.</w:t>
      </w:r>
      <w:r w:rsidR="00A57683" w:rsidRPr="00A57683">
        <w:t xml:space="preserve"> </w:t>
      </w:r>
      <w:r w:rsidR="00BF0EFF">
        <w:t>These are known as ‘s</w:t>
      </w:r>
      <w:r w:rsidR="00EA1A27" w:rsidRPr="008E0600">
        <w:t>upply measures</w:t>
      </w:r>
      <w:r w:rsidR="00BF0EFF">
        <w:t>’ and can include</w:t>
      </w:r>
      <w:r w:rsidR="00EA1A27" w:rsidRPr="008E0600">
        <w:t xml:space="preserve"> both physical </w:t>
      </w:r>
      <w:r w:rsidR="004740A0" w:rsidRPr="008E0600">
        <w:t xml:space="preserve">environmental works </w:t>
      </w:r>
      <w:r w:rsidR="00EA1A27" w:rsidRPr="008E0600">
        <w:t>as well as</w:t>
      </w:r>
      <w:r w:rsidR="004740A0" w:rsidRPr="008E0600">
        <w:t xml:space="preserve"> </w:t>
      </w:r>
      <w:r w:rsidR="00EA1A27" w:rsidRPr="008E0600">
        <w:t xml:space="preserve">operation </w:t>
      </w:r>
      <w:r w:rsidR="004740A0" w:rsidRPr="008E0600">
        <w:t>rule changes</w:t>
      </w:r>
      <w:r w:rsidR="00BF0EFF">
        <w:t xml:space="preserve">. The maximum increase in </w:t>
      </w:r>
      <w:r w:rsidR="006857F9">
        <w:t xml:space="preserve">the </w:t>
      </w:r>
      <w:proofErr w:type="spellStart"/>
      <w:r w:rsidR="00BF0EFF">
        <w:t>SDL</w:t>
      </w:r>
      <w:proofErr w:type="spellEnd"/>
      <w:r w:rsidR="00BF0EFF">
        <w:t xml:space="preserve"> </w:t>
      </w:r>
      <w:r w:rsidR="00BE715C">
        <w:t>from</w:t>
      </w:r>
      <w:r w:rsidR="00BE715C" w:rsidRPr="00BE715C">
        <w:t xml:space="preserve"> </w:t>
      </w:r>
      <w:r w:rsidR="001C2A0B">
        <w:t>supply measures</w:t>
      </w:r>
      <w:r w:rsidR="00BE715C">
        <w:t xml:space="preserve"> </w:t>
      </w:r>
      <w:r w:rsidR="007B233F">
        <w:t>anticipated</w:t>
      </w:r>
      <w:r w:rsidR="009C67EA">
        <w:t xml:space="preserve"> under</w:t>
      </w:r>
      <w:r w:rsidR="00BF0EFF">
        <w:t xml:space="preserve"> the Plan is </w:t>
      </w:r>
      <w:r w:rsidR="00060F87">
        <w:t xml:space="preserve">a total of </w:t>
      </w:r>
      <w:r w:rsidR="00D06D79" w:rsidRPr="008E0600">
        <w:t>650</w:t>
      </w:r>
      <w:r w:rsidR="00D06D79">
        <w:t> </w:t>
      </w:r>
      <w:r w:rsidR="00984F07" w:rsidRPr="008E0600">
        <w:t xml:space="preserve">GL per year. </w:t>
      </w:r>
    </w:p>
    <w:p w:rsidR="00AE26EA" w:rsidRPr="008E0600" w:rsidRDefault="00BF0EFF">
      <w:pPr>
        <w:pStyle w:val="BodyText"/>
      </w:pPr>
      <w:r>
        <w:t xml:space="preserve">The </w:t>
      </w:r>
      <w:proofErr w:type="spellStart"/>
      <w:r>
        <w:t>SDL</w:t>
      </w:r>
      <w:proofErr w:type="spellEnd"/>
      <w:r>
        <w:t xml:space="preserve"> can </w:t>
      </w:r>
      <w:r w:rsidR="00CC197E">
        <w:t xml:space="preserve">also </w:t>
      </w:r>
      <w:r>
        <w:t xml:space="preserve">be </w:t>
      </w:r>
      <w:r w:rsidRPr="00200D93">
        <w:rPr>
          <w:u w:val="single"/>
        </w:rPr>
        <w:t>reduced</w:t>
      </w:r>
      <w:r>
        <w:t xml:space="preserve"> to enable </w:t>
      </w:r>
      <w:r w:rsidR="00722FB7">
        <w:t xml:space="preserve">a suite of enhanced </w:t>
      </w:r>
      <w:r>
        <w:t>environmental outcomes</w:t>
      </w:r>
      <w:r w:rsidR="00722FB7">
        <w:t xml:space="preserve">. This can occur </w:t>
      </w:r>
      <w:r>
        <w:t xml:space="preserve">where additional volumes of water can be </w:t>
      </w:r>
      <w:r w:rsidR="003B2846">
        <w:t>recovered</w:t>
      </w:r>
      <w:r>
        <w:t xml:space="preserve"> for the environment while maintaining or improving social and economic outcomes. </w:t>
      </w:r>
      <w:r w:rsidR="000B290B">
        <w:t>These are known as ‘e</w:t>
      </w:r>
      <w:r w:rsidR="000B290B" w:rsidRPr="008E0600">
        <w:t xml:space="preserve">fficiency </w:t>
      </w:r>
      <w:r w:rsidR="00D84CD1" w:rsidRPr="008E0600">
        <w:t>measures</w:t>
      </w:r>
      <w:r w:rsidR="000B290B">
        <w:t>’ and can</w:t>
      </w:r>
      <w:r w:rsidR="002221DB" w:rsidRPr="008E0600">
        <w:t xml:space="preserve"> </w:t>
      </w:r>
      <w:r w:rsidR="006168FC" w:rsidRPr="008E0600">
        <w:t>include projects to</w:t>
      </w:r>
      <w:r w:rsidR="0086360A" w:rsidRPr="008E0600">
        <w:t xml:space="preserve"> </w:t>
      </w:r>
      <w:r w:rsidR="00DA0D62" w:rsidRPr="008E0600">
        <w:t>improv</w:t>
      </w:r>
      <w:r w:rsidR="006168FC" w:rsidRPr="008E0600">
        <w:t>e</w:t>
      </w:r>
      <w:r w:rsidR="0086360A" w:rsidRPr="008E0600">
        <w:t xml:space="preserve"> the efficiency of on</w:t>
      </w:r>
      <w:r w:rsidR="00B37F8F">
        <w:noBreakHyphen/>
      </w:r>
      <w:r w:rsidR="003849E0">
        <w:t xml:space="preserve"> and off</w:t>
      </w:r>
      <w:r w:rsidR="00B37F8F">
        <w:noBreakHyphen/>
      </w:r>
      <w:r w:rsidR="0086360A" w:rsidRPr="008E0600">
        <w:t>farm irrigation</w:t>
      </w:r>
      <w:r w:rsidR="004A2000">
        <w:t>.</w:t>
      </w:r>
      <w:r w:rsidR="006168FC" w:rsidRPr="008E0600">
        <w:t xml:space="preserve"> </w:t>
      </w:r>
      <w:r w:rsidR="00175103">
        <w:t>T</w:t>
      </w:r>
      <w:r w:rsidR="00354501">
        <w:t xml:space="preserve">he Plan identifies a target of acquiring </w:t>
      </w:r>
      <w:r w:rsidR="00C85B13">
        <w:t xml:space="preserve">an extra 450 GL of water </w:t>
      </w:r>
      <w:r w:rsidR="00354501">
        <w:t>th</w:t>
      </w:r>
      <w:r w:rsidR="00F5117C">
        <w:t>r</w:t>
      </w:r>
      <w:r w:rsidR="00354501">
        <w:t>ough efficiency measures</w:t>
      </w:r>
      <w:r w:rsidR="000B290B">
        <w:t xml:space="preserve"> and</w:t>
      </w:r>
      <w:r w:rsidR="00C85B13">
        <w:t xml:space="preserve"> reflects </w:t>
      </w:r>
      <w:r w:rsidR="00354501">
        <w:t xml:space="preserve">modelling </w:t>
      </w:r>
      <w:r w:rsidR="000B290B">
        <w:t xml:space="preserve">which </w:t>
      </w:r>
      <w:r w:rsidR="00354501">
        <w:t xml:space="preserve">found </w:t>
      </w:r>
      <w:r w:rsidR="00C20C1D">
        <w:t xml:space="preserve">that </w:t>
      </w:r>
      <w:r w:rsidR="00C85B13">
        <w:t xml:space="preserve">3200 GL </w:t>
      </w:r>
      <w:r w:rsidR="00354501">
        <w:t xml:space="preserve">in </w:t>
      </w:r>
      <w:r w:rsidR="00D6006D">
        <w:t>water recovery</w:t>
      </w:r>
      <w:r w:rsidR="00C85B13">
        <w:t xml:space="preserve"> </w:t>
      </w:r>
      <w:r w:rsidR="00354501">
        <w:t xml:space="preserve">and the removal of </w:t>
      </w:r>
      <w:r w:rsidR="000B290B">
        <w:t xml:space="preserve">a range of </w:t>
      </w:r>
      <w:r w:rsidR="00354501">
        <w:t xml:space="preserve">capacity constraints </w:t>
      </w:r>
      <w:r w:rsidR="00060F87">
        <w:t xml:space="preserve">(explained later) </w:t>
      </w:r>
      <w:r w:rsidR="00354501">
        <w:t xml:space="preserve">would deliver the enhanced environmental outcomes as set </w:t>
      </w:r>
      <w:r w:rsidR="00444D55">
        <w:t xml:space="preserve">out </w:t>
      </w:r>
      <w:r w:rsidR="00354501">
        <w:t>in schedule 5 of the Plan</w:t>
      </w:r>
      <w:r w:rsidR="004A2000">
        <w:t>.</w:t>
      </w:r>
    </w:p>
    <w:p w:rsidR="00D53ECB" w:rsidRPr="00CE5CCB" w:rsidRDefault="00CE5CCB" w:rsidP="00D53ECB">
      <w:pPr>
        <w:spacing w:before="240" w:line="300" w:lineRule="atLeast"/>
        <w:jc w:val="both"/>
      </w:pPr>
      <w:r w:rsidRPr="000A4150">
        <w:t xml:space="preserve">The Basin Plan </w:t>
      </w:r>
      <w:r>
        <w:t xml:space="preserve">limits </w:t>
      </w:r>
      <w:r w:rsidR="00603D6A">
        <w:t xml:space="preserve">the </w:t>
      </w:r>
      <w:r>
        <w:t xml:space="preserve">net change to the </w:t>
      </w:r>
      <w:proofErr w:type="spellStart"/>
      <w:r w:rsidR="002221DB">
        <w:t>SDL</w:t>
      </w:r>
      <w:proofErr w:type="spellEnd"/>
      <w:r w:rsidRPr="006F18DC">
        <w:t xml:space="preserve"> </w:t>
      </w:r>
      <w:r>
        <w:t xml:space="preserve">as a result of the </w:t>
      </w:r>
      <w:r w:rsidR="00F43A75">
        <w:t xml:space="preserve">adjustment mechanism to </w:t>
      </w:r>
      <w:r w:rsidRPr="006F18DC">
        <w:t>5 per cent</w:t>
      </w:r>
      <w:r w:rsidR="009D572B">
        <w:t xml:space="preserve"> </w:t>
      </w:r>
      <w:r w:rsidR="00060F87">
        <w:t xml:space="preserve">of the </w:t>
      </w:r>
      <w:proofErr w:type="spellStart"/>
      <w:r w:rsidR="00060F87">
        <w:t>SDL</w:t>
      </w:r>
      <w:proofErr w:type="spellEnd"/>
      <w:r w:rsidR="009D572B">
        <w:t xml:space="preserve"> </w:t>
      </w:r>
      <w:r>
        <w:t>(</w:t>
      </w:r>
      <w:r w:rsidRPr="006F18DC">
        <w:t xml:space="preserve">or </w:t>
      </w:r>
      <w:r w:rsidR="00060F87" w:rsidRPr="006F18DC">
        <w:t>54</w:t>
      </w:r>
      <w:r w:rsidR="00060F87">
        <w:t>3</w:t>
      </w:r>
      <w:r w:rsidR="00E05012">
        <w:t> </w:t>
      </w:r>
      <w:r w:rsidRPr="006F18DC">
        <w:t>GL).</w:t>
      </w:r>
      <w:r w:rsidR="00111897">
        <w:t xml:space="preserve"> </w:t>
      </w:r>
    </w:p>
    <w:p w:rsidR="00765276" w:rsidRDefault="00E35670" w:rsidP="00D53ECB">
      <w:pPr>
        <w:spacing w:before="240" w:line="300" w:lineRule="atLeast"/>
        <w:jc w:val="both"/>
      </w:pPr>
      <w:r>
        <w:t xml:space="preserve">Basin States are responsible for identifying and developing the business cases for potential supply and efficiency measures. </w:t>
      </w:r>
      <w:r w:rsidR="00060F87">
        <w:t xml:space="preserve">The </w:t>
      </w:r>
      <w:r w:rsidR="00EC7319">
        <w:t>BOC</w:t>
      </w:r>
      <w:r>
        <w:t xml:space="preserve"> must then assess the notified measures and recommend a package of adjustment measures for consideration by </w:t>
      </w:r>
      <w:r w:rsidR="00FF2E16">
        <w:t xml:space="preserve">the </w:t>
      </w:r>
      <w:proofErr w:type="spellStart"/>
      <w:r>
        <w:t>MDBA</w:t>
      </w:r>
      <w:proofErr w:type="spellEnd"/>
      <w:r>
        <w:t xml:space="preserve">. The </w:t>
      </w:r>
      <w:proofErr w:type="spellStart"/>
      <w:r>
        <w:t>MDBA</w:t>
      </w:r>
      <w:proofErr w:type="spellEnd"/>
      <w:r>
        <w:t xml:space="preserve"> provides advice to the Minister on the package of adjustment measures</w:t>
      </w:r>
      <w:r w:rsidR="005A4A65">
        <w:t xml:space="preserve"> and the impact on the </w:t>
      </w:r>
      <w:proofErr w:type="spellStart"/>
      <w:r w:rsidR="005A4A65">
        <w:t>SDL</w:t>
      </w:r>
      <w:r w:rsidR="00D63DAF">
        <w:t>s</w:t>
      </w:r>
      <w:proofErr w:type="spellEnd"/>
      <w:r w:rsidR="00060F87">
        <w:t>, but (as recent events showed) it is a disallowable instrument</w:t>
      </w:r>
      <w:r w:rsidR="005A4A65">
        <w:t>. The Minister then tables an amendment to the Basin Plan reflect</w:t>
      </w:r>
      <w:r w:rsidR="009B35EC">
        <w:t>ing</w:t>
      </w:r>
      <w:r w:rsidR="005A4A65">
        <w:t xml:space="preserve"> the decisions on adjustment in the Parliament</w:t>
      </w:r>
      <w:r>
        <w:t xml:space="preserve">. If </w:t>
      </w:r>
      <w:r w:rsidR="00722FB7">
        <w:t>allowed by the Parliament</w:t>
      </w:r>
      <w:r>
        <w:t xml:space="preserve">, </w:t>
      </w:r>
      <w:r w:rsidR="00EB20A0">
        <w:t>Basin S</w:t>
      </w:r>
      <w:r w:rsidR="00765276" w:rsidRPr="004D12FA">
        <w:t>tate</w:t>
      </w:r>
      <w:r w:rsidR="00533738">
        <w:t>s</w:t>
      </w:r>
      <w:r w:rsidR="00765276" w:rsidRPr="004D12FA">
        <w:t xml:space="preserve"> have until</w:t>
      </w:r>
      <w:r w:rsidR="006F3B6A">
        <w:t xml:space="preserve"> 2024 to implement </w:t>
      </w:r>
      <w:r w:rsidR="005A4A65">
        <w:t>approved</w:t>
      </w:r>
      <w:r w:rsidR="006F3B6A">
        <w:t xml:space="preserve"> </w:t>
      </w:r>
      <w:proofErr w:type="spellStart"/>
      <w:r w:rsidR="000D0A2A">
        <w:t>SDL</w:t>
      </w:r>
      <w:proofErr w:type="spellEnd"/>
      <w:r w:rsidR="000D0A2A">
        <w:t xml:space="preserve"> adjustment</w:t>
      </w:r>
      <w:r w:rsidR="006F3B6A">
        <w:t xml:space="preserve"> projects</w:t>
      </w:r>
      <w:r w:rsidR="00765276" w:rsidRPr="004D12FA">
        <w:t>.</w:t>
      </w:r>
      <w:r w:rsidR="006F3B6A">
        <w:t xml:space="preserve"> </w:t>
      </w:r>
      <w:r w:rsidR="00DA39A8">
        <w:t xml:space="preserve">The </w:t>
      </w:r>
      <w:proofErr w:type="spellStart"/>
      <w:r w:rsidR="00DA39A8">
        <w:t>MDBA</w:t>
      </w:r>
      <w:proofErr w:type="spellEnd"/>
      <w:r w:rsidR="00DA39A8">
        <w:t xml:space="preserve"> </w:t>
      </w:r>
      <w:r w:rsidR="00D41134">
        <w:t>can</w:t>
      </w:r>
      <w:r w:rsidR="00DA39A8">
        <w:t xml:space="preserve"> reconcile </w:t>
      </w:r>
      <w:proofErr w:type="spellStart"/>
      <w:r w:rsidR="002F3D49">
        <w:t>SDL</w:t>
      </w:r>
      <w:proofErr w:type="spellEnd"/>
      <w:r w:rsidR="002F3D49">
        <w:t xml:space="preserve"> adjustments in 2024 </w:t>
      </w:r>
      <w:r w:rsidR="00D41134">
        <w:t>to</w:t>
      </w:r>
      <w:r w:rsidR="00E61063">
        <w:t xml:space="preserve"> assess</w:t>
      </w:r>
      <w:r w:rsidR="002F3D49">
        <w:t xml:space="preserve"> </w:t>
      </w:r>
      <w:r w:rsidR="008C4173">
        <w:t>whether</w:t>
      </w:r>
      <w:r w:rsidR="002F3D49">
        <w:t xml:space="preserve"> </w:t>
      </w:r>
      <w:r w:rsidR="008C4173">
        <w:t xml:space="preserve">the </w:t>
      </w:r>
      <w:r w:rsidR="00533738">
        <w:t>‘</w:t>
      </w:r>
      <w:r w:rsidR="002F3D49">
        <w:t>register of measures</w:t>
      </w:r>
      <w:r w:rsidR="00533738">
        <w:t>’</w:t>
      </w:r>
      <w:r w:rsidR="00E66858">
        <w:t xml:space="preserve"> </w:t>
      </w:r>
      <w:r w:rsidR="002F3D49">
        <w:t>have achieved equivalent environmental outcomes</w:t>
      </w:r>
      <w:r w:rsidR="008C4173">
        <w:t xml:space="preserve"> and, if they have not, revis</w:t>
      </w:r>
      <w:r w:rsidR="00D41134">
        <w:t>e</w:t>
      </w:r>
      <w:r w:rsidR="008C4173">
        <w:t xml:space="preserve"> the </w:t>
      </w:r>
      <w:proofErr w:type="spellStart"/>
      <w:r w:rsidR="008C4173">
        <w:t>SDL</w:t>
      </w:r>
      <w:proofErr w:type="spellEnd"/>
      <w:r w:rsidR="008C4173">
        <w:t xml:space="preserve"> accordingly</w:t>
      </w:r>
      <w:r w:rsidR="002F3D49">
        <w:t>.</w:t>
      </w:r>
    </w:p>
    <w:p w:rsidR="0072423C" w:rsidRDefault="002A0248" w:rsidP="00A0644E">
      <w:pPr>
        <w:spacing w:before="240" w:line="300" w:lineRule="atLeast"/>
        <w:jc w:val="both"/>
      </w:pPr>
      <w:r>
        <w:t xml:space="preserve">In June 2017, </w:t>
      </w:r>
      <w:r w:rsidR="00767618">
        <w:t xml:space="preserve">the </w:t>
      </w:r>
      <w:r w:rsidR="00EC5DDA">
        <w:t>BOC</w:t>
      </w:r>
      <w:r w:rsidR="008327FF">
        <w:t xml:space="preserve"> submitted </w:t>
      </w:r>
      <w:r w:rsidR="00EC1A71">
        <w:t xml:space="preserve">a package of </w:t>
      </w:r>
      <w:proofErr w:type="spellStart"/>
      <w:r w:rsidR="009F2A86">
        <w:t>SDL</w:t>
      </w:r>
      <w:proofErr w:type="spellEnd"/>
      <w:r w:rsidR="009F2A86">
        <w:t xml:space="preserve"> adjustment </w:t>
      </w:r>
      <w:r w:rsidR="00EC1A71">
        <w:t xml:space="preserve">measures </w:t>
      </w:r>
      <w:r w:rsidR="00484298">
        <w:t xml:space="preserve">(including 36 supply projects) </w:t>
      </w:r>
      <w:r w:rsidR="008327FF">
        <w:t xml:space="preserve">to the </w:t>
      </w:r>
      <w:proofErr w:type="spellStart"/>
      <w:r w:rsidR="008327FF">
        <w:t>MDBA</w:t>
      </w:r>
      <w:proofErr w:type="spellEnd"/>
      <w:r w:rsidR="005579C6">
        <w:t xml:space="preserve"> for consideration</w:t>
      </w:r>
      <w:r w:rsidR="007923FE">
        <w:t>.</w:t>
      </w:r>
      <w:r w:rsidR="005A4A65" w:rsidRPr="00C45348">
        <w:rPr>
          <w:rStyle w:val="FootnoteReference"/>
        </w:rPr>
        <w:footnoteReference w:id="3"/>
      </w:r>
      <w:r w:rsidR="007923FE">
        <w:t xml:space="preserve"> </w:t>
      </w:r>
      <w:r w:rsidR="008327FF">
        <w:t>The</w:t>
      </w:r>
      <w:r w:rsidR="00A12B90">
        <w:t xml:space="preserve"> </w:t>
      </w:r>
      <w:proofErr w:type="spellStart"/>
      <w:r w:rsidR="00A12B90">
        <w:t>MDBA</w:t>
      </w:r>
      <w:r w:rsidR="009927EA">
        <w:t>’s</w:t>
      </w:r>
      <w:proofErr w:type="spellEnd"/>
      <w:r w:rsidR="00A12B90">
        <w:t xml:space="preserve"> assessment</w:t>
      </w:r>
      <w:r w:rsidR="008327FF">
        <w:t xml:space="preserve"> </w:t>
      </w:r>
      <w:r w:rsidR="00334F56">
        <w:t xml:space="preserve">was </w:t>
      </w:r>
      <w:r w:rsidR="008D0C7A">
        <w:t>that</w:t>
      </w:r>
      <w:r w:rsidR="006F459A">
        <w:t>,</w:t>
      </w:r>
      <w:r w:rsidR="008D0C7A">
        <w:t xml:space="preserve"> </w:t>
      </w:r>
      <w:r w:rsidR="006F459A">
        <w:t xml:space="preserve">if successful, </w:t>
      </w:r>
      <w:r w:rsidR="008D0C7A">
        <w:t xml:space="preserve">these </w:t>
      </w:r>
      <w:r w:rsidR="0081497D">
        <w:t xml:space="preserve">supply </w:t>
      </w:r>
      <w:r w:rsidR="008D0C7A">
        <w:t xml:space="preserve">projects would </w:t>
      </w:r>
      <w:r w:rsidR="00832B3E" w:rsidRPr="00832B3E">
        <w:t>achieve the equivalent environmental outcomes with a</w:t>
      </w:r>
      <w:r w:rsidR="00D5214E">
        <w:t xml:space="preserve"> </w:t>
      </w:r>
      <w:r w:rsidR="00941907">
        <w:t xml:space="preserve">resultant </w:t>
      </w:r>
      <w:r w:rsidR="00D5214E">
        <w:t xml:space="preserve">reduction in the water recovery target </w:t>
      </w:r>
      <w:r w:rsidR="00533738">
        <w:t>of</w:t>
      </w:r>
      <w:r w:rsidR="00533738" w:rsidRPr="00832B3E">
        <w:t xml:space="preserve"> </w:t>
      </w:r>
      <w:r w:rsidR="00832B3E" w:rsidRPr="00832B3E">
        <w:t>605</w:t>
      </w:r>
      <w:r w:rsidR="00D63D79">
        <w:t> </w:t>
      </w:r>
      <w:r w:rsidR="00832B3E" w:rsidRPr="00832B3E">
        <w:t>GL</w:t>
      </w:r>
      <w:r w:rsidR="00BD4D0E">
        <w:t xml:space="preserve"> </w:t>
      </w:r>
      <w:r w:rsidR="00885F6C" w:rsidRPr="00885F6C">
        <w:t>(</w:t>
      </w:r>
      <w:proofErr w:type="spellStart"/>
      <w:r w:rsidR="00885F6C" w:rsidRPr="00885F6C">
        <w:t>MDBA</w:t>
      </w:r>
      <w:proofErr w:type="spellEnd"/>
      <w:r w:rsidR="00885F6C" w:rsidRPr="00885F6C">
        <w:t> </w:t>
      </w:r>
      <w:proofErr w:type="spellStart"/>
      <w:r w:rsidR="00885F6C" w:rsidRPr="00885F6C">
        <w:t>2017d</w:t>
      </w:r>
      <w:proofErr w:type="spellEnd"/>
      <w:r w:rsidR="00885F6C" w:rsidRPr="00885F6C">
        <w:t>)</w:t>
      </w:r>
      <w:r w:rsidR="00765276" w:rsidRPr="00765276">
        <w:t>.</w:t>
      </w:r>
      <w:r w:rsidR="00765276">
        <w:t xml:space="preserve"> </w:t>
      </w:r>
    </w:p>
    <w:p w:rsidR="00C91F5A" w:rsidRDefault="0098559B" w:rsidP="00213FF3">
      <w:pPr>
        <w:spacing w:before="240" w:line="300" w:lineRule="atLeast"/>
        <w:jc w:val="both"/>
        <w:rPr>
          <w:rStyle w:val="BodyTextChar"/>
        </w:rPr>
      </w:pPr>
      <w:r>
        <w:t xml:space="preserve">The Plan was amended in January 2018 to provide for the approved package of </w:t>
      </w:r>
      <w:proofErr w:type="spellStart"/>
      <w:r>
        <w:t>SDL</w:t>
      </w:r>
      <w:proofErr w:type="spellEnd"/>
      <w:r>
        <w:t xml:space="preserve"> adjustment measures</w:t>
      </w:r>
      <w:r w:rsidR="00722FB7">
        <w:t xml:space="preserve"> and put to Parliament</w:t>
      </w:r>
      <w:r>
        <w:t xml:space="preserve">. </w:t>
      </w:r>
      <w:r w:rsidR="00C91F5A">
        <w:t xml:space="preserve">However, </w:t>
      </w:r>
      <w:r w:rsidR="004575B5">
        <w:t>the amending instrument</w:t>
      </w:r>
      <w:r w:rsidR="00C91F5A">
        <w:t xml:space="preserve"> is currently subject to a disallowance motion in </w:t>
      </w:r>
      <w:r w:rsidR="005329D5">
        <w:t xml:space="preserve">the </w:t>
      </w:r>
      <w:r w:rsidR="00C91F5A">
        <w:t xml:space="preserve">Australian Parliament which </w:t>
      </w:r>
      <w:r w:rsidR="00C91F5A">
        <w:rPr>
          <w:rStyle w:val="BodyTextChar"/>
        </w:rPr>
        <w:t>expires</w:t>
      </w:r>
      <w:r w:rsidR="00C91F5A" w:rsidRPr="00E80EFF">
        <w:rPr>
          <w:rStyle w:val="BodyTextChar"/>
        </w:rPr>
        <w:t xml:space="preserve"> in May 2018</w:t>
      </w:r>
      <w:r w:rsidR="00C91F5A">
        <w:rPr>
          <w:rStyle w:val="BodyTextChar"/>
        </w:rPr>
        <w:t>.</w:t>
      </w:r>
    </w:p>
    <w:p w:rsidR="004632A0" w:rsidRDefault="004632A0" w:rsidP="00213FF3">
      <w:pPr>
        <w:spacing w:before="240" w:line="300" w:lineRule="atLeast"/>
        <w:jc w:val="both"/>
        <w:rPr>
          <w:rStyle w:val="BodyTextChar"/>
        </w:rPr>
      </w:pPr>
      <w:r>
        <w:lastRenderedPageBreak/>
        <w:t xml:space="preserve">If the amendment </w:t>
      </w:r>
      <w:r w:rsidR="005F582D">
        <w:t>holds</w:t>
      </w:r>
      <w:r>
        <w:t xml:space="preserve">, a minimum 62 GL of water </w:t>
      </w:r>
      <w:r w:rsidR="005F582D">
        <w:t>will</w:t>
      </w:r>
      <w:r>
        <w:t xml:space="preserve"> </w:t>
      </w:r>
      <w:r w:rsidR="005F582D">
        <w:t>need</w:t>
      </w:r>
      <w:r>
        <w:t xml:space="preserve"> to be recovered through efficiency measures by 30</w:t>
      </w:r>
      <w:r w:rsidR="00B37F8F">
        <w:t> </w:t>
      </w:r>
      <w:r>
        <w:t xml:space="preserve">June 2019 to stay within the 5 per cent limit of change. </w:t>
      </w:r>
    </w:p>
    <w:p w:rsidR="000A4150" w:rsidRDefault="0081497D" w:rsidP="00213FF3">
      <w:pPr>
        <w:spacing w:before="240" w:line="300" w:lineRule="atLeast"/>
        <w:jc w:val="both"/>
      </w:pPr>
      <w:r>
        <w:t>Some s</w:t>
      </w:r>
      <w:r w:rsidR="00985739">
        <w:t xml:space="preserve">takeholders </w:t>
      </w:r>
      <w:r w:rsidR="00353703">
        <w:t xml:space="preserve">have </w:t>
      </w:r>
      <w:r w:rsidR="00060F87">
        <w:t xml:space="preserve">previously </w:t>
      </w:r>
      <w:r w:rsidR="00985739">
        <w:t>expressed concern about whether efficiency measures to recover</w:t>
      </w:r>
      <w:r w:rsidR="00985739" w:rsidDel="00EC4713">
        <w:t xml:space="preserve"> </w:t>
      </w:r>
      <w:r w:rsidR="00985739">
        <w:t xml:space="preserve">the extra 450 GL </w:t>
      </w:r>
      <w:r w:rsidR="00B07F5D">
        <w:t>c</w:t>
      </w:r>
      <w:r w:rsidR="0044642D">
        <w:t>an</w:t>
      </w:r>
      <w:r w:rsidR="00B07F5D">
        <w:t xml:space="preserve"> be implemented in a way that meets the Basin </w:t>
      </w:r>
      <w:r w:rsidR="009C17EC">
        <w:t>P</w:t>
      </w:r>
      <w:r w:rsidR="00B07F5D">
        <w:t>lan requirement for</w:t>
      </w:r>
      <w:r w:rsidR="00E80EFF">
        <w:t xml:space="preserve"> </w:t>
      </w:r>
      <w:r w:rsidR="00E80EFF" w:rsidRPr="009744FA">
        <w:t xml:space="preserve">‘neutral or </w:t>
      </w:r>
      <w:r w:rsidR="00662B3D">
        <w:t>improved</w:t>
      </w:r>
      <w:r w:rsidR="00E80EFF" w:rsidRPr="009744FA">
        <w:t xml:space="preserve"> socioeconomic outcomes</w:t>
      </w:r>
      <w:r w:rsidR="00985739">
        <w:t>’</w:t>
      </w:r>
      <w:r w:rsidR="003635CB">
        <w:t> </w:t>
      </w:r>
      <w:r w:rsidR="003635CB" w:rsidRPr="003B61C7">
        <w:t>(</w:t>
      </w:r>
      <w:proofErr w:type="spellStart"/>
      <w:r w:rsidR="00B71553">
        <w:t>MDBA</w:t>
      </w:r>
      <w:proofErr w:type="spellEnd"/>
      <w:r w:rsidR="00B71553">
        <w:t> </w:t>
      </w:r>
      <w:proofErr w:type="spellStart"/>
      <w:r w:rsidR="003635CB" w:rsidRPr="003B61C7">
        <w:t>2017c</w:t>
      </w:r>
      <w:proofErr w:type="spellEnd"/>
      <w:r w:rsidR="003635CB" w:rsidRPr="003B61C7">
        <w:t>)</w:t>
      </w:r>
      <w:r w:rsidR="00353703">
        <w:t xml:space="preserve">. </w:t>
      </w:r>
    </w:p>
    <w:p w:rsidR="00D53ECB" w:rsidRDefault="000A4150" w:rsidP="00C91C36">
      <w:pPr>
        <w:spacing w:before="240" w:line="300" w:lineRule="atLeast"/>
        <w:jc w:val="both"/>
      </w:pPr>
      <w:r w:rsidRPr="00D20635">
        <w:rPr>
          <w:rStyle w:val="BodyTextChar"/>
        </w:rPr>
        <w:t xml:space="preserve">In January 2018, </w:t>
      </w:r>
      <w:proofErr w:type="spellStart"/>
      <w:r w:rsidRPr="00D20635">
        <w:rPr>
          <w:rStyle w:val="BodyTextChar"/>
        </w:rPr>
        <w:t>EY</w:t>
      </w:r>
      <w:proofErr w:type="spellEnd"/>
      <w:r w:rsidR="00B07F5D" w:rsidRPr="00D20635">
        <w:rPr>
          <w:rStyle w:val="BodyTextChar"/>
        </w:rPr>
        <w:t xml:space="preserve"> </w:t>
      </w:r>
      <w:r w:rsidR="00885F6C" w:rsidRPr="00885F6C">
        <w:t>(2018)</w:t>
      </w:r>
      <w:r w:rsidR="00EE5008" w:rsidRPr="00D20635">
        <w:rPr>
          <w:rStyle w:val="BodyTextChar"/>
        </w:rPr>
        <w:t xml:space="preserve"> </w:t>
      </w:r>
      <w:r w:rsidR="00B07F5D" w:rsidRPr="00D20635">
        <w:rPr>
          <w:rStyle w:val="BodyTextChar"/>
        </w:rPr>
        <w:t xml:space="preserve">delivered </w:t>
      </w:r>
      <w:r w:rsidR="005B2E6E">
        <w:rPr>
          <w:rStyle w:val="BodyTextChar"/>
        </w:rPr>
        <w:t xml:space="preserve">a </w:t>
      </w:r>
      <w:r w:rsidRPr="00D20635">
        <w:rPr>
          <w:rStyle w:val="BodyTextChar"/>
        </w:rPr>
        <w:t>repor</w:t>
      </w:r>
      <w:r w:rsidR="00EE5008" w:rsidRPr="00D20635">
        <w:rPr>
          <w:rStyle w:val="BodyTextChar"/>
        </w:rPr>
        <w:t xml:space="preserve">t to </w:t>
      </w:r>
      <w:r w:rsidR="005B2E6E">
        <w:rPr>
          <w:rStyle w:val="BodyTextChar"/>
        </w:rPr>
        <w:t xml:space="preserve">the </w:t>
      </w:r>
      <w:proofErr w:type="spellStart"/>
      <w:r w:rsidR="00EE5008" w:rsidRPr="00D20635">
        <w:rPr>
          <w:rStyle w:val="BodyTextChar"/>
        </w:rPr>
        <w:t>MDB</w:t>
      </w:r>
      <w:proofErr w:type="spellEnd"/>
      <w:r w:rsidR="00EE5008" w:rsidRPr="00D20635">
        <w:rPr>
          <w:rStyle w:val="BodyTextChar"/>
        </w:rPr>
        <w:t xml:space="preserve"> Ministerial Council </w:t>
      </w:r>
      <w:r w:rsidR="005B2E6E">
        <w:t>that</w:t>
      </w:r>
      <w:r>
        <w:t xml:space="preserve"> examined </w:t>
      </w:r>
      <w:r w:rsidR="00C91C36">
        <w:t>o</w:t>
      </w:r>
      <w:r w:rsidRPr="000A4150">
        <w:t>pportunities to recover 450</w:t>
      </w:r>
      <w:r w:rsidR="004B6860">
        <w:t> </w:t>
      </w:r>
      <w:r w:rsidRPr="000A4150">
        <w:t xml:space="preserve">GL in additional environmental water through efficiency measures by 2024, with neutral or </w:t>
      </w:r>
      <w:r w:rsidR="00662B3D">
        <w:t>improved</w:t>
      </w:r>
      <w:r w:rsidR="00662B3D" w:rsidRPr="000A4150">
        <w:t xml:space="preserve"> </w:t>
      </w:r>
      <w:r w:rsidRPr="000A4150">
        <w:t xml:space="preserve">socioeconomic </w:t>
      </w:r>
      <w:r w:rsidR="00FE503A">
        <w:t>outcomes</w:t>
      </w:r>
      <w:r w:rsidR="005579C6">
        <w:t>. Notably the report advised</w:t>
      </w:r>
      <w:r>
        <w:t xml:space="preserve"> ‘on </w:t>
      </w:r>
      <w:r w:rsidRPr="000A4150">
        <w:t>potential socioeconomic impacts arising from efficiency measures at a range of scales, including socioeconomic concerns that go beyond the specific legal requirements of the Basin Plan</w:t>
      </w:r>
      <w:r>
        <w:t>’</w:t>
      </w:r>
      <w:r w:rsidR="000008EB">
        <w:t xml:space="preserve"> (</w:t>
      </w:r>
      <w:r w:rsidR="005B45B8">
        <w:t xml:space="preserve">the </w:t>
      </w:r>
      <w:r w:rsidR="000008EB">
        <w:t>Basin Plan de</w:t>
      </w:r>
      <w:r w:rsidR="00757FE2">
        <w:t>scribes</w:t>
      </w:r>
      <w:r w:rsidR="00FE503A">
        <w:t xml:space="preserve"> ‘</w:t>
      </w:r>
      <w:r w:rsidR="00FE503A" w:rsidRPr="000A4150">
        <w:t xml:space="preserve">neutral or </w:t>
      </w:r>
      <w:r w:rsidR="00436E72">
        <w:t>improved</w:t>
      </w:r>
      <w:r w:rsidR="00436E72" w:rsidRPr="000A4150">
        <w:t xml:space="preserve"> </w:t>
      </w:r>
      <w:r w:rsidR="00FE503A" w:rsidRPr="000A4150">
        <w:t xml:space="preserve">socioeconomic </w:t>
      </w:r>
      <w:r w:rsidR="00FE503A">
        <w:t xml:space="preserve">outcomes’ as </w:t>
      </w:r>
      <w:r w:rsidR="00757FE2">
        <w:t xml:space="preserve">being </w:t>
      </w:r>
      <w:r w:rsidR="00FE503A">
        <w:t>evidenced by voluntary participation in projects to recover water through works to improve water use efficiency)</w:t>
      </w:r>
      <w:r w:rsidR="00214642">
        <w:t>.</w:t>
      </w:r>
    </w:p>
    <w:p w:rsidR="004E5064" w:rsidRDefault="004E5064" w:rsidP="00C91C36">
      <w:pPr>
        <w:spacing w:before="240" w:line="300" w:lineRule="atLeast"/>
        <w:jc w:val="both"/>
      </w:pPr>
      <w:r>
        <w:t xml:space="preserve">If the adjustment mechanism included in the Basin Plan does not operate, then </w:t>
      </w:r>
      <w:r w:rsidR="004E2E38">
        <w:t xml:space="preserve">Basin States must comply with </w:t>
      </w:r>
      <w:r>
        <w:t xml:space="preserve">the original </w:t>
      </w:r>
      <w:proofErr w:type="spellStart"/>
      <w:r>
        <w:t>SDLs</w:t>
      </w:r>
      <w:proofErr w:type="spellEnd"/>
      <w:r>
        <w:t xml:space="preserve"> outlined in the Plan</w:t>
      </w:r>
      <w:r w:rsidR="00AE1028">
        <w:t>.</w:t>
      </w:r>
      <w:r>
        <w:t xml:space="preserve"> </w:t>
      </w:r>
      <w:r w:rsidR="00AE1028">
        <w:t>This implies</w:t>
      </w:r>
      <w:r>
        <w:t xml:space="preserve"> </w:t>
      </w:r>
      <w:r w:rsidR="00AE1028">
        <w:t xml:space="preserve">a </w:t>
      </w:r>
      <w:r>
        <w:t>consequential water recovery target of 2750 GL by 2019.</w:t>
      </w:r>
    </w:p>
    <w:p w:rsidR="00F767AB" w:rsidRPr="009744FA" w:rsidRDefault="00F767AB" w:rsidP="00F767AB">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F767AB" w:rsidRPr="009744FA" w:rsidTr="00563B55">
        <w:trPr>
          <w:tblHeader/>
        </w:trPr>
        <w:tc>
          <w:tcPr>
            <w:tcW w:w="5000" w:type="pct"/>
            <w:tcBorders>
              <w:top w:val="single" w:sz="6" w:space="0" w:color="78A22F"/>
              <w:left w:val="nil"/>
              <w:bottom w:val="nil"/>
              <w:right w:val="nil"/>
            </w:tcBorders>
            <w:shd w:val="clear" w:color="auto" w:fill="auto"/>
          </w:tcPr>
          <w:p w:rsidR="00F767AB" w:rsidRPr="009744FA" w:rsidRDefault="00F767AB" w:rsidP="00154827">
            <w:pPr>
              <w:keepNext/>
              <w:keepLines/>
              <w:spacing w:before="120" w:line="280" w:lineRule="atLeast"/>
              <w:jc w:val="both"/>
              <w:rPr>
                <w:rFonts w:ascii="Arial" w:hAnsi="Arial"/>
                <w:i/>
                <w:caps/>
                <w:sz w:val="18"/>
              </w:rPr>
            </w:pPr>
            <w:r>
              <w:rPr>
                <w:rFonts w:ascii="Arial" w:hAnsi="Arial"/>
                <w:i/>
                <w:caps/>
                <w:sz w:val="18"/>
              </w:rPr>
              <w:t xml:space="preserve">Information request </w:t>
            </w:r>
            <w:r w:rsidR="00920844">
              <w:rPr>
                <w:rFonts w:ascii="Arial" w:hAnsi="Arial"/>
                <w:i/>
                <w:caps/>
                <w:sz w:val="18"/>
              </w:rPr>
              <w:t>2</w:t>
            </w:r>
          </w:p>
        </w:tc>
      </w:tr>
      <w:tr w:rsidR="00F767AB" w:rsidRPr="009744FA" w:rsidTr="00563B55">
        <w:tc>
          <w:tcPr>
            <w:tcW w:w="5000" w:type="pct"/>
            <w:tcBorders>
              <w:top w:val="nil"/>
              <w:left w:val="nil"/>
              <w:bottom w:val="nil"/>
              <w:right w:val="nil"/>
            </w:tcBorders>
            <w:shd w:val="clear" w:color="auto" w:fill="auto"/>
          </w:tcPr>
          <w:p w:rsidR="00401D6F" w:rsidRPr="00DA51CF" w:rsidRDefault="00401D6F" w:rsidP="00E14B69">
            <w:pPr>
              <w:pStyle w:val="InformationRequest"/>
              <w:keepNext/>
            </w:pPr>
            <w:r w:rsidRPr="00DA51CF">
              <w:t>The Commission is seeking information on:</w:t>
            </w:r>
          </w:p>
          <w:p w:rsidR="00401D6F" w:rsidRPr="006C28E0" w:rsidRDefault="00401D6F" w:rsidP="00876954">
            <w:pPr>
              <w:pStyle w:val="InformationRequestBullet"/>
              <w:keepNext/>
              <w:numPr>
                <w:ilvl w:val="0"/>
                <w:numId w:val="18"/>
              </w:numPr>
            </w:pPr>
            <w:r w:rsidRPr="006C28E0">
              <w:t xml:space="preserve">risks that may prevent </w:t>
            </w:r>
            <w:r w:rsidR="00533738">
              <w:t xml:space="preserve">Basin </w:t>
            </w:r>
            <w:r w:rsidRPr="006C28E0">
              <w:t xml:space="preserve">States from successfully implementing </w:t>
            </w:r>
            <w:proofErr w:type="spellStart"/>
            <w:r w:rsidRPr="006C28E0">
              <w:t>SDL</w:t>
            </w:r>
            <w:proofErr w:type="spellEnd"/>
            <w:r w:rsidRPr="006C28E0">
              <w:t xml:space="preserve"> adjustment projects</w:t>
            </w:r>
          </w:p>
          <w:p w:rsidR="004E5064" w:rsidRPr="006C28E0" w:rsidRDefault="00730F46" w:rsidP="00876954">
            <w:pPr>
              <w:pStyle w:val="InformationRequestBullet"/>
              <w:keepNext/>
              <w:numPr>
                <w:ilvl w:val="0"/>
                <w:numId w:val="18"/>
              </w:numPr>
            </w:pPr>
            <w:r w:rsidRPr="006C28E0">
              <w:t>t</w:t>
            </w:r>
            <w:r w:rsidR="000008EB" w:rsidRPr="006C28E0">
              <w:t xml:space="preserve">he extent to which adopting a different definition of ‘neutral or improved socioeconomic outcomes’ for efficiency measures </w:t>
            </w:r>
            <w:r w:rsidRPr="006C28E0">
              <w:t>to</w:t>
            </w:r>
            <w:r w:rsidR="000008EB" w:rsidRPr="006C28E0">
              <w:t xml:space="preserve"> what is</w:t>
            </w:r>
            <w:r w:rsidR="00B51F4C">
              <w:t xml:space="preserve"> in</w:t>
            </w:r>
            <w:r w:rsidR="000008EB" w:rsidRPr="006C28E0">
              <w:t xml:space="preserve"> the Basin Plan would affect the likelihood of projects being delivered on time and on budget </w:t>
            </w:r>
          </w:p>
          <w:p w:rsidR="00F767AB" w:rsidRPr="00F767AB" w:rsidRDefault="00F226CB" w:rsidP="00876954">
            <w:pPr>
              <w:pStyle w:val="InformationRequestBullet"/>
              <w:keepNext/>
              <w:numPr>
                <w:ilvl w:val="0"/>
                <w:numId w:val="18"/>
              </w:numPr>
            </w:pPr>
            <w:r w:rsidRPr="00F226CB">
              <w:t xml:space="preserve">whether there are other novel approaches to recovering water for the environment, such as purchase of entitlement options, that may </w:t>
            </w:r>
            <w:r w:rsidR="00060F87">
              <w:t>contribute to</w:t>
            </w:r>
            <w:r w:rsidRPr="00F226CB">
              <w:t xml:space="preserve"> Basin Plan outcomes while achieving neutral socioeconomic outcomes</w:t>
            </w:r>
            <w:r w:rsidR="00FF2E16">
              <w:t>.</w:t>
            </w:r>
          </w:p>
        </w:tc>
      </w:tr>
      <w:tr w:rsidR="00F767AB" w:rsidRPr="009744FA" w:rsidTr="00563B55">
        <w:tc>
          <w:tcPr>
            <w:tcW w:w="5000" w:type="pct"/>
            <w:tcBorders>
              <w:top w:val="nil"/>
              <w:left w:val="nil"/>
              <w:bottom w:val="single" w:sz="6" w:space="0" w:color="78A22F"/>
              <w:right w:val="nil"/>
            </w:tcBorders>
            <w:shd w:val="clear" w:color="auto" w:fill="auto"/>
          </w:tcPr>
          <w:p w:rsidR="00F767AB" w:rsidRPr="009744FA" w:rsidRDefault="00F767AB" w:rsidP="00154827">
            <w:pPr>
              <w:keepNext/>
              <w:keepLines/>
              <w:spacing w:line="120" w:lineRule="exact"/>
              <w:jc w:val="both"/>
              <w:rPr>
                <w:rFonts w:ascii="Arial" w:hAnsi="Arial"/>
                <w:sz w:val="20"/>
              </w:rPr>
            </w:pPr>
          </w:p>
        </w:tc>
      </w:tr>
      <w:tr w:rsidR="00F767AB" w:rsidRPr="009744FA" w:rsidTr="00563B55">
        <w:tc>
          <w:tcPr>
            <w:tcW w:w="5000" w:type="pct"/>
            <w:tcBorders>
              <w:top w:val="single" w:sz="6" w:space="0" w:color="78A22F"/>
              <w:left w:val="nil"/>
              <w:bottom w:val="nil"/>
              <w:right w:val="nil"/>
            </w:tcBorders>
          </w:tcPr>
          <w:p w:rsidR="00F767AB" w:rsidRPr="009744FA" w:rsidRDefault="00F767AB" w:rsidP="00E14B69">
            <w:pPr>
              <w:keepNext/>
              <w:keepLines/>
              <w:spacing w:before="60" w:after="60" w:line="80" w:lineRule="exact"/>
              <w:jc w:val="both"/>
              <w:rPr>
                <w:rFonts w:ascii="Arial" w:hAnsi="Arial"/>
                <w:sz w:val="14"/>
              </w:rPr>
            </w:pPr>
          </w:p>
        </w:tc>
      </w:tr>
    </w:tbl>
    <w:p w:rsidR="00213FF3" w:rsidRPr="009744FA" w:rsidRDefault="00213FF3" w:rsidP="00213FF3">
      <w:pPr>
        <w:keepNext/>
        <w:spacing w:before="480" w:line="320" w:lineRule="exact"/>
        <w:outlineLvl w:val="3"/>
        <w:rPr>
          <w:rFonts w:ascii="Arial" w:hAnsi="Arial"/>
        </w:rPr>
      </w:pPr>
      <w:r w:rsidRPr="009744FA">
        <w:rPr>
          <w:rFonts w:ascii="Arial" w:hAnsi="Arial"/>
        </w:rPr>
        <w:t xml:space="preserve">Northern Basin </w:t>
      </w:r>
      <w:r w:rsidR="00E10984">
        <w:rPr>
          <w:rFonts w:ascii="Arial" w:hAnsi="Arial"/>
        </w:rPr>
        <w:t>R</w:t>
      </w:r>
      <w:r w:rsidRPr="009744FA">
        <w:rPr>
          <w:rFonts w:ascii="Arial" w:hAnsi="Arial"/>
        </w:rPr>
        <w:t>eview</w:t>
      </w:r>
    </w:p>
    <w:p w:rsidR="00213FF3" w:rsidRDefault="003A019A" w:rsidP="00213FF3">
      <w:pPr>
        <w:spacing w:before="240" w:line="300" w:lineRule="atLeast"/>
        <w:jc w:val="both"/>
      </w:pPr>
      <w:r>
        <w:t>T</w:t>
      </w:r>
      <w:r w:rsidR="00FA690A">
        <w:t xml:space="preserve">he Basin Plan </w:t>
      </w:r>
      <w:r>
        <w:t>also included provision</w:t>
      </w:r>
      <w:r w:rsidR="003C024A">
        <w:t>s</w:t>
      </w:r>
      <w:r>
        <w:t xml:space="preserve"> to review the </w:t>
      </w:r>
      <w:r w:rsidR="00F717CD">
        <w:t xml:space="preserve">surface water </w:t>
      </w:r>
      <w:proofErr w:type="spellStart"/>
      <w:r>
        <w:t>SDL</w:t>
      </w:r>
      <w:r w:rsidR="00F717CD">
        <w:t>s</w:t>
      </w:r>
      <w:proofErr w:type="spellEnd"/>
      <w:r>
        <w:t xml:space="preserve"> in the Northern Basin</w:t>
      </w:r>
      <w:r w:rsidR="00213FF3">
        <w:t xml:space="preserve">, </w:t>
      </w:r>
      <w:r w:rsidR="0019510C">
        <w:t>recogn</w:t>
      </w:r>
      <w:r>
        <w:t>ising</w:t>
      </w:r>
      <w:r w:rsidR="008F0D92">
        <w:t xml:space="preserve"> that information about water sources in </w:t>
      </w:r>
      <w:r>
        <w:t xml:space="preserve">this area was limited and that new information could justify changing the original </w:t>
      </w:r>
      <w:proofErr w:type="spellStart"/>
      <w:r>
        <w:t>SDLs</w:t>
      </w:r>
      <w:proofErr w:type="spellEnd"/>
      <w:r w:rsidR="008F0D92">
        <w:t xml:space="preserve">. </w:t>
      </w:r>
    </w:p>
    <w:p w:rsidR="00396527" w:rsidRDefault="00213FF3" w:rsidP="00213FF3">
      <w:pPr>
        <w:spacing w:before="240" w:line="300" w:lineRule="atLeast"/>
        <w:jc w:val="both"/>
        <w:rPr>
          <w:rStyle w:val="BodyTextChar"/>
        </w:rPr>
      </w:pPr>
      <w:r>
        <w:t>After a three</w:t>
      </w:r>
      <w:r w:rsidR="00B37F8F">
        <w:noBreakHyphen/>
      </w:r>
      <w:r>
        <w:t>year review process</w:t>
      </w:r>
      <w:r w:rsidR="003A019A">
        <w:t xml:space="preserve"> looking at new information on both environmental outcomes and socioeconomic impacts</w:t>
      </w:r>
      <w:r>
        <w:t xml:space="preserve">, the </w:t>
      </w:r>
      <w:proofErr w:type="spellStart"/>
      <w:r w:rsidRPr="009744FA">
        <w:t>MDBA</w:t>
      </w:r>
      <w:proofErr w:type="spellEnd"/>
      <w:r w:rsidRPr="009744FA">
        <w:t xml:space="preserve"> proposed to reduce the overall surface water recovery target in the Northern Basin from 390 GL to 320 GL </w:t>
      </w:r>
      <w:r>
        <w:t>provided that the Australian, New South Wales and Queensland Governments</w:t>
      </w:r>
      <w:r w:rsidRPr="009744FA">
        <w:t xml:space="preserve"> implement a number of ‘toolkit measures’ to improve the management of environmental water. </w:t>
      </w:r>
      <w:r>
        <w:t>Modelling that informed the Northern Basin Review</w:t>
      </w:r>
      <w:r w:rsidR="005E6CB8">
        <w:t xml:space="preserve"> (</w:t>
      </w:r>
      <w:proofErr w:type="spellStart"/>
      <w:r w:rsidR="005E6CB8">
        <w:t>NBR</w:t>
      </w:r>
      <w:proofErr w:type="spellEnd"/>
      <w:r w:rsidR="005E6CB8">
        <w:t>)</w:t>
      </w:r>
      <w:r>
        <w:t xml:space="preserve"> showed that the toolkit measures would produce similar </w:t>
      </w:r>
      <w:r>
        <w:lastRenderedPageBreak/>
        <w:t xml:space="preserve">environmental outcomes with less water recovery, reducing the socioeconomic impact of water recovery on northern basin communities. </w:t>
      </w:r>
      <w:r w:rsidRPr="009744FA">
        <w:t>The</w:t>
      </w:r>
      <w:r>
        <w:t xml:space="preserve"> </w:t>
      </w:r>
      <w:proofErr w:type="spellStart"/>
      <w:r w:rsidR="00223BBC">
        <w:t>MDB</w:t>
      </w:r>
      <w:proofErr w:type="spellEnd"/>
      <w:r w:rsidR="00223BBC">
        <w:t xml:space="preserve"> Ministerial Council</w:t>
      </w:r>
      <w:r>
        <w:t xml:space="preserve"> subsequently</w:t>
      </w:r>
      <w:r w:rsidRPr="009744FA">
        <w:t xml:space="preserve"> agreed</w:t>
      </w:r>
      <w:r w:rsidR="00FE688D">
        <w:t xml:space="preserve"> in</w:t>
      </w:r>
      <w:r w:rsidR="00B37F8F">
        <w:noBreakHyphen/>
      </w:r>
      <w:r w:rsidR="00FE688D">
        <w:t>principle</w:t>
      </w:r>
      <w:r w:rsidRPr="009744FA">
        <w:t xml:space="preserve"> to couple the reduced water recovery target with</w:t>
      </w:r>
      <w:r>
        <w:t xml:space="preserve"> the </w:t>
      </w:r>
      <w:r w:rsidRPr="009744FA">
        <w:t>toolkit measures</w:t>
      </w:r>
      <w:r w:rsidR="001C19D7">
        <w:t xml:space="preserve"> </w:t>
      </w:r>
      <w:r w:rsidR="00885F6C" w:rsidRPr="00885F6C">
        <w:t>(</w:t>
      </w:r>
      <w:proofErr w:type="spellStart"/>
      <w:r w:rsidR="00885F6C" w:rsidRPr="00885F6C">
        <w:t>MDB</w:t>
      </w:r>
      <w:proofErr w:type="spellEnd"/>
      <w:r w:rsidR="00885F6C" w:rsidRPr="00885F6C">
        <w:t xml:space="preserve"> Ministerial Council </w:t>
      </w:r>
      <w:proofErr w:type="spellStart"/>
      <w:r w:rsidR="00885F6C" w:rsidRPr="00885F6C">
        <w:t>2017a</w:t>
      </w:r>
      <w:proofErr w:type="spellEnd"/>
      <w:r w:rsidR="00885F6C" w:rsidRPr="00885F6C">
        <w:t>)</w:t>
      </w:r>
      <w:r w:rsidRPr="0024441A">
        <w:rPr>
          <w:rStyle w:val="BodyTextChar"/>
        </w:rPr>
        <w:t xml:space="preserve">. </w:t>
      </w:r>
    </w:p>
    <w:p w:rsidR="00E10984" w:rsidRDefault="00E10984" w:rsidP="00E10984">
      <w:pPr>
        <w:spacing w:before="240" w:line="300" w:lineRule="atLeast"/>
        <w:jc w:val="both"/>
        <w:rPr>
          <w:rStyle w:val="BodyTextChar"/>
        </w:rPr>
      </w:pPr>
      <w:r>
        <w:rPr>
          <w:rStyle w:val="BodyTextChar"/>
        </w:rPr>
        <w:t>The Basin Plan was amended on 14</w:t>
      </w:r>
      <w:r w:rsidR="00B37F8F">
        <w:rPr>
          <w:rStyle w:val="BodyTextChar"/>
        </w:rPr>
        <w:t> </w:t>
      </w:r>
      <w:r>
        <w:rPr>
          <w:rStyle w:val="BodyTextChar"/>
        </w:rPr>
        <w:t xml:space="preserve">November 2017 to reflect changes from the </w:t>
      </w:r>
      <w:proofErr w:type="spellStart"/>
      <w:r>
        <w:rPr>
          <w:rStyle w:val="BodyTextChar"/>
        </w:rPr>
        <w:t>NBR</w:t>
      </w:r>
      <w:proofErr w:type="spellEnd"/>
      <w:r>
        <w:rPr>
          <w:rStyle w:val="BodyTextChar"/>
        </w:rPr>
        <w:t>.</w:t>
      </w:r>
      <w:r w:rsidRPr="003A019A">
        <w:rPr>
          <w:rStyle w:val="BodyTextChar"/>
        </w:rPr>
        <w:t xml:space="preserve"> </w:t>
      </w:r>
      <w:r>
        <w:rPr>
          <w:rStyle w:val="BodyTextChar"/>
        </w:rPr>
        <w:t>However, these</w:t>
      </w:r>
      <w:r w:rsidRPr="0024441A">
        <w:rPr>
          <w:rStyle w:val="BodyTextChar"/>
        </w:rPr>
        <w:t xml:space="preserve"> amendments </w:t>
      </w:r>
      <w:r>
        <w:rPr>
          <w:rStyle w:val="BodyTextChar"/>
        </w:rPr>
        <w:t xml:space="preserve">were disallowed </w:t>
      </w:r>
      <w:r w:rsidRPr="0024441A">
        <w:rPr>
          <w:rStyle w:val="BodyTextChar"/>
        </w:rPr>
        <w:t xml:space="preserve">following </w:t>
      </w:r>
      <w:r>
        <w:rPr>
          <w:rStyle w:val="BodyTextChar"/>
        </w:rPr>
        <w:t>a vote</w:t>
      </w:r>
      <w:r w:rsidRPr="0024441A">
        <w:rPr>
          <w:rStyle w:val="BodyTextChar"/>
        </w:rPr>
        <w:t xml:space="preserve"> in the </w:t>
      </w:r>
      <w:r>
        <w:rPr>
          <w:rStyle w:val="BodyTextChar"/>
        </w:rPr>
        <w:t xml:space="preserve">Australian Parliament on 14 February 2018. </w:t>
      </w:r>
      <w:r w:rsidR="00FF2E16">
        <w:rPr>
          <w:rStyle w:val="BodyTextChar"/>
        </w:rPr>
        <w:t>This means that, at present</w:t>
      </w:r>
      <w:r>
        <w:rPr>
          <w:rStyle w:val="BodyTextChar"/>
        </w:rPr>
        <w:t>, the original water recovery target of 390 GL for the Northern Basin still stands.</w:t>
      </w:r>
    </w:p>
    <w:p w:rsidR="00E10984" w:rsidRDefault="00E10984" w:rsidP="00F57D95">
      <w:pPr>
        <w:pStyle w:val="Heading4"/>
        <w:rPr>
          <w:rStyle w:val="BodyTextChar"/>
        </w:rPr>
      </w:pPr>
      <w:r>
        <w:rPr>
          <w:rStyle w:val="BodyTextChar"/>
        </w:rPr>
        <w:t>Groundwater reviews</w:t>
      </w:r>
    </w:p>
    <w:p w:rsidR="0059734F" w:rsidRDefault="00E10984" w:rsidP="00213FF3">
      <w:pPr>
        <w:spacing w:before="240" w:line="300" w:lineRule="atLeast"/>
        <w:jc w:val="both"/>
        <w:rPr>
          <w:rStyle w:val="BodyTextChar"/>
        </w:rPr>
      </w:pPr>
      <w:r>
        <w:t xml:space="preserve">When the Basin Plan came into effect in 2012, there was recognition that information about some groundwater areas could be improved. Governments therefore committed to undertake reviews of </w:t>
      </w:r>
      <w:proofErr w:type="spellStart"/>
      <w:r>
        <w:t>SDLs</w:t>
      </w:r>
      <w:proofErr w:type="spellEnd"/>
      <w:r>
        <w:t xml:space="preserve"> for </w:t>
      </w:r>
      <w:r w:rsidR="00152408">
        <w:t>three</w:t>
      </w:r>
      <w:r>
        <w:t xml:space="preserve"> groundwater areas to determine if the original </w:t>
      </w:r>
      <w:proofErr w:type="spellStart"/>
      <w:r>
        <w:t>SDLs</w:t>
      </w:r>
      <w:proofErr w:type="spellEnd"/>
      <w:r>
        <w:t xml:space="preserve"> set in the Plan should be changed to reflect new information. </w:t>
      </w:r>
      <w:r w:rsidR="00096D33">
        <w:rPr>
          <w:rStyle w:val="BodyTextChar"/>
        </w:rPr>
        <w:t xml:space="preserve">The planned groundwater reviews were completed in 2014. The </w:t>
      </w:r>
      <w:proofErr w:type="spellStart"/>
      <w:r w:rsidR="00096D33">
        <w:rPr>
          <w:rStyle w:val="BodyTextChar"/>
        </w:rPr>
        <w:t>MDBA</w:t>
      </w:r>
      <w:proofErr w:type="spellEnd"/>
      <w:r w:rsidR="00096D33">
        <w:rPr>
          <w:rStyle w:val="BodyTextChar"/>
        </w:rPr>
        <w:t xml:space="preserve"> subsequently proposed increases in </w:t>
      </w:r>
      <w:proofErr w:type="spellStart"/>
      <w:r w:rsidR="00096D33">
        <w:rPr>
          <w:rStyle w:val="BodyTextChar"/>
        </w:rPr>
        <w:t>SDLs</w:t>
      </w:r>
      <w:proofErr w:type="spellEnd"/>
      <w:r w:rsidR="00096D33">
        <w:rPr>
          <w:rStyle w:val="BodyTextChar"/>
        </w:rPr>
        <w:t xml:space="preserve"> in </w:t>
      </w:r>
      <w:r w:rsidR="00152408">
        <w:rPr>
          <w:rStyle w:val="BodyTextChar"/>
        </w:rPr>
        <w:t>these</w:t>
      </w:r>
      <w:r w:rsidR="00096D33">
        <w:rPr>
          <w:rStyle w:val="BodyTextChar"/>
        </w:rPr>
        <w:t xml:space="preserve"> areas, reflecting new knowledge</w:t>
      </w:r>
      <w:r w:rsidR="00A43A13">
        <w:rPr>
          <w:rStyle w:val="BodyTextChar"/>
        </w:rPr>
        <w:t xml:space="preserve">. The Minister accepted these changes </w:t>
      </w:r>
      <w:r w:rsidR="00096D33">
        <w:rPr>
          <w:rStyle w:val="BodyTextChar"/>
        </w:rPr>
        <w:t xml:space="preserve">and the </w:t>
      </w:r>
      <w:proofErr w:type="spellStart"/>
      <w:r w:rsidR="00A43A13">
        <w:rPr>
          <w:rStyle w:val="BodyTextChar"/>
        </w:rPr>
        <w:t>SDL</w:t>
      </w:r>
      <w:r w:rsidR="0059734F">
        <w:rPr>
          <w:rStyle w:val="BodyTextChar"/>
        </w:rPr>
        <w:t>s</w:t>
      </w:r>
      <w:proofErr w:type="spellEnd"/>
      <w:r w:rsidR="00A43A13">
        <w:rPr>
          <w:rStyle w:val="BodyTextChar"/>
        </w:rPr>
        <w:t xml:space="preserve"> for groundwater sources </w:t>
      </w:r>
      <w:r w:rsidR="0059734F">
        <w:rPr>
          <w:rStyle w:val="BodyTextChar"/>
        </w:rPr>
        <w:t xml:space="preserve">were proposed to </w:t>
      </w:r>
      <w:r w:rsidR="00A43A13">
        <w:rPr>
          <w:rStyle w:val="BodyTextChar"/>
        </w:rPr>
        <w:t>increase from 3334</w:t>
      </w:r>
      <w:r w:rsidR="00615253">
        <w:rPr>
          <w:rStyle w:val="BodyTextChar"/>
        </w:rPr>
        <w:t> </w:t>
      </w:r>
      <w:r w:rsidR="00A43A13">
        <w:rPr>
          <w:rStyle w:val="BodyTextChar"/>
        </w:rPr>
        <w:t>GL per year to 3494</w:t>
      </w:r>
      <w:r w:rsidR="00615253">
        <w:rPr>
          <w:rStyle w:val="BodyTextChar"/>
        </w:rPr>
        <w:t> </w:t>
      </w:r>
      <w:r w:rsidR="00A43A13">
        <w:rPr>
          <w:rStyle w:val="BodyTextChar"/>
        </w:rPr>
        <w:t>GL</w:t>
      </w:r>
      <w:r w:rsidR="00936BB9">
        <w:rPr>
          <w:rStyle w:val="BodyTextChar"/>
        </w:rPr>
        <w:t xml:space="preserve"> </w:t>
      </w:r>
      <w:r w:rsidR="00936BB9" w:rsidRPr="00936BB9">
        <w:rPr>
          <w:rStyle w:val="BodyTextChar"/>
        </w:rPr>
        <w:t>(</w:t>
      </w:r>
      <w:r w:rsidR="00936BB9" w:rsidRPr="00936BB9">
        <w:t xml:space="preserve">the groundwater resources covered by the review do not have water recovery targets because levels of extraction are below the </w:t>
      </w:r>
      <w:proofErr w:type="spellStart"/>
      <w:r w:rsidR="00936BB9" w:rsidRPr="00936BB9">
        <w:t>SDLs</w:t>
      </w:r>
      <w:proofErr w:type="spellEnd"/>
      <w:r w:rsidR="00936BB9" w:rsidRPr="00936BB9">
        <w:t>)</w:t>
      </w:r>
      <w:r w:rsidR="00FE688D" w:rsidRPr="00936BB9">
        <w:rPr>
          <w:rStyle w:val="BodyTextChar"/>
        </w:rPr>
        <w:t>.</w:t>
      </w:r>
      <w:r w:rsidR="0059734F">
        <w:rPr>
          <w:rStyle w:val="BodyTextChar"/>
        </w:rPr>
        <w:t xml:space="preserve"> </w:t>
      </w:r>
      <w:r>
        <w:rPr>
          <w:rStyle w:val="BodyTextChar"/>
        </w:rPr>
        <w:t>The November 2017 Basin Plan amendments also included the outcomes of these reviews and, at this stage, they have also been disallowed.</w:t>
      </w:r>
    </w:p>
    <w:p w:rsidR="0059734F" w:rsidRPr="009744FA" w:rsidRDefault="0059734F" w:rsidP="0059734F">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59734F" w:rsidRPr="009744FA" w:rsidTr="00563B55">
        <w:trPr>
          <w:tblHeader/>
        </w:trPr>
        <w:tc>
          <w:tcPr>
            <w:tcW w:w="5000" w:type="pct"/>
            <w:tcBorders>
              <w:top w:val="single" w:sz="6" w:space="0" w:color="78A22F"/>
              <w:left w:val="nil"/>
              <w:bottom w:val="nil"/>
              <w:right w:val="nil"/>
            </w:tcBorders>
            <w:shd w:val="clear" w:color="auto" w:fill="auto"/>
          </w:tcPr>
          <w:p w:rsidR="0059734F" w:rsidRPr="009744FA" w:rsidRDefault="0059734F" w:rsidP="0059734F">
            <w:pPr>
              <w:keepNext/>
              <w:keepLines/>
              <w:spacing w:before="120" w:line="280" w:lineRule="atLeast"/>
              <w:jc w:val="both"/>
              <w:rPr>
                <w:rFonts w:ascii="Arial" w:hAnsi="Arial"/>
                <w:i/>
                <w:caps/>
                <w:sz w:val="18"/>
              </w:rPr>
            </w:pPr>
            <w:r>
              <w:rPr>
                <w:rFonts w:ascii="Arial" w:hAnsi="Arial"/>
                <w:i/>
                <w:caps/>
                <w:sz w:val="18"/>
              </w:rPr>
              <w:t>Information request 3</w:t>
            </w:r>
          </w:p>
        </w:tc>
      </w:tr>
      <w:tr w:rsidR="0059734F" w:rsidRPr="009744FA" w:rsidTr="00563B55">
        <w:tc>
          <w:tcPr>
            <w:tcW w:w="5000" w:type="pct"/>
            <w:tcBorders>
              <w:top w:val="nil"/>
              <w:left w:val="nil"/>
              <w:bottom w:val="nil"/>
              <w:right w:val="nil"/>
            </w:tcBorders>
            <w:shd w:val="clear" w:color="auto" w:fill="auto"/>
          </w:tcPr>
          <w:p w:rsidR="0059734F" w:rsidRPr="00AC6138" w:rsidRDefault="00C41875" w:rsidP="00562C7E">
            <w:pPr>
              <w:pStyle w:val="InformationRequest"/>
            </w:pPr>
            <w:r w:rsidRPr="00C41875">
              <w:t>The Commission is seeking information on</w:t>
            </w:r>
            <w:r w:rsidR="0058411A">
              <w:t xml:space="preserve"> a</w:t>
            </w:r>
            <w:r w:rsidR="0059734F">
              <w:t xml:space="preserve">ctions governments </w:t>
            </w:r>
            <w:r>
              <w:t xml:space="preserve">should </w:t>
            </w:r>
            <w:r w:rsidR="0059734F">
              <w:t xml:space="preserve">now take to </w:t>
            </w:r>
            <w:r>
              <w:t xml:space="preserve">achieve </w:t>
            </w:r>
            <w:proofErr w:type="spellStart"/>
            <w:r>
              <w:t>SDLs</w:t>
            </w:r>
            <w:proofErr w:type="spellEnd"/>
            <w:r>
              <w:t xml:space="preserve"> </w:t>
            </w:r>
            <w:r w:rsidR="0059734F">
              <w:t>in the Northern Basin</w:t>
            </w:r>
            <w:r w:rsidR="00A43A7B">
              <w:t>.</w:t>
            </w:r>
          </w:p>
        </w:tc>
      </w:tr>
      <w:tr w:rsidR="0059734F" w:rsidRPr="009744FA" w:rsidTr="00563B55">
        <w:tc>
          <w:tcPr>
            <w:tcW w:w="5000" w:type="pct"/>
            <w:tcBorders>
              <w:top w:val="nil"/>
              <w:left w:val="nil"/>
              <w:bottom w:val="single" w:sz="6" w:space="0" w:color="78A22F"/>
              <w:right w:val="nil"/>
            </w:tcBorders>
            <w:shd w:val="clear" w:color="auto" w:fill="auto"/>
          </w:tcPr>
          <w:p w:rsidR="0059734F" w:rsidRPr="009744FA" w:rsidRDefault="0059734F" w:rsidP="0059734F">
            <w:pPr>
              <w:keepNext/>
              <w:keepLines/>
              <w:spacing w:line="120" w:lineRule="exact"/>
              <w:jc w:val="both"/>
              <w:rPr>
                <w:rFonts w:ascii="Arial" w:hAnsi="Arial"/>
                <w:sz w:val="20"/>
              </w:rPr>
            </w:pPr>
          </w:p>
        </w:tc>
      </w:tr>
      <w:tr w:rsidR="0059734F" w:rsidRPr="009744FA" w:rsidTr="00563B55">
        <w:tc>
          <w:tcPr>
            <w:tcW w:w="5000" w:type="pct"/>
            <w:tcBorders>
              <w:top w:val="single" w:sz="6" w:space="0" w:color="78A22F"/>
              <w:left w:val="nil"/>
              <w:bottom w:val="nil"/>
              <w:right w:val="nil"/>
            </w:tcBorders>
          </w:tcPr>
          <w:p w:rsidR="0059734F" w:rsidRPr="009744FA" w:rsidRDefault="0059734F" w:rsidP="0059734F">
            <w:pPr>
              <w:keepLines/>
              <w:spacing w:before="60" w:after="60" w:line="80" w:lineRule="exact"/>
              <w:jc w:val="both"/>
              <w:rPr>
                <w:rFonts w:ascii="Arial" w:hAnsi="Arial"/>
                <w:sz w:val="14"/>
              </w:rPr>
            </w:pPr>
          </w:p>
        </w:tc>
      </w:tr>
    </w:tbl>
    <w:p w:rsidR="00213FF3" w:rsidRPr="009744FA" w:rsidRDefault="00213FF3" w:rsidP="00213FF3">
      <w:pPr>
        <w:pStyle w:val="Heading3"/>
      </w:pPr>
      <w:r w:rsidRPr="009744FA">
        <w:t>Constraints management</w:t>
      </w:r>
    </w:p>
    <w:p w:rsidR="00BE007C" w:rsidRDefault="00B811FC" w:rsidP="00213FF3">
      <w:pPr>
        <w:spacing w:before="240" w:line="300" w:lineRule="atLeast"/>
        <w:jc w:val="both"/>
      </w:pPr>
      <w:r>
        <w:t xml:space="preserve">Physical, operational and management constraints in river systems can limit the size of flows that can be delivered for environmental purposes, and </w:t>
      </w:r>
      <w:r w:rsidR="0059734F">
        <w:t>therefore limit</w:t>
      </w:r>
      <w:r>
        <w:t xml:space="preserve"> the effective </w:t>
      </w:r>
      <w:r w:rsidR="0059734F">
        <w:t xml:space="preserve">suite </w:t>
      </w:r>
      <w:r>
        <w:t xml:space="preserve">of environmental </w:t>
      </w:r>
      <w:r w:rsidR="0059734F">
        <w:t>outcomes that can be achieved with improved flows</w:t>
      </w:r>
      <w:r>
        <w:t>.</w:t>
      </w:r>
      <w:r w:rsidR="00393DD0" w:rsidRPr="00393DD0">
        <w:t xml:space="preserve"> </w:t>
      </w:r>
      <w:r w:rsidR="00393DD0">
        <w:t>For example, constraints prevent higher flows that might flood private land or affect public infrastructure such as low bridges</w:t>
      </w:r>
      <w:r w:rsidR="00152408">
        <w:t xml:space="preserve">, </w:t>
      </w:r>
      <w:r w:rsidR="004F02CD">
        <w:t xml:space="preserve">limiting </w:t>
      </w:r>
      <w:r w:rsidR="00F21CCC">
        <w:t>the extent of floodplain watering</w:t>
      </w:r>
      <w:r w:rsidR="009C17EC">
        <w:t>.</w:t>
      </w:r>
    </w:p>
    <w:p w:rsidR="00BE007C" w:rsidRDefault="00FD4D5D" w:rsidP="00213FF3">
      <w:pPr>
        <w:spacing w:before="240" w:line="300" w:lineRule="atLeast"/>
        <w:jc w:val="both"/>
      </w:pPr>
      <w:r>
        <w:t xml:space="preserve">In the context of the </w:t>
      </w:r>
      <w:r w:rsidRPr="0058411A">
        <w:rPr>
          <w:rStyle w:val="BodyTextChar"/>
        </w:rPr>
        <w:t>Basin Plan, constraints management is</w:t>
      </w:r>
      <w:r w:rsidR="00BE007C" w:rsidRPr="0058411A">
        <w:rPr>
          <w:rStyle w:val="BodyTextChar"/>
        </w:rPr>
        <w:t xml:space="preserve"> </w:t>
      </w:r>
      <w:r w:rsidR="00404ED5" w:rsidRPr="0058411A">
        <w:rPr>
          <w:rStyle w:val="BodyTextChar"/>
        </w:rPr>
        <w:t xml:space="preserve">a </w:t>
      </w:r>
      <w:r w:rsidR="00BE007C" w:rsidRPr="0058411A">
        <w:rPr>
          <w:rStyle w:val="BodyTextChar"/>
        </w:rPr>
        <w:t>key issue</w:t>
      </w:r>
      <w:r w:rsidRPr="0058411A">
        <w:rPr>
          <w:rStyle w:val="BodyTextChar"/>
        </w:rPr>
        <w:t xml:space="preserve"> </w:t>
      </w:r>
      <w:r w:rsidR="00404ED5" w:rsidRPr="0058411A">
        <w:rPr>
          <w:rStyle w:val="BodyTextChar"/>
        </w:rPr>
        <w:t>for ensuring</w:t>
      </w:r>
      <w:r w:rsidRPr="0058411A">
        <w:rPr>
          <w:rStyle w:val="BodyTextChar"/>
        </w:rPr>
        <w:t xml:space="preserve"> the </w:t>
      </w:r>
      <w:r w:rsidR="00404ED5" w:rsidRPr="0058411A">
        <w:rPr>
          <w:rStyle w:val="BodyTextChar"/>
        </w:rPr>
        <w:t xml:space="preserve">effective delivery of environmental water. </w:t>
      </w:r>
      <w:r w:rsidR="0058411A" w:rsidRPr="0058411A">
        <w:rPr>
          <w:rStyle w:val="BodyTextChar"/>
        </w:rPr>
        <w:t xml:space="preserve">In particular, the analysis that underpinned </w:t>
      </w:r>
      <w:r w:rsidR="00404ED5" w:rsidRPr="0058411A">
        <w:rPr>
          <w:rStyle w:val="BodyTextChar"/>
        </w:rPr>
        <w:t>delivering</w:t>
      </w:r>
      <w:r w:rsidRPr="0058411A">
        <w:rPr>
          <w:rStyle w:val="BodyTextChar"/>
        </w:rPr>
        <w:t xml:space="preserve"> the ‘enhance</w:t>
      </w:r>
      <w:r w:rsidR="00404ED5" w:rsidRPr="0058411A">
        <w:rPr>
          <w:rStyle w:val="BodyTextChar"/>
        </w:rPr>
        <w:t>d</w:t>
      </w:r>
      <w:r w:rsidRPr="0058411A">
        <w:rPr>
          <w:rStyle w:val="BodyTextChar"/>
        </w:rPr>
        <w:t xml:space="preserve"> environmental outcomes’</w:t>
      </w:r>
      <w:r>
        <w:t xml:space="preserve"> </w:t>
      </w:r>
      <w:r w:rsidR="00F21CCC">
        <w:t>(outlined in schedule 5</w:t>
      </w:r>
      <w:r w:rsidR="005D3859">
        <w:t xml:space="preserve"> of the Basin Plan</w:t>
      </w:r>
      <w:r w:rsidR="00F21CCC">
        <w:t xml:space="preserve">) </w:t>
      </w:r>
      <w:r>
        <w:t xml:space="preserve">from </w:t>
      </w:r>
      <w:r w:rsidRPr="00266647">
        <w:t>providing an additional 450 GL</w:t>
      </w:r>
      <w:r>
        <w:t xml:space="preserve"> to the environment</w:t>
      </w:r>
      <w:r w:rsidRPr="00266647">
        <w:t xml:space="preserve"> (above the 2750</w:t>
      </w:r>
      <w:r w:rsidR="00D63D79">
        <w:t> </w:t>
      </w:r>
      <w:r w:rsidRPr="00266647">
        <w:t xml:space="preserve">GL water recovery benchmark) </w:t>
      </w:r>
      <w:r w:rsidR="00BE007C">
        <w:t>was</w:t>
      </w:r>
      <w:r w:rsidRPr="00266647">
        <w:t xml:space="preserve"> premised on </w:t>
      </w:r>
      <w:r w:rsidR="00F21CCC">
        <w:t xml:space="preserve">a number of </w:t>
      </w:r>
      <w:r w:rsidRPr="00266647">
        <w:t>existing constraints being lifted.</w:t>
      </w:r>
      <w:r w:rsidRPr="00FD4D5D">
        <w:t xml:space="preserve"> </w:t>
      </w:r>
      <w:r>
        <w:t xml:space="preserve">The corollary is that if these constraints are </w:t>
      </w:r>
      <w:r w:rsidRPr="00FD4D5D">
        <w:t>not lifted</w:t>
      </w:r>
      <w:r>
        <w:t>,</w:t>
      </w:r>
      <w:r w:rsidR="00BE007C">
        <w:t xml:space="preserve"> the additional water from the </w:t>
      </w:r>
      <w:r>
        <w:t xml:space="preserve">water efficiency measures outlined above </w:t>
      </w:r>
      <w:r w:rsidR="00BE007C">
        <w:t>will be less likely to</w:t>
      </w:r>
      <w:r>
        <w:t xml:space="preserve"> </w:t>
      </w:r>
      <w:r w:rsidR="00BE007C">
        <w:t xml:space="preserve">achieve </w:t>
      </w:r>
      <w:r w:rsidR="00152408">
        <w:t>enhanced environmental</w:t>
      </w:r>
      <w:r w:rsidR="00BE007C">
        <w:t xml:space="preserve"> outcome</w:t>
      </w:r>
      <w:r w:rsidR="00152408">
        <w:t>s</w:t>
      </w:r>
      <w:r w:rsidR="00BE007C">
        <w:t>.</w:t>
      </w:r>
    </w:p>
    <w:p w:rsidR="00213FF3" w:rsidRDefault="00393DD0" w:rsidP="00213FF3">
      <w:pPr>
        <w:spacing w:before="240" w:line="300" w:lineRule="atLeast"/>
        <w:jc w:val="both"/>
      </w:pPr>
      <w:r>
        <w:lastRenderedPageBreak/>
        <w:t xml:space="preserve">Under the Basin Plan, the </w:t>
      </w:r>
      <w:proofErr w:type="spellStart"/>
      <w:r>
        <w:t>MDBA</w:t>
      </w:r>
      <w:proofErr w:type="spellEnd"/>
      <w:r>
        <w:t xml:space="preserve"> </w:t>
      </w:r>
      <w:r w:rsidR="005C14AA">
        <w:t>wa</w:t>
      </w:r>
      <w:r>
        <w:t xml:space="preserve">s required to prepare a constraints management strategy that </w:t>
      </w:r>
      <w:r w:rsidRPr="00393DD0">
        <w:t>identifies</w:t>
      </w:r>
      <w:r w:rsidR="00D457C7">
        <w:t xml:space="preserve"> and describes key constraints affecting the delivery of environmental water</w:t>
      </w:r>
      <w:r>
        <w:t>.</w:t>
      </w:r>
      <w:r w:rsidR="005C14AA">
        <w:t xml:space="preserve"> </w:t>
      </w:r>
      <w:r w:rsidR="00213FF3">
        <w:t>T</w:t>
      </w:r>
      <w:r w:rsidR="00213FF3" w:rsidRPr="009744FA">
        <w:t xml:space="preserve">he </w:t>
      </w:r>
      <w:proofErr w:type="spellStart"/>
      <w:r w:rsidR="00213FF3" w:rsidRPr="009744FA">
        <w:t>MDBA</w:t>
      </w:r>
      <w:proofErr w:type="spellEnd"/>
      <w:r w:rsidR="00213FF3" w:rsidRPr="009744FA">
        <w:t xml:space="preserve"> </w:t>
      </w:r>
      <w:r w:rsidR="00885F6C" w:rsidRPr="00885F6C">
        <w:t>(2013)</w:t>
      </w:r>
      <w:r w:rsidR="003B61C7">
        <w:t xml:space="preserve"> </w:t>
      </w:r>
      <w:r w:rsidR="00213FF3" w:rsidRPr="009744FA">
        <w:t xml:space="preserve">published its </w:t>
      </w:r>
      <w:r w:rsidR="00213FF3" w:rsidRPr="009744FA" w:rsidDel="00F277A5">
        <w:t xml:space="preserve">Constraints Management Strategy </w:t>
      </w:r>
      <w:r w:rsidR="00213FF3">
        <w:t xml:space="preserve">in 2013 </w:t>
      </w:r>
      <w:r w:rsidR="00213FF3" w:rsidRPr="009744FA">
        <w:t>which outlined priority actions for the seven key focus areas</w:t>
      </w:r>
      <w:r w:rsidR="00213FF3">
        <w:t>:</w:t>
      </w:r>
    </w:p>
    <w:p w:rsidR="00213FF3" w:rsidRPr="00642EBD" w:rsidRDefault="00213FF3" w:rsidP="006C28E0">
      <w:pPr>
        <w:pStyle w:val="ListBullet"/>
      </w:pPr>
      <w:r w:rsidRPr="00642EBD">
        <w:t>Hume to Yarrawonga (Upper Murray)</w:t>
      </w:r>
    </w:p>
    <w:p w:rsidR="00213FF3" w:rsidRPr="00642EBD" w:rsidRDefault="00213FF3" w:rsidP="006C28E0">
      <w:pPr>
        <w:pStyle w:val="ListBullet"/>
      </w:pPr>
      <w:r w:rsidRPr="00642EBD">
        <w:t>Below Yarrawonga to Wakool Junction (Mid</w:t>
      </w:r>
      <w:r w:rsidR="00B37F8F">
        <w:noBreakHyphen/>
      </w:r>
      <w:r w:rsidRPr="00642EBD">
        <w:t>Murray)</w:t>
      </w:r>
    </w:p>
    <w:p w:rsidR="00213FF3" w:rsidRPr="00642EBD" w:rsidRDefault="00213FF3" w:rsidP="006C28E0">
      <w:pPr>
        <w:pStyle w:val="ListBullet"/>
      </w:pPr>
      <w:r w:rsidRPr="00642EBD">
        <w:t>Goulburn</w:t>
      </w:r>
    </w:p>
    <w:p w:rsidR="00213FF3" w:rsidRPr="00642EBD" w:rsidRDefault="00213FF3" w:rsidP="006C28E0">
      <w:pPr>
        <w:pStyle w:val="ListBullet"/>
      </w:pPr>
      <w:r w:rsidRPr="00642EBD">
        <w:t>Murrumbidgee</w:t>
      </w:r>
    </w:p>
    <w:p w:rsidR="00213FF3" w:rsidRPr="00642EBD" w:rsidRDefault="00213FF3" w:rsidP="006C28E0">
      <w:pPr>
        <w:pStyle w:val="ListBullet"/>
      </w:pPr>
      <w:r w:rsidRPr="00642EBD">
        <w:t>Lower Darling</w:t>
      </w:r>
    </w:p>
    <w:p w:rsidR="00213FF3" w:rsidRPr="00642EBD" w:rsidRDefault="00213FF3" w:rsidP="006C28E0">
      <w:pPr>
        <w:pStyle w:val="ListBullet"/>
      </w:pPr>
      <w:r w:rsidRPr="00642EBD">
        <w:t>Gwydir (Northern Basin)</w:t>
      </w:r>
    </w:p>
    <w:p w:rsidR="00213FF3" w:rsidRPr="00642EBD" w:rsidRDefault="00213FF3" w:rsidP="006C28E0">
      <w:pPr>
        <w:pStyle w:val="ListBullet"/>
      </w:pPr>
      <w:r w:rsidRPr="00642EBD">
        <w:t>South Australia (Lower Murray)</w:t>
      </w:r>
    </w:p>
    <w:p w:rsidR="00CC1C1D" w:rsidRDefault="00DF45F0" w:rsidP="00CC1C1D">
      <w:pPr>
        <w:spacing w:before="240" w:line="300" w:lineRule="atLeast"/>
        <w:jc w:val="both"/>
      </w:pPr>
      <w:r>
        <w:t>The strategy outlined</w:t>
      </w:r>
      <w:r w:rsidR="00CC1C1D">
        <w:t xml:space="preserve"> a staged approach for the development of </w:t>
      </w:r>
      <w:r w:rsidR="00A375F8">
        <w:t>measures</w:t>
      </w:r>
      <w:r w:rsidR="00CC1C1D">
        <w:t xml:space="preserve"> to address constraints </w:t>
      </w:r>
      <w:r w:rsidR="00152408">
        <w:t>by</w:t>
      </w:r>
      <w:r w:rsidR="00CC1C1D">
        <w:t xml:space="preserve"> 2024.</w:t>
      </w:r>
    </w:p>
    <w:p w:rsidR="00A1090F" w:rsidRDefault="003D1384" w:rsidP="003D1384">
      <w:pPr>
        <w:spacing w:before="240" w:line="300" w:lineRule="atLeast"/>
        <w:jc w:val="both"/>
      </w:pPr>
      <w:r w:rsidRPr="003D1384">
        <w:t xml:space="preserve">Basin </w:t>
      </w:r>
      <w:r w:rsidR="00216C72">
        <w:t xml:space="preserve">States </w:t>
      </w:r>
      <w:r w:rsidR="00BE2D80">
        <w:t xml:space="preserve">are responsible for </w:t>
      </w:r>
      <w:r w:rsidR="005177CA">
        <w:t>making</w:t>
      </w:r>
      <w:r w:rsidR="005177CA" w:rsidRPr="005177CA">
        <w:t xml:space="preserve"> decisions to </w:t>
      </w:r>
      <w:r w:rsidR="006271C5">
        <w:t>remov</w:t>
      </w:r>
      <w:r w:rsidR="0014533A">
        <w:t>e</w:t>
      </w:r>
      <w:r w:rsidR="006271C5">
        <w:t xml:space="preserve"> constraint</w:t>
      </w:r>
      <w:r w:rsidR="00A7255D">
        <w:t>s</w:t>
      </w:r>
      <w:r w:rsidR="006271C5" w:rsidRPr="006271C5">
        <w:t>, develop</w:t>
      </w:r>
      <w:r w:rsidR="006271C5">
        <w:t>ing</w:t>
      </w:r>
      <w:r w:rsidR="006271C5" w:rsidRPr="006271C5">
        <w:t xml:space="preserve"> specific constraints </w:t>
      </w:r>
      <w:r w:rsidR="00A375F8">
        <w:t>measures</w:t>
      </w:r>
      <w:r w:rsidR="006271C5" w:rsidRPr="006271C5">
        <w:t xml:space="preserve"> and be</w:t>
      </w:r>
      <w:r w:rsidR="006271C5">
        <w:t>ing</w:t>
      </w:r>
      <w:r w:rsidR="006271C5" w:rsidRPr="006271C5">
        <w:t xml:space="preserve"> involved in the consideration of </w:t>
      </w:r>
      <w:r w:rsidR="00A375F8">
        <w:t>measures</w:t>
      </w:r>
      <w:r w:rsidR="006271C5" w:rsidRPr="006271C5">
        <w:t xml:space="preserve"> proposed by other jurisdictions</w:t>
      </w:r>
      <w:r w:rsidR="006271C5">
        <w:t>.</w:t>
      </w:r>
      <w:r>
        <w:t xml:space="preserve"> </w:t>
      </w:r>
      <w:r w:rsidR="006271C5" w:rsidRPr="003D1384">
        <w:t xml:space="preserve">A </w:t>
      </w:r>
      <w:r w:rsidR="00F21CCC">
        <w:t>number</w:t>
      </w:r>
      <w:r w:rsidR="006271C5" w:rsidRPr="003D1384">
        <w:t xml:space="preserve"> of </w:t>
      </w:r>
      <w:r w:rsidR="00BE2D80">
        <w:t>constraints</w:t>
      </w:r>
      <w:r w:rsidR="00A375F8">
        <w:t xml:space="preserve"> measures</w:t>
      </w:r>
      <w:r w:rsidR="00F21CCC">
        <w:t xml:space="preserve"> have been included in the package of supply measures mentioned above. In addition, a </w:t>
      </w:r>
      <w:r w:rsidR="006271C5" w:rsidRPr="003D1384">
        <w:t xml:space="preserve">package of </w:t>
      </w:r>
      <w:r w:rsidR="00BE2D80">
        <w:t xml:space="preserve">constraints </w:t>
      </w:r>
      <w:r w:rsidR="00A375F8">
        <w:t>measures</w:t>
      </w:r>
      <w:r w:rsidR="006271C5" w:rsidRPr="003D1384">
        <w:t xml:space="preserve"> will be considered by the </w:t>
      </w:r>
      <w:proofErr w:type="spellStart"/>
      <w:r w:rsidR="00C76984">
        <w:t>MDB</w:t>
      </w:r>
      <w:proofErr w:type="spellEnd"/>
      <w:r w:rsidR="006271C5" w:rsidRPr="003D1384">
        <w:t xml:space="preserve"> Ministerial Council, advised by </w:t>
      </w:r>
      <w:r w:rsidR="00BF50A3">
        <w:t>BOC</w:t>
      </w:r>
      <w:r w:rsidR="006271C5" w:rsidRPr="003D1384">
        <w:t xml:space="preserve">, with the final investment decision made by the </w:t>
      </w:r>
      <w:r w:rsidR="00A1090F">
        <w:t>Australian Government</w:t>
      </w:r>
      <w:r w:rsidR="006271C5" w:rsidRPr="003D1384">
        <w:t>.</w:t>
      </w:r>
      <w:r w:rsidR="006271C5">
        <w:t xml:space="preserve"> </w:t>
      </w:r>
    </w:p>
    <w:p w:rsidR="003D1384" w:rsidRDefault="006271C5" w:rsidP="003D1384">
      <w:pPr>
        <w:spacing w:before="240" w:line="300" w:lineRule="atLeast"/>
        <w:jc w:val="both"/>
      </w:pPr>
      <w:r>
        <w:t>T</w:t>
      </w:r>
      <w:r w:rsidR="005177CA" w:rsidRPr="003D1384">
        <w:t xml:space="preserve">he </w:t>
      </w:r>
      <w:r w:rsidR="00A1090F">
        <w:t>Australian</w:t>
      </w:r>
      <w:r w:rsidR="00A1090F" w:rsidRPr="003D1384">
        <w:t xml:space="preserve"> </w:t>
      </w:r>
      <w:r w:rsidR="005177CA" w:rsidRPr="003D1384">
        <w:t xml:space="preserve">Government </w:t>
      </w:r>
      <w:r w:rsidR="003D1384">
        <w:t xml:space="preserve">has </w:t>
      </w:r>
      <w:r w:rsidR="005177CA" w:rsidRPr="003D1384">
        <w:t>allocated $</w:t>
      </w:r>
      <w:r w:rsidR="00895400" w:rsidRPr="003D1384">
        <w:t>200</w:t>
      </w:r>
      <w:r w:rsidR="00895400">
        <w:t> </w:t>
      </w:r>
      <w:r w:rsidR="005177CA" w:rsidRPr="003D1384">
        <w:t xml:space="preserve">million to relax or remove priority constraints in the context of the </w:t>
      </w:r>
      <w:proofErr w:type="spellStart"/>
      <w:r w:rsidR="005177CA" w:rsidRPr="003D1384">
        <w:t>SDL</w:t>
      </w:r>
      <w:proofErr w:type="spellEnd"/>
      <w:r w:rsidR="005177CA" w:rsidRPr="003D1384">
        <w:t xml:space="preserve"> adjustment mechanism</w:t>
      </w:r>
      <w:r w:rsidR="003D1384" w:rsidRPr="003D1384">
        <w:t xml:space="preserve"> (discussed above)</w:t>
      </w:r>
      <w:r w:rsidR="005177CA" w:rsidRPr="003D1384">
        <w:t>.</w:t>
      </w:r>
      <w:r w:rsidR="003D1384">
        <w:t xml:space="preserve"> </w:t>
      </w:r>
      <w:r>
        <w:t xml:space="preserve">Once </w:t>
      </w:r>
      <w:r w:rsidR="00A375F8">
        <w:t>measures</w:t>
      </w:r>
      <w:r>
        <w:t xml:space="preserve"> are approved, Basin State</w:t>
      </w:r>
      <w:r w:rsidR="00216C72">
        <w:t>s</w:t>
      </w:r>
      <w:r>
        <w:t xml:space="preserve"> will be</w:t>
      </w:r>
      <w:r w:rsidR="003D1384">
        <w:t xml:space="preserve"> </w:t>
      </w:r>
      <w:r w:rsidR="003D1384" w:rsidRPr="003D1384">
        <w:t xml:space="preserve">responsible for </w:t>
      </w:r>
      <w:r w:rsidR="00152408">
        <w:t>implementing</w:t>
      </w:r>
      <w:r w:rsidR="003D1384" w:rsidRPr="003D1384">
        <w:t xml:space="preserve"> </w:t>
      </w:r>
      <w:r w:rsidR="00A375F8">
        <w:t>measures</w:t>
      </w:r>
      <w:r w:rsidR="003D1384" w:rsidRPr="003D1384">
        <w:t xml:space="preserve"> within their respective jurisdictions, including consultation and engagement.</w:t>
      </w:r>
      <w:r>
        <w:t xml:space="preserve"> </w:t>
      </w:r>
      <w:r w:rsidR="003D1384" w:rsidRPr="003D1384">
        <w:t xml:space="preserve">The </w:t>
      </w:r>
      <w:proofErr w:type="spellStart"/>
      <w:r w:rsidR="003D1384" w:rsidRPr="003D1384">
        <w:t>MDBA</w:t>
      </w:r>
      <w:proofErr w:type="spellEnd"/>
      <w:r w:rsidR="003D1384" w:rsidRPr="003D1384">
        <w:t xml:space="preserve"> must report annually to the </w:t>
      </w:r>
      <w:proofErr w:type="spellStart"/>
      <w:r w:rsidR="009811F9">
        <w:t>MDB</w:t>
      </w:r>
      <w:proofErr w:type="spellEnd"/>
      <w:r w:rsidR="003D1384" w:rsidRPr="003D1384">
        <w:t xml:space="preserve"> Ministerial Council on progress on the matters covered by the </w:t>
      </w:r>
      <w:r w:rsidR="00152408">
        <w:t>C</w:t>
      </w:r>
      <w:r w:rsidR="00834375">
        <w:t xml:space="preserve">onstraints </w:t>
      </w:r>
      <w:r w:rsidR="00152408">
        <w:t>M</w:t>
      </w:r>
      <w:r w:rsidR="00834375">
        <w:t xml:space="preserve">anagement </w:t>
      </w:r>
      <w:r w:rsidR="00152408">
        <w:t>S</w:t>
      </w:r>
      <w:r w:rsidR="003D1384" w:rsidRPr="003D1384">
        <w:t>trategy.</w:t>
      </w:r>
    </w:p>
    <w:p w:rsidR="000B6E8A" w:rsidRDefault="00D310A8" w:rsidP="00213FF3">
      <w:pPr>
        <w:spacing w:before="240" w:line="300" w:lineRule="atLeast"/>
        <w:jc w:val="both"/>
      </w:pPr>
      <w:r>
        <w:t xml:space="preserve">Progress with constraints </w:t>
      </w:r>
      <w:r w:rsidR="00A375F8">
        <w:t>measures</w:t>
      </w:r>
      <w:r>
        <w:t xml:space="preserve"> is </w:t>
      </w:r>
      <w:r w:rsidR="001C3B86">
        <w:t xml:space="preserve">at present </w:t>
      </w:r>
      <w:r>
        <w:t xml:space="preserve">behind the timelines set out in the </w:t>
      </w:r>
      <w:r w:rsidR="00152408">
        <w:t>C</w:t>
      </w:r>
      <w:r w:rsidR="00C44B42">
        <w:t xml:space="preserve">onstraints </w:t>
      </w:r>
      <w:r w:rsidR="00152408">
        <w:t>M</w:t>
      </w:r>
      <w:r w:rsidR="00C44B42">
        <w:t xml:space="preserve">anagement </w:t>
      </w:r>
      <w:r w:rsidR="00152408">
        <w:t>S</w:t>
      </w:r>
      <w:r w:rsidR="00C44B42">
        <w:t>trategy</w:t>
      </w:r>
      <w:r>
        <w:t xml:space="preserve">. </w:t>
      </w:r>
      <w:r w:rsidR="00C94E69">
        <w:t xml:space="preserve">The </w:t>
      </w:r>
      <w:proofErr w:type="spellStart"/>
      <w:r w:rsidR="00C94E69">
        <w:t>MDBA</w:t>
      </w:r>
      <w:proofErr w:type="spellEnd"/>
      <w:r w:rsidR="00C94E69">
        <w:t xml:space="preserve"> undertook </w:t>
      </w:r>
      <w:r w:rsidR="00C94E69" w:rsidRPr="00C94E69">
        <w:t xml:space="preserve">the prefeasibility phase of the </w:t>
      </w:r>
      <w:r w:rsidR="00152408">
        <w:t>C</w:t>
      </w:r>
      <w:r w:rsidR="00C94E69" w:rsidRPr="00C94E69">
        <w:t xml:space="preserve">onstraints </w:t>
      </w:r>
      <w:r w:rsidR="00152408">
        <w:t>M</w:t>
      </w:r>
      <w:r w:rsidR="00C94E69" w:rsidRPr="00C94E69">
        <w:t xml:space="preserve">anagement </w:t>
      </w:r>
      <w:r w:rsidR="00152408">
        <w:t>S</w:t>
      </w:r>
      <w:r w:rsidR="00C94E69" w:rsidRPr="00C94E69">
        <w:t>trategy</w:t>
      </w:r>
      <w:r w:rsidR="00C94E69">
        <w:t xml:space="preserve"> during 2014</w:t>
      </w:r>
      <w:r w:rsidR="00213FF3" w:rsidRPr="009744FA">
        <w:t>.</w:t>
      </w:r>
      <w:r w:rsidR="00C94E69">
        <w:t xml:space="preserve"> </w:t>
      </w:r>
      <w:r w:rsidR="00932727">
        <w:t xml:space="preserve">However, </w:t>
      </w:r>
      <w:r w:rsidR="00A375F8">
        <w:t>measures</w:t>
      </w:r>
      <w:r w:rsidR="00932727">
        <w:t xml:space="preserve"> have not yet progressed </w:t>
      </w:r>
      <w:r w:rsidR="0037415D">
        <w:t xml:space="preserve">past </w:t>
      </w:r>
      <w:r w:rsidR="00932727">
        <w:t xml:space="preserve">the </w:t>
      </w:r>
      <w:r w:rsidR="00B64054">
        <w:t>next</w:t>
      </w:r>
      <w:r w:rsidR="00B64054" w:rsidRPr="00C94E69">
        <w:t xml:space="preserve"> </w:t>
      </w:r>
      <w:r w:rsidR="00C94E69" w:rsidRPr="00C94E69">
        <w:t>phase (feasibility)</w:t>
      </w:r>
      <w:r w:rsidR="00932727">
        <w:t>, which was due to be completed in 2016</w:t>
      </w:r>
      <w:r w:rsidR="00C94E69" w:rsidRPr="00C94E69">
        <w:t>. </w:t>
      </w:r>
    </w:p>
    <w:p w:rsidR="00C94E69" w:rsidRPr="00B64054" w:rsidRDefault="00FD5466" w:rsidP="0092171D">
      <w:pPr>
        <w:spacing w:before="240" w:line="300" w:lineRule="atLeast"/>
        <w:jc w:val="both"/>
      </w:pPr>
      <w:r>
        <w:t xml:space="preserve">Current </w:t>
      </w:r>
      <w:r w:rsidR="00A731DF">
        <w:t>action</w:t>
      </w:r>
      <w:r w:rsidR="00EF30AA">
        <w:t xml:space="preserve"> to lift constraints</w:t>
      </w:r>
      <w:r>
        <w:t xml:space="preserve"> include</w:t>
      </w:r>
      <w:r w:rsidR="004B71FD">
        <w:t xml:space="preserve"> </w:t>
      </w:r>
      <w:r w:rsidR="00A731DF" w:rsidRPr="00B64054">
        <w:t xml:space="preserve">further </w:t>
      </w:r>
      <w:r w:rsidR="00EF30AA" w:rsidRPr="00B64054">
        <w:t>‘</w:t>
      </w:r>
      <w:r w:rsidR="00A731DF" w:rsidRPr="00B64054">
        <w:t xml:space="preserve">investigation of </w:t>
      </w:r>
      <w:r w:rsidR="00EF30AA" w:rsidRPr="00B64054">
        <w:t xml:space="preserve">opportunities’ to </w:t>
      </w:r>
      <w:r w:rsidR="00A731DF" w:rsidRPr="00B64054">
        <w:t xml:space="preserve">allow higher flow rates </w:t>
      </w:r>
      <w:r w:rsidR="00EF30AA" w:rsidRPr="00B64054">
        <w:t xml:space="preserve">as </w:t>
      </w:r>
      <w:r w:rsidR="00A731DF" w:rsidRPr="00B64054">
        <w:t>part of</w:t>
      </w:r>
      <w:r w:rsidR="00EF30AA" w:rsidRPr="00B64054">
        <w:t xml:space="preserve"> </w:t>
      </w:r>
      <w:r w:rsidR="00A375F8">
        <w:t>measures</w:t>
      </w:r>
      <w:r w:rsidR="00EF30AA" w:rsidRPr="00B64054">
        <w:t xml:space="preserve"> in the </w:t>
      </w:r>
      <w:proofErr w:type="spellStart"/>
      <w:r w:rsidR="00EF30AA" w:rsidRPr="00B64054">
        <w:t>SDL</w:t>
      </w:r>
      <w:proofErr w:type="spellEnd"/>
      <w:r w:rsidR="00EF30AA" w:rsidRPr="00B64054">
        <w:t xml:space="preserve"> adjustment package</w:t>
      </w:r>
      <w:r w:rsidR="008848DD" w:rsidRPr="00C45348">
        <w:rPr>
          <w:rStyle w:val="FootnoteReference"/>
        </w:rPr>
        <w:footnoteReference w:id="4"/>
      </w:r>
      <w:r w:rsidR="00EF30AA" w:rsidRPr="00D10287">
        <w:rPr>
          <w:rStyle w:val="FootnoteReference"/>
        </w:rPr>
        <w:t xml:space="preserve"> </w:t>
      </w:r>
      <w:r w:rsidR="00EF30AA" w:rsidRPr="00B64054">
        <w:t>for constraints in the Southern Basin</w:t>
      </w:r>
      <w:r w:rsidR="004B71FD">
        <w:t>. It was also proposed that toolkit measures</w:t>
      </w:r>
      <w:r w:rsidR="004B71FD" w:rsidDel="000B70F1">
        <w:t xml:space="preserve"> (</w:t>
      </w:r>
      <w:r w:rsidR="004B71FD">
        <w:t xml:space="preserve">as part of the </w:t>
      </w:r>
      <w:proofErr w:type="spellStart"/>
      <w:r w:rsidR="000B70F1">
        <w:t>NBR</w:t>
      </w:r>
      <w:proofErr w:type="spellEnd"/>
      <w:r w:rsidR="004B71FD" w:rsidDel="000B70F1">
        <w:t>)</w:t>
      </w:r>
      <w:r w:rsidR="004B71FD">
        <w:t xml:space="preserve"> be used </w:t>
      </w:r>
      <w:r w:rsidR="005E12FC">
        <w:t xml:space="preserve">to </w:t>
      </w:r>
      <w:r w:rsidR="005E12FC">
        <w:lastRenderedPageBreak/>
        <w:t xml:space="preserve">lift the Gwydir constraint. </w:t>
      </w:r>
      <w:r w:rsidR="00C673AF">
        <w:t>T</w:t>
      </w:r>
      <w:r w:rsidR="00C673AF" w:rsidRPr="00C673AF">
        <w:t xml:space="preserve">he pathway for lifting the Gwydir constraint is no longer clear </w:t>
      </w:r>
      <w:r w:rsidR="00C673AF">
        <w:t xml:space="preserve">after the </w:t>
      </w:r>
      <w:r w:rsidR="00C673AF" w:rsidRPr="00C94475">
        <w:t>Parliament</w:t>
      </w:r>
      <w:r w:rsidR="00C673AF" w:rsidRPr="00C673AF">
        <w:t xml:space="preserve"> </w:t>
      </w:r>
      <w:r w:rsidR="00C673AF">
        <w:t xml:space="preserve">rejected </w:t>
      </w:r>
      <w:r w:rsidR="00D15506" w:rsidRPr="00C673AF">
        <w:t>th</w:t>
      </w:r>
      <w:r w:rsidR="00D15506">
        <w:t>e</w:t>
      </w:r>
      <w:r w:rsidR="00C673AF" w:rsidRPr="00C673AF">
        <w:t xml:space="preserve"> </w:t>
      </w:r>
      <w:proofErr w:type="spellStart"/>
      <w:r w:rsidR="00C673AF" w:rsidRPr="00C673AF">
        <w:t>NBR</w:t>
      </w:r>
      <w:proofErr w:type="spellEnd"/>
      <w:r w:rsidR="00C673AF" w:rsidRPr="00C673AF">
        <w:t xml:space="preserve"> </w:t>
      </w:r>
      <w:r w:rsidR="0014533A">
        <w:t>amendments</w:t>
      </w:r>
      <w:r w:rsidR="0014533A" w:rsidRPr="00C673AF">
        <w:t xml:space="preserve"> </w:t>
      </w:r>
      <w:r w:rsidR="00C673AF">
        <w:t>in February 2018</w:t>
      </w:r>
      <w:r w:rsidR="005E12FC">
        <w:t>.</w:t>
      </w:r>
    </w:p>
    <w:p w:rsidR="00213FF3" w:rsidRPr="004E3B94" w:rsidRDefault="00213FF3" w:rsidP="00213FF3">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213FF3" w:rsidTr="00563B55">
        <w:trPr>
          <w:tblHeader/>
        </w:trPr>
        <w:tc>
          <w:tcPr>
            <w:tcW w:w="5000" w:type="pct"/>
            <w:tcBorders>
              <w:top w:val="single" w:sz="6" w:space="0" w:color="78A22F"/>
              <w:left w:val="nil"/>
              <w:bottom w:val="nil"/>
              <w:right w:val="nil"/>
            </w:tcBorders>
            <w:shd w:val="clear" w:color="auto" w:fill="auto"/>
          </w:tcPr>
          <w:p w:rsidR="00213FF3" w:rsidRPr="00CE4C64" w:rsidRDefault="00213FF3" w:rsidP="00920844">
            <w:pPr>
              <w:pStyle w:val="InformationRequestTitle"/>
              <w:spacing w:before="120"/>
            </w:pPr>
            <w:r w:rsidRPr="006E7EE2">
              <w:t>Information request</w:t>
            </w:r>
            <w:r>
              <w:t xml:space="preserve"> </w:t>
            </w:r>
            <w:r w:rsidR="00920844">
              <w:t>4</w:t>
            </w:r>
          </w:p>
        </w:tc>
      </w:tr>
      <w:tr w:rsidR="00213FF3" w:rsidRPr="00750BE2" w:rsidTr="00563B55">
        <w:tc>
          <w:tcPr>
            <w:tcW w:w="5000" w:type="pct"/>
            <w:tcBorders>
              <w:top w:val="nil"/>
              <w:left w:val="nil"/>
              <w:bottom w:val="nil"/>
              <w:right w:val="nil"/>
            </w:tcBorders>
            <w:shd w:val="clear" w:color="auto" w:fill="auto"/>
          </w:tcPr>
          <w:p w:rsidR="00020CC4" w:rsidRPr="0092171D" w:rsidRDefault="00020CC4" w:rsidP="0092171D">
            <w:pPr>
              <w:pStyle w:val="InformationRequest"/>
            </w:pPr>
            <w:r w:rsidRPr="0092171D">
              <w:t>The Commission is seeking information on:</w:t>
            </w:r>
          </w:p>
          <w:p w:rsidR="0058411A" w:rsidRPr="006C28E0" w:rsidRDefault="00020CC4" w:rsidP="00876954">
            <w:pPr>
              <w:pStyle w:val="InformationRequestBullet"/>
              <w:numPr>
                <w:ilvl w:val="0"/>
                <w:numId w:val="28"/>
              </w:numPr>
            </w:pPr>
            <w:r w:rsidRPr="006C28E0">
              <w:t>why progress to remove constraints has been slower than expected</w:t>
            </w:r>
            <w:r w:rsidR="0058411A" w:rsidRPr="006C28E0">
              <w:t xml:space="preserve"> </w:t>
            </w:r>
          </w:p>
          <w:p w:rsidR="0058411A" w:rsidRPr="006C28E0" w:rsidRDefault="0058411A" w:rsidP="00876954">
            <w:pPr>
              <w:pStyle w:val="InformationRequestBullet"/>
              <w:numPr>
                <w:ilvl w:val="0"/>
                <w:numId w:val="28"/>
              </w:numPr>
            </w:pPr>
            <w:r w:rsidRPr="006C28E0">
              <w:t>the implications</w:t>
            </w:r>
            <w:r w:rsidR="0005013E" w:rsidRPr="006C28E0">
              <w:t xml:space="preserve"> of this</w:t>
            </w:r>
            <w:r w:rsidRPr="006C28E0">
              <w:t xml:space="preserve"> slow progress </w:t>
            </w:r>
          </w:p>
          <w:p w:rsidR="00020CC4" w:rsidRPr="006C28E0" w:rsidRDefault="00020CC4" w:rsidP="00876954">
            <w:pPr>
              <w:pStyle w:val="InformationRequestBullet"/>
              <w:numPr>
                <w:ilvl w:val="0"/>
                <w:numId w:val="28"/>
              </w:numPr>
            </w:pPr>
            <w:r w:rsidRPr="006C28E0">
              <w:t xml:space="preserve">what can be done to ensure that constraints are removed in a more timely manner </w:t>
            </w:r>
            <w:r w:rsidR="0005013E" w:rsidRPr="006C28E0">
              <w:t>while managing impacts on third parties</w:t>
            </w:r>
          </w:p>
          <w:p w:rsidR="00213FF3" w:rsidRPr="00030765" w:rsidRDefault="00020CC4" w:rsidP="00876954">
            <w:pPr>
              <w:pStyle w:val="InformationRequestBullet"/>
              <w:numPr>
                <w:ilvl w:val="0"/>
                <w:numId w:val="28"/>
              </w:numPr>
            </w:pPr>
            <w:r w:rsidRPr="006C28E0">
              <w:t>strategies that are, or could be, put in place to increase the extent to which Basin Plan objectives are met when constraints cannot be removed.</w:t>
            </w:r>
          </w:p>
        </w:tc>
      </w:tr>
      <w:tr w:rsidR="00213FF3" w:rsidTr="00563B55">
        <w:tc>
          <w:tcPr>
            <w:tcW w:w="5000" w:type="pct"/>
            <w:tcBorders>
              <w:top w:val="nil"/>
              <w:left w:val="nil"/>
              <w:bottom w:val="single" w:sz="6" w:space="0" w:color="78A22F"/>
              <w:right w:val="nil"/>
            </w:tcBorders>
            <w:shd w:val="clear" w:color="auto" w:fill="auto"/>
          </w:tcPr>
          <w:p w:rsidR="00213FF3" w:rsidRDefault="00213FF3" w:rsidP="00993076">
            <w:pPr>
              <w:pStyle w:val="Space"/>
              <w:keepLines/>
            </w:pPr>
          </w:p>
        </w:tc>
      </w:tr>
      <w:tr w:rsidR="00213FF3" w:rsidRPr="000863A5" w:rsidTr="00563B55">
        <w:tc>
          <w:tcPr>
            <w:tcW w:w="5000" w:type="pct"/>
            <w:tcBorders>
              <w:top w:val="single" w:sz="6" w:space="0" w:color="78A22F"/>
              <w:left w:val="nil"/>
              <w:bottom w:val="nil"/>
              <w:right w:val="nil"/>
            </w:tcBorders>
          </w:tcPr>
          <w:p w:rsidR="00213FF3" w:rsidRPr="00626D32" w:rsidRDefault="00213FF3" w:rsidP="00993076">
            <w:pPr>
              <w:pStyle w:val="BoxSpaceBelow"/>
              <w:keepLines/>
            </w:pPr>
          </w:p>
        </w:tc>
      </w:tr>
    </w:tbl>
    <w:p w:rsidR="00213FF3" w:rsidRPr="009744FA" w:rsidRDefault="00213FF3" w:rsidP="00213FF3">
      <w:pPr>
        <w:keepNext/>
        <w:spacing w:before="560" w:line="320" w:lineRule="exact"/>
        <w:outlineLvl w:val="2"/>
        <w:rPr>
          <w:rFonts w:ascii="Arial" w:hAnsi="Arial"/>
          <w:b/>
        </w:rPr>
      </w:pPr>
      <w:r w:rsidRPr="009744FA">
        <w:rPr>
          <w:rFonts w:ascii="Arial" w:hAnsi="Arial"/>
          <w:b/>
        </w:rPr>
        <w:t>Recovery of water for the environment</w:t>
      </w:r>
    </w:p>
    <w:p w:rsidR="00213FF3" w:rsidRPr="009744FA" w:rsidRDefault="00213FF3" w:rsidP="00213FF3">
      <w:pPr>
        <w:spacing w:before="240" w:line="300" w:lineRule="atLeast"/>
        <w:jc w:val="both"/>
      </w:pPr>
      <w:r w:rsidRPr="009744FA">
        <w:t xml:space="preserve">Water recovery </w:t>
      </w:r>
      <w:r>
        <w:t xml:space="preserve">has </w:t>
      </w:r>
      <w:r w:rsidRPr="009744FA">
        <w:t xml:space="preserve">to </w:t>
      </w:r>
      <w:r>
        <w:t xml:space="preserve">be completed as part of the establishment phase of the Basin Plan </w:t>
      </w:r>
      <w:r w:rsidR="00A52F1B" w:rsidRPr="00A52F1B">
        <w:t xml:space="preserve">to </w:t>
      </w:r>
      <w:r w:rsidR="00A52F1B">
        <w:t>give effect to</w:t>
      </w:r>
      <w:r w:rsidR="00A52F1B" w:rsidRPr="00A52F1B">
        <w:t xml:space="preserve"> the </w:t>
      </w:r>
      <w:proofErr w:type="spellStart"/>
      <w:r w:rsidRPr="009744FA">
        <w:t>SDLs</w:t>
      </w:r>
      <w:proofErr w:type="spellEnd"/>
      <w:r w:rsidR="00AC4F36">
        <w:t>,</w:t>
      </w:r>
      <w:r w:rsidRPr="009744FA">
        <w:t xml:space="preserve"> </w:t>
      </w:r>
      <w:r w:rsidR="00A52F1B" w:rsidRPr="00A52F1B">
        <w:t>provide water</w:t>
      </w:r>
      <w:r w:rsidRPr="009744FA">
        <w:t xml:space="preserve"> to protect the water</w:t>
      </w:r>
      <w:r w:rsidR="00B37F8F">
        <w:noBreakHyphen/>
      </w:r>
      <w:r w:rsidRPr="009744FA">
        <w:t>dependent ecosystems of the Basin</w:t>
      </w:r>
      <w:r w:rsidR="00756CDA">
        <w:t>,</w:t>
      </w:r>
      <w:r>
        <w:t xml:space="preserve"> and support </w:t>
      </w:r>
      <w:r w:rsidR="00142C07">
        <w:t xml:space="preserve">achievement of </w:t>
      </w:r>
      <w:r>
        <w:t>the environmental outcomes of the Plan</w:t>
      </w:r>
      <w:r w:rsidRPr="009744FA">
        <w:t>.</w:t>
      </w:r>
    </w:p>
    <w:p w:rsidR="00A52F1B" w:rsidRDefault="00A52F1B" w:rsidP="00213FF3">
      <w:pPr>
        <w:pStyle w:val="BodyText"/>
      </w:pPr>
      <w:r w:rsidRPr="00A52F1B">
        <w:t xml:space="preserve">The Australian Government (through </w:t>
      </w:r>
      <w:r w:rsidR="00C64795">
        <w:t xml:space="preserve">the Department of Agriculture and Water Resources, or </w:t>
      </w:r>
      <w:proofErr w:type="spellStart"/>
      <w:r w:rsidRPr="00A52F1B">
        <w:t>DAWR</w:t>
      </w:r>
      <w:proofErr w:type="spellEnd"/>
      <w:r w:rsidRPr="00A52F1B">
        <w:t xml:space="preserve">) </w:t>
      </w:r>
      <w:r w:rsidR="00B23446" w:rsidRPr="00B61B9D">
        <w:t xml:space="preserve">has committed </w:t>
      </w:r>
      <w:r w:rsidR="007F5C6F" w:rsidRPr="00B61B9D">
        <w:t>to</w:t>
      </w:r>
      <w:r w:rsidR="00B23446" w:rsidRPr="00B61B9D">
        <w:t xml:space="preserve"> ‘bridging the gap’ to </w:t>
      </w:r>
      <w:r w:rsidR="00024683">
        <w:t xml:space="preserve">meet </w:t>
      </w:r>
      <w:r w:rsidR="00B23446" w:rsidRPr="00B61B9D">
        <w:t xml:space="preserve">the </w:t>
      </w:r>
      <w:proofErr w:type="spellStart"/>
      <w:r w:rsidR="00B23446" w:rsidRPr="00B61B9D">
        <w:t>SDLs</w:t>
      </w:r>
      <w:proofErr w:type="spellEnd"/>
      <w:r w:rsidR="00B23446" w:rsidRPr="00B61B9D">
        <w:t xml:space="preserve"> by 1</w:t>
      </w:r>
      <w:r w:rsidR="0004015D" w:rsidRPr="00B61B9D">
        <w:t> </w:t>
      </w:r>
      <w:r w:rsidR="00B23446" w:rsidRPr="00B61B9D">
        <w:t>July 2019</w:t>
      </w:r>
      <w:r w:rsidRPr="009E1025">
        <w:t xml:space="preserve">. </w:t>
      </w:r>
      <w:r w:rsidRPr="00A52F1B">
        <w:t xml:space="preserve">The water it recovers is </w:t>
      </w:r>
      <w:r w:rsidR="00FA6AE6">
        <w:t xml:space="preserve">generally </w:t>
      </w:r>
      <w:r w:rsidRPr="00A52F1B">
        <w:t xml:space="preserve">managed by the </w:t>
      </w:r>
      <w:proofErr w:type="spellStart"/>
      <w:r w:rsidRPr="00A52F1B">
        <w:t>CEWH</w:t>
      </w:r>
      <w:proofErr w:type="spellEnd"/>
      <w:r w:rsidRPr="00A52F1B">
        <w:t xml:space="preserve"> to support environmental outcomes.</w:t>
      </w:r>
    </w:p>
    <w:p w:rsidR="00633198" w:rsidRDefault="00213FF3" w:rsidP="00213FF3">
      <w:pPr>
        <w:pStyle w:val="BodyText"/>
      </w:pPr>
      <w:r w:rsidRPr="009744FA">
        <w:t>Data published by the Australian Government indicates that, by the end of </w:t>
      </w:r>
      <w:r w:rsidR="00926DCD">
        <w:t>D</w:t>
      </w:r>
      <w:r w:rsidR="00E2201D">
        <w:t>ecember</w:t>
      </w:r>
      <w:r w:rsidR="00926DCD" w:rsidRPr="009744FA">
        <w:t xml:space="preserve"> </w:t>
      </w:r>
      <w:r w:rsidRPr="0031766A">
        <w:t xml:space="preserve">2017, </w:t>
      </w:r>
      <w:r w:rsidR="00737AB7" w:rsidRPr="0031766A">
        <w:t>210</w:t>
      </w:r>
      <w:r w:rsidR="00E914E6">
        <w:t>6</w:t>
      </w:r>
      <w:r w:rsidRPr="0031766A">
        <w:t>.</w:t>
      </w:r>
      <w:r w:rsidR="00E914E6">
        <w:t>4</w:t>
      </w:r>
      <w:r w:rsidRPr="0031766A">
        <w:t> GL</w:t>
      </w:r>
      <w:r w:rsidRPr="009744FA">
        <w:t xml:space="preserve"> of surface water entitlements (</w:t>
      </w:r>
      <w:r w:rsidR="00737AB7">
        <w:t>77</w:t>
      </w:r>
      <w:r w:rsidRPr="009744FA">
        <w:t> per cent of the</w:t>
      </w:r>
      <w:r w:rsidR="00737AB7">
        <w:t xml:space="preserve"> current</w:t>
      </w:r>
      <w:r w:rsidRPr="009744FA">
        <w:t xml:space="preserve"> 2750 GL surface water target) and 2.7 GL of groundwater entitlements (7 per cent of the 40.4 GL groundwater target) </w:t>
      </w:r>
      <w:r w:rsidRPr="009744FA" w:rsidDel="00C62D8E">
        <w:t>had been</w:t>
      </w:r>
      <w:r w:rsidRPr="009744FA">
        <w:t xml:space="preserve"> recovered from consumptive use</w:t>
      </w:r>
      <w:r w:rsidRPr="009744FA" w:rsidDel="00E968BB">
        <w:t xml:space="preserve"> </w:t>
      </w:r>
      <w:r w:rsidR="00885F6C" w:rsidRPr="00885F6C">
        <w:rPr>
          <w:szCs w:val="24"/>
        </w:rPr>
        <w:t>(</w:t>
      </w:r>
      <w:proofErr w:type="spellStart"/>
      <w:r w:rsidR="00885F6C" w:rsidRPr="00885F6C">
        <w:rPr>
          <w:szCs w:val="24"/>
        </w:rPr>
        <w:t>DAWR</w:t>
      </w:r>
      <w:proofErr w:type="spellEnd"/>
      <w:r w:rsidR="00885F6C" w:rsidRPr="00885F6C">
        <w:rPr>
          <w:szCs w:val="24"/>
        </w:rPr>
        <w:t> 2018)</w:t>
      </w:r>
      <w:r w:rsidRPr="009744FA">
        <w:t xml:space="preserve"> (table 1).</w:t>
      </w:r>
      <w:r w:rsidRPr="00C45348">
        <w:rPr>
          <w:rStyle w:val="FootnoteReference"/>
        </w:rPr>
        <w:footnoteReference w:id="5"/>
      </w:r>
      <w:r>
        <w:rPr>
          <w:position w:val="6"/>
          <w:sz w:val="20"/>
        </w:rPr>
        <w:t xml:space="preserve"> </w:t>
      </w:r>
      <w:r>
        <w:t xml:space="preserve">This includes </w:t>
      </w:r>
      <w:r w:rsidRPr="0031766A">
        <w:t>16</w:t>
      </w:r>
      <w:r w:rsidR="0031766A">
        <w:t>1.9</w:t>
      </w:r>
      <w:r w:rsidR="00E914E6">
        <w:t> </w:t>
      </w:r>
      <w:r w:rsidRPr="0031766A">
        <w:t>GL</w:t>
      </w:r>
      <w:r>
        <w:t xml:space="preserve"> of surface water </w:t>
      </w:r>
      <w:r w:rsidR="00D97A41">
        <w:t xml:space="preserve">previously </w:t>
      </w:r>
      <w:r w:rsidRPr="00032D68">
        <w:t xml:space="preserve">recovered by Basin States </w:t>
      </w:r>
      <w:r w:rsidR="00A52F1B" w:rsidRPr="00A52F1B">
        <w:t>and</w:t>
      </w:r>
      <w:r w:rsidRPr="00032D68">
        <w:t xml:space="preserve"> </w:t>
      </w:r>
      <w:r w:rsidR="00D97A41">
        <w:t xml:space="preserve">now </w:t>
      </w:r>
      <w:r w:rsidRPr="00032D68">
        <w:t>managed by state</w:t>
      </w:r>
      <w:r w:rsidR="00B37F8F">
        <w:noBreakHyphen/>
      </w:r>
      <w:r w:rsidRPr="00032D68">
        <w:t>based environmental water managers.</w:t>
      </w:r>
    </w:p>
    <w:p w:rsidR="00633198" w:rsidRPr="003B169F" w:rsidRDefault="00633198" w:rsidP="00633198">
      <w:pPr>
        <w:pStyle w:val="BodyText"/>
      </w:pPr>
      <w:r w:rsidRPr="00227888">
        <w:t>The gap to be bridged by 1</w:t>
      </w:r>
      <w:r>
        <w:t> </w:t>
      </w:r>
      <w:r w:rsidRPr="00227888">
        <w:t xml:space="preserve">July 2019 could </w:t>
      </w:r>
      <w:r>
        <w:t xml:space="preserve">change if </w:t>
      </w:r>
      <w:r w:rsidRPr="00227888">
        <w:t xml:space="preserve">amendments to the Basin Plan to implement the </w:t>
      </w:r>
      <w:proofErr w:type="spellStart"/>
      <w:r w:rsidRPr="00227888">
        <w:t>SDL</w:t>
      </w:r>
      <w:proofErr w:type="spellEnd"/>
      <w:r w:rsidRPr="00227888">
        <w:t xml:space="preserve"> adjustment mechanism and </w:t>
      </w:r>
      <w:proofErr w:type="spellStart"/>
      <w:r>
        <w:t>NBR</w:t>
      </w:r>
      <w:proofErr w:type="spellEnd"/>
      <w:r>
        <w:t xml:space="preserve"> (</w:t>
      </w:r>
      <w:r w:rsidRPr="00227888">
        <w:t>discussed above</w:t>
      </w:r>
      <w:r>
        <w:t>) are allowed</w:t>
      </w:r>
      <w:r w:rsidRPr="00227888">
        <w:t xml:space="preserve">. </w:t>
      </w:r>
      <w:r>
        <w:t>As mentioned, t</w:t>
      </w:r>
      <w:r w:rsidRPr="00227888">
        <w:t xml:space="preserve">he latter of these amendments </w:t>
      </w:r>
      <w:r>
        <w:t xml:space="preserve">was recently disallowed in the Australian Parliament, and the former is subject to a disallowance motion which </w:t>
      </w:r>
      <w:r>
        <w:rPr>
          <w:rStyle w:val="BodyTextChar"/>
        </w:rPr>
        <w:t>expires</w:t>
      </w:r>
      <w:r w:rsidRPr="00E80EFF">
        <w:rPr>
          <w:rStyle w:val="BodyTextChar"/>
        </w:rPr>
        <w:t xml:space="preserve"> in May 2018</w:t>
      </w:r>
      <w:r>
        <w:rPr>
          <w:rStyle w:val="BodyTextChar"/>
        </w:rPr>
        <w:t xml:space="preserve">. Each of these amendments </w:t>
      </w:r>
      <w:r w:rsidRPr="00227888">
        <w:t>would reduce the surface water recovery target</w:t>
      </w:r>
      <w:r w:rsidRPr="00227888" w:rsidDel="00205D6E">
        <w:t>.</w:t>
      </w:r>
      <w:r w:rsidRPr="003B169F" w:rsidDel="00205D6E">
        <w:t xml:space="preserve"> </w:t>
      </w:r>
      <w:r w:rsidRPr="003B169F">
        <w:t>The final recovery task will also depend on some planning assumptions underpinning state water resource plans</w:t>
      </w:r>
      <w:r w:rsidRPr="00227888">
        <w:t>.</w:t>
      </w:r>
    </w:p>
    <w:p w:rsidR="00E528F9" w:rsidRDefault="00E528F9" w:rsidP="00E528F9">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528F9" w:rsidTr="00563B55">
        <w:tc>
          <w:tcPr>
            <w:tcW w:w="5000" w:type="pct"/>
            <w:tcBorders>
              <w:top w:val="single" w:sz="6" w:space="0" w:color="78A22F"/>
              <w:left w:val="nil"/>
              <w:bottom w:val="nil"/>
              <w:right w:val="nil"/>
            </w:tcBorders>
            <w:shd w:val="clear" w:color="auto" w:fill="auto"/>
          </w:tcPr>
          <w:p w:rsidR="00E528F9" w:rsidRDefault="00E528F9">
            <w:pPr>
              <w:pStyle w:val="TableTitle"/>
            </w:pPr>
            <w:r>
              <w:rPr>
                <w:b w:val="0"/>
              </w:rPr>
              <w:t>Table 1</w:t>
            </w:r>
            <w:r>
              <w:tab/>
              <w:t>Progress towards recovering water for the environment</w:t>
            </w:r>
          </w:p>
          <w:p w:rsidR="00E528F9" w:rsidRPr="00784A05" w:rsidRDefault="00E528F9" w:rsidP="00926DCD">
            <w:pPr>
              <w:pStyle w:val="Subtitle"/>
            </w:pPr>
            <w:r>
              <w:t xml:space="preserve">As of </w:t>
            </w:r>
            <w:r w:rsidR="00926DCD">
              <w:t>31</w:t>
            </w:r>
            <w:r w:rsidR="00B37F8F">
              <w:t> </w:t>
            </w:r>
            <w:r w:rsidR="00926DCD">
              <w:t xml:space="preserve">December </w:t>
            </w:r>
            <w:r>
              <w:t>2017</w:t>
            </w:r>
          </w:p>
        </w:tc>
      </w:tr>
      <w:tr w:rsidR="00E528F9" w:rsidTr="00563B55">
        <w:tc>
          <w:tcPr>
            <w:tcW w:w="5000" w:type="pct"/>
            <w:tcBorders>
              <w:top w:val="nil"/>
              <w:left w:val="nil"/>
              <w:bottom w:val="nil"/>
              <w:right w:val="nil"/>
            </w:tcBorders>
            <w:shd w:val="clear" w:color="auto" w:fill="auto"/>
          </w:tcPr>
          <w:tbl>
            <w:tblPr>
              <w:tblW w:w="8525" w:type="dxa"/>
              <w:tblCellMar>
                <w:top w:w="28" w:type="dxa"/>
                <w:left w:w="0" w:type="dxa"/>
                <w:right w:w="0" w:type="dxa"/>
              </w:tblCellMar>
              <w:tblLook w:val="0000" w:firstRow="0" w:lastRow="0" w:firstColumn="0" w:lastColumn="0" w:noHBand="0" w:noVBand="0"/>
            </w:tblPr>
            <w:tblGrid>
              <w:gridCol w:w="3036"/>
              <w:gridCol w:w="1383"/>
              <w:gridCol w:w="1277"/>
              <w:gridCol w:w="283"/>
              <w:gridCol w:w="1132"/>
              <w:gridCol w:w="1402"/>
              <w:gridCol w:w="12"/>
            </w:tblGrid>
            <w:tr w:rsidR="00E528F9" w:rsidTr="00E528F9">
              <w:trPr>
                <w:gridAfter w:val="1"/>
                <w:wAfter w:w="7" w:type="pct"/>
                <w:tblHeader/>
              </w:trPr>
              <w:tc>
                <w:tcPr>
                  <w:tcW w:w="1781" w:type="pct"/>
                  <w:tcBorders>
                    <w:top w:val="single" w:sz="6" w:space="0" w:color="BFBFBF"/>
                    <w:bottom w:val="single" w:sz="6" w:space="0" w:color="BFBFBF"/>
                  </w:tcBorders>
                  <w:shd w:val="clear" w:color="auto" w:fill="auto"/>
                  <w:tcMar>
                    <w:top w:w="28" w:type="dxa"/>
                  </w:tcMar>
                  <w:vAlign w:val="center"/>
                </w:tcPr>
                <w:p w:rsidR="00E528F9" w:rsidRDefault="00E528F9" w:rsidP="00E528F9">
                  <w:pPr>
                    <w:pStyle w:val="TableColumnHeading"/>
                    <w:jc w:val="left"/>
                  </w:pPr>
                </w:p>
              </w:tc>
              <w:tc>
                <w:tcPr>
                  <w:tcW w:w="1560" w:type="pct"/>
                  <w:gridSpan w:val="2"/>
                  <w:tcBorders>
                    <w:top w:val="single" w:sz="6" w:space="0" w:color="BFBFBF"/>
                    <w:bottom w:val="single" w:sz="6" w:space="0" w:color="BFBFBF"/>
                  </w:tcBorders>
                  <w:vAlign w:val="bottom"/>
                </w:tcPr>
                <w:p w:rsidR="00E528F9" w:rsidRDefault="00E528F9" w:rsidP="00E528F9">
                  <w:pPr>
                    <w:pStyle w:val="TableColumnHeading"/>
                    <w:jc w:val="center"/>
                  </w:pPr>
                  <w:r w:rsidRPr="009744FA">
                    <w:t>Surface water</w:t>
                  </w:r>
                </w:p>
              </w:tc>
              <w:tc>
                <w:tcPr>
                  <w:tcW w:w="166" w:type="pct"/>
                  <w:tcBorders>
                    <w:top w:val="single" w:sz="6" w:space="0" w:color="BFBFBF"/>
                    <w:bottom w:val="single" w:sz="6" w:space="0" w:color="BFBFBF"/>
                  </w:tcBorders>
                  <w:shd w:val="clear" w:color="auto" w:fill="auto"/>
                  <w:tcMar>
                    <w:top w:w="28" w:type="dxa"/>
                  </w:tcMar>
                </w:tcPr>
                <w:p w:rsidR="00E528F9" w:rsidRDefault="00E528F9" w:rsidP="00E528F9">
                  <w:pPr>
                    <w:pStyle w:val="TableColumnHeading"/>
                    <w:jc w:val="center"/>
                  </w:pPr>
                </w:p>
              </w:tc>
              <w:tc>
                <w:tcPr>
                  <w:tcW w:w="1486" w:type="pct"/>
                  <w:gridSpan w:val="2"/>
                  <w:tcBorders>
                    <w:top w:val="single" w:sz="6" w:space="0" w:color="BFBFBF"/>
                    <w:bottom w:val="single" w:sz="6" w:space="0" w:color="BFBFBF"/>
                  </w:tcBorders>
                  <w:vAlign w:val="bottom"/>
                </w:tcPr>
                <w:p w:rsidR="00E528F9" w:rsidRDefault="00E528F9" w:rsidP="00E528F9">
                  <w:pPr>
                    <w:pStyle w:val="TableColumnHeading"/>
                    <w:jc w:val="center"/>
                  </w:pPr>
                  <w:r w:rsidRPr="009744FA">
                    <w:t>Groundwater</w:t>
                  </w:r>
                </w:p>
              </w:tc>
            </w:tr>
            <w:tr w:rsidR="00E528F9" w:rsidTr="00E528F9">
              <w:tc>
                <w:tcPr>
                  <w:tcW w:w="1781" w:type="pct"/>
                  <w:tcBorders>
                    <w:top w:val="single" w:sz="6" w:space="0" w:color="BFBFBF"/>
                  </w:tcBorders>
                  <w:vAlign w:val="center"/>
                </w:tcPr>
                <w:p w:rsidR="00E528F9" w:rsidRDefault="00E528F9" w:rsidP="00E528F9">
                  <w:pPr>
                    <w:pStyle w:val="TableUnitsRow"/>
                    <w:jc w:val="left"/>
                  </w:pPr>
                  <w:r w:rsidRPr="009744FA">
                    <w:rPr>
                      <w:rFonts w:ascii="Calibri" w:hAnsi="Calibri"/>
                      <w:color w:val="000000"/>
                      <w:sz w:val="22"/>
                      <w:szCs w:val="22"/>
                    </w:rPr>
                    <w:t> </w:t>
                  </w:r>
                </w:p>
              </w:tc>
              <w:tc>
                <w:tcPr>
                  <w:tcW w:w="811" w:type="pct"/>
                  <w:tcBorders>
                    <w:top w:val="single" w:sz="6" w:space="0" w:color="BFBFBF"/>
                  </w:tcBorders>
                  <w:vAlign w:val="bottom"/>
                </w:tcPr>
                <w:p w:rsidR="00E528F9" w:rsidRDefault="00E528F9" w:rsidP="00E528F9">
                  <w:pPr>
                    <w:pStyle w:val="TableColumnHeading"/>
                  </w:pPr>
                  <w:r>
                    <w:t>Volume</w:t>
                  </w:r>
                  <w:r w:rsidRPr="009744FA">
                    <w:t xml:space="preserve"> of water </w:t>
                  </w:r>
                  <w:r w:rsidR="003C1168">
                    <w:rPr>
                      <w:b/>
                      <w:position w:val="6"/>
                    </w:rPr>
                    <w:t>a</w:t>
                  </w:r>
                </w:p>
              </w:tc>
              <w:tc>
                <w:tcPr>
                  <w:tcW w:w="749" w:type="pct"/>
                  <w:tcBorders>
                    <w:top w:val="single" w:sz="6" w:space="0" w:color="BFBFBF"/>
                  </w:tcBorders>
                  <w:vAlign w:val="bottom"/>
                </w:tcPr>
                <w:p w:rsidR="00E528F9" w:rsidRDefault="00E528F9" w:rsidP="00E528F9">
                  <w:pPr>
                    <w:pStyle w:val="TableColumnHeading"/>
                  </w:pPr>
                  <w:r w:rsidRPr="009744FA">
                    <w:t>Proportion of target</w:t>
                  </w:r>
                </w:p>
              </w:tc>
              <w:tc>
                <w:tcPr>
                  <w:tcW w:w="166" w:type="pct"/>
                  <w:tcBorders>
                    <w:top w:val="single" w:sz="6" w:space="0" w:color="BFBFBF"/>
                  </w:tcBorders>
                </w:tcPr>
                <w:p w:rsidR="00E528F9" w:rsidRDefault="00E528F9" w:rsidP="00E528F9">
                  <w:pPr>
                    <w:pStyle w:val="TableColumnHeading"/>
                  </w:pPr>
                </w:p>
              </w:tc>
              <w:tc>
                <w:tcPr>
                  <w:tcW w:w="664" w:type="pct"/>
                  <w:tcBorders>
                    <w:top w:val="single" w:sz="6" w:space="0" w:color="BFBFBF"/>
                  </w:tcBorders>
                  <w:vAlign w:val="bottom"/>
                </w:tcPr>
                <w:p w:rsidR="00E528F9" w:rsidRDefault="00E528F9" w:rsidP="00E528F9">
                  <w:pPr>
                    <w:pStyle w:val="TableColumnHeading"/>
                  </w:pPr>
                  <w:r>
                    <w:t>Volume</w:t>
                  </w:r>
                  <w:r w:rsidRPr="009744FA">
                    <w:t xml:space="preserve"> of water </w:t>
                  </w:r>
                  <w:r w:rsidR="003C1168">
                    <w:rPr>
                      <w:b/>
                      <w:position w:val="6"/>
                    </w:rPr>
                    <w:t>a</w:t>
                  </w:r>
                </w:p>
              </w:tc>
              <w:tc>
                <w:tcPr>
                  <w:tcW w:w="829" w:type="pct"/>
                  <w:gridSpan w:val="2"/>
                  <w:tcBorders>
                    <w:top w:val="single" w:sz="6" w:space="0" w:color="BFBFBF"/>
                  </w:tcBorders>
                  <w:vAlign w:val="bottom"/>
                </w:tcPr>
                <w:p w:rsidR="00E528F9" w:rsidRDefault="00E528F9" w:rsidP="00E528F9">
                  <w:pPr>
                    <w:pStyle w:val="TableColumnHeading"/>
                  </w:pPr>
                  <w:r w:rsidRPr="009744FA">
                    <w:t>Proportion of target</w:t>
                  </w:r>
                </w:p>
              </w:tc>
            </w:tr>
            <w:tr w:rsidR="00E528F9" w:rsidTr="00E528F9">
              <w:tc>
                <w:tcPr>
                  <w:tcW w:w="1781" w:type="pct"/>
                  <w:vAlign w:val="center"/>
                </w:tcPr>
                <w:p w:rsidR="00E528F9" w:rsidRDefault="00E528F9" w:rsidP="00E528F9">
                  <w:pPr>
                    <w:pStyle w:val="TableBodyText"/>
                    <w:jc w:val="left"/>
                  </w:pPr>
                </w:p>
              </w:tc>
              <w:tc>
                <w:tcPr>
                  <w:tcW w:w="811" w:type="pct"/>
                  <w:vAlign w:val="bottom"/>
                </w:tcPr>
                <w:p w:rsidR="00E528F9" w:rsidRDefault="00E528F9" w:rsidP="00E528F9">
                  <w:pPr>
                    <w:pStyle w:val="TableUnitsRow"/>
                  </w:pPr>
                  <w:r w:rsidRPr="009744FA">
                    <w:t>GL</w:t>
                  </w:r>
                </w:p>
              </w:tc>
              <w:tc>
                <w:tcPr>
                  <w:tcW w:w="749" w:type="pct"/>
                  <w:vAlign w:val="bottom"/>
                </w:tcPr>
                <w:p w:rsidR="00E528F9" w:rsidRDefault="00E528F9" w:rsidP="00E528F9">
                  <w:pPr>
                    <w:pStyle w:val="TableUnitsRow"/>
                  </w:pPr>
                  <w:r w:rsidRPr="009744FA">
                    <w:t>%</w:t>
                  </w:r>
                </w:p>
              </w:tc>
              <w:tc>
                <w:tcPr>
                  <w:tcW w:w="166" w:type="pct"/>
                </w:tcPr>
                <w:p w:rsidR="00E528F9" w:rsidRDefault="00E528F9" w:rsidP="00E528F9">
                  <w:pPr>
                    <w:pStyle w:val="TableUnitsRow"/>
                  </w:pPr>
                </w:p>
              </w:tc>
              <w:tc>
                <w:tcPr>
                  <w:tcW w:w="664" w:type="pct"/>
                  <w:vAlign w:val="bottom"/>
                </w:tcPr>
                <w:p w:rsidR="00E528F9" w:rsidRDefault="00E528F9" w:rsidP="00E528F9">
                  <w:pPr>
                    <w:pStyle w:val="TableUnitsRow"/>
                  </w:pPr>
                  <w:r w:rsidRPr="009744FA">
                    <w:t>GL</w:t>
                  </w:r>
                </w:p>
              </w:tc>
              <w:tc>
                <w:tcPr>
                  <w:tcW w:w="829" w:type="pct"/>
                  <w:gridSpan w:val="2"/>
                  <w:vAlign w:val="bottom"/>
                </w:tcPr>
                <w:p w:rsidR="00E528F9" w:rsidRDefault="00E528F9" w:rsidP="00E528F9">
                  <w:pPr>
                    <w:pStyle w:val="TableUnitsRow"/>
                  </w:pPr>
                  <w:r w:rsidRPr="009744FA">
                    <w:t>%</w:t>
                  </w:r>
                </w:p>
              </w:tc>
            </w:tr>
            <w:tr w:rsidR="00926DCD" w:rsidTr="00875ED0">
              <w:tc>
                <w:tcPr>
                  <w:tcW w:w="1781" w:type="pct"/>
                  <w:shd w:val="clear" w:color="auto" w:fill="auto"/>
                  <w:vAlign w:val="center"/>
                </w:tcPr>
                <w:p w:rsidR="00926DCD" w:rsidRDefault="00926DCD" w:rsidP="00926DCD">
                  <w:pPr>
                    <w:pStyle w:val="TableBodyText"/>
                    <w:jc w:val="left"/>
                  </w:pPr>
                  <w:r w:rsidRPr="009744FA">
                    <w:t>Water purchase</w:t>
                  </w:r>
                </w:p>
              </w:tc>
              <w:tc>
                <w:tcPr>
                  <w:tcW w:w="811" w:type="pct"/>
                </w:tcPr>
                <w:p w:rsidR="00926DCD" w:rsidRDefault="00926DCD" w:rsidP="00926DCD">
                  <w:pPr>
                    <w:pStyle w:val="TableBodyText"/>
                  </w:pPr>
                  <w:r w:rsidRPr="00D47A92">
                    <w:t>1 224</w:t>
                  </w:r>
                </w:p>
              </w:tc>
              <w:tc>
                <w:tcPr>
                  <w:tcW w:w="749" w:type="pct"/>
                  <w:shd w:val="clear" w:color="auto" w:fill="auto"/>
                </w:tcPr>
                <w:p w:rsidR="00926DCD" w:rsidRDefault="00926DCD" w:rsidP="00926DCD">
                  <w:pPr>
                    <w:pStyle w:val="TableBodyText"/>
                  </w:pPr>
                  <w:r w:rsidRPr="00D47A92">
                    <w:t>45</w:t>
                  </w:r>
                </w:p>
              </w:tc>
              <w:tc>
                <w:tcPr>
                  <w:tcW w:w="166" w:type="pct"/>
                  <w:shd w:val="clear" w:color="auto" w:fill="auto"/>
                </w:tcPr>
                <w:p w:rsidR="00926DCD" w:rsidRDefault="00926DCD" w:rsidP="00926DCD">
                  <w:pPr>
                    <w:pStyle w:val="TableBodyText"/>
                    <w:ind w:right="28"/>
                  </w:pPr>
                </w:p>
              </w:tc>
              <w:tc>
                <w:tcPr>
                  <w:tcW w:w="664" w:type="pct"/>
                </w:tcPr>
                <w:p w:rsidR="00926DCD" w:rsidRDefault="00926DCD" w:rsidP="00926DCD">
                  <w:pPr>
                    <w:pStyle w:val="TableBodyText"/>
                    <w:ind w:right="28"/>
                  </w:pPr>
                  <w:r w:rsidRPr="00D47A92">
                    <w:t>2.7</w:t>
                  </w:r>
                </w:p>
              </w:tc>
              <w:tc>
                <w:tcPr>
                  <w:tcW w:w="829" w:type="pct"/>
                  <w:gridSpan w:val="2"/>
                </w:tcPr>
                <w:p w:rsidR="00926DCD" w:rsidRDefault="00926DCD" w:rsidP="00926DCD">
                  <w:pPr>
                    <w:pStyle w:val="TableBodyText"/>
                    <w:ind w:right="28"/>
                  </w:pPr>
                  <w:r w:rsidRPr="00D47A92">
                    <w:t>7</w:t>
                  </w:r>
                </w:p>
              </w:tc>
            </w:tr>
            <w:tr w:rsidR="00926DCD" w:rsidTr="00875ED0">
              <w:tc>
                <w:tcPr>
                  <w:tcW w:w="1781" w:type="pct"/>
                  <w:shd w:val="clear" w:color="auto" w:fill="auto"/>
                  <w:vAlign w:val="center"/>
                </w:tcPr>
                <w:p w:rsidR="00926DCD" w:rsidRDefault="00926DCD" w:rsidP="00926DCD">
                  <w:pPr>
                    <w:pStyle w:val="TableBodyText"/>
                    <w:jc w:val="left"/>
                  </w:pPr>
                  <w:r w:rsidRPr="009744FA">
                    <w:t>Infrastructure projects</w:t>
                  </w:r>
                </w:p>
              </w:tc>
              <w:tc>
                <w:tcPr>
                  <w:tcW w:w="811" w:type="pct"/>
                </w:tcPr>
                <w:p w:rsidR="00926DCD" w:rsidRDefault="00926DCD" w:rsidP="00926DCD">
                  <w:pPr>
                    <w:pStyle w:val="TableBodyText"/>
                  </w:pPr>
                  <w:r w:rsidRPr="00D47A92">
                    <w:t xml:space="preserve"> 703</w:t>
                  </w:r>
                </w:p>
              </w:tc>
              <w:tc>
                <w:tcPr>
                  <w:tcW w:w="749" w:type="pct"/>
                  <w:shd w:val="clear" w:color="auto" w:fill="auto"/>
                </w:tcPr>
                <w:p w:rsidR="00926DCD" w:rsidRDefault="00926DCD" w:rsidP="00926DCD">
                  <w:pPr>
                    <w:pStyle w:val="TableBodyText"/>
                  </w:pPr>
                  <w:r w:rsidRPr="00D47A92">
                    <w:t>26</w:t>
                  </w:r>
                </w:p>
              </w:tc>
              <w:tc>
                <w:tcPr>
                  <w:tcW w:w="166" w:type="pct"/>
                  <w:shd w:val="clear" w:color="auto" w:fill="auto"/>
                </w:tcPr>
                <w:p w:rsidR="00926DCD" w:rsidRDefault="00926DCD" w:rsidP="00926DCD">
                  <w:pPr>
                    <w:pStyle w:val="TableBodyText"/>
                    <w:ind w:right="28"/>
                  </w:pPr>
                </w:p>
              </w:tc>
              <w:tc>
                <w:tcPr>
                  <w:tcW w:w="664" w:type="pct"/>
                </w:tcPr>
                <w:p w:rsidR="00926DCD" w:rsidRDefault="00926DCD" w:rsidP="00926DCD">
                  <w:pPr>
                    <w:pStyle w:val="TableBodyText"/>
                    <w:ind w:right="28"/>
                  </w:pPr>
                  <w:r w:rsidRPr="00D47A92">
                    <w:t xml:space="preserve">   nil</w:t>
                  </w:r>
                </w:p>
              </w:tc>
              <w:tc>
                <w:tcPr>
                  <w:tcW w:w="829" w:type="pct"/>
                  <w:gridSpan w:val="2"/>
                </w:tcPr>
                <w:p w:rsidR="00926DCD" w:rsidRDefault="00926DCD" w:rsidP="00926DCD">
                  <w:pPr>
                    <w:pStyle w:val="TableBodyText"/>
                    <w:ind w:right="28"/>
                  </w:pPr>
                  <w:r w:rsidRPr="00D47A92">
                    <w:t>0</w:t>
                  </w:r>
                </w:p>
              </w:tc>
            </w:tr>
            <w:tr w:rsidR="00926DCD" w:rsidTr="00875ED0">
              <w:tc>
                <w:tcPr>
                  <w:tcW w:w="1781" w:type="pct"/>
                  <w:shd w:val="clear" w:color="auto" w:fill="auto"/>
                  <w:vAlign w:val="center"/>
                </w:tcPr>
                <w:p w:rsidR="00926DCD" w:rsidRDefault="00926DCD" w:rsidP="00926DCD">
                  <w:pPr>
                    <w:pStyle w:val="TableBodyText"/>
                    <w:jc w:val="left"/>
                  </w:pPr>
                  <w:r w:rsidRPr="009744FA">
                    <w:t>State and other recoveries</w:t>
                  </w:r>
                </w:p>
              </w:tc>
              <w:tc>
                <w:tcPr>
                  <w:tcW w:w="811" w:type="pct"/>
                  <w:tcBorders>
                    <w:bottom w:val="single" w:sz="4" w:space="0" w:color="auto"/>
                  </w:tcBorders>
                </w:tcPr>
                <w:p w:rsidR="00926DCD" w:rsidRDefault="00926DCD" w:rsidP="00926DCD">
                  <w:pPr>
                    <w:pStyle w:val="TableBodyText"/>
                  </w:pPr>
                  <w:r w:rsidRPr="00D47A92">
                    <w:t xml:space="preserve"> 180</w:t>
                  </w:r>
                </w:p>
              </w:tc>
              <w:tc>
                <w:tcPr>
                  <w:tcW w:w="749" w:type="pct"/>
                  <w:tcBorders>
                    <w:bottom w:val="single" w:sz="4" w:space="0" w:color="auto"/>
                  </w:tcBorders>
                  <w:shd w:val="clear" w:color="auto" w:fill="auto"/>
                </w:tcPr>
                <w:p w:rsidR="00926DCD" w:rsidRDefault="00926DCD" w:rsidP="00926DCD">
                  <w:pPr>
                    <w:pStyle w:val="TableBodyText"/>
                  </w:pPr>
                  <w:r w:rsidRPr="00D47A92">
                    <w:t xml:space="preserve"> 7</w:t>
                  </w:r>
                </w:p>
              </w:tc>
              <w:tc>
                <w:tcPr>
                  <w:tcW w:w="166" w:type="pct"/>
                  <w:tcBorders>
                    <w:bottom w:val="single" w:sz="4" w:space="0" w:color="auto"/>
                  </w:tcBorders>
                  <w:shd w:val="clear" w:color="auto" w:fill="auto"/>
                </w:tcPr>
                <w:p w:rsidR="00926DCD" w:rsidRDefault="00926DCD" w:rsidP="00926DCD">
                  <w:pPr>
                    <w:pStyle w:val="TableBodyText"/>
                    <w:ind w:right="28"/>
                  </w:pPr>
                </w:p>
              </w:tc>
              <w:tc>
                <w:tcPr>
                  <w:tcW w:w="664" w:type="pct"/>
                  <w:tcBorders>
                    <w:bottom w:val="single" w:sz="4" w:space="0" w:color="auto"/>
                  </w:tcBorders>
                </w:tcPr>
                <w:p w:rsidR="00926DCD" w:rsidRDefault="00926DCD" w:rsidP="00926DCD">
                  <w:pPr>
                    <w:pStyle w:val="TableBodyText"/>
                    <w:ind w:right="28"/>
                  </w:pPr>
                  <w:r w:rsidRPr="00D47A92">
                    <w:t xml:space="preserve">   nil</w:t>
                  </w:r>
                </w:p>
              </w:tc>
              <w:tc>
                <w:tcPr>
                  <w:tcW w:w="829" w:type="pct"/>
                  <w:gridSpan w:val="2"/>
                  <w:tcBorders>
                    <w:bottom w:val="single" w:sz="4" w:space="0" w:color="auto"/>
                  </w:tcBorders>
                </w:tcPr>
                <w:p w:rsidR="00926DCD" w:rsidRDefault="00926DCD" w:rsidP="00926DCD">
                  <w:pPr>
                    <w:pStyle w:val="TableBodyText"/>
                    <w:ind w:right="28"/>
                  </w:pPr>
                  <w:r w:rsidRPr="00D47A92">
                    <w:t>0</w:t>
                  </w:r>
                </w:p>
              </w:tc>
            </w:tr>
            <w:tr w:rsidR="00926DCD" w:rsidTr="00875ED0">
              <w:tc>
                <w:tcPr>
                  <w:tcW w:w="1781" w:type="pct"/>
                  <w:shd w:val="clear" w:color="auto" w:fill="auto"/>
                  <w:vAlign w:val="center"/>
                </w:tcPr>
                <w:p w:rsidR="00926DCD" w:rsidRDefault="00926DCD" w:rsidP="00A30B8B">
                  <w:pPr>
                    <w:pStyle w:val="TableBodyText"/>
                    <w:jc w:val="left"/>
                  </w:pPr>
                  <w:r>
                    <w:rPr>
                      <w:b/>
                    </w:rPr>
                    <w:t>Water recovered by 3</w:t>
                  </w:r>
                  <w:r w:rsidR="00A30B8B">
                    <w:rPr>
                      <w:b/>
                    </w:rPr>
                    <w:t>1</w:t>
                  </w:r>
                  <w:r>
                    <w:rPr>
                      <w:b/>
                    </w:rPr>
                    <w:t> </w:t>
                  </w:r>
                  <w:r w:rsidR="00A30B8B">
                    <w:rPr>
                      <w:b/>
                    </w:rPr>
                    <w:t xml:space="preserve">Dec </w:t>
                  </w:r>
                  <w:r>
                    <w:rPr>
                      <w:b/>
                    </w:rPr>
                    <w:t>2017</w:t>
                  </w:r>
                </w:p>
              </w:tc>
              <w:tc>
                <w:tcPr>
                  <w:tcW w:w="811" w:type="pct"/>
                  <w:tcBorders>
                    <w:top w:val="single" w:sz="4" w:space="0" w:color="auto"/>
                    <w:bottom w:val="single" w:sz="4" w:space="0" w:color="auto"/>
                  </w:tcBorders>
                </w:tcPr>
                <w:p w:rsidR="00926DCD" w:rsidRPr="00875ED0" w:rsidRDefault="00926DCD" w:rsidP="00926DCD">
                  <w:pPr>
                    <w:pStyle w:val="TableBodyText"/>
                    <w:rPr>
                      <w:b/>
                    </w:rPr>
                  </w:pPr>
                  <w:r w:rsidRPr="00D47A92">
                    <w:t>2 106</w:t>
                  </w:r>
                </w:p>
              </w:tc>
              <w:tc>
                <w:tcPr>
                  <w:tcW w:w="749" w:type="pct"/>
                  <w:tcBorders>
                    <w:top w:val="single" w:sz="4" w:space="0" w:color="auto"/>
                    <w:bottom w:val="single" w:sz="4" w:space="0" w:color="auto"/>
                  </w:tcBorders>
                  <w:shd w:val="clear" w:color="auto" w:fill="auto"/>
                </w:tcPr>
                <w:p w:rsidR="00926DCD" w:rsidRPr="00875ED0" w:rsidRDefault="00926DCD" w:rsidP="00926DCD">
                  <w:pPr>
                    <w:pStyle w:val="TableBodyText"/>
                    <w:rPr>
                      <w:b/>
                    </w:rPr>
                  </w:pPr>
                  <w:r w:rsidRPr="00D47A92">
                    <w:t>77</w:t>
                  </w:r>
                </w:p>
              </w:tc>
              <w:tc>
                <w:tcPr>
                  <w:tcW w:w="166" w:type="pct"/>
                  <w:tcBorders>
                    <w:top w:val="single" w:sz="4" w:space="0" w:color="auto"/>
                    <w:bottom w:val="single" w:sz="4" w:space="0" w:color="auto"/>
                  </w:tcBorders>
                  <w:shd w:val="clear" w:color="auto" w:fill="auto"/>
                </w:tcPr>
                <w:p w:rsidR="00926DCD" w:rsidRPr="00875ED0" w:rsidRDefault="00926DCD" w:rsidP="00926DCD">
                  <w:pPr>
                    <w:pStyle w:val="TableBodyText"/>
                    <w:ind w:right="28"/>
                    <w:rPr>
                      <w:b/>
                    </w:rPr>
                  </w:pPr>
                </w:p>
              </w:tc>
              <w:tc>
                <w:tcPr>
                  <w:tcW w:w="664" w:type="pct"/>
                  <w:tcBorders>
                    <w:top w:val="single" w:sz="4" w:space="0" w:color="auto"/>
                    <w:bottom w:val="single" w:sz="4" w:space="0" w:color="auto"/>
                  </w:tcBorders>
                </w:tcPr>
                <w:p w:rsidR="00926DCD" w:rsidRPr="00875ED0" w:rsidRDefault="00926DCD" w:rsidP="00926DCD">
                  <w:pPr>
                    <w:pStyle w:val="TableBodyText"/>
                    <w:ind w:right="28"/>
                    <w:rPr>
                      <w:b/>
                    </w:rPr>
                  </w:pPr>
                  <w:r w:rsidRPr="00D47A92">
                    <w:t>2.7</w:t>
                  </w:r>
                </w:p>
              </w:tc>
              <w:tc>
                <w:tcPr>
                  <w:tcW w:w="829" w:type="pct"/>
                  <w:gridSpan w:val="2"/>
                  <w:tcBorders>
                    <w:top w:val="single" w:sz="4" w:space="0" w:color="auto"/>
                    <w:bottom w:val="single" w:sz="4" w:space="0" w:color="auto"/>
                  </w:tcBorders>
                </w:tcPr>
                <w:p w:rsidR="00926DCD" w:rsidRPr="00875ED0" w:rsidRDefault="00926DCD" w:rsidP="00926DCD">
                  <w:pPr>
                    <w:pStyle w:val="TableBodyText"/>
                    <w:ind w:right="28"/>
                    <w:rPr>
                      <w:b/>
                    </w:rPr>
                  </w:pPr>
                  <w:r w:rsidRPr="00D47A92">
                    <w:t>7</w:t>
                  </w:r>
                </w:p>
              </w:tc>
            </w:tr>
            <w:tr w:rsidR="00926DCD" w:rsidTr="00875ED0">
              <w:tc>
                <w:tcPr>
                  <w:tcW w:w="1781" w:type="pct"/>
                  <w:shd w:val="clear" w:color="auto" w:fill="auto"/>
                  <w:vAlign w:val="center"/>
                </w:tcPr>
                <w:p w:rsidR="00926DCD" w:rsidRDefault="00926DCD" w:rsidP="00926DCD">
                  <w:pPr>
                    <w:pStyle w:val="TableBodyText"/>
                    <w:jc w:val="left"/>
                  </w:pPr>
                </w:p>
              </w:tc>
              <w:tc>
                <w:tcPr>
                  <w:tcW w:w="811" w:type="pct"/>
                  <w:tcBorders>
                    <w:top w:val="single" w:sz="4" w:space="0" w:color="auto"/>
                  </w:tcBorders>
                </w:tcPr>
                <w:p w:rsidR="00926DCD" w:rsidRDefault="00926DCD" w:rsidP="00926DCD">
                  <w:pPr>
                    <w:pStyle w:val="TableBodyText"/>
                  </w:pPr>
                </w:p>
              </w:tc>
              <w:tc>
                <w:tcPr>
                  <w:tcW w:w="749" w:type="pct"/>
                  <w:tcBorders>
                    <w:top w:val="single" w:sz="4" w:space="0" w:color="auto"/>
                  </w:tcBorders>
                  <w:shd w:val="clear" w:color="auto" w:fill="auto"/>
                </w:tcPr>
                <w:p w:rsidR="00926DCD" w:rsidRDefault="00926DCD" w:rsidP="00926DCD">
                  <w:pPr>
                    <w:pStyle w:val="TableBodyText"/>
                  </w:pPr>
                </w:p>
              </w:tc>
              <w:tc>
                <w:tcPr>
                  <w:tcW w:w="166" w:type="pct"/>
                  <w:tcBorders>
                    <w:top w:val="single" w:sz="4" w:space="0" w:color="auto"/>
                  </w:tcBorders>
                  <w:shd w:val="clear" w:color="auto" w:fill="auto"/>
                </w:tcPr>
                <w:p w:rsidR="00926DCD" w:rsidRDefault="00926DCD" w:rsidP="00926DCD">
                  <w:pPr>
                    <w:pStyle w:val="TableBodyText"/>
                    <w:ind w:right="28"/>
                  </w:pPr>
                </w:p>
              </w:tc>
              <w:tc>
                <w:tcPr>
                  <w:tcW w:w="664" w:type="pct"/>
                  <w:tcBorders>
                    <w:top w:val="single" w:sz="4" w:space="0" w:color="auto"/>
                  </w:tcBorders>
                </w:tcPr>
                <w:p w:rsidR="00926DCD" w:rsidRDefault="00926DCD" w:rsidP="00926DCD">
                  <w:pPr>
                    <w:pStyle w:val="TableBodyText"/>
                    <w:ind w:right="28"/>
                  </w:pPr>
                </w:p>
              </w:tc>
              <w:tc>
                <w:tcPr>
                  <w:tcW w:w="829" w:type="pct"/>
                  <w:gridSpan w:val="2"/>
                  <w:tcBorders>
                    <w:top w:val="single" w:sz="4" w:space="0" w:color="auto"/>
                  </w:tcBorders>
                </w:tcPr>
                <w:p w:rsidR="00926DCD" w:rsidRDefault="00926DCD" w:rsidP="00926DCD">
                  <w:pPr>
                    <w:pStyle w:val="TableBodyText"/>
                    <w:ind w:right="28"/>
                  </w:pPr>
                </w:p>
              </w:tc>
            </w:tr>
            <w:tr w:rsidR="00926DCD" w:rsidTr="00875ED0">
              <w:tc>
                <w:tcPr>
                  <w:tcW w:w="1781" w:type="pct"/>
                  <w:shd w:val="clear" w:color="auto" w:fill="auto"/>
                  <w:vAlign w:val="center"/>
                </w:tcPr>
                <w:p w:rsidR="00926DCD" w:rsidRDefault="00926DCD" w:rsidP="00926DCD">
                  <w:pPr>
                    <w:pStyle w:val="TableBodyText"/>
                    <w:jc w:val="left"/>
                  </w:pPr>
                  <w:r w:rsidRPr="009744FA">
                    <w:t>Water recovery remaining</w:t>
                  </w:r>
                </w:p>
              </w:tc>
              <w:tc>
                <w:tcPr>
                  <w:tcW w:w="811" w:type="pct"/>
                  <w:tcBorders>
                    <w:bottom w:val="single" w:sz="4" w:space="0" w:color="auto"/>
                  </w:tcBorders>
                </w:tcPr>
                <w:p w:rsidR="00926DCD" w:rsidRDefault="00926DCD" w:rsidP="00926DCD">
                  <w:pPr>
                    <w:pStyle w:val="TableBodyText"/>
                  </w:pPr>
                  <w:r w:rsidRPr="00D47A92">
                    <w:t xml:space="preserve"> 644</w:t>
                  </w:r>
                </w:p>
              </w:tc>
              <w:tc>
                <w:tcPr>
                  <w:tcW w:w="749" w:type="pct"/>
                  <w:tcBorders>
                    <w:bottom w:val="single" w:sz="4" w:space="0" w:color="auto"/>
                  </w:tcBorders>
                  <w:shd w:val="clear" w:color="auto" w:fill="auto"/>
                </w:tcPr>
                <w:p w:rsidR="00926DCD" w:rsidRDefault="00926DCD" w:rsidP="00926DCD">
                  <w:pPr>
                    <w:pStyle w:val="TableBodyText"/>
                  </w:pPr>
                  <w:r w:rsidRPr="00D47A92">
                    <w:t>23</w:t>
                  </w:r>
                </w:p>
              </w:tc>
              <w:tc>
                <w:tcPr>
                  <w:tcW w:w="166" w:type="pct"/>
                  <w:tcBorders>
                    <w:bottom w:val="single" w:sz="4" w:space="0" w:color="auto"/>
                  </w:tcBorders>
                  <w:shd w:val="clear" w:color="auto" w:fill="auto"/>
                </w:tcPr>
                <w:p w:rsidR="00926DCD" w:rsidRDefault="00926DCD" w:rsidP="00926DCD">
                  <w:pPr>
                    <w:pStyle w:val="TableBodyText"/>
                    <w:ind w:right="28"/>
                  </w:pPr>
                </w:p>
              </w:tc>
              <w:tc>
                <w:tcPr>
                  <w:tcW w:w="664" w:type="pct"/>
                  <w:tcBorders>
                    <w:bottom w:val="single" w:sz="4" w:space="0" w:color="auto"/>
                  </w:tcBorders>
                </w:tcPr>
                <w:p w:rsidR="00926DCD" w:rsidRDefault="00926DCD" w:rsidP="00926DCD">
                  <w:pPr>
                    <w:pStyle w:val="TableBodyText"/>
                    <w:ind w:right="28"/>
                  </w:pPr>
                  <w:r w:rsidRPr="00D47A92">
                    <w:t>37.7</w:t>
                  </w:r>
                </w:p>
              </w:tc>
              <w:tc>
                <w:tcPr>
                  <w:tcW w:w="829" w:type="pct"/>
                  <w:gridSpan w:val="2"/>
                  <w:tcBorders>
                    <w:bottom w:val="single" w:sz="4" w:space="0" w:color="auto"/>
                  </w:tcBorders>
                </w:tcPr>
                <w:p w:rsidR="00926DCD" w:rsidRDefault="00926DCD" w:rsidP="00926DCD">
                  <w:pPr>
                    <w:pStyle w:val="TableBodyText"/>
                    <w:ind w:right="28"/>
                  </w:pPr>
                  <w:r w:rsidRPr="00D47A92">
                    <w:t>93</w:t>
                  </w:r>
                </w:p>
              </w:tc>
            </w:tr>
            <w:tr w:rsidR="00926DCD" w:rsidTr="00875ED0">
              <w:tc>
                <w:tcPr>
                  <w:tcW w:w="1781" w:type="pct"/>
                  <w:shd w:val="clear" w:color="auto" w:fill="auto"/>
                  <w:vAlign w:val="center"/>
                </w:tcPr>
                <w:p w:rsidR="00926DCD" w:rsidRDefault="00926DCD" w:rsidP="00926DCD">
                  <w:pPr>
                    <w:pStyle w:val="TableBodyText"/>
                    <w:jc w:val="left"/>
                  </w:pPr>
                  <w:r w:rsidRPr="00B03184">
                    <w:rPr>
                      <w:b/>
                    </w:rPr>
                    <w:t>Water recovery target</w:t>
                  </w:r>
                </w:p>
              </w:tc>
              <w:tc>
                <w:tcPr>
                  <w:tcW w:w="811" w:type="pct"/>
                  <w:tcBorders>
                    <w:top w:val="single" w:sz="4" w:space="0" w:color="auto"/>
                    <w:bottom w:val="single" w:sz="4" w:space="0" w:color="auto"/>
                  </w:tcBorders>
                </w:tcPr>
                <w:p w:rsidR="00926DCD" w:rsidRPr="00875ED0" w:rsidRDefault="00926DCD" w:rsidP="00926DCD">
                  <w:pPr>
                    <w:pStyle w:val="TableBodyText"/>
                    <w:rPr>
                      <w:b/>
                    </w:rPr>
                  </w:pPr>
                  <w:r w:rsidRPr="00D47A92">
                    <w:t>2 750</w:t>
                  </w:r>
                </w:p>
              </w:tc>
              <w:tc>
                <w:tcPr>
                  <w:tcW w:w="749" w:type="pct"/>
                  <w:tcBorders>
                    <w:top w:val="single" w:sz="4" w:space="0" w:color="auto"/>
                    <w:bottom w:val="single" w:sz="4" w:space="0" w:color="auto"/>
                  </w:tcBorders>
                  <w:shd w:val="clear" w:color="auto" w:fill="auto"/>
                </w:tcPr>
                <w:p w:rsidR="00926DCD" w:rsidRPr="00875ED0" w:rsidRDefault="00926DCD" w:rsidP="00926DCD">
                  <w:pPr>
                    <w:pStyle w:val="TableBodyText"/>
                    <w:rPr>
                      <w:b/>
                    </w:rPr>
                  </w:pPr>
                  <w:r w:rsidRPr="00D47A92">
                    <w:t>100</w:t>
                  </w:r>
                </w:p>
              </w:tc>
              <w:tc>
                <w:tcPr>
                  <w:tcW w:w="166" w:type="pct"/>
                  <w:tcBorders>
                    <w:top w:val="single" w:sz="4" w:space="0" w:color="auto"/>
                    <w:bottom w:val="single" w:sz="4" w:space="0" w:color="auto"/>
                  </w:tcBorders>
                  <w:shd w:val="clear" w:color="auto" w:fill="auto"/>
                </w:tcPr>
                <w:p w:rsidR="00926DCD" w:rsidRPr="00875ED0" w:rsidRDefault="00926DCD" w:rsidP="00926DCD">
                  <w:pPr>
                    <w:pStyle w:val="TableBodyText"/>
                    <w:ind w:right="28"/>
                    <w:rPr>
                      <w:b/>
                    </w:rPr>
                  </w:pPr>
                </w:p>
              </w:tc>
              <w:tc>
                <w:tcPr>
                  <w:tcW w:w="664" w:type="pct"/>
                  <w:tcBorders>
                    <w:top w:val="single" w:sz="4" w:space="0" w:color="auto"/>
                    <w:bottom w:val="single" w:sz="4" w:space="0" w:color="auto"/>
                  </w:tcBorders>
                </w:tcPr>
                <w:p w:rsidR="00926DCD" w:rsidRPr="00875ED0" w:rsidRDefault="00926DCD" w:rsidP="00926DCD">
                  <w:pPr>
                    <w:pStyle w:val="TableBodyText"/>
                    <w:ind w:right="28"/>
                    <w:rPr>
                      <w:b/>
                    </w:rPr>
                  </w:pPr>
                  <w:r w:rsidRPr="00D47A92">
                    <w:t>40.4</w:t>
                  </w:r>
                </w:p>
              </w:tc>
              <w:tc>
                <w:tcPr>
                  <w:tcW w:w="829" w:type="pct"/>
                  <w:gridSpan w:val="2"/>
                  <w:tcBorders>
                    <w:top w:val="single" w:sz="4" w:space="0" w:color="auto"/>
                    <w:bottom w:val="single" w:sz="4" w:space="0" w:color="auto"/>
                  </w:tcBorders>
                </w:tcPr>
                <w:p w:rsidR="00926DCD" w:rsidRPr="00875ED0" w:rsidRDefault="00926DCD" w:rsidP="00926DCD">
                  <w:pPr>
                    <w:pStyle w:val="TableBodyText"/>
                    <w:ind w:right="28"/>
                    <w:rPr>
                      <w:b/>
                    </w:rPr>
                  </w:pPr>
                  <w:r w:rsidRPr="00D47A92">
                    <w:t>100</w:t>
                  </w:r>
                </w:p>
              </w:tc>
            </w:tr>
          </w:tbl>
          <w:p w:rsidR="00E528F9" w:rsidRDefault="00E528F9" w:rsidP="00E528F9">
            <w:pPr>
              <w:pStyle w:val="Box"/>
            </w:pPr>
          </w:p>
        </w:tc>
      </w:tr>
      <w:tr w:rsidR="00E528F9" w:rsidTr="00563B55">
        <w:tc>
          <w:tcPr>
            <w:tcW w:w="5000" w:type="pct"/>
            <w:tcBorders>
              <w:top w:val="nil"/>
              <w:left w:val="nil"/>
              <w:bottom w:val="nil"/>
              <w:right w:val="nil"/>
            </w:tcBorders>
            <w:shd w:val="clear" w:color="auto" w:fill="auto"/>
          </w:tcPr>
          <w:p w:rsidR="00E528F9" w:rsidRDefault="00E528F9" w:rsidP="00E528F9">
            <w:pPr>
              <w:pStyle w:val="Note"/>
              <w:rPr>
                <w:i/>
              </w:rPr>
            </w:pPr>
            <w:r w:rsidRPr="009744FA">
              <w:rPr>
                <w:b/>
                <w:position w:val="6"/>
              </w:rPr>
              <w:t>a </w:t>
            </w:r>
            <w:r w:rsidRPr="009744FA">
              <w:t>Long</w:t>
            </w:r>
            <w:r w:rsidR="00B37F8F">
              <w:noBreakHyphen/>
            </w:r>
            <w:r w:rsidRPr="009744FA">
              <w:t>term average annual yield (</w:t>
            </w:r>
            <w:proofErr w:type="spellStart"/>
            <w:r w:rsidRPr="009744FA">
              <w:t>LTAAY</w:t>
            </w:r>
            <w:proofErr w:type="spellEnd"/>
            <w:r w:rsidRPr="009744FA">
              <w:t>).</w:t>
            </w:r>
          </w:p>
        </w:tc>
      </w:tr>
      <w:tr w:rsidR="00E528F9" w:rsidTr="00563B55">
        <w:tc>
          <w:tcPr>
            <w:tcW w:w="5000" w:type="pct"/>
            <w:tcBorders>
              <w:top w:val="nil"/>
              <w:left w:val="nil"/>
              <w:bottom w:val="nil"/>
              <w:right w:val="nil"/>
            </w:tcBorders>
            <w:shd w:val="clear" w:color="auto" w:fill="auto"/>
          </w:tcPr>
          <w:p w:rsidR="00E528F9" w:rsidRDefault="0027289A" w:rsidP="002765D4">
            <w:pPr>
              <w:pStyle w:val="Source"/>
            </w:pPr>
            <w:r>
              <w:rPr>
                <w:i/>
              </w:rPr>
              <w:t>Data s</w:t>
            </w:r>
            <w:r w:rsidR="00E528F9" w:rsidRPr="009744FA">
              <w:rPr>
                <w:i/>
              </w:rPr>
              <w:t>ource</w:t>
            </w:r>
            <w:r w:rsidR="00E528F9" w:rsidRPr="009744FA">
              <w:t xml:space="preserve">: </w:t>
            </w:r>
            <w:proofErr w:type="spellStart"/>
            <w:r w:rsidR="00D63D79">
              <w:t>DAWR</w:t>
            </w:r>
            <w:proofErr w:type="spellEnd"/>
            <w:r w:rsidR="00D63D79">
              <w:t xml:space="preserve"> </w:t>
            </w:r>
            <w:r w:rsidR="00885F6C" w:rsidRPr="00885F6C">
              <w:rPr>
                <w:rFonts w:cs="Arial"/>
              </w:rPr>
              <w:t>(2018)</w:t>
            </w:r>
            <w:r w:rsidR="00E528F9" w:rsidRPr="00B03184">
              <w:t>.</w:t>
            </w:r>
          </w:p>
        </w:tc>
      </w:tr>
      <w:tr w:rsidR="00E528F9" w:rsidTr="00563B55">
        <w:tc>
          <w:tcPr>
            <w:tcW w:w="5000" w:type="pct"/>
            <w:tcBorders>
              <w:top w:val="nil"/>
              <w:left w:val="nil"/>
              <w:bottom w:val="single" w:sz="6" w:space="0" w:color="78A22F"/>
              <w:right w:val="nil"/>
            </w:tcBorders>
            <w:shd w:val="clear" w:color="auto" w:fill="auto"/>
          </w:tcPr>
          <w:p w:rsidR="00E528F9" w:rsidRDefault="00E528F9" w:rsidP="00E528F9">
            <w:pPr>
              <w:pStyle w:val="Box"/>
              <w:spacing w:before="0" w:line="120" w:lineRule="exact"/>
            </w:pPr>
          </w:p>
        </w:tc>
      </w:tr>
      <w:tr w:rsidR="00E528F9" w:rsidRPr="000863A5" w:rsidTr="00563B55">
        <w:tc>
          <w:tcPr>
            <w:tcW w:w="5000" w:type="pct"/>
            <w:tcBorders>
              <w:top w:val="single" w:sz="6" w:space="0" w:color="78A22F"/>
              <w:left w:val="nil"/>
              <w:bottom w:val="nil"/>
              <w:right w:val="nil"/>
            </w:tcBorders>
          </w:tcPr>
          <w:p w:rsidR="00E528F9" w:rsidRPr="00626D32" w:rsidRDefault="00E528F9" w:rsidP="00E528F9">
            <w:pPr>
              <w:pStyle w:val="BoxSpaceBelow"/>
            </w:pPr>
          </w:p>
        </w:tc>
      </w:tr>
    </w:tbl>
    <w:p w:rsidR="00E827A6" w:rsidRPr="00FD5770" w:rsidRDefault="00205D6E" w:rsidP="003B169F">
      <w:pPr>
        <w:pStyle w:val="BodyText"/>
      </w:pPr>
      <w:r w:rsidRPr="00227888">
        <w:t>The Basin Plan does not prescribe how water is to be recovered</w:t>
      </w:r>
      <w:r w:rsidR="00366683">
        <w:t>.</w:t>
      </w:r>
      <w:r w:rsidR="000826AC">
        <w:t xml:space="preserve"> </w:t>
      </w:r>
      <w:r w:rsidR="00366683">
        <w:t>W</w:t>
      </w:r>
      <w:r w:rsidR="000826AC">
        <w:t>ater can be recovered through water entitlement purchases</w:t>
      </w:r>
      <w:r w:rsidR="00366683">
        <w:t>,</w:t>
      </w:r>
      <w:r w:rsidR="000826AC">
        <w:t xml:space="preserve"> and Commonwealth funded on</w:t>
      </w:r>
      <w:r w:rsidR="00B37F8F">
        <w:noBreakHyphen/>
      </w:r>
      <w:r w:rsidR="000826AC">
        <w:t xml:space="preserve"> and off</w:t>
      </w:r>
      <w:r w:rsidR="00B37F8F">
        <w:noBreakHyphen/>
      </w:r>
      <w:r w:rsidR="000826AC">
        <w:t>farm infrastructure programs</w:t>
      </w:r>
      <w:r w:rsidR="003B169F">
        <w:t xml:space="preserve"> </w:t>
      </w:r>
      <w:r w:rsidR="00366683">
        <w:t>(</w:t>
      </w:r>
      <w:r w:rsidR="003B169F" w:rsidRPr="003B169F">
        <w:t>programs that seek to improve the efficiency of water use, with some or all of the water savings returned to the Australian Government</w:t>
      </w:r>
      <w:r w:rsidR="000826AC" w:rsidRPr="00F326AD">
        <w:t>)</w:t>
      </w:r>
      <w:r w:rsidRPr="003B169F">
        <w:t>.</w:t>
      </w:r>
      <w:r w:rsidRPr="00227888">
        <w:t xml:space="preserve"> </w:t>
      </w:r>
      <w:r w:rsidR="00E6409C">
        <w:t xml:space="preserve">To date, </w:t>
      </w:r>
      <w:r w:rsidR="00C849D4">
        <w:t>most of the water recovered by the</w:t>
      </w:r>
      <w:r w:rsidR="00E6409C">
        <w:t xml:space="preserve"> </w:t>
      </w:r>
      <w:r w:rsidR="0004015D">
        <w:t>Australian Government</w:t>
      </w:r>
      <w:r w:rsidRPr="00227888">
        <w:t xml:space="preserve"> </w:t>
      </w:r>
      <w:r w:rsidR="00C849D4">
        <w:t>has been</w:t>
      </w:r>
      <w:r w:rsidR="0004015D">
        <w:t xml:space="preserve"> </w:t>
      </w:r>
      <w:r w:rsidR="00050766">
        <w:t>through water purchases (</w:t>
      </w:r>
      <w:r w:rsidR="00050766" w:rsidRPr="004D60DA">
        <w:t>figure</w:t>
      </w:r>
      <w:r w:rsidR="00B37F8F">
        <w:t> </w:t>
      </w:r>
      <w:r w:rsidR="00484181">
        <w:t>5</w:t>
      </w:r>
      <w:r w:rsidR="00050766">
        <w:t>)</w:t>
      </w:r>
      <w:r w:rsidR="00DA4043">
        <w:t>.</w:t>
      </w:r>
      <w:r w:rsidR="00E827A6" w:rsidRPr="0059492B">
        <w:t xml:space="preserve"> </w:t>
      </w:r>
      <w:r w:rsidR="00C849D4">
        <w:t>However, t</w:t>
      </w:r>
      <w:r w:rsidR="00E827A6" w:rsidRPr="0059492B">
        <w:t>he</w:t>
      </w:r>
      <w:r w:rsidR="00E827A6" w:rsidRPr="00227888">
        <w:t xml:space="preserve"> </w:t>
      </w:r>
      <w:r w:rsidR="00DA4043">
        <w:t xml:space="preserve">Australian </w:t>
      </w:r>
      <w:r w:rsidR="00E827A6" w:rsidRPr="00227888">
        <w:t>Government’s current water recovery strategy now explicitly prioritises recovering remaining water through infrastructure projects.</w:t>
      </w:r>
      <w:r w:rsidR="00E827A6" w:rsidRPr="003B169F">
        <w:t xml:space="preserve"> Legislation passed by the Australian Parliament in 2015 placed a 1500 GL limit on surface water purchases.</w:t>
      </w:r>
      <w:r w:rsidR="00E827A6" w:rsidRPr="00F534AB">
        <w:t xml:space="preserve"> </w:t>
      </w:r>
      <w:r w:rsidR="00403A2C">
        <w:t>In</w:t>
      </w:r>
      <w:r w:rsidR="00E827A6" w:rsidRPr="00F534AB" w:rsidDel="00926DCD">
        <w:t xml:space="preserve"> </w:t>
      </w:r>
      <w:r w:rsidR="00926DCD">
        <w:t>December</w:t>
      </w:r>
      <w:r w:rsidR="00926DCD" w:rsidRPr="00F534AB">
        <w:t xml:space="preserve"> </w:t>
      </w:r>
      <w:r w:rsidR="00E827A6" w:rsidRPr="00F534AB">
        <w:t>2017, the unused portion of th</w:t>
      </w:r>
      <w:r w:rsidR="00E827A6" w:rsidRPr="00FD5770">
        <w:t>is limit (after taking account of past purchases) was 27</w:t>
      </w:r>
      <w:r w:rsidR="00926DCD">
        <w:t>6</w:t>
      </w:r>
      <w:r w:rsidR="00E827A6" w:rsidRPr="00FD5770">
        <w:t> GL.</w:t>
      </w:r>
    </w:p>
    <w:p w:rsidR="008E0A08" w:rsidRDefault="008E0A08" w:rsidP="008E0A08">
      <w:pPr>
        <w:spacing w:before="240" w:line="300" w:lineRule="atLeast"/>
        <w:jc w:val="both"/>
        <w:rPr>
          <w:rStyle w:val="BodyTextChar"/>
        </w:rPr>
      </w:pPr>
      <w:r w:rsidRPr="00A61EF4">
        <w:rPr>
          <w:rStyle w:val="BodyTextChar"/>
        </w:rPr>
        <w:t xml:space="preserve">Water purchase programs and some infrastructure projects have been </w:t>
      </w:r>
      <w:r>
        <w:rPr>
          <w:rStyle w:val="BodyTextChar"/>
        </w:rPr>
        <w:t>examined by various</w:t>
      </w:r>
      <w:r w:rsidRPr="00A61EF4">
        <w:rPr>
          <w:rStyle w:val="BodyTextChar"/>
        </w:rPr>
        <w:t xml:space="preserve"> reviews</w:t>
      </w:r>
      <w:r>
        <w:rPr>
          <w:rStyle w:val="BodyTextChar"/>
        </w:rPr>
        <w:t>,</w:t>
      </w:r>
      <w:r w:rsidRPr="00A61EF4">
        <w:rPr>
          <w:rStyle w:val="BodyTextChar"/>
        </w:rPr>
        <w:t xml:space="preserve"> audits</w:t>
      </w:r>
      <w:r>
        <w:rPr>
          <w:rStyle w:val="BodyTextChar"/>
        </w:rPr>
        <w:t xml:space="preserve"> and studies</w:t>
      </w:r>
      <w:r w:rsidRPr="00A61EF4">
        <w:rPr>
          <w:rStyle w:val="BodyTextChar"/>
        </w:rPr>
        <w:t xml:space="preserve">, </w:t>
      </w:r>
      <w:r>
        <w:rPr>
          <w:rStyle w:val="BodyTextChar"/>
        </w:rPr>
        <w:t xml:space="preserve">which have </w:t>
      </w:r>
      <w:r w:rsidRPr="00A61EF4">
        <w:rPr>
          <w:rStyle w:val="BodyTextChar"/>
        </w:rPr>
        <w:t>highlight</w:t>
      </w:r>
      <w:r>
        <w:rPr>
          <w:rStyle w:val="BodyTextChar"/>
        </w:rPr>
        <w:t>ed</w:t>
      </w:r>
      <w:r w:rsidRPr="00A61EF4">
        <w:rPr>
          <w:rStyle w:val="BodyTextChar"/>
        </w:rPr>
        <w:t xml:space="preserve"> </w:t>
      </w:r>
      <w:r>
        <w:rPr>
          <w:rStyle w:val="BodyTextChar"/>
        </w:rPr>
        <w:t>a number of</w:t>
      </w:r>
      <w:r w:rsidRPr="00A61EF4">
        <w:rPr>
          <w:rStyle w:val="BodyTextChar"/>
        </w:rPr>
        <w:t xml:space="preserve"> risks and shortcomings </w:t>
      </w:r>
      <w:r>
        <w:rPr>
          <w:rStyle w:val="BodyTextChar"/>
        </w:rPr>
        <w:t>(for example,</w:t>
      </w:r>
      <w:r w:rsidRPr="00032D68">
        <w:rPr>
          <w:rStyle w:val="BodyTextChar"/>
        </w:rPr>
        <w:t xml:space="preserve"> </w:t>
      </w:r>
      <w:proofErr w:type="spellStart"/>
      <w:r w:rsidRPr="00032D68">
        <w:rPr>
          <w:rStyle w:val="BodyTextChar"/>
        </w:rPr>
        <w:t>ANAO</w:t>
      </w:r>
      <w:proofErr w:type="spellEnd"/>
      <w:r w:rsidRPr="00032D68">
        <w:rPr>
          <w:rStyle w:val="BodyTextChar"/>
        </w:rPr>
        <w:t> </w:t>
      </w:r>
      <w:r w:rsidR="00885F6C" w:rsidRPr="00885F6C">
        <w:t>(2011)</w:t>
      </w:r>
      <w:r w:rsidRPr="00032D68">
        <w:rPr>
          <w:rStyle w:val="BodyTextChar"/>
        </w:rPr>
        <w:t xml:space="preserve"> and </w:t>
      </w:r>
      <w:proofErr w:type="spellStart"/>
      <w:r w:rsidRPr="00032D68">
        <w:rPr>
          <w:rStyle w:val="BodyTextChar"/>
        </w:rPr>
        <w:t>GHD</w:t>
      </w:r>
      <w:proofErr w:type="spellEnd"/>
      <w:r w:rsidRPr="00032D68">
        <w:rPr>
          <w:rStyle w:val="BodyTextChar"/>
        </w:rPr>
        <w:t> </w:t>
      </w:r>
      <w:r w:rsidR="00885F6C" w:rsidRPr="00885F6C">
        <w:t>(2015)</w:t>
      </w:r>
      <w:r w:rsidRPr="00032D68">
        <w:rPr>
          <w:rStyle w:val="BodyTextChar"/>
        </w:rPr>
        <w:t xml:space="preserve">). </w:t>
      </w:r>
      <w:r>
        <w:rPr>
          <w:rStyle w:val="BodyTextChar"/>
        </w:rPr>
        <w:t xml:space="preserve">In the case of </w:t>
      </w:r>
      <w:r w:rsidRPr="003B169F">
        <w:rPr>
          <w:rStyle w:val="BodyTextChar"/>
        </w:rPr>
        <w:t>infrastructure projects</w:t>
      </w:r>
      <w:r>
        <w:rPr>
          <w:rStyle w:val="BodyTextChar"/>
        </w:rPr>
        <w:t xml:space="preserve">, some studies have found that they </w:t>
      </w:r>
      <w:r w:rsidRPr="003B169F">
        <w:rPr>
          <w:rStyle w:val="BodyTextChar"/>
        </w:rPr>
        <w:t>have been less cost</w:t>
      </w:r>
      <w:r w:rsidRPr="003B169F">
        <w:rPr>
          <w:rStyle w:val="BodyTextChar"/>
        </w:rPr>
        <w:noBreakHyphen/>
      </w:r>
      <w:r w:rsidRPr="00F326AD">
        <w:rPr>
          <w:rStyle w:val="BodyTextChar"/>
        </w:rPr>
        <w:t>effective at recovering water than water purchases</w:t>
      </w:r>
      <w:r>
        <w:rPr>
          <w:rStyle w:val="BodyTextChar"/>
        </w:rPr>
        <w:t xml:space="preserve"> </w:t>
      </w:r>
      <w:r w:rsidR="00885F6C" w:rsidRPr="00885F6C">
        <w:t>(</w:t>
      </w:r>
      <w:proofErr w:type="spellStart"/>
      <w:r w:rsidR="00885F6C" w:rsidRPr="00885F6C">
        <w:t>RMCG</w:t>
      </w:r>
      <w:proofErr w:type="spellEnd"/>
      <w:r w:rsidR="00885F6C" w:rsidRPr="00885F6C">
        <w:t> 2016)</w:t>
      </w:r>
      <w:r w:rsidRPr="00F326AD">
        <w:rPr>
          <w:rStyle w:val="BodyTextChar"/>
        </w:rPr>
        <w:t>, and have become more expensive over time</w:t>
      </w:r>
      <w:r w:rsidRPr="007E7A13">
        <w:rPr>
          <w:rStyle w:val="BodyTextChar"/>
        </w:rPr>
        <w:t xml:space="preserve"> </w:t>
      </w:r>
      <w:r w:rsidR="00885F6C" w:rsidRPr="00885F6C">
        <w:t>(Loch et al. 2014)</w:t>
      </w:r>
      <w:r w:rsidRPr="007E7A13">
        <w:rPr>
          <w:rStyle w:val="BodyTextChar"/>
        </w:rPr>
        <w:t xml:space="preserve">. </w:t>
      </w:r>
      <w:r>
        <w:rPr>
          <w:rStyle w:val="BodyTextChar"/>
        </w:rPr>
        <w:t>Moreover</w:t>
      </w:r>
      <w:r w:rsidRPr="007E7A13">
        <w:rPr>
          <w:rStyle w:val="BodyTextChar"/>
        </w:rPr>
        <w:t>, the</w:t>
      </w:r>
      <w:r>
        <w:rPr>
          <w:rStyle w:val="BodyTextChar"/>
        </w:rPr>
        <w:t xml:space="preserve">re is a risk that </w:t>
      </w:r>
      <w:r w:rsidRPr="003B169F">
        <w:rPr>
          <w:rStyle w:val="BodyTextChar"/>
        </w:rPr>
        <w:t>infrastructure projects</w:t>
      </w:r>
      <w:r w:rsidRPr="007E7A13">
        <w:rPr>
          <w:rStyle w:val="BodyTextChar"/>
        </w:rPr>
        <w:t xml:space="preserve"> </w:t>
      </w:r>
      <w:r>
        <w:rPr>
          <w:rStyle w:val="BodyTextChar"/>
        </w:rPr>
        <w:t xml:space="preserve">do not recover the expected volume of water because, in some projects, </w:t>
      </w:r>
      <w:r w:rsidRPr="007E7A13">
        <w:rPr>
          <w:rStyle w:val="BodyTextChar"/>
        </w:rPr>
        <w:t xml:space="preserve">water savings are not transferred to the </w:t>
      </w:r>
      <w:r>
        <w:rPr>
          <w:rStyle w:val="BodyTextChar"/>
        </w:rPr>
        <w:t>Australian Government</w:t>
      </w:r>
      <w:r w:rsidRPr="007E7A13">
        <w:rPr>
          <w:rStyle w:val="BodyTextChar"/>
        </w:rPr>
        <w:t xml:space="preserve"> upfront.</w:t>
      </w:r>
    </w:p>
    <w:p w:rsidR="00213FF3" w:rsidRDefault="00213FF3" w:rsidP="00213FF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13FF3" w:rsidTr="00563B55">
        <w:tc>
          <w:tcPr>
            <w:tcW w:w="5000" w:type="pct"/>
            <w:tcBorders>
              <w:top w:val="single" w:sz="6" w:space="0" w:color="78A22F"/>
              <w:left w:val="nil"/>
              <w:bottom w:val="nil"/>
              <w:right w:val="nil"/>
            </w:tcBorders>
            <w:shd w:val="clear" w:color="auto" w:fill="auto"/>
          </w:tcPr>
          <w:p w:rsidR="00213FF3" w:rsidRDefault="00213FF3" w:rsidP="00993076">
            <w:pPr>
              <w:pStyle w:val="FigureTitle"/>
            </w:pPr>
            <w:r w:rsidRPr="00784A05">
              <w:rPr>
                <w:b w:val="0"/>
              </w:rPr>
              <w:t xml:space="preserve">Figure </w:t>
            </w:r>
            <w:r w:rsidR="00484181">
              <w:rPr>
                <w:b w:val="0"/>
              </w:rPr>
              <w:t>5</w:t>
            </w:r>
            <w:r>
              <w:tab/>
              <w:t>Surface water recovery progress</w:t>
            </w:r>
            <w:r w:rsidRPr="00DC765B">
              <w:rPr>
                <w:position w:val="6"/>
                <w:sz w:val="18"/>
              </w:rPr>
              <w:t>a</w:t>
            </w:r>
          </w:p>
          <w:p w:rsidR="00213FF3" w:rsidRPr="00504FC8" w:rsidRDefault="00213FF3" w:rsidP="00926DCD">
            <w:pPr>
              <w:pStyle w:val="Subtitle"/>
            </w:pPr>
            <w:r>
              <w:t>As of 3</w:t>
            </w:r>
            <w:r w:rsidR="00926DCD">
              <w:t xml:space="preserve">1 December </w:t>
            </w:r>
            <w:r>
              <w:t>2017</w:t>
            </w:r>
          </w:p>
        </w:tc>
      </w:tr>
      <w:tr w:rsidR="00213FF3" w:rsidRPr="00176D3F" w:rsidTr="00563B55">
        <w:tc>
          <w:tcPr>
            <w:tcW w:w="5000" w:type="pct"/>
            <w:tcBorders>
              <w:top w:val="nil"/>
              <w:left w:val="nil"/>
              <w:bottom w:val="nil"/>
              <w:right w:val="nil"/>
            </w:tcBorders>
            <w:shd w:val="clear" w:color="auto" w:fill="auto"/>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213FF3" w:rsidRPr="00B1465D" w:rsidTr="00993076">
              <w:trPr>
                <w:tblHeader/>
                <w:jc w:val="center"/>
              </w:trPr>
              <w:tc>
                <w:tcPr>
                  <w:tcW w:w="5000" w:type="pct"/>
                  <w:tcBorders>
                    <w:top w:val="nil"/>
                    <w:bottom w:val="nil"/>
                  </w:tcBorders>
                </w:tcPr>
                <w:p w:rsidR="00BC3D8A" w:rsidRPr="00B1465D" w:rsidRDefault="00BC3D8A" w:rsidP="00993076">
                  <w:pPr>
                    <w:pStyle w:val="Figure"/>
                    <w:spacing w:before="60" w:after="60"/>
                    <w:rPr>
                      <w:rFonts w:ascii="Arial" w:hAnsi="Arial" w:cs="Arial"/>
                      <w:sz w:val="18"/>
                      <w:szCs w:val="18"/>
                    </w:rPr>
                  </w:pPr>
                  <w:r w:rsidRPr="00BC3D8A">
                    <w:rPr>
                      <w:rFonts w:ascii="Arial" w:hAnsi="Arial" w:cs="Arial"/>
                      <w:noProof/>
                      <w:sz w:val="18"/>
                      <w:szCs w:val="18"/>
                    </w:rPr>
                    <w:drawing>
                      <wp:inline distT="0" distB="0" distL="0" distR="0" wp14:anchorId="63210D9F" wp14:editId="06147ECE">
                        <wp:extent cx="4286885" cy="3526790"/>
                        <wp:effectExtent l="0" t="0" r="0" b="0"/>
                        <wp:docPr id="2" name="Picture 2" descr="A figure shows current progress against a water recovery target of 2750 gigalitres. Current progress has been primarily though water purchases, as well as infrastructure investment. A small amount of water saved through infrastructure projects and water purchased has been contracted but not yet delive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86885" cy="3526790"/>
                                </a:xfrm>
                                <a:prstGeom prst="rect">
                                  <a:avLst/>
                                </a:prstGeom>
                                <a:noFill/>
                                <a:ln>
                                  <a:noFill/>
                                </a:ln>
                              </pic:spPr>
                            </pic:pic>
                          </a:graphicData>
                        </a:graphic>
                      </wp:inline>
                    </w:drawing>
                  </w:r>
                </w:p>
              </w:tc>
            </w:tr>
          </w:tbl>
          <w:p w:rsidR="00213FF3" w:rsidRDefault="00213FF3" w:rsidP="00993076">
            <w:pPr>
              <w:pStyle w:val="Figure"/>
            </w:pPr>
          </w:p>
        </w:tc>
      </w:tr>
      <w:tr w:rsidR="00213FF3" w:rsidRPr="00176D3F" w:rsidTr="00563B55">
        <w:tc>
          <w:tcPr>
            <w:tcW w:w="5000" w:type="pct"/>
            <w:tcBorders>
              <w:top w:val="nil"/>
              <w:left w:val="nil"/>
              <w:bottom w:val="nil"/>
              <w:right w:val="nil"/>
            </w:tcBorders>
            <w:shd w:val="clear" w:color="auto" w:fill="auto"/>
          </w:tcPr>
          <w:p w:rsidR="00AD3057" w:rsidRDefault="00AD3057" w:rsidP="00993076">
            <w:pPr>
              <w:pStyle w:val="Source"/>
              <w:rPr>
                <w:i/>
              </w:rPr>
            </w:pPr>
            <w:r w:rsidRPr="00DC765B">
              <w:rPr>
                <w:b/>
                <w:position w:val="6"/>
              </w:rPr>
              <w:t>a</w:t>
            </w:r>
            <w:r w:rsidR="0027289A">
              <w:t> Volume of water</w:t>
            </w:r>
            <w:r w:rsidRPr="009744FA">
              <w:t xml:space="preserve"> in </w:t>
            </w:r>
            <w:r w:rsidR="0027289A">
              <w:t>l</w:t>
            </w:r>
            <w:r w:rsidR="0027289A" w:rsidRPr="009744FA">
              <w:t>ong</w:t>
            </w:r>
            <w:r w:rsidR="00B37F8F">
              <w:noBreakHyphen/>
            </w:r>
            <w:r w:rsidR="0027289A" w:rsidRPr="009744FA">
              <w:t>term average annual yield (</w:t>
            </w:r>
            <w:proofErr w:type="spellStart"/>
            <w:r w:rsidR="0027289A" w:rsidRPr="009744FA">
              <w:t>LTAAY</w:t>
            </w:r>
            <w:proofErr w:type="spellEnd"/>
            <w:r w:rsidR="0027289A" w:rsidRPr="009744FA">
              <w:t>)</w:t>
            </w:r>
            <w:r w:rsidR="0027289A">
              <w:t xml:space="preserve"> </w:t>
            </w:r>
            <w:r w:rsidRPr="009744FA">
              <w:t>terms</w:t>
            </w:r>
            <w:r>
              <w:t>.</w:t>
            </w:r>
          </w:p>
          <w:p w:rsidR="00213FF3" w:rsidRPr="00176D3F" w:rsidRDefault="00213FF3" w:rsidP="002765D4">
            <w:pPr>
              <w:pStyle w:val="Source"/>
            </w:pPr>
            <w:r w:rsidRPr="00784A05">
              <w:rPr>
                <w:i/>
              </w:rPr>
              <w:t>Data source</w:t>
            </w:r>
            <w:r w:rsidRPr="00176D3F">
              <w:t xml:space="preserve">: </w:t>
            </w:r>
            <w:proofErr w:type="spellStart"/>
            <w:r w:rsidR="0027289A">
              <w:t>DAWR</w:t>
            </w:r>
            <w:proofErr w:type="spellEnd"/>
            <w:r w:rsidR="0027289A">
              <w:t xml:space="preserve"> </w:t>
            </w:r>
            <w:r w:rsidR="00885F6C" w:rsidRPr="00885F6C">
              <w:rPr>
                <w:rFonts w:cs="Arial"/>
              </w:rPr>
              <w:t>(2018)</w:t>
            </w:r>
            <w:r>
              <w:t>.</w:t>
            </w:r>
          </w:p>
        </w:tc>
      </w:tr>
      <w:tr w:rsidR="00213FF3" w:rsidTr="00563B55">
        <w:tc>
          <w:tcPr>
            <w:tcW w:w="5000" w:type="pct"/>
            <w:tcBorders>
              <w:top w:val="nil"/>
              <w:left w:val="nil"/>
              <w:bottom w:val="single" w:sz="6" w:space="0" w:color="78A22F"/>
              <w:right w:val="nil"/>
            </w:tcBorders>
            <w:shd w:val="clear" w:color="auto" w:fill="auto"/>
          </w:tcPr>
          <w:p w:rsidR="00213FF3" w:rsidRDefault="00213FF3" w:rsidP="00993076">
            <w:pPr>
              <w:pStyle w:val="Figurespace"/>
            </w:pPr>
          </w:p>
        </w:tc>
      </w:tr>
      <w:tr w:rsidR="00213FF3" w:rsidRPr="000863A5" w:rsidTr="00563B55">
        <w:tc>
          <w:tcPr>
            <w:tcW w:w="5000" w:type="pct"/>
            <w:tcBorders>
              <w:top w:val="single" w:sz="6" w:space="0" w:color="78A22F"/>
              <w:left w:val="nil"/>
              <w:bottom w:val="nil"/>
              <w:right w:val="nil"/>
            </w:tcBorders>
          </w:tcPr>
          <w:p w:rsidR="00213FF3" w:rsidRPr="00626D32" w:rsidRDefault="00213FF3" w:rsidP="00993076">
            <w:pPr>
              <w:pStyle w:val="BoxSpaceBelow"/>
            </w:pPr>
          </w:p>
        </w:tc>
      </w:tr>
    </w:tbl>
    <w:p w:rsidR="00A61EF4" w:rsidRPr="00C17186" w:rsidRDefault="00A61EF4" w:rsidP="00C17186">
      <w:pPr>
        <w:pStyle w:val="BodyText"/>
        <w:rPr>
          <w:sz w:val="26"/>
          <w:lang w:eastAsia="en-US"/>
        </w:rPr>
      </w:pPr>
      <w:r w:rsidRPr="00A61EF4">
        <w:t xml:space="preserve">The environmental objectives of the Basin Plan are premised on water recovery </w:t>
      </w:r>
      <w:r w:rsidR="003156F6">
        <w:t xml:space="preserve">being </w:t>
      </w:r>
      <w:r w:rsidR="008E0A5B">
        <w:t xml:space="preserve">undertaken in the right place and </w:t>
      </w:r>
      <w:r w:rsidR="00135BCD">
        <w:t>with</w:t>
      </w:r>
      <w:r w:rsidR="008E0A5B">
        <w:t xml:space="preserve"> the right mix of entitlement types</w:t>
      </w:r>
      <w:r w:rsidR="00135BCD">
        <w:t>. It is also premised on</w:t>
      </w:r>
      <w:r w:rsidR="008E0A5B">
        <w:t xml:space="preserve"> </w:t>
      </w:r>
      <w:r w:rsidRPr="00A61EF4">
        <w:t>targets being met within legislated timeframes.</w:t>
      </w:r>
      <w:r w:rsidRPr="00A61EF4" w:rsidDel="00057D98">
        <w:t xml:space="preserve"> </w:t>
      </w:r>
      <w:r w:rsidR="00600466">
        <w:t>O</w:t>
      </w:r>
      <w:r w:rsidRPr="00A61EF4">
        <w:t>ngoing delays</w:t>
      </w:r>
      <w:r w:rsidR="000E4473">
        <w:t>,</w:t>
      </w:r>
      <w:r w:rsidRPr="00A61EF4">
        <w:t xml:space="preserve"> or the absence of a credible pathway</w:t>
      </w:r>
      <w:r w:rsidR="000E4473">
        <w:t>,</w:t>
      </w:r>
      <w:r w:rsidRPr="00A61EF4">
        <w:t xml:space="preserve"> would </w:t>
      </w:r>
      <w:bookmarkStart w:id="61" w:name="_GoBack"/>
      <w:bookmarkEnd w:id="61"/>
      <w:r w:rsidRPr="00A61EF4">
        <w:t>create uncertainty for Basin industries and communities, and pose risks to finalising water recovery within budget.</w:t>
      </w:r>
    </w:p>
    <w:p w:rsidR="00213FF3" w:rsidRPr="009744FA" w:rsidRDefault="00213FF3" w:rsidP="00213FF3">
      <w:pPr>
        <w:keepNext/>
        <w:keepLines/>
        <w:tabs>
          <w:tab w:val="left" w:pos="3194"/>
        </w:tab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213FF3" w:rsidRPr="009744FA" w:rsidTr="00563B55">
        <w:tc>
          <w:tcPr>
            <w:tcW w:w="5000" w:type="pct"/>
            <w:tcBorders>
              <w:top w:val="single" w:sz="6" w:space="0" w:color="78A22F"/>
              <w:left w:val="nil"/>
              <w:bottom w:val="nil"/>
              <w:right w:val="nil"/>
            </w:tcBorders>
            <w:shd w:val="clear" w:color="auto" w:fill="auto"/>
          </w:tcPr>
          <w:p w:rsidR="00213FF3" w:rsidRPr="009744FA" w:rsidRDefault="00213FF3" w:rsidP="00993076">
            <w:pPr>
              <w:keepNext/>
              <w:keepLines/>
              <w:spacing w:before="120" w:line="280" w:lineRule="atLeast"/>
              <w:jc w:val="both"/>
              <w:rPr>
                <w:rFonts w:ascii="Arial" w:hAnsi="Arial"/>
                <w:i/>
                <w:caps/>
                <w:sz w:val="18"/>
              </w:rPr>
            </w:pPr>
            <w:r>
              <w:rPr>
                <w:rFonts w:ascii="Arial" w:hAnsi="Arial"/>
                <w:i/>
                <w:caps/>
                <w:sz w:val="18"/>
              </w:rPr>
              <w:t xml:space="preserve">Information request </w:t>
            </w:r>
            <w:r w:rsidR="005A500A">
              <w:rPr>
                <w:rFonts w:ascii="Arial" w:hAnsi="Arial"/>
                <w:i/>
                <w:caps/>
                <w:sz w:val="18"/>
              </w:rPr>
              <w:t>5</w:t>
            </w:r>
          </w:p>
        </w:tc>
      </w:tr>
      <w:tr w:rsidR="00213FF3" w:rsidRPr="009744FA" w:rsidTr="00563B55">
        <w:trPr>
          <w:cantSplit/>
        </w:trPr>
        <w:tc>
          <w:tcPr>
            <w:tcW w:w="5000" w:type="pct"/>
            <w:tcBorders>
              <w:top w:val="nil"/>
              <w:left w:val="nil"/>
              <w:bottom w:val="nil"/>
              <w:right w:val="nil"/>
            </w:tcBorders>
            <w:shd w:val="clear" w:color="auto" w:fill="auto"/>
          </w:tcPr>
          <w:p w:rsidR="00213FF3" w:rsidRPr="009744FA" w:rsidRDefault="00213FF3" w:rsidP="006F7281">
            <w:pPr>
              <w:pStyle w:val="InformationRequest"/>
              <w:rPr>
                <w:i w:val="0"/>
              </w:rPr>
            </w:pPr>
            <w:r w:rsidRPr="009744FA">
              <w:t>The Commission is seeking information on:</w:t>
            </w:r>
          </w:p>
          <w:p w:rsidR="00A61EF4" w:rsidRDefault="00A61EF4" w:rsidP="00876954">
            <w:pPr>
              <w:pStyle w:val="InformationRequestBullet"/>
              <w:numPr>
                <w:ilvl w:val="0"/>
                <w:numId w:val="30"/>
              </w:numPr>
            </w:pPr>
            <w:r w:rsidRPr="00A61EF4">
              <w:t xml:space="preserve">the extent to which the </w:t>
            </w:r>
            <w:r w:rsidRPr="009A5FC0">
              <w:t xml:space="preserve">Australian </w:t>
            </w:r>
            <w:r w:rsidR="00563FAE" w:rsidRPr="009A5FC0">
              <w:t>G</w:t>
            </w:r>
            <w:r w:rsidRPr="009A5FC0">
              <w:t>overnment's</w:t>
            </w:r>
            <w:r w:rsidRPr="00A61EF4">
              <w:t xml:space="preserve"> strategy to recover water in areas where gaps remain will be cost effective, align with the Basin Plan's environmental objectives, and be transparent </w:t>
            </w:r>
          </w:p>
          <w:p w:rsidR="00A61EF4" w:rsidRDefault="00A61EF4" w:rsidP="00876954">
            <w:pPr>
              <w:pStyle w:val="InformationRequestBullet"/>
              <w:numPr>
                <w:ilvl w:val="0"/>
                <w:numId w:val="30"/>
              </w:numPr>
            </w:pPr>
            <w:r w:rsidRPr="00A61EF4">
              <w:t>risks to achieving water recovery targets by 1</w:t>
            </w:r>
            <w:r w:rsidR="00B37F8F">
              <w:t> </w:t>
            </w:r>
            <w:r w:rsidRPr="00A61EF4">
              <w:t xml:space="preserve">July 2019 and, where not already addressed under current arrangements, how any shortfalls </w:t>
            </w:r>
            <w:r w:rsidR="00D97A41">
              <w:t>may</w:t>
            </w:r>
            <w:r w:rsidR="00D97A41" w:rsidRPr="00A61EF4">
              <w:t xml:space="preserve"> </w:t>
            </w:r>
            <w:r w:rsidRPr="00A61EF4">
              <w:t xml:space="preserve">be resolved </w:t>
            </w:r>
          </w:p>
          <w:p w:rsidR="00213FF3" w:rsidRPr="009744FA" w:rsidRDefault="00A61EF4" w:rsidP="00876954">
            <w:pPr>
              <w:pStyle w:val="InformationRequestBullet"/>
              <w:numPr>
                <w:ilvl w:val="0"/>
                <w:numId w:val="30"/>
              </w:numPr>
            </w:pPr>
            <w:r w:rsidRPr="00A61EF4">
              <w:t xml:space="preserve">examples of water recovery (both infrastructure projects and purchases) that have been </w:t>
            </w:r>
            <w:r w:rsidR="00D97A41">
              <w:t xml:space="preserve">either </w:t>
            </w:r>
            <w:r w:rsidRPr="00A61EF4">
              <w:t>well implemented or had major deficiencies, including risks to securing contracted but not yet delivered water from water</w:t>
            </w:r>
            <w:r w:rsidR="00B37F8F">
              <w:noBreakHyphen/>
            </w:r>
            <w:r w:rsidRPr="00A61EF4">
              <w:t>saving infrastructure projects</w:t>
            </w:r>
            <w:r w:rsidR="00165158">
              <w:t>.</w:t>
            </w:r>
          </w:p>
        </w:tc>
      </w:tr>
      <w:tr w:rsidR="00213FF3" w:rsidRPr="009744FA" w:rsidTr="00563B55">
        <w:tc>
          <w:tcPr>
            <w:tcW w:w="5000" w:type="pct"/>
            <w:tcBorders>
              <w:top w:val="nil"/>
              <w:left w:val="nil"/>
              <w:bottom w:val="single" w:sz="6" w:space="0" w:color="78A22F"/>
              <w:right w:val="nil"/>
            </w:tcBorders>
            <w:shd w:val="clear" w:color="auto" w:fill="auto"/>
          </w:tcPr>
          <w:p w:rsidR="00213FF3" w:rsidRPr="009744FA" w:rsidRDefault="00213FF3" w:rsidP="00993076">
            <w:pPr>
              <w:keepNext/>
              <w:keepLines/>
              <w:spacing w:line="120" w:lineRule="exact"/>
              <w:jc w:val="both"/>
              <w:rPr>
                <w:rFonts w:ascii="Arial" w:hAnsi="Arial"/>
                <w:sz w:val="20"/>
              </w:rPr>
            </w:pPr>
          </w:p>
        </w:tc>
      </w:tr>
      <w:tr w:rsidR="00213FF3" w:rsidRPr="009744FA" w:rsidTr="00563B55">
        <w:tc>
          <w:tcPr>
            <w:tcW w:w="5000" w:type="pct"/>
            <w:tcBorders>
              <w:top w:val="single" w:sz="6" w:space="0" w:color="78A22F"/>
              <w:left w:val="nil"/>
              <w:bottom w:val="nil"/>
              <w:right w:val="nil"/>
            </w:tcBorders>
          </w:tcPr>
          <w:p w:rsidR="00213FF3" w:rsidRPr="009744FA" w:rsidRDefault="00213FF3" w:rsidP="00993076">
            <w:pPr>
              <w:keepLines/>
              <w:spacing w:before="60" w:after="60" w:line="80" w:lineRule="exact"/>
              <w:jc w:val="both"/>
              <w:rPr>
                <w:rFonts w:ascii="Arial" w:hAnsi="Arial"/>
                <w:sz w:val="14"/>
              </w:rPr>
            </w:pPr>
          </w:p>
        </w:tc>
      </w:tr>
    </w:tbl>
    <w:p w:rsidR="00213FF3" w:rsidRPr="009744FA" w:rsidRDefault="00213FF3" w:rsidP="00213FF3">
      <w:pPr>
        <w:keepNext/>
        <w:spacing w:before="560" w:line="320" w:lineRule="exact"/>
        <w:outlineLvl w:val="2"/>
        <w:rPr>
          <w:rFonts w:ascii="Arial" w:hAnsi="Arial"/>
          <w:b/>
        </w:rPr>
      </w:pPr>
      <w:r w:rsidRPr="009744FA">
        <w:rPr>
          <w:rFonts w:ascii="Arial" w:hAnsi="Arial"/>
          <w:b/>
        </w:rPr>
        <w:lastRenderedPageBreak/>
        <w:t>Structural adjustment</w:t>
      </w:r>
      <w:r w:rsidR="00DA48A9">
        <w:rPr>
          <w:rFonts w:ascii="Arial" w:hAnsi="Arial"/>
          <w:b/>
        </w:rPr>
        <w:t xml:space="preserve"> assistance</w:t>
      </w:r>
    </w:p>
    <w:p w:rsidR="00213FF3" w:rsidRDefault="00213FF3" w:rsidP="00EE266D">
      <w:pPr>
        <w:spacing w:before="200" w:line="300" w:lineRule="atLeast"/>
        <w:jc w:val="both"/>
      </w:pPr>
      <w:r>
        <w:t>The intended outcome of the Basin Plan as a whole includes ‘productive and resilient water</w:t>
      </w:r>
      <w:r w:rsidR="00B37F8F">
        <w:noBreakHyphen/>
      </w:r>
      <w:r>
        <w:t>dependent industries, and communities with confidence in their long</w:t>
      </w:r>
      <w:r w:rsidR="00B37F8F">
        <w:noBreakHyphen/>
      </w:r>
      <w:r>
        <w:t xml:space="preserve">term future’. Given the impacts that the Basin Plan is expected to have on some Basin communities, </w:t>
      </w:r>
      <w:r w:rsidR="00833786">
        <w:t>the Australian G</w:t>
      </w:r>
      <w:r w:rsidRPr="009744FA">
        <w:t>overnment</w:t>
      </w:r>
      <w:r w:rsidR="00833786">
        <w:t xml:space="preserve"> ha</w:t>
      </w:r>
      <w:r w:rsidRPr="009744FA">
        <w:t xml:space="preserve">s provided funding to assist </w:t>
      </w:r>
      <w:r w:rsidR="00C119E3">
        <w:t>those</w:t>
      </w:r>
      <w:r w:rsidR="00C119E3" w:rsidRPr="009744FA">
        <w:t xml:space="preserve"> </w:t>
      </w:r>
      <w:r w:rsidRPr="009744FA">
        <w:t>communities to adjust their local economies to a more water</w:t>
      </w:r>
      <w:r w:rsidR="00B37F8F">
        <w:noBreakHyphen/>
      </w:r>
      <w:r w:rsidRPr="009744FA">
        <w:t>constrained environment</w:t>
      </w:r>
      <w:r w:rsidR="00E717AD">
        <w:t xml:space="preserve"> (</w:t>
      </w:r>
      <w:r w:rsidR="00962FDB">
        <w:t>in addition to investment through water recovery</w:t>
      </w:r>
      <w:r w:rsidR="00E717AD">
        <w:t>)</w:t>
      </w:r>
      <w:r w:rsidRPr="009744FA">
        <w:t xml:space="preserve">. </w:t>
      </w:r>
      <w:r>
        <w:t>Unlike on</w:t>
      </w:r>
      <w:r w:rsidR="00E86D27">
        <w:noBreakHyphen/>
      </w:r>
      <w:r>
        <w:t xml:space="preserve"> and off</w:t>
      </w:r>
      <w:r w:rsidR="00E86D27">
        <w:noBreakHyphen/>
      </w:r>
      <w:r>
        <w:t xml:space="preserve"> farm infrastructure programs (that seek to improve efficiency in water use), structural adjustment funding is largely premised on diversifying the economic base of affected communities. </w:t>
      </w:r>
    </w:p>
    <w:p w:rsidR="00213FF3" w:rsidRPr="009744FA" w:rsidRDefault="00967151" w:rsidP="00EE266D">
      <w:pPr>
        <w:pStyle w:val="BodyText"/>
        <w:spacing w:before="200"/>
      </w:pPr>
      <w:r>
        <w:t xml:space="preserve">The Australian Government </w:t>
      </w:r>
      <w:r w:rsidR="00E409FD">
        <w:t>is assisting</w:t>
      </w:r>
      <w:r w:rsidR="00E409FD" w:rsidRPr="009744FA">
        <w:t xml:space="preserve"> </w:t>
      </w:r>
      <w:r w:rsidR="00213FF3" w:rsidRPr="009744FA">
        <w:t xml:space="preserve">Basin communities </w:t>
      </w:r>
      <w:r>
        <w:t xml:space="preserve">to </w:t>
      </w:r>
      <w:r w:rsidR="00213FF3" w:rsidRPr="009744FA">
        <w:t xml:space="preserve">adapt </w:t>
      </w:r>
      <w:r>
        <w:t xml:space="preserve">through </w:t>
      </w:r>
      <w:r w:rsidR="00213FF3" w:rsidRPr="009744FA">
        <w:t xml:space="preserve">the </w:t>
      </w:r>
      <w:r w:rsidR="00213FF3" w:rsidRPr="009744FA">
        <w:rPr>
          <w:i/>
        </w:rPr>
        <w:t>Murray</w:t>
      </w:r>
      <w:r w:rsidR="00E86D27">
        <w:rPr>
          <w:i/>
        </w:rPr>
        <w:noBreakHyphen/>
      </w:r>
      <w:r w:rsidR="00213FF3" w:rsidRPr="009744FA">
        <w:rPr>
          <w:i/>
        </w:rPr>
        <w:t>Darling Basin Regional Economic Diversification Program</w:t>
      </w:r>
      <w:r w:rsidR="00213FF3" w:rsidRPr="009744FA">
        <w:t>. This program</w:t>
      </w:r>
      <w:r w:rsidR="00E409FD">
        <w:t xml:space="preserve"> has</w:t>
      </w:r>
      <w:r w:rsidR="00213FF3" w:rsidRPr="009744FA">
        <w:t xml:space="preserve"> committed $</w:t>
      </w:r>
      <w:r w:rsidR="00034AF8" w:rsidRPr="009744FA">
        <w:t>7</w:t>
      </w:r>
      <w:r w:rsidR="00034AF8">
        <w:t>3</w:t>
      </w:r>
      <w:r w:rsidR="007E75DD">
        <w:t> </w:t>
      </w:r>
      <w:r w:rsidR="00034AF8" w:rsidRPr="009744FA">
        <w:t>m</w:t>
      </w:r>
      <w:r w:rsidR="00895400">
        <w:t>illion</w:t>
      </w:r>
      <w:r w:rsidR="00034AF8" w:rsidRPr="009744FA">
        <w:t xml:space="preserve"> </w:t>
      </w:r>
      <w:r w:rsidR="00213FF3" w:rsidRPr="009744FA">
        <w:t xml:space="preserve">to assist Basin communities with structural adjustment, with specific projects selected by Basin </w:t>
      </w:r>
      <w:r w:rsidR="00A754C4">
        <w:t>S</w:t>
      </w:r>
      <w:r w:rsidR="00213FF3" w:rsidRPr="009744FA">
        <w:t>tate</w:t>
      </w:r>
      <w:r w:rsidR="00A17176">
        <w:t>s</w:t>
      </w:r>
      <w:r w:rsidR="0091582B">
        <w:t xml:space="preserve">, </w:t>
      </w:r>
      <w:r w:rsidR="00213FF3" w:rsidRPr="009744FA">
        <w:t xml:space="preserve">in consultation with the </w:t>
      </w:r>
      <w:r w:rsidR="00A754C4">
        <w:t xml:space="preserve">Australian Government </w:t>
      </w:r>
      <w:r w:rsidR="00213FF3" w:rsidRPr="009744FA">
        <w:t xml:space="preserve">Minister </w:t>
      </w:r>
      <w:r w:rsidR="00A754C4">
        <w:t>for</w:t>
      </w:r>
      <w:r w:rsidR="00A754C4" w:rsidRPr="009744FA">
        <w:t xml:space="preserve"> </w:t>
      </w:r>
      <w:r w:rsidR="00213FF3" w:rsidRPr="009744FA">
        <w:t>Regional Development.</w:t>
      </w:r>
      <w:r w:rsidR="0091582B" w:rsidRPr="00C45348">
        <w:rPr>
          <w:rStyle w:val="FootnoteReference"/>
        </w:rPr>
        <w:footnoteReference w:id="6"/>
      </w:r>
      <w:r w:rsidR="00213FF3">
        <w:t xml:space="preserve"> </w:t>
      </w:r>
      <w:r w:rsidR="00EB12AD">
        <w:t>In Queensland,</w:t>
      </w:r>
      <w:r w:rsidR="00213FF3">
        <w:t xml:space="preserve"> </w:t>
      </w:r>
      <w:r w:rsidR="00EB12AD">
        <w:t xml:space="preserve">funding </w:t>
      </w:r>
      <w:r w:rsidR="00E409FD">
        <w:t>to date has</w:t>
      </w:r>
      <w:r w:rsidR="00EB12AD">
        <w:t xml:space="preserve">, among other things, </w:t>
      </w:r>
      <w:r w:rsidR="00E409FD">
        <w:t>been</w:t>
      </w:r>
      <w:r w:rsidR="00EB12AD">
        <w:t xml:space="preserve"> used to</w:t>
      </w:r>
      <w:r w:rsidR="00AF6E8C" w:rsidDel="00FE58CD">
        <w:t xml:space="preserve"> </w:t>
      </w:r>
      <w:r w:rsidR="00FE58CD">
        <w:t xml:space="preserve">develop </w:t>
      </w:r>
      <w:r w:rsidR="00AF6E8C">
        <w:t>the horticulture industry</w:t>
      </w:r>
      <w:r w:rsidR="00FE58CD">
        <w:t xml:space="preserve"> </w:t>
      </w:r>
      <w:r w:rsidR="00885F6C" w:rsidRPr="00885F6C">
        <w:rPr>
          <w:szCs w:val="24"/>
        </w:rPr>
        <w:t>(Queensland Government 2017)</w:t>
      </w:r>
      <w:r w:rsidR="00EB12AD">
        <w:t>. In</w:t>
      </w:r>
      <w:r w:rsidR="00331A4C" w:rsidDel="007B00EE">
        <w:t xml:space="preserve"> New South Wales</w:t>
      </w:r>
      <w:r w:rsidR="00EB12AD">
        <w:t xml:space="preserve">, funded </w:t>
      </w:r>
      <w:r w:rsidR="009F7539">
        <w:t>projects</w:t>
      </w:r>
      <w:r w:rsidR="00E409FD">
        <w:t xml:space="preserve"> have</w:t>
      </w:r>
      <w:r w:rsidR="009F7539">
        <w:t xml:space="preserve"> supported a diverse range of industries, including manufacturing, cheese making, aquaculture and grain processing</w:t>
      </w:r>
      <w:r w:rsidR="004D1BD9">
        <w:t xml:space="preserve"> </w:t>
      </w:r>
      <w:r w:rsidR="00885F6C" w:rsidRPr="00885F6C">
        <w:rPr>
          <w:szCs w:val="24"/>
        </w:rPr>
        <w:t>(New South Wales Government </w:t>
      </w:r>
      <w:proofErr w:type="spellStart"/>
      <w:r w:rsidR="00885F6C" w:rsidRPr="00885F6C">
        <w:rPr>
          <w:szCs w:val="24"/>
        </w:rPr>
        <w:t>nd</w:t>
      </w:r>
      <w:proofErr w:type="spellEnd"/>
      <w:r w:rsidR="00885F6C" w:rsidRPr="00885F6C">
        <w:rPr>
          <w:szCs w:val="24"/>
        </w:rPr>
        <w:t>)</w:t>
      </w:r>
      <w:r w:rsidR="004D1BD9">
        <w:t>.</w:t>
      </w:r>
    </w:p>
    <w:p w:rsidR="00213FF3" w:rsidRPr="009744FA" w:rsidRDefault="00213FF3" w:rsidP="00213FF3">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213FF3" w:rsidRPr="009744FA" w:rsidTr="00563B55">
        <w:trPr>
          <w:tblHeader/>
        </w:trPr>
        <w:tc>
          <w:tcPr>
            <w:tcW w:w="5000" w:type="pct"/>
            <w:tcBorders>
              <w:top w:val="single" w:sz="6" w:space="0" w:color="78A22F"/>
              <w:left w:val="nil"/>
              <w:bottom w:val="nil"/>
              <w:right w:val="nil"/>
            </w:tcBorders>
            <w:shd w:val="clear" w:color="auto" w:fill="auto"/>
          </w:tcPr>
          <w:p w:rsidR="00213FF3" w:rsidRPr="009744FA" w:rsidRDefault="00213FF3" w:rsidP="00920844">
            <w:pPr>
              <w:keepNext/>
              <w:keepLines/>
              <w:spacing w:before="120" w:line="280" w:lineRule="atLeast"/>
              <w:jc w:val="both"/>
              <w:rPr>
                <w:rFonts w:ascii="Arial" w:hAnsi="Arial"/>
                <w:i/>
                <w:caps/>
                <w:sz w:val="18"/>
              </w:rPr>
            </w:pPr>
            <w:r w:rsidRPr="009744FA">
              <w:rPr>
                <w:rFonts w:ascii="Arial" w:hAnsi="Arial"/>
                <w:i/>
                <w:caps/>
                <w:sz w:val="18"/>
              </w:rPr>
              <w:t xml:space="preserve">Information request </w:t>
            </w:r>
            <w:r w:rsidR="00920844">
              <w:rPr>
                <w:rFonts w:ascii="Arial" w:hAnsi="Arial"/>
                <w:i/>
                <w:caps/>
                <w:sz w:val="18"/>
              </w:rPr>
              <w:t>6</w:t>
            </w:r>
          </w:p>
        </w:tc>
      </w:tr>
      <w:tr w:rsidR="00213FF3" w:rsidRPr="009744FA" w:rsidTr="00563B55">
        <w:trPr>
          <w:cantSplit/>
        </w:trPr>
        <w:tc>
          <w:tcPr>
            <w:tcW w:w="5000" w:type="pct"/>
            <w:tcBorders>
              <w:top w:val="nil"/>
              <w:left w:val="nil"/>
              <w:bottom w:val="nil"/>
              <w:right w:val="nil"/>
            </w:tcBorders>
            <w:shd w:val="clear" w:color="auto" w:fill="auto"/>
          </w:tcPr>
          <w:p w:rsidR="00D470C0" w:rsidRDefault="00D470C0" w:rsidP="00962FDB">
            <w:pPr>
              <w:pStyle w:val="InformationRequest"/>
            </w:pPr>
            <w:r>
              <w:t>The Commission is seeking information on:</w:t>
            </w:r>
          </w:p>
          <w:p w:rsidR="00D470C0" w:rsidRDefault="00D470C0" w:rsidP="00EE266D">
            <w:pPr>
              <w:pStyle w:val="InformationRequestBullet"/>
              <w:numPr>
                <w:ilvl w:val="0"/>
                <w:numId w:val="34"/>
              </w:numPr>
              <w:spacing w:before="60"/>
              <w:ind w:left="357" w:hanging="357"/>
            </w:pPr>
            <w:r>
              <w:t>what specific assistance has been provided to help communities adjust to the Basin Plan</w:t>
            </w:r>
          </w:p>
          <w:p w:rsidR="00D470C0" w:rsidRDefault="00D470C0" w:rsidP="00EE266D">
            <w:pPr>
              <w:pStyle w:val="InformationRequestBullet"/>
              <w:numPr>
                <w:ilvl w:val="0"/>
                <w:numId w:val="34"/>
              </w:numPr>
              <w:spacing w:before="60"/>
              <w:ind w:left="357" w:hanging="357"/>
            </w:pPr>
            <w:r>
              <w:t xml:space="preserve">the extent to </w:t>
            </w:r>
            <w:r w:rsidR="00503DE3">
              <w:t>which</w:t>
            </w:r>
            <w:r>
              <w:t xml:space="preserve"> this assistance has supported particular industries or regions </w:t>
            </w:r>
          </w:p>
          <w:p w:rsidR="003F66C9" w:rsidRPr="003F66C9" w:rsidRDefault="00D470C0" w:rsidP="00EE266D">
            <w:pPr>
              <w:pStyle w:val="InformationRequestBullet"/>
              <w:numPr>
                <w:ilvl w:val="0"/>
                <w:numId w:val="34"/>
              </w:numPr>
              <w:spacing w:before="60"/>
              <w:ind w:left="357" w:hanging="357"/>
            </w:pPr>
            <w:r>
              <w:t xml:space="preserve">evidence that this assistance </w:t>
            </w:r>
            <w:r w:rsidR="00703919">
              <w:t>has</w:t>
            </w:r>
            <w:r>
              <w:t xml:space="preserve"> facilitated adjustment that would not have otherwise occurred</w:t>
            </w:r>
            <w:r w:rsidR="00237D40">
              <w:t xml:space="preserve"> and </w:t>
            </w:r>
            <w:r w:rsidR="00003846">
              <w:t xml:space="preserve">has </w:t>
            </w:r>
            <w:r w:rsidR="004407C4">
              <w:t xml:space="preserve">contributed to meeting the intended outcome of the Basin Plan, including </w:t>
            </w:r>
            <w:r w:rsidR="00CF5E3B">
              <w:t>more resilient industries and communities with confidence in their long</w:t>
            </w:r>
            <w:r w:rsidR="00B37F8F">
              <w:noBreakHyphen/>
            </w:r>
            <w:r w:rsidR="00CF5E3B">
              <w:t>term future</w:t>
            </w:r>
          </w:p>
          <w:p w:rsidR="00213FF3" w:rsidRPr="009744FA" w:rsidRDefault="00E717AD" w:rsidP="00EE266D">
            <w:pPr>
              <w:pStyle w:val="InformationRequestBullet"/>
              <w:numPr>
                <w:ilvl w:val="0"/>
                <w:numId w:val="34"/>
              </w:numPr>
              <w:spacing w:before="60"/>
              <w:ind w:left="357" w:hanging="357"/>
            </w:pPr>
            <w:r>
              <w:t xml:space="preserve">whether future structural adjustment assistance is warranted, and if so, what lessons </w:t>
            </w:r>
            <w:r w:rsidR="00AB0115">
              <w:t>can be learnt</w:t>
            </w:r>
            <w:r>
              <w:t xml:space="preserve"> from past programs.</w:t>
            </w:r>
          </w:p>
        </w:tc>
      </w:tr>
      <w:tr w:rsidR="00213FF3" w:rsidRPr="009744FA" w:rsidTr="00563B55">
        <w:tc>
          <w:tcPr>
            <w:tcW w:w="5000" w:type="pct"/>
            <w:tcBorders>
              <w:top w:val="nil"/>
              <w:left w:val="nil"/>
              <w:bottom w:val="single" w:sz="6" w:space="0" w:color="78A22F"/>
              <w:right w:val="nil"/>
            </w:tcBorders>
            <w:shd w:val="clear" w:color="auto" w:fill="auto"/>
          </w:tcPr>
          <w:p w:rsidR="00213FF3" w:rsidRPr="009744FA" w:rsidRDefault="00213FF3" w:rsidP="00993076">
            <w:pPr>
              <w:keepNext/>
              <w:keepLines/>
              <w:spacing w:line="120" w:lineRule="exact"/>
              <w:jc w:val="both"/>
              <w:rPr>
                <w:rFonts w:ascii="Arial" w:hAnsi="Arial"/>
                <w:sz w:val="20"/>
              </w:rPr>
            </w:pPr>
          </w:p>
        </w:tc>
      </w:tr>
      <w:tr w:rsidR="00213FF3" w:rsidRPr="009744FA" w:rsidTr="00563B55">
        <w:tc>
          <w:tcPr>
            <w:tcW w:w="5000" w:type="pct"/>
            <w:tcBorders>
              <w:top w:val="single" w:sz="6" w:space="0" w:color="78A22F"/>
              <w:left w:val="nil"/>
              <w:bottom w:val="nil"/>
              <w:right w:val="nil"/>
            </w:tcBorders>
          </w:tcPr>
          <w:p w:rsidR="00213FF3" w:rsidRPr="009744FA" w:rsidRDefault="00213FF3" w:rsidP="00993076">
            <w:pPr>
              <w:keepLines/>
              <w:spacing w:before="60" w:after="60" w:line="80" w:lineRule="exact"/>
              <w:jc w:val="both"/>
              <w:rPr>
                <w:rFonts w:ascii="Arial" w:hAnsi="Arial"/>
                <w:sz w:val="14"/>
              </w:rPr>
            </w:pPr>
          </w:p>
        </w:tc>
      </w:tr>
    </w:tbl>
    <w:p w:rsidR="00213FF3" w:rsidRPr="009744FA" w:rsidRDefault="00213FF3" w:rsidP="00F7096D">
      <w:pPr>
        <w:keepNext/>
        <w:spacing w:before="360" w:line="320" w:lineRule="exact"/>
        <w:outlineLvl w:val="2"/>
        <w:rPr>
          <w:rFonts w:ascii="Arial" w:hAnsi="Arial"/>
          <w:b/>
        </w:rPr>
      </w:pPr>
      <w:r w:rsidRPr="009744FA">
        <w:rPr>
          <w:rFonts w:ascii="Arial" w:hAnsi="Arial"/>
          <w:b/>
        </w:rPr>
        <w:t>Water resource plans</w:t>
      </w:r>
    </w:p>
    <w:p w:rsidR="00213FF3" w:rsidRDefault="00213FF3" w:rsidP="00EE266D">
      <w:pPr>
        <w:pStyle w:val="BodyText"/>
      </w:pPr>
      <w:proofErr w:type="spellStart"/>
      <w:r w:rsidRPr="009744FA">
        <w:t>WRPs</w:t>
      </w:r>
      <w:proofErr w:type="spellEnd"/>
      <w:r w:rsidRPr="009744FA">
        <w:t xml:space="preserve"> are </w:t>
      </w:r>
      <w:r w:rsidR="00262526">
        <w:t>the</w:t>
      </w:r>
      <w:r w:rsidRPr="009744FA">
        <w:t xml:space="preserve"> key </w:t>
      </w:r>
      <w:r>
        <w:t>element</w:t>
      </w:r>
      <w:r w:rsidRPr="009744FA">
        <w:t xml:space="preserve"> through which Basin </w:t>
      </w:r>
      <w:r w:rsidR="00DD56AA">
        <w:t>S</w:t>
      </w:r>
      <w:r w:rsidRPr="009744FA">
        <w:t>tate</w:t>
      </w:r>
      <w:r w:rsidR="00055ED2">
        <w:t>s</w:t>
      </w:r>
      <w:r w:rsidRPr="009744FA">
        <w:t xml:space="preserve"> will implement the Basin Plan. </w:t>
      </w:r>
      <w:r>
        <w:t xml:space="preserve">Prior to the Basin Plan </w:t>
      </w:r>
      <w:r w:rsidR="00B364D8">
        <w:t xml:space="preserve">taking effect </w:t>
      </w:r>
      <w:r>
        <w:t>in 2012, Basin</w:t>
      </w:r>
      <w:r w:rsidR="00214286">
        <w:t xml:space="preserve"> S</w:t>
      </w:r>
      <w:r>
        <w:t xml:space="preserve">tates managed water resources </w:t>
      </w:r>
      <w:r w:rsidR="009348E7">
        <w:t xml:space="preserve">in </w:t>
      </w:r>
      <w:r>
        <w:t>the Basin through catchment</w:t>
      </w:r>
      <w:r w:rsidR="00B37F8F">
        <w:noBreakHyphen/>
      </w:r>
      <w:r>
        <w:t xml:space="preserve">based </w:t>
      </w:r>
      <w:r w:rsidR="00817559">
        <w:t>and/or system</w:t>
      </w:r>
      <w:r w:rsidR="00B37F8F">
        <w:noBreakHyphen/>
      </w:r>
      <w:r w:rsidR="00817559">
        <w:t xml:space="preserve">based </w:t>
      </w:r>
      <w:r>
        <w:t xml:space="preserve">water planning arrangements </w:t>
      </w:r>
      <w:r w:rsidR="00D202F6">
        <w:t>to achieve state</w:t>
      </w:r>
      <w:r>
        <w:t xml:space="preserve"> water </w:t>
      </w:r>
      <w:r w:rsidR="00D202F6">
        <w:t>resources management objectives</w:t>
      </w:r>
      <w:r w:rsidR="00B364D8">
        <w:t xml:space="preserve"> and </w:t>
      </w:r>
      <w:r w:rsidR="009B12DC">
        <w:t>those of</w:t>
      </w:r>
      <w:r w:rsidR="00B364D8">
        <w:t xml:space="preserve"> the </w:t>
      </w:r>
      <w:proofErr w:type="spellStart"/>
      <w:r w:rsidR="00690D23">
        <w:t>MDB</w:t>
      </w:r>
      <w:proofErr w:type="spellEnd"/>
      <w:r w:rsidR="00B364D8">
        <w:t xml:space="preserve"> Agreement</w:t>
      </w:r>
      <w:r w:rsidR="00D202F6">
        <w:t xml:space="preserve">. </w:t>
      </w:r>
      <w:proofErr w:type="spellStart"/>
      <w:r w:rsidR="009A59DE">
        <w:t>WRPs</w:t>
      </w:r>
      <w:proofErr w:type="spellEnd"/>
      <w:r w:rsidR="009A59DE">
        <w:t xml:space="preserve"> </w:t>
      </w:r>
      <w:r w:rsidR="00793857">
        <w:t xml:space="preserve">are designed to </w:t>
      </w:r>
      <w:r w:rsidR="009A59DE">
        <w:t xml:space="preserve">‘bring together existing state rules and instruments, along with other </w:t>
      </w:r>
      <w:r w:rsidR="009A59DE">
        <w:lastRenderedPageBreak/>
        <w:t xml:space="preserve">supplementary material, to provide a plan for managing water resources in a way that is consistent with the Basin Plan’ </w:t>
      </w:r>
      <w:r w:rsidR="00885F6C" w:rsidRPr="00885F6C">
        <w:rPr>
          <w:szCs w:val="24"/>
        </w:rPr>
        <w:t>(</w:t>
      </w:r>
      <w:proofErr w:type="spellStart"/>
      <w:r w:rsidR="00885F6C" w:rsidRPr="00885F6C">
        <w:rPr>
          <w:szCs w:val="24"/>
        </w:rPr>
        <w:t>MDBA</w:t>
      </w:r>
      <w:proofErr w:type="spellEnd"/>
      <w:r w:rsidR="00885F6C" w:rsidRPr="00885F6C">
        <w:rPr>
          <w:szCs w:val="24"/>
        </w:rPr>
        <w:t> </w:t>
      </w:r>
      <w:proofErr w:type="spellStart"/>
      <w:r w:rsidR="00885F6C" w:rsidRPr="00885F6C">
        <w:rPr>
          <w:szCs w:val="24"/>
        </w:rPr>
        <w:t>2017a</w:t>
      </w:r>
      <w:proofErr w:type="spellEnd"/>
      <w:r w:rsidR="00885F6C" w:rsidRPr="00885F6C">
        <w:rPr>
          <w:szCs w:val="24"/>
        </w:rPr>
        <w:t>, p. 2)</w:t>
      </w:r>
      <w:r>
        <w:t>. Once accredited</w:t>
      </w:r>
      <w:r w:rsidR="007E7A13">
        <w:t>,</w:t>
      </w:r>
      <w:r>
        <w:t xml:space="preserve"> </w:t>
      </w:r>
      <w:proofErr w:type="spellStart"/>
      <w:r w:rsidRPr="009744FA">
        <w:t>WRPs</w:t>
      </w:r>
      <w:proofErr w:type="spellEnd"/>
      <w:r w:rsidRPr="009744FA">
        <w:t xml:space="preserve"> will set out how water is to be managed in each </w:t>
      </w:r>
      <w:proofErr w:type="spellStart"/>
      <w:r>
        <w:t>WRP</w:t>
      </w:r>
      <w:proofErr w:type="spellEnd"/>
      <w:r>
        <w:t xml:space="preserve"> area</w:t>
      </w:r>
      <w:r w:rsidRPr="009744FA">
        <w:t xml:space="preserve"> in the Basin</w:t>
      </w:r>
      <w:r>
        <w:t xml:space="preserve">, in particular specifying how water will be shared and managed </w:t>
      </w:r>
      <w:r w:rsidR="007B6878">
        <w:t>to achieve the</w:t>
      </w:r>
      <w:r w:rsidR="00B910FE">
        <w:t xml:space="preserve"> </w:t>
      </w:r>
      <w:proofErr w:type="spellStart"/>
      <w:r>
        <w:t>SDLs</w:t>
      </w:r>
      <w:proofErr w:type="spellEnd"/>
      <w:r>
        <w:t xml:space="preserve"> </w:t>
      </w:r>
      <w:r w:rsidR="00885F6C" w:rsidRPr="00885F6C">
        <w:rPr>
          <w:szCs w:val="24"/>
        </w:rPr>
        <w:t>(</w:t>
      </w:r>
      <w:proofErr w:type="spellStart"/>
      <w:r w:rsidR="00885F6C" w:rsidRPr="00885F6C">
        <w:rPr>
          <w:szCs w:val="24"/>
        </w:rPr>
        <w:t>MDBA</w:t>
      </w:r>
      <w:proofErr w:type="spellEnd"/>
      <w:r w:rsidR="00885F6C" w:rsidRPr="00885F6C">
        <w:rPr>
          <w:szCs w:val="24"/>
        </w:rPr>
        <w:t> </w:t>
      </w:r>
      <w:proofErr w:type="spellStart"/>
      <w:r w:rsidR="00885F6C" w:rsidRPr="00885F6C">
        <w:rPr>
          <w:szCs w:val="24"/>
        </w:rPr>
        <w:t>2017g</w:t>
      </w:r>
      <w:proofErr w:type="spellEnd"/>
      <w:r w:rsidR="00885F6C" w:rsidRPr="00885F6C">
        <w:rPr>
          <w:szCs w:val="24"/>
        </w:rPr>
        <w:t>)</w:t>
      </w:r>
      <w:r w:rsidRPr="009744FA">
        <w:t xml:space="preserve">. </w:t>
      </w:r>
    </w:p>
    <w:p w:rsidR="008E05D8" w:rsidRDefault="00213FF3" w:rsidP="00EE266D">
      <w:pPr>
        <w:pStyle w:val="BodyText"/>
      </w:pPr>
      <w:r w:rsidRPr="009744FA">
        <w:t>There are 3</w:t>
      </w:r>
      <w:r w:rsidR="001377DF">
        <w:t>6</w:t>
      </w:r>
      <w:r w:rsidRPr="009744FA">
        <w:t xml:space="preserve"> </w:t>
      </w:r>
      <w:proofErr w:type="spellStart"/>
      <w:r w:rsidRPr="009744FA">
        <w:t>WRP</w:t>
      </w:r>
      <w:proofErr w:type="spellEnd"/>
      <w:r w:rsidRPr="009744FA">
        <w:t xml:space="preserve"> areas across the Basin (</w:t>
      </w:r>
      <w:r w:rsidR="00214286">
        <w:t xml:space="preserve">five </w:t>
      </w:r>
      <w:r w:rsidRPr="009744FA">
        <w:t>in Victoria, 22 in N</w:t>
      </w:r>
      <w:r w:rsidR="000C1499">
        <w:t xml:space="preserve">ew </w:t>
      </w:r>
      <w:r w:rsidRPr="009744FA">
        <w:t>S</w:t>
      </w:r>
      <w:r w:rsidR="000C1499">
        <w:t xml:space="preserve">outh </w:t>
      </w:r>
      <w:r w:rsidRPr="009744FA">
        <w:t>W</w:t>
      </w:r>
      <w:r w:rsidR="000C1499">
        <w:t>ales</w:t>
      </w:r>
      <w:r w:rsidRPr="009744FA">
        <w:t xml:space="preserve">, </w:t>
      </w:r>
      <w:r w:rsidR="00214286">
        <w:t>four</w:t>
      </w:r>
      <w:r w:rsidRPr="009744FA">
        <w:t xml:space="preserve"> in </w:t>
      </w:r>
      <w:r w:rsidR="000C1499" w:rsidRPr="009744FA">
        <w:t>Q</w:t>
      </w:r>
      <w:r w:rsidR="000C1499">
        <w:t>ueensland</w:t>
      </w:r>
      <w:r w:rsidRPr="009744FA">
        <w:t xml:space="preserve">, </w:t>
      </w:r>
      <w:r w:rsidR="00214286">
        <w:t>three</w:t>
      </w:r>
      <w:r w:rsidRPr="009744FA">
        <w:t xml:space="preserve"> in South Australia and </w:t>
      </w:r>
      <w:r w:rsidR="00214286">
        <w:t>two</w:t>
      </w:r>
      <w:r w:rsidRPr="009744FA">
        <w:t xml:space="preserve"> in the ACT)</w:t>
      </w:r>
      <w:r w:rsidR="008E05D8">
        <w:t>.</w:t>
      </w:r>
      <w:r w:rsidR="00DD6210" w:rsidRPr="00C45348">
        <w:rPr>
          <w:rStyle w:val="FootnoteReference"/>
        </w:rPr>
        <w:footnoteReference w:id="7"/>
      </w:r>
      <w:r w:rsidRPr="009744FA">
        <w:t xml:space="preserve"> </w:t>
      </w:r>
    </w:p>
    <w:p w:rsidR="008E05D8" w:rsidRDefault="008E05D8" w:rsidP="00C22A68">
      <w:pPr>
        <w:pStyle w:val="Heading4"/>
      </w:pPr>
      <w:r>
        <w:t>Accreditation of plans</w:t>
      </w:r>
    </w:p>
    <w:p w:rsidR="008E05D8" w:rsidRDefault="00213FF3" w:rsidP="00EE266D">
      <w:pPr>
        <w:pStyle w:val="BodyText"/>
      </w:pPr>
      <w:r w:rsidRPr="009744FA">
        <w:t xml:space="preserve">Basin </w:t>
      </w:r>
      <w:r w:rsidR="00214286">
        <w:t>S</w:t>
      </w:r>
      <w:r w:rsidRPr="009744FA">
        <w:t xml:space="preserve">tates are responsible for developing </w:t>
      </w:r>
      <w:proofErr w:type="spellStart"/>
      <w:r w:rsidRPr="009744FA">
        <w:t>WRPs</w:t>
      </w:r>
      <w:proofErr w:type="spellEnd"/>
      <w:r w:rsidRPr="009744FA">
        <w:t xml:space="preserve"> consistent with Basin Plan requirements</w:t>
      </w:r>
      <w:r w:rsidR="00486791">
        <w:t>.</w:t>
      </w:r>
      <w:r w:rsidR="008E05D8">
        <w:t xml:space="preserve"> </w:t>
      </w:r>
      <w:r w:rsidR="00C640FA">
        <w:t xml:space="preserve">The </w:t>
      </w:r>
      <w:proofErr w:type="spellStart"/>
      <w:r w:rsidR="00C640FA">
        <w:t>MDBA</w:t>
      </w:r>
      <w:proofErr w:type="spellEnd"/>
      <w:r w:rsidR="00C640FA">
        <w:t xml:space="preserve"> is responsible for </w:t>
      </w:r>
      <w:r w:rsidR="00C640FA" w:rsidRPr="009744FA">
        <w:t xml:space="preserve">assessing whether </w:t>
      </w:r>
      <w:proofErr w:type="spellStart"/>
      <w:r w:rsidR="00C640FA" w:rsidRPr="009744FA">
        <w:t>WRPs</w:t>
      </w:r>
      <w:proofErr w:type="spellEnd"/>
      <w:r w:rsidR="00C640FA" w:rsidRPr="009744FA">
        <w:t xml:space="preserve"> meet the requirements of the Basin Plan and making recommendations to the </w:t>
      </w:r>
      <w:r w:rsidR="005E28B1">
        <w:t>Australian Government</w:t>
      </w:r>
      <w:r w:rsidR="00C640FA" w:rsidRPr="009744FA">
        <w:t xml:space="preserve"> Minister for Agriculture and Water </w:t>
      </w:r>
      <w:r w:rsidR="00A03B94">
        <w:t>Resources</w:t>
      </w:r>
      <w:r w:rsidR="00C640FA" w:rsidRPr="009744FA">
        <w:t xml:space="preserve"> on whether </w:t>
      </w:r>
      <w:proofErr w:type="spellStart"/>
      <w:r w:rsidR="00C640FA" w:rsidRPr="009744FA">
        <w:t>WRPs</w:t>
      </w:r>
      <w:proofErr w:type="spellEnd"/>
      <w:r w:rsidR="00C640FA" w:rsidRPr="009744FA">
        <w:t xml:space="preserve"> should be accredited</w:t>
      </w:r>
      <w:r w:rsidR="00C640FA">
        <w:t xml:space="preserve">. The </w:t>
      </w:r>
      <w:proofErr w:type="spellStart"/>
      <w:r w:rsidR="00C640FA">
        <w:t>MDBA</w:t>
      </w:r>
      <w:proofErr w:type="spellEnd"/>
      <w:r w:rsidR="00C640FA">
        <w:t xml:space="preserve"> </w:t>
      </w:r>
      <w:r w:rsidR="001A5CCB">
        <w:t>is also required to assist</w:t>
      </w:r>
      <w:r w:rsidR="008E05D8" w:rsidRPr="009744FA">
        <w:t xml:space="preserve"> Basin States in developing </w:t>
      </w:r>
      <w:proofErr w:type="spellStart"/>
      <w:r w:rsidR="008E05D8" w:rsidRPr="009744FA">
        <w:t>WRPs</w:t>
      </w:r>
      <w:proofErr w:type="spellEnd"/>
      <w:r w:rsidR="008E05D8" w:rsidRPr="009744FA">
        <w:t xml:space="preserve"> </w:t>
      </w:r>
      <w:r w:rsidR="00C640FA">
        <w:t xml:space="preserve">and </w:t>
      </w:r>
      <w:r w:rsidR="00606CA2">
        <w:t xml:space="preserve">has been providing states with a range of guidance material. It is also responsible for </w:t>
      </w:r>
      <w:r w:rsidR="008E05D8">
        <w:t xml:space="preserve">ensuring compliance with </w:t>
      </w:r>
      <w:proofErr w:type="spellStart"/>
      <w:r w:rsidR="008E05D8">
        <w:t>WRPs</w:t>
      </w:r>
      <w:proofErr w:type="spellEnd"/>
      <w:r w:rsidR="008E05D8">
        <w:t xml:space="preserve"> (</w:t>
      </w:r>
      <w:r w:rsidR="001A5CCB">
        <w:t xml:space="preserve">discussed </w:t>
      </w:r>
      <w:r w:rsidR="008E05D8">
        <w:t>below under compliance).</w:t>
      </w:r>
      <w:r w:rsidR="001A5CCB" w:rsidRPr="001A5CCB">
        <w:t xml:space="preserve"> </w:t>
      </w:r>
      <w:r w:rsidR="001A5CCB">
        <w:t>Accredited plans must be in place by 30</w:t>
      </w:r>
      <w:r w:rsidR="00B37F8F">
        <w:t> </w:t>
      </w:r>
      <w:r w:rsidR="001A5CCB">
        <w:t>June 2019</w:t>
      </w:r>
      <w:r w:rsidR="007E7A13">
        <w:t>.</w:t>
      </w:r>
    </w:p>
    <w:p w:rsidR="00846B9B" w:rsidRDefault="00C640FA" w:rsidP="00EE266D">
      <w:pPr>
        <w:pStyle w:val="BodyText"/>
      </w:pPr>
      <w:r>
        <w:t>The Basin Plan sets out 5</w:t>
      </w:r>
      <w:r w:rsidR="001045E5">
        <w:t>4</w:t>
      </w:r>
      <w:r>
        <w:t xml:space="preserve"> requirements </w:t>
      </w:r>
      <w:r w:rsidR="00606CA2">
        <w:t xml:space="preserve">that </w:t>
      </w:r>
      <w:proofErr w:type="spellStart"/>
      <w:r w:rsidR="003635CB">
        <w:t>WRPs</w:t>
      </w:r>
      <w:proofErr w:type="spellEnd"/>
      <w:r>
        <w:t xml:space="preserve"> </w:t>
      </w:r>
      <w:r w:rsidR="003714FA">
        <w:t xml:space="preserve">must </w:t>
      </w:r>
      <w:r w:rsidR="001045E5">
        <w:t xml:space="preserve">address </w:t>
      </w:r>
      <w:r>
        <w:t xml:space="preserve">to be accredited. </w:t>
      </w:r>
      <w:r w:rsidR="005D394E">
        <w:t>Some of these requirements are about process</w:t>
      </w:r>
      <w:r w:rsidR="00FE3A76">
        <w:t xml:space="preserve"> —</w:t>
      </w:r>
      <w:r w:rsidR="005D394E">
        <w:t xml:space="preserve"> such as consultation with stakeholders and providing </w:t>
      </w:r>
      <w:r w:rsidR="00FE3A76">
        <w:t>information —</w:t>
      </w:r>
      <w:r w:rsidR="005D394E">
        <w:t xml:space="preserve"> others relate to </w:t>
      </w:r>
      <w:r w:rsidR="00612E72">
        <w:t xml:space="preserve">the inclusion of </w:t>
      </w:r>
      <w:r w:rsidR="005D394E">
        <w:t>specific content</w:t>
      </w:r>
      <w:r w:rsidR="00C161D3">
        <w:t xml:space="preserve"> </w:t>
      </w:r>
      <w:r w:rsidR="00612E72">
        <w:t xml:space="preserve">— </w:t>
      </w:r>
      <w:r w:rsidR="005D394E">
        <w:t xml:space="preserve">such as </w:t>
      </w:r>
      <w:r w:rsidR="00FE3A76">
        <w:t xml:space="preserve">complying with </w:t>
      </w:r>
      <w:proofErr w:type="spellStart"/>
      <w:r w:rsidR="005D394E">
        <w:t>SDLs</w:t>
      </w:r>
      <w:proofErr w:type="spellEnd"/>
      <w:r w:rsidR="005D394E">
        <w:t xml:space="preserve"> and </w:t>
      </w:r>
      <w:r w:rsidR="00BE12BC">
        <w:t>planning for environmental watering</w:t>
      </w:r>
      <w:r w:rsidR="00FE3A76">
        <w:t>.</w:t>
      </w:r>
    </w:p>
    <w:p w:rsidR="00213FF3" w:rsidRPr="009744FA" w:rsidRDefault="00A416F9" w:rsidP="00EE266D">
      <w:pPr>
        <w:pStyle w:val="BodyText"/>
      </w:pPr>
      <w:r>
        <w:t xml:space="preserve">According to the </w:t>
      </w:r>
      <w:proofErr w:type="spellStart"/>
      <w:r w:rsidR="00987550">
        <w:t>MDBA</w:t>
      </w:r>
      <w:proofErr w:type="spellEnd"/>
      <w:r w:rsidR="00987550">
        <w:t xml:space="preserve"> </w:t>
      </w:r>
      <w:r w:rsidR="00885F6C" w:rsidRPr="00885F6C">
        <w:t>(</w:t>
      </w:r>
      <w:proofErr w:type="spellStart"/>
      <w:r w:rsidR="00885F6C" w:rsidRPr="00885F6C">
        <w:t>2017c</w:t>
      </w:r>
      <w:proofErr w:type="spellEnd"/>
      <w:r w:rsidR="00885F6C" w:rsidRPr="00885F6C">
        <w:t>)</w:t>
      </w:r>
      <w:r w:rsidR="000D26FA">
        <w:t xml:space="preserve"> </w:t>
      </w:r>
      <w:r w:rsidR="00987550">
        <w:t xml:space="preserve">many of </w:t>
      </w:r>
      <w:r w:rsidR="000D63F5">
        <w:t xml:space="preserve">the </w:t>
      </w:r>
      <w:r w:rsidR="00987550">
        <w:t>requirements can be easily met by existing state arrangements</w:t>
      </w:r>
      <w:r w:rsidR="007E7A13">
        <w:t>. However</w:t>
      </w:r>
      <w:r w:rsidR="00CB63A8">
        <w:t>,</w:t>
      </w:r>
      <w:r w:rsidR="00987550">
        <w:t xml:space="preserve"> there are some new requirement</w:t>
      </w:r>
      <w:r w:rsidR="00A20F34">
        <w:t>s</w:t>
      </w:r>
      <w:r w:rsidR="003714FA">
        <w:t>,</w:t>
      </w:r>
      <w:r w:rsidR="00987550">
        <w:t xml:space="preserve"> such as the water accounting and compliance framework</w:t>
      </w:r>
      <w:r w:rsidR="007E7A13">
        <w:t xml:space="preserve">, where this </w:t>
      </w:r>
      <w:r w:rsidR="009B2778">
        <w:t xml:space="preserve">may </w:t>
      </w:r>
      <w:r w:rsidR="007E7A13">
        <w:t xml:space="preserve">not </w:t>
      </w:r>
      <w:r w:rsidR="009B2778">
        <w:t xml:space="preserve">be </w:t>
      </w:r>
      <w:r w:rsidR="007E7A13">
        <w:t>the case</w:t>
      </w:r>
      <w:r w:rsidR="00987550">
        <w:t xml:space="preserve"> (discussed below).</w:t>
      </w:r>
      <w:r w:rsidR="00534595">
        <w:t xml:space="preserve"> </w:t>
      </w:r>
      <w:r w:rsidR="00D62DE5">
        <w:t>In</w:t>
      </w:r>
      <w:r w:rsidR="00D62DE5" w:rsidDel="00446A38">
        <w:t xml:space="preserve"> </w:t>
      </w:r>
      <w:r w:rsidR="00446A38">
        <w:t xml:space="preserve">the </w:t>
      </w:r>
      <w:proofErr w:type="spellStart"/>
      <w:r w:rsidR="00446A38">
        <w:t>MDBA’s</w:t>
      </w:r>
      <w:proofErr w:type="spellEnd"/>
      <w:r w:rsidR="003635CB">
        <w:t xml:space="preserve"> </w:t>
      </w:r>
      <w:r w:rsidR="00885F6C" w:rsidRPr="00885F6C">
        <w:t>(</w:t>
      </w:r>
      <w:proofErr w:type="spellStart"/>
      <w:r w:rsidR="00885F6C" w:rsidRPr="00885F6C">
        <w:t>2017c</w:t>
      </w:r>
      <w:proofErr w:type="spellEnd"/>
      <w:r w:rsidR="00885F6C" w:rsidRPr="00885F6C">
        <w:t>)</w:t>
      </w:r>
      <w:r w:rsidR="00446A38">
        <w:t xml:space="preserve"> Basin Plan </w:t>
      </w:r>
      <w:r w:rsidR="009D573C">
        <w:t>Evaluation</w:t>
      </w:r>
      <w:r w:rsidR="00D62DE5">
        <w:t xml:space="preserve">, implementation of </w:t>
      </w:r>
      <w:proofErr w:type="spellStart"/>
      <w:r w:rsidR="00D62DE5">
        <w:t>WRPs</w:t>
      </w:r>
      <w:proofErr w:type="spellEnd"/>
      <w:r w:rsidR="00D62DE5">
        <w:t xml:space="preserve"> within required timeframes</w:t>
      </w:r>
      <w:r w:rsidR="00446A38">
        <w:t xml:space="preserve"> was found</w:t>
      </w:r>
      <w:r w:rsidR="00D62DE5">
        <w:t xml:space="preserve"> </w:t>
      </w:r>
      <w:r w:rsidR="00446A38">
        <w:t xml:space="preserve">to </w:t>
      </w:r>
      <w:r w:rsidR="00D62DE5">
        <w:t>be at risk.</w:t>
      </w:r>
      <w:r w:rsidR="00D62DE5" w:rsidDel="00446A38">
        <w:t xml:space="preserve"> </w:t>
      </w:r>
      <w:r w:rsidR="00446A38">
        <w:t xml:space="preserve">The </w:t>
      </w:r>
      <w:proofErr w:type="spellStart"/>
      <w:r w:rsidR="00446A38">
        <w:t>MDBA</w:t>
      </w:r>
      <w:proofErr w:type="spellEnd"/>
      <w:r w:rsidR="00446A38">
        <w:t xml:space="preserve"> </w:t>
      </w:r>
      <w:r w:rsidR="00D62DE5">
        <w:t>noted that t</w:t>
      </w:r>
      <w:r w:rsidR="00213FF3" w:rsidRPr="009744FA">
        <w:t xml:space="preserve">he development and accreditation of </w:t>
      </w:r>
      <w:proofErr w:type="spellStart"/>
      <w:r w:rsidR="00213FF3" w:rsidRPr="009744FA">
        <w:t>WRPs</w:t>
      </w:r>
      <w:proofErr w:type="spellEnd"/>
      <w:r w:rsidR="00213FF3" w:rsidRPr="009744FA">
        <w:t xml:space="preserve"> </w:t>
      </w:r>
      <w:r w:rsidR="00D62DE5">
        <w:t>was</w:t>
      </w:r>
      <w:r w:rsidR="00213FF3" w:rsidRPr="009744FA">
        <w:t xml:space="preserve"> progressing slower than initially envisioned </w:t>
      </w:r>
      <w:r w:rsidR="00BF3457">
        <w:t xml:space="preserve">with </w:t>
      </w:r>
      <w:r w:rsidR="00213FF3" w:rsidRPr="009744FA">
        <w:t xml:space="preserve">only </w:t>
      </w:r>
      <w:r w:rsidR="00214286">
        <w:t>one</w:t>
      </w:r>
      <w:r w:rsidR="00213FF3" w:rsidRPr="009744FA">
        <w:t xml:space="preserve"> plan, in the Warrego</w:t>
      </w:r>
      <w:r w:rsidR="00B37F8F">
        <w:noBreakHyphen/>
      </w:r>
      <w:r w:rsidR="00213FF3" w:rsidRPr="009744FA">
        <w:t>Paroo</w:t>
      </w:r>
      <w:r w:rsidR="00B37F8F">
        <w:noBreakHyphen/>
      </w:r>
      <w:proofErr w:type="spellStart"/>
      <w:r w:rsidR="00213FF3" w:rsidRPr="009744FA">
        <w:t>Nebine</w:t>
      </w:r>
      <w:proofErr w:type="spellEnd"/>
      <w:r w:rsidR="00CB63A8">
        <w:t>,</w:t>
      </w:r>
      <w:r w:rsidR="00213FF3" w:rsidRPr="009744FA">
        <w:t xml:space="preserve"> finalised and accredited </w:t>
      </w:r>
      <w:r w:rsidR="00BF3457">
        <w:t xml:space="preserve">by December 2017 </w:t>
      </w:r>
      <w:r w:rsidR="00213FF3" w:rsidRPr="009744FA">
        <w:t>and 31 still in preliminary stage of development</w:t>
      </w:r>
      <w:r w:rsidR="00213FF3" w:rsidRPr="00BF3457">
        <w:t xml:space="preserve"> </w:t>
      </w:r>
      <w:r w:rsidR="00213FF3" w:rsidRPr="009744FA">
        <w:t>(</w:t>
      </w:r>
      <w:r w:rsidR="00181DDC">
        <w:t>in 2014 it was</w:t>
      </w:r>
      <w:r w:rsidR="00213FF3" w:rsidRPr="009744FA">
        <w:t xml:space="preserve"> projected 14 </w:t>
      </w:r>
      <w:proofErr w:type="spellStart"/>
      <w:r w:rsidR="00181DDC">
        <w:t>WRP</w:t>
      </w:r>
      <w:r w:rsidR="00182EF7">
        <w:t>s</w:t>
      </w:r>
      <w:proofErr w:type="spellEnd"/>
      <w:r w:rsidR="00181DDC">
        <w:t xml:space="preserve"> </w:t>
      </w:r>
      <w:r w:rsidR="00213FF3" w:rsidRPr="009744FA">
        <w:t>would be accredited by 2017</w:t>
      </w:r>
      <w:r w:rsidR="00181DDC">
        <w:t xml:space="preserve"> </w:t>
      </w:r>
      <w:r w:rsidR="00885F6C" w:rsidRPr="00885F6C">
        <w:rPr>
          <w:szCs w:val="24"/>
        </w:rPr>
        <w:t>(</w:t>
      </w:r>
      <w:proofErr w:type="spellStart"/>
      <w:r w:rsidR="00885F6C" w:rsidRPr="00885F6C">
        <w:rPr>
          <w:szCs w:val="24"/>
        </w:rPr>
        <w:t>MDBA</w:t>
      </w:r>
      <w:proofErr w:type="spellEnd"/>
      <w:r w:rsidR="00885F6C" w:rsidRPr="00885F6C">
        <w:rPr>
          <w:szCs w:val="24"/>
        </w:rPr>
        <w:t> </w:t>
      </w:r>
      <w:proofErr w:type="spellStart"/>
      <w:r w:rsidR="00885F6C" w:rsidRPr="00885F6C">
        <w:rPr>
          <w:szCs w:val="24"/>
        </w:rPr>
        <w:t>2017c</w:t>
      </w:r>
      <w:proofErr w:type="spellEnd"/>
      <w:r w:rsidR="00885F6C" w:rsidRPr="00885F6C">
        <w:rPr>
          <w:szCs w:val="24"/>
        </w:rPr>
        <w:t>, p. 45)</w:t>
      </w:r>
      <w:r w:rsidR="00152AF6">
        <w:rPr>
          <w:szCs w:val="24"/>
        </w:rPr>
        <w:t>)</w:t>
      </w:r>
      <w:r w:rsidR="00213FF3" w:rsidRPr="009744FA">
        <w:t xml:space="preserve">. </w:t>
      </w:r>
      <w:r w:rsidR="009A2601">
        <w:t xml:space="preserve">The </w:t>
      </w:r>
      <w:proofErr w:type="spellStart"/>
      <w:r w:rsidR="009A2601">
        <w:t>MDBA</w:t>
      </w:r>
      <w:proofErr w:type="spellEnd"/>
      <w:r w:rsidR="009A2601" w:rsidRPr="009744FA">
        <w:t xml:space="preserve"> </w:t>
      </w:r>
      <w:r w:rsidR="00213FF3" w:rsidRPr="009744FA">
        <w:t>attributed slow progress to</w:t>
      </w:r>
      <w:r w:rsidR="00E64FA0">
        <w:t>:</w:t>
      </w:r>
    </w:p>
    <w:p w:rsidR="00E64FA0" w:rsidRPr="00D32CE6" w:rsidRDefault="00E64FA0" w:rsidP="006C28E0">
      <w:pPr>
        <w:pStyle w:val="ListBullet"/>
      </w:pPr>
      <w:r w:rsidRPr="00D32CE6">
        <w:t xml:space="preserve">the need for the </w:t>
      </w:r>
      <w:proofErr w:type="spellStart"/>
      <w:r w:rsidRPr="00D32CE6">
        <w:t>MDBA</w:t>
      </w:r>
      <w:proofErr w:type="spellEnd"/>
      <w:r w:rsidRPr="00D32CE6">
        <w:t xml:space="preserve"> to provide guidance on addressing requirements</w:t>
      </w:r>
    </w:p>
    <w:p w:rsidR="00E64FA0" w:rsidRPr="00D32CE6" w:rsidRDefault="00E64FA0" w:rsidP="006C28E0">
      <w:pPr>
        <w:pStyle w:val="ListBullet"/>
      </w:pPr>
      <w:r w:rsidRPr="00D32CE6">
        <w:t xml:space="preserve">the need to ensure plans submitted to the </w:t>
      </w:r>
      <w:proofErr w:type="spellStart"/>
      <w:r w:rsidRPr="00D32CE6">
        <w:t>MDBA</w:t>
      </w:r>
      <w:proofErr w:type="spellEnd"/>
      <w:r w:rsidRPr="00D32CE6">
        <w:t xml:space="preserve"> are supported by sufficient evidence that demonstrates they comply with all the requirements</w:t>
      </w:r>
    </w:p>
    <w:p w:rsidR="00E64FA0" w:rsidRPr="00D63D79" w:rsidRDefault="00E64FA0" w:rsidP="006C28E0">
      <w:pPr>
        <w:pStyle w:val="ListBullet"/>
      </w:pPr>
      <w:r w:rsidRPr="00D63D79">
        <w:t>potentially too few resources allocated to this task</w:t>
      </w:r>
      <w:r w:rsidR="00E87220" w:rsidRPr="00D63D79">
        <w:t xml:space="preserve"> </w:t>
      </w:r>
      <w:r w:rsidR="00885F6C" w:rsidRPr="00885F6C">
        <w:rPr>
          <w:szCs w:val="24"/>
        </w:rPr>
        <w:t>(</w:t>
      </w:r>
      <w:proofErr w:type="spellStart"/>
      <w:r w:rsidR="00885F6C" w:rsidRPr="00885F6C">
        <w:rPr>
          <w:szCs w:val="24"/>
        </w:rPr>
        <w:t>MDBA</w:t>
      </w:r>
      <w:proofErr w:type="spellEnd"/>
      <w:r w:rsidR="00885F6C" w:rsidRPr="00885F6C">
        <w:rPr>
          <w:szCs w:val="24"/>
        </w:rPr>
        <w:t> </w:t>
      </w:r>
      <w:proofErr w:type="spellStart"/>
      <w:r w:rsidR="00885F6C" w:rsidRPr="00885F6C">
        <w:rPr>
          <w:szCs w:val="24"/>
        </w:rPr>
        <w:t>2017c</w:t>
      </w:r>
      <w:proofErr w:type="spellEnd"/>
      <w:r w:rsidR="00885F6C" w:rsidRPr="00885F6C">
        <w:rPr>
          <w:szCs w:val="24"/>
        </w:rPr>
        <w:t>, p. 46)</w:t>
      </w:r>
      <w:r w:rsidRPr="00D63D79">
        <w:t>.</w:t>
      </w:r>
    </w:p>
    <w:p w:rsidR="00863659" w:rsidRDefault="003714FA" w:rsidP="00FA1B0E">
      <w:pPr>
        <w:pStyle w:val="BodyText"/>
      </w:pPr>
      <w:r>
        <w:lastRenderedPageBreak/>
        <w:t>A</w:t>
      </w:r>
      <w:r w:rsidR="00F142CD">
        <w:t xml:space="preserve">n update on the progress of the </w:t>
      </w:r>
      <w:proofErr w:type="spellStart"/>
      <w:r w:rsidR="00F142CD">
        <w:t>WRP</w:t>
      </w:r>
      <w:proofErr w:type="spellEnd"/>
      <w:r w:rsidR="00F142CD">
        <w:t xml:space="preserve"> </w:t>
      </w:r>
      <w:r w:rsidR="00214286">
        <w:t>development</w:t>
      </w:r>
      <w:r w:rsidR="00F142CD">
        <w:t xml:space="preserve"> </w:t>
      </w:r>
      <w:r w:rsidR="00E66858">
        <w:t>to</w:t>
      </w:r>
      <w:r w:rsidR="00F142CD">
        <w:t xml:space="preserve"> accreditation process </w:t>
      </w:r>
      <w:r>
        <w:t xml:space="preserve">issued </w:t>
      </w:r>
      <w:r w:rsidR="00F142CD">
        <w:t xml:space="preserve">in January </w:t>
      </w:r>
      <w:r w:rsidR="00D62DE5">
        <w:t xml:space="preserve">2018 </w:t>
      </w:r>
      <w:r w:rsidR="00885F6C" w:rsidRPr="00885F6C">
        <w:rPr>
          <w:szCs w:val="24"/>
        </w:rPr>
        <w:t>(</w:t>
      </w:r>
      <w:proofErr w:type="spellStart"/>
      <w:r w:rsidR="00885F6C" w:rsidRPr="00885F6C">
        <w:rPr>
          <w:szCs w:val="24"/>
        </w:rPr>
        <w:t>MDBA</w:t>
      </w:r>
      <w:proofErr w:type="spellEnd"/>
      <w:r w:rsidR="00885F6C" w:rsidRPr="00885F6C">
        <w:rPr>
          <w:szCs w:val="24"/>
        </w:rPr>
        <w:t> </w:t>
      </w:r>
      <w:proofErr w:type="spellStart"/>
      <w:r w:rsidR="00885F6C" w:rsidRPr="00885F6C">
        <w:rPr>
          <w:szCs w:val="24"/>
        </w:rPr>
        <w:t>2018b</w:t>
      </w:r>
      <w:proofErr w:type="spellEnd"/>
      <w:r w:rsidR="00885F6C" w:rsidRPr="00885F6C">
        <w:rPr>
          <w:szCs w:val="24"/>
        </w:rPr>
        <w:t>)</w:t>
      </w:r>
      <w:r w:rsidR="006F49AB">
        <w:t xml:space="preserve"> </w:t>
      </w:r>
      <w:r>
        <w:t>showed</w:t>
      </w:r>
      <w:r w:rsidR="006F49AB">
        <w:t xml:space="preserve"> that</w:t>
      </w:r>
      <w:r w:rsidR="00D62DE5">
        <w:t xml:space="preserve"> </w:t>
      </w:r>
      <w:r w:rsidR="006F49AB">
        <w:t xml:space="preserve">two </w:t>
      </w:r>
      <w:proofErr w:type="spellStart"/>
      <w:r w:rsidR="00602C5F">
        <w:t>WRPs</w:t>
      </w:r>
      <w:proofErr w:type="spellEnd"/>
      <w:r w:rsidR="00602C5F">
        <w:t xml:space="preserve"> </w:t>
      </w:r>
      <w:r w:rsidR="0025518B">
        <w:t xml:space="preserve">are </w:t>
      </w:r>
      <w:r w:rsidR="006F49AB">
        <w:t>in the assess</w:t>
      </w:r>
      <w:r w:rsidR="0025518B">
        <w:t>ment</w:t>
      </w:r>
      <w:r w:rsidR="006F49AB">
        <w:t xml:space="preserve"> phase (Wimmera</w:t>
      </w:r>
      <w:r w:rsidR="00B37F8F">
        <w:noBreakHyphen/>
      </w:r>
      <w:r w:rsidR="006F49AB">
        <w:t xml:space="preserve">Mallee surface and groundwater) and one </w:t>
      </w:r>
      <w:proofErr w:type="spellStart"/>
      <w:r w:rsidR="004935AB">
        <w:t>WRP</w:t>
      </w:r>
      <w:proofErr w:type="spellEnd"/>
      <w:r w:rsidR="0025518B">
        <w:t xml:space="preserve"> is </w:t>
      </w:r>
      <w:r w:rsidR="006F49AB">
        <w:t>in the accreditation phase (SA Murray Region).</w:t>
      </w:r>
      <w:r w:rsidR="00E57FD9">
        <w:t xml:space="preserve"> </w:t>
      </w:r>
      <w:r w:rsidR="0025518B">
        <w:t xml:space="preserve">The rest </w:t>
      </w:r>
      <w:r w:rsidR="002F46F7">
        <w:t>of the</w:t>
      </w:r>
      <w:r w:rsidR="00966437">
        <w:t xml:space="preserve"> </w:t>
      </w:r>
      <w:proofErr w:type="spellStart"/>
      <w:r w:rsidR="00966437">
        <w:t>WRPs</w:t>
      </w:r>
      <w:proofErr w:type="spellEnd"/>
      <w:r w:rsidR="00280512">
        <w:t>,</w:t>
      </w:r>
      <w:r w:rsidR="00966437">
        <w:t xml:space="preserve"> yet to be accredited</w:t>
      </w:r>
      <w:r w:rsidR="00280512">
        <w:t>,</w:t>
      </w:r>
      <w:r w:rsidR="00966437">
        <w:t xml:space="preserve"> </w:t>
      </w:r>
      <w:r w:rsidR="0025518B">
        <w:t xml:space="preserve">are still in the development phase. </w:t>
      </w:r>
    </w:p>
    <w:p w:rsidR="00863659" w:rsidRPr="009744FA" w:rsidRDefault="00233F10" w:rsidP="00075436">
      <w:pPr>
        <w:pStyle w:val="BodyText"/>
      </w:pPr>
      <w:r>
        <w:t xml:space="preserve">If Basin </w:t>
      </w:r>
      <w:r w:rsidR="00214286">
        <w:t xml:space="preserve">Sates </w:t>
      </w:r>
      <w:r w:rsidR="00C125C4">
        <w:t>are at risk of</w:t>
      </w:r>
      <w:r>
        <w:t xml:space="preserve"> not </w:t>
      </w:r>
      <w:r w:rsidR="00C125C4">
        <w:t>having</w:t>
      </w:r>
      <w:r>
        <w:t xml:space="preserve"> their </w:t>
      </w:r>
      <w:proofErr w:type="spellStart"/>
      <w:r>
        <w:t>WRP</w:t>
      </w:r>
      <w:r w:rsidR="002F797F">
        <w:t>s</w:t>
      </w:r>
      <w:proofErr w:type="spellEnd"/>
      <w:r>
        <w:t xml:space="preserve"> accredited in the stat</w:t>
      </w:r>
      <w:r w:rsidR="00647EA2">
        <w:t>utory timelines (by 30</w:t>
      </w:r>
      <w:r w:rsidR="00B37F8F">
        <w:t> </w:t>
      </w:r>
      <w:r w:rsidR="00647EA2">
        <w:t>June 2019</w:t>
      </w:r>
      <w:r>
        <w:t xml:space="preserve">), the </w:t>
      </w:r>
      <w:proofErr w:type="spellStart"/>
      <w:r>
        <w:t>MDBA</w:t>
      </w:r>
      <w:proofErr w:type="spellEnd"/>
      <w:r>
        <w:t xml:space="preserve"> has two options </w:t>
      </w:r>
      <w:r w:rsidR="00885F6C" w:rsidRPr="00885F6C">
        <w:rPr>
          <w:szCs w:val="24"/>
        </w:rPr>
        <w:t>(</w:t>
      </w:r>
      <w:proofErr w:type="spellStart"/>
      <w:r w:rsidR="00885F6C" w:rsidRPr="00885F6C">
        <w:rPr>
          <w:szCs w:val="24"/>
        </w:rPr>
        <w:t>MDBA</w:t>
      </w:r>
      <w:proofErr w:type="spellEnd"/>
      <w:r w:rsidR="00885F6C" w:rsidRPr="00885F6C">
        <w:rPr>
          <w:szCs w:val="24"/>
        </w:rPr>
        <w:t> </w:t>
      </w:r>
      <w:proofErr w:type="spellStart"/>
      <w:r w:rsidR="00885F6C" w:rsidRPr="00885F6C">
        <w:rPr>
          <w:szCs w:val="24"/>
        </w:rPr>
        <w:t>2017e</w:t>
      </w:r>
      <w:proofErr w:type="spellEnd"/>
      <w:r w:rsidR="00885F6C" w:rsidRPr="00885F6C">
        <w:rPr>
          <w:szCs w:val="24"/>
        </w:rPr>
        <w:t>)</w:t>
      </w:r>
      <w:r w:rsidR="00F1674C">
        <w:t>:</w:t>
      </w:r>
    </w:p>
    <w:p w:rsidR="00F1674C" w:rsidRDefault="00F1674C" w:rsidP="00F1674C">
      <w:pPr>
        <w:pStyle w:val="ListNumber"/>
      </w:pPr>
      <w:r>
        <w:t>take compliance action where there are inconsistencies between Australian Government and state laws, or</w:t>
      </w:r>
    </w:p>
    <w:p w:rsidR="00F1674C" w:rsidRPr="009744FA" w:rsidRDefault="00F1674C" w:rsidP="00F1674C">
      <w:pPr>
        <w:pStyle w:val="ListNumber"/>
      </w:pPr>
      <w:r>
        <w:t>use the step</w:t>
      </w:r>
      <w:r w:rsidR="00B37F8F">
        <w:noBreakHyphen/>
      </w:r>
      <w:r>
        <w:t>in provisions of the Water Act to develop its own enforceable plan.</w:t>
      </w:r>
    </w:p>
    <w:p w:rsidR="00777847" w:rsidDel="00F87E3F" w:rsidRDefault="00777847" w:rsidP="00777847">
      <w:pPr>
        <w:pStyle w:val="BodyText"/>
        <w:rPr>
          <w:rStyle w:val="Heading5Char"/>
        </w:rPr>
      </w:pPr>
      <w:r w:rsidDel="00F87E3F">
        <w:rPr>
          <w:rStyle w:val="Heading5Char"/>
        </w:rPr>
        <w:t>T</w:t>
      </w:r>
      <w:r w:rsidRPr="00FB6CDB" w:rsidDel="00F87E3F">
        <w:rPr>
          <w:rStyle w:val="Heading5Char"/>
        </w:rPr>
        <w:t xml:space="preserve">ransitioning to </w:t>
      </w:r>
      <w:proofErr w:type="spellStart"/>
      <w:r w:rsidRPr="00FB6CDB" w:rsidDel="00F87E3F">
        <w:rPr>
          <w:rStyle w:val="Heading5Char"/>
        </w:rPr>
        <w:t>SDL</w:t>
      </w:r>
      <w:proofErr w:type="spellEnd"/>
      <w:r w:rsidRPr="00FB6CDB" w:rsidDel="00F87E3F">
        <w:rPr>
          <w:rStyle w:val="Heading5Char"/>
        </w:rPr>
        <w:t xml:space="preserve"> accountin</w:t>
      </w:r>
      <w:r w:rsidDel="00F87E3F">
        <w:rPr>
          <w:rStyle w:val="Heading5Char"/>
        </w:rPr>
        <w:t>g</w:t>
      </w:r>
      <w:r w:rsidR="004968EB" w:rsidDel="00F87E3F">
        <w:rPr>
          <w:rStyle w:val="Heading5Char"/>
        </w:rPr>
        <w:t xml:space="preserve"> and compliance</w:t>
      </w:r>
    </w:p>
    <w:p w:rsidR="00431A1A" w:rsidDel="00F87E3F" w:rsidRDefault="00431A1A" w:rsidP="00777847">
      <w:pPr>
        <w:pStyle w:val="BodyText"/>
      </w:pPr>
      <w:proofErr w:type="spellStart"/>
      <w:r w:rsidDel="00F87E3F">
        <w:t>WRPs</w:t>
      </w:r>
      <w:proofErr w:type="spellEnd"/>
      <w:r w:rsidDel="00F87E3F">
        <w:t xml:space="preserve"> must include methods for demonstrating how compliance with </w:t>
      </w:r>
      <w:proofErr w:type="spellStart"/>
      <w:r w:rsidDel="00F87E3F">
        <w:t>SDLs</w:t>
      </w:r>
      <w:proofErr w:type="spellEnd"/>
      <w:r w:rsidDel="00F87E3F">
        <w:t xml:space="preserve"> will be achieved under different climate scenarios. In particular, </w:t>
      </w:r>
      <w:proofErr w:type="spellStart"/>
      <w:r w:rsidDel="00F87E3F">
        <w:t>WRPs</w:t>
      </w:r>
      <w:proofErr w:type="spellEnd"/>
      <w:r w:rsidDel="00F87E3F">
        <w:t xml:space="preserve"> must include methods for calculating permitted </w:t>
      </w:r>
      <w:r w:rsidR="008D59D3" w:rsidDel="00F87E3F">
        <w:t xml:space="preserve">annual </w:t>
      </w:r>
      <w:r w:rsidDel="00F87E3F">
        <w:t>take as well as methods for monitoring and reporting actual take.</w:t>
      </w:r>
    </w:p>
    <w:p w:rsidR="00777847" w:rsidRPr="00184F1F" w:rsidRDefault="00431A1A" w:rsidP="00777847">
      <w:pPr>
        <w:pStyle w:val="BodyText"/>
        <w:rPr>
          <w:color w:val="000000" w:themeColor="text1"/>
        </w:rPr>
      </w:pPr>
      <w:r>
        <w:rPr>
          <w:szCs w:val="24"/>
        </w:rPr>
        <w:t>T</w:t>
      </w:r>
      <w:r w:rsidR="00777847" w:rsidRPr="00D644D5">
        <w:rPr>
          <w:szCs w:val="24"/>
        </w:rPr>
        <w:t xml:space="preserve">he </w:t>
      </w:r>
      <w:proofErr w:type="spellStart"/>
      <w:r w:rsidR="00777847" w:rsidRPr="00D644D5">
        <w:rPr>
          <w:szCs w:val="24"/>
        </w:rPr>
        <w:t>MDBA</w:t>
      </w:r>
      <w:proofErr w:type="spellEnd"/>
      <w:r w:rsidR="00777847" w:rsidRPr="00D644D5">
        <w:rPr>
          <w:szCs w:val="24"/>
        </w:rPr>
        <w:t xml:space="preserve"> </w:t>
      </w:r>
      <w:r w:rsidR="00777847" w:rsidRPr="0048721B">
        <w:rPr>
          <w:color w:val="000000" w:themeColor="text1"/>
          <w:szCs w:val="24"/>
        </w:rPr>
        <w:t xml:space="preserve">maintains an annual register of diversions based on data and estimates provided by Basin States. </w:t>
      </w:r>
      <w:r w:rsidR="00B37F8F">
        <w:t xml:space="preserve">From 1 July </w:t>
      </w:r>
      <w:r w:rsidR="00777847" w:rsidRPr="00E83774">
        <w:t xml:space="preserve">2019, the register will </w:t>
      </w:r>
      <w:r w:rsidR="00777847">
        <w:t>widen in scope</w:t>
      </w:r>
      <w:r w:rsidR="00777847" w:rsidRPr="00E83774">
        <w:t xml:space="preserve"> to require </w:t>
      </w:r>
      <w:r w:rsidR="00777847" w:rsidRPr="0048721B">
        <w:rPr>
          <w:color w:val="000000" w:themeColor="text1"/>
          <w:szCs w:val="24"/>
        </w:rPr>
        <w:t xml:space="preserve">data </w:t>
      </w:r>
      <w:r w:rsidR="00777847">
        <w:rPr>
          <w:color w:val="000000" w:themeColor="text1"/>
          <w:szCs w:val="24"/>
        </w:rPr>
        <w:t>or</w:t>
      </w:r>
      <w:r w:rsidR="00777847" w:rsidRPr="0048721B">
        <w:rPr>
          <w:color w:val="000000" w:themeColor="text1"/>
          <w:szCs w:val="24"/>
        </w:rPr>
        <w:t xml:space="preserve"> estimates</w:t>
      </w:r>
      <w:r w:rsidR="00777847" w:rsidRPr="00E83774">
        <w:t xml:space="preserve"> for all types of surface water and groundwater</w:t>
      </w:r>
      <w:r w:rsidR="00B37F8F">
        <w:noBreakHyphen/>
      </w:r>
      <w:r w:rsidR="00777847" w:rsidRPr="00E83774">
        <w:t xml:space="preserve">takes rather than only </w:t>
      </w:r>
      <w:r w:rsidR="00777847">
        <w:t>certain</w:t>
      </w:r>
      <w:r w:rsidR="00777847" w:rsidRPr="00E83774">
        <w:t xml:space="preserve"> types of surface water diversions.</w:t>
      </w:r>
      <w:r w:rsidR="00777847">
        <w:t xml:space="preserve"> In preparation for the new accounting system, the Basin States have submitted a set of trial accounts for 2012</w:t>
      </w:r>
      <w:r w:rsidR="00B37F8F">
        <w:t>–</w:t>
      </w:r>
      <w:r w:rsidR="00777847">
        <w:t xml:space="preserve">16 in the required format </w:t>
      </w:r>
      <w:r w:rsidR="00885F6C" w:rsidRPr="00885F6C">
        <w:rPr>
          <w:szCs w:val="24"/>
        </w:rPr>
        <w:t>(</w:t>
      </w:r>
      <w:proofErr w:type="spellStart"/>
      <w:r w:rsidR="00885F6C" w:rsidRPr="00885F6C">
        <w:rPr>
          <w:szCs w:val="24"/>
        </w:rPr>
        <w:t>MDBA</w:t>
      </w:r>
      <w:proofErr w:type="spellEnd"/>
      <w:r w:rsidR="00885F6C" w:rsidRPr="00885F6C">
        <w:rPr>
          <w:szCs w:val="24"/>
        </w:rPr>
        <w:t> </w:t>
      </w:r>
      <w:proofErr w:type="spellStart"/>
      <w:r w:rsidR="00885F6C" w:rsidRPr="00885F6C">
        <w:rPr>
          <w:szCs w:val="24"/>
        </w:rPr>
        <w:t>2017f</w:t>
      </w:r>
      <w:proofErr w:type="spellEnd"/>
      <w:r w:rsidR="00885F6C" w:rsidRPr="00885F6C">
        <w:rPr>
          <w:szCs w:val="24"/>
        </w:rPr>
        <w:t>)</w:t>
      </w:r>
      <w:r w:rsidR="00777847">
        <w:t>.</w:t>
      </w:r>
    </w:p>
    <w:p w:rsidR="00777847" w:rsidRDefault="00777847" w:rsidP="00777847">
      <w:pPr>
        <w:pStyle w:val="BodyText"/>
      </w:pPr>
      <w:r w:rsidRPr="002B2ED0">
        <w:t xml:space="preserve">The </w:t>
      </w:r>
      <w:proofErr w:type="spellStart"/>
      <w:r w:rsidRPr="002B2ED0">
        <w:t>MDBA</w:t>
      </w:r>
      <w:r>
        <w:t>’s</w:t>
      </w:r>
      <w:proofErr w:type="spellEnd"/>
      <w:r w:rsidRPr="002B2ED0">
        <w:t xml:space="preserve"> </w:t>
      </w:r>
      <w:r w:rsidR="00885F6C" w:rsidRPr="00885F6C">
        <w:t>(</w:t>
      </w:r>
      <w:proofErr w:type="spellStart"/>
      <w:r w:rsidR="00885F6C" w:rsidRPr="00885F6C">
        <w:t>2017c</w:t>
      </w:r>
      <w:proofErr w:type="spellEnd"/>
      <w:r w:rsidR="00885F6C" w:rsidRPr="00885F6C">
        <w:t>)</w:t>
      </w:r>
      <w:r>
        <w:t xml:space="preserve"> Basin Plan Evaluation found</w:t>
      </w:r>
      <w:r w:rsidRPr="002B2ED0">
        <w:t xml:space="preserve"> that the </w:t>
      </w:r>
      <w:proofErr w:type="spellStart"/>
      <w:r w:rsidRPr="002B2ED0">
        <w:t>MDBA</w:t>
      </w:r>
      <w:proofErr w:type="spellEnd"/>
      <w:r w:rsidRPr="002B2ED0">
        <w:t xml:space="preserve"> and Basin States must complete a large body of work to develop a robust basis for measuring water take and </w:t>
      </w:r>
      <w:r w:rsidRPr="002F46F7">
        <w:t xml:space="preserve">transparent reporting on </w:t>
      </w:r>
      <w:proofErr w:type="spellStart"/>
      <w:r w:rsidRPr="002F46F7">
        <w:t>SDL</w:t>
      </w:r>
      <w:proofErr w:type="spellEnd"/>
      <w:r w:rsidRPr="002F46F7">
        <w:t xml:space="preserve"> compliance, </w:t>
      </w:r>
      <w:r w:rsidR="00431A1A">
        <w:t>and assessed</w:t>
      </w:r>
      <w:r w:rsidR="004968EB">
        <w:t xml:space="preserve"> the transition to </w:t>
      </w:r>
      <w:proofErr w:type="spellStart"/>
      <w:r w:rsidR="004968EB">
        <w:t>SDL</w:t>
      </w:r>
      <w:proofErr w:type="spellEnd"/>
      <w:r w:rsidR="004968EB">
        <w:t xml:space="preserve"> accounting</w:t>
      </w:r>
      <w:r w:rsidRPr="002F46F7">
        <w:t xml:space="preserve"> </w:t>
      </w:r>
      <w:r w:rsidR="004968EB">
        <w:t xml:space="preserve">and compliance </w:t>
      </w:r>
      <w:r w:rsidRPr="002F46F7">
        <w:t xml:space="preserve">as at risk. </w:t>
      </w:r>
    </w:p>
    <w:p w:rsidR="00987550" w:rsidRPr="009744FA" w:rsidRDefault="004968EB" w:rsidP="00206ADF">
      <w:pPr>
        <w:pStyle w:val="BodyText"/>
      </w:pPr>
      <w:r w:rsidRPr="002F46F7">
        <w:t xml:space="preserve">The </w:t>
      </w:r>
      <w:proofErr w:type="spellStart"/>
      <w:r w:rsidRPr="002F46F7">
        <w:t>MDBA</w:t>
      </w:r>
      <w:proofErr w:type="spellEnd"/>
      <w:r w:rsidRPr="002F46F7">
        <w:t xml:space="preserve"> suggested key areas of focus to improve the standard of </w:t>
      </w:r>
      <w:proofErr w:type="spellStart"/>
      <w:r w:rsidR="003C261A">
        <w:t>SDL</w:t>
      </w:r>
      <w:proofErr w:type="spellEnd"/>
      <w:r w:rsidR="00FB6D02">
        <w:t xml:space="preserve"> accounting </w:t>
      </w:r>
      <w:r w:rsidRPr="002F46F7">
        <w:t>should include: reviewing hydrological models to account for water take; improving methods for estimating forms of non</w:t>
      </w:r>
      <w:r w:rsidR="00B37F8F">
        <w:noBreakHyphen/>
      </w:r>
      <w:r w:rsidRPr="002F46F7">
        <w:t>metered take (particularly floodplain harvesting in N</w:t>
      </w:r>
      <w:r w:rsidR="00280512">
        <w:t xml:space="preserve">ew </w:t>
      </w:r>
      <w:r w:rsidRPr="002F46F7">
        <w:t>S</w:t>
      </w:r>
      <w:r w:rsidR="00280512">
        <w:t xml:space="preserve">outh </w:t>
      </w:r>
      <w:r w:rsidRPr="002F46F7">
        <w:t>W</w:t>
      </w:r>
      <w:r w:rsidR="00280512">
        <w:t>ales</w:t>
      </w:r>
      <w:r w:rsidRPr="002F46F7">
        <w:t xml:space="preserve"> and Queensland); improving the accuracy and reliability of metering; and reviewing network gauging stations.</w:t>
      </w:r>
    </w:p>
    <w:p w:rsidR="00213FF3" w:rsidRPr="009744FA" w:rsidRDefault="00213FF3" w:rsidP="00213FF3">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213FF3" w:rsidRPr="009744FA" w:rsidTr="00563B55">
        <w:tc>
          <w:tcPr>
            <w:tcW w:w="5000" w:type="pct"/>
            <w:tcBorders>
              <w:top w:val="single" w:sz="6" w:space="0" w:color="78A22F"/>
              <w:left w:val="nil"/>
              <w:bottom w:val="nil"/>
              <w:right w:val="nil"/>
            </w:tcBorders>
            <w:shd w:val="clear" w:color="auto" w:fill="auto"/>
          </w:tcPr>
          <w:p w:rsidR="00213FF3" w:rsidRPr="009744FA" w:rsidRDefault="00213FF3" w:rsidP="00920844">
            <w:pPr>
              <w:keepNext/>
              <w:keepLines/>
              <w:spacing w:before="120" w:line="280" w:lineRule="atLeast"/>
              <w:jc w:val="both"/>
              <w:rPr>
                <w:rFonts w:ascii="Arial" w:hAnsi="Arial"/>
                <w:i/>
                <w:caps/>
                <w:sz w:val="18"/>
              </w:rPr>
            </w:pPr>
            <w:r>
              <w:rPr>
                <w:rFonts w:ascii="Arial" w:hAnsi="Arial"/>
                <w:i/>
                <w:caps/>
                <w:sz w:val="18"/>
              </w:rPr>
              <w:t xml:space="preserve">Information request </w:t>
            </w:r>
            <w:r w:rsidR="00920844">
              <w:rPr>
                <w:rFonts w:ascii="Arial" w:hAnsi="Arial"/>
                <w:i/>
                <w:caps/>
                <w:sz w:val="18"/>
              </w:rPr>
              <w:t>7</w:t>
            </w:r>
          </w:p>
        </w:tc>
      </w:tr>
      <w:tr w:rsidR="00213FF3" w:rsidRPr="009744FA" w:rsidTr="00563B55">
        <w:trPr>
          <w:cantSplit/>
        </w:trPr>
        <w:tc>
          <w:tcPr>
            <w:tcW w:w="5000" w:type="pct"/>
            <w:tcBorders>
              <w:top w:val="nil"/>
              <w:left w:val="nil"/>
              <w:bottom w:val="nil"/>
              <w:right w:val="nil"/>
            </w:tcBorders>
            <w:shd w:val="clear" w:color="auto" w:fill="auto"/>
          </w:tcPr>
          <w:p w:rsidR="00C10D1C" w:rsidRPr="00167A51" w:rsidRDefault="00C10D1C" w:rsidP="00C10D1C">
            <w:pPr>
              <w:pStyle w:val="InformationRequest"/>
            </w:pPr>
            <w:r w:rsidRPr="001860E4">
              <w:t>The Commission is seek</w:t>
            </w:r>
            <w:r w:rsidRPr="00167A51">
              <w:t>ing information on:</w:t>
            </w:r>
          </w:p>
          <w:p w:rsidR="00C10D1C" w:rsidRDefault="00C10D1C" w:rsidP="00876954">
            <w:pPr>
              <w:pStyle w:val="InformationRequestBullet"/>
              <w:numPr>
                <w:ilvl w:val="0"/>
                <w:numId w:val="24"/>
              </w:numPr>
            </w:pPr>
            <w:r w:rsidRPr="00C1462A">
              <w:t xml:space="preserve">the main risks to remaining </w:t>
            </w:r>
            <w:proofErr w:type="spellStart"/>
            <w:r w:rsidRPr="00C1462A">
              <w:t>WRPs</w:t>
            </w:r>
            <w:proofErr w:type="spellEnd"/>
            <w:r w:rsidRPr="00C1462A">
              <w:t xml:space="preserve"> being finalised and accredited by mid</w:t>
            </w:r>
            <w:r w:rsidR="00B37F8F">
              <w:noBreakHyphen/>
            </w:r>
            <w:r w:rsidRPr="00C1462A">
              <w:t>2019</w:t>
            </w:r>
          </w:p>
          <w:p w:rsidR="00213FF3" w:rsidRPr="009744FA" w:rsidRDefault="00C10D1C" w:rsidP="00876954">
            <w:pPr>
              <w:pStyle w:val="InformationRequestBullet"/>
              <w:numPr>
                <w:ilvl w:val="0"/>
                <w:numId w:val="24"/>
              </w:numPr>
            </w:pPr>
            <w:r w:rsidRPr="00DE22E1">
              <w:t xml:space="preserve">how, and to what extent, recent measures to make the </w:t>
            </w:r>
            <w:proofErr w:type="spellStart"/>
            <w:r w:rsidRPr="00DE22E1">
              <w:t>WRP</w:t>
            </w:r>
            <w:proofErr w:type="spellEnd"/>
            <w:r w:rsidRPr="00DE22E1">
              <w:t xml:space="preserve"> accreditation process more efficient and streamlined </w:t>
            </w:r>
            <w:r w:rsidR="00BB722E">
              <w:t xml:space="preserve">have sped up the preparation of </w:t>
            </w:r>
            <w:proofErr w:type="spellStart"/>
            <w:r w:rsidR="00BB722E">
              <w:t>WRPs</w:t>
            </w:r>
            <w:proofErr w:type="spellEnd"/>
            <w:r w:rsidR="0091366F">
              <w:t xml:space="preserve"> and whether there are </w:t>
            </w:r>
            <w:r w:rsidR="00213FF3" w:rsidRPr="009744FA">
              <w:t xml:space="preserve">opportunities to further streamline the accreditation process for </w:t>
            </w:r>
            <w:proofErr w:type="spellStart"/>
            <w:r w:rsidR="00213FF3" w:rsidRPr="009744FA">
              <w:t>WRP</w:t>
            </w:r>
            <w:r w:rsidR="0091366F">
              <w:t>s</w:t>
            </w:r>
            <w:proofErr w:type="spellEnd"/>
          </w:p>
          <w:p w:rsidR="00213FF3" w:rsidRPr="009744FA" w:rsidRDefault="00213FF3" w:rsidP="00876954">
            <w:pPr>
              <w:pStyle w:val="InformationRequestBullet"/>
              <w:numPr>
                <w:ilvl w:val="0"/>
                <w:numId w:val="24"/>
              </w:numPr>
            </w:pPr>
            <w:r w:rsidRPr="009744FA">
              <w:t xml:space="preserve">other ways </w:t>
            </w:r>
            <w:proofErr w:type="spellStart"/>
            <w:r w:rsidRPr="009744FA">
              <w:t>WRPs</w:t>
            </w:r>
            <w:proofErr w:type="spellEnd"/>
            <w:r w:rsidRPr="009744FA">
              <w:t xml:space="preserve"> or associated planning processes (e.g. consultation, modelling inputs) could be changed to better meet t</w:t>
            </w:r>
            <w:r w:rsidR="00152AF6">
              <w:t>he objectives of the Basin Plan</w:t>
            </w:r>
            <w:r w:rsidRPr="009744FA">
              <w:t xml:space="preserve"> </w:t>
            </w:r>
          </w:p>
          <w:p w:rsidR="0091366F" w:rsidRDefault="00213FF3" w:rsidP="00876954">
            <w:pPr>
              <w:pStyle w:val="InformationRequestBullet"/>
              <w:numPr>
                <w:ilvl w:val="0"/>
                <w:numId w:val="24"/>
              </w:numPr>
            </w:pPr>
            <w:r w:rsidRPr="009744FA">
              <w:t xml:space="preserve">how effective Basin </w:t>
            </w:r>
            <w:r w:rsidR="00280512">
              <w:t>S</w:t>
            </w:r>
            <w:r w:rsidRPr="009744FA">
              <w:t xml:space="preserve">tates </w:t>
            </w:r>
            <w:r w:rsidR="0091366F" w:rsidRPr="009744FA">
              <w:t xml:space="preserve">have </w:t>
            </w:r>
            <w:r w:rsidRPr="009744FA">
              <w:t xml:space="preserve">been in consulting with </w:t>
            </w:r>
            <w:r w:rsidR="002340DF">
              <w:t xml:space="preserve">all relevant </w:t>
            </w:r>
            <w:r w:rsidRPr="009744FA">
              <w:t xml:space="preserve">stakeholders </w:t>
            </w:r>
          </w:p>
          <w:p w:rsidR="002B2ED0" w:rsidRPr="009744FA" w:rsidRDefault="002B2ED0" w:rsidP="00876954">
            <w:pPr>
              <w:pStyle w:val="InformationRequestBullet"/>
              <w:numPr>
                <w:ilvl w:val="0"/>
                <w:numId w:val="24"/>
              </w:numPr>
            </w:pPr>
            <w:r w:rsidRPr="009744FA">
              <w:t>the main risks to planning assumpti</w:t>
            </w:r>
            <w:r w:rsidR="00280512">
              <w:t>on work being finalised on time.</w:t>
            </w:r>
          </w:p>
        </w:tc>
      </w:tr>
      <w:tr w:rsidR="00213FF3" w:rsidRPr="009744FA" w:rsidTr="00563B55">
        <w:tc>
          <w:tcPr>
            <w:tcW w:w="5000" w:type="pct"/>
            <w:tcBorders>
              <w:top w:val="nil"/>
              <w:left w:val="nil"/>
              <w:bottom w:val="single" w:sz="6" w:space="0" w:color="78A22F"/>
              <w:right w:val="nil"/>
            </w:tcBorders>
            <w:shd w:val="clear" w:color="auto" w:fill="auto"/>
          </w:tcPr>
          <w:p w:rsidR="00213FF3" w:rsidRPr="009744FA" w:rsidRDefault="00213FF3" w:rsidP="00993076">
            <w:pPr>
              <w:keepNext/>
              <w:keepLines/>
              <w:spacing w:line="120" w:lineRule="exact"/>
              <w:jc w:val="both"/>
              <w:rPr>
                <w:rFonts w:ascii="Arial" w:hAnsi="Arial"/>
                <w:sz w:val="20"/>
              </w:rPr>
            </w:pPr>
          </w:p>
        </w:tc>
      </w:tr>
      <w:tr w:rsidR="00213FF3" w:rsidRPr="009744FA" w:rsidTr="00563B55">
        <w:tc>
          <w:tcPr>
            <w:tcW w:w="5000" w:type="pct"/>
            <w:tcBorders>
              <w:top w:val="single" w:sz="6" w:space="0" w:color="78A22F"/>
              <w:left w:val="nil"/>
              <w:bottom w:val="nil"/>
              <w:right w:val="nil"/>
            </w:tcBorders>
          </w:tcPr>
          <w:p w:rsidR="00213FF3" w:rsidRPr="009744FA" w:rsidRDefault="00213FF3" w:rsidP="00993076">
            <w:pPr>
              <w:keepLines/>
              <w:spacing w:before="60" w:after="60" w:line="80" w:lineRule="exact"/>
              <w:jc w:val="both"/>
              <w:rPr>
                <w:rFonts w:ascii="Arial" w:hAnsi="Arial"/>
                <w:sz w:val="14"/>
              </w:rPr>
            </w:pPr>
          </w:p>
        </w:tc>
      </w:tr>
    </w:tbl>
    <w:p w:rsidR="009744FA" w:rsidRPr="009744FA" w:rsidRDefault="009744FA" w:rsidP="009744FA">
      <w:pPr>
        <w:keepNext/>
        <w:spacing w:before="560" w:line="320" w:lineRule="exact"/>
        <w:outlineLvl w:val="2"/>
        <w:rPr>
          <w:rFonts w:ascii="Arial" w:hAnsi="Arial"/>
          <w:b/>
        </w:rPr>
      </w:pPr>
      <w:r w:rsidRPr="009744FA">
        <w:rPr>
          <w:rFonts w:ascii="Arial" w:hAnsi="Arial"/>
          <w:b/>
        </w:rPr>
        <w:t>Environmental water planning and management</w:t>
      </w:r>
    </w:p>
    <w:p w:rsidR="00CA097D" w:rsidRDefault="00CA097D" w:rsidP="00CA097D">
      <w:pPr>
        <w:pStyle w:val="BodyText"/>
      </w:pPr>
      <w:r>
        <w:t xml:space="preserve">The </w:t>
      </w:r>
      <w:r w:rsidR="0087340B">
        <w:t xml:space="preserve">Basin Plan outlines a range of </w:t>
      </w:r>
      <w:r>
        <w:t>environmental objectives</w:t>
      </w:r>
      <w:r w:rsidR="0087340B">
        <w:t xml:space="preserve"> designed to </w:t>
      </w:r>
      <w:r w:rsidR="00923528">
        <w:t>protect and restore</w:t>
      </w:r>
      <w:r w:rsidR="0087340B" w:rsidDel="00923528">
        <w:t xml:space="preserve"> </w:t>
      </w:r>
      <w:r w:rsidR="0087340B">
        <w:t>the health and resilience of Basin ecosystems.</w:t>
      </w:r>
      <w:r>
        <w:t xml:space="preserve"> </w:t>
      </w:r>
      <w:r w:rsidR="00B17C39">
        <w:t>T</w:t>
      </w:r>
      <w:r>
        <w:t xml:space="preserve">he use of </w:t>
      </w:r>
      <w:r w:rsidR="00B17C39">
        <w:t xml:space="preserve">environmental </w:t>
      </w:r>
      <w:r>
        <w:t>water</w:t>
      </w:r>
      <w:r w:rsidR="00FE5446">
        <w:t xml:space="preserve"> </w:t>
      </w:r>
      <w:r w:rsidR="001E7336">
        <w:t>(planned</w:t>
      </w:r>
      <w:r w:rsidR="001E7336" w:rsidRPr="00C45348">
        <w:rPr>
          <w:rStyle w:val="FootnoteReference"/>
        </w:rPr>
        <w:footnoteReference w:id="8"/>
      </w:r>
      <w:r w:rsidR="001E7336">
        <w:t xml:space="preserve"> and held</w:t>
      </w:r>
      <w:r w:rsidR="001E7336" w:rsidRPr="00C45348">
        <w:rPr>
          <w:rStyle w:val="FootnoteReference"/>
        </w:rPr>
        <w:footnoteReference w:id="9"/>
      </w:r>
      <w:r w:rsidR="002F76BA">
        <w:t xml:space="preserve"> water</w:t>
      </w:r>
      <w:r w:rsidR="001E7336">
        <w:t xml:space="preserve">) </w:t>
      </w:r>
      <w:r w:rsidR="00FE5446">
        <w:t>will be vital to achieving these objectives</w:t>
      </w:r>
      <w:r>
        <w:t xml:space="preserve">. </w:t>
      </w:r>
      <w:r w:rsidR="00490807">
        <w:t xml:space="preserve">Specific actions in the Basin Plan </w:t>
      </w:r>
      <w:r w:rsidR="00BC4216">
        <w:t>for use of environmental water are</w:t>
      </w:r>
      <w:r>
        <w:t>:</w:t>
      </w:r>
    </w:p>
    <w:p w:rsidR="00CA097D" w:rsidRPr="00451DAA" w:rsidRDefault="00797AC6" w:rsidP="006C28E0">
      <w:pPr>
        <w:pStyle w:val="ListBullet"/>
      </w:pPr>
      <w:r w:rsidRPr="00451DAA">
        <w:t xml:space="preserve">planning for use of </w:t>
      </w:r>
      <w:r w:rsidR="00CA097D" w:rsidRPr="00451DAA">
        <w:t xml:space="preserve">environmental water </w:t>
      </w:r>
    </w:p>
    <w:p w:rsidR="00CA097D" w:rsidRPr="00451DAA" w:rsidRDefault="00CA097D" w:rsidP="006C28E0">
      <w:pPr>
        <w:pStyle w:val="ListBullet"/>
      </w:pPr>
      <w:r w:rsidRPr="00451DAA">
        <w:t>coordination of environmental water delivery</w:t>
      </w:r>
    </w:p>
    <w:p w:rsidR="00CA097D" w:rsidRPr="00451DAA" w:rsidRDefault="00CA097D" w:rsidP="006C28E0">
      <w:pPr>
        <w:pStyle w:val="ListBullet"/>
      </w:pPr>
      <w:r w:rsidRPr="00451DAA">
        <w:t>prerequisite policy measures (</w:t>
      </w:r>
      <w:proofErr w:type="spellStart"/>
      <w:r w:rsidRPr="00451DAA">
        <w:t>PPMs</w:t>
      </w:r>
      <w:proofErr w:type="spellEnd"/>
      <w:r w:rsidRPr="00451DAA">
        <w:t>)</w:t>
      </w:r>
    </w:p>
    <w:p w:rsidR="00FC73E2" w:rsidRPr="00451DAA" w:rsidRDefault="00CA097D" w:rsidP="006C28E0">
      <w:pPr>
        <w:pStyle w:val="ListBullet"/>
      </w:pPr>
      <w:r w:rsidRPr="00451DAA">
        <w:t>complementary works</w:t>
      </w:r>
    </w:p>
    <w:p w:rsidR="00D2065D" w:rsidRPr="00451DAA" w:rsidRDefault="00FC73E2" w:rsidP="006C28E0">
      <w:pPr>
        <w:pStyle w:val="ListBullet"/>
      </w:pPr>
      <w:r w:rsidRPr="00451DAA">
        <w:t>monitoring and evaluation of environmental outcomes.</w:t>
      </w:r>
    </w:p>
    <w:p w:rsidR="00CA097D" w:rsidRPr="00E3449A" w:rsidRDefault="00520360" w:rsidP="00C851E3">
      <w:pPr>
        <w:pStyle w:val="BodyText"/>
      </w:pPr>
      <w:r>
        <w:t xml:space="preserve">The first four of these are explored </w:t>
      </w:r>
      <w:r w:rsidR="00461FA9">
        <w:t>below</w:t>
      </w:r>
      <w:r>
        <w:t xml:space="preserve">. Issues relating to the monitoring and evaluation of environmental outcomes are explored later in this paper. </w:t>
      </w:r>
    </w:p>
    <w:p w:rsidR="00CA097D" w:rsidRDefault="00CA097D" w:rsidP="00CA097D">
      <w:pPr>
        <w:pStyle w:val="Heading4"/>
      </w:pPr>
      <w:r>
        <w:t xml:space="preserve">Environmental </w:t>
      </w:r>
      <w:r w:rsidR="00DC3605">
        <w:t>w</w:t>
      </w:r>
      <w:r>
        <w:t xml:space="preserve">ater </w:t>
      </w:r>
      <w:r w:rsidR="00DC3605">
        <w:t>p</w:t>
      </w:r>
      <w:r>
        <w:t>lanning</w:t>
      </w:r>
    </w:p>
    <w:p w:rsidR="00CA097D" w:rsidRDefault="00FB7DB2" w:rsidP="00CA097D">
      <w:pPr>
        <w:pStyle w:val="BodyText"/>
      </w:pPr>
      <w:r>
        <w:t>P</w:t>
      </w:r>
      <w:r w:rsidR="00CA097D" w:rsidRPr="004501ED">
        <w:t>rocesses to coordinate</w:t>
      </w:r>
      <w:r w:rsidR="00CA097D" w:rsidRPr="004501ED" w:rsidDel="00302BC9">
        <w:t xml:space="preserve"> </w:t>
      </w:r>
      <w:r w:rsidR="00CA097D" w:rsidRPr="004501ED">
        <w:t>planning, prioritisation and use of environmental water</w:t>
      </w:r>
      <w:r>
        <w:t xml:space="preserve"> are </w:t>
      </w:r>
      <w:r w:rsidR="00C301E5">
        <w:t xml:space="preserve">outlined in an </w:t>
      </w:r>
      <w:r w:rsidRPr="009744FA">
        <w:t>Environmental Management Framework</w:t>
      </w:r>
      <w:r w:rsidR="00C301E5" w:rsidRPr="00C301E5">
        <w:t xml:space="preserve"> </w:t>
      </w:r>
      <w:r w:rsidR="00C301E5">
        <w:t xml:space="preserve">contained in </w:t>
      </w:r>
      <w:r w:rsidR="00B37F8F">
        <w:t>c</w:t>
      </w:r>
      <w:r w:rsidR="00C301E5" w:rsidRPr="009744FA">
        <w:t>hapter</w:t>
      </w:r>
      <w:r w:rsidR="00B37F8F">
        <w:t> </w:t>
      </w:r>
      <w:r w:rsidR="00C301E5" w:rsidRPr="009744FA">
        <w:t>8 of the Basin Plan</w:t>
      </w:r>
      <w:r w:rsidR="00CA097D">
        <w:t>.</w:t>
      </w:r>
      <w:r w:rsidR="00CA097D" w:rsidRPr="009744FA">
        <w:t xml:space="preserve"> The framework </w:t>
      </w:r>
      <w:r w:rsidR="00CA097D">
        <w:t>obliges</w:t>
      </w:r>
      <w:r w:rsidR="00CA097D" w:rsidRPr="009744FA">
        <w:t xml:space="preserve"> the </w:t>
      </w:r>
      <w:proofErr w:type="spellStart"/>
      <w:r w:rsidR="00CA097D" w:rsidRPr="009744FA">
        <w:t>MDBA</w:t>
      </w:r>
      <w:proofErr w:type="spellEnd"/>
      <w:r w:rsidR="00CA097D" w:rsidRPr="009744FA">
        <w:t xml:space="preserve"> to</w:t>
      </w:r>
      <w:r w:rsidR="00CA097D">
        <w:t>:</w:t>
      </w:r>
    </w:p>
    <w:p w:rsidR="00CA097D" w:rsidRPr="00581906" w:rsidRDefault="00CA097D" w:rsidP="006C28E0">
      <w:pPr>
        <w:pStyle w:val="ListBullet"/>
      </w:pPr>
      <w:r w:rsidRPr="00581906">
        <w:lastRenderedPageBreak/>
        <w:t>prepare a Basin</w:t>
      </w:r>
      <w:r w:rsidR="00B37F8F">
        <w:noBreakHyphen/>
      </w:r>
      <w:r w:rsidRPr="00581906">
        <w:t>wide environmental watering strategy that further articulates the environmental outcomes of the Basin Plan and how these can be achieved. A strategy was first published in 2014 and must be reviewed every five years</w:t>
      </w:r>
      <w:r w:rsidR="005B3B13">
        <w:t xml:space="preserve"> </w:t>
      </w:r>
      <w:r w:rsidR="00885F6C" w:rsidRPr="00885F6C">
        <w:rPr>
          <w:szCs w:val="24"/>
        </w:rPr>
        <w:t>(</w:t>
      </w:r>
      <w:proofErr w:type="spellStart"/>
      <w:r w:rsidR="00885F6C" w:rsidRPr="00885F6C">
        <w:rPr>
          <w:szCs w:val="24"/>
        </w:rPr>
        <w:t>MDBA</w:t>
      </w:r>
      <w:proofErr w:type="spellEnd"/>
      <w:r w:rsidR="00885F6C" w:rsidRPr="00885F6C">
        <w:rPr>
          <w:szCs w:val="24"/>
        </w:rPr>
        <w:t> </w:t>
      </w:r>
      <w:proofErr w:type="spellStart"/>
      <w:r w:rsidR="00885F6C" w:rsidRPr="00885F6C">
        <w:rPr>
          <w:szCs w:val="24"/>
        </w:rPr>
        <w:t>2014a</w:t>
      </w:r>
      <w:proofErr w:type="spellEnd"/>
      <w:r w:rsidR="00885F6C" w:rsidRPr="00885F6C">
        <w:rPr>
          <w:szCs w:val="24"/>
        </w:rPr>
        <w:t>)</w:t>
      </w:r>
    </w:p>
    <w:p w:rsidR="00CA097D" w:rsidRPr="00581906" w:rsidRDefault="00CA097D" w:rsidP="006C28E0">
      <w:pPr>
        <w:pStyle w:val="ListBullet"/>
      </w:pPr>
      <w:r w:rsidRPr="00581906">
        <w:t xml:space="preserve">identify Basin annual environmental watering priorities </w:t>
      </w:r>
      <w:r w:rsidR="00885F6C" w:rsidRPr="00885F6C">
        <w:rPr>
          <w:szCs w:val="24"/>
        </w:rPr>
        <w:t>(</w:t>
      </w:r>
      <w:proofErr w:type="spellStart"/>
      <w:r w:rsidR="00885F6C" w:rsidRPr="00885F6C">
        <w:rPr>
          <w:szCs w:val="24"/>
        </w:rPr>
        <w:t>MDBA</w:t>
      </w:r>
      <w:proofErr w:type="spellEnd"/>
      <w:r w:rsidR="00885F6C" w:rsidRPr="00885F6C">
        <w:rPr>
          <w:szCs w:val="24"/>
        </w:rPr>
        <w:t> </w:t>
      </w:r>
      <w:proofErr w:type="spellStart"/>
      <w:r w:rsidR="00885F6C" w:rsidRPr="00885F6C">
        <w:rPr>
          <w:szCs w:val="24"/>
        </w:rPr>
        <w:t>2017b</w:t>
      </w:r>
      <w:proofErr w:type="spellEnd"/>
      <w:r w:rsidR="00885F6C" w:rsidRPr="00885F6C">
        <w:rPr>
          <w:szCs w:val="24"/>
        </w:rPr>
        <w:t>)</w:t>
      </w:r>
      <w:r w:rsidRPr="00581906">
        <w:t>. These must be published before the commencement of the water accounting period each year.</w:t>
      </w:r>
    </w:p>
    <w:p w:rsidR="00CA097D" w:rsidRPr="00581906" w:rsidRDefault="00CA097D" w:rsidP="00F703F3">
      <w:pPr>
        <w:pStyle w:val="BodyText"/>
      </w:pPr>
      <w:r w:rsidRPr="00581906">
        <w:t xml:space="preserve">The framework also obliges Basin States to: </w:t>
      </w:r>
    </w:p>
    <w:p w:rsidR="00CA097D" w:rsidRPr="00581906" w:rsidRDefault="00CA097D" w:rsidP="006C28E0">
      <w:pPr>
        <w:pStyle w:val="ListBullet"/>
      </w:pPr>
      <w:r w:rsidRPr="00581906">
        <w:t>prepare long</w:t>
      </w:r>
      <w:r w:rsidR="00B37F8F">
        <w:noBreakHyphen/>
      </w:r>
      <w:r w:rsidRPr="00581906">
        <w:t>term watering plans, which set long</w:t>
      </w:r>
      <w:r w:rsidR="00B37F8F">
        <w:noBreakHyphen/>
      </w:r>
      <w:r w:rsidRPr="00581906">
        <w:t xml:space="preserve">term objectives for the use of environmental water in individual </w:t>
      </w:r>
      <w:proofErr w:type="spellStart"/>
      <w:r w:rsidRPr="00581906">
        <w:t>WRP</w:t>
      </w:r>
      <w:proofErr w:type="spellEnd"/>
      <w:r w:rsidRPr="00581906">
        <w:t xml:space="preserve"> areas</w:t>
      </w:r>
      <w:r w:rsidR="004A74CF">
        <w:t xml:space="preserve"> </w:t>
      </w:r>
      <w:r w:rsidR="00334E8B">
        <w:t>— t</w:t>
      </w:r>
      <w:r w:rsidRPr="00581906">
        <w:t>hese must be reviewed and updated at least every five years</w:t>
      </w:r>
    </w:p>
    <w:p w:rsidR="00CA097D" w:rsidRPr="00581906" w:rsidRDefault="00CA097D" w:rsidP="006C28E0">
      <w:pPr>
        <w:pStyle w:val="ListBullet"/>
      </w:pPr>
      <w:r w:rsidRPr="00581906">
        <w:t>identify annual</w:t>
      </w:r>
      <w:r w:rsidR="00B910FE">
        <w:t xml:space="preserve"> </w:t>
      </w:r>
      <w:r w:rsidRPr="00581906">
        <w:t xml:space="preserve">environmental watering priorities in each </w:t>
      </w:r>
      <w:proofErr w:type="spellStart"/>
      <w:r w:rsidRPr="00581906">
        <w:t>WRP</w:t>
      </w:r>
      <w:proofErr w:type="spellEnd"/>
      <w:r w:rsidRPr="00581906">
        <w:t xml:space="preserve"> area</w:t>
      </w:r>
      <w:r w:rsidR="00334E8B">
        <w:t xml:space="preserve"> — t</w:t>
      </w:r>
      <w:r w:rsidRPr="00581906">
        <w:t xml:space="preserve">hese must be provided to the </w:t>
      </w:r>
      <w:proofErr w:type="spellStart"/>
      <w:r w:rsidRPr="00581906">
        <w:t>MDBA</w:t>
      </w:r>
      <w:proofErr w:type="spellEnd"/>
      <w:r w:rsidRPr="00581906">
        <w:t xml:space="preserve"> by 31 May each year unless otherwise agreed. </w:t>
      </w:r>
    </w:p>
    <w:p w:rsidR="00CA097D" w:rsidRDefault="00CA097D" w:rsidP="00CA097D">
      <w:pPr>
        <w:pStyle w:val="BodyText"/>
      </w:pPr>
      <w:r>
        <w:t>Long</w:t>
      </w:r>
      <w:r w:rsidR="00B37F8F">
        <w:noBreakHyphen/>
      </w:r>
      <w:r>
        <w:t>term watering plans and annual watering priorities must be consistent with the Basin</w:t>
      </w:r>
      <w:r>
        <w:noBreakHyphen/>
        <w:t>wide environmental watering strategy.</w:t>
      </w:r>
      <w:r w:rsidRPr="00A77337">
        <w:t xml:space="preserve"> </w:t>
      </w:r>
      <w:r w:rsidR="00A77337">
        <w:t xml:space="preserve">Basin States </w:t>
      </w:r>
      <w:r w:rsidR="00A74AD2">
        <w:t>have to</w:t>
      </w:r>
      <w:r w:rsidR="00A77337">
        <w:t xml:space="preserve"> submit </w:t>
      </w:r>
      <w:r w:rsidR="00A77337" w:rsidRPr="00A77337">
        <w:t>long</w:t>
      </w:r>
      <w:r w:rsidR="00B37F8F">
        <w:noBreakHyphen/>
      </w:r>
      <w:r w:rsidR="00A77337" w:rsidRPr="00A77337">
        <w:t xml:space="preserve">term watering plans </w:t>
      </w:r>
      <w:r w:rsidR="00A77337">
        <w:t xml:space="preserve">and </w:t>
      </w:r>
      <w:proofErr w:type="spellStart"/>
      <w:r w:rsidR="00A77337">
        <w:t>WRPs</w:t>
      </w:r>
      <w:proofErr w:type="spellEnd"/>
      <w:r w:rsidR="00A77337">
        <w:t xml:space="preserve"> to </w:t>
      </w:r>
      <w:r w:rsidR="00A77337" w:rsidRPr="00A77337">
        <w:t xml:space="preserve">the </w:t>
      </w:r>
      <w:proofErr w:type="spellStart"/>
      <w:r w:rsidR="00A77337">
        <w:t>MDBA</w:t>
      </w:r>
      <w:proofErr w:type="spellEnd"/>
      <w:r w:rsidR="00A77337">
        <w:t>.</w:t>
      </w:r>
      <w:r w:rsidRPr="009744FA">
        <w:t xml:space="preserve"> The </w:t>
      </w:r>
      <w:proofErr w:type="spellStart"/>
      <w:r w:rsidRPr="009744FA">
        <w:t>MDBA</w:t>
      </w:r>
      <w:proofErr w:type="spellEnd"/>
      <w:r w:rsidRPr="009744FA">
        <w:t xml:space="preserve"> is responsible for reviewing and accrediting </w:t>
      </w:r>
      <w:proofErr w:type="spellStart"/>
      <w:r>
        <w:t>WRPs</w:t>
      </w:r>
      <w:proofErr w:type="spellEnd"/>
      <w:r w:rsidR="00B847AE" w:rsidRPr="00A77337">
        <w:t xml:space="preserve">. </w:t>
      </w:r>
    </w:p>
    <w:p w:rsidR="00CA097D" w:rsidRDefault="00CA097D" w:rsidP="00CA097D">
      <w:pPr>
        <w:pStyle w:val="BodyText"/>
      </w:pPr>
      <w:r>
        <w:t>The Basin</w:t>
      </w:r>
      <w:r w:rsidR="00B37F8F">
        <w:noBreakHyphen/>
      </w:r>
      <w:r>
        <w:t>wide environmental watering strategy, long</w:t>
      </w:r>
      <w:r w:rsidR="00B37F8F">
        <w:noBreakHyphen/>
      </w:r>
      <w:r>
        <w:t>term watering plans, and annual Basin</w:t>
      </w:r>
      <w:r w:rsidR="00B37F8F">
        <w:noBreakHyphen/>
      </w:r>
      <w:r>
        <w:t xml:space="preserve">wide and state watering priorities have all been published within legislated or agreed timeframes thus far </w:t>
      </w:r>
      <w:r w:rsidR="00885F6C" w:rsidRPr="00885F6C">
        <w:rPr>
          <w:szCs w:val="24"/>
        </w:rPr>
        <w:t>(</w:t>
      </w:r>
      <w:proofErr w:type="spellStart"/>
      <w:r w:rsidR="00885F6C" w:rsidRPr="00885F6C">
        <w:rPr>
          <w:szCs w:val="24"/>
        </w:rPr>
        <w:t>MDBA</w:t>
      </w:r>
      <w:proofErr w:type="spellEnd"/>
      <w:r w:rsidR="00885F6C" w:rsidRPr="00885F6C">
        <w:rPr>
          <w:szCs w:val="24"/>
        </w:rPr>
        <w:t> </w:t>
      </w:r>
      <w:proofErr w:type="spellStart"/>
      <w:r w:rsidR="00885F6C" w:rsidRPr="00885F6C">
        <w:rPr>
          <w:szCs w:val="24"/>
        </w:rPr>
        <w:t>2017c</w:t>
      </w:r>
      <w:proofErr w:type="spellEnd"/>
      <w:r w:rsidR="00885F6C" w:rsidRPr="00885F6C">
        <w:rPr>
          <w:szCs w:val="24"/>
        </w:rPr>
        <w:t>)</w:t>
      </w:r>
      <w:r>
        <w:t xml:space="preserve">. </w:t>
      </w:r>
    </w:p>
    <w:p w:rsidR="00CA097D" w:rsidRDefault="00CA097D" w:rsidP="00CA097D">
      <w:pPr>
        <w:pStyle w:val="Heading4"/>
      </w:pPr>
      <w:r>
        <w:t>Coordination of environmental water delivery</w:t>
      </w:r>
    </w:p>
    <w:p w:rsidR="00CA097D" w:rsidRDefault="00CA097D" w:rsidP="00CA097D">
      <w:pPr>
        <w:pStyle w:val="BodyText"/>
      </w:pPr>
      <w:r w:rsidRPr="009744FA">
        <w:t xml:space="preserve">The effective </w:t>
      </w:r>
      <w:r>
        <w:t>delivery</w:t>
      </w:r>
      <w:r w:rsidRPr="009744FA">
        <w:t xml:space="preserve"> of</w:t>
      </w:r>
      <w:r w:rsidR="0087340B">
        <w:t xml:space="preserve"> </w:t>
      </w:r>
      <w:r w:rsidRPr="009744FA">
        <w:t xml:space="preserve">environmental water is a responsibility shared between the </w:t>
      </w:r>
      <w:proofErr w:type="spellStart"/>
      <w:r w:rsidRPr="009744FA">
        <w:t>MDBA</w:t>
      </w:r>
      <w:proofErr w:type="spellEnd"/>
      <w:r w:rsidRPr="009744FA">
        <w:t xml:space="preserve">, </w:t>
      </w:r>
      <w:proofErr w:type="spellStart"/>
      <w:r w:rsidRPr="009744FA">
        <w:t>CEWH</w:t>
      </w:r>
      <w:proofErr w:type="spellEnd"/>
      <w:r w:rsidRPr="009744FA">
        <w:t xml:space="preserve">, </w:t>
      </w:r>
      <w:r w:rsidR="00C07F21">
        <w:t>Australian Government</w:t>
      </w:r>
      <w:r w:rsidRPr="009744FA">
        <w:t>, and Basin States, as well as other holders of held environmental water and managers of planned environmental water</w:t>
      </w:r>
      <w:r>
        <w:t>.</w:t>
      </w:r>
    </w:p>
    <w:p w:rsidR="008C0530" w:rsidRDefault="00CA097D" w:rsidP="00CA097D">
      <w:pPr>
        <w:pStyle w:val="BodyText"/>
      </w:pPr>
      <w:r w:rsidRPr="00701A2A">
        <w:t xml:space="preserve">The </w:t>
      </w:r>
      <w:proofErr w:type="spellStart"/>
      <w:r w:rsidRPr="00701A2A">
        <w:t>CEWH</w:t>
      </w:r>
      <w:proofErr w:type="spellEnd"/>
      <w:r>
        <w:t xml:space="preserve"> manages the largest portfolio of held environmental water in the Basin. </w:t>
      </w:r>
      <w:r w:rsidRPr="009744FA">
        <w:t>Some Basin State</w:t>
      </w:r>
      <w:r w:rsidR="00B42A82">
        <w:t>s</w:t>
      </w:r>
      <w:r w:rsidRPr="009744FA">
        <w:t xml:space="preserve"> also hold water entitlements for environmental use, and/or manage </w:t>
      </w:r>
      <w:r w:rsidR="005E28B1">
        <w:t>Australian</w:t>
      </w:r>
      <w:r w:rsidR="005E28B1" w:rsidRPr="009744FA">
        <w:t xml:space="preserve"> </w:t>
      </w:r>
      <w:r w:rsidRPr="009744FA">
        <w:t xml:space="preserve">Government holdings. </w:t>
      </w:r>
      <w:r w:rsidRPr="00D94D8E">
        <w:t xml:space="preserve">The </w:t>
      </w:r>
      <w:proofErr w:type="spellStart"/>
      <w:r w:rsidRPr="00D94D8E">
        <w:t>MDBA</w:t>
      </w:r>
      <w:proofErr w:type="spellEnd"/>
      <w:r w:rsidRPr="00D94D8E">
        <w:t xml:space="preserve"> manag</w:t>
      </w:r>
      <w:r>
        <w:t>es</w:t>
      </w:r>
      <w:r w:rsidRPr="00D94D8E">
        <w:t xml:space="preserve"> some held environmental water through </w:t>
      </w:r>
      <w:r w:rsidR="008476B5">
        <w:t>T</w:t>
      </w:r>
      <w:r w:rsidRPr="00D94D8E">
        <w:t>he Living</w:t>
      </w:r>
      <w:r w:rsidRPr="009744FA">
        <w:t xml:space="preserve"> Murray </w:t>
      </w:r>
      <w:r w:rsidR="008476B5">
        <w:t>p</w:t>
      </w:r>
      <w:r w:rsidRPr="009744FA">
        <w:t>rogram.</w:t>
      </w:r>
    </w:p>
    <w:p w:rsidR="00CA097D" w:rsidRPr="006B08C9" w:rsidRDefault="007924A4" w:rsidP="00CA097D">
      <w:pPr>
        <w:pStyle w:val="BodyText"/>
      </w:pPr>
      <w:r>
        <w:t xml:space="preserve">The Water Act requires the </w:t>
      </w:r>
      <w:proofErr w:type="spellStart"/>
      <w:r>
        <w:t>CEWH</w:t>
      </w:r>
      <w:proofErr w:type="spellEnd"/>
      <w:r>
        <w:t xml:space="preserve"> to manage its environmental water holdings in accordance with the Basin</w:t>
      </w:r>
      <w:r w:rsidR="00B37F8F">
        <w:noBreakHyphen/>
      </w:r>
      <w:r>
        <w:t>wide environmental watering strategy</w:t>
      </w:r>
      <w:r w:rsidR="00B87DA0">
        <w:t xml:space="preserve">, </w:t>
      </w:r>
      <w:r w:rsidR="00DC710E">
        <w:t>while</w:t>
      </w:r>
      <w:r w:rsidR="00B87DA0">
        <w:t xml:space="preserve"> the Basin Plan requires </w:t>
      </w:r>
      <w:r w:rsidR="00DC710E">
        <w:t>all</w:t>
      </w:r>
      <w:r w:rsidR="00B87DA0">
        <w:t xml:space="preserve"> environmental </w:t>
      </w:r>
      <w:r w:rsidR="00DC710E">
        <w:t>water holders</w:t>
      </w:r>
      <w:r w:rsidR="00B87DA0">
        <w:t xml:space="preserve"> to </w:t>
      </w:r>
      <w:r w:rsidR="00E978DD">
        <w:t>operate</w:t>
      </w:r>
      <w:r w:rsidR="00B87DA0">
        <w:t xml:space="preserve"> in accordance with the Basin annual environmental watering priorities</w:t>
      </w:r>
      <w:r>
        <w:t>.</w:t>
      </w:r>
      <w:r w:rsidR="00B87DA0">
        <w:t xml:space="preserve"> </w:t>
      </w:r>
      <w:r w:rsidR="00B87DA0" w:rsidRPr="00B87DA0">
        <w:t xml:space="preserve">If environmental watering </w:t>
      </w:r>
      <w:r w:rsidR="00DC710E">
        <w:t>is undertaken</w:t>
      </w:r>
      <w:r w:rsidR="00B87DA0" w:rsidRPr="00B87DA0">
        <w:t xml:space="preserve"> other than in accordance with the Basin annual environmental watering priorities, </w:t>
      </w:r>
      <w:r w:rsidR="00105225">
        <w:t xml:space="preserve">a statement </w:t>
      </w:r>
      <w:r w:rsidR="00B87DA0" w:rsidRPr="00B87DA0">
        <w:t xml:space="preserve">must </w:t>
      </w:r>
      <w:r w:rsidR="00105225">
        <w:t>be provided</w:t>
      </w:r>
      <w:r w:rsidR="00B87DA0" w:rsidRPr="00B87DA0">
        <w:t xml:space="preserve"> to the </w:t>
      </w:r>
      <w:proofErr w:type="spellStart"/>
      <w:r w:rsidR="008C0530">
        <w:t>MDBA</w:t>
      </w:r>
      <w:proofErr w:type="spellEnd"/>
      <w:r w:rsidR="00B87DA0" w:rsidRPr="00B87DA0">
        <w:t xml:space="preserve"> </w:t>
      </w:r>
      <w:r w:rsidR="00105225">
        <w:t>outlining the</w:t>
      </w:r>
      <w:r w:rsidR="00B87DA0" w:rsidRPr="00B87DA0">
        <w:t xml:space="preserve"> reasons why</w:t>
      </w:r>
      <w:r w:rsidR="00400107">
        <w:t>,</w:t>
      </w:r>
      <w:r w:rsidR="00B87DA0">
        <w:t xml:space="preserve"> </w:t>
      </w:r>
      <w:r w:rsidR="00B87DA0" w:rsidRPr="00B87DA0">
        <w:t xml:space="preserve">within </w:t>
      </w:r>
      <w:r w:rsidR="00890026">
        <w:t>four</w:t>
      </w:r>
      <w:r w:rsidR="00B87DA0" w:rsidRPr="00B87DA0">
        <w:t xml:space="preserve"> months </w:t>
      </w:r>
      <w:r w:rsidR="00890026">
        <w:t>of</w:t>
      </w:r>
      <w:r w:rsidR="00B87DA0" w:rsidRPr="00B87DA0">
        <w:t xml:space="preserve"> the end of </w:t>
      </w:r>
      <w:r w:rsidR="00890026">
        <w:t>that</w:t>
      </w:r>
      <w:r w:rsidR="00B87DA0" w:rsidRPr="00B87DA0">
        <w:t xml:space="preserve"> water accounting period.</w:t>
      </w:r>
    </w:p>
    <w:p w:rsidR="00122C83" w:rsidRDefault="00122C83">
      <w:pPr>
        <w:rPr>
          <w:szCs w:val="20"/>
        </w:rPr>
      </w:pPr>
      <w:r>
        <w:br w:type="page"/>
      </w:r>
    </w:p>
    <w:p w:rsidR="00CA097D" w:rsidRDefault="00CA097D" w:rsidP="00CA097D">
      <w:pPr>
        <w:pStyle w:val="BodyText"/>
      </w:pPr>
      <w:r w:rsidRPr="009744FA">
        <w:lastRenderedPageBreak/>
        <w:t xml:space="preserve">State environmental water holders </w:t>
      </w:r>
      <w:r>
        <w:t>and</w:t>
      </w:r>
      <w:r w:rsidRPr="009744FA">
        <w:t xml:space="preserve"> the </w:t>
      </w:r>
      <w:proofErr w:type="spellStart"/>
      <w:r w:rsidRPr="009744FA">
        <w:t>CEWH</w:t>
      </w:r>
      <w:proofErr w:type="spellEnd"/>
      <w:r w:rsidRPr="009744FA">
        <w:t xml:space="preserve"> </w:t>
      </w:r>
      <w:r>
        <w:t xml:space="preserve">coordinate </w:t>
      </w:r>
      <w:r w:rsidRPr="009744FA">
        <w:t xml:space="preserve">decisions regarding the use of </w:t>
      </w:r>
      <w:r>
        <w:t xml:space="preserve">planned and held </w:t>
      </w:r>
      <w:r w:rsidRPr="009744FA">
        <w:t>environmental water</w:t>
      </w:r>
      <w:r>
        <w:t>, guided by the key planning documents outlined above</w:t>
      </w:r>
      <w:r w:rsidRPr="009744FA">
        <w:t>. Water is delivered in collaboration with river operators, waterway managers, non</w:t>
      </w:r>
      <w:r w:rsidR="00B37F8F">
        <w:noBreakHyphen/>
      </w:r>
      <w:r w:rsidRPr="009744FA">
        <w:t xml:space="preserve">government organisations and communities. </w:t>
      </w:r>
    </w:p>
    <w:p w:rsidR="00CA097D" w:rsidRDefault="00CA097D" w:rsidP="00CA097D">
      <w:pPr>
        <w:pStyle w:val="Heading4"/>
      </w:pPr>
      <w:r>
        <w:t xml:space="preserve">Prerequisite </w:t>
      </w:r>
      <w:r w:rsidR="00E120C7">
        <w:t>P</w:t>
      </w:r>
      <w:r>
        <w:t xml:space="preserve">olicy </w:t>
      </w:r>
      <w:r w:rsidR="00E120C7">
        <w:t>M</w:t>
      </w:r>
      <w:r>
        <w:t>easures</w:t>
      </w:r>
    </w:p>
    <w:p w:rsidR="00B65E92" w:rsidRDefault="00CA097D" w:rsidP="00CA097D">
      <w:pPr>
        <w:spacing w:before="240" w:line="300" w:lineRule="atLeast"/>
        <w:jc w:val="both"/>
      </w:pPr>
      <w:r>
        <w:t xml:space="preserve">Achievement </w:t>
      </w:r>
      <w:r w:rsidRPr="00AC6A6B">
        <w:t xml:space="preserve">of </w:t>
      </w:r>
      <w:r>
        <w:t xml:space="preserve">the Basin Plan’s </w:t>
      </w:r>
      <w:r w:rsidRPr="00AC6A6B">
        <w:t xml:space="preserve">environmental </w:t>
      </w:r>
      <w:r>
        <w:t xml:space="preserve">objectives through the </w:t>
      </w:r>
      <w:r w:rsidRPr="00C851E3">
        <w:t xml:space="preserve">use of held and planned water </w:t>
      </w:r>
      <w:r w:rsidRPr="00AC6A6B">
        <w:t xml:space="preserve">is dependent on </w:t>
      </w:r>
      <w:r w:rsidR="00892FEB">
        <w:t xml:space="preserve">Basin </w:t>
      </w:r>
      <w:r>
        <w:t>S</w:t>
      </w:r>
      <w:r w:rsidRPr="00AC6A6B">
        <w:t>tate</w:t>
      </w:r>
      <w:r w:rsidR="00892FEB">
        <w:t>s</w:t>
      </w:r>
      <w:r w:rsidRPr="00AC6A6B">
        <w:t xml:space="preserve"> implementing </w:t>
      </w:r>
      <w:r w:rsidR="00C07F21">
        <w:t xml:space="preserve">the </w:t>
      </w:r>
      <w:r w:rsidR="00E73908" w:rsidRPr="00E73908">
        <w:t xml:space="preserve">Prerequisite </w:t>
      </w:r>
      <w:r w:rsidR="00E73908">
        <w:t>Policy M</w:t>
      </w:r>
      <w:r w:rsidR="00E73908" w:rsidRPr="00E73908">
        <w:t xml:space="preserve">easures </w:t>
      </w:r>
      <w:r w:rsidR="00E73908">
        <w:t>(</w:t>
      </w:r>
      <w:proofErr w:type="spellStart"/>
      <w:r w:rsidRPr="00AC6A6B">
        <w:t>PPMs</w:t>
      </w:r>
      <w:proofErr w:type="spellEnd"/>
      <w:r w:rsidR="00E73908">
        <w:t>)</w:t>
      </w:r>
      <w:r w:rsidRPr="00AC6A6B">
        <w:t xml:space="preserve"> outlined in the Basin Plan by 30</w:t>
      </w:r>
      <w:r>
        <w:t> </w:t>
      </w:r>
      <w:r w:rsidRPr="00AC6A6B">
        <w:t>June</w:t>
      </w:r>
      <w:r w:rsidR="00B37F8F">
        <w:t xml:space="preserve"> </w:t>
      </w:r>
      <w:r w:rsidRPr="00AC6A6B">
        <w:t>2</w:t>
      </w:r>
      <w:r>
        <w:t xml:space="preserve">019. </w:t>
      </w:r>
      <w:proofErr w:type="spellStart"/>
      <w:r w:rsidR="00FF24D9">
        <w:t>PPMs</w:t>
      </w:r>
      <w:proofErr w:type="spellEnd"/>
      <w:r>
        <w:t xml:space="preserve"> promote</w:t>
      </w:r>
      <w:r w:rsidRPr="00AC6A6B">
        <w:t xml:space="preserve"> efficient use of environmental water by</w:t>
      </w:r>
      <w:r w:rsidR="00B65E92">
        <w:t>:</w:t>
      </w:r>
    </w:p>
    <w:p w:rsidR="00B65E92" w:rsidRPr="00E40973" w:rsidRDefault="00496626" w:rsidP="006C28E0">
      <w:pPr>
        <w:pStyle w:val="ListBullet"/>
      </w:pPr>
      <w:r w:rsidRPr="00E40973">
        <w:t>ensuring it is protected in</w:t>
      </w:r>
      <w:r w:rsidR="00B37F8F">
        <w:noBreakHyphen/>
      </w:r>
      <w:r w:rsidRPr="00E40973">
        <w:t>stream (‘shepherding’)</w:t>
      </w:r>
    </w:p>
    <w:p w:rsidR="00B65E92" w:rsidRPr="00E40973" w:rsidRDefault="00CA097D" w:rsidP="006C28E0">
      <w:pPr>
        <w:pStyle w:val="ListBullet"/>
      </w:pPr>
      <w:r w:rsidRPr="00E40973">
        <w:t>allowing environmental water users to be credited for return environmental flows</w:t>
      </w:r>
    </w:p>
    <w:p w:rsidR="00CA097D" w:rsidRPr="00E40973" w:rsidRDefault="00BC7C40" w:rsidP="006C28E0">
      <w:pPr>
        <w:pStyle w:val="ListBullet"/>
      </w:pPr>
      <w:r w:rsidRPr="00E40973">
        <w:t xml:space="preserve">allowing environmental water users </w:t>
      </w:r>
      <w:r w:rsidR="00CA097D" w:rsidRPr="00E40973">
        <w:t>to release held environmental water from dams to complement natural flow events</w:t>
      </w:r>
      <w:r w:rsidR="00B42A82" w:rsidRPr="00E40973">
        <w:t xml:space="preserve"> (‘piggy</w:t>
      </w:r>
      <w:r w:rsidR="00B42A82" w:rsidRPr="00E40973">
        <w:noBreakHyphen/>
        <w:t>backing’)</w:t>
      </w:r>
      <w:r w:rsidR="00CA097D" w:rsidRPr="00E40973">
        <w:t>.</w:t>
      </w:r>
    </w:p>
    <w:p w:rsidR="00CA097D" w:rsidRDefault="008E6961" w:rsidP="00CA097D">
      <w:pPr>
        <w:spacing w:before="240" w:line="300" w:lineRule="atLeast"/>
        <w:jc w:val="both"/>
      </w:pPr>
      <w:r>
        <w:t>T</w:t>
      </w:r>
      <w:r w:rsidR="00CA097D">
        <w:t>he hydrological modelling underpinning the Basin Plan</w:t>
      </w:r>
      <w:r w:rsidRPr="008E6961">
        <w:t xml:space="preserve"> </w:t>
      </w:r>
      <w:r>
        <w:t xml:space="preserve">assumes that </w:t>
      </w:r>
      <w:proofErr w:type="spellStart"/>
      <w:r>
        <w:t>PPMs</w:t>
      </w:r>
      <w:proofErr w:type="spellEnd"/>
      <w:r>
        <w:t xml:space="preserve"> are all fully implemented</w:t>
      </w:r>
      <w:r w:rsidR="00E73D2C">
        <w:t xml:space="preserve">. </w:t>
      </w:r>
      <w:proofErr w:type="spellStart"/>
      <w:r w:rsidR="00E73D2C">
        <w:t>PPMs</w:t>
      </w:r>
      <w:proofErr w:type="spellEnd"/>
      <w:r w:rsidR="00F10266">
        <w:t xml:space="preserve"> are therefore critical to achieving the environmental outcomes specified by the Plan. If</w:t>
      </w:r>
      <w:r w:rsidR="00953940">
        <w:t xml:space="preserve"> </w:t>
      </w:r>
      <w:r w:rsidR="00CA097D">
        <w:t>the</w:t>
      </w:r>
      <w:r w:rsidR="00E73D2C">
        <w:t>y</w:t>
      </w:r>
      <w:r w:rsidR="00CA097D">
        <w:t xml:space="preserve"> are not implemented, the ability to achieve the environmental objectives of the Basin Plan may be compromised. </w:t>
      </w:r>
    </w:p>
    <w:p w:rsidR="00CA097D" w:rsidRPr="00B36A3D" w:rsidRDefault="00B42A82" w:rsidP="00CA097D">
      <w:pPr>
        <w:pStyle w:val="BodyText"/>
      </w:pPr>
      <w:r>
        <w:t>Basin States</w:t>
      </w:r>
      <w:r w:rsidR="00CA097D" w:rsidRPr="00BF5268">
        <w:t xml:space="preserve"> have submitted their plans for implementing </w:t>
      </w:r>
      <w:proofErr w:type="spellStart"/>
      <w:r w:rsidR="00CA097D" w:rsidRPr="00BF5268">
        <w:t>PPMs</w:t>
      </w:r>
      <w:proofErr w:type="spellEnd"/>
      <w:r w:rsidR="00CA097D" w:rsidRPr="00BF5268">
        <w:t xml:space="preserve"> and these have all been approved by the </w:t>
      </w:r>
      <w:proofErr w:type="spellStart"/>
      <w:r w:rsidR="00CA097D" w:rsidRPr="00BF5268">
        <w:t>MDBA</w:t>
      </w:r>
      <w:proofErr w:type="spellEnd"/>
      <w:r w:rsidR="00CA097D" w:rsidRPr="00BF5268">
        <w:t xml:space="preserve">. </w:t>
      </w:r>
      <w:r w:rsidR="00CA097D">
        <w:t xml:space="preserve">In its </w:t>
      </w:r>
      <w:r w:rsidR="00CA097D" w:rsidRPr="00BF5268">
        <w:t>2017 Basin Plan Evaluation</w:t>
      </w:r>
      <w:r w:rsidR="00CA097D">
        <w:t xml:space="preserve"> report,</w:t>
      </w:r>
      <w:r w:rsidR="00CA097D" w:rsidRPr="00BF5268">
        <w:t xml:space="preserve"> </w:t>
      </w:r>
      <w:r w:rsidR="00CA097D">
        <w:t>t</w:t>
      </w:r>
      <w:r w:rsidR="00CA097D" w:rsidRPr="00BF5268">
        <w:t>he</w:t>
      </w:r>
      <w:r w:rsidR="00CA097D">
        <w:t xml:space="preserve"> </w:t>
      </w:r>
      <w:proofErr w:type="spellStart"/>
      <w:r w:rsidR="00CA097D">
        <w:t>MDBA</w:t>
      </w:r>
      <w:proofErr w:type="spellEnd"/>
      <w:r w:rsidR="00CA097D">
        <w:t xml:space="preserve"> </w:t>
      </w:r>
      <w:r w:rsidR="00885F6C" w:rsidRPr="00885F6C">
        <w:t>(</w:t>
      </w:r>
      <w:proofErr w:type="spellStart"/>
      <w:r w:rsidR="00885F6C" w:rsidRPr="00885F6C">
        <w:t>2017c</w:t>
      </w:r>
      <w:proofErr w:type="spellEnd"/>
      <w:r w:rsidR="00885F6C" w:rsidRPr="00885F6C">
        <w:t>)</w:t>
      </w:r>
      <w:r w:rsidR="00CA097D">
        <w:t xml:space="preserve"> emphasised</w:t>
      </w:r>
      <w:r w:rsidR="00CA097D" w:rsidRPr="00BF5268">
        <w:t xml:space="preserve"> the importance of implementing</w:t>
      </w:r>
      <w:r w:rsidR="00CA097D">
        <w:t xml:space="preserve"> </w:t>
      </w:r>
      <w:proofErr w:type="spellStart"/>
      <w:r w:rsidR="00CA097D" w:rsidRPr="00BF5268">
        <w:t>PPMs</w:t>
      </w:r>
      <w:proofErr w:type="spellEnd"/>
      <w:r w:rsidR="00CA097D">
        <w:t xml:space="preserve"> within the legislated timeframe.</w:t>
      </w:r>
      <w:r w:rsidR="00CA097D" w:rsidRPr="00BF5268">
        <w:t xml:space="preserve"> </w:t>
      </w:r>
      <w:r w:rsidR="00CA097D">
        <w:t>I</w:t>
      </w:r>
      <w:r w:rsidR="00CA097D" w:rsidRPr="00BF5268">
        <w:t xml:space="preserve">t is unclear whether </w:t>
      </w:r>
      <w:r w:rsidR="00CA097D">
        <w:t>Basin States are</w:t>
      </w:r>
      <w:r w:rsidR="00CA097D" w:rsidRPr="00BF5268">
        <w:t xml:space="preserve"> on track to </w:t>
      </w:r>
      <w:r w:rsidR="00CA097D">
        <w:t>meet this deadline</w:t>
      </w:r>
      <w:r w:rsidR="00CA097D" w:rsidRPr="00BF5268">
        <w:t>.</w:t>
      </w:r>
    </w:p>
    <w:p w:rsidR="00CA097D" w:rsidRPr="006C28E0" w:rsidRDefault="00CA097D" w:rsidP="006C28E0">
      <w:pPr>
        <w:pStyle w:val="Heading4"/>
      </w:pPr>
      <w:r w:rsidRPr="006C28E0">
        <w:t>Complementary works</w:t>
      </w:r>
    </w:p>
    <w:p w:rsidR="00382847" w:rsidRDefault="00382847" w:rsidP="00382847">
      <w:pPr>
        <w:pStyle w:val="BodyText"/>
      </w:pPr>
      <w:r>
        <w:t xml:space="preserve">Achievement </w:t>
      </w:r>
      <w:r w:rsidRPr="00AC6A6B">
        <w:t xml:space="preserve">of </w:t>
      </w:r>
      <w:r>
        <w:t xml:space="preserve">the Basin Plan’s </w:t>
      </w:r>
      <w:r w:rsidRPr="00AC6A6B">
        <w:t xml:space="preserve">environmental </w:t>
      </w:r>
      <w:r>
        <w:t>objectives depends not only on the use of held and planned water but also on the environmental management regimes for the rivers and wetlands of the Basin. These include the undertaking of complementary works</w:t>
      </w:r>
      <w:r w:rsidR="002C7FD4">
        <w:t>,</w:t>
      </w:r>
      <w:r>
        <w:t xml:space="preserve"> including</w:t>
      </w:r>
      <w:r w:rsidR="00B910FE">
        <w:t xml:space="preserve"> </w:t>
      </w:r>
      <w:r w:rsidRPr="00520D3D">
        <w:t>habitat restoration</w:t>
      </w:r>
      <w:r>
        <w:t>,</w:t>
      </w:r>
      <w:r w:rsidRPr="00520D3D">
        <w:t xml:space="preserve"> </w:t>
      </w:r>
      <w:r>
        <w:t>the management of pest species,</w:t>
      </w:r>
      <w:r w:rsidRPr="00520D3D">
        <w:t xml:space="preserve"> water quality improvement</w:t>
      </w:r>
      <w:r>
        <w:t xml:space="preserve"> and land and catchment management. These actions sit outside the Basin Plan and are undertaken within natural resource management programs. The integration of environmental watering and these programs is critical to the achievement of environmental outcomes.</w:t>
      </w:r>
    </w:p>
    <w:p w:rsidR="00CA097D" w:rsidRPr="004E3B94" w:rsidRDefault="00CA097D" w:rsidP="00CA097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723E69" w:rsidRPr="009744FA" w:rsidTr="00563B55">
        <w:trPr>
          <w:tblHeader/>
        </w:trPr>
        <w:tc>
          <w:tcPr>
            <w:tcW w:w="5000" w:type="pct"/>
            <w:tcBorders>
              <w:top w:val="single" w:sz="6" w:space="0" w:color="78A22F"/>
              <w:left w:val="nil"/>
              <w:bottom w:val="nil"/>
              <w:right w:val="nil"/>
            </w:tcBorders>
            <w:shd w:val="clear" w:color="auto" w:fill="auto"/>
          </w:tcPr>
          <w:p w:rsidR="00723E69" w:rsidRPr="00EC64F2" w:rsidRDefault="00723E69" w:rsidP="002232DC">
            <w:pPr>
              <w:pStyle w:val="InformationRequestTitle"/>
              <w:spacing w:before="120"/>
            </w:pPr>
            <w:r w:rsidRPr="00EC64F2">
              <w:t xml:space="preserve">Information request </w:t>
            </w:r>
            <w:r w:rsidR="001C5326">
              <w:t>8</w:t>
            </w:r>
          </w:p>
        </w:tc>
      </w:tr>
      <w:tr w:rsidR="00CA097D" w:rsidTr="00563B55">
        <w:trPr>
          <w:cantSplit/>
          <w:tblHeader/>
        </w:trPr>
        <w:tc>
          <w:tcPr>
            <w:tcW w:w="5000" w:type="pct"/>
            <w:tcBorders>
              <w:top w:val="nil"/>
              <w:left w:val="nil"/>
              <w:bottom w:val="nil"/>
              <w:right w:val="nil"/>
            </w:tcBorders>
            <w:shd w:val="clear" w:color="auto" w:fill="auto"/>
          </w:tcPr>
          <w:p w:rsidR="00CA097D" w:rsidRPr="00B66836" w:rsidRDefault="00CA097D" w:rsidP="00CA097D">
            <w:pPr>
              <w:pStyle w:val="InformationRequest"/>
            </w:pPr>
            <w:r w:rsidRPr="009744FA">
              <w:t>The Commission is seeking information on:</w:t>
            </w:r>
            <w:r>
              <w:t xml:space="preserve"> </w:t>
            </w:r>
          </w:p>
          <w:p w:rsidR="00CA097D" w:rsidRDefault="00CA097D" w:rsidP="00876954">
            <w:pPr>
              <w:pStyle w:val="InformationRequestBullet"/>
              <w:numPr>
                <w:ilvl w:val="0"/>
                <w:numId w:val="29"/>
              </w:numPr>
            </w:pPr>
            <w:r>
              <w:t>how environmental water planning under the Environmental Management Framework is, or is not, facilitating achievement of the Basin Plan’s environmental objectives</w:t>
            </w:r>
            <w:r w:rsidR="00FA3A52">
              <w:t xml:space="preserve"> within legislated timeframes</w:t>
            </w:r>
            <w:r>
              <w:t>, and what improvements should be made.</w:t>
            </w:r>
          </w:p>
          <w:p w:rsidR="00CA097D" w:rsidRDefault="00CA097D" w:rsidP="00876954">
            <w:pPr>
              <w:pStyle w:val="InformationRequestBullet"/>
              <w:numPr>
                <w:ilvl w:val="0"/>
                <w:numId w:val="29"/>
              </w:numPr>
            </w:pPr>
            <w:r>
              <w:t>how effective and efficient the delivery of environmental water is — including through coordination among owners of held environmental water, managers of planned environmental water and other stakeholders — and how any barriers could be reduced</w:t>
            </w:r>
          </w:p>
          <w:p w:rsidR="007512BB" w:rsidRDefault="00916DEC" w:rsidP="00876954">
            <w:pPr>
              <w:pStyle w:val="InformationRequestBullet"/>
              <w:numPr>
                <w:ilvl w:val="0"/>
                <w:numId w:val="29"/>
              </w:numPr>
            </w:pPr>
            <w:r w:rsidRPr="00916DEC">
              <w:t xml:space="preserve">whether </w:t>
            </w:r>
            <w:r>
              <w:t xml:space="preserve">Australian and </w:t>
            </w:r>
            <w:r w:rsidR="0022103F">
              <w:t>State</w:t>
            </w:r>
            <w:r w:rsidR="0022103F" w:rsidDel="00916DEC">
              <w:t xml:space="preserve"> </w:t>
            </w:r>
            <w:r>
              <w:t>G</w:t>
            </w:r>
            <w:r w:rsidRPr="00916DEC">
              <w:t xml:space="preserve">overnment objectives for </w:t>
            </w:r>
            <w:r>
              <w:t xml:space="preserve">the </w:t>
            </w:r>
            <w:r w:rsidRPr="00916DEC">
              <w:t xml:space="preserve">delivery of environmental water align, </w:t>
            </w:r>
            <w:r>
              <w:t xml:space="preserve">any examples of where this has not been the case, </w:t>
            </w:r>
            <w:r w:rsidRPr="00916DEC">
              <w:t xml:space="preserve">and how differences </w:t>
            </w:r>
            <w:r w:rsidR="0022103F">
              <w:t>are resolved through the Environmental Management Framework</w:t>
            </w:r>
          </w:p>
          <w:p w:rsidR="00CA097D" w:rsidRDefault="00CA097D" w:rsidP="00876954">
            <w:pPr>
              <w:pStyle w:val="InformationRequestBullet"/>
              <w:numPr>
                <w:ilvl w:val="0"/>
                <w:numId w:val="29"/>
              </w:numPr>
            </w:pPr>
            <w:r>
              <w:t xml:space="preserve">the extent to which </w:t>
            </w:r>
            <w:r w:rsidR="00E120C7">
              <w:t>the P</w:t>
            </w:r>
            <w:r>
              <w:t xml:space="preserve">rerequisite </w:t>
            </w:r>
            <w:r w:rsidR="00E120C7">
              <w:t>P</w:t>
            </w:r>
            <w:r>
              <w:t xml:space="preserve">olicy </w:t>
            </w:r>
            <w:r w:rsidR="00E120C7">
              <w:t>M</w:t>
            </w:r>
            <w:r>
              <w:t>easures (</w:t>
            </w:r>
            <w:proofErr w:type="spellStart"/>
            <w:r>
              <w:t>PPMs</w:t>
            </w:r>
            <w:proofErr w:type="spellEnd"/>
            <w:r>
              <w:t>) assumed to exist under the Basin Plan will be in place by the target date of 30</w:t>
            </w:r>
            <w:r w:rsidR="00B37F8F">
              <w:t> </w:t>
            </w:r>
            <w:r>
              <w:t xml:space="preserve">June 2019, so that the Plan’s environmental objectives can be achieved under the </w:t>
            </w:r>
            <w:proofErr w:type="spellStart"/>
            <w:r>
              <w:t>SDLs</w:t>
            </w:r>
            <w:proofErr w:type="spellEnd"/>
            <w:r>
              <w:t xml:space="preserve"> agreed by governments, and how any identified concerns should be addressed</w:t>
            </w:r>
          </w:p>
          <w:p w:rsidR="00CA097D" w:rsidRPr="007F0110" w:rsidRDefault="009D63EC" w:rsidP="00876954">
            <w:pPr>
              <w:pStyle w:val="InformationRequestBullet"/>
              <w:numPr>
                <w:ilvl w:val="0"/>
                <w:numId w:val="29"/>
              </w:numPr>
            </w:pPr>
            <w:r w:rsidRPr="009D63EC">
              <w:t xml:space="preserve">any opportunities to better </w:t>
            </w:r>
            <w:r w:rsidR="00980015">
              <w:t>integrate environmental water planning and management with natural resource management programs and complementary works to facilitate achievement of the Basin Plan’s environmental objectives.</w:t>
            </w:r>
          </w:p>
        </w:tc>
      </w:tr>
      <w:tr w:rsidR="00CA097D" w:rsidTr="00563B55">
        <w:tc>
          <w:tcPr>
            <w:tcW w:w="5000" w:type="pct"/>
            <w:tcBorders>
              <w:top w:val="nil"/>
              <w:left w:val="nil"/>
              <w:bottom w:val="single" w:sz="6" w:space="0" w:color="78A22F"/>
              <w:right w:val="nil"/>
            </w:tcBorders>
            <w:shd w:val="clear" w:color="auto" w:fill="auto"/>
          </w:tcPr>
          <w:p w:rsidR="00CA097D" w:rsidRDefault="00CA097D" w:rsidP="00CA097D">
            <w:pPr>
              <w:pStyle w:val="Space"/>
              <w:keepLines/>
            </w:pPr>
          </w:p>
        </w:tc>
      </w:tr>
      <w:tr w:rsidR="00CA097D" w:rsidRPr="000863A5" w:rsidTr="00563B55">
        <w:tc>
          <w:tcPr>
            <w:tcW w:w="5000" w:type="pct"/>
            <w:tcBorders>
              <w:top w:val="single" w:sz="6" w:space="0" w:color="78A22F"/>
              <w:left w:val="nil"/>
              <w:bottom w:val="nil"/>
              <w:right w:val="nil"/>
            </w:tcBorders>
          </w:tcPr>
          <w:p w:rsidR="00CA097D" w:rsidRPr="00626D32" w:rsidRDefault="00CA097D" w:rsidP="00CA097D">
            <w:pPr>
              <w:pStyle w:val="BoxSpaceBelow"/>
              <w:keepLines/>
            </w:pPr>
          </w:p>
        </w:tc>
      </w:tr>
    </w:tbl>
    <w:p w:rsidR="00213FF3" w:rsidRPr="009744FA" w:rsidRDefault="00213FF3" w:rsidP="00077738">
      <w:pPr>
        <w:pStyle w:val="Heading3"/>
        <w:spacing w:before="360"/>
      </w:pPr>
      <w:r w:rsidRPr="009744FA">
        <w:t xml:space="preserve">Water quality and salinity management </w:t>
      </w:r>
    </w:p>
    <w:p w:rsidR="00244B15" w:rsidRDefault="009A1471" w:rsidP="00244B15">
      <w:pPr>
        <w:pStyle w:val="BodyText"/>
      </w:pPr>
      <w:r>
        <w:t>Maintaining the quality of Basin water is crucial for a healthy environment, farming, industries, human consumption, recreation and cultural needs.</w:t>
      </w:r>
      <w:r w:rsidR="00AE5556">
        <w:t xml:space="preserve"> </w:t>
      </w:r>
      <w:r w:rsidR="00244B15">
        <w:t>Threats to water quality include high salinity, blue</w:t>
      </w:r>
      <w:r w:rsidR="00B37F8F">
        <w:noBreakHyphen/>
      </w:r>
      <w:r w:rsidR="00244B15">
        <w:t xml:space="preserve">green algae blooms, low dissolved oxygen (including </w:t>
      </w:r>
      <w:proofErr w:type="spellStart"/>
      <w:r w:rsidR="00244B15">
        <w:t>blackwater</w:t>
      </w:r>
      <w:proofErr w:type="spellEnd"/>
      <w:r w:rsidR="00244B15">
        <w:t>)</w:t>
      </w:r>
      <w:r w:rsidR="00E120C7">
        <w:t>,</w:t>
      </w:r>
      <w:r w:rsidR="00244B15">
        <w:t xml:space="preserve"> suspended matter, nutrient deposits and toxicants.</w:t>
      </w:r>
    </w:p>
    <w:p w:rsidR="00213FF3" w:rsidRDefault="009A1471" w:rsidP="00AE5556">
      <w:pPr>
        <w:pStyle w:val="BodyText"/>
      </w:pPr>
      <w:r w:rsidRPr="009744FA">
        <w:t>The Basin Plan build</w:t>
      </w:r>
      <w:r>
        <w:t>s</w:t>
      </w:r>
      <w:r w:rsidRPr="009744FA">
        <w:t xml:space="preserve"> on decades of collaborative work </w:t>
      </w:r>
      <w:r>
        <w:t xml:space="preserve">by Basin </w:t>
      </w:r>
      <w:r w:rsidR="00631068">
        <w:t>States</w:t>
      </w:r>
      <w:r w:rsidR="00631068" w:rsidRPr="009744FA">
        <w:t xml:space="preserve"> </w:t>
      </w:r>
      <w:r w:rsidRPr="009744FA">
        <w:t xml:space="preserve">to manage </w:t>
      </w:r>
      <w:r>
        <w:t>water quality</w:t>
      </w:r>
      <w:r w:rsidR="00244B15">
        <w:t>, particularly salinity</w:t>
      </w:r>
      <w:r>
        <w:t xml:space="preserve">. </w:t>
      </w:r>
      <w:r w:rsidR="00AE5556">
        <w:t>It contains</w:t>
      </w:r>
      <w:r w:rsidR="00213FF3">
        <w:t xml:space="preserve"> </w:t>
      </w:r>
      <w:r w:rsidR="00213FF3" w:rsidRPr="009744FA">
        <w:t xml:space="preserve">specific objectives </w:t>
      </w:r>
      <w:r w:rsidR="0033457E">
        <w:t xml:space="preserve">so </w:t>
      </w:r>
      <w:r w:rsidR="00213FF3">
        <w:t>that</w:t>
      </w:r>
      <w:r w:rsidR="00213FF3" w:rsidRPr="009744FA">
        <w:t xml:space="preserve"> </w:t>
      </w:r>
      <w:r w:rsidR="0033457E">
        <w:t xml:space="preserve">Basin </w:t>
      </w:r>
      <w:r w:rsidR="00213FF3" w:rsidRPr="009744FA">
        <w:t xml:space="preserve">water quality </w:t>
      </w:r>
      <w:r w:rsidR="00213FF3">
        <w:t xml:space="preserve">is fit for purpose </w:t>
      </w:r>
      <w:r w:rsidR="00213FF3" w:rsidRPr="009744FA">
        <w:t>for all uses including the environment, human consumption, recreational users and for irrigation. It also includes a salt export objective for the River Murray system.</w:t>
      </w:r>
      <w:r w:rsidR="00B910FE">
        <w:t xml:space="preserve"> </w:t>
      </w:r>
    </w:p>
    <w:p w:rsidR="009A1471" w:rsidRDefault="00244B15" w:rsidP="009A1471">
      <w:pPr>
        <w:pStyle w:val="BodyText"/>
      </w:pPr>
      <w:r w:rsidRPr="00244B15">
        <w:t>The Basin Plan sets out a range of water quality targets</w:t>
      </w:r>
      <w:r w:rsidR="006B7F26" w:rsidRPr="00C45348">
        <w:rPr>
          <w:rStyle w:val="FootnoteReference"/>
        </w:rPr>
        <w:footnoteReference w:id="10"/>
      </w:r>
      <w:r w:rsidRPr="00244B15">
        <w:t xml:space="preserve"> for each water resource area for freshwater ecosystems, irrigation water and recreational use</w:t>
      </w:r>
      <w:r w:rsidR="006B7F26">
        <w:t xml:space="preserve"> and reflects the </w:t>
      </w:r>
      <w:r w:rsidRPr="00244B15">
        <w:t xml:space="preserve">end of valley salinity targets agreed by jurisdictions in the </w:t>
      </w:r>
      <w:proofErr w:type="spellStart"/>
      <w:r w:rsidR="00FC59CF">
        <w:t>MDB</w:t>
      </w:r>
      <w:proofErr w:type="spellEnd"/>
      <w:r w:rsidRPr="00244B15">
        <w:t xml:space="preserve"> Agreement. </w:t>
      </w:r>
      <w:r w:rsidR="005A264C" w:rsidRPr="00244B15">
        <w:t>Collectively, these targets inform the development of Water Quality Management Plans</w:t>
      </w:r>
      <w:r w:rsidR="00563FAE">
        <w:t>,</w:t>
      </w:r>
      <w:r w:rsidR="005A264C" w:rsidRPr="00244B15">
        <w:t xml:space="preserve"> </w:t>
      </w:r>
      <w:r w:rsidR="005A264C">
        <w:t xml:space="preserve">a requirement of </w:t>
      </w:r>
      <w:r w:rsidR="005A264C" w:rsidRPr="00244B15">
        <w:t>Water Resource Plans. The Basin Plan</w:t>
      </w:r>
      <w:r w:rsidR="005A264C">
        <w:t xml:space="preserve"> </w:t>
      </w:r>
      <w:r w:rsidR="005A264C" w:rsidRPr="00244B15">
        <w:t xml:space="preserve">puts obligations on Basin </w:t>
      </w:r>
      <w:r w:rsidR="00FC59CF">
        <w:t>S</w:t>
      </w:r>
      <w:r w:rsidR="005A264C" w:rsidRPr="00244B15">
        <w:t>tates, river operators, environmental water holders and the managers of planned environmental water to have regard to targets when making flow decisions</w:t>
      </w:r>
      <w:r w:rsidR="005A264C">
        <w:t>.</w:t>
      </w:r>
    </w:p>
    <w:p w:rsidR="009A1471" w:rsidRPr="009744FA" w:rsidRDefault="009A1471" w:rsidP="009A1471">
      <w:pPr>
        <w:pStyle w:val="BodyText"/>
      </w:pPr>
      <w:r w:rsidRPr="009744FA">
        <w:lastRenderedPageBreak/>
        <w:t xml:space="preserve">The </w:t>
      </w:r>
      <w:proofErr w:type="spellStart"/>
      <w:r w:rsidRPr="009744FA">
        <w:t>MDBA</w:t>
      </w:r>
      <w:proofErr w:type="spellEnd"/>
      <w:r w:rsidRPr="009744FA">
        <w:t xml:space="preserve"> is required to report annually on its assessment of the salt export objective and salinity targets for flow management. A key recommendation of the </w:t>
      </w:r>
      <w:proofErr w:type="spellStart"/>
      <w:r w:rsidRPr="009744FA" w:rsidDel="000D0C00">
        <w:t>MDBA’s</w:t>
      </w:r>
      <w:proofErr w:type="spellEnd"/>
      <w:r w:rsidR="000D0C00">
        <w:t> </w:t>
      </w:r>
      <w:r w:rsidR="00885F6C" w:rsidRPr="00885F6C">
        <w:t>(</w:t>
      </w:r>
      <w:proofErr w:type="spellStart"/>
      <w:r w:rsidR="00885F6C" w:rsidRPr="00885F6C">
        <w:t>2017c</w:t>
      </w:r>
      <w:proofErr w:type="spellEnd"/>
      <w:r w:rsidR="00885F6C" w:rsidRPr="00885F6C">
        <w:t>)</w:t>
      </w:r>
      <w:r w:rsidR="000D0C00">
        <w:t xml:space="preserve"> Basin Plan</w:t>
      </w:r>
      <w:r>
        <w:t xml:space="preserve"> Evaluation</w:t>
      </w:r>
      <w:r w:rsidRPr="009744FA">
        <w:t xml:space="preserve"> was that the appropriateness of the water quality and salinity targets and the salt export objective be considered when they are scheduled for review in 2020.</w:t>
      </w:r>
    </w:p>
    <w:p w:rsidR="00213FF3" w:rsidRPr="009744FA" w:rsidRDefault="00213FF3" w:rsidP="00213FF3">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A1471" w:rsidRPr="009744FA" w:rsidTr="00563B55">
        <w:trPr>
          <w:tblHeader/>
        </w:trPr>
        <w:tc>
          <w:tcPr>
            <w:tcW w:w="5000" w:type="pct"/>
            <w:tcBorders>
              <w:top w:val="single" w:sz="6" w:space="0" w:color="78A22F"/>
              <w:left w:val="nil"/>
              <w:bottom w:val="nil"/>
              <w:right w:val="nil"/>
            </w:tcBorders>
            <w:shd w:val="clear" w:color="auto" w:fill="auto"/>
          </w:tcPr>
          <w:p w:rsidR="009A1471" w:rsidRPr="009744FA" w:rsidRDefault="009A1471" w:rsidP="00920844">
            <w:pPr>
              <w:keepNext/>
              <w:keepLines/>
              <w:spacing w:before="120" w:line="280" w:lineRule="atLeast"/>
              <w:jc w:val="both"/>
              <w:rPr>
                <w:rFonts w:ascii="Arial" w:hAnsi="Arial"/>
                <w:i/>
                <w:caps/>
                <w:sz w:val="18"/>
              </w:rPr>
            </w:pPr>
            <w:r w:rsidRPr="009744FA">
              <w:rPr>
                <w:rFonts w:ascii="Arial" w:hAnsi="Arial"/>
                <w:i/>
                <w:caps/>
                <w:sz w:val="18"/>
              </w:rPr>
              <w:t xml:space="preserve">Information request </w:t>
            </w:r>
            <w:r w:rsidR="001C5326">
              <w:rPr>
                <w:rFonts w:ascii="Arial" w:hAnsi="Arial"/>
                <w:i/>
                <w:caps/>
                <w:sz w:val="18"/>
              </w:rPr>
              <w:t>9</w:t>
            </w:r>
          </w:p>
        </w:tc>
      </w:tr>
      <w:tr w:rsidR="009A1471" w:rsidRPr="009744FA" w:rsidTr="00563B55">
        <w:tc>
          <w:tcPr>
            <w:tcW w:w="5000" w:type="pct"/>
            <w:tcBorders>
              <w:top w:val="nil"/>
              <w:left w:val="nil"/>
              <w:bottom w:val="nil"/>
              <w:right w:val="nil"/>
            </w:tcBorders>
            <w:shd w:val="clear" w:color="auto" w:fill="auto"/>
          </w:tcPr>
          <w:p w:rsidR="00835FB7" w:rsidRPr="006F4828" w:rsidRDefault="00835FB7" w:rsidP="00835FB7">
            <w:pPr>
              <w:pStyle w:val="InformationRequest"/>
            </w:pPr>
            <w:r w:rsidRPr="006F4828">
              <w:t>The Commission is seeking information on:</w:t>
            </w:r>
          </w:p>
          <w:p w:rsidR="00BD199B" w:rsidRPr="006F2EA8" w:rsidRDefault="00BD199B" w:rsidP="00876954">
            <w:pPr>
              <w:pStyle w:val="InformationRequestBullet"/>
              <w:numPr>
                <w:ilvl w:val="0"/>
                <w:numId w:val="27"/>
              </w:numPr>
            </w:pPr>
            <w:r w:rsidRPr="006F2EA8">
              <w:t xml:space="preserve">any inconsistencies between the </w:t>
            </w:r>
            <w:r w:rsidR="003B79FA">
              <w:t>various n</w:t>
            </w:r>
            <w:r w:rsidRPr="006F2EA8">
              <w:t xml:space="preserve">ational </w:t>
            </w:r>
            <w:r w:rsidR="003B79FA">
              <w:t>w</w:t>
            </w:r>
            <w:r w:rsidRPr="006F2EA8">
              <w:t xml:space="preserve">ater </w:t>
            </w:r>
            <w:r w:rsidR="003B79FA">
              <w:t>q</w:t>
            </w:r>
            <w:r w:rsidRPr="006F2EA8">
              <w:t xml:space="preserve">uality </w:t>
            </w:r>
            <w:r w:rsidR="003B79FA">
              <w:t>g</w:t>
            </w:r>
            <w:r w:rsidRPr="006F2EA8">
              <w:t xml:space="preserve">uidelines and </w:t>
            </w:r>
            <w:r w:rsidR="003B79FA">
              <w:t xml:space="preserve">the </w:t>
            </w:r>
            <w:r w:rsidRPr="006F2EA8">
              <w:t xml:space="preserve">water quality </w:t>
            </w:r>
            <w:r w:rsidR="003B79FA">
              <w:t xml:space="preserve">management plan requirements in </w:t>
            </w:r>
            <w:proofErr w:type="spellStart"/>
            <w:r w:rsidR="003B79FA">
              <w:t>WRPs</w:t>
            </w:r>
            <w:proofErr w:type="spellEnd"/>
            <w:r>
              <w:t xml:space="preserve"> and</w:t>
            </w:r>
            <w:r w:rsidRPr="0000437D">
              <w:t xml:space="preserve"> </w:t>
            </w:r>
            <w:r>
              <w:t xml:space="preserve">whether </w:t>
            </w:r>
            <w:r w:rsidRPr="0000437D">
              <w:t xml:space="preserve">these inconsistencies </w:t>
            </w:r>
            <w:r>
              <w:t xml:space="preserve">are </w:t>
            </w:r>
            <w:r w:rsidRPr="0000437D">
              <w:t>being resolved and managed</w:t>
            </w:r>
          </w:p>
          <w:p w:rsidR="009A1471" w:rsidRPr="009744FA" w:rsidRDefault="008A25B0" w:rsidP="00876954">
            <w:pPr>
              <w:pStyle w:val="InformationRequestBullet"/>
              <w:numPr>
                <w:ilvl w:val="0"/>
                <w:numId w:val="27"/>
              </w:numPr>
            </w:pPr>
            <w:r>
              <w:t xml:space="preserve">the adequacy of the actions of water managers to </w:t>
            </w:r>
            <w:r w:rsidR="00597D3D">
              <w:t xml:space="preserve">achieve </w:t>
            </w:r>
            <w:r>
              <w:t xml:space="preserve">the </w:t>
            </w:r>
            <w:r w:rsidR="00BD199B" w:rsidRPr="007E28E4">
              <w:t xml:space="preserve">water quality objectives </w:t>
            </w:r>
            <w:r w:rsidR="00E120C7">
              <w:t>of the Basin Plan.</w:t>
            </w:r>
          </w:p>
        </w:tc>
      </w:tr>
      <w:tr w:rsidR="009A1471" w:rsidRPr="009744FA" w:rsidTr="00563B55">
        <w:tc>
          <w:tcPr>
            <w:tcW w:w="5000" w:type="pct"/>
            <w:tcBorders>
              <w:top w:val="nil"/>
              <w:left w:val="nil"/>
              <w:bottom w:val="single" w:sz="6" w:space="0" w:color="78A22F"/>
              <w:right w:val="nil"/>
            </w:tcBorders>
            <w:shd w:val="clear" w:color="auto" w:fill="auto"/>
          </w:tcPr>
          <w:p w:rsidR="009A1471" w:rsidRPr="009744FA" w:rsidRDefault="009A1471" w:rsidP="009A1471">
            <w:pPr>
              <w:keepNext/>
              <w:keepLines/>
              <w:spacing w:line="120" w:lineRule="exact"/>
              <w:jc w:val="both"/>
              <w:rPr>
                <w:rFonts w:ascii="Arial" w:hAnsi="Arial"/>
                <w:sz w:val="20"/>
              </w:rPr>
            </w:pPr>
          </w:p>
        </w:tc>
      </w:tr>
      <w:tr w:rsidR="009A1471" w:rsidRPr="009744FA" w:rsidTr="00563B55">
        <w:tc>
          <w:tcPr>
            <w:tcW w:w="5000" w:type="pct"/>
            <w:tcBorders>
              <w:top w:val="single" w:sz="6" w:space="0" w:color="78A22F"/>
              <w:left w:val="nil"/>
              <w:bottom w:val="nil"/>
              <w:right w:val="nil"/>
            </w:tcBorders>
          </w:tcPr>
          <w:p w:rsidR="009A1471" w:rsidRPr="009744FA" w:rsidRDefault="009A1471" w:rsidP="009A1471">
            <w:pPr>
              <w:keepLines/>
              <w:spacing w:before="60" w:after="60" w:line="80" w:lineRule="exact"/>
              <w:jc w:val="both"/>
              <w:rPr>
                <w:rFonts w:ascii="Arial" w:hAnsi="Arial"/>
                <w:sz w:val="14"/>
              </w:rPr>
            </w:pPr>
          </w:p>
        </w:tc>
      </w:tr>
    </w:tbl>
    <w:p w:rsidR="00213FF3" w:rsidRPr="009744FA" w:rsidRDefault="00213FF3" w:rsidP="00122C83">
      <w:pPr>
        <w:pStyle w:val="Heading3"/>
        <w:spacing w:before="480"/>
      </w:pPr>
      <w:r w:rsidRPr="009744FA">
        <w:t>Water trading rules</w:t>
      </w:r>
    </w:p>
    <w:p w:rsidR="00B57E6F" w:rsidRPr="009744FA" w:rsidRDefault="00B57E6F" w:rsidP="00B57E6F">
      <w:pPr>
        <w:pStyle w:val="BodyText"/>
      </w:pPr>
      <w:r w:rsidRPr="00B57E6F">
        <w:t>Water trading provides benefits to the community by allowing water to move to higher value uses. Trade has given irrigators greater flexibility to respond to changes in water availability and adapt their businesses, and has encouraged more efficient water use.</w:t>
      </w:r>
    </w:p>
    <w:p w:rsidR="00C557A2" w:rsidRDefault="002C5940" w:rsidP="003D0B8D">
      <w:pPr>
        <w:pStyle w:val="BodyText"/>
      </w:pPr>
      <w:r>
        <w:t>T</w:t>
      </w:r>
      <w:r w:rsidR="00213FF3" w:rsidRPr="009744FA">
        <w:t xml:space="preserve">he </w:t>
      </w:r>
      <w:r w:rsidR="00F06FC5">
        <w:t xml:space="preserve">Basin Plan </w:t>
      </w:r>
      <w:r w:rsidR="006E18C4">
        <w:t>water trading rules</w:t>
      </w:r>
      <w:r w:rsidR="00213FF3" w:rsidRPr="009744FA">
        <w:t xml:space="preserve"> </w:t>
      </w:r>
      <w:r w:rsidR="00213FF3">
        <w:t xml:space="preserve">aim to </w:t>
      </w:r>
      <w:r w:rsidR="00FF6B69">
        <w:t>facilitate opportunities for trade while protecting</w:t>
      </w:r>
      <w:r w:rsidR="00FF6B69" w:rsidRPr="009744FA">
        <w:t xml:space="preserve"> the interests of third parties an</w:t>
      </w:r>
      <w:r w:rsidR="00FF6B69">
        <w:t xml:space="preserve">d the needs of the environment. They provide a common framework </w:t>
      </w:r>
      <w:r w:rsidR="00213FF3">
        <w:t xml:space="preserve">for the </w:t>
      </w:r>
      <w:r w:rsidR="00213FF3" w:rsidRPr="009744FA">
        <w:t xml:space="preserve">trading </w:t>
      </w:r>
      <w:r w:rsidR="00213FF3">
        <w:t>of</w:t>
      </w:r>
      <w:r w:rsidR="00213FF3" w:rsidRPr="009744FA">
        <w:t xml:space="preserve"> water rights in the </w:t>
      </w:r>
      <w:r w:rsidR="00213FF3">
        <w:t>Basin</w:t>
      </w:r>
      <w:r w:rsidR="008E1B95" w:rsidRPr="00C45348">
        <w:rPr>
          <w:rStyle w:val="FootnoteReference"/>
        </w:rPr>
        <w:footnoteReference w:id="11"/>
      </w:r>
      <w:r w:rsidR="00213FF3" w:rsidRPr="009744FA">
        <w:t xml:space="preserve">, </w:t>
      </w:r>
      <w:r w:rsidR="00FF6B69">
        <w:t>and</w:t>
      </w:r>
      <w:r w:rsidR="00C557A2">
        <w:t xml:space="preserve"> include </w:t>
      </w:r>
      <w:r w:rsidR="00213FF3" w:rsidRPr="009744FA">
        <w:t xml:space="preserve">rules </w:t>
      </w:r>
      <w:r w:rsidR="00820113" w:rsidRPr="00820113">
        <w:t xml:space="preserve">and reporting requirements </w:t>
      </w:r>
      <w:r w:rsidR="00213FF3" w:rsidRPr="009744FA">
        <w:t xml:space="preserve">for Basin States and irrigation infrastructure operators. </w:t>
      </w:r>
      <w:r w:rsidR="00C557A2">
        <w:t>T</w:t>
      </w:r>
      <w:r w:rsidR="00C557A2" w:rsidRPr="009744FA">
        <w:t xml:space="preserve">he Basin Plan </w:t>
      </w:r>
      <w:r w:rsidR="00C557A2">
        <w:t>also seeks</w:t>
      </w:r>
      <w:r w:rsidR="00C557A2" w:rsidRPr="009744FA">
        <w:t xml:space="preserve"> to enable the appropriate mix of tradeable water products, such as lease arrangements, to develop and evolve over time.</w:t>
      </w:r>
    </w:p>
    <w:p w:rsidR="006D1232" w:rsidRDefault="006D1232" w:rsidP="003D0B8D">
      <w:pPr>
        <w:pStyle w:val="BodyText"/>
      </w:pPr>
      <w:r>
        <w:t xml:space="preserve">The rules build on a range of incremental reforms which have enabled water trade to </w:t>
      </w:r>
      <w:r w:rsidR="00092F66">
        <w:t>expand</w:t>
      </w:r>
      <w:r>
        <w:t xml:space="preserve"> </w:t>
      </w:r>
      <w:r w:rsidR="00092F66">
        <w:t xml:space="preserve">significantly </w:t>
      </w:r>
      <w:r>
        <w:t xml:space="preserve">since the </w:t>
      </w:r>
      <w:proofErr w:type="spellStart"/>
      <w:r>
        <w:t>1980s</w:t>
      </w:r>
      <w:proofErr w:type="spellEnd"/>
      <w:r>
        <w:t xml:space="preserve">, both within </w:t>
      </w:r>
      <w:r w:rsidR="00FF1D50">
        <w:t xml:space="preserve">Basin States </w:t>
      </w:r>
      <w:r>
        <w:t xml:space="preserve">and between </w:t>
      </w:r>
      <w:r w:rsidR="00FF1D50">
        <w:t>them</w:t>
      </w:r>
      <w:r w:rsidR="00AA4F21">
        <w:t xml:space="preserve"> </w:t>
      </w:r>
      <w:r w:rsidR="00CD0247">
        <w:t xml:space="preserve">under the </w:t>
      </w:r>
      <w:proofErr w:type="spellStart"/>
      <w:r w:rsidR="00CD0247">
        <w:t>MDB</w:t>
      </w:r>
      <w:proofErr w:type="spellEnd"/>
      <w:r w:rsidR="00CD0247">
        <w:t xml:space="preserve"> Agreement</w:t>
      </w:r>
      <w:r w:rsidR="00AA4F21">
        <w:t xml:space="preserve"> </w:t>
      </w:r>
      <w:r w:rsidR="00885F6C" w:rsidRPr="00885F6C">
        <w:rPr>
          <w:szCs w:val="24"/>
        </w:rPr>
        <w:t>(</w:t>
      </w:r>
      <w:proofErr w:type="spellStart"/>
      <w:r w:rsidR="00885F6C" w:rsidRPr="00885F6C">
        <w:rPr>
          <w:szCs w:val="24"/>
        </w:rPr>
        <w:t>NWC</w:t>
      </w:r>
      <w:proofErr w:type="spellEnd"/>
      <w:r w:rsidR="00885F6C" w:rsidRPr="00885F6C">
        <w:rPr>
          <w:szCs w:val="24"/>
        </w:rPr>
        <w:t> 2011)</w:t>
      </w:r>
      <w:r>
        <w:t xml:space="preserve">. </w:t>
      </w:r>
      <w:r w:rsidR="00B57E6F" w:rsidRPr="00B57E6F">
        <w:t>Between 2007</w:t>
      </w:r>
      <w:r w:rsidR="00B37F8F">
        <w:noBreakHyphen/>
      </w:r>
      <w:r w:rsidR="00B57E6F" w:rsidRPr="00B57E6F">
        <w:t>08 and 2015</w:t>
      </w:r>
      <w:r w:rsidR="00B37F8F">
        <w:noBreakHyphen/>
      </w:r>
      <w:r w:rsidR="00B57E6F" w:rsidRPr="00B57E6F">
        <w:t xml:space="preserve">16, the volume of entitlement trade in the Basin increased by 71 per cent and surface water allocation trade increased by 266 per cent </w:t>
      </w:r>
      <w:r w:rsidR="00885F6C" w:rsidRPr="00885F6C">
        <w:rPr>
          <w:szCs w:val="24"/>
        </w:rPr>
        <w:t>(</w:t>
      </w:r>
      <w:proofErr w:type="spellStart"/>
      <w:r w:rsidR="00885F6C" w:rsidRPr="00885F6C">
        <w:rPr>
          <w:szCs w:val="24"/>
        </w:rPr>
        <w:t>ABARES</w:t>
      </w:r>
      <w:proofErr w:type="spellEnd"/>
      <w:r w:rsidR="00885F6C" w:rsidRPr="00885F6C">
        <w:rPr>
          <w:szCs w:val="24"/>
        </w:rPr>
        <w:t> 2017)</w:t>
      </w:r>
      <w:r w:rsidR="00B57E6F" w:rsidRPr="00B57E6F">
        <w:t>.</w:t>
      </w:r>
    </w:p>
    <w:p w:rsidR="00213FF3" w:rsidRPr="009744FA" w:rsidRDefault="003D0B8D" w:rsidP="003D0B8D">
      <w:pPr>
        <w:pStyle w:val="BodyText"/>
      </w:pPr>
      <w:r>
        <w:t xml:space="preserve">The Basin Plan water </w:t>
      </w:r>
      <w:r w:rsidR="00983B80">
        <w:t>trading</w:t>
      </w:r>
      <w:r w:rsidR="00213FF3">
        <w:t xml:space="preserve"> rules </w:t>
      </w:r>
      <w:r>
        <w:t xml:space="preserve">also contain </w:t>
      </w:r>
      <w:r w:rsidR="00092F66">
        <w:t>requirements</w:t>
      </w:r>
      <w:r>
        <w:t xml:space="preserve"> relating </w:t>
      </w:r>
      <w:r w:rsidR="00213FF3">
        <w:t xml:space="preserve">to market information and </w:t>
      </w:r>
      <w:r w:rsidR="001C3D88">
        <w:t xml:space="preserve">those that aim </w:t>
      </w:r>
      <w:r w:rsidR="00092F66">
        <w:t xml:space="preserve">to </w:t>
      </w:r>
      <w:r w:rsidR="00213FF3">
        <w:t>support confidence in the market</w:t>
      </w:r>
      <w:r w:rsidR="00A70586">
        <w:t>.</w:t>
      </w:r>
      <w:r w:rsidR="00213FF3">
        <w:t xml:space="preserve"> </w:t>
      </w:r>
      <w:r w:rsidR="00A70586">
        <w:t>W</w:t>
      </w:r>
      <w:r w:rsidR="00213FF3">
        <w:t xml:space="preserve">ater announcements </w:t>
      </w:r>
      <w:r w:rsidR="009917E3">
        <w:t>including</w:t>
      </w:r>
      <w:r w:rsidR="00213FF3">
        <w:t xml:space="preserve"> those regarding seasonal allocations or carryover arrangements must be made generally available</w:t>
      </w:r>
      <w:r w:rsidR="00886051">
        <w:t>. In addition</w:t>
      </w:r>
      <w:r w:rsidR="00A70586">
        <w:t>,</w:t>
      </w:r>
      <w:r w:rsidR="00213FF3">
        <w:t xml:space="preserve"> persons aware of </w:t>
      </w:r>
      <w:r w:rsidR="00A70586">
        <w:t>a market announcement</w:t>
      </w:r>
      <w:r w:rsidR="00213FF3">
        <w:t xml:space="preserve"> must not </w:t>
      </w:r>
      <w:r w:rsidR="00A70586">
        <w:t xml:space="preserve">enter into trades informed by that information until </w:t>
      </w:r>
      <w:r w:rsidR="00ED7044">
        <w:t>the information</w:t>
      </w:r>
      <w:r w:rsidR="00A70586">
        <w:t xml:space="preserve"> is generally available</w:t>
      </w:r>
      <w:r w:rsidR="00213FF3">
        <w:t xml:space="preserve">. </w:t>
      </w:r>
    </w:p>
    <w:p w:rsidR="003428B1" w:rsidRDefault="00313E3A" w:rsidP="003428B1">
      <w:pPr>
        <w:pStyle w:val="BodyText"/>
      </w:pPr>
      <w:r>
        <w:t xml:space="preserve">The trading rules </w:t>
      </w:r>
      <w:r w:rsidR="001A2909">
        <w:t>came into effect</w:t>
      </w:r>
      <w:r>
        <w:t xml:space="preserve"> in July 2014, although Basin States have until their </w:t>
      </w:r>
      <w:r w:rsidRPr="00313E3A">
        <w:t>transitional or interim water resource plans</w:t>
      </w:r>
      <w:r>
        <w:t xml:space="preserve"> expire </w:t>
      </w:r>
      <w:r w:rsidR="00762CDB">
        <w:t xml:space="preserve">(July 2019) </w:t>
      </w:r>
      <w:r>
        <w:t xml:space="preserve">to ensure that their water </w:t>
      </w:r>
      <w:r>
        <w:lastRenderedPageBreak/>
        <w:t xml:space="preserve">trading rules are consistent with </w:t>
      </w:r>
      <w:r w:rsidR="00E905A6">
        <w:t xml:space="preserve">the </w:t>
      </w:r>
      <w:r>
        <w:t xml:space="preserve">Basin Plan trading rules </w:t>
      </w:r>
      <w:r w:rsidR="00885F6C" w:rsidRPr="00885F6C">
        <w:rPr>
          <w:szCs w:val="24"/>
        </w:rPr>
        <w:t>(</w:t>
      </w:r>
      <w:proofErr w:type="spellStart"/>
      <w:r w:rsidR="00885F6C" w:rsidRPr="00885F6C">
        <w:rPr>
          <w:szCs w:val="24"/>
        </w:rPr>
        <w:t>MDBA</w:t>
      </w:r>
      <w:proofErr w:type="spellEnd"/>
      <w:r w:rsidR="00885F6C" w:rsidRPr="00885F6C">
        <w:rPr>
          <w:szCs w:val="24"/>
        </w:rPr>
        <w:t xml:space="preserve">, </w:t>
      </w:r>
      <w:proofErr w:type="spellStart"/>
      <w:r w:rsidR="00885F6C" w:rsidRPr="00885F6C">
        <w:rPr>
          <w:szCs w:val="24"/>
        </w:rPr>
        <w:t>CEWH</w:t>
      </w:r>
      <w:proofErr w:type="spellEnd"/>
      <w:r w:rsidR="00885F6C" w:rsidRPr="00885F6C">
        <w:rPr>
          <w:szCs w:val="24"/>
        </w:rPr>
        <w:t xml:space="preserve"> &amp; Basin State Governments 2013)</w:t>
      </w:r>
      <w:r>
        <w:t xml:space="preserve">. </w:t>
      </w:r>
    </w:p>
    <w:p w:rsidR="00213FF3" w:rsidRDefault="003428B1" w:rsidP="00213FF3">
      <w:pPr>
        <w:pStyle w:val="BodyText"/>
      </w:pPr>
      <w:r w:rsidRPr="00DA00CF">
        <w:t>T</w:t>
      </w:r>
      <w:r w:rsidR="00213FF3" w:rsidRPr="00DA00CF">
        <w:t>he</w:t>
      </w:r>
      <w:r w:rsidR="00213FF3" w:rsidRPr="009744FA">
        <w:t xml:space="preserve"> </w:t>
      </w:r>
      <w:proofErr w:type="spellStart"/>
      <w:r w:rsidR="00213FF3" w:rsidRPr="009744FA">
        <w:t>MDBA</w:t>
      </w:r>
      <w:proofErr w:type="spellEnd"/>
      <w:r w:rsidR="00213FF3" w:rsidRPr="009744FA">
        <w:t xml:space="preserve"> is taking a risk</w:t>
      </w:r>
      <w:r w:rsidR="00B37F8F">
        <w:noBreakHyphen/>
      </w:r>
      <w:r w:rsidR="00213FF3" w:rsidRPr="009744FA">
        <w:t>based approach to assessing whether</w:t>
      </w:r>
      <w:r w:rsidR="00213FF3" w:rsidRPr="00DA00CF" w:rsidDel="003428B1">
        <w:t xml:space="preserve"> </w:t>
      </w:r>
      <w:r w:rsidRPr="005B44D6">
        <w:t>Basin States’ existing trading rules</w:t>
      </w:r>
      <w:r w:rsidR="00213FF3" w:rsidRPr="009744FA">
        <w:t xml:space="preserve"> are consistent with the Basin Plan </w:t>
      </w:r>
      <w:r w:rsidR="00885F6C" w:rsidRPr="00885F6C">
        <w:rPr>
          <w:szCs w:val="24"/>
        </w:rPr>
        <w:t>(</w:t>
      </w:r>
      <w:proofErr w:type="spellStart"/>
      <w:r w:rsidR="00885F6C" w:rsidRPr="00885F6C">
        <w:rPr>
          <w:szCs w:val="24"/>
        </w:rPr>
        <w:t>MDBA</w:t>
      </w:r>
      <w:proofErr w:type="spellEnd"/>
      <w:r w:rsidR="00885F6C" w:rsidRPr="00885F6C">
        <w:rPr>
          <w:szCs w:val="24"/>
        </w:rPr>
        <w:t> </w:t>
      </w:r>
      <w:proofErr w:type="spellStart"/>
      <w:r w:rsidR="00885F6C" w:rsidRPr="00885F6C">
        <w:rPr>
          <w:szCs w:val="24"/>
        </w:rPr>
        <w:t>2017c</w:t>
      </w:r>
      <w:proofErr w:type="spellEnd"/>
      <w:r w:rsidR="00885F6C" w:rsidRPr="00885F6C">
        <w:rPr>
          <w:szCs w:val="24"/>
        </w:rPr>
        <w:t>)</w:t>
      </w:r>
      <w:r w:rsidR="00213FF3" w:rsidRPr="009744FA">
        <w:t>.</w:t>
      </w:r>
      <w:r w:rsidR="00213FF3" w:rsidRPr="009744FA" w:rsidDel="00D15895">
        <w:t xml:space="preserve"> </w:t>
      </w:r>
      <w:r w:rsidRPr="005B44D6">
        <w:t>Its</w:t>
      </w:r>
      <w:r w:rsidR="00213FF3">
        <w:t xml:space="preserve"> </w:t>
      </w:r>
      <w:r w:rsidR="00280202">
        <w:t xml:space="preserve">highest </w:t>
      </w:r>
      <w:r w:rsidR="00213FF3">
        <w:t>priorities are</w:t>
      </w:r>
      <w:r w:rsidR="00213FF3" w:rsidRPr="00C14FE5">
        <w:t xml:space="preserve"> trade restrictions</w:t>
      </w:r>
      <w:r w:rsidR="00A70586">
        <w:t>,</w:t>
      </w:r>
      <w:r w:rsidR="00213FF3" w:rsidRPr="00C14FE5">
        <w:t xml:space="preserve"> and the disclosure </w:t>
      </w:r>
      <w:r w:rsidR="00A70586">
        <w:t xml:space="preserve">and management </w:t>
      </w:r>
      <w:r w:rsidR="00213FF3" w:rsidRPr="00C14FE5">
        <w:t>of water announcements</w:t>
      </w:r>
      <w:r>
        <w:t xml:space="preserve"> </w:t>
      </w:r>
      <w:r w:rsidR="00885F6C" w:rsidRPr="00885F6C">
        <w:rPr>
          <w:szCs w:val="24"/>
        </w:rPr>
        <w:t>(</w:t>
      </w:r>
      <w:proofErr w:type="spellStart"/>
      <w:r w:rsidR="00885F6C" w:rsidRPr="00885F6C">
        <w:rPr>
          <w:szCs w:val="24"/>
        </w:rPr>
        <w:t>MDBA</w:t>
      </w:r>
      <w:proofErr w:type="spellEnd"/>
      <w:r w:rsidR="00885F6C" w:rsidRPr="00885F6C">
        <w:rPr>
          <w:szCs w:val="24"/>
        </w:rPr>
        <w:t> </w:t>
      </w:r>
      <w:proofErr w:type="spellStart"/>
      <w:r w:rsidR="00885F6C" w:rsidRPr="00885F6C">
        <w:rPr>
          <w:szCs w:val="24"/>
        </w:rPr>
        <w:t>2016c</w:t>
      </w:r>
      <w:proofErr w:type="spellEnd"/>
      <w:r w:rsidR="00885F6C" w:rsidRPr="00885F6C">
        <w:rPr>
          <w:szCs w:val="24"/>
        </w:rPr>
        <w:t>)</w:t>
      </w:r>
      <w:r w:rsidR="00213FF3" w:rsidRPr="00C14FE5">
        <w:t>.</w:t>
      </w:r>
    </w:p>
    <w:p w:rsidR="00213FF3" w:rsidRDefault="00213FF3" w:rsidP="00213FF3">
      <w:pPr>
        <w:pStyle w:val="BodyText"/>
      </w:pPr>
      <w:r>
        <w:t>To support the implementation of the Basin Plan, a water trade working group has been</w:t>
      </w:r>
      <w:r w:rsidDel="00434D48">
        <w:t xml:space="preserve"> </w:t>
      </w:r>
      <w:r>
        <w:t xml:space="preserve">established to provide advice to the Basin Plan Implementation Committee (discussed in </w:t>
      </w:r>
      <w:r w:rsidR="00B37F8F">
        <w:t>s</w:t>
      </w:r>
      <w:r>
        <w:t>ection</w:t>
      </w:r>
      <w:r w:rsidR="00B37F8F">
        <w:t> </w:t>
      </w:r>
      <w:r w:rsidR="00CF6549">
        <w:t>5</w:t>
      </w:r>
      <w:r>
        <w:t xml:space="preserve">) on issues related to the </w:t>
      </w:r>
      <w:r w:rsidDel="00D862EC">
        <w:t xml:space="preserve">water </w:t>
      </w:r>
      <w:r>
        <w:t>trading rules and guidelines, and the operation of the water market</w:t>
      </w:r>
      <w:r w:rsidR="005D39FA">
        <w:t xml:space="preserve"> </w:t>
      </w:r>
      <w:r w:rsidR="00885F6C" w:rsidRPr="00885F6C">
        <w:rPr>
          <w:szCs w:val="24"/>
        </w:rPr>
        <w:t>(</w:t>
      </w:r>
      <w:proofErr w:type="spellStart"/>
      <w:r w:rsidR="00885F6C" w:rsidRPr="00885F6C">
        <w:rPr>
          <w:szCs w:val="24"/>
        </w:rPr>
        <w:t>MDBA</w:t>
      </w:r>
      <w:proofErr w:type="spellEnd"/>
      <w:r w:rsidR="00885F6C" w:rsidRPr="00885F6C">
        <w:rPr>
          <w:szCs w:val="24"/>
        </w:rPr>
        <w:t xml:space="preserve">, </w:t>
      </w:r>
      <w:proofErr w:type="spellStart"/>
      <w:r w:rsidR="00885F6C" w:rsidRPr="00885F6C">
        <w:rPr>
          <w:szCs w:val="24"/>
        </w:rPr>
        <w:t>CEWH</w:t>
      </w:r>
      <w:proofErr w:type="spellEnd"/>
      <w:r w:rsidR="00885F6C" w:rsidRPr="00885F6C">
        <w:rPr>
          <w:szCs w:val="24"/>
        </w:rPr>
        <w:t xml:space="preserve"> &amp; Basin State Governments 2013)</w:t>
      </w:r>
      <w:r>
        <w:t xml:space="preserve">. The </w:t>
      </w:r>
      <w:proofErr w:type="spellStart"/>
      <w:r>
        <w:t>MDBA</w:t>
      </w:r>
      <w:proofErr w:type="spellEnd"/>
      <w:r>
        <w:t xml:space="preserve"> consults with the Basin States through this working group as part of its examination of the consistency of Basin States’ trading rules with the Basin Plan.</w:t>
      </w:r>
    </w:p>
    <w:p w:rsidR="0025267F" w:rsidRDefault="000D64F9" w:rsidP="00213FF3">
      <w:pPr>
        <w:pStyle w:val="BodyText"/>
      </w:pPr>
      <w:r>
        <w:t xml:space="preserve">Under the Basin Plan, the </w:t>
      </w:r>
      <w:proofErr w:type="spellStart"/>
      <w:r>
        <w:t>MDBA</w:t>
      </w:r>
      <w:proofErr w:type="spellEnd"/>
      <w:r>
        <w:t xml:space="preserve"> may request advice from the </w:t>
      </w:r>
      <w:proofErr w:type="spellStart"/>
      <w:r>
        <w:t>ACCC</w:t>
      </w:r>
      <w:proofErr w:type="spellEnd"/>
      <w:r>
        <w:t xml:space="preserve"> if it is required to prepare a declaration on the </w:t>
      </w:r>
      <w:r w:rsidR="00045011">
        <w:t>consistency</w:t>
      </w:r>
      <w:r>
        <w:t xml:space="preserve"> of a Basin State’s trade restriction. The </w:t>
      </w:r>
      <w:proofErr w:type="spellStart"/>
      <w:r>
        <w:t>ACCC</w:t>
      </w:r>
      <w:proofErr w:type="spellEnd"/>
      <w:r>
        <w:t xml:space="preserve"> also has a role under the Water Act to provide advice to the </w:t>
      </w:r>
      <w:proofErr w:type="spellStart"/>
      <w:r>
        <w:t>MDBA</w:t>
      </w:r>
      <w:proofErr w:type="spellEnd"/>
      <w:r>
        <w:t xml:space="preserve"> on the Basin Plan trading rules, both in their deve</w:t>
      </w:r>
      <w:r w:rsidR="00C906E7">
        <w:t>lopment and if they are amended</w:t>
      </w:r>
      <w:r>
        <w:t xml:space="preserve">. </w:t>
      </w:r>
    </w:p>
    <w:p w:rsidR="00213FF3" w:rsidRPr="009744FA" w:rsidRDefault="00213FF3" w:rsidP="00213FF3">
      <w:pPr>
        <w:pStyle w:val="BodyText"/>
      </w:pPr>
      <w:r w:rsidRPr="009744FA">
        <w:t xml:space="preserve">Basin States will need to address inconsistent trade </w:t>
      </w:r>
      <w:r>
        <w:t>restrictions</w:t>
      </w:r>
      <w:r w:rsidRPr="009744FA">
        <w:t xml:space="preserve"> by 2019 in conjunction with the development of </w:t>
      </w:r>
      <w:proofErr w:type="spellStart"/>
      <w:r w:rsidR="00E120C7">
        <w:t>WRPs</w:t>
      </w:r>
      <w:proofErr w:type="spellEnd"/>
      <w:r w:rsidRPr="009744FA">
        <w:t>.</w:t>
      </w:r>
      <w:r>
        <w:t xml:space="preserve"> Failure to do so may </w:t>
      </w:r>
      <w:r w:rsidR="00C94727">
        <w:t>hinder</w:t>
      </w:r>
      <w:r w:rsidRPr="002E7983">
        <w:t xml:space="preserve"> incremental improvements</w:t>
      </w:r>
      <w:r>
        <w:t xml:space="preserve"> to the </w:t>
      </w:r>
      <w:r w:rsidRPr="002E7983">
        <w:t>effectiveness and efficiency</w:t>
      </w:r>
      <w:r>
        <w:t xml:space="preserve"> of the </w:t>
      </w:r>
      <w:r w:rsidRPr="002E7983">
        <w:t>water market.</w:t>
      </w:r>
      <w:r>
        <w:t xml:space="preserve"> </w:t>
      </w:r>
    </w:p>
    <w:p w:rsidR="00213FF3" w:rsidRPr="009744FA" w:rsidRDefault="00213FF3" w:rsidP="00213FF3">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213FF3" w:rsidRPr="009744FA" w:rsidTr="00993076">
        <w:trPr>
          <w:tblHeader/>
        </w:trPr>
        <w:tc>
          <w:tcPr>
            <w:tcW w:w="5000" w:type="pct"/>
            <w:tcBorders>
              <w:top w:val="single" w:sz="6" w:space="0" w:color="78A22F"/>
              <w:left w:val="nil"/>
              <w:bottom w:val="nil"/>
              <w:right w:val="nil"/>
            </w:tcBorders>
            <w:shd w:val="clear" w:color="auto" w:fill="auto"/>
          </w:tcPr>
          <w:p w:rsidR="00213FF3" w:rsidRPr="009744FA" w:rsidRDefault="00213FF3" w:rsidP="00920844">
            <w:pPr>
              <w:keepNext/>
              <w:keepLines/>
              <w:spacing w:before="120" w:line="280" w:lineRule="atLeast"/>
              <w:jc w:val="both"/>
              <w:rPr>
                <w:rFonts w:ascii="Arial" w:hAnsi="Arial"/>
                <w:i/>
                <w:caps/>
                <w:sz w:val="18"/>
              </w:rPr>
            </w:pPr>
            <w:r w:rsidRPr="009744FA">
              <w:rPr>
                <w:rFonts w:ascii="Arial" w:hAnsi="Arial"/>
                <w:i/>
                <w:caps/>
                <w:sz w:val="18"/>
              </w:rPr>
              <w:t>Information request 1</w:t>
            </w:r>
            <w:r w:rsidR="001C5326">
              <w:rPr>
                <w:rFonts w:ascii="Arial" w:hAnsi="Arial"/>
                <w:i/>
                <w:caps/>
                <w:sz w:val="18"/>
              </w:rPr>
              <w:t>0</w:t>
            </w:r>
          </w:p>
        </w:tc>
      </w:tr>
      <w:tr w:rsidR="00213FF3" w:rsidRPr="009744FA" w:rsidTr="00993076">
        <w:tc>
          <w:tcPr>
            <w:tcW w:w="5000" w:type="pct"/>
            <w:tcBorders>
              <w:top w:val="nil"/>
              <w:left w:val="nil"/>
              <w:bottom w:val="nil"/>
              <w:right w:val="nil"/>
            </w:tcBorders>
            <w:shd w:val="clear" w:color="auto" w:fill="auto"/>
          </w:tcPr>
          <w:p w:rsidR="005E457C" w:rsidRPr="000F0363" w:rsidRDefault="005E457C" w:rsidP="005E457C">
            <w:pPr>
              <w:pStyle w:val="InformationRequest"/>
            </w:pPr>
            <w:r w:rsidRPr="000F0363">
              <w:t>The Commission is seeking information on:</w:t>
            </w:r>
          </w:p>
          <w:p w:rsidR="00F73705" w:rsidRDefault="00F73705" w:rsidP="00876954">
            <w:pPr>
              <w:pStyle w:val="InformationRequestBullet"/>
              <w:numPr>
                <w:ilvl w:val="0"/>
                <w:numId w:val="23"/>
              </w:numPr>
            </w:pPr>
            <w:r>
              <w:t>whether</w:t>
            </w:r>
            <w:r w:rsidR="00213FF3" w:rsidRPr="009744FA">
              <w:t xml:space="preserve"> the Basin Plan trading rules </w:t>
            </w:r>
            <w:r>
              <w:t>advance</w:t>
            </w:r>
            <w:r w:rsidR="00213FF3" w:rsidRPr="009744FA">
              <w:t xml:space="preserve"> the water trading objectives and outcomes stated in chapter</w:t>
            </w:r>
            <w:r w:rsidR="00B37F8F">
              <w:t> </w:t>
            </w:r>
            <w:r w:rsidR="00213FF3" w:rsidRPr="009744FA">
              <w:t>5 of the Plan</w:t>
            </w:r>
          </w:p>
          <w:p w:rsidR="00213FF3" w:rsidRDefault="00C725D0" w:rsidP="00876954">
            <w:pPr>
              <w:pStyle w:val="InformationRequestBullet"/>
              <w:numPr>
                <w:ilvl w:val="0"/>
                <w:numId w:val="23"/>
              </w:numPr>
            </w:pPr>
            <w:r>
              <w:t>whether</w:t>
            </w:r>
            <w:r w:rsidR="00213FF3" w:rsidRPr="009744FA">
              <w:t xml:space="preserve"> changes to state trading rules made to date as part of implementation of the Basin Plan adequately recognise and protect the environment and third party interests</w:t>
            </w:r>
          </w:p>
          <w:p w:rsidR="00213FF3" w:rsidRDefault="00C725D0" w:rsidP="00876954">
            <w:pPr>
              <w:pStyle w:val="InformationRequestBullet"/>
              <w:numPr>
                <w:ilvl w:val="0"/>
                <w:numId w:val="23"/>
              </w:numPr>
            </w:pPr>
            <w:r>
              <w:t xml:space="preserve">whether </w:t>
            </w:r>
            <w:r w:rsidR="00213FF3">
              <w:t xml:space="preserve">implementation of the Basin Plan </w:t>
            </w:r>
            <w:r>
              <w:t xml:space="preserve">has </w:t>
            </w:r>
            <w:r w:rsidR="00213FF3">
              <w:t xml:space="preserve">improved access to market information and what further actions Basin States, irrigation infrastructure operators or the </w:t>
            </w:r>
            <w:proofErr w:type="spellStart"/>
            <w:r w:rsidR="00213FF3">
              <w:t>MDBA</w:t>
            </w:r>
            <w:proofErr w:type="spellEnd"/>
            <w:r w:rsidR="00213FF3">
              <w:t xml:space="preserve"> </w:t>
            </w:r>
            <w:r>
              <w:t xml:space="preserve">might </w:t>
            </w:r>
            <w:r w:rsidR="00213FF3">
              <w:t>need to take</w:t>
            </w:r>
          </w:p>
          <w:p w:rsidR="00213FF3" w:rsidRPr="009744FA" w:rsidRDefault="00C725D0" w:rsidP="00876954">
            <w:pPr>
              <w:pStyle w:val="InformationRequestBullet"/>
              <w:numPr>
                <w:ilvl w:val="0"/>
                <w:numId w:val="23"/>
              </w:numPr>
            </w:pPr>
            <w:r>
              <w:t>whether</w:t>
            </w:r>
            <w:r w:rsidR="00213FF3" w:rsidRPr="00D7713E">
              <w:t xml:space="preserve"> processes for reviewing Basin State trading rules — including the roles of the </w:t>
            </w:r>
            <w:proofErr w:type="spellStart"/>
            <w:r w:rsidR="00213FF3" w:rsidRPr="00D7713E">
              <w:t>MDBA</w:t>
            </w:r>
            <w:proofErr w:type="spellEnd"/>
            <w:r w:rsidR="00213FF3" w:rsidRPr="00D7713E">
              <w:t xml:space="preserve"> and the water trade working group — </w:t>
            </w:r>
            <w:r>
              <w:t xml:space="preserve">are </w:t>
            </w:r>
            <w:r w:rsidR="00213FF3" w:rsidRPr="00D7713E">
              <w:t>sufficiently transparent, evidence</w:t>
            </w:r>
            <w:r w:rsidR="00B37F8F">
              <w:noBreakHyphen/>
            </w:r>
            <w:r w:rsidR="00213FF3" w:rsidRPr="00D7713E">
              <w:t>based and consultative</w:t>
            </w:r>
            <w:r w:rsidR="001A4E30">
              <w:t>.</w:t>
            </w:r>
          </w:p>
        </w:tc>
      </w:tr>
      <w:tr w:rsidR="00213FF3" w:rsidRPr="009744FA" w:rsidTr="00993076">
        <w:tc>
          <w:tcPr>
            <w:tcW w:w="5000" w:type="pct"/>
            <w:tcBorders>
              <w:top w:val="nil"/>
              <w:left w:val="nil"/>
              <w:bottom w:val="single" w:sz="6" w:space="0" w:color="78A22F"/>
              <w:right w:val="nil"/>
            </w:tcBorders>
            <w:shd w:val="clear" w:color="auto" w:fill="auto"/>
          </w:tcPr>
          <w:p w:rsidR="00213FF3" w:rsidRPr="009744FA" w:rsidRDefault="00213FF3" w:rsidP="00993076">
            <w:pPr>
              <w:keepNext/>
              <w:keepLines/>
              <w:spacing w:line="120" w:lineRule="exact"/>
              <w:jc w:val="both"/>
              <w:rPr>
                <w:rFonts w:ascii="Arial" w:hAnsi="Arial"/>
                <w:sz w:val="20"/>
              </w:rPr>
            </w:pPr>
          </w:p>
        </w:tc>
      </w:tr>
      <w:tr w:rsidR="00213FF3" w:rsidRPr="009744FA" w:rsidTr="00993076">
        <w:tc>
          <w:tcPr>
            <w:tcW w:w="5000" w:type="pct"/>
            <w:tcBorders>
              <w:top w:val="single" w:sz="6" w:space="0" w:color="78A22F"/>
              <w:left w:val="nil"/>
              <w:bottom w:val="nil"/>
              <w:right w:val="nil"/>
            </w:tcBorders>
          </w:tcPr>
          <w:p w:rsidR="00213FF3" w:rsidRPr="009744FA" w:rsidRDefault="00213FF3" w:rsidP="00993076">
            <w:pPr>
              <w:keepLines/>
              <w:spacing w:before="60" w:after="60" w:line="80" w:lineRule="exact"/>
              <w:jc w:val="both"/>
              <w:rPr>
                <w:rFonts w:ascii="Arial" w:hAnsi="Arial"/>
                <w:sz w:val="14"/>
              </w:rPr>
            </w:pPr>
          </w:p>
        </w:tc>
      </w:tr>
    </w:tbl>
    <w:p w:rsidR="00213FF3" w:rsidRPr="009744FA" w:rsidRDefault="00213FF3" w:rsidP="006C28E0">
      <w:pPr>
        <w:pStyle w:val="Heading3"/>
      </w:pPr>
      <w:r w:rsidRPr="009744FA">
        <w:t xml:space="preserve">Critical </w:t>
      </w:r>
      <w:r w:rsidR="00E120C7">
        <w:t>h</w:t>
      </w:r>
      <w:r w:rsidRPr="009744FA">
        <w:t>uman water needs</w:t>
      </w:r>
    </w:p>
    <w:p w:rsidR="004573B0" w:rsidRDefault="004573B0" w:rsidP="004573B0">
      <w:pPr>
        <w:pStyle w:val="BodyText"/>
      </w:pPr>
      <w:r>
        <w:t xml:space="preserve">During the Millennium Drought, when inflows were at a record low, Basin </w:t>
      </w:r>
      <w:r w:rsidR="00DA57A7">
        <w:t>S</w:t>
      </w:r>
      <w:r>
        <w:t xml:space="preserve">tates faced the prospect </w:t>
      </w:r>
      <w:r w:rsidR="00DA57A7">
        <w:t xml:space="preserve">of being unable to meet </w:t>
      </w:r>
      <w:r>
        <w:t xml:space="preserve">water for critical human needs in the River Murray. In </w:t>
      </w:r>
      <w:r>
        <w:lastRenderedPageBreak/>
        <w:t xml:space="preserve">response, jurisdictions agreed that in the River Murray system, </w:t>
      </w:r>
      <w:r w:rsidR="00E120C7">
        <w:t>critical h</w:t>
      </w:r>
      <w:r>
        <w:t xml:space="preserve">uman </w:t>
      </w:r>
      <w:r w:rsidR="00E120C7">
        <w:t>w</w:t>
      </w:r>
      <w:r>
        <w:t xml:space="preserve">ater </w:t>
      </w:r>
      <w:r w:rsidR="00E120C7">
        <w:t>n</w:t>
      </w:r>
      <w:r>
        <w:t>eeds (</w:t>
      </w:r>
      <w:proofErr w:type="spellStart"/>
      <w:r>
        <w:t>CHWN</w:t>
      </w:r>
      <w:proofErr w:type="spellEnd"/>
      <w:r>
        <w:t xml:space="preserve">) should be prioritised above all and developed specific water sharing rules for periods of water scarcity. These were </w:t>
      </w:r>
      <w:r w:rsidR="00DA57A7">
        <w:t>then</w:t>
      </w:r>
      <w:r>
        <w:t xml:space="preserve"> included in the </w:t>
      </w:r>
      <w:proofErr w:type="spellStart"/>
      <w:r>
        <w:t>MDB</w:t>
      </w:r>
      <w:proofErr w:type="spellEnd"/>
      <w:r>
        <w:t xml:space="preserve"> Agreement and </w:t>
      </w:r>
      <w:r w:rsidR="00DA57A7">
        <w:t xml:space="preserve">the Water Act, and are </w:t>
      </w:r>
      <w:r>
        <w:t>reflected in the Basin Plan.</w:t>
      </w:r>
    </w:p>
    <w:p w:rsidR="005B7AE6" w:rsidRDefault="005B7AE6" w:rsidP="005B7AE6">
      <w:pPr>
        <w:pStyle w:val="BodyText"/>
      </w:pPr>
      <w:proofErr w:type="spellStart"/>
      <w:r>
        <w:t>CHWN</w:t>
      </w:r>
      <w:proofErr w:type="spellEnd"/>
      <w:r>
        <w:t xml:space="preserve"> </w:t>
      </w:r>
      <w:r w:rsidR="00521E6D">
        <w:t>are the</w:t>
      </w:r>
      <w:r>
        <w:t xml:space="preserve"> minimum amount of water that can reasonably be provided from Basin resources to meet:</w:t>
      </w:r>
    </w:p>
    <w:p w:rsidR="005B7AE6" w:rsidRPr="00521E6D" w:rsidRDefault="005B7AE6" w:rsidP="006C28E0">
      <w:pPr>
        <w:pStyle w:val="ListBullet"/>
      </w:pPr>
      <w:r w:rsidRPr="00521E6D">
        <w:t>core human consumption requirements in urban and rural areas that are dep</w:t>
      </w:r>
      <w:r w:rsidR="00E120C7">
        <w:t>endent on Basin water resources</w:t>
      </w:r>
    </w:p>
    <w:p w:rsidR="005B7AE6" w:rsidRPr="00521E6D" w:rsidRDefault="005B7AE6" w:rsidP="006C28E0">
      <w:pPr>
        <w:pStyle w:val="ListBullet"/>
      </w:pPr>
      <w:r w:rsidRPr="00521E6D">
        <w:t>non</w:t>
      </w:r>
      <w:r w:rsidR="00B37F8F">
        <w:noBreakHyphen/>
      </w:r>
      <w:r w:rsidRPr="00521E6D">
        <w:t>human consumption requirements that, if not met, would cause prohibitively high social, economic or national security costs</w:t>
      </w:r>
      <w:r w:rsidR="0069592F" w:rsidRPr="00521E6D">
        <w:t xml:space="preserve"> </w:t>
      </w:r>
      <w:r w:rsidR="00521E6D">
        <w:t>(</w:t>
      </w:r>
      <w:r w:rsidR="0069592F" w:rsidRPr="00521E6D">
        <w:t>Water Act s. </w:t>
      </w:r>
      <w:proofErr w:type="spellStart"/>
      <w:r w:rsidR="0069592F" w:rsidRPr="00521E6D">
        <w:t>86A</w:t>
      </w:r>
      <w:proofErr w:type="spellEnd"/>
      <w:r w:rsidR="0069592F" w:rsidRPr="00521E6D">
        <w:t>(2))</w:t>
      </w:r>
      <w:r w:rsidRPr="00521E6D">
        <w:t>.</w:t>
      </w:r>
    </w:p>
    <w:p w:rsidR="005B7AE6" w:rsidRPr="009744FA" w:rsidRDefault="005B7AE6" w:rsidP="005B7AE6">
      <w:pPr>
        <w:pStyle w:val="BodyText"/>
      </w:pPr>
      <w:r>
        <w:t xml:space="preserve">The minimum volume of water required to enable the delivery of </w:t>
      </w:r>
      <w:proofErr w:type="spellStart"/>
      <w:r>
        <w:t>CHWN</w:t>
      </w:r>
      <w:proofErr w:type="spellEnd"/>
      <w:r>
        <w:t xml:space="preserve"> (conveyance water) has highest priority, after which water is </w:t>
      </w:r>
      <w:r w:rsidR="008F15FC">
        <w:t xml:space="preserve">then </w:t>
      </w:r>
      <w:r>
        <w:t xml:space="preserve">allocated to meet </w:t>
      </w:r>
      <w:proofErr w:type="spellStart"/>
      <w:r>
        <w:t>CHWN</w:t>
      </w:r>
      <w:proofErr w:type="spellEnd"/>
      <w:r>
        <w:t xml:space="preserve">. </w:t>
      </w:r>
    </w:p>
    <w:p w:rsidR="00213FF3" w:rsidRDefault="00213FF3" w:rsidP="002341C8">
      <w:pPr>
        <w:pStyle w:val="BodyText"/>
      </w:pPr>
      <w:r>
        <w:t>Water sharing is based on a three tiered approach</w:t>
      </w:r>
      <w:r w:rsidR="006051A5">
        <w:t xml:space="preserve"> whereby </w:t>
      </w:r>
      <w:r>
        <w:t xml:space="preserve">tier one represents normal water availability, tier two is very low water availability and tier three is extremely low water availability. </w:t>
      </w:r>
      <w:r w:rsidRPr="009744FA">
        <w:t xml:space="preserve">The Basin Plan defines </w:t>
      </w:r>
      <w:r w:rsidR="009D6B51">
        <w:t>triggers for moving between the water sharing tiers.</w:t>
      </w:r>
      <w:r w:rsidR="00890B1E">
        <w:t xml:space="preserve"> </w:t>
      </w:r>
    </w:p>
    <w:p w:rsidR="00213FF3" w:rsidRDefault="00213FF3" w:rsidP="00213FF3">
      <w:pPr>
        <w:spacing w:before="240" w:line="300" w:lineRule="atLeast"/>
        <w:jc w:val="both"/>
      </w:pPr>
      <w:r w:rsidRPr="009744FA">
        <w:t xml:space="preserve">Since the Basin Plan </w:t>
      </w:r>
      <w:r w:rsidR="00657888">
        <w:t>came</w:t>
      </w:r>
      <w:r w:rsidRPr="009744FA">
        <w:t xml:space="preserve"> into </w:t>
      </w:r>
      <w:r w:rsidR="00CF7274">
        <w:t>effect</w:t>
      </w:r>
      <w:r w:rsidRPr="009744FA">
        <w:t xml:space="preserve">, the </w:t>
      </w:r>
      <w:proofErr w:type="spellStart"/>
      <w:r w:rsidRPr="009744FA">
        <w:t>MDBA</w:t>
      </w:r>
      <w:proofErr w:type="spellEnd"/>
      <w:r w:rsidRPr="009744FA">
        <w:t xml:space="preserve"> has not </w:t>
      </w:r>
      <w:r w:rsidR="00E120C7">
        <w:t>declared either t</w:t>
      </w:r>
      <w:r w:rsidRPr="009744FA">
        <w:t xml:space="preserve">ier </w:t>
      </w:r>
      <w:r w:rsidR="00E120C7">
        <w:t>two</w:t>
      </w:r>
      <w:r w:rsidRPr="009744FA">
        <w:t xml:space="preserve"> or </w:t>
      </w:r>
      <w:r w:rsidR="00E120C7">
        <w:t>t</w:t>
      </w:r>
      <w:r w:rsidRPr="009744FA">
        <w:t xml:space="preserve">ier </w:t>
      </w:r>
      <w:r w:rsidR="00E120C7">
        <w:t>three</w:t>
      </w:r>
      <w:r w:rsidRPr="009744FA">
        <w:t xml:space="preserve"> water sharing arrangements.</w:t>
      </w:r>
      <w:r w:rsidR="0062000A">
        <w:t xml:space="preserve"> In 2015</w:t>
      </w:r>
      <w:r w:rsidR="00B37F8F">
        <w:noBreakHyphen/>
      </w:r>
      <w:r w:rsidR="0062000A">
        <w:t xml:space="preserve">16 the </w:t>
      </w:r>
      <w:proofErr w:type="spellStart"/>
      <w:r w:rsidR="0062000A">
        <w:t>MDBA</w:t>
      </w:r>
      <w:proofErr w:type="spellEnd"/>
      <w:r w:rsidR="0062000A">
        <w:t xml:space="preserve"> conducted a drought preparedness project</w:t>
      </w:r>
      <w:r w:rsidR="00CF7274">
        <w:t xml:space="preserve"> (</w:t>
      </w:r>
      <w:r w:rsidR="0062000A">
        <w:t xml:space="preserve">including a review of the </w:t>
      </w:r>
      <w:r w:rsidR="00076E3A">
        <w:t>Millennium</w:t>
      </w:r>
      <w:r w:rsidR="0062000A">
        <w:t xml:space="preserve"> Drought conditions</w:t>
      </w:r>
      <w:r w:rsidR="00CF7274">
        <w:t>)</w:t>
      </w:r>
      <w:r w:rsidR="0062000A">
        <w:t xml:space="preserve"> to consider how these actions would fit under new governance arrangements</w:t>
      </w:r>
      <w:r w:rsidR="0040283D">
        <w:t xml:space="preserve"> </w:t>
      </w:r>
      <w:r w:rsidR="00885F6C" w:rsidRPr="00885F6C">
        <w:t>(</w:t>
      </w:r>
      <w:proofErr w:type="spellStart"/>
      <w:r w:rsidR="00885F6C" w:rsidRPr="00885F6C">
        <w:t>MDBA</w:t>
      </w:r>
      <w:proofErr w:type="spellEnd"/>
      <w:r w:rsidR="00885F6C" w:rsidRPr="00885F6C">
        <w:t> </w:t>
      </w:r>
      <w:proofErr w:type="spellStart"/>
      <w:r w:rsidR="00885F6C" w:rsidRPr="00885F6C">
        <w:t>2016a</w:t>
      </w:r>
      <w:proofErr w:type="spellEnd"/>
      <w:r w:rsidR="00885F6C" w:rsidRPr="00885F6C">
        <w:t>)</w:t>
      </w:r>
      <w:r w:rsidR="0062000A">
        <w:t>.</w:t>
      </w:r>
    </w:p>
    <w:p w:rsidR="00213FF3" w:rsidRPr="009744FA" w:rsidRDefault="00213FF3" w:rsidP="00213FF3">
      <w:pPr>
        <w:spacing w:before="240" w:line="300" w:lineRule="atLeast"/>
        <w:jc w:val="both"/>
      </w:pPr>
      <w:r w:rsidRPr="009744FA">
        <w:t xml:space="preserve">The Basin Plan </w:t>
      </w:r>
      <w:r>
        <w:t xml:space="preserve">also </w:t>
      </w:r>
      <w:r w:rsidRPr="009744FA">
        <w:t xml:space="preserve">requires </w:t>
      </w:r>
      <w:r>
        <w:t xml:space="preserve">all </w:t>
      </w:r>
      <w:proofErr w:type="spellStart"/>
      <w:r w:rsidRPr="009744FA">
        <w:t>WRPs</w:t>
      </w:r>
      <w:proofErr w:type="spellEnd"/>
      <w:r w:rsidRPr="009744FA">
        <w:t xml:space="preserve"> </w:t>
      </w:r>
      <w:r>
        <w:t xml:space="preserve">to include provisions </w:t>
      </w:r>
      <w:r w:rsidRPr="009744FA">
        <w:t xml:space="preserve">for </w:t>
      </w:r>
      <w:r>
        <w:t xml:space="preserve">responses to </w:t>
      </w:r>
      <w:r w:rsidRPr="009744FA">
        <w:t xml:space="preserve">extreme </w:t>
      </w:r>
      <w:r>
        <w:t xml:space="preserve">events, including severe droughts and water quality events that risk the supply of critical human needs. </w:t>
      </w:r>
    </w:p>
    <w:p w:rsidR="00213FF3" w:rsidRPr="004E3B94" w:rsidRDefault="00213FF3" w:rsidP="00077738">
      <w:pPr>
        <w:pStyle w:val="BoxSpaceAboveElement"/>
        <w:keepLines/>
        <w:spacing w:before="360"/>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213FF3" w:rsidTr="00993076">
        <w:trPr>
          <w:tblHeader/>
        </w:trPr>
        <w:tc>
          <w:tcPr>
            <w:tcW w:w="5000" w:type="pct"/>
            <w:tcBorders>
              <w:top w:val="single" w:sz="6" w:space="0" w:color="78A22F"/>
              <w:left w:val="nil"/>
              <w:bottom w:val="nil"/>
              <w:right w:val="nil"/>
            </w:tcBorders>
            <w:shd w:val="clear" w:color="auto" w:fill="auto"/>
          </w:tcPr>
          <w:p w:rsidR="00213FF3" w:rsidRPr="00CE4C64" w:rsidRDefault="00213FF3" w:rsidP="00993076">
            <w:pPr>
              <w:pStyle w:val="InformationRequestTitle"/>
              <w:spacing w:before="120"/>
            </w:pPr>
            <w:r w:rsidRPr="006E7EE2">
              <w:t>Information request</w:t>
            </w:r>
            <w:r w:rsidR="00092C21">
              <w:t xml:space="preserve"> 1</w:t>
            </w:r>
            <w:r w:rsidR="001C5326">
              <w:t>1</w:t>
            </w:r>
          </w:p>
        </w:tc>
      </w:tr>
      <w:tr w:rsidR="00213FF3" w:rsidRPr="00750BE2" w:rsidTr="00993076">
        <w:tc>
          <w:tcPr>
            <w:tcW w:w="5000" w:type="pct"/>
            <w:tcBorders>
              <w:top w:val="nil"/>
              <w:left w:val="nil"/>
              <w:bottom w:val="nil"/>
              <w:right w:val="nil"/>
            </w:tcBorders>
            <w:shd w:val="clear" w:color="auto" w:fill="auto"/>
          </w:tcPr>
          <w:p w:rsidR="00A573B6" w:rsidRPr="0034412B" w:rsidRDefault="00A573B6" w:rsidP="00A573B6">
            <w:pPr>
              <w:pStyle w:val="InformationRequest"/>
            </w:pPr>
            <w:r w:rsidRPr="0034412B">
              <w:t>The Commission is seeking information on:</w:t>
            </w:r>
          </w:p>
          <w:p w:rsidR="00A573B6" w:rsidRPr="006D0D42" w:rsidRDefault="00A573B6" w:rsidP="00876954">
            <w:pPr>
              <w:pStyle w:val="InformationRequestBullet"/>
              <w:numPr>
                <w:ilvl w:val="0"/>
                <w:numId w:val="16"/>
              </w:numPr>
            </w:pPr>
            <w:r w:rsidRPr="00081C4E">
              <w:t xml:space="preserve"> </w:t>
            </w:r>
            <w:r>
              <w:t xml:space="preserve">risks to meeting </w:t>
            </w:r>
            <w:r w:rsidR="007E74B1">
              <w:t>c</w:t>
            </w:r>
            <w:r w:rsidRPr="00081C4E">
              <w:t xml:space="preserve">ritical </w:t>
            </w:r>
            <w:r w:rsidR="007E74B1">
              <w:t>h</w:t>
            </w:r>
            <w:r w:rsidRPr="00081C4E">
              <w:t xml:space="preserve">uman </w:t>
            </w:r>
            <w:r w:rsidR="007E74B1">
              <w:t>w</w:t>
            </w:r>
            <w:r w:rsidRPr="00081C4E">
              <w:t xml:space="preserve">ater </w:t>
            </w:r>
            <w:r w:rsidR="007E74B1">
              <w:t>n</w:t>
            </w:r>
            <w:r w:rsidRPr="00081C4E">
              <w:t>eeds (</w:t>
            </w:r>
            <w:proofErr w:type="spellStart"/>
            <w:r w:rsidRPr="00081C4E">
              <w:t>CHWN</w:t>
            </w:r>
            <w:proofErr w:type="spellEnd"/>
            <w:r w:rsidRPr="00081C4E">
              <w:t>)</w:t>
            </w:r>
            <w:r>
              <w:t xml:space="preserve"> under the Basin Plan, how the Plan addresses these risks, and what</w:t>
            </w:r>
            <w:r w:rsidRPr="006D0D42">
              <w:t xml:space="preserve">, if any, further measures are required </w:t>
            </w:r>
          </w:p>
          <w:p w:rsidR="00213FF3" w:rsidRPr="00D74AA3" w:rsidRDefault="00A573B6" w:rsidP="00876954">
            <w:pPr>
              <w:pStyle w:val="InformationRequestBullet"/>
              <w:numPr>
                <w:ilvl w:val="0"/>
                <w:numId w:val="16"/>
              </w:numPr>
            </w:pPr>
            <w:r w:rsidRPr="00A90D85">
              <w:t xml:space="preserve"> any concerns </w:t>
            </w:r>
            <w:r>
              <w:t xml:space="preserve">about </w:t>
            </w:r>
            <w:r w:rsidRPr="00A90D85">
              <w:t xml:space="preserve">provisions in </w:t>
            </w:r>
            <w:proofErr w:type="spellStart"/>
            <w:r w:rsidRPr="00A90D85">
              <w:t>WRPs</w:t>
            </w:r>
            <w:proofErr w:type="spellEnd"/>
            <w:r w:rsidRPr="00A90D85">
              <w:t xml:space="preserve"> relating to </w:t>
            </w:r>
            <w:proofErr w:type="spellStart"/>
            <w:r w:rsidRPr="00A90D85">
              <w:t>CHWN</w:t>
            </w:r>
            <w:proofErr w:type="spellEnd"/>
            <w:r w:rsidRPr="00A90D85">
              <w:t xml:space="preserve"> under extreme conditions</w:t>
            </w:r>
            <w:r w:rsidR="00E120C7">
              <w:t>.</w:t>
            </w:r>
          </w:p>
        </w:tc>
      </w:tr>
      <w:tr w:rsidR="00213FF3" w:rsidTr="00993076">
        <w:tc>
          <w:tcPr>
            <w:tcW w:w="5000" w:type="pct"/>
            <w:tcBorders>
              <w:top w:val="nil"/>
              <w:left w:val="nil"/>
              <w:bottom w:val="single" w:sz="6" w:space="0" w:color="78A22F"/>
              <w:right w:val="nil"/>
            </w:tcBorders>
            <w:shd w:val="clear" w:color="auto" w:fill="auto"/>
          </w:tcPr>
          <w:p w:rsidR="00213FF3" w:rsidRDefault="00213FF3" w:rsidP="00993076">
            <w:pPr>
              <w:pStyle w:val="Space"/>
              <w:keepLines/>
            </w:pPr>
          </w:p>
        </w:tc>
      </w:tr>
      <w:tr w:rsidR="00213FF3" w:rsidRPr="000863A5" w:rsidTr="00993076">
        <w:tc>
          <w:tcPr>
            <w:tcW w:w="5000" w:type="pct"/>
            <w:tcBorders>
              <w:top w:val="single" w:sz="6" w:space="0" w:color="78A22F"/>
              <w:left w:val="nil"/>
              <w:bottom w:val="nil"/>
              <w:right w:val="nil"/>
            </w:tcBorders>
          </w:tcPr>
          <w:p w:rsidR="00213FF3" w:rsidRPr="00626D32" w:rsidRDefault="00213FF3" w:rsidP="00993076">
            <w:pPr>
              <w:pStyle w:val="BoxSpaceBelow"/>
              <w:keepLines/>
            </w:pPr>
          </w:p>
        </w:tc>
      </w:tr>
    </w:tbl>
    <w:p w:rsidR="00B45E37" w:rsidRDefault="00B45E37" w:rsidP="00B45E37">
      <w:pPr>
        <w:pStyle w:val="Heading3"/>
      </w:pPr>
      <w:r>
        <w:t>Compliance</w:t>
      </w:r>
    </w:p>
    <w:p w:rsidR="00E64F32" w:rsidRDefault="00E64F32" w:rsidP="00E64F32">
      <w:pPr>
        <w:pStyle w:val="BodyText"/>
      </w:pPr>
      <w:r>
        <w:t>Compliance is a key element of the Basin Plan</w:t>
      </w:r>
      <w:r w:rsidR="005E4B4A">
        <w:t xml:space="preserve"> implementation</w:t>
      </w:r>
      <w:r>
        <w:t xml:space="preserve">. There are various compliance activities and responsibilities across </w:t>
      </w:r>
      <w:r w:rsidR="00E92A47">
        <w:t xml:space="preserve">different </w:t>
      </w:r>
      <w:r w:rsidR="00401817">
        <w:t>aspects</w:t>
      </w:r>
      <w:r w:rsidR="001C7288">
        <w:t xml:space="preserve"> </w:t>
      </w:r>
      <w:r>
        <w:t xml:space="preserve">of the Plan. The </w:t>
      </w:r>
      <w:proofErr w:type="spellStart"/>
      <w:r>
        <w:t>MDBA</w:t>
      </w:r>
      <w:proofErr w:type="spellEnd"/>
      <w:r>
        <w:t xml:space="preserve"> is responsible for </w:t>
      </w:r>
      <w:r w:rsidR="001D6761">
        <w:t xml:space="preserve">taking actions to enforce </w:t>
      </w:r>
      <w:r w:rsidR="005F6933">
        <w:t xml:space="preserve">compliance with the Basin Plan </w:t>
      </w:r>
      <w:r>
        <w:t xml:space="preserve">and </w:t>
      </w:r>
      <w:proofErr w:type="spellStart"/>
      <w:r>
        <w:t>WRP</w:t>
      </w:r>
      <w:r w:rsidR="00E112CA">
        <w:t>s</w:t>
      </w:r>
      <w:proofErr w:type="spellEnd"/>
      <w:r w:rsidR="005C21E9">
        <w:t xml:space="preserve"> </w:t>
      </w:r>
      <w:r w:rsidR="005044E2">
        <w:t xml:space="preserve">(including </w:t>
      </w:r>
      <w:proofErr w:type="spellStart"/>
      <w:r w:rsidR="005044E2">
        <w:t>SDL</w:t>
      </w:r>
      <w:proofErr w:type="spellEnd"/>
      <w:r w:rsidR="005044E2">
        <w:t xml:space="preserve"> compliance</w:t>
      </w:r>
      <w:r w:rsidR="005F6933">
        <w:t>)</w:t>
      </w:r>
      <w:r>
        <w:t xml:space="preserve">. The Basin </w:t>
      </w:r>
      <w:r w:rsidR="005F6933">
        <w:t xml:space="preserve">States </w:t>
      </w:r>
      <w:r>
        <w:t xml:space="preserve">are responsible for </w:t>
      </w:r>
      <w:r w:rsidR="005F6933">
        <w:t>ensuring compliance with</w:t>
      </w:r>
      <w:r w:rsidR="005F6933" w:rsidRPr="005F6933">
        <w:t xml:space="preserve"> </w:t>
      </w:r>
      <w:r w:rsidR="005F6933">
        <w:t>their own water laws, such as rules governing water take</w:t>
      </w:r>
      <w:r>
        <w:t>.</w:t>
      </w:r>
      <w:r w:rsidR="00B910FE">
        <w:t xml:space="preserve"> </w:t>
      </w:r>
    </w:p>
    <w:p w:rsidR="006D3D67" w:rsidRPr="000D64F5" w:rsidRDefault="00B45E37" w:rsidP="000D64F5">
      <w:pPr>
        <w:pStyle w:val="BodyText"/>
      </w:pPr>
      <w:r>
        <w:lastRenderedPageBreak/>
        <w:t>Compliance regimes need to be effective, both keeping cost to a reasonable level, but also ensuring community confidence.</w:t>
      </w:r>
      <w:r w:rsidRPr="00F95D34">
        <w:t xml:space="preserve"> </w:t>
      </w:r>
    </w:p>
    <w:p w:rsidR="00B45E37" w:rsidRDefault="00B45E37" w:rsidP="00B45E37">
      <w:pPr>
        <w:pStyle w:val="Heading4"/>
      </w:pPr>
      <w:proofErr w:type="spellStart"/>
      <w:r>
        <w:t>MDBA</w:t>
      </w:r>
      <w:proofErr w:type="spellEnd"/>
      <w:r>
        <w:t xml:space="preserve"> compliance and enforcement</w:t>
      </w:r>
    </w:p>
    <w:p w:rsidR="00B45E37" w:rsidRDefault="00B45E37" w:rsidP="00B45E37">
      <w:pPr>
        <w:pStyle w:val="BodyText"/>
      </w:pPr>
      <w:r w:rsidRPr="00F95D34">
        <w:t xml:space="preserve">The Water Act and the Basin Plan introduced a new regulatory and compliance role for the </w:t>
      </w:r>
      <w:proofErr w:type="spellStart"/>
      <w:r w:rsidRPr="00F95D34">
        <w:t>MDBA</w:t>
      </w:r>
      <w:proofErr w:type="spellEnd"/>
      <w:r w:rsidR="00B910FE">
        <w:t xml:space="preserve"> </w:t>
      </w:r>
      <w:r w:rsidR="00885F6C" w:rsidRPr="00885F6C">
        <w:rPr>
          <w:szCs w:val="24"/>
        </w:rPr>
        <w:t>(</w:t>
      </w:r>
      <w:proofErr w:type="spellStart"/>
      <w:r w:rsidR="00885F6C" w:rsidRPr="00885F6C">
        <w:rPr>
          <w:szCs w:val="24"/>
        </w:rPr>
        <w:t>MDBA</w:t>
      </w:r>
      <w:proofErr w:type="spellEnd"/>
      <w:r w:rsidR="00885F6C" w:rsidRPr="00885F6C">
        <w:rPr>
          <w:szCs w:val="24"/>
        </w:rPr>
        <w:t> </w:t>
      </w:r>
      <w:proofErr w:type="spellStart"/>
      <w:r w:rsidR="00885F6C" w:rsidRPr="00885F6C">
        <w:rPr>
          <w:szCs w:val="24"/>
        </w:rPr>
        <w:t>2014b</w:t>
      </w:r>
      <w:proofErr w:type="spellEnd"/>
      <w:r w:rsidR="00885F6C" w:rsidRPr="00885F6C">
        <w:rPr>
          <w:szCs w:val="24"/>
        </w:rPr>
        <w:t>)</w:t>
      </w:r>
      <w:r w:rsidRPr="00F95D34">
        <w:t xml:space="preserve">. One of the </w:t>
      </w:r>
      <w:proofErr w:type="spellStart"/>
      <w:r w:rsidRPr="00F95D34">
        <w:t>MDBA’s</w:t>
      </w:r>
      <w:proofErr w:type="spellEnd"/>
      <w:r w:rsidRPr="00F95D34">
        <w:t xml:space="preserve"> key roles is to ensure compliance with </w:t>
      </w:r>
      <w:proofErr w:type="spellStart"/>
      <w:r w:rsidRPr="00F95D34">
        <w:t>SDLs</w:t>
      </w:r>
      <w:proofErr w:type="spellEnd"/>
      <w:r w:rsidRPr="00F95D34">
        <w:t xml:space="preserve">. This role includes assessing whether Basin States have arrangements in place to measure and maintain </w:t>
      </w:r>
      <w:proofErr w:type="spellStart"/>
      <w:r w:rsidRPr="00F95D34">
        <w:t>SDL</w:t>
      </w:r>
      <w:proofErr w:type="spellEnd"/>
      <w:r w:rsidRPr="00F95D34">
        <w:t xml:space="preserve"> compliance (as part of the </w:t>
      </w:r>
      <w:proofErr w:type="spellStart"/>
      <w:r w:rsidRPr="00F95D34">
        <w:t>WRP</w:t>
      </w:r>
      <w:proofErr w:type="spellEnd"/>
      <w:r w:rsidRPr="00F95D34">
        <w:t xml:space="preserve"> accreditation process</w:t>
      </w:r>
      <w:r>
        <w:t xml:space="preserve"> discussed above</w:t>
      </w:r>
      <w:r w:rsidRPr="00F95D34">
        <w:t>) and, from 1</w:t>
      </w:r>
      <w:r w:rsidR="00B37F8F">
        <w:t> </w:t>
      </w:r>
      <w:r w:rsidRPr="00F95D34">
        <w:t xml:space="preserve">July 2019, maintaining and publishing a register of take for each </w:t>
      </w:r>
      <w:proofErr w:type="spellStart"/>
      <w:r w:rsidRPr="00F95D34">
        <w:t>SDL</w:t>
      </w:r>
      <w:proofErr w:type="spellEnd"/>
      <w:r w:rsidRPr="00F95D34">
        <w:t xml:space="preserve"> resource unit </w:t>
      </w:r>
      <w:r w:rsidR="00885F6C" w:rsidRPr="00885F6C">
        <w:rPr>
          <w:szCs w:val="24"/>
        </w:rPr>
        <w:t>(</w:t>
      </w:r>
      <w:proofErr w:type="spellStart"/>
      <w:r w:rsidR="00885F6C" w:rsidRPr="00885F6C">
        <w:rPr>
          <w:szCs w:val="24"/>
        </w:rPr>
        <w:t>MDBA</w:t>
      </w:r>
      <w:proofErr w:type="spellEnd"/>
      <w:r w:rsidR="00885F6C" w:rsidRPr="00885F6C">
        <w:rPr>
          <w:szCs w:val="24"/>
        </w:rPr>
        <w:t> </w:t>
      </w:r>
      <w:proofErr w:type="spellStart"/>
      <w:r w:rsidR="00885F6C" w:rsidRPr="00885F6C">
        <w:rPr>
          <w:szCs w:val="24"/>
        </w:rPr>
        <w:t>2017</w:t>
      </w:r>
      <w:r w:rsidR="00152AF6">
        <w:rPr>
          <w:szCs w:val="24"/>
        </w:rPr>
        <w:t>e</w:t>
      </w:r>
      <w:proofErr w:type="spellEnd"/>
      <w:r w:rsidR="00885F6C" w:rsidRPr="00885F6C">
        <w:rPr>
          <w:szCs w:val="24"/>
        </w:rPr>
        <w:t>)</w:t>
      </w:r>
      <w:r w:rsidRPr="00F95D34">
        <w:t xml:space="preserve">. The </w:t>
      </w:r>
      <w:proofErr w:type="spellStart"/>
      <w:r w:rsidRPr="00F95D34">
        <w:t>MDBA’s</w:t>
      </w:r>
      <w:proofErr w:type="spellEnd"/>
      <w:r w:rsidRPr="00F95D34">
        <w:t xml:space="preserve"> other Basin </w:t>
      </w:r>
      <w:r w:rsidR="00B77AAC">
        <w:t>P</w:t>
      </w:r>
      <w:r w:rsidRPr="00F95D34">
        <w:t>lan compliance and regulatory activities include handling of allegations of non</w:t>
      </w:r>
      <w:r w:rsidR="00B37F8F">
        <w:noBreakHyphen/>
      </w:r>
      <w:r w:rsidRPr="00F95D34">
        <w:t xml:space="preserve">compliance (with the Basin Plan or </w:t>
      </w:r>
      <w:proofErr w:type="spellStart"/>
      <w:r w:rsidRPr="00F95D34">
        <w:t>WRPs</w:t>
      </w:r>
      <w:proofErr w:type="spellEnd"/>
      <w:r w:rsidRPr="00F95D34">
        <w:t xml:space="preserve">) against individuals, publishing annual statements of assurance on Plan implementation, </w:t>
      </w:r>
      <w:r w:rsidR="00563FAE">
        <w:t xml:space="preserve">overseeing </w:t>
      </w:r>
      <w:r w:rsidRPr="00F95D34">
        <w:t xml:space="preserve">implementation of </w:t>
      </w:r>
      <w:r w:rsidR="00563FAE">
        <w:t xml:space="preserve">the </w:t>
      </w:r>
      <w:r w:rsidRPr="00F95D34">
        <w:t xml:space="preserve">Basin </w:t>
      </w:r>
      <w:r w:rsidR="00563FAE">
        <w:t xml:space="preserve">Plan </w:t>
      </w:r>
      <w:r w:rsidRPr="00F95D34">
        <w:t xml:space="preserve">water </w:t>
      </w:r>
      <w:r w:rsidR="00563FAE">
        <w:t>trading</w:t>
      </w:r>
      <w:r w:rsidRPr="00F95D34">
        <w:t xml:space="preserve"> rules and education and awareness </w:t>
      </w:r>
      <w:r w:rsidR="00885F6C" w:rsidRPr="00885F6C">
        <w:rPr>
          <w:szCs w:val="24"/>
        </w:rPr>
        <w:t>(</w:t>
      </w:r>
      <w:proofErr w:type="spellStart"/>
      <w:r w:rsidR="00885F6C" w:rsidRPr="00885F6C">
        <w:rPr>
          <w:szCs w:val="24"/>
        </w:rPr>
        <w:t>MDBA</w:t>
      </w:r>
      <w:proofErr w:type="spellEnd"/>
      <w:r w:rsidR="00885F6C" w:rsidRPr="00885F6C">
        <w:rPr>
          <w:szCs w:val="24"/>
        </w:rPr>
        <w:t> </w:t>
      </w:r>
      <w:proofErr w:type="spellStart"/>
      <w:r w:rsidR="00885F6C" w:rsidRPr="00885F6C">
        <w:rPr>
          <w:szCs w:val="24"/>
        </w:rPr>
        <w:t>2017</w:t>
      </w:r>
      <w:r w:rsidR="00152AF6">
        <w:rPr>
          <w:szCs w:val="24"/>
        </w:rPr>
        <w:t>e</w:t>
      </w:r>
      <w:proofErr w:type="spellEnd"/>
      <w:r w:rsidR="00885F6C" w:rsidRPr="00885F6C">
        <w:rPr>
          <w:szCs w:val="24"/>
        </w:rPr>
        <w:t>)</w:t>
      </w:r>
      <w:r w:rsidRPr="00F95D34">
        <w:t>.</w:t>
      </w:r>
      <w:r w:rsidR="00EF6C1A">
        <w:t xml:space="preserve"> </w:t>
      </w:r>
      <w:r w:rsidR="00CF04B2">
        <w:t xml:space="preserve">Tools available to the </w:t>
      </w:r>
      <w:proofErr w:type="spellStart"/>
      <w:r w:rsidR="00CF04B2">
        <w:t>MDBA</w:t>
      </w:r>
      <w:proofErr w:type="spellEnd"/>
      <w:r w:rsidR="00CF04B2">
        <w:t xml:space="preserve"> to enforce compliance</w:t>
      </w:r>
      <w:r w:rsidR="00572E1F">
        <w:t xml:space="preserve"> include</w:t>
      </w:r>
      <w:r w:rsidR="00CF04B2">
        <w:t xml:space="preserve"> injunctions, declarations, enforcement notices and civil penalties.</w:t>
      </w:r>
    </w:p>
    <w:p w:rsidR="00B45E37" w:rsidRDefault="00B45E37" w:rsidP="00B45E37">
      <w:pPr>
        <w:pStyle w:val="BodyText"/>
      </w:pPr>
      <w:r>
        <w:t xml:space="preserve">A recent compliance review by the </w:t>
      </w:r>
      <w:proofErr w:type="spellStart"/>
      <w:r>
        <w:t>MDBA</w:t>
      </w:r>
      <w:proofErr w:type="spellEnd"/>
      <w:r>
        <w:t xml:space="preserve"> and </w:t>
      </w:r>
      <w:r w:rsidRPr="00900369">
        <w:t>an Independent Panel</w:t>
      </w:r>
      <w:r>
        <w:t xml:space="preserve"> found that </w:t>
      </w:r>
      <w:r w:rsidRPr="00900369">
        <w:t xml:space="preserve">the </w:t>
      </w:r>
      <w:proofErr w:type="spellStart"/>
      <w:r w:rsidRPr="00900369">
        <w:t>MDBA</w:t>
      </w:r>
      <w:proofErr w:type="spellEnd"/>
      <w:r w:rsidRPr="00900369">
        <w:t xml:space="preserve"> must be more assertive in performing its compliance and enforcement ro</w:t>
      </w:r>
      <w:r>
        <w:t>le across the Basin</w:t>
      </w:r>
      <w:r w:rsidR="00D34E5E">
        <w:t xml:space="preserve"> </w:t>
      </w:r>
      <w:r w:rsidR="00885F6C" w:rsidRPr="00885F6C">
        <w:rPr>
          <w:szCs w:val="24"/>
        </w:rPr>
        <w:t>(</w:t>
      </w:r>
      <w:proofErr w:type="spellStart"/>
      <w:r w:rsidR="00885F6C" w:rsidRPr="00885F6C">
        <w:rPr>
          <w:szCs w:val="24"/>
        </w:rPr>
        <w:t>MDBA</w:t>
      </w:r>
      <w:proofErr w:type="spellEnd"/>
      <w:r w:rsidR="00885F6C" w:rsidRPr="00885F6C">
        <w:rPr>
          <w:szCs w:val="24"/>
        </w:rPr>
        <w:t> </w:t>
      </w:r>
      <w:proofErr w:type="spellStart"/>
      <w:r w:rsidR="00885F6C" w:rsidRPr="00885F6C">
        <w:rPr>
          <w:szCs w:val="24"/>
        </w:rPr>
        <w:t>2017e</w:t>
      </w:r>
      <w:proofErr w:type="spellEnd"/>
      <w:r w:rsidR="00885F6C" w:rsidRPr="00885F6C">
        <w:rPr>
          <w:szCs w:val="24"/>
        </w:rPr>
        <w:t>)</w:t>
      </w:r>
      <w:r>
        <w:t>. It proposed</w:t>
      </w:r>
      <w:r w:rsidRPr="00900369">
        <w:t xml:space="preserve"> that the </w:t>
      </w:r>
      <w:proofErr w:type="spellStart"/>
      <w:r w:rsidRPr="00900369">
        <w:t>MDBA’s</w:t>
      </w:r>
      <w:proofErr w:type="spellEnd"/>
      <w:r w:rsidRPr="00900369">
        <w:t xml:space="preserve"> compliance powers be available consistently across the Basin, which will require a regulatory amendment to ensure this is the case in the lead up to the accreditation of state water resource plans by 30</w:t>
      </w:r>
      <w:r w:rsidR="00B37F8F">
        <w:t> </w:t>
      </w:r>
      <w:r w:rsidRPr="00900369">
        <w:t>June 2019.</w:t>
      </w:r>
    </w:p>
    <w:p w:rsidR="00B45E37" w:rsidRDefault="00B45E37" w:rsidP="00B45E37">
      <w:pPr>
        <w:pStyle w:val="BodyText"/>
      </w:pPr>
      <w:r>
        <w:t xml:space="preserve">In response to the review, the </w:t>
      </w:r>
      <w:proofErr w:type="spellStart"/>
      <w:r>
        <w:t>MDBA</w:t>
      </w:r>
      <w:proofErr w:type="spellEnd"/>
      <w:r>
        <w:t xml:space="preserve"> committed to revise its</w:t>
      </w:r>
      <w:r w:rsidRPr="00900369">
        <w:t xml:space="preserve"> compliance and enforcement strategy, adopt a clear escalation pathway for handling allegat</w:t>
      </w:r>
      <w:r>
        <w:t>ions of non</w:t>
      </w:r>
      <w:r w:rsidR="00B37F8F">
        <w:noBreakHyphen/>
      </w:r>
      <w:r>
        <w:t>compliance, make its</w:t>
      </w:r>
      <w:r w:rsidRPr="00900369">
        <w:t xml:space="preserve"> expectations for compliance clear, commence an auditing program across the Basin, and report publicly on handling and progress of compliance matters</w:t>
      </w:r>
      <w:r>
        <w:t>.</w:t>
      </w:r>
    </w:p>
    <w:p w:rsidR="001D6761" w:rsidRDefault="00B45E37" w:rsidP="001D6761">
      <w:pPr>
        <w:pStyle w:val="BodyText"/>
      </w:pPr>
      <w:r>
        <w:t xml:space="preserve">The </w:t>
      </w:r>
      <w:proofErr w:type="spellStart"/>
      <w:r>
        <w:t>MDBA</w:t>
      </w:r>
      <w:proofErr w:type="spellEnd"/>
      <w:r>
        <w:t xml:space="preserve"> </w:t>
      </w:r>
      <w:r w:rsidRPr="00913149">
        <w:t>ha</w:t>
      </w:r>
      <w:r>
        <w:t>s</w:t>
      </w:r>
      <w:r w:rsidRPr="00913149">
        <w:t xml:space="preserve"> establish</w:t>
      </w:r>
      <w:r>
        <w:t xml:space="preserve">ed </w:t>
      </w:r>
      <w:r w:rsidRPr="00913149">
        <w:t xml:space="preserve">an Office of Compliance, an Independent Assurance Committee and an online register to report on the handling and progress of compliance matters reported to the </w:t>
      </w:r>
      <w:proofErr w:type="spellStart"/>
      <w:r w:rsidRPr="00913149">
        <w:t>MDBA</w:t>
      </w:r>
      <w:proofErr w:type="spellEnd"/>
      <w:r w:rsidRPr="00913149">
        <w:t>.</w:t>
      </w:r>
    </w:p>
    <w:p w:rsidR="00B45E37" w:rsidRPr="00CF316E" w:rsidRDefault="00B45E37" w:rsidP="007851D6">
      <w:pPr>
        <w:pStyle w:val="Heading4"/>
      </w:pPr>
      <w:r>
        <w:t xml:space="preserve">State </w:t>
      </w:r>
      <w:r w:rsidRPr="00CF316E">
        <w:t xml:space="preserve">compliance and enforcement </w:t>
      </w:r>
    </w:p>
    <w:p w:rsidR="00B45E37" w:rsidRDefault="00B45E37" w:rsidP="00B45E37">
      <w:pPr>
        <w:pStyle w:val="BodyText"/>
      </w:pPr>
      <w:r>
        <w:t>Although Basin States must bring their water planning laws into alignment with the Basin Plan, they retain responsibility for their own water management arrangements. For example, Basin States are responsible for enforcing their own water laws to prevent illegal water take and ensuring individual entitlement holders fulfil their licence obligations</w:t>
      </w:r>
      <w:r w:rsidR="00A770EB">
        <w:t xml:space="preserve"> </w:t>
      </w:r>
      <w:r w:rsidR="00885F6C" w:rsidRPr="00885F6C">
        <w:rPr>
          <w:szCs w:val="24"/>
        </w:rPr>
        <w:t>(</w:t>
      </w:r>
      <w:proofErr w:type="spellStart"/>
      <w:r w:rsidR="00885F6C" w:rsidRPr="00885F6C">
        <w:rPr>
          <w:szCs w:val="24"/>
        </w:rPr>
        <w:t>MDBA</w:t>
      </w:r>
      <w:proofErr w:type="spellEnd"/>
      <w:r w:rsidR="00885F6C" w:rsidRPr="00885F6C">
        <w:rPr>
          <w:szCs w:val="24"/>
        </w:rPr>
        <w:t> </w:t>
      </w:r>
      <w:proofErr w:type="spellStart"/>
      <w:r w:rsidR="00885F6C" w:rsidRPr="00885F6C">
        <w:rPr>
          <w:szCs w:val="24"/>
        </w:rPr>
        <w:t>2017a</w:t>
      </w:r>
      <w:proofErr w:type="spellEnd"/>
      <w:r w:rsidR="00885F6C" w:rsidRPr="00885F6C">
        <w:rPr>
          <w:szCs w:val="24"/>
        </w:rPr>
        <w:t>)</w:t>
      </w:r>
      <w:r>
        <w:t xml:space="preserve">. </w:t>
      </w:r>
    </w:p>
    <w:p w:rsidR="00B45E37" w:rsidRDefault="00B45E37" w:rsidP="00B45E37">
      <w:pPr>
        <w:pStyle w:val="BodyText"/>
      </w:pPr>
      <w:r>
        <w:t>A Four Corners investigative report into water management in the Basin broadcast on 24 July 2017 raised major concerns about compliance with and enforcement of water laws in the Basin. This resulted in a number of investigations into</w:t>
      </w:r>
      <w:r w:rsidRPr="009744FA">
        <w:t xml:space="preserve"> compliance </w:t>
      </w:r>
      <w:r>
        <w:t xml:space="preserve">at both the Basin and </w:t>
      </w:r>
      <w:r w:rsidR="00422FB8">
        <w:t>s</w:t>
      </w:r>
      <w:r>
        <w:t xml:space="preserve">tate level, some of which are still ongoing </w:t>
      </w:r>
      <w:r w:rsidR="00885F6C" w:rsidRPr="00885F6C">
        <w:rPr>
          <w:szCs w:val="24"/>
        </w:rPr>
        <w:t xml:space="preserve">(Matthews 2017; </w:t>
      </w:r>
      <w:proofErr w:type="spellStart"/>
      <w:r w:rsidR="00885F6C" w:rsidRPr="00885F6C">
        <w:rPr>
          <w:szCs w:val="24"/>
        </w:rPr>
        <w:t>MDBA</w:t>
      </w:r>
      <w:proofErr w:type="spellEnd"/>
      <w:r w:rsidR="00885F6C" w:rsidRPr="00885F6C">
        <w:rPr>
          <w:szCs w:val="24"/>
        </w:rPr>
        <w:t> </w:t>
      </w:r>
      <w:proofErr w:type="spellStart"/>
      <w:r w:rsidR="00885F6C" w:rsidRPr="00885F6C">
        <w:rPr>
          <w:szCs w:val="24"/>
        </w:rPr>
        <w:t>2017e</w:t>
      </w:r>
      <w:proofErr w:type="spellEnd"/>
      <w:r w:rsidR="00885F6C" w:rsidRPr="00885F6C">
        <w:rPr>
          <w:szCs w:val="24"/>
        </w:rPr>
        <w:t>)</w:t>
      </w:r>
      <w:r>
        <w:t xml:space="preserve">. A review undertaken by the </w:t>
      </w:r>
      <w:proofErr w:type="spellStart"/>
      <w:r>
        <w:t>MDBA</w:t>
      </w:r>
      <w:proofErr w:type="spellEnd"/>
      <w:r w:rsidRPr="00AB01D8">
        <w:t xml:space="preserve"> and an Independent Panel found </w:t>
      </w:r>
      <w:r w:rsidRPr="00AB01D8">
        <w:rPr>
          <w:rFonts w:hint="eastAsia"/>
        </w:rPr>
        <w:t>‘</w:t>
      </w:r>
      <w:r w:rsidRPr="00AB01D8">
        <w:t xml:space="preserve">compliance systems and activities in some </w:t>
      </w:r>
      <w:r w:rsidRPr="00AB01D8">
        <w:lastRenderedPageBreak/>
        <w:t>jurisdictions ar</w:t>
      </w:r>
      <w:r>
        <w:t>e more effective than in others’ and</w:t>
      </w:r>
      <w:r w:rsidRPr="00AB01D8">
        <w:t xml:space="preserve"> </w:t>
      </w:r>
      <w:r>
        <w:t>‘</w:t>
      </w:r>
      <w:r w:rsidR="005C21E9">
        <w:t>a</w:t>
      </w:r>
      <w:r w:rsidRPr="00AB01D8">
        <w:t xml:space="preserve">ll Basin </w:t>
      </w:r>
      <w:r w:rsidR="00422FB8">
        <w:t>St</w:t>
      </w:r>
      <w:r w:rsidR="00422FB8" w:rsidRPr="00AB01D8">
        <w:t xml:space="preserve">ate </w:t>
      </w:r>
      <w:r w:rsidRPr="00AB01D8">
        <w:t xml:space="preserve">regulators need </w:t>
      </w:r>
      <w:r w:rsidR="00152AF6">
        <w:t xml:space="preserve">[to] </w:t>
      </w:r>
      <w:r w:rsidRPr="00AB01D8">
        <w:t>be more active, consistent and transparent in enforcing compliance</w:t>
      </w:r>
      <w:r w:rsidRPr="00AB01D8">
        <w:rPr>
          <w:rFonts w:hint="eastAsia"/>
        </w:rPr>
        <w:t>’</w:t>
      </w:r>
      <w:r w:rsidR="00885F6C" w:rsidRPr="00885F6C">
        <w:rPr>
          <w:szCs w:val="24"/>
        </w:rPr>
        <w:t>(</w:t>
      </w:r>
      <w:proofErr w:type="spellStart"/>
      <w:r w:rsidR="00885F6C" w:rsidRPr="00885F6C">
        <w:rPr>
          <w:szCs w:val="24"/>
        </w:rPr>
        <w:t>MDBA</w:t>
      </w:r>
      <w:proofErr w:type="spellEnd"/>
      <w:r w:rsidR="00885F6C" w:rsidRPr="00885F6C">
        <w:rPr>
          <w:szCs w:val="24"/>
        </w:rPr>
        <w:t> </w:t>
      </w:r>
      <w:proofErr w:type="spellStart"/>
      <w:r w:rsidR="00885F6C" w:rsidRPr="00885F6C">
        <w:rPr>
          <w:szCs w:val="24"/>
        </w:rPr>
        <w:t>2018a</w:t>
      </w:r>
      <w:proofErr w:type="spellEnd"/>
      <w:r w:rsidR="00885F6C" w:rsidRPr="00885F6C">
        <w:rPr>
          <w:szCs w:val="24"/>
        </w:rPr>
        <w:t>)</w:t>
      </w:r>
      <w:r w:rsidRPr="00AB01D8">
        <w:t>.</w:t>
      </w:r>
      <w:r w:rsidR="005C21E9">
        <w:t xml:space="preserve"> </w:t>
      </w:r>
      <w:r w:rsidR="00DF0CB2">
        <w:t xml:space="preserve">The South Australian Government has </w:t>
      </w:r>
      <w:r w:rsidR="00DF0CB2" w:rsidRPr="00DF0CB2">
        <w:t xml:space="preserve">launched a state royal commission </w:t>
      </w:r>
      <w:r w:rsidR="009A7AD0">
        <w:t>to investigate the operations and effectiveness of the Murray</w:t>
      </w:r>
      <w:r w:rsidR="00B37F8F">
        <w:noBreakHyphen/>
      </w:r>
      <w:r w:rsidR="009A7AD0">
        <w:t xml:space="preserve">Darling Basin system </w:t>
      </w:r>
      <w:r w:rsidR="00885F6C" w:rsidRPr="00885F6C">
        <w:rPr>
          <w:szCs w:val="24"/>
        </w:rPr>
        <w:t>(Murray-Darling Basin Royal Commission 2018)</w:t>
      </w:r>
      <w:r w:rsidR="00DF0CB2" w:rsidRPr="00DF0CB2">
        <w:t>.</w:t>
      </w:r>
    </w:p>
    <w:p w:rsidR="00B45E37" w:rsidRPr="009744FA" w:rsidRDefault="00B45E37" w:rsidP="00B45E37">
      <w:pPr>
        <w:pStyle w:val="BodyText"/>
      </w:pPr>
      <w:r>
        <w:t>Some state government</w:t>
      </w:r>
      <w:r w:rsidR="00422FB8">
        <w:t xml:space="preserve"> </w:t>
      </w:r>
      <w:r>
        <w:t>agencies have already committed to changes in compliance arrangements in response to recent reviews. For example, t</w:t>
      </w:r>
      <w:r w:rsidRPr="00913149">
        <w:t xml:space="preserve">he NSW Government </w:t>
      </w:r>
      <w:r>
        <w:t xml:space="preserve">has announced a </w:t>
      </w:r>
      <w:r w:rsidRPr="00913149">
        <w:t xml:space="preserve">‘Water Reform </w:t>
      </w:r>
      <w:r w:rsidR="00152AF6">
        <w:t>Package</w:t>
      </w:r>
      <w:r w:rsidRPr="00913149">
        <w:t xml:space="preserve">’ and established the new Natural Resources Regulator </w:t>
      </w:r>
      <w:r w:rsidR="00885F6C" w:rsidRPr="00885F6C">
        <w:rPr>
          <w:szCs w:val="24"/>
        </w:rPr>
        <w:t>(Niall Blair 2017)</w:t>
      </w:r>
      <w:r w:rsidRPr="00913149">
        <w:t>.</w:t>
      </w:r>
      <w:r>
        <w:t xml:space="preserve"> </w:t>
      </w:r>
    </w:p>
    <w:p w:rsidR="00B45E37" w:rsidRDefault="00B45E37" w:rsidP="00B45E37">
      <w:pPr>
        <w:pStyle w:val="BodyText"/>
      </w:pPr>
      <w:r w:rsidRPr="00913149">
        <w:t>At its 19</w:t>
      </w:r>
      <w:r w:rsidR="00B37F8F">
        <w:t> </w:t>
      </w:r>
      <w:r w:rsidRPr="00913149">
        <w:t xml:space="preserve">December 2017 meeting, the </w:t>
      </w:r>
      <w:proofErr w:type="spellStart"/>
      <w:r w:rsidRPr="00913149">
        <w:t>MDB</w:t>
      </w:r>
      <w:proofErr w:type="spellEnd"/>
      <w:r w:rsidRPr="00913149">
        <w:t xml:space="preserve"> Ministerial Council </w:t>
      </w:r>
      <w:r w:rsidR="00885F6C" w:rsidRPr="00885F6C">
        <w:t>(</w:t>
      </w:r>
      <w:proofErr w:type="spellStart"/>
      <w:r w:rsidR="00885F6C" w:rsidRPr="00885F6C">
        <w:t>2017b</w:t>
      </w:r>
      <w:proofErr w:type="spellEnd"/>
      <w:r w:rsidR="00885F6C" w:rsidRPr="00885F6C">
        <w:t>)</w:t>
      </w:r>
      <w:r w:rsidRPr="00913149">
        <w:t xml:space="preserve"> tasked Basin officials to develop a draft Basin Compliance Compact that will detail </w:t>
      </w:r>
      <w:r>
        <w:t xml:space="preserve">a </w:t>
      </w:r>
      <w:r w:rsidRPr="00913149">
        <w:t>compliance implementation framework</w:t>
      </w:r>
      <w:r>
        <w:t xml:space="preserve"> in response to the issue</w:t>
      </w:r>
      <w:r w:rsidR="00422FB8">
        <w:t>s</w:t>
      </w:r>
      <w:r>
        <w:t xml:space="preserve"> identified in recent reviews. The framework is to include</w:t>
      </w:r>
      <w:r w:rsidRPr="0048106E">
        <w:t xml:space="preserve"> specific plans for improving compliance and enforcement activities for each Basin </w:t>
      </w:r>
      <w:r w:rsidR="005C21E9">
        <w:t>State</w:t>
      </w:r>
      <w:r>
        <w:t xml:space="preserve"> and for the </w:t>
      </w:r>
      <w:proofErr w:type="spellStart"/>
      <w:r>
        <w:t>MDBA</w:t>
      </w:r>
      <w:proofErr w:type="spellEnd"/>
      <w:r>
        <w:t xml:space="preserve">, and for </w:t>
      </w:r>
      <w:r w:rsidRPr="0048106E">
        <w:t>transparent reporting and accountability arrangements on progress.</w:t>
      </w:r>
      <w:r>
        <w:t xml:space="preserve"> The </w:t>
      </w:r>
      <w:r w:rsidRPr="00913149">
        <w:t xml:space="preserve">Council </w:t>
      </w:r>
      <w:r>
        <w:t xml:space="preserve">is scheduled to consider the framework </w:t>
      </w:r>
      <w:r w:rsidRPr="00913149">
        <w:t xml:space="preserve">at its first meeting in 2018, prior to consideration by </w:t>
      </w:r>
      <w:proofErr w:type="spellStart"/>
      <w:r w:rsidRPr="00913149">
        <w:t>COAG</w:t>
      </w:r>
      <w:proofErr w:type="spellEnd"/>
      <w:r w:rsidRPr="00913149">
        <w:t xml:space="preserve">. </w:t>
      </w:r>
      <w:r>
        <w:t>As agreed at this meeting,</w:t>
      </w:r>
      <w:r w:rsidRPr="00913149">
        <w:t xml:space="preserve"> an independent person </w:t>
      </w:r>
      <w:r>
        <w:t>has been appointed</w:t>
      </w:r>
      <w:r w:rsidRPr="00913149">
        <w:t xml:space="preserve"> to assess and review all the investigations currently being undertaken about the Basin on compliance and provide advice on implementation.</w:t>
      </w:r>
    </w:p>
    <w:p w:rsidR="00B45E37" w:rsidRPr="00913149" w:rsidDel="00CC4EB2" w:rsidRDefault="00CC4C93" w:rsidP="00CC4C93">
      <w:pPr>
        <w:pStyle w:val="BodyText"/>
      </w:pPr>
      <w:r>
        <w:t xml:space="preserve">The Commission will consider </w:t>
      </w:r>
      <w:r w:rsidR="00660BA8">
        <w:t>how governments are responding</w:t>
      </w:r>
      <w:r>
        <w:t xml:space="preserve"> </w:t>
      </w:r>
      <w:r w:rsidR="00C2351C">
        <w:t>to</w:t>
      </w:r>
      <w:r>
        <w:t xml:space="preserve"> </w:t>
      </w:r>
      <w:r w:rsidR="004A4E69">
        <w:t xml:space="preserve">recommendations of </w:t>
      </w:r>
      <w:r>
        <w:t xml:space="preserve">recent </w:t>
      </w:r>
      <w:r w:rsidR="00893A77">
        <w:t xml:space="preserve">compliance </w:t>
      </w:r>
      <w:r>
        <w:t xml:space="preserve">reviews as </w:t>
      </w:r>
      <w:r w:rsidR="00893A77">
        <w:t>they relate</w:t>
      </w:r>
      <w:r w:rsidR="005953F9">
        <w:t xml:space="preserve"> to </w:t>
      </w:r>
      <w:r>
        <w:t>implementation</w:t>
      </w:r>
      <w:r w:rsidR="005953F9" w:rsidRPr="005953F9">
        <w:t xml:space="preserve"> </w:t>
      </w:r>
      <w:r w:rsidR="005953F9">
        <w:t xml:space="preserve">of </w:t>
      </w:r>
      <w:r w:rsidR="00893A77">
        <w:t xml:space="preserve">the </w:t>
      </w:r>
      <w:r w:rsidR="005953F9">
        <w:t>Basin Plan</w:t>
      </w:r>
      <w:r>
        <w:t>.</w:t>
      </w:r>
    </w:p>
    <w:p w:rsidR="00B45E37" w:rsidRPr="009744FA" w:rsidRDefault="00B45E37" w:rsidP="00B45E37">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B45E37" w:rsidRPr="009744FA" w:rsidTr="00563B55">
        <w:trPr>
          <w:tblHeader/>
        </w:trPr>
        <w:tc>
          <w:tcPr>
            <w:tcW w:w="5000" w:type="pct"/>
            <w:tcBorders>
              <w:top w:val="single" w:sz="6" w:space="0" w:color="78A22F"/>
              <w:left w:val="nil"/>
              <w:bottom w:val="nil"/>
              <w:right w:val="nil"/>
            </w:tcBorders>
            <w:shd w:val="clear" w:color="auto" w:fill="auto"/>
          </w:tcPr>
          <w:p w:rsidR="00B45E37" w:rsidRPr="009744FA" w:rsidRDefault="00B45E37" w:rsidP="00CF19E5">
            <w:pPr>
              <w:keepNext/>
              <w:keepLines/>
              <w:spacing w:before="120" w:line="280" w:lineRule="atLeast"/>
              <w:jc w:val="both"/>
              <w:rPr>
                <w:rFonts w:ascii="Arial" w:hAnsi="Arial"/>
                <w:i/>
                <w:caps/>
                <w:sz w:val="18"/>
              </w:rPr>
            </w:pPr>
            <w:r>
              <w:rPr>
                <w:rFonts w:ascii="Arial" w:hAnsi="Arial"/>
                <w:i/>
                <w:caps/>
                <w:sz w:val="18"/>
              </w:rPr>
              <w:t xml:space="preserve">Information request </w:t>
            </w:r>
            <w:r w:rsidR="001C5326">
              <w:rPr>
                <w:rFonts w:ascii="Arial" w:hAnsi="Arial"/>
                <w:i/>
                <w:caps/>
                <w:sz w:val="18"/>
              </w:rPr>
              <w:t>12</w:t>
            </w:r>
          </w:p>
        </w:tc>
      </w:tr>
      <w:tr w:rsidR="00B45E37" w:rsidRPr="009744FA" w:rsidTr="00563B55">
        <w:tc>
          <w:tcPr>
            <w:tcW w:w="5000" w:type="pct"/>
            <w:tcBorders>
              <w:top w:val="nil"/>
              <w:left w:val="nil"/>
              <w:bottom w:val="nil"/>
              <w:right w:val="nil"/>
            </w:tcBorders>
            <w:shd w:val="clear" w:color="auto" w:fill="auto"/>
          </w:tcPr>
          <w:p w:rsidR="00B45E37" w:rsidRPr="00DE7C5C" w:rsidRDefault="00B45E37" w:rsidP="008D46E0">
            <w:pPr>
              <w:pStyle w:val="InformationRequest"/>
              <w:keepNext/>
            </w:pPr>
            <w:r w:rsidRPr="00DE7C5C">
              <w:t>The Commission is seeking information on:</w:t>
            </w:r>
          </w:p>
          <w:p w:rsidR="00A97FA7" w:rsidRDefault="00A97FA7" w:rsidP="00876954">
            <w:pPr>
              <w:pStyle w:val="InformationRequestBullet"/>
              <w:keepNext/>
              <w:numPr>
                <w:ilvl w:val="0"/>
                <w:numId w:val="19"/>
              </w:numPr>
            </w:pPr>
            <w:r w:rsidRPr="0048721B">
              <w:rPr>
                <w:color w:val="000000" w:themeColor="text1"/>
              </w:rPr>
              <w:t xml:space="preserve">risks to the </w:t>
            </w:r>
            <w:proofErr w:type="spellStart"/>
            <w:r w:rsidRPr="0048721B">
              <w:rPr>
                <w:color w:val="000000" w:themeColor="text1"/>
              </w:rPr>
              <w:t>MDBA’s</w:t>
            </w:r>
            <w:proofErr w:type="spellEnd"/>
            <w:r w:rsidRPr="0048721B">
              <w:rPr>
                <w:color w:val="000000" w:themeColor="text1"/>
              </w:rPr>
              <w:t xml:space="preserve"> ability to monitor </w:t>
            </w:r>
            <w:r>
              <w:rPr>
                <w:color w:val="000000" w:themeColor="text1"/>
              </w:rPr>
              <w:t xml:space="preserve">and enforce </w:t>
            </w:r>
            <w:r w:rsidRPr="0048721B">
              <w:rPr>
                <w:color w:val="000000" w:themeColor="text1"/>
              </w:rPr>
              <w:t xml:space="preserve">compliance </w:t>
            </w:r>
            <w:r>
              <w:rPr>
                <w:color w:val="000000" w:themeColor="text1"/>
              </w:rPr>
              <w:t xml:space="preserve">with the Basin Plan and </w:t>
            </w:r>
            <w:proofErr w:type="spellStart"/>
            <w:r>
              <w:rPr>
                <w:color w:val="000000" w:themeColor="text1"/>
              </w:rPr>
              <w:t>WRPs</w:t>
            </w:r>
            <w:proofErr w:type="spellEnd"/>
            <w:r>
              <w:rPr>
                <w:color w:val="000000" w:themeColor="text1"/>
              </w:rPr>
              <w:t xml:space="preserve"> </w:t>
            </w:r>
            <w:r w:rsidRPr="0048721B">
              <w:rPr>
                <w:color w:val="000000" w:themeColor="text1"/>
              </w:rPr>
              <w:t>from July 2019, and what, if any changes should be made to address these risks</w:t>
            </w:r>
          </w:p>
          <w:p w:rsidR="00B45E37" w:rsidRPr="00463ED1" w:rsidRDefault="00B45E37" w:rsidP="00876954">
            <w:pPr>
              <w:pStyle w:val="InformationRequestBullet"/>
              <w:keepNext/>
              <w:numPr>
                <w:ilvl w:val="0"/>
                <w:numId w:val="19"/>
              </w:numPr>
            </w:pPr>
            <w:r w:rsidRPr="008769F0">
              <w:t xml:space="preserve">the </w:t>
            </w:r>
            <w:r w:rsidRPr="00463ED1">
              <w:t>extent to which non</w:t>
            </w:r>
            <w:r w:rsidR="00B37F8F">
              <w:noBreakHyphen/>
            </w:r>
            <w:r w:rsidRPr="00463ED1">
              <w:t xml:space="preserve">compliance with the Basin Plan will be addressed by recent changes to </w:t>
            </w:r>
            <w:r>
              <w:t xml:space="preserve">compliance </w:t>
            </w:r>
            <w:r w:rsidRPr="00463ED1">
              <w:t>and enforcement announced by governments</w:t>
            </w:r>
          </w:p>
          <w:p w:rsidR="00B45E37" w:rsidRPr="009744FA" w:rsidRDefault="00B45E37" w:rsidP="00876954">
            <w:pPr>
              <w:pStyle w:val="InformationRequestBullet"/>
              <w:keepNext/>
              <w:numPr>
                <w:ilvl w:val="0"/>
                <w:numId w:val="19"/>
              </w:numPr>
            </w:pPr>
            <w:r w:rsidRPr="00463ED1">
              <w:t xml:space="preserve">any further changes that should be introduced to increase </w:t>
            </w:r>
            <w:r>
              <w:t xml:space="preserve">water take </w:t>
            </w:r>
            <w:r w:rsidRPr="00463ED1">
              <w:t xml:space="preserve">compliance </w:t>
            </w:r>
            <w:r>
              <w:t>across</w:t>
            </w:r>
            <w:r w:rsidRPr="00463ED1">
              <w:t xml:space="preserve"> the Basin</w:t>
            </w:r>
            <w:r w:rsidR="00904926">
              <w:t>.</w:t>
            </w:r>
          </w:p>
        </w:tc>
      </w:tr>
      <w:tr w:rsidR="00B45E37" w:rsidRPr="009744FA" w:rsidTr="00563B55">
        <w:tc>
          <w:tcPr>
            <w:tcW w:w="5000" w:type="pct"/>
            <w:tcBorders>
              <w:top w:val="nil"/>
              <w:left w:val="nil"/>
              <w:bottom w:val="single" w:sz="6" w:space="0" w:color="78A22F"/>
              <w:right w:val="nil"/>
            </w:tcBorders>
            <w:shd w:val="clear" w:color="auto" w:fill="auto"/>
          </w:tcPr>
          <w:p w:rsidR="00B45E37" w:rsidRPr="009744FA" w:rsidRDefault="00B45E37" w:rsidP="00CF19E5">
            <w:pPr>
              <w:keepNext/>
              <w:keepLines/>
              <w:spacing w:line="120" w:lineRule="exact"/>
              <w:jc w:val="both"/>
              <w:rPr>
                <w:rFonts w:ascii="Arial" w:hAnsi="Arial"/>
                <w:sz w:val="20"/>
              </w:rPr>
            </w:pPr>
          </w:p>
        </w:tc>
      </w:tr>
      <w:tr w:rsidR="00B45E37" w:rsidRPr="009744FA" w:rsidTr="00563B55">
        <w:tc>
          <w:tcPr>
            <w:tcW w:w="5000" w:type="pct"/>
            <w:tcBorders>
              <w:top w:val="single" w:sz="6" w:space="0" w:color="78A22F"/>
              <w:left w:val="nil"/>
              <w:bottom w:val="nil"/>
              <w:right w:val="nil"/>
            </w:tcBorders>
          </w:tcPr>
          <w:p w:rsidR="00B45E37" w:rsidRPr="009744FA" w:rsidRDefault="00B45E37" w:rsidP="008D46E0">
            <w:pPr>
              <w:keepNext/>
              <w:keepLines/>
              <w:spacing w:before="60" w:after="60" w:line="80" w:lineRule="exact"/>
              <w:jc w:val="both"/>
              <w:rPr>
                <w:rFonts w:ascii="Arial" w:hAnsi="Arial"/>
                <w:sz w:val="14"/>
              </w:rPr>
            </w:pPr>
          </w:p>
        </w:tc>
      </w:tr>
    </w:tbl>
    <w:p w:rsidR="009744FA" w:rsidRPr="007A5A73" w:rsidRDefault="009744FA" w:rsidP="006C28E0">
      <w:pPr>
        <w:pStyle w:val="Heading3"/>
      </w:pPr>
      <w:r w:rsidRPr="007A5A73">
        <w:t>Monitoring</w:t>
      </w:r>
      <w:r w:rsidR="00AC6A6B" w:rsidRPr="007A5A73">
        <w:t>,</w:t>
      </w:r>
      <w:r w:rsidRPr="007A5A73">
        <w:t xml:space="preserve"> evaluation</w:t>
      </w:r>
      <w:r w:rsidR="00AC6A6B" w:rsidRPr="007A5A73">
        <w:t xml:space="preserve"> and reporting</w:t>
      </w:r>
      <w:r w:rsidRPr="007A5A73">
        <w:t xml:space="preserve"> </w:t>
      </w:r>
    </w:p>
    <w:p w:rsidR="009744FA" w:rsidRPr="009744FA" w:rsidRDefault="00FC320A" w:rsidP="009744FA">
      <w:pPr>
        <w:spacing w:before="240" w:line="300" w:lineRule="atLeast"/>
        <w:jc w:val="both"/>
      </w:pPr>
      <w:r>
        <w:t>M</w:t>
      </w:r>
      <w:r w:rsidR="009744FA" w:rsidRPr="009744FA">
        <w:t xml:space="preserve">onitoring, evaluation and reporting </w:t>
      </w:r>
      <w:r>
        <w:t xml:space="preserve">is </w:t>
      </w:r>
      <w:r w:rsidR="009744FA" w:rsidRPr="009744FA">
        <w:t xml:space="preserve">required to determine whether the objectives of the </w:t>
      </w:r>
      <w:r>
        <w:t xml:space="preserve">Basin </w:t>
      </w:r>
      <w:r w:rsidR="009744FA" w:rsidRPr="009744FA">
        <w:t xml:space="preserve">Plan are being met. </w:t>
      </w:r>
      <w:r>
        <w:t xml:space="preserve">It is </w:t>
      </w:r>
      <w:r w:rsidR="009744FA" w:rsidRPr="009744FA">
        <w:t xml:space="preserve">also </w:t>
      </w:r>
      <w:r w:rsidR="002255D8">
        <w:t>necessary</w:t>
      </w:r>
      <w:r w:rsidR="002255D8" w:rsidRPr="009744FA">
        <w:t xml:space="preserve"> </w:t>
      </w:r>
      <w:r w:rsidR="009744FA" w:rsidRPr="009744FA">
        <w:t xml:space="preserve">to discern what approaches and actions are working, </w:t>
      </w:r>
      <w:r w:rsidR="00814DFA">
        <w:t xml:space="preserve">and </w:t>
      </w:r>
      <w:r w:rsidR="006B7303">
        <w:t>to</w:t>
      </w:r>
      <w:r w:rsidR="009744FA" w:rsidRPr="009744FA">
        <w:t xml:space="preserve"> contribute to adaptive management of the Basin.</w:t>
      </w:r>
      <w:r w:rsidR="00C942FC">
        <w:t xml:space="preserve"> </w:t>
      </w:r>
    </w:p>
    <w:p w:rsidR="00631A1A" w:rsidRDefault="000E10A7" w:rsidP="009744FA">
      <w:pPr>
        <w:spacing w:before="240" w:line="300" w:lineRule="atLeast"/>
        <w:jc w:val="both"/>
      </w:pPr>
      <w:r>
        <w:t>To be effective, and to support adaptive management, m</w:t>
      </w:r>
      <w:r w:rsidR="00631A1A">
        <w:t xml:space="preserve">onitoring, evaluation and reporting on the Plan </w:t>
      </w:r>
      <w:r w:rsidR="00721DA0">
        <w:t>should be</w:t>
      </w:r>
      <w:r w:rsidR="00631A1A">
        <w:t xml:space="preserve"> entrenched in the Plan’s processes and timetables</w:t>
      </w:r>
      <w:r w:rsidR="00721DA0">
        <w:t>. It should also</w:t>
      </w:r>
      <w:r w:rsidR="00631A1A" w:rsidDel="000E37A3">
        <w:t xml:space="preserve"> </w:t>
      </w:r>
      <w:r w:rsidR="00631A1A">
        <w:t xml:space="preserve">be </w:t>
      </w:r>
      <w:r w:rsidR="00631A1A">
        <w:lastRenderedPageBreak/>
        <w:t xml:space="preserve">published in a timely manner and </w:t>
      </w:r>
      <w:r w:rsidR="001621B7">
        <w:t>focus on measuring</w:t>
      </w:r>
      <w:r w:rsidR="00631A1A">
        <w:t xml:space="preserve"> outcomes (as opposed to inputs or efforts).</w:t>
      </w:r>
      <w:r w:rsidR="000E37A3" w:rsidDel="000E37A3">
        <w:t xml:space="preserve"> </w:t>
      </w:r>
    </w:p>
    <w:p w:rsidR="00E7607D" w:rsidRDefault="009744FA" w:rsidP="009744FA">
      <w:pPr>
        <w:spacing w:before="240" w:line="300" w:lineRule="atLeast"/>
        <w:jc w:val="both"/>
      </w:pPr>
      <w:r w:rsidRPr="009744FA">
        <w:t>Chapter</w:t>
      </w:r>
      <w:r w:rsidR="00B37F8F">
        <w:t> </w:t>
      </w:r>
      <w:r w:rsidRPr="009744FA">
        <w:t xml:space="preserve">13 of the Basin Plan outlines the program for monitoring and </w:t>
      </w:r>
      <w:r w:rsidR="007F05DF" w:rsidRPr="009744FA">
        <w:t>evaluati</w:t>
      </w:r>
      <w:r w:rsidR="00631A1A">
        <w:t>ng the Basin Plan</w:t>
      </w:r>
      <w:r w:rsidRPr="009744FA">
        <w:t>. Schedule</w:t>
      </w:r>
      <w:r w:rsidR="00FC0F73">
        <w:t> </w:t>
      </w:r>
      <w:r w:rsidRPr="009744FA">
        <w:t>12 of the Plan provides a breakdown of the matters to be evaluated and reported</w:t>
      </w:r>
      <w:r w:rsidR="0004326F">
        <w:t xml:space="preserve"> on</w:t>
      </w:r>
      <w:r w:rsidR="007F05DF" w:rsidRPr="007F05DF">
        <w:t xml:space="preserve"> </w:t>
      </w:r>
      <w:r w:rsidR="00F11272">
        <w:t>(</w:t>
      </w:r>
      <w:r w:rsidR="007F05DF">
        <w:t>including the extent to which the Plan has affected social, economic and environmental outcomes in the Basin</w:t>
      </w:r>
      <w:r w:rsidR="00F11272">
        <w:t>)</w:t>
      </w:r>
      <w:r w:rsidR="00192000">
        <w:t>,</w:t>
      </w:r>
      <w:r w:rsidRPr="009744FA">
        <w:t xml:space="preserve"> the party responsible for this, and the frequency </w:t>
      </w:r>
      <w:r w:rsidR="00FF0E16">
        <w:t xml:space="preserve">with </w:t>
      </w:r>
      <w:r w:rsidRPr="009744FA">
        <w:t xml:space="preserve">which </w:t>
      </w:r>
      <w:r w:rsidR="007F05DF">
        <w:t>reporting</w:t>
      </w:r>
      <w:r w:rsidR="007F05DF" w:rsidRPr="009744FA">
        <w:t xml:space="preserve"> </w:t>
      </w:r>
      <w:r w:rsidRPr="009744FA">
        <w:t>is to occur</w:t>
      </w:r>
      <w:r w:rsidR="00982D5A">
        <w:t>.</w:t>
      </w:r>
      <w:r w:rsidR="00F2428D">
        <w:t xml:space="preserve"> </w:t>
      </w:r>
    </w:p>
    <w:p w:rsidR="009744FA" w:rsidRDefault="00CF7B3C" w:rsidP="009744FA">
      <w:pPr>
        <w:spacing w:before="240" w:line="300" w:lineRule="atLeast"/>
        <w:jc w:val="both"/>
      </w:pPr>
      <w:r w:rsidRPr="009744FA">
        <w:t xml:space="preserve">Monitoring, evaluating and reporting on the Basin </w:t>
      </w:r>
      <w:r>
        <w:t>Plan</w:t>
      </w:r>
      <w:r w:rsidRPr="009744FA">
        <w:t xml:space="preserve"> is a responsibility shared by the </w:t>
      </w:r>
      <w:proofErr w:type="spellStart"/>
      <w:r w:rsidRPr="009744FA">
        <w:t>MDBA</w:t>
      </w:r>
      <w:proofErr w:type="spellEnd"/>
      <w:r w:rsidRPr="009744FA">
        <w:t xml:space="preserve">, </w:t>
      </w:r>
      <w:r w:rsidR="00E1182A">
        <w:t>the</w:t>
      </w:r>
      <w:r w:rsidRPr="009744FA">
        <w:t xml:space="preserve"> </w:t>
      </w:r>
      <w:r>
        <w:t>Australian Government,</w:t>
      </w:r>
      <w:r w:rsidRPr="009744FA">
        <w:t xml:space="preserve"> </w:t>
      </w:r>
      <w:r>
        <w:t xml:space="preserve">Basin States and </w:t>
      </w:r>
      <w:r w:rsidRPr="009744FA">
        <w:t xml:space="preserve">environmental water holders. </w:t>
      </w:r>
      <w:r w:rsidR="009744FA" w:rsidRPr="009744FA">
        <w:t xml:space="preserve">Broadly speaking, the </w:t>
      </w:r>
      <w:proofErr w:type="spellStart"/>
      <w:r w:rsidR="009744FA" w:rsidRPr="009744FA">
        <w:t>MDBA</w:t>
      </w:r>
      <w:proofErr w:type="spellEnd"/>
      <w:r w:rsidR="009744FA" w:rsidRPr="009744FA">
        <w:t xml:space="preserve"> is responsible for monitoring and </w:t>
      </w:r>
      <w:r w:rsidR="00B06325" w:rsidRPr="009744FA">
        <w:t>evaluati</w:t>
      </w:r>
      <w:r w:rsidR="00B06325">
        <w:t>on</w:t>
      </w:r>
      <w:r w:rsidR="00B06325" w:rsidRPr="009744FA">
        <w:t xml:space="preserve"> </w:t>
      </w:r>
      <w:r w:rsidR="00656DA1">
        <w:t xml:space="preserve">of </w:t>
      </w:r>
      <w:r w:rsidR="009744FA" w:rsidRPr="009744FA">
        <w:t>the Plan as a whole</w:t>
      </w:r>
      <w:r w:rsidR="00B06325">
        <w:t xml:space="preserve"> — </w:t>
      </w:r>
      <w:r w:rsidR="009744FA" w:rsidRPr="009744FA">
        <w:t>looking at outcomes on a Basin</w:t>
      </w:r>
      <w:r w:rsidR="00B37F8F">
        <w:noBreakHyphen/>
      </w:r>
      <w:r w:rsidR="004E6985">
        <w:t>w</w:t>
      </w:r>
      <w:r w:rsidR="004E6985" w:rsidRPr="009744FA">
        <w:t xml:space="preserve">ide </w:t>
      </w:r>
      <w:r w:rsidR="009744FA" w:rsidRPr="009744FA">
        <w:t>scale</w:t>
      </w:r>
      <w:r w:rsidR="00B06325">
        <w:t xml:space="preserve"> —</w:t>
      </w:r>
      <w:r w:rsidR="009744FA" w:rsidRPr="009744FA">
        <w:t xml:space="preserve"> while Basin </w:t>
      </w:r>
      <w:r w:rsidR="00F139DD">
        <w:t>S</w:t>
      </w:r>
      <w:r w:rsidR="009744FA" w:rsidRPr="009744FA">
        <w:t>tates are responsible for monitoring and evaluating their own state</w:t>
      </w:r>
      <w:r w:rsidR="00B37F8F">
        <w:noBreakHyphen/>
      </w:r>
      <w:r w:rsidR="009744FA" w:rsidRPr="009744FA">
        <w:t xml:space="preserve">level actions and outcomes. </w:t>
      </w:r>
      <w:r w:rsidR="00395F9C">
        <w:t xml:space="preserve">Depending on the impacts or outcomes being examined, monitoring, evaluation and reporting may be done with participation from </w:t>
      </w:r>
      <w:r w:rsidR="00846813">
        <w:t xml:space="preserve">relevant experts (such as scientists) </w:t>
      </w:r>
      <w:r w:rsidR="00395F9C">
        <w:t>or local groups.</w:t>
      </w:r>
    </w:p>
    <w:p w:rsidR="002F4032" w:rsidRDefault="001774A8" w:rsidP="00581F78">
      <w:pPr>
        <w:pStyle w:val="BodyText"/>
      </w:pPr>
      <w:r w:rsidRPr="001774A8">
        <w:t>Th</w:t>
      </w:r>
      <w:r w:rsidRPr="001008B2">
        <w:t xml:space="preserve">e outputs of monitoring, evaluation and reporting will not only track progress, but feed into </w:t>
      </w:r>
      <w:r w:rsidRPr="001008B2" w:rsidDel="00AD5E27">
        <w:t>reviews</w:t>
      </w:r>
      <w:r w:rsidRPr="001008B2">
        <w:t xml:space="preserve"> of the Plan (including the 10 yearly review scheduled in 2026), and contribute to improving </w:t>
      </w:r>
      <w:r w:rsidR="00962FDB">
        <w:t>the</w:t>
      </w:r>
      <w:r w:rsidR="00962FDB" w:rsidRPr="001008B2">
        <w:t xml:space="preserve"> </w:t>
      </w:r>
      <w:r w:rsidRPr="001008B2">
        <w:t xml:space="preserve">operation </w:t>
      </w:r>
      <w:r w:rsidR="00962FDB">
        <w:t xml:space="preserve">of the key </w:t>
      </w:r>
      <w:r w:rsidR="007E625D">
        <w:t>elements</w:t>
      </w:r>
      <w:r w:rsidRPr="001008B2">
        <w:t xml:space="preserve"> (both in the short and long term) through adaptive management. </w:t>
      </w:r>
      <w:r w:rsidR="009744FA" w:rsidRPr="009744FA">
        <w:t xml:space="preserve">Monitoring, evaluating and reporting on the Basin Plan is informed by the </w:t>
      </w:r>
      <w:r w:rsidR="009744FA" w:rsidRPr="00075436">
        <w:t>Framework for Evaluating Progress</w:t>
      </w:r>
      <w:r w:rsidR="00813DF8" w:rsidRPr="000F5D3D">
        <w:t xml:space="preserve"> </w:t>
      </w:r>
      <w:r w:rsidR="000F5D3D" w:rsidRPr="000F5D3D">
        <w:t>published by the</w:t>
      </w:r>
      <w:r w:rsidR="00855E41">
        <w:t xml:space="preserve"> </w:t>
      </w:r>
      <w:proofErr w:type="spellStart"/>
      <w:r w:rsidR="00855E41">
        <w:t>MDBA</w:t>
      </w:r>
      <w:proofErr w:type="spellEnd"/>
      <w:r w:rsidR="000F5D3D" w:rsidRPr="004B059E">
        <w:t xml:space="preserve"> </w:t>
      </w:r>
      <w:r w:rsidR="00885F6C" w:rsidRPr="00885F6C">
        <w:t>(</w:t>
      </w:r>
      <w:proofErr w:type="spellStart"/>
      <w:r w:rsidR="00885F6C" w:rsidRPr="00885F6C">
        <w:t>2014c</w:t>
      </w:r>
      <w:proofErr w:type="spellEnd"/>
      <w:r w:rsidR="00885F6C" w:rsidRPr="00885F6C">
        <w:t>)</w:t>
      </w:r>
      <w:r w:rsidR="00D631DC">
        <w:t>,</w:t>
      </w:r>
      <w:r w:rsidR="002F4032" w:rsidRPr="004B059E">
        <w:t xml:space="preserve"> </w:t>
      </w:r>
      <w:r w:rsidR="002F4032">
        <w:t xml:space="preserve">which broadly outlines the methods and data sources </w:t>
      </w:r>
      <w:r w:rsidR="00D631DC" w:rsidRPr="004B059E">
        <w:t>to</w:t>
      </w:r>
      <w:r w:rsidR="002F4032">
        <w:t xml:space="preserve"> be used to evaluate how the </w:t>
      </w:r>
      <w:r w:rsidR="00B90ACB">
        <w:t>P</w:t>
      </w:r>
      <w:r w:rsidR="002F4032">
        <w:t>lan is</w:t>
      </w:r>
      <w:r w:rsidR="00B90ACB">
        <w:t xml:space="preserve"> being</w:t>
      </w:r>
      <w:r w:rsidR="002F4032">
        <w:t xml:space="preserve"> implemented and whether its intended outcome is being achieved</w:t>
      </w:r>
      <w:r w:rsidR="009744FA" w:rsidRPr="009744FA">
        <w:t xml:space="preserve">. </w:t>
      </w:r>
    </w:p>
    <w:p w:rsidR="00EC1BE4" w:rsidRDefault="00E0618E" w:rsidP="00DA7FDE">
      <w:pPr>
        <w:pStyle w:val="BodyText"/>
      </w:pPr>
      <w:r w:rsidRPr="000E3039">
        <w:t xml:space="preserve">Key monitoring, evaluation and reporting publications to date include the </w:t>
      </w:r>
      <w:proofErr w:type="spellStart"/>
      <w:r w:rsidR="00C64795">
        <w:t>NBR</w:t>
      </w:r>
      <w:proofErr w:type="spellEnd"/>
      <w:r w:rsidRPr="000E3039">
        <w:t xml:space="preserve"> </w:t>
      </w:r>
      <w:r w:rsidR="00885F6C" w:rsidRPr="00885F6C">
        <w:rPr>
          <w:szCs w:val="24"/>
        </w:rPr>
        <w:t>(</w:t>
      </w:r>
      <w:proofErr w:type="spellStart"/>
      <w:r w:rsidR="00885F6C" w:rsidRPr="00885F6C">
        <w:rPr>
          <w:szCs w:val="24"/>
        </w:rPr>
        <w:t>MDBA</w:t>
      </w:r>
      <w:proofErr w:type="spellEnd"/>
      <w:r w:rsidR="00885F6C" w:rsidRPr="00885F6C">
        <w:rPr>
          <w:szCs w:val="24"/>
        </w:rPr>
        <w:t> </w:t>
      </w:r>
      <w:proofErr w:type="spellStart"/>
      <w:r w:rsidR="00885F6C" w:rsidRPr="00885F6C">
        <w:rPr>
          <w:szCs w:val="24"/>
        </w:rPr>
        <w:t>2016b</w:t>
      </w:r>
      <w:proofErr w:type="spellEnd"/>
      <w:r w:rsidR="00885F6C" w:rsidRPr="00885F6C">
        <w:rPr>
          <w:szCs w:val="24"/>
        </w:rPr>
        <w:t>)</w:t>
      </w:r>
      <w:r w:rsidRPr="00B43AB0">
        <w:t xml:space="preserve">, Basin Plan annual reports produced by the </w:t>
      </w:r>
      <w:proofErr w:type="spellStart"/>
      <w:r w:rsidRPr="00B43AB0">
        <w:t>MDBA</w:t>
      </w:r>
      <w:proofErr w:type="spellEnd"/>
      <w:r w:rsidRPr="00B43AB0">
        <w:t xml:space="preserve"> </w:t>
      </w:r>
      <w:r w:rsidR="00885F6C" w:rsidRPr="00885F6C">
        <w:rPr>
          <w:szCs w:val="24"/>
        </w:rPr>
        <w:t>(</w:t>
      </w:r>
      <w:proofErr w:type="spellStart"/>
      <w:r w:rsidR="00885F6C" w:rsidRPr="00885F6C">
        <w:rPr>
          <w:szCs w:val="24"/>
        </w:rPr>
        <w:t>MDBA</w:t>
      </w:r>
      <w:proofErr w:type="spellEnd"/>
      <w:r w:rsidR="00885F6C" w:rsidRPr="00885F6C">
        <w:rPr>
          <w:szCs w:val="24"/>
        </w:rPr>
        <w:t> </w:t>
      </w:r>
      <w:proofErr w:type="spellStart"/>
      <w:r w:rsidR="00885F6C" w:rsidRPr="00885F6C">
        <w:rPr>
          <w:szCs w:val="24"/>
        </w:rPr>
        <w:t>nd</w:t>
      </w:r>
      <w:proofErr w:type="spellEnd"/>
      <w:r w:rsidR="00885F6C" w:rsidRPr="00885F6C">
        <w:rPr>
          <w:szCs w:val="24"/>
        </w:rPr>
        <w:t>)</w:t>
      </w:r>
      <w:r w:rsidR="00B43AB0">
        <w:t xml:space="preserve">, </w:t>
      </w:r>
      <w:r w:rsidRPr="00B43AB0">
        <w:t xml:space="preserve">the </w:t>
      </w:r>
      <w:proofErr w:type="spellStart"/>
      <w:r w:rsidRPr="00B43AB0">
        <w:t>MDBA’s</w:t>
      </w:r>
      <w:proofErr w:type="spellEnd"/>
      <w:r w:rsidRPr="00B43AB0">
        <w:t xml:space="preserve"> work on socioeconomic impacts (of which more is expected to be released in April 2018), and most significantly, the 2017 Basin Plan Evaluation</w:t>
      </w:r>
      <w:r w:rsidR="007A764B">
        <w:t xml:space="preserve">. </w:t>
      </w:r>
      <w:r w:rsidR="007A764B" w:rsidRPr="004B059E">
        <w:t>The</w:t>
      </w:r>
      <w:r w:rsidR="00EC1BE4">
        <w:t xml:space="preserve"> latter </w:t>
      </w:r>
      <w:r w:rsidR="007A764B" w:rsidRPr="004B059E">
        <w:t>found</w:t>
      </w:r>
      <w:r w:rsidR="00EC1BE4">
        <w:t xml:space="preserve"> that there is scope to improve monitoring and reporting requirements, and that there should </w:t>
      </w:r>
      <w:r w:rsidR="001C6BB5">
        <w:t>be</w:t>
      </w:r>
      <w:r w:rsidR="00EC1BE4">
        <w:t xml:space="preserve"> a focus on shifting to more evaluative reporting</w:t>
      </w:r>
      <w:r w:rsidR="00F46ED4">
        <w:t xml:space="preserve"> </w:t>
      </w:r>
      <w:r w:rsidR="00885F6C" w:rsidRPr="00885F6C">
        <w:rPr>
          <w:szCs w:val="24"/>
        </w:rPr>
        <w:t>(</w:t>
      </w:r>
      <w:proofErr w:type="spellStart"/>
      <w:r w:rsidR="00885F6C" w:rsidRPr="00885F6C">
        <w:rPr>
          <w:szCs w:val="24"/>
        </w:rPr>
        <w:t>MDBA</w:t>
      </w:r>
      <w:proofErr w:type="spellEnd"/>
      <w:r w:rsidR="00885F6C" w:rsidRPr="00885F6C">
        <w:rPr>
          <w:szCs w:val="24"/>
        </w:rPr>
        <w:t> </w:t>
      </w:r>
      <w:proofErr w:type="spellStart"/>
      <w:r w:rsidR="00885F6C" w:rsidRPr="00885F6C">
        <w:rPr>
          <w:szCs w:val="24"/>
        </w:rPr>
        <w:t>2017c</w:t>
      </w:r>
      <w:proofErr w:type="spellEnd"/>
      <w:r w:rsidR="00885F6C" w:rsidRPr="00885F6C">
        <w:rPr>
          <w:szCs w:val="24"/>
        </w:rPr>
        <w:t>)</w:t>
      </w:r>
      <w:r w:rsidR="00F46ED4">
        <w:t>.</w:t>
      </w:r>
    </w:p>
    <w:p w:rsidR="00357769" w:rsidRDefault="00EA7FAE" w:rsidP="0022116D">
      <w:pPr>
        <w:pStyle w:val="BodyText"/>
      </w:pPr>
      <w:r>
        <w:t xml:space="preserve">The evaluation also found that there </w:t>
      </w:r>
      <w:r w:rsidR="003975B0">
        <w:t>are</w:t>
      </w:r>
      <w:r>
        <w:t xml:space="preserve"> early signs </w:t>
      </w:r>
      <w:r w:rsidR="003975B0">
        <w:t xml:space="preserve">of positive responses from native fish, waterbirds and vegetation as a result of the provision of environmental water </w:t>
      </w:r>
      <w:r w:rsidR="00885F6C" w:rsidRPr="00885F6C">
        <w:rPr>
          <w:szCs w:val="24"/>
        </w:rPr>
        <w:t>(</w:t>
      </w:r>
      <w:proofErr w:type="spellStart"/>
      <w:r w:rsidR="00885F6C" w:rsidRPr="00885F6C">
        <w:rPr>
          <w:szCs w:val="24"/>
        </w:rPr>
        <w:t>MDBA</w:t>
      </w:r>
      <w:proofErr w:type="spellEnd"/>
      <w:r w:rsidR="00885F6C" w:rsidRPr="00885F6C">
        <w:rPr>
          <w:szCs w:val="24"/>
        </w:rPr>
        <w:t> </w:t>
      </w:r>
      <w:proofErr w:type="spellStart"/>
      <w:r w:rsidR="00885F6C" w:rsidRPr="00885F6C">
        <w:rPr>
          <w:szCs w:val="24"/>
        </w:rPr>
        <w:t>2017c</w:t>
      </w:r>
      <w:proofErr w:type="spellEnd"/>
      <w:r w:rsidR="00885F6C" w:rsidRPr="00885F6C">
        <w:rPr>
          <w:szCs w:val="24"/>
        </w:rPr>
        <w:t>)</w:t>
      </w:r>
      <w:r w:rsidR="003975B0">
        <w:t>. That</w:t>
      </w:r>
      <w:r>
        <w:t xml:space="preserve"> </w:t>
      </w:r>
      <w:r w:rsidR="003975B0">
        <w:t xml:space="preserve">said, the </w:t>
      </w:r>
      <w:r w:rsidR="00AB051E">
        <w:t>Productivity</w:t>
      </w:r>
      <w:r w:rsidR="001774A8">
        <w:t xml:space="preserve"> Commission’s</w:t>
      </w:r>
      <w:r w:rsidR="00B90ACB">
        <w:t xml:space="preserve"> </w:t>
      </w:r>
      <w:r w:rsidR="001836C2">
        <w:t xml:space="preserve">draft inquiry report on </w:t>
      </w:r>
      <w:r w:rsidR="001774A8" w:rsidRPr="00594133">
        <w:t xml:space="preserve">National Water </w:t>
      </w:r>
      <w:r w:rsidR="000B216C" w:rsidRPr="00594133">
        <w:t>Reform</w:t>
      </w:r>
      <w:r w:rsidR="00357769" w:rsidDel="003975B0">
        <w:t xml:space="preserve"> </w:t>
      </w:r>
      <w:r w:rsidR="003975B0">
        <w:t>warned</w:t>
      </w:r>
      <w:r w:rsidR="00357769">
        <w:t xml:space="preserve"> that efforts</w:t>
      </w:r>
      <w:r w:rsidR="003E5803">
        <w:t xml:space="preserve"> to monitor environmental outcomes</w:t>
      </w:r>
      <w:r w:rsidR="00357769">
        <w:t xml:space="preserve"> within the Basin appear</w:t>
      </w:r>
      <w:r w:rsidR="003E5803">
        <w:t xml:space="preserve"> fragmented and that a strategy that coordinates the monitoring and evaluation of the outcomes from environmental water in the Basin — both planned and held — </w:t>
      </w:r>
      <w:r w:rsidR="00B90ACB">
        <w:t xml:space="preserve">should </w:t>
      </w:r>
      <w:r w:rsidR="003E5803">
        <w:t>be developed</w:t>
      </w:r>
      <w:r w:rsidR="003E5803" w:rsidRPr="00594133">
        <w:t xml:space="preserve"> </w:t>
      </w:r>
      <w:r w:rsidR="00885F6C" w:rsidRPr="00885F6C">
        <w:rPr>
          <w:szCs w:val="24"/>
        </w:rPr>
        <w:t>(PC 2017)</w:t>
      </w:r>
      <w:r w:rsidR="003E5803" w:rsidRPr="00594133">
        <w:t>.</w:t>
      </w:r>
    </w:p>
    <w:p w:rsidR="009744FA" w:rsidRPr="00563B55" w:rsidRDefault="009744FA" w:rsidP="00563B55">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744FA" w:rsidRPr="009744FA" w:rsidTr="00563B55">
        <w:trPr>
          <w:tblHeader/>
        </w:trPr>
        <w:tc>
          <w:tcPr>
            <w:tcW w:w="5000" w:type="pct"/>
            <w:tcBorders>
              <w:top w:val="single" w:sz="6" w:space="0" w:color="78A22F"/>
              <w:left w:val="nil"/>
              <w:bottom w:val="nil"/>
              <w:right w:val="nil"/>
            </w:tcBorders>
            <w:shd w:val="clear" w:color="auto" w:fill="auto"/>
          </w:tcPr>
          <w:p w:rsidR="009744FA" w:rsidRPr="009744FA" w:rsidRDefault="00B37ED7" w:rsidP="00920844">
            <w:pPr>
              <w:keepNext/>
              <w:keepLines/>
              <w:spacing w:before="120" w:line="280" w:lineRule="atLeast"/>
              <w:jc w:val="both"/>
              <w:rPr>
                <w:rFonts w:ascii="Arial" w:hAnsi="Arial"/>
                <w:i/>
                <w:caps/>
                <w:sz w:val="18"/>
              </w:rPr>
            </w:pPr>
            <w:r>
              <w:rPr>
                <w:rFonts w:ascii="Arial" w:hAnsi="Arial"/>
                <w:i/>
                <w:caps/>
                <w:sz w:val="18"/>
              </w:rPr>
              <w:t>Information request 1</w:t>
            </w:r>
            <w:r w:rsidR="001C5326">
              <w:rPr>
                <w:rFonts w:ascii="Arial" w:hAnsi="Arial"/>
                <w:i/>
                <w:caps/>
                <w:sz w:val="18"/>
              </w:rPr>
              <w:t>3</w:t>
            </w:r>
          </w:p>
        </w:tc>
      </w:tr>
      <w:tr w:rsidR="009744FA" w:rsidRPr="009744FA" w:rsidTr="00563B55">
        <w:trPr>
          <w:cantSplit/>
        </w:trPr>
        <w:tc>
          <w:tcPr>
            <w:tcW w:w="5000" w:type="pct"/>
            <w:tcBorders>
              <w:top w:val="nil"/>
              <w:left w:val="nil"/>
              <w:bottom w:val="nil"/>
              <w:right w:val="nil"/>
            </w:tcBorders>
            <w:shd w:val="clear" w:color="auto" w:fill="auto"/>
          </w:tcPr>
          <w:p w:rsidR="006C5A02" w:rsidRPr="009744FA" w:rsidRDefault="006C5A02" w:rsidP="00E51765">
            <w:pPr>
              <w:pStyle w:val="InformationRequest"/>
              <w:rPr>
                <w:i w:val="0"/>
              </w:rPr>
            </w:pPr>
            <w:r w:rsidRPr="009744FA">
              <w:t>The</w:t>
            </w:r>
            <w:r w:rsidRPr="009744FA">
              <w:rPr>
                <w:i w:val="0"/>
              </w:rPr>
              <w:t xml:space="preserve"> Commission is seeking information on:</w:t>
            </w:r>
          </w:p>
          <w:p w:rsidR="003360B2" w:rsidRDefault="005A4097" w:rsidP="00876954">
            <w:pPr>
              <w:pStyle w:val="InformationRequestBullet"/>
              <w:numPr>
                <w:ilvl w:val="0"/>
                <w:numId w:val="21"/>
              </w:numPr>
            </w:pPr>
            <w:r>
              <w:t xml:space="preserve">how well </w:t>
            </w:r>
            <w:r w:rsidR="00815A33" w:rsidRPr="00815A33">
              <w:t xml:space="preserve">current </w:t>
            </w:r>
            <w:r w:rsidR="00A14830">
              <w:t>arrangements for</w:t>
            </w:r>
            <w:r w:rsidR="00B72370" w:rsidRPr="003360B2">
              <w:t xml:space="preserve"> monitoring, evaluation and reporting support </w:t>
            </w:r>
            <w:r w:rsidR="00815A33">
              <w:t xml:space="preserve">the </w:t>
            </w:r>
            <w:r w:rsidR="00B72370" w:rsidRPr="003360B2">
              <w:t xml:space="preserve">delivery of the objectives </w:t>
            </w:r>
            <w:r w:rsidR="003360B2">
              <w:t>of the Basin Plan</w:t>
            </w:r>
            <w:r w:rsidR="00815A33">
              <w:t xml:space="preserve">; </w:t>
            </w:r>
            <w:r w:rsidR="00075827">
              <w:t>and</w:t>
            </w:r>
            <w:r w:rsidR="0018267A">
              <w:t xml:space="preserve"> how </w:t>
            </w:r>
            <w:r w:rsidR="0018267A" w:rsidRPr="00815A33">
              <w:t>the</w:t>
            </w:r>
            <w:r w:rsidR="00815A33">
              <w:t>y</w:t>
            </w:r>
            <w:r w:rsidR="0018267A">
              <w:t xml:space="preserve"> could</w:t>
            </w:r>
            <w:r w:rsidR="00075827">
              <w:t xml:space="preserve"> be </w:t>
            </w:r>
            <w:r w:rsidR="0018267A">
              <w:t>improved to</w:t>
            </w:r>
            <w:r w:rsidR="009B19F0">
              <w:t xml:space="preserve"> increase the likelihood of th</w:t>
            </w:r>
            <w:r w:rsidR="00200491">
              <w:t>e</w:t>
            </w:r>
            <w:r w:rsidR="009B19F0">
              <w:t xml:space="preserve"> objectives being </w:t>
            </w:r>
            <w:r w:rsidR="00815A33">
              <w:t>met</w:t>
            </w:r>
          </w:p>
          <w:p w:rsidR="00DA5FDE" w:rsidRDefault="00DA5FDE" w:rsidP="00876954">
            <w:pPr>
              <w:pStyle w:val="InformationRequestBullet"/>
              <w:numPr>
                <w:ilvl w:val="0"/>
                <w:numId w:val="21"/>
              </w:numPr>
            </w:pPr>
            <w:r>
              <w:t xml:space="preserve">whether </w:t>
            </w:r>
            <w:r w:rsidRPr="009744FA">
              <w:t xml:space="preserve">there </w:t>
            </w:r>
            <w:r>
              <w:t xml:space="preserve">is </w:t>
            </w:r>
            <w:r w:rsidRPr="009744FA">
              <w:t>a clear delineation of responsibilities for monitoring, evaluating and reporting on the Basin Plan</w:t>
            </w:r>
            <w:r>
              <w:t>, and</w:t>
            </w:r>
            <w:r w:rsidR="005C6FA4">
              <w:t>,</w:t>
            </w:r>
            <w:r>
              <w:t xml:space="preserve"> if not</w:t>
            </w:r>
            <w:r w:rsidR="005C6FA4">
              <w:t>,</w:t>
            </w:r>
            <w:r>
              <w:t xml:space="preserve"> how it could be improved </w:t>
            </w:r>
          </w:p>
          <w:p w:rsidR="005A4097" w:rsidRPr="005C6FA4" w:rsidRDefault="00DA5FDE" w:rsidP="00876954">
            <w:pPr>
              <w:pStyle w:val="InformationRequestBullet"/>
              <w:numPr>
                <w:ilvl w:val="0"/>
                <w:numId w:val="21"/>
              </w:numPr>
            </w:pPr>
            <w:r w:rsidRPr="005C6FA4">
              <w:t xml:space="preserve">the usefulness of the </w:t>
            </w:r>
            <w:proofErr w:type="spellStart"/>
            <w:r w:rsidRPr="005C6FA4">
              <w:t>MDBA’s</w:t>
            </w:r>
            <w:proofErr w:type="spellEnd"/>
            <w:r w:rsidRPr="005C6FA4">
              <w:t xml:space="preserve"> </w:t>
            </w:r>
            <w:r w:rsidR="005A4097" w:rsidRPr="005C6FA4">
              <w:t xml:space="preserve">Framework for Evaluating Progress </w:t>
            </w:r>
            <w:r w:rsidRPr="005C6FA4">
              <w:t xml:space="preserve">and its recent application </w:t>
            </w:r>
            <w:r w:rsidR="00CB3416">
              <w:t>i</w:t>
            </w:r>
            <w:r w:rsidR="001550AB">
              <w:t>n evaluati</w:t>
            </w:r>
            <w:r w:rsidR="001621B7">
              <w:t>ng</w:t>
            </w:r>
            <w:r w:rsidR="001550AB">
              <w:t xml:space="preserve"> the Basin Plan</w:t>
            </w:r>
          </w:p>
          <w:p w:rsidR="00962FDB" w:rsidRDefault="00BC2862" w:rsidP="00876954">
            <w:pPr>
              <w:pStyle w:val="InformationRequestBullet"/>
              <w:numPr>
                <w:ilvl w:val="0"/>
                <w:numId w:val="21"/>
              </w:numPr>
            </w:pPr>
            <w:r>
              <w:t xml:space="preserve">how </w:t>
            </w:r>
            <w:r w:rsidR="002F5720">
              <w:t xml:space="preserve">data and information obtained </w:t>
            </w:r>
            <w:r w:rsidR="00FA1E86">
              <w:t xml:space="preserve">through </w:t>
            </w:r>
            <w:r w:rsidR="002F5720">
              <w:t xml:space="preserve">monitoring, evaluation and reporting </w:t>
            </w:r>
            <w:r w:rsidR="008C70EC">
              <w:t xml:space="preserve">could </w:t>
            </w:r>
            <w:r w:rsidR="002F5720">
              <w:t xml:space="preserve">be made more useful </w:t>
            </w:r>
            <w:r w:rsidR="00B44CA8">
              <w:t>for</w:t>
            </w:r>
            <w:r w:rsidR="002F5720">
              <w:t xml:space="preserve"> decision making and </w:t>
            </w:r>
            <w:r w:rsidR="00D37461">
              <w:t>evaluation of</w:t>
            </w:r>
            <w:r w:rsidR="002F5720">
              <w:t xml:space="preserve"> the </w:t>
            </w:r>
            <w:r w:rsidR="00FA1E86">
              <w:t xml:space="preserve">Basin </w:t>
            </w:r>
            <w:r w:rsidR="002F5720">
              <w:t>Plan</w:t>
            </w:r>
            <w:r w:rsidR="008C70EC">
              <w:t xml:space="preserve"> (including how to make this data and information more outcomes</w:t>
            </w:r>
            <w:r w:rsidR="00B37F8F">
              <w:noBreakHyphen/>
            </w:r>
            <w:r w:rsidR="008C70EC">
              <w:t>focused)</w:t>
            </w:r>
          </w:p>
          <w:p w:rsidR="00F3457C" w:rsidRDefault="00962FDB" w:rsidP="00876954">
            <w:pPr>
              <w:pStyle w:val="InformationRequestBullet"/>
              <w:numPr>
                <w:ilvl w:val="0"/>
                <w:numId w:val="21"/>
              </w:numPr>
            </w:pPr>
            <w:r>
              <w:t xml:space="preserve">the general information required to provide confidence to </w:t>
            </w:r>
            <w:r w:rsidR="00453907">
              <w:t xml:space="preserve">communities and others </w:t>
            </w:r>
            <w:r>
              <w:t xml:space="preserve">that the </w:t>
            </w:r>
            <w:r w:rsidR="00453907">
              <w:t>P</w:t>
            </w:r>
            <w:r>
              <w:t>lan is being implemented well and is achieving its objectives</w:t>
            </w:r>
          </w:p>
          <w:p w:rsidR="009744FA" w:rsidRPr="009744FA" w:rsidRDefault="00C850A8" w:rsidP="00876954">
            <w:pPr>
              <w:pStyle w:val="InformationRequestBullet"/>
              <w:numPr>
                <w:ilvl w:val="0"/>
                <w:numId w:val="21"/>
              </w:numPr>
            </w:pPr>
            <w:r>
              <w:t xml:space="preserve">whether </w:t>
            </w:r>
            <w:r w:rsidR="00F3457C">
              <w:t xml:space="preserve">processes </w:t>
            </w:r>
            <w:r>
              <w:t>are</w:t>
            </w:r>
            <w:r w:rsidR="00F3457C">
              <w:t xml:space="preserve"> in place to monitor key risks to the continued availability of Basin water resources</w:t>
            </w:r>
            <w:r w:rsidR="00962FDB" w:rsidDel="00F3457C">
              <w:t>.</w:t>
            </w:r>
          </w:p>
        </w:tc>
      </w:tr>
      <w:tr w:rsidR="009744FA" w:rsidRPr="009744FA" w:rsidTr="00563B55">
        <w:tc>
          <w:tcPr>
            <w:tcW w:w="5000" w:type="pct"/>
            <w:tcBorders>
              <w:top w:val="nil"/>
              <w:left w:val="nil"/>
              <w:bottom w:val="single" w:sz="6" w:space="0" w:color="78A22F"/>
              <w:right w:val="nil"/>
            </w:tcBorders>
            <w:shd w:val="clear" w:color="auto" w:fill="auto"/>
          </w:tcPr>
          <w:p w:rsidR="009744FA" w:rsidRPr="009744FA" w:rsidRDefault="009744FA" w:rsidP="009744FA">
            <w:pPr>
              <w:keepNext/>
              <w:keepLines/>
              <w:spacing w:line="120" w:lineRule="exact"/>
              <w:jc w:val="both"/>
              <w:rPr>
                <w:rFonts w:ascii="Arial" w:hAnsi="Arial"/>
                <w:sz w:val="20"/>
              </w:rPr>
            </w:pPr>
          </w:p>
        </w:tc>
      </w:tr>
      <w:tr w:rsidR="009744FA" w:rsidRPr="009744FA" w:rsidTr="00563B55">
        <w:tc>
          <w:tcPr>
            <w:tcW w:w="5000" w:type="pct"/>
            <w:tcBorders>
              <w:top w:val="single" w:sz="6" w:space="0" w:color="78A22F"/>
              <w:left w:val="nil"/>
              <w:bottom w:val="nil"/>
              <w:right w:val="nil"/>
            </w:tcBorders>
          </w:tcPr>
          <w:p w:rsidR="009744FA" w:rsidRPr="009744FA" w:rsidRDefault="009744FA" w:rsidP="009744FA">
            <w:pPr>
              <w:keepLines/>
              <w:spacing w:before="60" w:after="60" w:line="80" w:lineRule="exact"/>
              <w:jc w:val="both"/>
              <w:rPr>
                <w:rFonts w:ascii="Arial" w:hAnsi="Arial"/>
                <w:sz w:val="14"/>
              </w:rPr>
            </w:pPr>
          </w:p>
        </w:tc>
      </w:tr>
    </w:tbl>
    <w:p w:rsidR="009744FA" w:rsidRPr="009744FA" w:rsidRDefault="00E120C7" w:rsidP="00D63D79">
      <w:pPr>
        <w:pStyle w:val="Heading2"/>
      </w:pPr>
      <w:bookmarkStart w:id="62" w:name="_Toc505802565"/>
      <w:bookmarkStart w:id="63" w:name="_Toc506968436"/>
      <w:bookmarkStart w:id="64" w:name="_Toc506968472"/>
      <w:bookmarkStart w:id="65" w:name="_Toc508287774"/>
      <w:bookmarkStart w:id="66" w:name="_Toc508289811"/>
      <w:bookmarkStart w:id="67" w:name="_Toc506967721"/>
      <w:bookmarkStart w:id="68" w:name="_Toc506967938"/>
      <w:bookmarkStart w:id="69" w:name="_Toc506968740"/>
      <w:bookmarkStart w:id="70" w:name="_Toc506968785"/>
      <w:bookmarkStart w:id="71" w:name="_Toc506968846"/>
      <w:bookmarkStart w:id="72" w:name="_Toc506968936"/>
      <w:r>
        <w:rPr>
          <w:noProof/>
        </w:rPr>
        <w:t>5</w:t>
      </w:r>
      <w:r w:rsidR="009744FA" w:rsidRPr="009744FA">
        <w:rPr>
          <w:noProof/>
        </w:rPr>
        <w:tab/>
      </w:r>
      <w:bookmarkEnd w:id="62"/>
      <w:r w:rsidR="00ED7044">
        <w:t xml:space="preserve">Basin </w:t>
      </w:r>
      <w:r w:rsidR="00DC2663">
        <w:t>institutional and g</w:t>
      </w:r>
      <w:r w:rsidR="00590430">
        <w:t>overnance</w:t>
      </w:r>
      <w:r w:rsidR="000A1331">
        <w:t xml:space="preserve"> arrangements</w:t>
      </w:r>
      <w:bookmarkEnd w:id="63"/>
      <w:bookmarkEnd w:id="64"/>
      <w:bookmarkEnd w:id="65"/>
      <w:bookmarkEnd w:id="66"/>
      <w:r w:rsidR="000A1331">
        <w:t xml:space="preserve"> </w:t>
      </w:r>
      <w:bookmarkEnd w:id="67"/>
      <w:bookmarkEnd w:id="68"/>
      <w:bookmarkEnd w:id="69"/>
      <w:bookmarkEnd w:id="70"/>
      <w:bookmarkEnd w:id="71"/>
      <w:bookmarkEnd w:id="72"/>
    </w:p>
    <w:p w:rsidR="008A3857" w:rsidRDefault="008A3857" w:rsidP="00C352DF">
      <w:pPr>
        <w:spacing w:before="240" w:line="300" w:lineRule="atLeast"/>
        <w:jc w:val="both"/>
      </w:pPr>
      <w:r>
        <w:t xml:space="preserve">The establishment and implementation of the </w:t>
      </w:r>
      <w:r w:rsidR="000F6BC9">
        <w:t xml:space="preserve">Basin Plan </w:t>
      </w:r>
      <w:r w:rsidR="000F6BC9" w:rsidRPr="009744FA">
        <w:t xml:space="preserve">is a shared responsibility of the </w:t>
      </w:r>
      <w:r w:rsidR="00824447">
        <w:t>Australian Government</w:t>
      </w:r>
      <w:r w:rsidR="00824447" w:rsidRPr="009744FA">
        <w:t xml:space="preserve"> </w:t>
      </w:r>
      <w:r w:rsidR="000F6BC9" w:rsidRPr="009744FA">
        <w:t>and the Basin States.</w:t>
      </w:r>
      <w:r w:rsidR="00F26E5C">
        <w:t xml:space="preserve"> </w:t>
      </w:r>
      <w:r>
        <w:t xml:space="preserve">In addition, the </w:t>
      </w:r>
      <w:proofErr w:type="spellStart"/>
      <w:r>
        <w:t>MDBA</w:t>
      </w:r>
      <w:proofErr w:type="spellEnd"/>
      <w:r>
        <w:t xml:space="preserve"> and the Basin States have shared responsibility for </w:t>
      </w:r>
      <w:r w:rsidR="00E905A6">
        <w:t>managing</w:t>
      </w:r>
      <w:r>
        <w:t xml:space="preserve"> the Basin’s water resources as established by the </w:t>
      </w:r>
      <w:proofErr w:type="spellStart"/>
      <w:r>
        <w:t>MDB</w:t>
      </w:r>
      <w:proofErr w:type="spellEnd"/>
      <w:r>
        <w:t xml:space="preserve"> Agreement. </w:t>
      </w:r>
    </w:p>
    <w:p w:rsidR="00C352DF" w:rsidRPr="009744FA" w:rsidRDefault="00071825" w:rsidP="00F937AD">
      <w:pPr>
        <w:spacing w:before="240" w:line="300" w:lineRule="atLeast"/>
        <w:jc w:val="both"/>
      </w:pPr>
      <w:r>
        <w:t>Successful</w:t>
      </w:r>
      <w:r w:rsidR="0099405E">
        <w:t xml:space="preserve"> implementation </w:t>
      </w:r>
      <w:r w:rsidR="00FD5E88">
        <w:t xml:space="preserve">of the Basin Plan </w:t>
      </w:r>
      <w:r>
        <w:t>requires</w:t>
      </w:r>
      <w:r w:rsidR="00EA153C">
        <w:t>:</w:t>
      </w:r>
      <w:r w:rsidR="00B37F8F">
        <w:t xml:space="preserve"> </w:t>
      </w:r>
    </w:p>
    <w:p w:rsidR="00590430" w:rsidRDefault="00C352DF" w:rsidP="006C28E0">
      <w:pPr>
        <w:pStyle w:val="ListBullet"/>
      </w:pPr>
      <w:r w:rsidRPr="009744FA">
        <w:t>institution</w:t>
      </w:r>
      <w:r w:rsidR="00CA5117">
        <w:t>al</w:t>
      </w:r>
      <w:r w:rsidR="005673B1">
        <w:t xml:space="preserve"> </w:t>
      </w:r>
      <w:r w:rsidR="00537194">
        <w:t>arrangements</w:t>
      </w:r>
      <w:r w:rsidR="00155330">
        <w:t xml:space="preserve"> </w:t>
      </w:r>
      <w:r w:rsidR="00D5128F">
        <w:t>with</w:t>
      </w:r>
      <w:r w:rsidR="008A3857">
        <w:t xml:space="preserve"> </w:t>
      </w:r>
      <w:r w:rsidR="00D5128F">
        <w:t xml:space="preserve">clear lines of responsibility and accountability that </w:t>
      </w:r>
      <w:r w:rsidR="00C53F6F">
        <w:t>promote co</w:t>
      </w:r>
      <w:r w:rsidR="00B37F8F">
        <w:noBreakHyphen/>
      </w:r>
      <w:r w:rsidR="00C53F6F">
        <w:t>operation</w:t>
      </w:r>
      <w:r w:rsidR="00D5128F">
        <w:t xml:space="preserve"> and</w:t>
      </w:r>
      <w:r w:rsidR="00831049">
        <w:t xml:space="preserve"> are broadly understood by </w:t>
      </w:r>
      <w:r w:rsidR="003F3546">
        <w:t>stakeholders</w:t>
      </w:r>
    </w:p>
    <w:p w:rsidR="008223BB" w:rsidRDefault="00856FEC" w:rsidP="006C28E0">
      <w:pPr>
        <w:pStyle w:val="ListBullet"/>
      </w:pPr>
      <w:r>
        <w:t xml:space="preserve">processes </w:t>
      </w:r>
      <w:r w:rsidR="00C53F6F">
        <w:t>that are comprehensive and</w:t>
      </w:r>
      <w:r>
        <w:t xml:space="preserve"> enable </w:t>
      </w:r>
      <w:r w:rsidR="000A1331">
        <w:t>g</w:t>
      </w:r>
      <w:r w:rsidR="00824447">
        <w:t>overnments</w:t>
      </w:r>
      <w:r w:rsidR="003040F6">
        <w:t xml:space="preserve"> </w:t>
      </w:r>
      <w:r w:rsidR="00155330">
        <w:t>to coordinate, make joint decisions</w:t>
      </w:r>
      <w:r w:rsidR="00415C49">
        <w:t>, manage risks</w:t>
      </w:r>
      <w:r w:rsidR="00155330">
        <w:t xml:space="preserve"> and resolve differences</w:t>
      </w:r>
    </w:p>
    <w:p w:rsidR="008B1849" w:rsidRDefault="008B1849" w:rsidP="008B1849">
      <w:pPr>
        <w:pStyle w:val="ListBullet"/>
      </w:pPr>
      <w:r>
        <w:t>assignment of functions to agencies best equipped to deliver them and</w:t>
      </w:r>
      <w:r w:rsidRPr="008B1849">
        <w:t xml:space="preserve"> </w:t>
      </w:r>
      <w:r w:rsidR="00D46C83">
        <w:t>to ensure separation of</w:t>
      </w:r>
      <w:r>
        <w:t xml:space="preserve"> regulatory and policy</w:t>
      </w:r>
      <w:r w:rsidR="00B37F8F">
        <w:noBreakHyphen/>
      </w:r>
      <w:r>
        <w:t>making functions</w:t>
      </w:r>
    </w:p>
    <w:p w:rsidR="00304C3C" w:rsidRPr="009744FA" w:rsidRDefault="00304C3C" w:rsidP="008B1849">
      <w:pPr>
        <w:pStyle w:val="ListBullet"/>
      </w:pPr>
      <w:r>
        <w:t>institutions that are open and transparent, focused on continuous improvement, and suitably equipped to perform their roles.</w:t>
      </w:r>
    </w:p>
    <w:p w:rsidR="00C352DF" w:rsidRDefault="00C352DF" w:rsidP="00C352DF">
      <w:pPr>
        <w:spacing w:before="240" w:line="300" w:lineRule="atLeast"/>
        <w:jc w:val="both"/>
      </w:pPr>
      <w:r w:rsidRPr="009744FA">
        <w:t xml:space="preserve">If institutional </w:t>
      </w:r>
      <w:r w:rsidR="009E40B6">
        <w:t>arrangements</w:t>
      </w:r>
      <w:r w:rsidR="00B55281">
        <w:t xml:space="preserve"> and</w:t>
      </w:r>
      <w:r w:rsidR="009E40B6" w:rsidRPr="009744FA">
        <w:t xml:space="preserve"> </w:t>
      </w:r>
      <w:r w:rsidRPr="009744FA" w:rsidDel="00824447">
        <w:t xml:space="preserve">processes for </w:t>
      </w:r>
      <w:r w:rsidRPr="009744FA">
        <w:t>co</w:t>
      </w:r>
      <w:r w:rsidR="00B37F8F">
        <w:noBreakHyphen/>
      </w:r>
      <w:r w:rsidRPr="009744FA">
        <w:t>operation</w:t>
      </w:r>
      <w:r w:rsidR="00A0545A">
        <w:t xml:space="preserve"> </w:t>
      </w:r>
      <w:r w:rsidR="00B55281">
        <w:t xml:space="preserve">are not working well, </w:t>
      </w:r>
      <w:r w:rsidR="00A0545A">
        <w:t xml:space="preserve">or an organisation </w:t>
      </w:r>
      <w:r w:rsidR="00B55281">
        <w:t xml:space="preserve">is </w:t>
      </w:r>
      <w:r w:rsidR="0074036C">
        <w:t>performing</w:t>
      </w:r>
      <w:r w:rsidR="0070477B">
        <w:t xml:space="preserve"> poorly</w:t>
      </w:r>
      <w:r w:rsidRPr="009744FA">
        <w:t xml:space="preserve">, the likelihood of effective implementation is diminished. </w:t>
      </w:r>
    </w:p>
    <w:p w:rsidR="002D6CED" w:rsidRDefault="002D6CED" w:rsidP="002D6CED">
      <w:pPr>
        <w:spacing w:before="240" w:line="300" w:lineRule="atLeast"/>
        <w:jc w:val="both"/>
      </w:pPr>
      <w:r w:rsidRPr="00DF5D07">
        <w:t xml:space="preserve">As </w:t>
      </w:r>
      <w:r>
        <w:t xml:space="preserve">outlined </w:t>
      </w:r>
      <w:r w:rsidRPr="00DF5D07">
        <w:t xml:space="preserve">in </w:t>
      </w:r>
      <w:r w:rsidR="00B37F8F">
        <w:t>s</w:t>
      </w:r>
      <w:r w:rsidRPr="00AB3BE0">
        <w:t>ection</w:t>
      </w:r>
      <w:r w:rsidR="00B37F8F">
        <w:t> </w:t>
      </w:r>
      <w:r w:rsidR="005F1591">
        <w:t>2</w:t>
      </w:r>
      <w:r w:rsidR="006F3100">
        <w:t>,</w:t>
      </w:r>
      <w:r>
        <w:t xml:space="preserve"> the </w:t>
      </w:r>
      <w:r w:rsidR="00AB3BE0" w:rsidRPr="0050262F">
        <w:t xml:space="preserve">institutional </w:t>
      </w:r>
      <w:r w:rsidR="00504D86">
        <w:t xml:space="preserve">and </w:t>
      </w:r>
      <w:r w:rsidR="00AB3BE0" w:rsidRPr="0050262F">
        <w:t>governance arrangements for water management in the Basin</w:t>
      </w:r>
      <w:r w:rsidR="00AB3BE0" w:rsidRPr="00AB3BE0">
        <w:t xml:space="preserve"> </w:t>
      </w:r>
      <w:r w:rsidR="00AB3BE0">
        <w:t>are</w:t>
      </w:r>
      <w:r w:rsidR="00AB3BE0" w:rsidRPr="0050262F">
        <w:t xml:space="preserve"> complex</w:t>
      </w:r>
      <w:r w:rsidR="0090762B">
        <w:t>.</w:t>
      </w:r>
      <w:r w:rsidR="00E169E7" w:rsidRPr="00E169E7">
        <w:t xml:space="preserve"> </w:t>
      </w:r>
      <w:r w:rsidR="0090762B">
        <w:t>These roles and responsibilities are outlined in</w:t>
      </w:r>
      <w:r w:rsidR="005B6B74">
        <w:t xml:space="preserve"> </w:t>
      </w:r>
      <w:r w:rsidR="00B37F8F">
        <w:t>t</w:t>
      </w:r>
      <w:r w:rsidR="007755A8">
        <w:t>able</w:t>
      </w:r>
      <w:r w:rsidR="00B37F8F">
        <w:t> </w:t>
      </w:r>
      <w:r w:rsidR="007755A8">
        <w:t>2.</w:t>
      </w:r>
    </w:p>
    <w:p w:rsidR="00923BC6" w:rsidRDefault="00923BC6" w:rsidP="00923BC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23BC6" w:rsidTr="00D75F09">
        <w:trPr>
          <w:tblHeader/>
        </w:trPr>
        <w:tc>
          <w:tcPr>
            <w:tcW w:w="5000" w:type="pct"/>
            <w:tcBorders>
              <w:top w:val="single" w:sz="6" w:space="0" w:color="78A22F"/>
              <w:left w:val="nil"/>
              <w:bottom w:val="nil"/>
              <w:right w:val="nil"/>
            </w:tcBorders>
            <w:shd w:val="clear" w:color="auto" w:fill="auto"/>
          </w:tcPr>
          <w:p w:rsidR="00923BC6" w:rsidRPr="00784A05" w:rsidRDefault="00923BC6" w:rsidP="00D75F09">
            <w:pPr>
              <w:pStyle w:val="TableTitle"/>
            </w:pPr>
            <w:bookmarkStart w:id="73" w:name="_Ref507570657"/>
            <w:r>
              <w:rPr>
                <w:b w:val="0"/>
              </w:rPr>
              <w:t xml:space="preserve">Table </w:t>
            </w:r>
            <w:r w:rsidR="007755A8">
              <w:rPr>
                <w:b w:val="0"/>
              </w:rPr>
              <w:t>2</w:t>
            </w:r>
            <w:bookmarkEnd w:id="73"/>
            <w:r>
              <w:tab/>
              <w:t>Basin Plan and resource management responsibilities</w:t>
            </w:r>
          </w:p>
        </w:tc>
      </w:tr>
      <w:tr w:rsidR="00923BC6" w:rsidTr="00D75F09">
        <w:tc>
          <w:tcPr>
            <w:tcW w:w="5000" w:type="pct"/>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2267"/>
              <w:gridCol w:w="1560"/>
              <w:gridCol w:w="1560"/>
              <w:gridCol w:w="1560"/>
              <w:gridCol w:w="1558"/>
            </w:tblGrid>
            <w:tr w:rsidR="00923BC6" w:rsidTr="00D75F09">
              <w:trPr>
                <w:tblHeader/>
              </w:trPr>
              <w:tc>
                <w:tcPr>
                  <w:tcW w:w="1333" w:type="pct"/>
                  <w:tcBorders>
                    <w:top w:val="single" w:sz="6" w:space="0" w:color="BFBFBF"/>
                    <w:bottom w:val="single" w:sz="6" w:space="0" w:color="BFBFBF"/>
                  </w:tcBorders>
                  <w:shd w:val="clear" w:color="auto" w:fill="auto"/>
                  <w:tcMar>
                    <w:top w:w="28" w:type="dxa"/>
                  </w:tcMar>
                  <w:vAlign w:val="center"/>
                </w:tcPr>
                <w:p w:rsidR="00923BC6" w:rsidRDefault="00923BC6" w:rsidP="00D75F09">
                  <w:pPr>
                    <w:pStyle w:val="TableColumnHeading"/>
                    <w:jc w:val="left"/>
                  </w:pPr>
                </w:p>
              </w:tc>
              <w:tc>
                <w:tcPr>
                  <w:tcW w:w="917" w:type="pct"/>
                  <w:tcBorders>
                    <w:top w:val="single" w:sz="6" w:space="0" w:color="BFBFBF"/>
                    <w:bottom w:val="single" w:sz="6" w:space="0" w:color="BFBFBF"/>
                  </w:tcBorders>
                </w:tcPr>
                <w:p w:rsidR="00923BC6" w:rsidRDefault="00923BC6" w:rsidP="00D75F09">
                  <w:pPr>
                    <w:pStyle w:val="TableColumnHeading"/>
                    <w:jc w:val="center"/>
                  </w:pPr>
                  <w:r>
                    <w:t>Australian Government</w:t>
                  </w:r>
                </w:p>
              </w:tc>
              <w:tc>
                <w:tcPr>
                  <w:tcW w:w="917" w:type="pct"/>
                  <w:tcBorders>
                    <w:top w:val="single" w:sz="6" w:space="0" w:color="BFBFBF"/>
                    <w:bottom w:val="single" w:sz="6" w:space="0" w:color="BFBFBF"/>
                  </w:tcBorders>
                  <w:shd w:val="clear" w:color="auto" w:fill="auto"/>
                  <w:tcMar>
                    <w:top w:w="28" w:type="dxa"/>
                  </w:tcMar>
                </w:tcPr>
                <w:p w:rsidR="00923BC6" w:rsidRDefault="00923BC6" w:rsidP="00D75F09">
                  <w:pPr>
                    <w:pStyle w:val="TableColumnHeading"/>
                    <w:jc w:val="center"/>
                  </w:pPr>
                  <w:proofErr w:type="spellStart"/>
                  <w:r>
                    <w:t>MDBA</w:t>
                  </w:r>
                  <w:proofErr w:type="spellEnd"/>
                </w:p>
              </w:tc>
              <w:tc>
                <w:tcPr>
                  <w:tcW w:w="917" w:type="pct"/>
                  <w:tcBorders>
                    <w:top w:val="single" w:sz="6" w:space="0" w:color="BFBFBF"/>
                    <w:bottom w:val="single" w:sz="6" w:space="0" w:color="BFBFBF"/>
                  </w:tcBorders>
                  <w:shd w:val="clear" w:color="auto" w:fill="auto"/>
                  <w:tcMar>
                    <w:top w:w="28" w:type="dxa"/>
                  </w:tcMar>
                </w:tcPr>
                <w:p w:rsidR="00923BC6" w:rsidRDefault="00923BC6" w:rsidP="00D75F09">
                  <w:pPr>
                    <w:pStyle w:val="TableColumnHeading"/>
                    <w:ind w:right="28"/>
                    <w:jc w:val="center"/>
                  </w:pPr>
                  <w:r>
                    <w:t xml:space="preserve">Basin </w:t>
                  </w:r>
                  <w:r>
                    <w:br/>
                    <w:t>States</w:t>
                  </w:r>
                </w:p>
              </w:tc>
              <w:tc>
                <w:tcPr>
                  <w:tcW w:w="916" w:type="pct"/>
                  <w:tcBorders>
                    <w:top w:val="single" w:sz="6" w:space="0" w:color="BFBFBF"/>
                    <w:bottom w:val="single" w:sz="6" w:space="0" w:color="BFBFBF"/>
                  </w:tcBorders>
                </w:tcPr>
                <w:p w:rsidR="00923BC6" w:rsidRDefault="00923BC6" w:rsidP="00D75F09">
                  <w:pPr>
                    <w:pStyle w:val="TableColumnHeading"/>
                    <w:ind w:right="28"/>
                    <w:jc w:val="center"/>
                  </w:pPr>
                  <w:r>
                    <w:t>Productivity Commission</w:t>
                  </w:r>
                </w:p>
              </w:tc>
            </w:tr>
            <w:tr w:rsidR="00923BC6" w:rsidTr="00D75F09">
              <w:trPr>
                <w:trHeight w:val="454"/>
              </w:trPr>
              <w:tc>
                <w:tcPr>
                  <w:tcW w:w="1333" w:type="pct"/>
                  <w:tcBorders>
                    <w:top w:val="single" w:sz="6" w:space="0" w:color="BFBFBF"/>
                  </w:tcBorders>
                  <w:vAlign w:val="center"/>
                </w:tcPr>
                <w:p w:rsidR="00923BC6" w:rsidRDefault="00923BC6" w:rsidP="00D75F09">
                  <w:pPr>
                    <w:pStyle w:val="TableUnitsRow"/>
                    <w:jc w:val="left"/>
                  </w:pPr>
                  <w:proofErr w:type="spellStart"/>
                  <w:r>
                    <w:t>SDLs</w:t>
                  </w:r>
                  <w:proofErr w:type="spellEnd"/>
                  <w:r>
                    <w:t xml:space="preserve"> and adjustments</w:t>
                  </w:r>
                </w:p>
              </w:tc>
              <w:tc>
                <w:tcPr>
                  <w:tcW w:w="917" w:type="pct"/>
                  <w:tcBorders>
                    <w:top w:val="single" w:sz="6" w:space="0" w:color="BFBFBF"/>
                  </w:tcBorders>
                  <w:vAlign w:val="center"/>
                </w:tcPr>
                <w:p w:rsidR="00923BC6" w:rsidRPr="00C465B2" w:rsidRDefault="00923BC6" w:rsidP="00D75F09">
                  <w:pPr>
                    <w:pStyle w:val="TableUnitsRow"/>
                    <w:spacing w:before="0" w:after="0"/>
                    <w:ind w:left="-204"/>
                    <w:jc w:val="center"/>
                    <w:rPr>
                      <w:sz w:val="28"/>
                      <w:szCs w:val="28"/>
                    </w:rPr>
                  </w:pPr>
                </w:p>
              </w:tc>
              <w:tc>
                <w:tcPr>
                  <w:tcW w:w="917" w:type="pct"/>
                  <w:tcBorders>
                    <w:top w:val="single" w:sz="6" w:space="0" w:color="BFBFBF"/>
                  </w:tcBorders>
                  <w:vAlign w:val="center"/>
                </w:tcPr>
                <w:p w:rsidR="00923BC6" w:rsidRDefault="00923BC6" w:rsidP="00D75F09">
                  <w:pPr>
                    <w:pStyle w:val="TableUnitsRow"/>
                    <w:spacing w:before="0" w:after="0"/>
                    <w:ind w:left="-204"/>
                    <w:jc w:val="center"/>
                  </w:pPr>
                  <w:r w:rsidRPr="00C465B2">
                    <w:rPr>
                      <w:rFonts w:cs="Arial"/>
                      <w:color w:val="78A22F" w:themeColor="accent1"/>
                      <w:sz w:val="28"/>
                      <w:szCs w:val="28"/>
                    </w:rPr>
                    <w:t>▲</w:t>
                  </w:r>
                </w:p>
              </w:tc>
              <w:tc>
                <w:tcPr>
                  <w:tcW w:w="917" w:type="pct"/>
                  <w:tcBorders>
                    <w:top w:val="single" w:sz="6" w:space="0" w:color="BFBFBF"/>
                  </w:tcBorders>
                  <w:vAlign w:val="center"/>
                </w:tcPr>
                <w:p w:rsidR="00923BC6" w:rsidRDefault="00923BC6" w:rsidP="00D75F09">
                  <w:pPr>
                    <w:pStyle w:val="TableUnitsRow"/>
                    <w:spacing w:before="0" w:after="0"/>
                    <w:ind w:left="-204" w:right="28"/>
                    <w:jc w:val="center"/>
                  </w:pPr>
                  <w:r w:rsidRPr="00C465B2">
                    <w:rPr>
                      <w:rFonts w:cs="Arial"/>
                      <w:color w:val="78A22F" w:themeColor="accent1"/>
                      <w:sz w:val="28"/>
                      <w:szCs w:val="28"/>
                    </w:rPr>
                    <w:t>▲</w:t>
                  </w:r>
                </w:p>
              </w:tc>
              <w:tc>
                <w:tcPr>
                  <w:tcW w:w="916" w:type="pct"/>
                  <w:tcBorders>
                    <w:top w:val="single" w:sz="6" w:space="0" w:color="BFBFBF"/>
                  </w:tcBorders>
                  <w:vAlign w:val="center"/>
                </w:tcPr>
                <w:p w:rsidR="00923BC6" w:rsidRDefault="00923BC6" w:rsidP="00D75F09">
                  <w:pPr>
                    <w:pStyle w:val="TableUnitsRow"/>
                    <w:spacing w:before="0" w:after="0"/>
                    <w:ind w:left="-204" w:right="28"/>
                    <w:jc w:val="center"/>
                  </w:pPr>
                </w:p>
              </w:tc>
            </w:tr>
            <w:tr w:rsidR="00923BC6" w:rsidTr="00D75F09">
              <w:trPr>
                <w:trHeight w:val="454"/>
              </w:trPr>
              <w:tc>
                <w:tcPr>
                  <w:tcW w:w="1333" w:type="pct"/>
                  <w:shd w:val="clear" w:color="auto" w:fill="F2F2F2" w:themeFill="background1" w:themeFillShade="F2"/>
                  <w:vAlign w:val="center"/>
                </w:tcPr>
                <w:p w:rsidR="00923BC6" w:rsidRDefault="00923BC6" w:rsidP="00D75F09">
                  <w:pPr>
                    <w:pStyle w:val="TableBodyText"/>
                    <w:jc w:val="left"/>
                  </w:pPr>
                  <w:r>
                    <w:t>Constraints management</w:t>
                  </w:r>
                </w:p>
              </w:tc>
              <w:tc>
                <w:tcPr>
                  <w:tcW w:w="917" w:type="pct"/>
                  <w:shd w:val="clear" w:color="auto" w:fill="F2F2F2" w:themeFill="background1" w:themeFillShade="F2"/>
                  <w:vAlign w:val="center"/>
                </w:tcPr>
                <w:p w:rsidR="00923BC6" w:rsidRDefault="00923BC6" w:rsidP="00D75F09">
                  <w:pPr>
                    <w:pStyle w:val="TableBodyText"/>
                    <w:spacing w:after="0"/>
                    <w:ind w:left="-204"/>
                    <w:jc w:val="center"/>
                  </w:pPr>
                </w:p>
              </w:tc>
              <w:tc>
                <w:tcPr>
                  <w:tcW w:w="917" w:type="pct"/>
                  <w:shd w:val="clear" w:color="auto" w:fill="F2F2F2" w:themeFill="background1" w:themeFillShade="F2"/>
                  <w:vAlign w:val="center"/>
                </w:tcPr>
                <w:p w:rsidR="00923BC6" w:rsidRDefault="00923BC6" w:rsidP="00D75F09">
                  <w:pPr>
                    <w:pStyle w:val="TableBodyText"/>
                    <w:spacing w:after="0"/>
                    <w:ind w:left="-204"/>
                    <w:jc w:val="center"/>
                  </w:pPr>
                  <w:r w:rsidRPr="00C465B2">
                    <w:rPr>
                      <w:rFonts w:cs="Arial"/>
                      <w:color w:val="78A22F" w:themeColor="accent1"/>
                      <w:sz w:val="28"/>
                      <w:szCs w:val="28"/>
                    </w:rPr>
                    <w:t>▲</w:t>
                  </w:r>
                </w:p>
              </w:tc>
              <w:tc>
                <w:tcPr>
                  <w:tcW w:w="917" w:type="pct"/>
                  <w:shd w:val="clear" w:color="auto" w:fill="F2F2F2" w:themeFill="background1" w:themeFillShade="F2"/>
                  <w:vAlign w:val="center"/>
                </w:tcPr>
                <w:p w:rsidR="00923BC6" w:rsidRDefault="00923BC6" w:rsidP="00D75F09">
                  <w:pPr>
                    <w:pStyle w:val="TableBodyText"/>
                    <w:spacing w:after="0"/>
                    <w:ind w:left="-204" w:right="28"/>
                    <w:jc w:val="center"/>
                  </w:pPr>
                  <w:r w:rsidRPr="00C465B2">
                    <w:rPr>
                      <w:rFonts w:cs="Arial"/>
                      <w:color w:val="78A22F" w:themeColor="accent1"/>
                      <w:sz w:val="28"/>
                      <w:szCs w:val="28"/>
                    </w:rPr>
                    <w:t>▲</w:t>
                  </w:r>
                </w:p>
              </w:tc>
              <w:tc>
                <w:tcPr>
                  <w:tcW w:w="916" w:type="pct"/>
                  <w:shd w:val="clear" w:color="auto" w:fill="F2F2F2" w:themeFill="background1" w:themeFillShade="F2"/>
                  <w:vAlign w:val="center"/>
                </w:tcPr>
                <w:p w:rsidR="00923BC6" w:rsidRDefault="00923BC6" w:rsidP="00D75F09">
                  <w:pPr>
                    <w:pStyle w:val="TableBodyText"/>
                    <w:spacing w:after="0"/>
                    <w:ind w:left="-204" w:right="28"/>
                    <w:jc w:val="center"/>
                  </w:pPr>
                </w:p>
              </w:tc>
            </w:tr>
            <w:tr w:rsidR="00923BC6" w:rsidTr="00D75F09">
              <w:trPr>
                <w:trHeight w:val="454"/>
              </w:trPr>
              <w:tc>
                <w:tcPr>
                  <w:tcW w:w="1333" w:type="pct"/>
                  <w:shd w:val="clear" w:color="auto" w:fill="auto"/>
                  <w:vAlign w:val="center"/>
                </w:tcPr>
                <w:p w:rsidR="00923BC6" w:rsidRDefault="00923BC6" w:rsidP="00D75F09">
                  <w:pPr>
                    <w:pStyle w:val="TableBodyText"/>
                    <w:jc w:val="left"/>
                  </w:pPr>
                  <w:r>
                    <w:t xml:space="preserve">Water </w:t>
                  </w:r>
                  <w:r w:rsidR="00774F3D">
                    <w:t>r</w:t>
                  </w:r>
                  <w:r>
                    <w:t>ecovery</w:t>
                  </w:r>
                </w:p>
              </w:tc>
              <w:tc>
                <w:tcPr>
                  <w:tcW w:w="917" w:type="pct"/>
                  <w:vAlign w:val="center"/>
                </w:tcPr>
                <w:p w:rsidR="00923BC6" w:rsidRDefault="00923BC6" w:rsidP="00D75F09">
                  <w:pPr>
                    <w:pStyle w:val="TableBodyText"/>
                    <w:spacing w:after="0"/>
                    <w:ind w:left="-204" w:right="0"/>
                    <w:jc w:val="center"/>
                  </w:pPr>
                  <w:r w:rsidRPr="00C465B2">
                    <w:rPr>
                      <w:rFonts w:cs="Arial"/>
                      <w:color w:val="78A22F" w:themeColor="accent1"/>
                      <w:sz w:val="28"/>
                      <w:szCs w:val="28"/>
                    </w:rPr>
                    <w:t>▲</w:t>
                  </w:r>
                </w:p>
              </w:tc>
              <w:tc>
                <w:tcPr>
                  <w:tcW w:w="917" w:type="pct"/>
                  <w:shd w:val="clear" w:color="auto" w:fill="auto"/>
                  <w:vAlign w:val="center"/>
                </w:tcPr>
                <w:p w:rsidR="00923BC6" w:rsidRDefault="00923BC6" w:rsidP="00D75F09">
                  <w:pPr>
                    <w:pStyle w:val="TableBodyText"/>
                    <w:spacing w:after="0"/>
                    <w:ind w:left="-204"/>
                    <w:jc w:val="center"/>
                  </w:pPr>
                </w:p>
              </w:tc>
              <w:tc>
                <w:tcPr>
                  <w:tcW w:w="917" w:type="pct"/>
                  <w:shd w:val="clear" w:color="auto" w:fill="auto"/>
                  <w:vAlign w:val="center"/>
                </w:tcPr>
                <w:p w:rsidR="00923BC6" w:rsidRDefault="00923BC6" w:rsidP="00D75F09">
                  <w:pPr>
                    <w:pStyle w:val="TableBodyText"/>
                    <w:spacing w:after="0"/>
                    <w:ind w:left="-204" w:right="28"/>
                    <w:jc w:val="center"/>
                  </w:pPr>
                  <w:r w:rsidRPr="00C465B2">
                    <w:rPr>
                      <w:rFonts w:cs="Arial"/>
                      <w:color w:val="78A22F" w:themeColor="accent1"/>
                      <w:sz w:val="28"/>
                      <w:szCs w:val="28"/>
                    </w:rPr>
                    <w:t>▲</w:t>
                  </w:r>
                </w:p>
              </w:tc>
              <w:tc>
                <w:tcPr>
                  <w:tcW w:w="916" w:type="pct"/>
                  <w:vAlign w:val="center"/>
                </w:tcPr>
                <w:p w:rsidR="00923BC6" w:rsidRDefault="00923BC6" w:rsidP="00D75F09">
                  <w:pPr>
                    <w:pStyle w:val="TableBodyText"/>
                    <w:spacing w:after="0"/>
                    <w:ind w:left="-204" w:right="28"/>
                    <w:jc w:val="center"/>
                  </w:pPr>
                </w:p>
              </w:tc>
            </w:tr>
            <w:tr w:rsidR="00923BC6" w:rsidTr="00D75F09">
              <w:trPr>
                <w:trHeight w:val="454"/>
              </w:trPr>
              <w:tc>
                <w:tcPr>
                  <w:tcW w:w="1333" w:type="pct"/>
                  <w:shd w:val="clear" w:color="auto" w:fill="F2F2F2" w:themeFill="background1" w:themeFillShade="F2"/>
                  <w:vAlign w:val="center"/>
                </w:tcPr>
                <w:p w:rsidR="00923BC6" w:rsidRDefault="00923BC6" w:rsidP="00D75F09">
                  <w:pPr>
                    <w:pStyle w:val="TableBodyText"/>
                    <w:jc w:val="left"/>
                  </w:pPr>
                  <w:r>
                    <w:t>Structural adjustment</w:t>
                  </w:r>
                </w:p>
              </w:tc>
              <w:tc>
                <w:tcPr>
                  <w:tcW w:w="917" w:type="pct"/>
                  <w:shd w:val="clear" w:color="auto" w:fill="F2F2F2" w:themeFill="background1" w:themeFillShade="F2"/>
                  <w:vAlign w:val="center"/>
                </w:tcPr>
                <w:p w:rsidR="00923BC6" w:rsidRDefault="00923BC6" w:rsidP="00D75F09">
                  <w:pPr>
                    <w:pStyle w:val="TableBodyText"/>
                    <w:spacing w:after="0"/>
                    <w:ind w:left="-204" w:right="0"/>
                    <w:jc w:val="center"/>
                  </w:pPr>
                  <w:r w:rsidRPr="00C465B2">
                    <w:rPr>
                      <w:rFonts w:cs="Arial"/>
                      <w:color w:val="78A22F" w:themeColor="accent1"/>
                      <w:sz w:val="28"/>
                      <w:szCs w:val="28"/>
                    </w:rPr>
                    <w:t>▲</w:t>
                  </w:r>
                </w:p>
              </w:tc>
              <w:tc>
                <w:tcPr>
                  <w:tcW w:w="917" w:type="pct"/>
                  <w:shd w:val="clear" w:color="auto" w:fill="F2F2F2" w:themeFill="background1" w:themeFillShade="F2"/>
                  <w:vAlign w:val="center"/>
                </w:tcPr>
                <w:p w:rsidR="00923BC6" w:rsidRDefault="00923BC6" w:rsidP="00D75F09">
                  <w:pPr>
                    <w:pStyle w:val="TableBodyText"/>
                    <w:spacing w:after="0"/>
                    <w:ind w:left="-204"/>
                    <w:jc w:val="center"/>
                  </w:pPr>
                </w:p>
              </w:tc>
              <w:tc>
                <w:tcPr>
                  <w:tcW w:w="917" w:type="pct"/>
                  <w:shd w:val="clear" w:color="auto" w:fill="F2F2F2" w:themeFill="background1" w:themeFillShade="F2"/>
                  <w:vAlign w:val="center"/>
                </w:tcPr>
                <w:p w:rsidR="00923BC6" w:rsidRDefault="00923BC6" w:rsidP="00D75F09">
                  <w:pPr>
                    <w:pStyle w:val="TableBodyText"/>
                    <w:spacing w:after="0"/>
                    <w:ind w:left="-204" w:right="28"/>
                    <w:jc w:val="center"/>
                  </w:pPr>
                </w:p>
              </w:tc>
              <w:tc>
                <w:tcPr>
                  <w:tcW w:w="916" w:type="pct"/>
                  <w:shd w:val="clear" w:color="auto" w:fill="F2F2F2" w:themeFill="background1" w:themeFillShade="F2"/>
                  <w:vAlign w:val="center"/>
                </w:tcPr>
                <w:p w:rsidR="00923BC6" w:rsidRDefault="00923BC6" w:rsidP="00D75F09">
                  <w:pPr>
                    <w:pStyle w:val="TableBodyText"/>
                    <w:spacing w:after="0"/>
                    <w:ind w:left="-204" w:right="28"/>
                    <w:jc w:val="center"/>
                  </w:pPr>
                </w:p>
              </w:tc>
            </w:tr>
            <w:tr w:rsidR="00923BC6" w:rsidTr="00D75F09">
              <w:trPr>
                <w:trHeight w:val="454"/>
              </w:trPr>
              <w:tc>
                <w:tcPr>
                  <w:tcW w:w="1333" w:type="pct"/>
                  <w:shd w:val="clear" w:color="auto" w:fill="auto"/>
                  <w:vAlign w:val="center"/>
                </w:tcPr>
                <w:p w:rsidR="00923BC6" w:rsidRDefault="00923BC6" w:rsidP="00D75F09">
                  <w:pPr>
                    <w:pStyle w:val="TableBodyText"/>
                    <w:jc w:val="left"/>
                  </w:pPr>
                  <w:r>
                    <w:t>Water Resource Plans</w:t>
                  </w:r>
                </w:p>
              </w:tc>
              <w:tc>
                <w:tcPr>
                  <w:tcW w:w="917" w:type="pct"/>
                  <w:vAlign w:val="center"/>
                </w:tcPr>
                <w:p w:rsidR="00923BC6" w:rsidRDefault="00923BC6" w:rsidP="00D75F09">
                  <w:pPr>
                    <w:pStyle w:val="TableBodyText"/>
                    <w:spacing w:after="0"/>
                    <w:ind w:left="-204" w:right="0"/>
                    <w:jc w:val="center"/>
                  </w:pPr>
                  <w:r w:rsidRPr="00C465B2">
                    <w:rPr>
                      <w:rFonts w:cs="Arial"/>
                      <w:color w:val="78A22F" w:themeColor="accent1"/>
                      <w:sz w:val="28"/>
                      <w:szCs w:val="28"/>
                    </w:rPr>
                    <w:t>▲</w:t>
                  </w:r>
                </w:p>
              </w:tc>
              <w:tc>
                <w:tcPr>
                  <w:tcW w:w="917" w:type="pct"/>
                  <w:shd w:val="clear" w:color="auto" w:fill="auto"/>
                  <w:vAlign w:val="center"/>
                </w:tcPr>
                <w:p w:rsidR="00923BC6" w:rsidRDefault="00923BC6" w:rsidP="00D75F09">
                  <w:pPr>
                    <w:pStyle w:val="TableBodyText"/>
                    <w:spacing w:after="0"/>
                    <w:ind w:left="-204"/>
                    <w:jc w:val="center"/>
                  </w:pPr>
                  <w:r w:rsidRPr="00C465B2">
                    <w:rPr>
                      <w:rFonts w:cs="Arial"/>
                      <w:color w:val="78A22F" w:themeColor="accent1"/>
                      <w:sz w:val="28"/>
                      <w:szCs w:val="28"/>
                    </w:rPr>
                    <w:t>▲</w:t>
                  </w:r>
                </w:p>
              </w:tc>
              <w:tc>
                <w:tcPr>
                  <w:tcW w:w="917" w:type="pct"/>
                  <w:shd w:val="clear" w:color="auto" w:fill="auto"/>
                  <w:vAlign w:val="center"/>
                </w:tcPr>
                <w:p w:rsidR="00923BC6" w:rsidRDefault="00923BC6" w:rsidP="00D75F09">
                  <w:pPr>
                    <w:pStyle w:val="TableBodyText"/>
                    <w:spacing w:after="0"/>
                    <w:ind w:left="-204" w:right="28"/>
                    <w:jc w:val="center"/>
                  </w:pPr>
                  <w:r w:rsidRPr="00C465B2">
                    <w:rPr>
                      <w:rFonts w:cs="Arial"/>
                      <w:color w:val="78A22F" w:themeColor="accent1"/>
                      <w:sz w:val="28"/>
                      <w:szCs w:val="28"/>
                    </w:rPr>
                    <w:t>▲</w:t>
                  </w:r>
                </w:p>
              </w:tc>
              <w:tc>
                <w:tcPr>
                  <w:tcW w:w="916" w:type="pct"/>
                  <w:vAlign w:val="center"/>
                </w:tcPr>
                <w:p w:rsidR="00923BC6" w:rsidRDefault="00923BC6" w:rsidP="00D75F09">
                  <w:pPr>
                    <w:pStyle w:val="TableBodyText"/>
                    <w:spacing w:after="0"/>
                    <w:ind w:left="-204" w:right="28"/>
                    <w:jc w:val="center"/>
                  </w:pPr>
                </w:p>
              </w:tc>
            </w:tr>
            <w:tr w:rsidR="00923BC6" w:rsidTr="00D75F09">
              <w:trPr>
                <w:trHeight w:val="454"/>
              </w:trPr>
              <w:tc>
                <w:tcPr>
                  <w:tcW w:w="1333" w:type="pct"/>
                  <w:shd w:val="clear" w:color="auto" w:fill="F2F2F2" w:themeFill="background1" w:themeFillShade="F2"/>
                  <w:vAlign w:val="center"/>
                </w:tcPr>
                <w:p w:rsidR="00923BC6" w:rsidRDefault="00923BC6" w:rsidP="00D75F09">
                  <w:pPr>
                    <w:pStyle w:val="TableBodyText"/>
                    <w:jc w:val="left"/>
                  </w:pPr>
                  <w:r>
                    <w:t xml:space="preserve">Compliance with </w:t>
                  </w:r>
                  <w:proofErr w:type="spellStart"/>
                  <w:r>
                    <w:t>SDLs</w:t>
                  </w:r>
                  <w:proofErr w:type="spellEnd"/>
                  <w:r>
                    <w:t xml:space="preserve"> </w:t>
                  </w:r>
                  <w:r>
                    <w:br/>
                    <w:t>&amp; Plan</w:t>
                  </w:r>
                </w:p>
              </w:tc>
              <w:tc>
                <w:tcPr>
                  <w:tcW w:w="917" w:type="pct"/>
                  <w:shd w:val="clear" w:color="auto" w:fill="F2F2F2" w:themeFill="background1" w:themeFillShade="F2"/>
                  <w:vAlign w:val="center"/>
                </w:tcPr>
                <w:p w:rsidR="00923BC6" w:rsidRDefault="00923BC6" w:rsidP="00D75F09">
                  <w:pPr>
                    <w:pStyle w:val="TableBodyText"/>
                    <w:spacing w:after="0"/>
                    <w:ind w:left="-204" w:right="0"/>
                    <w:jc w:val="center"/>
                  </w:pPr>
                </w:p>
              </w:tc>
              <w:tc>
                <w:tcPr>
                  <w:tcW w:w="917" w:type="pct"/>
                  <w:shd w:val="clear" w:color="auto" w:fill="F2F2F2" w:themeFill="background1" w:themeFillShade="F2"/>
                  <w:vAlign w:val="center"/>
                </w:tcPr>
                <w:p w:rsidR="00923BC6" w:rsidRDefault="00923BC6" w:rsidP="00D75F09">
                  <w:pPr>
                    <w:pStyle w:val="TableBodyText"/>
                    <w:spacing w:after="0"/>
                    <w:ind w:left="-204"/>
                    <w:jc w:val="center"/>
                  </w:pPr>
                  <w:r w:rsidRPr="00C465B2">
                    <w:rPr>
                      <w:rFonts w:cs="Arial"/>
                      <w:color w:val="78A22F" w:themeColor="accent1"/>
                      <w:sz w:val="28"/>
                      <w:szCs w:val="28"/>
                    </w:rPr>
                    <w:t>▲</w:t>
                  </w:r>
                </w:p>
              </w:tc>
              <w:tc>
                <w:tcPr>
                  <w:tcW w:w="917" w:type="pct"/>
                  <w:shd w:val="clear" w:color="auto" w:fill="F2F2F2" w:themeFill="background1" w:themeFillShade="F2"/>
                  <w:vAlign w:val="center"/>
                </w:tcPr>
                <w:p w:rsidR="00923BC6" w:rsidRDefault="00923BC6" w:rsidP="00D75F09">
                  <w:pPr>
                    <w:pStyle w:val="TableBodyText"/>
                    <w:spacing w:after="0"/>
                    <w:ind w:left="-204" w:right="28"/>
                    <w:jc w:val="center"/>
                  </w:pPr>
                </w:p>
              </w:tc>
              <w:tc>
                <w:tcPr>
                  <w:tcW w:w="916" w:type="pct"/>
                  <w:shd w:val="clear" w:color="auto" w:fill="F2F2F2" w:themeFill="background1" w:themeFillShade="F2"/>
                  <w:vAlign w:val="center"/>
                </w:tcPr>
                <w:p w:rsidR="00923BC6" w:rsidRDefault="00923BC6" w:rsidP="00D75F09">
                  <w:pPr>
                    <w:pStyle w:val="TableBodyText"/>
                    <w:spacing w:after="0"/>
                    <w:ind w:left="-204" w:right="28"/>
                    <w:jc w:val="center"/>
                  </w:pPr>
                </w:p>
              </w:tc>
            </w:tr>
            <w:tr w:rsidR="00923BC6" w:rsidTr="00D75F09">
              <w:trPr>
                <w:trHeight w:val="454"/>
              </w:trPr>
              <w:tc>
                <w:tcPr>
                  <w:tcW w:w="1333" w:type="pct"/>
                  <w:shd w:val="clear" w:color="auto" w:fill="auto"/>
                  <w:vAlign w:val="center"/>
                </w:tcPr>
                <w:p w:rsidR="00923BC6" w:rsidRDefault="00923BC6" w:rsidP="00D75F09">
                  <w:pPr>
                    <w:pStyle w:val="TableBodyText"/>
                    <w:jc w:val="left"/>
                  </w:pPr>
                  <w:r>
                    <w:t xml:space="preserve">Environmental </w:t>
                  </w:r>
                  <w:r w:rsidR="00E905A6">
                    <w:t>w</w:t>
                  </w:r>
                  <w:r>
                    <w:t xml:space="preserve">ater </w:t>
                  </w:r>
                  <w:r w:rsidR="00E905A6">
                    <w:t>m</w:t>
                  </w:r>
                  <w:r>
                    <w:t>anagement</w:t>
                  </w:r>
                </w:p>
              </w:tc>
              <w:tc>
                <w:tcPr>
                  <w:tcW w:w="917" w:type="pct"/>
                  <w:vAlign w:val="center"/>
                </w:tcPr>
                <w:p w:rsidR="00923BC6" w:rsidRDefault="00923BC6" w:rsidP="00D75F09">
                  <w:pPr>
                    <w:pStyle w:val="TableBodyText"/>
                    <w:spacing w:after="0"/>
                    <w:ind w:left="-204" w:right="0"/>
                    <w:jc w:val="center"/>
                  </w:pPr>
                  <w:r w:rsidRPr="00C465B2">
                    <w:rPr>
                      <w:rFonts w:cs="Arial"/>
                      <w:color w:val="78A22F" w:themeColor="accent1"/>
                      <w:sz w:val="28"/>
                      <w:szCs w:val="28"/>
                    </w:rPr>
                    <w:t>▲</w:t>
                  </w:r>
                </w:p>
              </w:tc>
              <w:tc>
                <w:tcPr>
                  <w:tcW w:w="917" w:type="pct"/>
                  <w:shd w:val="clear" w:color="auto" w:fill="auto"/>
                  <w:vAlign w:val="center"/>
                </w:tcPr>
                <w:p w:rsidR="00923BC6" w:rsidRDefault="00923BC6" w:rsidP="00D75F09">
                  <w:pPr>
                    <w:pStyle w:val="TableBodyText"/>
                    <w:spacing w:after="0"/>
                    <w:jc w:val="center"/>
                  </w:pPr>
                  <w:r w:rsidRPr="00C465B2">
                    <w:rPr>
                      <w:rFonts w:cs="Arial"/>
                      <w:color w:val="78A22F" w:themeColor="accent1"/>
                      <w:sz w:val="28"/>
                      <w:szCs w:val="28"/>
                    </w:rPr>
                    <w:t>▲</w:t>
                  </w:r>
                  <w:r w:rsidRPr="00C465B2">
                    <w:rPr>
                      <w:rFonts w:cs="Arial"/>
                      <w:color w:val="66BCDB" w:themeColor="text2"/>
                      <w:sz w:val="36"/>
                      <w:szCs w:val="36"/>
                    </w:rPr>
                    <w:t>■</w:t>
                  </w:r>
                </w:p>
              </w:tc>
              <w:tc>
                <w:tcPr>
                  <w:tcW w:w="917" w:type="pct"/>
                  <w:shd w:val="clear" w:color="auto" w:fill="auto"/>
                  <w:vAlign w:val="center"/>
                </w:tcPr>
                <w:p w:rsidR="00923BC6" w:rsidRDefault="00923BC6" w:rsidP="00D75F09">
                  <w:pPr>
                    <w:pStyle w:val="TableBodyText"/>
                    <w:spacing w:after="0"/>
                    <w:ind w:left="-198" w:right="28"/>
                    <w:jc w:val="center"/>
                  </w:pPr>
                  <w:r w:rsidRPr="00C465B2">
                    <w:rPr>
                      <w:rFonts w:cs="Arial"/>
                      <w:color w:val="78A22F" w:themeColor="accent1"/>
                      <w:sz w:val="28"/>
                      <w:szCs w:val="28"/>
                    </w:rPr>
                    <w:t>▲</w:t>
                  </w:r>
                </w:p>
              </w:tc>
              <w:tc>
                <w:tcPr>
                  <w:tcW w:w="916" w:type="pct"/>
                  <w:vAlign w:val="center"/>
                </w:tcPr>
                <w:p w:rsidR="00923BC6" w:rsidRDefault="00923BC6" w:rsidP="00D75F09">
                  <w:pPr>
                    <w:pStyle w:val="TableBodyText"/>
                    <w:spacing w:after="0"/>
                    <w:ind w:right="28"/>
                    <w:jc w:val="center"/>
                  </w:pPr>
                </w:p>
              </w:tc>
            </w:tr>
            <w:tr w:rsidR="00923BC6" w:rsidTr="00D75F09">
              <w:trPr>
                <w:trHeight w:val="454"/>
              </w:trPr>
              <w:tc>
                <w:tcPr>
                  <w:tcW w:w="1333" w:type="pct"/>
                  <w:shd w:val="clear" w:color="auto" w:fill="F2F2F2" w:themeFill="background1" w:themeFillShade="F2"/>
                  <w:vAlign w:val="center"/>
                </w:tcPr>
                <w:p w:rsidR="00923BC6" w:rsidRDefault="00923BC6" w:rsidP="00D75F09">
                  <w:pPr>
                    <w:pStyle w:val="TableBodyText"/>
                    <w:jc w:val="left"/>
                  </w:pPr>
                  <w:r>
                    <w:t xml:space="preserve">Water </w:t>
                  </w:r>
                  <w:r w:rsidR="00E905A6">
                    <w:t>t</w:t>
                  </w:r>
                  <w:r>
                    <w:t>rading</w:t>
                  </w:r>
                </w:p>
              </w:tc>
              <w:tc>
                <w:tcPr>
                  <w:tcW w:w="917" w:type="pct"/>
                  <w:shd w:val="clear" w:color="auto" w:fill="F2F2F2" w:themeFill="background1" w:themeFillShade="F2"/>
                  <w:vAlign w:val="center"/>
                </w:tcPr>
                <w:p w:rsidR="00923BC6" w:rsidRDefault="00923BC6" w:rsidP="00D75F09">
                  <w:pPr>
                    <w:pStyle w:val="TableBodyText"/>
                    <w:spacing w:after="0"/>
                    <w:ind w:left="-204" w:right="0"/>
                    <w:jc w:val="center"/>
                  </w:pPr>
                  <w:r w:rsidRPr="00C465B2">
                    <w:rPr>
                      <w:rFonts w:cs="Arial"/>
                      <w:color w:val="78A22F" w:themeColor="accent1"/>
                      <w:sz w:val="28"/>
                      <w:szCs w:val="28"/>
                    </w:rPr>
                    <w:t>▲</w:t>
                  </w:r>
                </w:p>
              </w:tc>
              <w:tc>
                <w:tcPr>
                  <w:tcW w:w="917" w:type="pct"/>
                  <w:shd w:val="clear" w:color="auto" w:fill="F2F2F2" w:themeFill="background1" w:themeFillShade="F2"/>
                  <w:vAlign w:val="center"/>
                </w:tcPr>
                <w:p w:rsidR="00923BC6" w:rsidRDefault="00923BC6" w:rsidP="00D75F09">
                  <w:pPr>
                    <w:pStyle w:val="TableBodyText"/>
                    <w:spacing w:after="0"/>
                    <w:jc w:val="center"/>
                  </w:pPr>
                  <w:r w:rsidRPr="00C465B2">
                    <w:rPr>
                      <w:rFonts w:cs="Arial"/>
                      <w:color w:val="78A22F" w:themeColor="accent1"/>
                      <w:sz w:val="28"/>
                      <w:szCs w:val="28"/>
                    </w:rPr>
                    <w:t>▲</w:t>
                  </w:r>
                  <w:r w:rsidRPr="00C465B2">
                    <w:rPr>
                      <w:rFonts w:cs="Arial"/>
                      <w:color w:val="66BCDB" w:themeColor="text2"/>
                      <w:sz w:val="36"/>
                      <w:szCs w:val="36"/>
                    </w:rPr>
                    <w:t>■</w:t>
                  </w:r>
                </w:p>
              </w:tc>
              <w:tc>
                <w:tcPr>
                  <w:tcW w:w="917" w:type="pct"/>
                  <w:shd w:val="clear" w:color="auto" w:fill="F2F2F2" w:themeFill="background1" w:themeFillShade="F2"/>
                  <w:vAlign w:val="center"/>
                </w:tcPr>
                <w:p w:rsidR="00923BC6" w:rsidRDefault="00923BC6" w:rsidP="00D75F09">
                  <w:pPr>
                    <w:pStyle w:val="TableBodyText"/>
                    <w:spacing w:after="0"/>
                    <w:ind w:right="28"/>
                    <w:jc w:val="center"/>
                  </w:pPr>
                  <w:r w:rsidRPr="00C465B2">
                    <w:rPr>
                      <w:rFonts w:cs="Arial"/>
                      <w:color w:val="78A22F" w:themeColor="accent1"/>
                      <w:sz w:val="28"/>
                      <w:szCs w:val="28"/>
                    </w:rPr>
                    <w:t>▲</w:t>
                  </w:r>
                  <w:r w:rsidRPr="00C465B2">
                    <w:rPr>
                      <w:rFonts w:cs="Arial"/>
                      <w:color w:val="66BCDB" w:themeColor="text2"/>
                      <w:sz w:val="36"/>
                      <w:szCs w:val="36"/>
                    </w:rPr>
                    <w:t>■</w:t>
                  </w:r>
                </w:p>
              </w:tc>
              <w:tc>
                <w:tcPr>
                  <w:tcW w:w="916" w:type="pct"/>
                  <w:shd w:val="clear" w:color="auto" w:fill="F2F2F2" w:themeFill="background1" w:themeFillShade="F2"/>
                  <w:vAlign w:val="center"/>
                </w:tcPr>
                <w:p w:rsidR="00923BC6" w:rsidRDefault="00923BC6" w:rsidP="00D75F09">
                  <w:pPr>
                    <w:pStyle w:val="TableBodyText"/>
                    <w:spacing w:after="0"/>
                    <w:ind w:right="28"/>
                    <w:jc w:val="center"/>
                  </w:pPr>
                </w:p>
              </w:tc>
            </w:tr>
            <w:tr w:rsidR="00923BC6" w:rsidTr="00D75F09">
              <w:trPr>
                <w:trHeight w:val="454"/>
              </w:trPr>
              <w:tc>
                <w:tcPr>
                  <w:tcW w:w="1333" w:type="pct"/>
                  <w:shd w:val="clear" w:color="auto" w:fill="auto"/>
                  <w:vAlign w:val="center"/>
                </w:tcPr>
                <w:p w:rsidR="00923BC6" w:rsidRDefault="00923BC6" w:rsidP="00D75F09">
                  <w:pPr>
                    <w:pStyle w:val="TableBodyText"/>
                    <w:jc w:val="left"/>
                  </w:pPr>
                  <w:r>
                    <w:t xml:space="preserve">Critical </w:t>
                  </w:r>
                  <w:r w:rsidR="00E905A6">
                    <w:t>h</w:t>
                  </w:r>
                  <w:r>
                    <w:t xml:space="preserve">uman </w:t>
                  </w:r>
                  <w:r w:rsidR="005C21E9">
                    <w:t xml:space="preserve">water </w:t>
                  </w:r>
                  <w:r w:rsidR="00E905A6">
                    <w:t>n</w:t>
                  </w:r>
                  <w:r>
                    <w:t>eeds</w:t>
                  </w:r>
                </w:p>
              </w:tc>
              <w:tc>
                <w:tcPr>
                  <w:tcW w:w="917" w:type="pct"/>
                  <w:vAlign w:val="center"/>
                </w:tcPr>
                <w:p w:rsidR="00923BC6" w:rsidRDefault="00923BC6" w:rsidP="00D75F09">
                  <w:pPr>
                    <w:pStyle w:val="TableBodyText"/>
                    <w:spacing w:after="0"/>
                    <w:jc w:val="center"/>
                  </w:pPr>
                </w:p>
              </w:tc>
              <w:tc>
                <w:tcPr>
                  <w:tcW w:w="917" w:type="pct"/>
                  <w:shd w:val="clear" w:color="auto" w:fill="auto"/>
                  <w:vAlign w:val="center"/>
                </w:tcPr>
                <w:p w:rsidR="00923BC6" w:rsidRDefault="00923BC6" w:rsidP="00D75F09">
                  <w:pPr>
                    <w:pStyle w:val="TableBodyText"/>
                    <w:spacing w:after="0"/>
                    <w:jc w:val="center"/>
                  </w:pPr>
                  <w:r w:rsidRPr="00C465B2">
                    <w:rPr>
                      <w:rFonts w:cs="Arial"/>
                      <w:color w:val="78A22F" w:themeColor="accent1"/>
                      <w:sz w:val="28"/>
                      <w:szCs w:val="28"/>
                    </w:rPr>
                    <w:t>▲</w:t>
                  </w:r>
                  <w:r w:rsidRPr="00C465B2">
                    <w:rPr>
                      <w:rFonts w:cs="Arial"/>
                      <w:color w:val="66BCDB" w:themeColor="text2"/>
                      <w:sz w:val="36"/>
                      <w:szCs w:val="36"/>
                    </w:rPr>
                    <w:t>■</w:t>
                  </w:r>
                </w:p>
              </w:tc>
              <w:tc>
                <w:tcPr>
                  <w:tcW w:w="917" w:type="pct"/>
                  <w:shd w:val="clear" w:color="auto" w:fill="auto"/>
                  <w:vAlign w:val="center"/>
                </w:tcPr>
                <w:p w:rsidR="00923BC6" w:rsidRDefault="00923BC6" w:rsidP="00D75F09">
                  <w:pPr>
                    <w:pStyle w:val="TableBodyText"/>
                    <w:spacing w:after="0"/>
                    <w:ind w:left="261" w:right="0"/>
                    <w:jc w:val="center"/>
                  </w:pPr>
                  <w:r w:rsidRPr="00C465B2">
                    <w:rPr>
                      <w:rFonts w:cs="Arial"/>
                      <w:color w:val="66BCDB" w:themeColor="text2"/>
                      <w:sz w:val="36"/>
                      <w:szCs w:val="36"/>
                    </w:rPr>
                    <w:t>■</w:t>
                  </w:r>
                </w:p>
              </w:tc>
              <w:tc>
                <w:tcPr>
                  <w:tcW w:w="916" w:type="pct"/>
                  <w:vAlign w:val="center"/>
                </w:tcPr>
                <w:p w:rsidR="00923BC6" w:rsidRDefault="00923BC6" w:rsidP="00D75F09">
                  <w:pPr>
                    <w:pStyle w:val="TableBodyText"/>
                    <w:spacing w:after="0"/>
                    <w:ind w:right="28"/>
                    <w:jc w:val="center"/>
                  </w:pPr>
                </w:p>
              </w:tc>
            </w:tr>
            <w:tr w:rsidR="00923BC6" w:rsidTr="00D75F09">
              <w:trPr>
                <w:trHeight w:val="454"/>
              </w:trPr>
              <w:tc>
                <w:tcPr>
                  <w:tcW w:w="1333" w:type="pct"/>
                  <w:shd w:val="clear" w:color="auto" w:fill="F2F2F2" w:themeFill="background1" w:themeFillShade="F2"/>
                  <w:vAlign w:val="center"/>
                </w:tcPr>
                <w:p w:rsidR="00923BC6" w:rsidRDefault="00923BC6" w:rsidP="00D75F09">
                  <w:pPr>
                    <w:pStyle w:val="TableBodyText"/>
                    <w:jc w:val="left"/>
                  </w:pPr>
                  <w:r>
                    <w:t xml:space="preserve">Water quality </w:t>
                  </w:r>
                  <w:r w:rsidR="00E905A6">
                    <w:t>and</w:t>
                  </w:r>
                  <w:r>
                    <w:t xml:space="preserve"> salinity</w:t>
                  </w:r>
                </w:p>
              </w:tc>
              <w:tc>
                <w:tcPr>
                  <w:tcW w:w="917" w:type="pct"/>
                  <w:shd w:val="clear" w:color="auto" w:fill="F2F2F2" w:themeFill="background1" w:themeFillShade="F2"/>
                  <w:vAlign w:val="center"/>
                </w:tcPr>
                <w:p w:rsidR="00923BC6" w:rsidRDefault="00923BC6" w:rsidP="00D75F09">
                  <w:pPr>
                    <w:pStyle w:val="TableBodyText"/>
                    <w:spacing w:after="0"/>
                    <w:jc w:val="center"/>
                  </w:pPr>
                </w:p>
              </w:tc>
              <w:tc>
                <w:tcPr>
                  <w:tcW w:w="917" w:type="pct"/>
                  <w:shd w:val="clear" w:color="auto" w:fill="F2F2F2" w:themeFill="background1" w:themeFillShade="F2"/>
                  <w:vAlign w:val="center"/>
                </w:tcPr>
                <w:p w:rsidR="00923BC6" w:rsidRDefault="00923BC6" w:rsidP="00D75F09">
                  <w:pPr>
                    <w:pStyle w:val="TableBodyText"/>
                    <w:spacing w:after="0"/>
                    <w:jc w:val="center"/>
                  </w:pPr>
                  <w:r w:rsidRPr="00C465B2">
                    <w:rPr>
                      <w:rFonts w:cs="Arial"/>
                      <w:color w:val="78A22F" w:themeColor="accent1"/>
                      <w:sz w:val="28"/>
                      <w:szCs w:val="28"/>
                    </w:rPr>
                    <w:t>▲</w:t>
                  </w:r>
                  <w:r w:rsidRPr="00C465B2">
                    <w:rPr>
                      <w:rFonts w:cs="Arial"/>
                      <w:color w:val="66BCDB" w:themeColor="text2"/>
                      <w:sz w:val="36"/>
                      <w:szCs w:val="36"/>
                    </w:rPr>
                    <w:t>■</w:t>
                  </w:r>
                </w:p>
              </w:tc>
              <w:tc>
                <w:tcPr>
                  <w:tcW w:w="917" w:type="pct"/>
                  <w:shd w:val="clear" w:color="auto" w:fill="F2F2F2" w:themeFill="background1" w:themeFillShade="F2"/>
                  <w:vAlign w:val="center"/>
                </w:tcPr>
                <w:p w:rsidR="00923BC6" w:rsidRDefault="00923BC6" w:rsidP="00D75F09">
                  <w:pPr>
                    <w:pStyle w:val="TableBodyText"/>
                    <w:spacing w:after="0"/>
                    <w:ind w:right="28"/>
                    <w:jc w:val="center"/>
                  </w:pPr>
                  <w:r w:rsidRPr="00C465B2">
                    <w:rPr>
                      <w:rFonts w:cs="Arial"/>
                      <w:color w:val="78A22F" w:themeColor="accent1"/>
                      <w:sz w:val="28"/>
                      <w:szCs w:val="28"/>
                    </w:rPr>
                    <w:t>▲</w:t>
                  </w:r>
                  <w:r w:rsidRPr="00C465B2">
                    <w:rPr>
                      <w:rFonts w:cs="Arial"/>
                      <w:color w:val="66BCDB" w:themeColor="text2"/>
                      <w:sz w:val="36"/>
                      <w:szCs w:val="36"/>
                    </w:rPr>
                    <w:t>■</w:t>
                  </w:r>
                </w:p>
              </w:tc>
              <w:tc>
                <w:tcPr>
                  <w:tcW w:w="916" w:type="pct"/>
                  <w:shd w:val="clear" w:color="auto" w:fill="F2F2F2" w:themeFill="background1" w:themeFillShade="F2"/>
                  <w:vAlign w:val="center"/>
                </w:tcPr>
                <w:p w:rsidR="00923BC6" w:rsidRDefault="00923BC6" w:rsidP="00D75F09">
                  <w:pPr>
                    <w:pStyle w:val="TableBodyText"/>
                    <w:spacing w:after="0"/>
                    <w:ind w:right="28"/>
                    <w:jc w:val="center"/>
                  </w:pPr>
                </w:p>
              </w:tc>
            </w:tr>
            <w:tr w:rsidR="00923BC6" w:rsidTr="00D75F09">
              <w:trPr>
                <w:trHeight w:val="454"/>
              </w:trPr>
              <w:tc>
                <w:tcPr>
                  <w:tcW w:w="1333" w:type="pct"/>
                  <w:shd w:val="clear" w:color="auto" w:fill="auto"/>
                  <w:vAlign w:val="center"/>
                </w:tcPr>
                <w:p w:rsidR="00923BC6" w:rsidRDefault="00923BC6" w:rsidP="00D75F09">
                  <w:pPr>
                    <w:pStyle w:val="TableBodyText"/>
                    <w:jc w:val="left"/>
                  </w:pPr>
                  <w:r>
                    <w:t>Monitoring</w:t>
                  </w:r>
                  <w:r w:rsidR="00E905A6">
                    <w:t>,</w:t>
                  </w:r>
                  <w:r>
                    <w:t xml:space="preserve"> evaluation</w:t>
                  </w:r>
                  <w:r w:rsidR="00E905A6">
                    <w:t xml:space="preserve"> and reporting</w:t>
                  </w:r>
                </w:p>
              </w:tc>
              <w:tc>
                <w:tcPr>
                  <w:tcW w:w="917" w:type="pct"/>
                  <w:vAlign w:val="center"/>
                </w:tcPr>
                <w:p w:rsidR="00923BC6" w:rsidRDefault="00923BC6" w:rsidP="00D75F09">
                  <w:pPr>
                    <w:pStyle w:val="TableBodyText"/>
                    <w:spacing w:after="0"/>
                    <w:jc w:val="center"/>
                  </w:pPr>
                </w:p>
              </w:tc>
              <w:tc>
                <w:tcPr>
                  <w:tcW w:w="917" w:type="pct"/>
                  <w:shd w:val="clear" w:color="auto" w:fill="auto"/>
                  <w:vAlign w:val="center"/>
                </w:tcPr>
                <w:p w:rsidR="00923BC6" w:rsidRDefault="00923BC6" w:rsidP="00D75F09">
                  <w:pPr>
                    <w:pStyle w:val="TableBodyText"/>
                    <w:spacing w:after="0"/>
                    <w:ind w:left="-204"/>
                    <w:jc w:val="center"/>
                  </w:pPr>
                  <w:r w:rsidRPr="00C465B2">
                    <w:rPr>
                      <w:rFonts w:cs="Arial"/>
                      <w:color w:val="78A22F" w:themeColor="accent1"/>
                      <w:sz w:val="28"/>
                      <w:szCs w:val="28"/>
                    </w:rPr>
                    <w:t>▲</w:t>
                  </w:r>
                </w:p>
              </w:tc>
              <w:tc>
                <w:tcPr>
                  <w:tcW w:w="917" w:type="pct"/>
                  <w:shd w:val="clear" w:color="auto" w:fill="auto"/>
                  <w:vAlign w:val="center"/>
                </w:tcPr>
                <w:p w:rsidR="00923BC6" w:rsidRDefault="00923BC6" w:rsidP="00D75F09">
                  <w:pPr>
                    <w:pStyle w:val="TableBodyText"/>
                    <w:spacing w:after="0"/>
                    <w:ind w:left="-204" w:right="28"/>
                    <w:jc w:val="center"/>
                  </w:pPr>
                  <w:r w:rsidRPr="00C465B2">
                    <w:rPr>
                      <w:rFonts w:cs="Arial"/>
                      <w:color w:val="78A22F" w:themeColor="accent1"/>
                      <w:sz w:val="28"/>
                      <w:szCs w:val="28"/>
                    </w:rPr>
                    <w:t>▲</w:t>
                  </w:r>
                </w:p>
              </w:tc>
              <w:tc>
                <w:tcPr>
                  <w:tcW w:w="916" w:type="pct"/>
                  <w:vAlign w:val="center"/>
                </w:tcPr>
                <w:p w:rsidR="00923BC6" w:rsidRDefault="00923BC6" w:rsidP="00D75F09">
                  <w:pPr>
                    <w:pStyle w:val="TableBodyText"/>
                    <w:spacing w:after="0"/>
                    <w:ind w:left="-204" w:right="28"/>
                    <w:jc w:val="center"/>
                  </w:pPr>
                  <w:r w:rsidRPr="00C465B2">
                    <w:rPr>
                      <w:rFonts w:cs="Arial"/>
                      <w:color w:val="78A22F" w:themeColor="accent1"/>
                      <w:sz w:val="28"/>
                      <w:szCs w:val="28"/>
                    </w:rPr>
                    <w:t>▲</w:t>
                  </w:r>
                </w:p>
              </w:tc>
            </w:tr>
            <w:tr w:rsidR="00923BC6" w:rsidTr="00D75F09">
              <w:trPr>
                <w:trHeight w:val="454"/>
              </w:trPr>
              <w:tc>
                <w:tcPr>
                  <w:tcW w:w="1333" w:type="pct"/>
                  <w:shd w:val="clear" w:color="auto" w:fill="F2F2F2" w:themeFill="background1" w:themeFillShade="F2"/>
                  <w:vAlign w:val="center"/>
                </w:tcPr>
                <w:p w:rsidR="00923BC6" w:rsidRDefault="00923BC6" w:rsidP="00D75F09">
                  <w:pPr>
                    <w:pStyle w:val="TableBodyText"/>
                    <w:jc w:val="left"/>
                  </w:pPr>
                  <w:r>
                    <w:t xml:space="preserve">River management, asset management </w:t>
                  </w:r>
                  <w:r w:rsidR="00E905A6">
                    <w:t xml:space="preserve">and </w:t>
                  </w:r>
                  <w:r>
                    <w:t>operation</w:t>
                  </w:r>
                </w:p>
              </w:tc>
              <w:tc>
                <w:tcPr>
                  <w:tcW w:w="917" w:type="pct"/>
                  <w:shd w:val="clear" w:color="auto" w:fill="F2F2F2" w:themeFill="background1" w:themeFillShade="F2"/>
                  <w:vAlign w:val="center"/>
                </w:tcPr>
                <w:p w:rsidR="00923BC6" w:rsidRDefault="00923BC6" w:rsidP="00D75F09">
                  <w:pPr>
                    <w:pStyle w:val="TableBodyText"/>
                    <w:spacing w:after="0"/>
                    <w:jc w:val="center"/>
                  </w:pPr>
                </w:p>
              </w:tc>
              <w:tc>
                <w:tcPr>
                  <w:tcW w:w="917" w:type="pct"/>
                  <w:shd w:val="clear" w:color="auto" w:fill="F2F2F2" w:themeFill="background1" w:themeFillShade="F2"/>
                  <w:vAlign w:val="center"/>
                </w:tcPr>
                <w:p w:rsidR="00923BC6" w:rsidRDefault="00923BC6" w:rsidP="00D75F09">
                  <w:pPr>
                    <w:pStyle w:val="TableBodyText"/>
                    <w:spacing w:after="0"/>
                    <w:ind w:left="261" w:right="57"/>
                    <w:jc w:val="center"/>
                  </w:pPr>
                  <w:r w:rsidRPr="00C465B2">
                    <w:rPr>
                      <w:rFonts w:cs="Arial"/>
                      <w:color w:val="66BCDB" w:themeColor="text2"/>
                      <w:sz w:val="36"/>
                      <w:szCs w:val="36"/>
                    </w:rPr>
                    <w:t>■</w:t>
                  </w:r>
                  <w:r>
                    <w:rPr>
                      <w:rFonts w:cs="Arial"/>
                      <w:color w:val="66BCDB" w:themeColor="text2"/>
                      <w:sz w:val="36"/>
                      <w:szCs w:val="36"/>
                    </w:rPr>
                    <w:br/>
                  </w:r>
                  <w:r w:rsidRPr="00C465B2">
                    <w:rPr>
                      <w:rFonts w:cs="Arial"/>
                      <w:sz w:val="16"/>
                      <w:szCs w:val="16"/>
                    </w:rPr>
                    <w:t>River Murray</w:t>
                  </w:r>
                </w:p>
              </w:tc>
              <w:tc>
                <w:tcPr>
                  <w:tcW w:w="917" w:type="pct"/>
                  <w:shd w:val="clear" w:color="auto" w:fill="F2F2F2" w:themeFill="background1" w:themeFillShade="F2"/>
                  <w:vAlign w:val="center"/>
                </w:tcPr>
                <w:p w:rsidR="00923BC6" w:rsidRDefault="00923BC6" w:rsidP="00D75F09">
                  <w:pPr>
                    <w:pStyle w:val="TableBodyText"/>
                    <w:spacing w:after="0"/>
                    <w:ind w:left="261" w:right="28"/>
                    <w:jc w:val="center"/>
                  </w:pPr>
                  <w:r w:rsidRPr="00C465B2">
                    <w:rPr>
                      <w:rFonts w:cs="Arial"/>
                      <w:color w:val="66BCDB" w:themeColor="text2"/>
                      <w:sz w:val="36"/>
                      <w:szCs w:val="36"/>
                    </w:rPr>
                    <w:t>■</w:t>
                  </w:r>
                </w:p>
              </w:tc>
              <w:tc>
                <w:tcPr>
                  <w:tcW w:w="916" w:type="pct"/>
                  <w:shd w:val="clear" w:color="auto" w:fill="F2F2F2" w:themeFill="background1" w:themeFillShade="F2"/>
                  <w:vAlign w:val="center"/>
                </w:tcPr>
                <w:p w:rsidR="00923BC6" w:rsidRDefault="00923BC6" w:rsidP="00D75F09">
                  <w:pPr>
                    <w:pStyle w:val="TableBodyText"/>
                    <w:spacing w:after="0"/>
                    <w:ind w:right="28"/>
                    <w:jc w:val="center"/>
                  </w:pPr>
                </w:p>
              </w:tc>
            </w:tr>
            <w:tr w:rsidR="00923BC6" w:rsidTr="00D75F09">
              <w:trPr>
                <w:trHeight w:val="454"/>
              </w:trPr>
              <w:tc>
                <w:tcPr>
                  <w:tcW w:w="1333" w:type="pct"/>
                  <w:tcBorders>
                    <w:bottom w:val="single" w:sz="6" w:space="0" w:color="BFBFBF"/>
                  </w:tcBorders>
                  <w:shd w:val="clear" w:color="auto" w:fill="auto"/>
                  <w:vAlign w:val="center"/>
                </w:tcPr>
                <w:p w:rsidR="00923BC6" w:rsidRDefault="00923BC6" w:rsidP="00D75F09">
                  <w:pPr>
                    <w:pStyle w:val="TableBodyText"/>
                    <w:jc w:val="left"/>
                  </w:pPr>
                  <w:r>
                    <w:t>Water entitlements, individual compliance</w:t>
                  </w:r>
                </w:p>
              </w:tc>
              <w:tc>
                <w:tcPr>
                  <w:tcW w:w="917" w:type="pct"/>
                  <w:tcBorders>
                    <w:bottom w:val="single" w:sz="6" w:space="0" w:color="BFBFBF"/>
                  </w:tcBorders>
                  <w:vAlign w:val="center"/>
                </w:tcPr>
                <w:p w:rsidR="00923BC6" w:rsidRDefault="00923BC6" w:rsidP="00D75F09">
                  <w:pPr>
                    <w:pStyle w:val="TableBodyText"/>
                    <w:spacing w:after="0"/>
                    <w:jc w:val="center"/>
                  </w:pPr>
                </w:p>
              </w:tc>
              <w:tc>
                <w:tcPr>
                  <w:tcW w:w="917" w:type="pct"/>
                  <w:tcBorders>
                    <w:bottom w:val="single" w:sz="6" w:space="0" w:color="BFBFBF"/>
                  </w:tcBorders>
                  <w:shd w:val="clear" w:color="auto" w:fill="auto"/>
                  <w:vAlign w:val="center"/>
                </w:tcPr>
                <w:p w:rsidR="00923BC6" w:rsidRDefault="00923BC6" w:rsidP="00D75F09">
                  <w:pPr>
                    <w:pStyle w:val="TableBodyText"/>
                    <w:spacing w:after="0"/>
                    <w:jc w:val="center"/>
                  </w:pPr>
                </w:p>
              </w:tc>
              <w:tc>
                <w:tcPr>
                  <w:tcW w:w="917" w:type="pct"/>
                  <w:tcBorders>
                    <w:bottom w:val="single" w:sz="6" w:space="0" w:color="BFBFBF"/>
                  </w:tcBorders>
                  <w:shd w:val="clear" w:color="auto" w:fill="auto"/>
                  <w:vAlign w:val="center"/>
                </w:tcPr>
                <w:p w:rsidR="00923BC6" w:rsidRDefault="00923BC6" w:rsidP="00D75F09">
                  <w:pPr>
                    <w:pStyle w:val="TableBodyText"/>
                    <w:spacing w:after="0"/>
                    <w:ind w:left="261" w:right="28"/>
                    <w:jc w:val="center"/>
                  </w:pPr>
                  <w:r w:rsidRPr="00C465B2">
                    <w:rPr>
                      <w:rFonts w:cs="Arial"/>
                      <w:color w:val="66BCDB" w:themeColor="text2"/>
                      <w:sz w:val="36"/>
                      <w:szCs w:val="36"/>
                    </w:rPr>
                    <w:t>■</w:t>
                  </w:r>
                </w:p>
              </w:tc>
              <w:tc>
                <w:tcPr>
                  <w:tcW w:w="916" w:type="pct"/>
                  <w:tcBorders>
                    <w:bottom w:val="single" w:sz="6" w:space="0" w:color="BFBFBF"/>
                  </w:tcBorders>
                  <w:vAlign w:val="center"/>
                </w:tcPr>
                <w:p w:rsidR="00923BC6" w:rsidRDefault="00923BC6" w:rsidP="00D75F09">
                  <w:pPr>
                    <w:pStyle w:val="TableBodyText"/>
                    <w:spacing w:after="0"/>
                    <w:ind w:right="28"/>
                    <w:jc w:val="center"/>
                  </w:pPr>
                </w:p>
              </w:tc>
            </w:tr>
          </w:tbl>
          <w:p w:rsidR="00923BC6" w:rsidRDefault="00923BC6" w:rsidP="00D75F09">
            <w:pPr>
              <w:pStyle w:val="Box"/>
            </w:pPr>
          </w:p>
        </w:tc>
      </w:tr>
      <w:tr w:rsidR="00923BC6" w:rsidTr="00D75F09">
        <w:tc>
          <w:tcPr>
            <w:tcW w:w="5000" w:type="pct"/>
            <w:tcBorders>
              <w:top w:val="nil"/>
              <w:left w:val="nil"/>
              <w:bottom w:val="nil"/>
              <w:right w:val="nil"/>
            </w:tcBorders>
            <w:shd w:val="clear" w:color="auto" w:fill="auto"/>
          </w:tcPr>
          <w:p w:rsidR="00923BC6" w:rsidRDefault="00923BC6" w:rsidP="00D75F09">
            <w:pPr>
              <w:pStyle w:val="Note"/>
              <w:rPr>
                <w:i/>
              </w:rPr>
            </w:pPr>
            <w:r w:rsidRPr="00C465B2">
              <w:rPr>
                <w:rFonts w:cs="Arial"/>
                <w:color w:val="78A22F" w:themeColor="accent1"/>
                <w:sz w:val="28"/>
                <w:szCs w:val="28"/>
              </w:rPr>
              <w:t>▲</w:t>
            </w:r>
            <w:r>
              <w:rPr>
                <w:rFonts w:cs="Arial"/>
                <w:color w:val="78A22F" w:themeColor="accent1"/>
                <w:sz w:val="28"/>
                <w:szCs w:val="28"/>
              </w:rPr>
              <w:t xml:space="preserve"> </w:t>
            </w:r>
            <w:r w:rsidRPr="00C465B2">
              <w:rPr>
                <w:rFonts w:cs="Arial"/>
                <w:szCs w:val="18"/>
              </w:rPr>
              <w:t>Basin Plan</w:t>
            </w:r>
            <w:r>
              <w:rPr>
                <w:rFonts w:cs="Arial"/>
                <w:color w:val="78A22F" w:themeColor="accent1"/>
                <w:sz w:val="28"/>
                <w:szCs w:val="28"/>
              </w:rPr>
              <w:t xml:space="preserve"> </w:t>
            </w:r>
            <w:r w:rsidRPr="00C465B2">
              <w:rPr>
                <w:rFonts w:cs="Arial"/>
                <w:color w:val="66BCDB" w:themeColor="text2"/>
                <w:sz w:val="36"/>
                <w:szCs w:val="36"/>
              </w:rPr>
              <w:t>■</w:t>
            </w:r>
            <w:r>
              <w:rPr>
                <w:rFonts w:cs="Arial"/>
                <w:color w:val="66BCDB" w:themeColor="text2"/>
                <w:sz w:val="36"/>
                <w:szCs w:val="36"/>
              </w:rPr>
              <w:t xml:space="preserve"> </w:t>
            </w:r>
            <w:proofErr w:type="spellStart"/>
            <w:r w:rsidRPr="00C465B2">
              <w:rPr>
                <w:rFonts w:cs="Arial"/>
                <w:szCs w:val="18"/>
              </w:rPr>
              <w:t>MDB</w:t>
            </w:r>
            <w:proofErr w:type="spellEnd"/>
            <w:r w:rsidRPr="00C465B2">
              <w:rPr>
                <w:rFonts w:cs="Arial"/>
                <w:szCs w:val="18"/>
              </w:rPr>
              <w:t xml:space="preserve"> Agreement</w:t>
            </w:r>
          </w:p>
        </w:tc>
      </w:tr>
      <w:tr w:rsidR="00923BC6" w:rsidTr="00D75F09">
        <w:tc>
          <w:tcPr>
            <w:tcW w:w="5000" w:type="pct"/>
            <w:tcBorders>
              <w:top w:val="nil"/>
              <w:left w:val="nil"/>
              <w:bottom w:val="nil"/>
              <w:right w:val="nil"/>
            </w:tcBorders>
            <w:shd w:val="clear" w:color="auto" w:fill="auto"/>
          </w:tcPr>
          <w:p w:rsidR="00923BC6" w:rsidRDefault="00923BC6" w:rsidP="00D75F09">
            <w:pPr>
              <w:pStyle w:val="Source"/>
            </w:pPr>
            <w:r>
              <w:rPr>
                <w:i/>
              </w:rPr>
              <w:t>Data Source</w:t>
            </w:r>
            <w:r w:rsidR="00B37F8F">
              <w:rPr>
                <w:i/>
              </w:rPr>
              <w:t>s</w:t>
            </w:r>
            <w:r w:rsidRPr="00167F06">
              <w:t xml:space="preserve">: </w:t>
            </w:r>
            <w:r w:rsidRPr="00D13AC7">
              <w:rPr>
                <w:i/>
              </w:rPr>
              <w:t>Water Act 2007</w:t>
            </w:r>
            <w:r>
              <w:t xml:space="preserve"> (</w:t>
            </w:r>
            <w:proofErr w:type="spellStart"/>
            <w:r>
              <w:t>Cwlth</w:t>
            </w:r>
            <w:proofErr w:type="spellEnd"/>
            <w:r>
              <w:t>), Basin Plan 2012 (</w:t>
            </w:r>
            <w:proofErr w:type="spellStart"/>
            <w:r>
              <w:t>Cwlth</w:t>
            </w:r>
            <w:proofErr w:type="spellEnd"/>
            <w:r>
              <w:t>).</w:t>
            </w:r>
          </w:p>
        </w:tc>
      </w:tr>
      <w:tr w:rsidR="00923BC6" w:rsidTr="00D75F09">
        <w:tc>
          <w:tcPr>
            <w:tcW w:w="5000" w:type="pct"/>
            <w:tcBorders>
              <w:top w:val="nil"/>
              <w:left w:val="nil"/>
              <w:bottom w:val="single" w:sz="6" w:space="0" w:color="78A22F"/>
              <w:right w:val="nil"/>
            </w:tcBorders>
            <w:shd w:val="clear" w:color="auto" w:fill="auto"/>
          </w:tcPr>
          <w:p w:rsidR="00923BC6" w:rsidRDefault="00923BC6" w:rsidP="00D75F09">
            <w:pPr>
              <w:pStyle w:val="Box"/>
              <w:spacing w:before="0" w:line="120" w:lineRule="exact"/>
            </w:pPr>
          </w:p>
        </w:tc>
      </w:tr>
      <w:tr w:rsidR="00923BC6" w:rsidRPr="000863A5" w:rsidTr="00D75F09">
        <w:tc>
          <w:tcPr>
            <w:tcW w:w="5000" w:type="pct"/>
            <w:tcBorders>
              <w:top w:val="single" w:sz="6" w:space="0" w:color="78A22F"/>
              <w:left w:val="nil"/>
              <w:bottom w:val="nil"/>
              <w:right w:val="nil"/>
            </w:tcBorders>
          </w:tcPr>
          <w:p w:rsidR="00923BC6" w:rsidRPr="00626D32" w:rsidRDefault="00923BC6" w:rsidP="00D75F09">
            <w:pPr>
              <w:pStyle w:val="BoxSpaceBelow"/>
            </w:pPr>
          </w:p>
        </w:tc>
      </w:tr>
    </w:tbl>
    <w:p w:rsidR="001B7357" w:rsidRPr="00A7642A" w:rsidRDefault="00515B4D" w:rsidP="001B7357">
      <w:pPr>
        <w:spacing w:before="240" w:line="300" w:lineRule="atLeast"/>
        <w:jc w:val="both"/>
      </w:pPr>
      <w:r>
        <w:t>T</w:t>
      </w:r>
      <w:r w:rsidR="006C2677">
        <w:t>he Basin Plan is underpinned by</w:t>
      </w:r>
      <w:r w:rsidR="006C2677" w:rsidRPr="009744FA">
        <w:t xml:space="preserve"> </w:t>
      </w:r>
      <w:r w:rsidR="001B7357" w:rsidRPr="009744FA">
        <w:t xml:space="preserve">multilateral and bilateral </w:t>
      </w:r>
      <w:r w:rsidR="00A33EDF">
        <w:t>i</w:t>
      </w:r>
      <w:r w:rsidR="001B7357" w:rsidRPr="009744FA">
        <w:t xml:space="preserve">ntergovernmental </w:t>
      </w:r>
      <w:r w:rsidR="00A33EDF">
        <w:t>a</w:t>
      </w:r>
      <w:r w:rsidR="00A33EDF" w:rsidRPr="009744FA">
        <w:t>greements</w:t>
      </w:r>
      <w:r w:rsidR="006C2677">
        <w:t xml:space="preserve">. </w:t>
      </w:r>
      <w:r w:rsidR="006C2677" w:rsidRPr="00A7642A">
        <w:t xml:space="preserve">These agreements </w:t>
      </w:r>
      <w:r w:rsidR="001B7357" w:rsidRPr="00A7642A">
        <w:t xml:space="preserve">commit parties to implementing the Basin Plan, and </w:t>
      </w:r>
      <w:r w:rsidR="00C42301" w:rsidRPr="00A7642A">
        <w:t>provide the basis for</w:t>
      </w:r>
      <w:r w:rsidR="001B7357" w:rsidRPr="00A7642A">
        <w:t xml:space="preserve"> funding to support implementation. </w:t>
      </w:r>
      <w:r w:rsidR="00BA0CB2" w:rsidRPr="00A7642A">
        <w:t>K</w:t>
      </w:r>
      <w:r w:rsidR="002613D9" w:rsidRPr="00A7642A">
        <w:t xml:space="preserve">ey intergovernmental agreements </w:t>
      </w:r>
      <w:r w:rsidR="00BA0CB2" w:rsidRPr="00A7642A">
        <w:t>include</w:t>
      </w:r>
      <w:r w:rsidR="002613D9" w:rsidRPr="00A7642A">
        <w:t>:</w:t>
      </w:r>
    </w:p>
    <w:p w:rsidR="00380D4E" w:rsidRPr="00A7642A" w:rsidRDefault="00380D4E" w:rsidP="006C28E0">
      <w:pPr>
        <w:pStyle w:val="ListBullet"/>
      </w:pPr>
      <w:r w:rsidRPr="00A7642A">
        <w:t xml:space="preserve">Intergovernmental </w:t>
      </w:r>
      <w:r w:rsidR="00E905A6" w:rsidRPr="00A7642A">
        <w:t>A</w:t>
      </w:r>
      <w:r w:rsidRPr="00A7642A">
        <w:t xml:space="preserve">greement for </w:t>
      </w:r>
      <w:r w:rsidR="00E905A6" w:rsidRPr="00A7642A">
        <w:t>I</w:t>
      </w:r>
      <w:r w:rsidRPr="00A7642A">
        <w:t xml:space="preserve">mplementing </w:t>
      </w:r>
      <w:r w:rsidR="00E905A6" w:rsidRPr="00A7642A">
        <w:t>W</w:t>
      </w:r>
      <w:r w:rsidRPr="00A7642A">
        <w:t xml:space="preserve">ater </w:t>
      </w:r>
      <w:r w:rsidR="00E905A6" w:rsidRPr="00A7642A">
        <w:t>R</w:t>
      </w:r>
      <w:r w:rsidRPr="00A7642A">
        <w:t>eform in the M</w:t>
      </w:r>
      <w:r w:rsidR="00EF195F" w:rsidRPr="00A7642A">
        <w:t>urray Darling Basin</w:t>
      </w:r>
      <w:r w:rsidR="007F224C" w:rsidRPr="00A7642A">
        <w:t xml:space="preserve"> </w:t>
      </w:r>
      <w:r w:rsidR="00885F6C" w:rsidRPr="00885F6C">
        <w:rPr>
          <w:szCs w:val="24"/>
        </w:rPr>
        <w:t>(</w:t>
      </w:r>
      <w:proofErr w:type="spellStart"/>
      <w:r w:rsidR="00885F6C" w:rsidRPr="00885F6C">
        <w:rPr>
          <w:szCs w:val="24"/>
        </w:rPr>
        <w:t>COAG</w:t>
      </w:r>
      <w:proofErr w:type="spellEnd"/>
      <w:r w:rsidR="00885F6C" w:rsidRPr="00885F6C">
        <w:rPr>
          <w:szCs w:val="24"/>
        </w:rPr>
        <w:t> 2013)</w:t>
      </w:r>
    </w:p>
    <w:p w:rsidR="00331698" w:rsidRPr="00A7642A" w:rsidRDefault="00380D4E" w:rsidP="006C28E0">
      <w:pPr>
        <w:pStyle w:val="ListBullet"/>
      </w:pPr>
      <w:r w:rsidRPr="00A7642A">
        <w:t xml:space="preserve">National Partnership Agreement on Implementing Water Reform in the </w:t>
      </w:r>
      <w:r w:rsidR="00EF195F" w:rsidRPr="00A7642A">
        <w:t>Murray</w:t>
      </w:r>
      <w:r w:rsidR="00F35185" w:rsidRPr="00A7642A">
        <w:t xml:space="preserve"> </w:t>
      </w:r>
      <w:r w:rsidR="00EF195F" w:rsidRPr="00A7642A">
        <w:t>Darling Basin</w:t>
      </w:r>
      <w:r w:rsidR="009B6989" w:rsidRPr="00A7642A" w:rsidDel="0062738A">
        <w:t xml:space="preserve"> </w:t>
      </w:r>
      <w:r w:rsidR="00885F6C" w:rsidRPr="00885F6C">
        <w:rPr>
          <w:szCs w:val="24"/>
        </w:rPr>
        <w:t>(</w:t>
      </w:r>
      <w:proofErr w:type="spellStart"/>
      <w:r w:rsidR="00885F6C" w:rsidRPr="00885F6C">
        <w:rPr>
          <w:szCs w:val="24"/>
        </w:rPr>
        <w:t>COAG</w:t>
      </w:r>
      <w:proofErr w:type="spellEnd"/>
      <w:r w:rsidR="00885F6C" w:rsidRPr="00885F6C">
        <w:rPr>
          <w:szCs w:val="24"/>
        </w:rPr>
        <w:t> 2014)</w:t>
      </w:r>
    </w:p>
    <w:p w:rsidR="00380D4E" w:rsidRPr="00380D4E" w:rsidRDefault="00331698" w:rsidP="006C28E0">
      <w:pPr>
        <w:pStyle w:val="ListBullet"/>
      </w:pPr>
      <w:r w:rsidRPr="00A7642A">
        <w:t xml:space="preserve">Bilateral </w:t>
      </w:r>
      <w:r w:rsidR="00E905A6" w:rsidRPr="00A7642A">
        <w:t xml:space="preserve">partnership agreements </w:t>
      </w:r>
      <w:r w:rsidRPr="00A7642A">
        <w:t>for the delivery of specific projects or activities to</w:t>
      </w:r>
      <w:r w:rsidRPr="00380D4E">
        <w:t xml:space="preserve"> contribute to the implementation of the Basin Plan</w:t>
      </w:r>
      <w:r w:rsidR="00944C45">
        <w:t>.</w:t>
      </w:r>
      <w:r w:rsidR="00D63D79">
        <w:t xml:space="preserve"> </w:t>
      </w:r>
    </w:p>
    <w:p w:rsidR="00223F84" w:rsidRDefault="00223F84" w:rsidP="00223F84">
      <w:pPr>
        <w:spacing w:before="240" w:line="300" w:lineRule="atLeast"/>
        <w:jc w:val="both"/>
      </w:pPr>
      <w:r w:rsidRPr="009744FA">
        <w:t>A recent limited assurance review</w:t>
      </w:r>
      <w:r w:rsidR="005C21E9">
        <w:t>,</w:t>
      </w:r>
      <w:r w:rsidRPr="009744FA">
        <w:t xml:space="preserve"> by the Australian National Audit Office </w:t>
      </w:r>
      <w:r w:rsidR="008C3CA9">
        <w:t>(</w:t>
      </w:r>
      <w:proofErr w:type="spellStart"/>
      <w:r w:rsidR="008C3CA9">
        <w:t>ANAO</w:t>
      </w:r>
      <w:proofErr w:type="spellEnd"/>
      <w:r w:rsidR="008C3CA9">
        <w:t>)</w:t>
      </w:r>
      <w:r w:rsidR="005C21E9">
        <w:t>,</w:t>
      </w:r>
      <w:r w:rsidR="008C3CA9">
        <w:t xml:space="preserve"> </w:t>
      </w:r>
      <w:r w:rsidRPr="009744FA">
        <w:t xml:space="preserve">on the National Partnership Agreement </w:t>
      </w:r>
      <w:r w:rsidRPr="00803B53">
        <w:t xml:space="preserve">on Implementing Water Reform </w:t>
      </w:r>
      <w:r w:rsidR="00E905A6">
        <w:t xml:space="preserve">in the </w:t>
      </w:r>
      <w:r w:rsidR="00EF195F">
        <w:t>Murray</w:t>
      </w:r>
      <w:r w:rsidR="00B37F8F">
        <w:noBreakHyphen/>
      </w:r>
      <w:r w:rsidR="00EF195F">
        <w:t>Darling Basin</w:t>
      </w:r>
      <w:r w:rsidR="00E905A6">
        <w:t xml:space="preserve"> </w:t>
      </w:r>
      <w:r w:rsidRPr="009744FA">
        <w:t xml:space="preserve">found that the lack of </w:t>
      </w:r>
      <w:r w:rsidRPr="00803B53">
        <w:t>specific, measurab</w:t>
      </w:r>
      <w:r w:rsidRPr="009B5563">
        <w:t>le deliverables and outcome measures in the milestones</w:t>
      </w:r>
      <w:r w:rsidRPr="009744FA">
        <w:t xml:space="preserve"> </w:t>
      </w:r>
      <w:r w:rsidRPr="00803B53">
        <w:t xml:space="preserve">and criteria for assessing the performance </w:t>
      </w:r>
      <w:r w:rsidR="0003304D">
        <w:t>ag</w:t>
      </w:r>
      <w:r w:rsidR="0003304D" w:rsidRPr="00746FDD">
        <w:t>ainst this agreement</w:t>
      </w:r>
      <w:r w:rsidR="005C21E9">
        <w:t>,</w:t>
      </w:r>
      <w:r w:rsidR="0003304D" w:rsidRPr="00746FDD">
        <w:t xml:space="preserve"> </w:t>
      </w:r>
      <w:r w:rsidRPr="00746FDD">
        <w:t xml:space="preserve">was a significant weakness </w:t>
      </w:r>
      <w:r w:rsidR="00885F6C" w:rsidRPr="00885F6C">
        <w:t>(</w:t>
      </w:r>
      <w:proofErr w:type="spellStart"/>
      <w:r w:rsidR="00885F6C" w:rsidRPr="00885F6C">
        <w:t>ANAO</w:t>
      </w:r>
      <w:proofErr w:type="spellEnd"/>
      <w:r w:rsidR="00885F6C" w:rsidRPr="00885F6C">
        <w:t> 2017)</w:t>
      </w:r>
      <w:r w:rsidR="00886E00" w:rsidRPr="00AF2EE5">
        <w:t>.</w:t>
      </w:r>
    </w:p>
    <w:p w:rsidR="0087341B" w:rsidRPr="0050262F" w:rsidRDefault="00D435A6" w:rsidP="0087341B">
      <w:pPr>
        <w:spacing w:before="240" w:line="300" w:lineRule="atLeast"/>
        <w:jc w:val="both"/>
      </w:pPr>
      <w:r>
        <w:lastRenderedPageBreak/>
        <w:t xml:space="preserve">In addition to </w:t>
      </w:r>
      <w:r w:rsidR="00590430">
        <w:t>intergovernmental</w:t>
      </w:r>
      <w:r>
        <w:t xml:space="preserve"> agreements, </w:t>
      </w:r>
      <w:r w:rsidR="00BA0CB2">
        <w:t>an</w:t>
      </w:r>
      <w:r>
        <w:t xml:space="preserve"> </w:t>
      </w:r>
      <w:r w:rsidR="00590430">
        <w:t>inter</w:t>
      </w:r>
      <w:r w:rsidR="00B37F8F">
        <w:noBreakHyphen/>
      </w:r>
      <w:r w:rsidR="00590430">
        <w:t xml:space="preserve">agency </w:t>
      </w:r>
      <w:r>
        <w:t xml:space="preserve">agreement </w:t>
      </w:r>
      <w:r w:rsidR="00BA0CB2">
        <w:t>—</w:t>
      </w:r>
      <w:r w:rsidR="00BA0CB2" w:rsidRPr="009744FA">
        <w:t xml:space="preserve"> </w:t>
      </w:r>
      <w:r w:rsidR="00BA0CB2">
        <w:t>the</w:t>
      </w:r>
      <w:r w:rsidR="00BA0CB2" w:rsidRPr="009744FA">
        <w:t xml:space="preserve"> Basin Plan Implementation Agreement</w:t>
      </w:r>
      <w:r w:rsidR="00BA0CB2">
        <w:t xml:space="preserve"> —</w:t>
      </w:r>
      <w:r w:rsidR="00BA0CB2" w:rsidRPr="009744FA">
        <w:t xml:space="preserve"> </w:t>
      </w:r>
      <w:r w:rsidR="00BA0CB2">
        <w:t xml:space="preserve">was struck between the </w:t>
      </w:r>
      <w:proofErr w:type="spellStart"/>
      <w:r w:rsidR="00F45646">
        <w:t>MDBA</w:t>
      </w:r>
      <w:proofErr w:type="spellEnd"/>
      <w:r w:rsidR="00590430">
        <w:t>, Basin States</w:t>
      </w:r>
      <w:r w:rsidR="007A668F" w:rsidRPr="009744FA">
        <w:t xml:space="preserve"> and the </w:t>
      </w:r>
      <w:proofErr w:type="spellStart"/>
      <w:r w:rsidR="007A668F" w:rsidRPr="009744FA">
        <w:t>CEWH</w:t>
      </w:r>
      <w:proofErr w:type="spellEnd"/>
      <w:r w:rsidR="00E905A6">
        <w:t xml:space="preserve"> </w:t>
      </w:r>
      <w:r w:rsidR="00885F6C" w:rsidRPr="00885F6C">
        <w:t>(</w:t>
      </w:r>
      <w:proofErr w:type="spellStart"/>
      <w:r w:rsidR="00885F6C" w:rsidRPr="00885F6C">
        <w:t>MDBA</w:t>
      </w:r>
      <w:proofErr w:type="spellEnd"/>
      <w:r w:rsidR="00885F6C" w:rsidRPr="00885F6C">
        <w:t xml:space="preserve">, </w:t>
      </w:r>
      <w:proofErr w:type="spellStart"/>
      <w:r w:rsidR="00885F6C" w:rsidRPr="00885F6C">
        <w:t>CEWH</w:t>
      </w:r>
      <w:proofErr w:type="spellEnd"/>
      <w:r w:rsidR="00885F6C" w:rsidRPr="00885F6C">
        <w:t xml:space="preserve"> &amp; Basin State Governments 2013)</w:t>
      </w:r>
      <w:r w:rsidR="009744FA" w:rsidRPr="009744FA">
        <w:t xml:space="preserve">. </w:t>
      </w:r>
      <w:r w:rsidR="00EA7C41">
        <w:t>This agreement establishes t</w:t>
      </w:r>
      <w:r w:rsidR="0087341B" w:rsidRPr="0050262F">
        <w:t>he Basin Plan Implementation Committee (</w:t>
      </w:r>
      <w:proofErr w:type="spellStart"/>
      <w:r w:rsidR="0087341B" w:rsidRPr="0050262F">
        <w:t>BPIC</w:t>
      </w:r>
      <w:proofErr w:type="spellEnd"/>
      <w:r w:rsidR="0087341B" w:rsidRPr="0050262F">
        <w:t xml:space="preserve">) </w:t>
      </w:r>
      <w:r w:rsidR="00A7248F">
        <w:t xml:space="preserve">to </w:t>
      </w:r>
      <w:r w:rsidR="0087341B" w:rsidRPr="0050262F">
        <w:t>monitor, review</w:t>
      </w:r>
      <w:r w:rsidR="00A7248F">
        <w:t xml:space="preserve"> </w:t>
      </w:r>
      <w:r w:rsidR="0087341B" w:rsidRPr="0050262F">
        <w:t xml:space="preserve">and make decisions relevant to implementing the Plan and the </w:t>
      </w:r>
      <w:proofErr w:type="spellStart"/>
      <w:r w:rsidR="0087341B" w:rsidRPr="0050262F">
        <w:t>MDBA’s</w:t>
      </w:r>
      <w:proofErr w:type="spellEnd"/>
      <w:r w:rsidR="0087341B" w:rsidRPr="0050262F">
        <w:t xml:space="preserve"> Annual Plan Implementation Work Program. </w:t>
      </w:r>
      <w:proofErr w:type="spellStart"/>
      <w:r w:rsidR="00176ECE">
        <w:t>BPIC</w:t>
      </w:r>
      <w:proofErr w:type="spellEnd"/>
      <w:r w:rsidR="00176ECE">
        <w:t xml:space="preserve"> </w:t>
      </w:r>
      <w:r w:rsidR="0087341B">
        <w:t xml:space="preserve">is supported by </w:t>
      </w:r>
      <w:r w:rsidR="0087341B" w:rsidRPr="0050262F">
        <w:t xml:space="preserve">working groups </w:t>
      </w:r>
      <w:r w:rsidR="0087341B">
        <w:t xml:space="preserve">of officials. </w:t>
      </w:r>
      <w:r w:rsidR="0087341B" w:rsidRPr="0050262F">
        <w:t xml:space="preserve">The </w:t>
      </w:r>
      <w:proofErr w:type="spellStart"/>
      <w:r w:rsidR="0087341B" w:rsidRPr="0050262F">
        <w:t>MDBA</w:t>
      </w:r>
      <w:proofErr w:type="spellEnd"/>
      <w:r w:rsidR="0087341B" w:rsidRPr="0050262F">
        <w:t xml:space="preserve"> </w:t>
      </w:r>
      <w:r w:rsidR="00885F6C" w:rsidRPr="00885F6C">
        <w:t>(</w:t>
      </w:r>
      <w:proofErr w:type="spellStart"/>
      <w:r w:rsidR="00885F6C" w:rsidRPr="00885F6C">
        <w:t>2017c</w:t>
      </w:r>
      <w:proofErr w:type="spellEnd"/>
      <w:r w:rsidR="00885F6C" w:rsidRPr="00885F6C">
        <w:t>)</w:t>
      </w:r>
      <w:r w:rsidR="0087341B" w:rsidRPr="0050262F" w:rsidDel="003D70AA">
        <w:t xml:space="preserve"> </w:t>
      </w:r>
      <w:r w:rsidR="0087341B" w:rsidRPr="0050262F">
        <w:t xml:space="preserve">reported that the terms of reference of these working groups has been reviewed annually. </w:t>
      </w:r>
      <w:r w:rsidR="0087341B">
        <w:t xml:space="preserve">In addition to </w:t>
      </w:r>
      <w:proofErr w:type="spellStart"/>
      <w:r w:rsidR="0087341B">
        <w:t>BPIC</w:t>
      </w:r>
      <w:proofErr w:type="spellEnd"/>
      <w:r w:rsidR="0087341B">
        <w:t>,</w:t>
      </w:r>
      <w:r w:rsidR="0087341B" w:rsidRPr="0050262F">
        <w:t xml:space="preserve"> the </w:t>
      </w:r>
      <w:proofErr w:type="spellStart"/>
      <w:r w:rsidR="0087341B" w:rsidRPr="0050262F">
        <w:t>SDL</w:t>
      </w:r>
      <w:proofErr w:type="spellEnd"/>
      <w:r w:rsidR="0087341B" w:rsidRPr="0050262F">
        <w:t xml:space="preserve"> Adjustment Assessment Committee (</w:t>
      </w:r>
      <w:proofErr w:type="spellStart"/>
      <w:r w:rsidR="0087341B" w:rsidRPr="0050262F">
        <w:t>SDLAAC</w:t>
      </w:r>
      <w:proofErr w:type="spellEnd"/>
      <w:r w:rsidR="0087341B" w:rsidRPr="0050262F">
        <w:t xml:space="preserve">) </w:t>
      </w:r>
      <w:r w:rsidR="0087341B">
        <w:t>was established to advise</w:t>
      </w:r>
      <w:r w:rsidR="0087341B" w:rsidRPr="0050262F">
        <w:t xml:space="preserve"> BOC on the notification of </w:t>
      </w:r>
      <w:proofErr w:type="spellStart"/>
      <w:r w:rsidR="0087341B">
        <w:t>SDL</w:t>
      </w:r>
      <w:proofErr w:type="spellEnd"/>
      <w:r w:rsidR="0087341B">
        <w:t xml:space="preserve"> Adjustment projects</w:t>
      </w:r>
      <w:r w:rsidR="009B6989">
        <w:t xml:space="preserve"> </w:t>
      </w:r>
      <w:r w:rsidR="00885F6C" w:rsidRPr="00885F6C">
        <w:t>(</w:t>
      </w:r>
      <w:proofErr w:type="spellStart"/>
      <w:r w:rsidR="00885F6C" w:rsidRPr="00885F6C">
        <w:t>COAG</w:t>
      </w:r>
      <w:proofErr w:type="spellEnd"/>
      <w:r w:rsidR="00885F6C" w:rsidRPr="00885F6C">
        <w:t> 2013)</w:t>
      </w:r>
      <w:r w:rsidR="0087341B">
        <w:t>.</w:t>
      </w:r>
      <w:r w:rsidR="0087341B" w:rsidRPr="0050262F">
        <w:t xml:space="preserve"> </w:t>
      </w:r>
    </w:p>
    <w:p w:rsidR="009744FA" w:rsidRDefault="007D6672" w:rsidP="007E29BC">
      <w:pPr>
        <w:pStyle w:val="BodyText"/>
      </w:pPr>
      <w:r w:rsidRPr="0050262F">
        <w:t xml:space="preserve">The </w:t>
      </w:r>
      <w:proofErr w:type="spellStart"/>
      <w:r w:rsidRPr="0050262F">
        <w:t>MDBA’s</w:t>
      </w:r>
      <w:proofErr w:type="spellEnd"/>
      <w:r w:rsidRPr="0050262F">
        <w:t xml:space="preserve"> </w:t>
      </w:r>
      <w:r w:rsidR="00885F6C" w:rsidRPr="00885F6C">
        <w:t>(</w:t>
      </w:r>
      <w:proofErr w:type="spellStart"/>
      <w:r w:rsidR="00885F6C" w:rsidRPr="00885F6C">
        <w:t>2017c</w:t>
      </w:r>
      <w:proofErr w:type="spellEnd"/>
      <w:r w:rsidR="00885F6C" w:rsidRPr="00885F6C">
        <w:t>)</w:t>
      </w:r>
      <w:r>
        <w:t xml:space="preserve"> </w:t>
      </w:r>
      <w:r w:rsidRPr="0050262F">
        <w:t xml:space="preserve">Basin Plan Evaluation noted evidence of a lack of community confidence and support for implementation, which was compounded by confusion about roles and responsibilities in water management and reform. </w:t>
      </w:r>
      <w:r>
        <w:t xml:space="preserve">It </w:t>
      </w:r>
      <w:r w:rsidR="007C285B" w:rsidRPr="009744FA">
        <w:t xml:space="preserve">reported that there had been no detailed analysis of the effectiveness of </w:t>
      </w:r>
      <w:r w:rsidR="007C285B">
        <w:t>the different</w:t>
      </w:r>
      <w:r w:rsidR="007C285B" w:rsidRPr="009744FA">
        <w:t xml:space="preserve"> </w:t>
      </w:r>
      <w:r w:rsidR="007C285B">
        <w:t>cooperative</w:t>
      </w:r>
      <w:r w:rsidR="007C285B" w:rsidRPr="009744FA">
        <w:t xml:space="preserve"> arrangements</w:t>
      </w:r>
      <w:r w:rsidR="007C285B">
        <w:t xml:space="preserve"> that guide implementation of the Basin Plan. The </w:t>
      </w:r>
      <w:proofErr w:type="spellStart"/>
      <w:r w:rsidR="007C285B">
        <w:t>MDBA</w:t>
      </w:r>
      <w:proofErr w:type="spellEnd"/>
      <w:r w:rsidRPr="0050262F">
        <w:t xml:space="preserve"> </w:t>
      </w:r>
      <w:r w:rsidR="007C285B">
        <w:t>recommended a</w:t>
      </w:r>
      <w:r w:rsidRPr="0050262F">
        <w:t xml:space="preserve"> review </w:t>
      </w:r>
      <w:r w:rsidR="008476B5">
        <w:t xml:space="preserve">of </w:t>
      </w:r>
      <w:r w:rsidRPr="0050262F">
        <w:t>governance to streamline arrangements, identify gaps, ensure that arrangements remain effective and to improve transparency, accountability and timeliness</w:t>
      </w:r>
      <w:r w:rsidR="007C285B">
        <w:t xml:space="preserve"> of implementation</w:t>
      </w:r>
      <w:r w:rsidRPr="0050262F">
        <w:t>.</w:t>
      </w:r>
      <w:r w:rsidR="00B37F8F">
        <w:t xml:space="preserve"> </w:t>
      </w:r>
    </w:p>
    <w:p w:rsidR="00EB2506" w:rsidRPr="009744FA" w:rsidRDefault="00EB2506" w:rsidP="00EB2506">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B2506" w:rsidRPr="009744FA" w:rsidTr="00E632E2">
        <w:trPr>
          <w:tblHeader/>
        </w:trPr>
        <w:tc>
          <w:tcPr>
            <w:tcW w:w="5000" w:type="pct"/>
            <w:tcBorders>
              <w:top w:val="single" w:sz="6" w:space="0" w:color="78A22F"/>
              <w:left w:val="nil"/>
              <w:bottom w:val="nil"/>
              <w:right w:val="nil"/>
            </w:tcBorders>
            <w:shd w:val="clear" w:color="auto" w:fill="auto"/>
          </w:tcPr>
          <w:p w:rsidR="00EB2506" w:rsidRPr="009744FA" w:rsidRDefault="00EB2506" w:rsidP="00E632E2">
            <w:pPr>
              <w:keepNext/>
              <w:keepLines/>
              <w:spacing w:before="120" w:line="280" w:lineRule="atLeast"/>
              <w:jc w:val="both"/>
              <w:rPr>
                <w:rFonts w:ascii="Arial" w:hAnsi="Arial"/>
                <w:i/>
                <w:caps/>
                <w:sz w:val="18"/>
              </w:rPr>
            </w:pPr>
            <w:r w:rsidRPr="009744FA">
              <w:rPr>
                <w:rFonts w:ascii="Arial" w:hAnsi="Arial"/>
                <w:i/>
                <w:caps/>
                <w:sz w:val="18"/>
              </w:rPr>
              <w:t>Information request 1</w:t>
            </w:r>
            <w:r w:rsidR="001C5326">
              <w:rPr>
                <w:rFonts w:ascii="Arial" w:hAnsi="Arial"/>
                <w:i/>
                <w:caps/>
                <w:sz w:val="18"/>
              </w:rPr>
              <w:t>4</w:t>
            </w:r>
          </w:p>
        </w:tc>
      </w:tr>
      <w:tr w:rsidR="00EB2506" w:rsidRPr="009744FA" w:rsidTr="00E632E2">
        <w:tc>
          <w:tcPr>
            <w:tcW w:w="5000" w:type="pct"/>
            <w:tcBorders>
              <w:top w:val="nil"/>
              <w:left w:val="nil"/>
              <w:bottom w:val="nil"/>
              <w:right w:val="nil"/>
            </w:tcBorders>
            <w:shd w:val="clear" w:color="auto" w:fill="auto"/>
          </w:tcPr>
          <w:p w:rsidR="00C94708" w:rsidRPr="00C94708" w:rsidRDefault="00C94708" w:rsidP="00C94708">
            <w:pPr>
              <w:pStyle w:val="InformationRequest"/>
            </w:pPr>
            <w:r w:rsidRPr="00C94708">
              <w:t>The Commission is seeking information on:</w:t>
            </w:r>
          </w:p>
          <w:p w:rsidR="009252B1" w:rsidRDefault="009252B1" w:rsidP="00876954">
            <w:pPr>
              <w:pStyle w:val="InformationRequestBullet"/>
              <w:numPr>
                <w:ilvl w:val="0"/>
                <w:numId w:val="20"/>
              </w:numPr>
            </w:pPr>
            <w:r>
              <w:t>whether</w:t>
            </w:r>
            <w:r w:rsidR="00EB2506" w:rsidRPr="009744FA">
              <w:t xml:space="preserve"> current </w:t>
            </w:r>
            <w:r w:rsidR="00C644D7">
              <w:t xml:space="preserve">institutional and </w:t>
            </w:r>
            <w:r w:rsidR="00EB2506" w:rsidRPr="009744FA">
              <w:t>governance arrangements provide for sufficient oversight of the plan</w:t>
            </w:r>
            <w:r w:rsidR="00E45992">
              <w:t xml:space="preserve"> and support engagement with the community</w:t>
            </w:r>
          </w:p>
          <w:p w:rsidR="00EB2506" w:rsidRPr="009744FA" w:rsidRDefault="009252B1" w:rsidP="00876954">
            <w:pPr>
              <w:pStyle w:val="InformationRequestBullet"/>
              <w:numPr>
                <w:ilvl w:val="0"/>
                <w:numId w:val="20"/>
              </w:numPr>
            </w:pPr>
            <w:r>
              <w:t>whether there are</w:t>
            </w:r>
            <w:r w:rsidR="00EB2506" w:rsidRPr="009744FA">
              <w:t xml:space="preserve"> risks to </w:t>
            </w:r>
            <w:r w:rsidR="00E45992">
              <w:t xml:space="preserve">the achievement of the objectives of the </w:t>
            </w:r>
            <w:r w:rsidR="00C644D7">
              <w:t>P</w:t>
            </w:r>
            <w:r w:rsidR="00E45992">
              <w:t xml:space="preserve">lan </w:t>
            </w:r>
            <w:r w:rsidR="00EB2506" w:rsidRPr="009744FA">
              <w:t xml:space="preserve">that arise from the current </w:t>
            </w:r>
            <w:r w:rsidR="00C644D7">
              <w:t xml:space="preserve">institutional and </w:t>
            </w:r>
            <w:r w:rsidR="00EB2506" w:rsidRPr="009744FA">
              <w:t>governance arrangements</w:t>
            </w:r>
          </w:p>
          <w:p w:rsidR="00EB2506" w:rsidRPr="00BA24BA" w:rsidRDefault="00E45992" w:rsidP="00876954">
            <w:pPr>
              <w:pStyle w:val="InformationRequestBullet"/>
              <w:numPr>
                <w:ilvl w:val="0"/>
                <w:numId w:val="20"/>
              </w:numPr>
            </w:pPr>
            <w:r>
              <w:t xml:space="preserve">what </w:t>
            </w:r>
            <w:r w:rsidRPr="009744FA">
              <w:t xml:space="preserve">improvements </w:t>
            </w:r>
            <w:r>
              <w:t>can</w:t>
            </w:r>
            <w:r w:rsidRPr="009744FA">
              <w:t xml:space="preserve"> be made to ensure that </w:t>
            </w:r>
            <w:r w:rsidR="00C644D7">
              <w:t xml:space="preserve">institutional and </w:t>
            </w:r>
            <w:r w:rsidRPr="009744FA">
              <w:t>governance arrangements are fit for the next phase of implementing the Plan</w:t>
            </w:r>
            <w:r w:rsidR="005C21E9">
              <w:t>.</w:t>
            </w:r>
          </w:p>
        </w:tc>
      </w:tr>
      <w:tr w:rsidR="00EB2506" w:rsidRPr="009744FA" w:rsidTr="00E632E2">
        <w:tc>
          <w:tcPr>
            <w:tcW w:w="5000" w:type="pct"/>
            <w:tcBorders>
              <w:top w:val="nil"/>
              <w:left w:val="nil"/>
              <w:bottom w:val="single" w:sz="6" w:space="0" w:color="78A22F"/>
              <w:right w:val="nil"/>
            </w:tcBorders>
            <w:shd w:val="clear" w:color="auto" w:fill="auto"/>
          </w:tcPr>
          <w:p w:rsidR="00EB2506" w:rsidRPr="009744FA" w:rsidRDefault="00EB2506" w:rsidP="00E632E2">
            <w:pPr>
              <w:keepNext/>
              <w:keepLines/>
              <w:spacing w:line="120" w:lineRule="exact"/>
              <w:jc w:val="both"/>
              <w:rPr>
                <w:rFonts w:ascii="Arial" w:hAnsi="Arial"/>
                <w:sz w:val="20"/>
              </w:rPr>
            </w:pPr>
          </w:p>
        </w:tc>
      </w:tr>
      <w:tr w:rsidR="00EB2506" w:rsidRPr="009744FA" w:rsidTr="00E632E2">
        <w:tc>
          <w:tcPr>
            <w:tcW w:w="5000" w:type="pct"/>
            <w:tcBorders>
              <w:top w:val="single" w:sz="6" w:space="0" w:color="78A22F"/>
              <w:left w:val="nil"/>
              <w:bottom w:val="nil"/>
              <w:right w:val="nil"/>
            </w:tcBorders>
          </w:tcPr>
          <w:p w:rsidR="00EB2506" w:rsidRPr="009744FA" w:rsidRDefault="00EB2506" w:rsidP="00E632E2">
            <w:pPr>
              <w:keepLines/>
              <w:spacing w:before="60" w:after="60" w:line="80" w:lineRule="exact"/>
              <w:jc w:val="both"/>
              <w:rPr>
                <w:rFonts w:ascii="Arial" w:hAnsi="Arial"/>
                <w:sz w:val="14"/>
              </w:rPr>
            </w:pPr>
          </w:p>
        </w:tc>
      </w:tr>
    </w:tbl>
    <w:p w:rsidR="00122C83" w:rsidRDefault="00122C83" w:rsidP="009744FA">
      <w:pPr>
        <w:pStyle w:val="Heading2"/>
        <w:sectPr w:rsidR="00122C83" w:rsidSect="00C37B8E">
          <w:headerReference w:type="even" r:id="rId33"/>
          <w:headerReference w:type="default" r:id="rId34"/>
          <w:footerReference w:type="even" r:id="rId35"/>
          <w:footerReference w:type="default" r:id="rId36"/>
          <w:pgSz w:w="11907" w:h="16840" w:code="9"/>
          <w:pgMar w:top="1984" w:right="1304" w:bottom="1247" w:left="1814" w:header="1701" w:footer="397" w:gutter="0"/>
          <w:pgNumType w:chapSep="period"/>
          <w:cols w:space="720"/>
          <w:docGrid w:linePitch="326"/>
        </w:sectPr>
      </w:pPr>
      <w:bookmarkStart w:id="75" w:name="_Toc505802566"/>
      <w:bookmarkStart w:id="76" w:name="_Toc506205740"/>
      <w:bookmarkStart w:id="77" w:name="_Toc506207197"/>
      <w:bookmarkStart w:id="78" w:name="_Toc506207958"/>
      <w:bookmarkStart w:id="79" w:name="_Toc506215596"/>
      <w:bookmarkStart w:id="80" w:name="_Toc506215780"/>
      <w:bookmarkStart w:id="81" w:name="_Toc506217793"/>
      <w:bookmarkStart w:id="82" w:name="_Toc506218383"/>
      <w:bookmarkStart w:id="83" w:name="_Toc506218531"/>
      <w:bookmarkStart w:id="84" w:name="_Toc506219188"/>
      <w:bookmarkStart w:id="85" w:name="_Toc506220224"/>
      <w:bookmarkStart w:id="86" w:name="_Toc506220734"/>
      <w:bookmarkStart w:id="87" w:name="_Toc506220895"/>
      <w:bookmarkStart w:id="88" w:name="_Toc506967722"/>
      <w:bookmarkStart w:id="89" w:name="_Toc506967939"/>
      <w:bookmarkStart w:id="90" w:name="_Toc506968437"/>
      <w:bookmarkStart w:id="91" w:name="_Toc506968473"/>
      <w:bookmarkStart w:id="92" w:name="_Toc506968741"/>
      <w:bookmarkStart w:id="93" w:name="_Toc506968786"/>
      <w:bookmarkStart w:id="94" w:name="_Toc506968847"/>
      <w:bookmarkStart w:id="95" w:name="_Toc506968937"/>
      <w:bookmarkStart w:id="96" w:name="_Toc508287775"/>
      <w:bookmarkStart w:id="97" w:name="_Toc508289812"/>
    </w:p>
    <w:p w:rsidR="009744FA" w:rsidRDefault="009744FA" w:rsidP="00122C83">
      <w:pPr>
        <w:pStyle w:val="Heading2"/>
        <w:spacing w:before="240" w:after="240"/>
      </w:pPr>
      <w:r>
        <w:lastRenderedPageBreak/>
        <w:t>References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4573A0" w:rsidRPr="004573A0" w:rsidRDefault="004573A0" w:rsidP="00122C83">
      <w:pPr>
        <w:pStyle w:val="Reference"/>
        <w:spacing w:before="100"/>
      </w:pPr>
      <w:proofErr w:type="spellStart"/>
      <w:r w:rsidRPr="004573A0">
        <w:t>ABARES</w:t>
      </w:r>
      <w:proofErr w:type="spellEnd"/>
      <w:r w:rsidRPr="004573A0">
        <w:t xml:space="preserve"> (Australian Bureau of Agricultural and Resource Economics and Sciences) 2017, </w:t>
      </w:r>
      <w:r w:rsidRPr="004573A0">
        <w:rPr>
          <w:i/>
          <w:iCs/>
        </w:rPr>
        <w:t>Australian Water Markets Report 2015-16</w:t>
      </w:r>
      <w:r w:rsidRPr="004573A0">
        <w:t>, Canberra.</w:t>
      </w:r>
    </w:p>
    <w:p w:rsidR="004573A0" w:rsidRPr="004573A0" w:rsidRDefault="004573A0" w:rsidP="00122C83">
      <w:pPr>
        <w:pStyle w:val="Reference"/>
        <w:spacing w:before="100"/>
      </w:pPr>
      <w:proofErr w:type="spellStart"/>
      <w:r w:rsidRPr="004573A0">
        <w:t>ANAO</w:t>
      </w:r>
      <w:proofErr w:type="spellEnd"/>
      <w:r w:rsidRPr="004573A0">
        <w:t xml:space="preserve"> (Australian National Audit Office) 2011, </w:t>
      </w:r>
      <w:r w:rsidRPr="004573A0">
        <w:rPr>
          <w:i/>
          <w:iCs/>
        </w:rPr>
        <w:t>Restoring the Balance in the Murray-Darling Basin</w:t>
      </w:r>
      <w:r w:rsidRPr="004573A0">
        <w:t>, Canberra.</w:t>
      </w:r>
    </w:p>
    <w:p w:rsidR="004573A0" w:rsidRPr="004573A0" w:rsidRDefault="0032133C" w:rsidP="00122C83">
      <w:pPr>
        <w:pStyle w:val="Reference"/>
        <w:spacing w:before="100"/>
      </w:pPr>
      <w:r>
        <w:t>—— </w:t>
      </w:r>
      <w:r w:rsidR="004573A0" w:rsidRPr="004573A0">
        <w:t xml:space="preserve">2017, </w:t>
      </w:r>
      <w:r w:rsidR="004573A0" w:rsidRPr="004573A0">
        <w:rPr>
          <w:i/>
          <w:iCs/>
        </w:rPr>
        <w:t>Department of Agriculture and Water Resources’ Assessment of New South Wales’ Protection and Use of Environmental Water under the National Partnership Agreement on Implementing Water Reform in the Murray-Darling Basin</w:t>
      </w:r>
      <w:r w:rsidR="004573A0" w:rsidRPr="004573A0">
        <w:t>, Assurance review, Report no. 17, 2017-18, Canberra.</w:t>
      </w:r>
    </w:p>
    <w:p w:rsidR="004573A0" w:rsidRPr="004573A0" w:rsidRDefault="004573A0" w:rsidP="00122C83">
      <w:pPr>
        <w:pStyle w:val="Reference"/>
        <w:spacing w:before="100"/>
      </w:pPr>
      <w:proofErr w:type="spellStart"/>
      <w:r w:rsidRPr="004573A0">
        <w:t>COAG</w:t>
      </w:r>
      <w:proofErr w:type="spellEnd"/>
      <w:r w:rsidRPr="004573A0">
        <w:t xml:space="preserve"> (Council of Australian Governments) 2013, </w:t>
      </w:r>
      <w:r w:rsidRPr="004573A0">
        <w:rPr>
          <w:i/>
          <w:iCs/>
        </w:rPr>
        <w:t>Intergovernmental Agreement on Implementing Water Reform in the Murray Darling Basin</w:t>
      </w:r>
      <w:r w:rsidRPr="004573A0">
        <w:t>.</w:t>
      </w:r>
    </w:p>
    <w:p w:rsidR="004573A0" w:rsidRPr="004573A0" w:rsidRDefault="0032133C" w:rsidP="00122C83">
      <w:pPr>
        <w:pStyle w:val="Reference"/>
        <w:spacing w:before="100"/>
      </w:pPr>
      <w:r>
        <w:t>—— </w:t>
      </w:r>
      <w:r w:rsidR="004573A0" w:rsidRPr="004573A0">
        <w:t xml:space="preserve">2014, </w:t>
      </w:r>
      <w:r w:rsidR="004573A0" w:rsidRPr="004573A0">
        <w:rPr>
          <w:i/>
          <w:iCs/>
        </w:rPr>
        <w:t>National Partnership Agreement on Implementing Water Reform in the Murray-Darling Basin</w:t>
      </w:r>
      <w:r w:rsidR="004573A0" w:rsidRPr="004573A0">
        <w:t>.</w:t>
      </w:r>
    </w:p>
    <w:p w:rsidR="004573A0" w:rsidRPr="004573A0" w:rsidRDefault="004573A0" w:rsidP="00122C83">
      <w:pPr>
        <w:pStyle w:val="Reference"/>
        <w:spacing w:before="100"/>
      </w:pPr>
      <w:proofErr w:type="spellStart"/>
      <w:r w:rsidRPr="004573A0">
        <w:t>DAWR</w:t>
      </w:r>
      <w:proofErr w:type="spellEnd"/>
      <w:r w:rsidRPr="004573A0">
        <w:t xml:space="preserve"> (Department of Agriculture and Water Resources) 2018, </w:t>
      </w:r>
      <w:r w:rsidRPr="004573A0">
        <w:rPr>
          <w:i/>
          <w:iCs/>
        </w:rPr>
        <w:t>Progress towards meeting environmental needs under the Basin Plan</w:t>
      </w:r>
      <w:r w:rsidRPr="004573A0">
        <w:t>, http://</w:t>
      </w:r>
      <w:proofErr w:type="spellStart"/>
      <w:r w:rsidRPr="004573A0">
        <w:t>agriculture.gov.au</w:t>
      </w:r>
      <w:proofErr w:type="spellEnd"/>
      <w:r w:rsidRPr="004573A0">
        <w:t>/water/</w:t>
      </w:r>
      <w:r w:rsidR="0032133C">
        <w:br/>
      </w:r>
      <w:proofErr w:type="spellStart"/>
      <w:r w:rsidRPr="004573A0">
        <w:t>mdb</w:t>
      </w:r>
      <w:proofErr w:type="spellEnd"/>
      <w:r w:rsidRPr="004573A0">
        <w:t>/progress-recovery (accessed 23 February 2018).</w:t>
      </w:r>
    </w:p>
    <w:p w:rsidR="004573A0" w:rsidRPr="004573A0" w:rsidRDefault="004573A0" w:rsidP="00122C83">
      <w:pPr>
        <w:pStyle w:val="Reference"/>
        <w:spacing w:before="100"/>
      </w:pPr>
      <w:proofErr w:type="spellStart"/>
      <w:r w:rsidRPr="004573A0">
        <w:t>DIRDC</w:t>
      </w:r>
      <w:proofErr w:type="spellEnd"/>
      <w:r w:rsidRPr="004573A0">
        <w:t xml:space="preserve"> (Department of Infrastructure, Regional Development and Cities) 2017, </w:t>
      </w:r>
      <w:r w:rsidRPr="004573A0">
        <w:rPr>
          <w:i/>
          <w:iCs/>
        </w:rPr>
        <w:t>The Murray-Darling Basin Regional Economic Diversification Program</w:t>
      </w:r>
      <w:r w:rsidRPr="004573A0">
        <w:t>, http://regional.gov.au/regional/programs/murray-darling-basin-regional-economic-diversification.aspx (accessed 19 February 2018).</w:t>
      </w:r>
    </w:p>
    <w:p w:rsidR="004573A0" w:rsidRPr="004573A0" w:rsidRDefault="004573A0" w:rsidP="00122C83">
      <w:pPr>
        <w:pStyle w:val="Reference"/>
        <w:spacing w:before="100"/>
      </w:pPr>
      <w:proofErr w:type="spellStart"/>
      <w:r w:rsidRPr="004573A0">
        <w:t>EY</w:t>
      </w:r>
      <w:proofErr w:type="spellEnd"/>
      <w:r w:rsidRPr="004573A0">
        <w:t xml:space="preserve"> (Ernst &amp; Young) 2018, </w:t>
      </w:r>
      <w:r w:rsidRPr="004573A0">
        <w:rPr>
          <w:i/>
          <w:iCs/>
        </w:rPr>
        <w:t>Analysis of efficiency measures in the Murray-Darling Basin</w:t>
      </w:r>
      <w:r w:rsidRPr="004573A0">
        <w:t>, Canberra.</w:t>
      </w:r>
    </w:p>
    <w:p w:rsidR="004573A0" w:rsidRPr="004573A0" w:rsidRDefault="004573A0" w:rsidP="00122C83">
      <w:pPr>
        <w:pStyle w:val="Reference"/>
        <w:spacing w:before="100"/>
      </w:pPr>
      <w:proofErr w:type="spellStart"/>
      <w:r w:rsidRPr="004573A0">
        <w:t>GHD</w:t>
      </w:r>
      <w:proofErr w:type="spellEnd"/>
      <w:r w:rsidRPr="004573A0">
        <w:t xml:space="preserve"> 2015, </w:t>
      </w:r>
      <w:r w:rsidRPr="004573A0">
        <w:rPr>
          <w:i/>
          <w:iCs/>
        </w:rPr>
        <w:t>Goulburn-Murray Water Connections Project Stage 2 - Mid Term Review, Final Report</w:t>
      </w:r>
      <w:r w:rsidRPr="004573A0">
        <w:t>, for Department of Agriculture and Water Resources.</w:t>
      </w:r>
    </w:p>
    <w:p w:rsidR="004573A0" w:rsidRPr="004573A0" w:rsidRDefault="004573A0" w:rsidP="00122C83">
      <w:pPr>
        <w:pStyle w:val="Reference"/>
        <w:spacing w:before="100"/>
      </w:pPr>
      <w:r w:rsidRPr="004573A0">
        <w:t xml:space="preserve">Loch, A., Wheeler, S., </w:t>
      </w:r>
      <w:proofErr w:type="spellStart"/>
      <w:r w:rsidRPr="004573A0">
        <w:t>Boxall</w:t>
      </w:r>
      <w:proofErr w:type="spellEnd"/>
      <w:r w:rsidRPr="004573A0">
        <w:t xml:space="preserve">, P., </w:t>
      </w:r>
      <w:proofErr w:type="spellStart"/>
      <w:r w:rsidRPr="004573A0">
        <w:t>Haton</w:t>
      </w:r>
      <w:proofErr w:type="spellEnd"/>
      <w:r w:rsidRPr="004573A0">
        <w:t xml:space="preserve">-Macdonald, D., </w:t>
      </w:r>
      <w:proofErr w:type="spellStart"/>
      <w:r w:rsidRPr="004573A0">
        <w:t>Adamowicz</w:t>
      </w:r>
      <w:proofErr w:type="spellEnd"/>
      <w:r w:rsidRPr="004573A0">
        <w:t xml:space="preserve">, W. and </w:t>
      </w:r>
      <w:proofErr w:type="spellStart"/>
      <w:r w:rsidRPr="004573A0">
        <w:t>Bjornlund</w:t>
      </w:r>
      <w:proofErr w:type="spellEnd"/>
      <w:r w:rsidRPr="004573A0">
        <w:t xml:space="preserve">, H. 2014, ‘Irrigator preferences for water recovery budget expenditure in the Murray-Darling Basin, Australia’, </w:t>
      </w:r>
      <w:r w:rsidRPr="004573A0">
        <w:rPr>
          <w:i/>
          <w:iCs/>
        </w:rPr>
        <w:t>Land Use Policy</w:t>
      </w:r>
      <w:r w:rsidRPr="004573A0">
        <w:t>, vol. 36, pp. 396–404.</w:t>
      </w:r>
    </w:p>
    <w:p w:rsidR="004573A0" w:rsidRPr="004573A0" w:rsidRDefault="004573A0" w:rsidP="00122C83">
      <w:pPr>
        <w:pStyle w:val="Reference"/>
        <w:spacing w:before="100"/>
      </w:pPr>
      <w:r w:rsidRPr="004573A0">
        <w:t xml:space="preserve">Matthews, K. 2017, </w:t>
      </w:r>
      <w:r w:rsidRPr="004573A0">
        <w:rPr>
          <w:i/>
          <w:iCs/>
        </w:rPr>
        <w:t>Independent Investigation into NSW Water Management and Compliance: Advice on Implementation</w:t>
      </w:r>
      <w:r w:rsidRPr="004573A0">
        <w:t>, New South Wales.</w:t>
      </w:r>
    </w:p>
    <w:p w:rsidR="004573A0" w:rsidRPr="004573A0" w:rsidRDefault="004573A0" w:rsidP="00122C83">
      <w:pPr>
        <w:pStyle w:val="Reference"/>
        <w:spacing w:before="100"/>
      </w:pPr>
      <w:proofErr w:type="spellStart"/>
      <w:r w:rsidRPr="004573A0">
        <w:t>MDB</w:t>
      </w:r>
      <w:proofErr w:type="spellEnd"/>
      <w:r w:rsidRPr="004573A0">
        <w:t xml:space="preserve"> Ministerial Council (Murray-Darling Basin Ministerial Council) </w:t>
      </w:r>
      <w:proofErr w:type="spellStart"/>
      <w:r w:rsidRPr="004573A0">
        <w:t>2017a</w:t>
      </w:r>
      <w:proofErr w:type="spellEnd"/>
      <w:r w:rsidRPr="004573A0">
        <w:t xml:space="preserve">, </w:t>
      </w:r>
      <w:r w:rsidRPr="004573A0">
        <w:rPr>
          <w:i/>
          <w:iCs/>
        </w:rPr>
        <w:t>Communique: Murray-Darling Basin Ministers Agree Next Steps</w:t>
      </w:r>
      <w:r w:rsidRPr="004573A0">
        <w:t>, Media release, 16 June, Canberra.</w:t>
      </w:r>
    </w:p>
    <w:p w:rsidR="004573A0" w:rsidRPr="004573A0" w:rsidRDefault="0032133C" w:rsidP="00122C83">
      <w:pPr>
        <w:pStyle w:val="Reference"/>
        <w:spacing w:before="100"/>
      </w:pPr>
      <w:r>
        <w:t>—— </w:t>
      </w:r>
      <w:proofErr w:type="spellStart"/>
      <w:r w:rsidR="004573A0" w:rsidRPr="004573A0">
        <w:t>2017b</w:t>
      </w:r>
      <w:proofErr w:type="spellEnd"/>
      <w:r w:rsidR="004573A0" w:rsidRPr="004573A0">
        <w:t xml:space="preserve">, </w:t>
      </w:r>
      <w:r w:rsidR="004573A0" w:rsidRPr="004573A0">
        <w:rPr>
          <w:i/>
          <w:iCs/>
        </w:rPr>
        <w:t>Communique: Murray–Darling Basin Ministers meet in Albury</w:t>
      </w:r>
      <w:r w:rsidR="004573A0" w:rsidRPr="004573A0">
        <w:t>, Media release, 19 December, Albury.</w:t>
      </w:r>
    </w:p>
    <w:p w:rsidR="004573A0" w:rsidRPr="004573A0" w:rsidRDefault="004573A0" w:rsidP="00122C83">
      <w:pPr>
        <w:pStyle w:val="Reference"/>
        <w:spacing w:before="100"/>
      </w:pPr>
      <w:proofErr w:type="spellStart"/>
      <w:r w:rsidRPr="004573A0">
        <w:t>MDBA</w:t>
      </w:r>
      <w:proofErr w:type="spellEnd"/>
      <w:r w:rsidRPr="004573A0">
        <w:t xml:space="preserve">, </w:t>
      </w:r>
      <w:proofErr w:type="spellStart"/>
      <w:r w:rsidRPr="004573A0">
        <w:t>CEWH</w:t>
      </w:r>
      <w:proofErr w:type="spellEnd"/>
      <w:r w:rsidRPr="004573A0">
        <w:t xml:space="preserve"> &amp; Basin State Governments (Murray-Darling Basin Authority, Commonwealth Environmental Water Holder and Basin State Governments) 2013, </w:t>
      </w:r>
      <w:r w:rsidRPr="004573A0">
        <w:rPr>
          <w:i/>
          <w:iCs/>
        </w:rPr>
        <w:t>Murray-Darling Basin Plan 2012: Implementation Agreement</w:t>
      </w:r>
      <w:r w:rsidRPr="004573A0">
        <w:t>, 7 August.</w:t>
      </w:r>
    </w:p>
    <w:p w:rsidR="004573A0" w:rsidRPr="004573A0" w:rsidRDefault="004573A0" w:rsidP="00122C83">
      <w:pPr>
        <w:pStyle w:val="Reference"/>
        <w:spacing w:before="100"/>
      </w:pPr>
      <w:proofErr w:type="spellStart"/>
      <w:r w:rsidRPr="004573A0">
        <w:t>MDBA</w:t>
      </w:r>
      <w:proofErr w:type="spellEnd"/>
      <w:r w:rsidRPr="004573A0">
        <w:t xml:space="preserve"> (Murray-Darling Basin Authority) 2013, </w:t>
      </w:r>
      <w:r w:rsidRPr="004573A0">
        <w:rPr>
          <w:i/>
          <w:iCs/>
        </w:rPr>
        <w:t>Constraints Management Strategy: 2013 to 2024</w:t>
      </w:r>
      <w:r w:rsidRPr="004573A0">
        <w:t xml:space="preserve">, </w:t>
      </w:r>
      <w:proofErr w:type="spellStart"/>
      <w:r w:rsidRPr="004573A0">
        <w:t>MDBA</w:t>
      </w:r>
      <w:proofErr w:type="spellEnd"/>
      <w:r w:rsidRPr="004573A0">
        <w:t xml:space="preserve"> Publication 28/13.</w:t>
      </w:r>
    </w:p>
    <w:p w:rsidR="004573A0" w:rsidRPr="004573A0" w:rsidRDefault="0032133C" w:rsidP="00122C83">
      <w:pPr>
        <w:pStyle w:val="Reference"/>
        <w:spacing w:before="100"/>
      </w:pPr>
      <w:r>
        <w:lastRenderedPageBreak/>
        <w:t>—— </w:t>
      </w:r>
      <w:proofErr w:type="spellStart"/>
      <w:r w:rsidR="004573A0" w:rsidRPr="004573A0">
        <w:t>2014a</w:t>
      </w:r>
      <w:proofErr w:type="spellEnd"/>
      <w:r w:rsidR="004573A0" w:rsidRPr="004573A0">
        <w:t xml:space="preserve">, </w:t>
      </w:r>
      <w:r w:rsidR="004573A0" w:rsidRPr="004573A0">
        <w:rPr>
          <w:i/>
          <w:iCs/>
        </w:rPr>
        <w:t>Basin-wide Environmental Watering Strategy</w:t>
      </w:r>
      <w:r w:rsidR="004573A0" w:rsidRPr="004573A0">
        <w:t>, Canberra.</w:t>
      </w:r>
    </w:p>
    <w:p w:rsidR="004573A0" w:rsidRPr="004573A0" w:rsidRDefault="0032133C" w:rsidP="00122C83">
      <w:pPr>
        <w:pStyle w:val="Reference"/>
        <w:spacing w:before="100"/>
      </w:pPr>
      <w:r>
        <w:t>—— </w:t>
      </w:r>
      <w:proofErr w:type="spellStart"/>
      <w:r w:rsidR="004573A0" w:rsidRPr="004573A0">
        <w:t>2014b</w:t>
      </w:r>
      <w:proofErr w:type="spellEnd"/>
      <w:r w:rsidR="004573A0" w:rsidRPr="004573A0">
        <w:t xml:space="preserve">, </w:t>
      </w:r>
      <w:proofErr w:type="spellStart"/>
      <w:r w:rsidR="004573A0" w:rsidRPr="004573A0">
        <w:rPr>
          <w:i/>
          <w:iCs/>
        </w:rPr>
        <w:t>MDBA</w:t>
      </w:r>
      <w:proofErr w:type="spellEnd"/>
      <w:r w:rsidR="004573A0" w:rsidRPr="004573A0">
        <w:rPr>
          <w:i/>
          <w:iCs/>
        </w:rPr>
        <w:t xml:space="preserve"> Compliance strategy</w:t>
      </w:r>
      <w:r w:rsidR="004573A0" w:rsidRPr="004573A0">
        <w:t>.</w:t>
      </w:r>
    </w:p>
    <w:p w:rsidR="004573A0" w:rsidRPr="004573A0" w:rsidRDefault="0032133C" w:rsidP="00122C83">
      <w:pPr>
        <w:pStyle w:val="Reference"/>
        <w:spacing w:before="100"/>
      </w:pPr>
      <w:r>
        <w:t>—— </w:t>
      </w:r>
      <w:proofErr w:type="spellStart"/>
      <w:r w:rsidR="004573A0" w:rsidRPr="004573A0">
        <w:t>2014c</w:t>
      </w:r>
      <w:proofErr w:type="spellEnd"/>
      <w:r w:rsidR="004573A0" w:rsidRPr="004573A0">
        <w:t xml:space="preserve">, </w:t>
      </w:r>
      <w:r w:rsidR="004573A0" w:rsidRPr="004573A0">
        <w:rPr>
          <w:i/>
          <w:iCs/>
        </w:rPr>
        <w:t>Murray-Darling Basin Water Reforms: Framework for Evaluating Progress</w:t>
      </w:r>
      <w:r w:rsidR="004573A0" w:rsidRPr="004573A0">
        <w:t>, 09/14, Canberra.</w:t>
      </w:r>
    </w:p>
    <w:p w:rsidR="004573A0" w:rsidRPr="004573A0" w:rsidRDefault="0032133C" w:rsidP="00122C83">
      <w:pPr>
        <w:pStyle w:val="Reference"/>
        <w:spacing w:before="100"/>
      </w:pPr>
      <w:r>
        <w:t>—— </w:t>
      </w:r>
      <w:proofErr w:type="spellStart"/>
      <w:r w:rsidR="004573A0" w:rsidRPr="004573A0">
        <w:t>2016a</w:t>
      </w:r>
      <w:proofErr w:type="spellEnd"/>
      <w:r w:rsidR="004573A0" w:rsidRPr="004573A0">
        <w:t xml:space="preserve">, </w:t>
      </w:r>
      <w:r w:rsidR="004573A0" w:rsidRPr="004573A0">
        <w:rPr>
          <w:i/>
          <w:iCs/>
        </w:rPr>
        <w:t>Basin Plan Annual Report 2015-16</w:t>
      </w:r>
      <w:r w:rsidR="004573A0" w:rsidRPr="004573A0">
        <w:t>, Report no. 25, Canberra.</w:t>
      </w:r>
    </w:p>
    <w:p w:rsidR="004573A0" w:rsidRPr="004573A0" w:rsidRDefault="0032133C" w:rsidP="00122C83">
      <w:pPr>
        <w:pStyle w:val="Reference"/>
        <w:spacing w:before="100"/>
      </w:pPr>
      <w:r>
        <w:t>—— </w:t>
      </w:r>
      <w:proofErr w:type="spellStart"/>
      <w:r w:rsidR="004573A0" w:rsidRPr="004573A0">
        <w:t>2016b</w:t>
      </w:r>
      <w:proofErr w:type="spellEnd"/>
      <w:r w:rsidR="004573A0" w:rsidRPr="004573A0">
        <w:t xml:space="preserve">, </w:t>
      </w:r>
      <w:r w:rsidR="004573A0" w:rsidRPr="004573A0">
        <w:rPr>
          <w:i/>
          <w:iCs/>
        </w:rPr>
        <w:t>Northern Basin Review</w:t>
      </w:r>
      <w:r w:rsidR="004573A0" w:rsidRPr="004573A0">
        <w:t>, Report no. 39/16, Canberra.</w:t>
      </w:r>
    </w:p>
    <w:p w:rsidR="004573A0" w:rsidRPr="004573A0" w:rsidRDefault="0032133C" w:rsidP="00122C83">
      <w:pPr>
        <w:pStyle w:val="Reference"/>
        <w:spacing w:before="100"/>
      </w:pPr>
      <w:r>
        <w:t>—— </w:t>
      </w:r>
      <w:proofErr w:type="spellStart"/>
      <w:r w:rsidR="004573A0" w:rsidRPr="004573A0">
        <w:t>2016c</w:t>
      </w:r>
      <w:proofErr w:type="spellEnd"/>
      <w:r w:rsidR="004573A0" w:rsidRPr="004573A0">
        <w:t xml:space="preserve">, </w:t>
      </w:r>
      <w:r w:rsidR="004573A0" w:rsidRPr="004573A0">
        <w:rPr>
          <w:i/>
          <w:iCs/>
        </w:rPr>
        <w:t>Strategic Priorities: Basin Plan Water Trading Rules</w:t>
      </w:r>
      <w:r w:rsidR="004573A0" w:rsidRPr="004573A0">
        <w:t>, Canberra.</w:t>
      </w:r>
    </w:p>
    <w:p w:rsidR="004573A0" w:rsidRPr="004573A0" w:rsidRDefault="0032133C" w:rsidP="00122C83">
      <w:pPr>
        <w:pStyle w:val="Reference"/>
        <w:spacing w:before="100"/>
      </w:pPr>
      <w:r>
        <w:t>—— </w:t>
      </w:r>
      <w:proofErr w:type="spellStart"/>
      <w:r w:rsidR="004573A0" w:rsidRPr="004573A0">
        <w:t>2017a</w:t>
      </w:r>
      <w:proofErr w:type="spellEnd"/>
      <w:r w:rsidR="004573A0" w:rsidRPr="004573A0">
        <w:t xml:space="preserve">, </w:t>
      </w:r>
      <w:r w:rsidR="004573A0" w:rsidRPr="004573A0">
        <w:rPr>
          <w:i/>
          <w:iCs/>
        </w:rPr>
        <w:t>Approach to monitoring and compliance: Water resource plans</w:t>
      </w:r>
      <w:r w:rsidR="004573A0" w:rsidRPr="004573A0">
        <w:t>, Canberra.</w:t>
      </w:r>
    </w:p>
    <w:p w:rsidR="004573A0" w:rsidRPr="004573A0" w:rsidRDefault="0032133C" w:rsidP="00122C83">
      <w:pPr>
        <w:pStyle w:val="Reference"/>
        <w:spacing w:before="100"/>
      </w:pPr>
      <w:r>
        <w:t>—— </w:t>
      </w:r>
      <w:proofErr w:type="spellStart"/>
      <w:r w:rsidR="004573A0" w:rsidRPr="004573A0">
        <w:t>2017b</w:t>
      </w:r>
      <w:proofErr w:type="spellEnd"/>
      <w:r w:rsidR="004573A0" w:rsidRPr="004573A0">
        <w:t xml:space="preserve">, </w:t>
      </w:r>
      <w:r w:rsidR="004573A0" w:rsidRPr="004573A0">
        <w:rPr>
          <w:i/>
          <w:iCs/>
        </w:rPr>
        <w:t>Basin annual environmental watering priorities 2017-18</w:t>
      </w:r>
      <w:r w:rsidR="004573A0" w:rsidRPr="004573A0">
        <w:t>.</w:t>
      </w:r>
    </w:p>
    <w:p w:rsidR="004573A0" w:rsidRPr="004573A0" w:rsidRDefault="0032133C" w:rsidP="00122C83">
      <w:pPr>
        <w:pStyle w:val="Reference"/>
        <w:spacing w:before="100"/>
      </w:pPr>
      <w:r>
        <w:t>—— </w:t>
      </w:r>
      <w:proofErr w:type="spellStart"/>
      <w:r w:rsidR="004573A0" w:rsidRPr="004573A0">
        <w:t>2017c</w:t>
      </w:r>
      <w:proofErr w:type="spellEnd"/>
      <w:r w:rsidR="004573A0" w:rsidRPr="004573A0">
        <w:t xml:space="preserve">, </w:t>
      </w:r>
      <w:r w:rsidR="004573A0" w:rsidRPr="004573A0">
        <w:rPr>
          <w:i/>
          <w:iCs/>
        </w:rPr>
        <w:t>Basin Plan Evaluation</w:t>
      </w:r>
      <w:r w:rsidR="004573A0" w:rsidRPr="004573A0">
        <w:t>, Canberra.</w:t>
      </w:r>
    </w:p>
    <w:p w:rsidR="004573A0" w:rsidRPr="004573A0" w:rsidRDefault="004573A0" w:rsidP="00122C83">
      <w:pPr>
        <w:pStyle w:val="Reference"/>
        <w:spacing w:before="100"/>
      </w:pPr>
      <w:r w:rsidRPr="004573A0">
        <w:t>——</w:t>
      </w:r>
      <w:r w:rsidR="0032133C">
        <w:t> </w:t>
      </w:r>
      <w:proofErr w:type="spellStart"/>
      <w:r w:rsidRPr="004573A0">
        <w:t>2017d</w:t>
      </w:r>
      <w:proofErr w:type="spellEnd"/>
      <w:r w:rsidRPr="004573A0">
        <w:t xml:space="preserve">, </w:t>
      </w:r>
      <w:r w:rsidRPr="004573A0">
        <w:rPr>
          <w:i/>
          <w:iCs/>
        </w:rPr>
        <w:t>Sustainable Diversion Limit Adjustment Mechanism: Draft Determination Report 2017</w:t>
      </w:r>
      <w:r w:rsidRPr="004573A0">
        <w:t xml:space="preserve">, </w:t>
      </w:r>
      <w:proofErr w:type="spellStart"/>
      <w:r w:rsidRPr="004573A0">
        <w:t>MDBA</w:t>
      </w:r>
      <w:proofErr w:type="spellEnd"/>
      <w:r w:rsidRPr="004573A0">
        <w:t xml:space="preserve"> publication, 37/17, Canberra.</w:t>
      </w:r>
    </w:p>
    <w:p w:rsidR="004573A0" w:rsidRPr="004573A0" w:rsidRDefault="0032133C" w:rsidP="00122C83">
      <w:pPr>
        <w:pStyle w:val="Reference"/>
        <w:spacing w:before="100"/>
      </w:pPr>
      <w:r>
        <w:t>—— </w:t>
      </w:r>
      <w:proofErr w:type="spellStart"/>
      <w:r w:rsidR="004573A0" w:rsidRPr="004573A0">
        <w:t>2017e</w:t>
      </w:r>
      <w:proofErr w:type="spellEnd"/>
      <w:r w:rsidR="004573A0" w:rsidRPr="004573A0">
        <w:t xml:space="preserve">, </w:t>
      </w:r>
      <w:r w:rsidR="004573A0" w:rsidRPr="004573A0">
        <w:rPr>
          <w:i/>
          <w:iCs/>
        </w:rPr>
        <w:t>The Murray-Darling Basin Water Compliance Review</w:t>
      </w:r>
      <w:r w:rsidR="004573A0" w:rsidRPr="004573A0">
        <w:t>, Canberra.</w:t>
      </w:r>
    </w:p>
    <w:p w:rsidR="004573A0" w:rsidRPr="004573A0" w:rsidRDefault="0032133C" w:rsidP="00122C83">
      <w:pPr>
        <w:pStyle w:val="Reference"/>
        <w:spacing w:before="100"/>
      </w:pPr>
      <w:r>
        <w:t>—— </w:t>
      </w:r>
      <w:proofErr w:type="spellStart"/>
      <w:r w:rsidR="004573A0" w:rsidRPr="004573A0">
        <w:t>2017f</w:t>
      </w:r>
      <w:proofErr w:type="spellEnd"/>
      <w:r w:rsidR="004573A0" w:rsidRPr="004573A0">
        <w:t xml:space="preserve">, </w:t>
      </w:r>
      <w:r w:rsidR="004573A0" w:rsidRPr="004573A0">
        <w:rPr>
          <w:i/>
          <w:iCs/>
        </w:rPr>
        <w:t xml:space="preserve">Transition Period Water Take Report 2012–13 to 2015–16: Report on Cap Compliance and Transitional </w:t>
      </w:r>
      <w:proofErr w:type="spellStart"/>
      <w:r w:rsidR="004573A0" w:rsidRPr="004573A0">
        <w:rPr>
          <w:i/>
          <w:iCs/>
        </w:rPr>
        <w:t>SDL</w:t>
      </w:r>
      <w:proofErr w:type="spellEnd"/>
      <w:r w:rsidR="004573A0" w:rsidRPr="004573A0">
        <w:rPr>
          <w:i/>
          <w:iCs/>
        </w:rPr>
        <w:t xml:space="preserve"> Accounting</w:t>
      </w:r>
      <w:r w:rsidR="004573A0" w:rsidRPr="004573A0">
        <w:t>, Canberra.</w:t>
      </w:r>
    </w:p>
    <w:p w:rsidR="004573A0" w:rsidRPr="004573A0" w:rsidRDefault="0032133C" w:rsidP="00122C83">
      <w:pPr>
        <w:pStyle w:val="Reference"/>
        <w:spacing w:before="100"/>
      </w:pPr>
      <w:r>
        <w:t>—— </w:t>
      </w:r>
      <w:proofErr w:type="spellStart"/>
      <w:r w:rsidR="004573A0" w:rsidRPr="004573A0">
        <w:t>2017g</w:t>
      </w:r>
      <w:proofErr w:type="spellEnd"/>
      <w:r w:rsidR="004573A0" w:rsidRPr="004573A0">
        <w:t xml:space="preserve">, </w:t>
      </w:r>
      <w:r w:rsidR="004573A0" w:rsidRPr="004573A0">
        <w:rPr>
          <w:i/>
          <w:iCs/>
        </w:rPr>
        <w:t>Water resource plan assessment framework</w:t>
      </w:r>
      <w:r w:rsidR="004573A0" w:rsidRPr="004573A0">
        <w:t>, Canberra.</w:t>
      </w:r>
    </w:p>
    <w:p w:rsidR="004573A0" w:rsidRPr="004573A0" w:rsidRDefault="0032133C" w:rsidP="00122C83">
      <w:pPr>
        <w:pStyle w:val="Reference"/>
        <w:spacing w:before="100"/>
      </w:pPr>
      <w:r>
        <w:t>—— </w:t>
      </w:r>
      <w:proofErr w:type="spellStart"/>
      <w:r w:rsidR="004573A0" w:rsidRPr="004573A0">
        <w:t>2018a</w:t>
      </w:r>
      <w:proofErr w:type="spellEnd"/>
      <w:r w:rsidR="004573A0" w:rsidRPr="004573A0">
        <w:t xml:space="preserve">, </w:t>
      </w:r>
      <w:r w:rsidR="004573A0" w:rsidRPr="004573A0">
        <w:rPr>
          <w:i/>
          <w:iCs/>
        </w:rPr>
        <w:t>Basin-wide compliance and enforcement</w:t>
      </w:r>
      <w:r w:rsidR="004573A0" w:rsidRPr="004573A0">
        <w:t>, https://www.mdba.gov.au/basin-plan-roll-out/basin-wide-compliance-review (accessed 7 March 2018).</w:t>
      </w:r>
    </w:p>
    <w:p w:rsidR="004573A0" w:rsidRPr="004573A0" w:rsidRDefault="0032133C" w:rsidP="00122C83">
      <w:pPr>
        <w:pStyle w:val="Reference"/>
        <w:spacing w:before="100"/>
      </w:pPr>
      <w:r>
        <w:t>—— </w:t>
      </w:r>
      <w:proofErr w:type="spellStart"/>
      <w:r w:rsidR="004573A0" w:rsidRPr="004573A0">
        <w:t>2018b</w:t>
      </w:r>
      <w:proofErr w:type="spellEnd"/>
      <w:r w:rsidR="004573A0" w:rsidRPr="004573A0">
        <w:t xml:space="preserve">, </w:t>
      </w:r>
      <w:r w:rsidR="004573A0" w:rsidRPr="004573A0">
        <w:rPr>
          <w:i/>
          <w:iCs/>
        </w:rPr>
        <w:t>Water Resource Plan: Quarterly report January 2018</w:t>
      </w:r>
      <w:r w:rsidR="004573A0" w:rsidRPr="004573A0">
        <w:t>, Canberra.</w:t>
      </w:r>
    </w:p>
    <w:p w:rsidR="004573A0" w:rsidRPr="004573A0" w:rsidRDefault="0032133C" w:rsidP="00122C83">
      <w:pPr>
        <w:pStyle w:val="Reference"/>
        <w:spacing w:before="100"/>
      </w:pPr>
      <w:r>
        <w:t>—— </w:t>
      </w:r>
      <w:proofErr w:type="spellStart"/>
      <w:r w:rsidR="004573A0" w:rsidRPr="004573A0">
        <w:t>nd</w:t>
      </w:r>
      <w:proofErr w:type="spellEnd"/>
      <w:r w:rsidR="004573A0" w:rsidRPr="004573A0">
        <w:t xml:space="preserve">, </w:t>
      </w:r>
      <w:r w:rsidR="004573A0" w:rsidRPr="004573A0">
        <w:rPr>
          <w:i/>
          <w:iCs/>
        </w:rPr>
        <w:t>Basin Plan annual report</w:t>
      </w:r>
      <w:r w:rsidR="004573A0" w:rsidRPr="004573A0">
        <w:t>, https://</w:t>
      </w:r>
      <w:proofErr w:type="spellStart"/>
      <w:r w:rsidR="004573A0" w:rsidRPr="004573A0">
        <w:t>www.mdba.gov.au</w:t>
      </w:r>
      <w:proofErr w:type="spellEnd"/>
      <w:r w:rsidR="004573A0" w:rsidRPr="004573A0">
        <w:t>/basin-plan/basin-plan-annual-report (accessed 19 February 2018).</w:t>
      </w:r>
    </w:p>
    <w:p w:rsidR="004573A0" w:rsidRPr="004573A0" w:rsidRDefault="004573A0" w:rsidP="00122C83">
      <w:pPr>
        <w:pStyle w:val="Reference"/>
        <w:spacing w:before="100"/>
      </w:pPr>
      <w:r w:rsidRPr="004573A0">
        <w:t xml:space="preserve">Murray-Darling Basin Royal Commission 2018, </w:t>
      </w:r>
      <w:r w:rsidRPr="004573A0">
        <w:rPr>
          <w:i/>
          <w:iCs/>
        </w:rPr>
        <w:t>Murray-Darling Basin Royal Commission</w:t>
      </w:r>
      <w:r w:rsidRPr="004573A0">
        <w:t xml:space="preserve">, Media Statement, 31 January, South Australia, </w:t>
      </w:r>
      <w:r w:rsidR="0032133C" w:rsidRPr="0032133C">
        <w:t>https://</w:t>
      </w:r>
      <w:proofErr w:type="spellStart"/>
      <w:r w:rsidR="0032133C" w:rsidRPr="0032133C">
        <w:t>www.mdbrc.sa.gov.au</w:t>
      </w:r>
      <w:proofErr w:type="spellEnd"/>
      <w:r w:rsidR="0032133C" w:rsidRPr="0032133C">
        <w:t>/newsroom</w:t>
      </w:r>
      <w:r w:rsidR="0032133C">
        <w:br/>
      </w:r>
      <w:r w:rsidRPr="004573A0">
        <w:t>/media-statement-</w:t>
      </w:r>
      <w:proofErr w:type="spellStart"/>
      <w:r w:rsidRPr="004573A0">
        <w:t>murray</w:t>
      </w:r>
      <w:proofErr w:type="spellEnd"/>
      <w:r w:rsidRPr="004573A0">
        <w:t>-darling-basin-royal-commission (accessed 8 March 2018).</w:t>
      </w:r>
    </w:p>
    <w:p w:rsidR="004573A0" w:rsidRPr="004573A0" w:rsidRDefault="004573A0" w:rsidP="00122C83">
      <w:pPr>
        <w:pStyle w:val="Reference"/>
        <w:spacing w:before="100"/>
      </w:pPr>
      <w:r w:rsidRPr="004573A0">
        <w:t xml:space="preserve">New South Wales Government </w:t>
      </w:r>
      <w:proofErr w:type="spellStart"/>
      <w:r w:rsidRPr="004573A0">
        <w:t>nd</w:t>
      </w:r>
      <w:proofErr w:type="spellEnd"/>
      <w:r w:rsidRPr="004573A0">
        <w:t xml:space="preserve">, </w:t>
      </w:r>
      <w:r w:rsidRPr="004573A0">
        <w:rPr>
          <w:i/>
          <w:iCs/>
        </w:rPr>
        <w:t>Strengthening the Murray-Darling Basin economy</w:t>
      </w:r>
      <w:r w:rsidRPr="004573A0">
        <w:t>, https://www.industry.nsw.gov.au/business-and-industry-in-nsw/assistance-and-support/strengthening-the-murray-darling-basin-economy (accessed 19 February 2018).</w:t>
      </w:r>
    </w:p>
    <w:p w:rsidR="004573A0" w:rsidRPr="004573A0" w:rsidRDefault="004573A0" w:rsidP="00122C83">
      <w:pPr>
        <w:pStyle w:val="Reference"/>
        <w:spacing w:before="100"/>
      </w:pPr>
      <w:r w:rsidRPr="004573A0">
        <w:t xml:space="preserve">Niall Blair (Minister for Regional Water) 2017, </w:t>
      </w:r>
      <w:r w:rsidRPr="004573A0">
        <w:rPr>
          <w:i/>
          <w:iCs/>
        </w:rPr>
        <w:t>NSW water reform package</w:t>
      </w:r>
      <w:r w:rsidRPr="004573A0">
        <w:t>, Media Release, 15 December, New South Wales.</w:t>
      </w:r>
    </w:p>
    <w:p w:rsidR="004573A0" w:rsidRPr="004573A0" w:rsidRDefault="004573A0" w:rsidP="00122C83">
      <w:pPr>
        <w:pStyle w:val="Reference"/>
        <w:spacing w:before="100"/>
      </w:pPr>
      <w:proofErr w:type="spellStart"/>
      <w:r w:rsidRPr="004573A0">
        <w:t>NWC</w:t>
      </w:r>
      <w:proofErr w:type="spellEnd"/>
      <w:r w:rsidRPr="004573A0">
        <w:t xml:space="preserve"> (National Water Commission) 2011, </w:t>
      </w:r>
      <w:r w:rsidRPr="004573A0">
        <w:rPr>
          <w:i/>
          <w:iCs/>
        </w:rPr>
        <w:t>Water markets in Australia: a short history</w:t>
      </w:r>
      <w:r w:rsidRPr="004573A0">
        <w:t>.</w:t>
      </w:r>
    </w:p>
    <w:p w:rsidR="004573A0" w:rsidRPr="004573A0" w:rsidRDefault="004573A0" w:rsidP="00122C83">
      <w:pPr>
        <w:pStyle w:val="Reference"/>
        <w:spacing w:before="100"/>
      </w:pPr>
      <w:r w:rsidRPr="004573A0">
        <w:t xml:space="preserve">PC (Productivity Commission) 2017, </w:t>
      </w:r>
      <w:r w:rsidRPr="004573A0">
        <w:rPr>
          <w:i/>
          <w:iCs/>
        </w:rPr>
        <w:t>National Water Reform</w:t>
      </w:r>
      <w:r w:rsidRPr="004573A0">
        <w:t>, Draft Report, Canberra.</w:t>
      </w:r>
    </w:p>
    <w:p w:rsidR="004573A0" w:rsidRPr="004573A0" w:rsidRDefault="004573A0" w:rsidP="00122C83">
      <w:pPr>
        <w:pStyle w:val="Reference"/>
        <w:spacing w:before="100"/>
      </w:pPr>
      <w:r w:rsidRPr="004573A0">
        <w:t xml:space="preserve">Queensland Government 2017, </w:t>
      </w:r>
      <w:r w:rsidRPr="004573A0">
        <w:rPr>
          <w:i/>
          <w:iCs/>
        </w:rPr>
        <w:t xml:space="preserve">High Value Horticulture Chains for the Queensland </w:t>
      </w:r>
      <w:proofErr w:type="spellStart"/>
      <w:r w:rsidRPr="004573A0">
        <w:rPr>
          <w:i/>
          <w:iCs/>
        </w:rPr>
        <w:t>Muarry</w:t>
      </w:r>
      <w:proofErr w:type="spellEnd"/>
      <w:r w:rsidRPr="004573A0">
        <w:rPr>
          <w:i/>
          <w:iCs/>
        </w:rPr>
        <w:t>-Darling Basin Project</w:t>
      </w:r>
      <w:r w:rsidRPr="004573A0">
        <w:t>, https://www.daf.qld.gov.au/business-trade/development/murray-darling-basin-funding-scheme (accessed 19 February 2018).</w:t>
      </w:r>
    </w:p>
    <w:p w:rsidR="004573A0" w:rsidRPr="004573A0" w:rsidRDefault="004573A0" w:rsidP="00122C83">
      <w:pPr>
        <w:pStyle w:val="Reference"/>
        <w:spacing w:before="100"/>
      </w:pPr>
      <w:proofErr w:type="spellStart"/>
      <w:r w:rsidRPr="004573A0">
        <w:t>RMCG</w:t>
      </w:r>
      <w:proofErr w:type="spellEnd"/>
      <w:r w:rsidRPr="004573A0">
        <w:t xml:space="preserve"> 2016, </w:t>
      </w:r>
      <w:r w:rsidRPr="004573A0">
        <w:rPr>
          <w:i/>
          <w:iCs/>
        </w:rPr>
        <w:t xml:space="preserve">Basin Plan - </w:t>
      </w:r>
      <w:proofErr w:type="spellStart"/>
      <w:r w:rsidRPr="004573A0">
        <w:rPr>
          <w:i/>
          <w:iCs/>
        </w:rPr>
        <w:t>GMID</w:t>
      </w:r>
      <w:proofErr w:type="spellEnd"/>
      <w:r w:rsidRPr="004573A0">
        <w:rPr>
          <w:i/>
          <w:iCs/>
        </w:rPr>
        <w:t xml:space="preserve"> Socio-Economic Impact Assessment</w:t>
      </w:r>
      <w:r w:rsidRPr="004573A0">
        <w:t>, Final Report.</w:t>
      </w:r>
    </w:p>
    <w:p w:rsidR="00391500" w:rsidRDefault="00391500" w:rsidP="00120072">
      <w:pPr>
        <w:pStyle w:val="BodyText"/>
      </w:pPr>
    </w:p>
    <w:p w:rsidR="00391500" w:rsidRDefault="00391500" w:rsidP="00120072">
      <w:pPr>
        <w:pStyle w:val="BodyText"/>
        <w:sectPr w:rsidR="00391500" w:rsidSect="00122C83">
          <w:type w:val="evenPage"/>
          <w:pgSz w:w="11907" w:h="16840" w:code="9"/>
          <w:pgMar w:top="1984" w:right="1304" w:bottom="1247" w:left="1814" w:header="1701" w:footer="397" w:gutter="0"/>
          <w:pgNumType w:chapSep="period"/>
          <w:cols w:space="720"/>
          <w:docGrid w:linePitch="326"/>
        </w:sectPr>
      </w:pPr>
    </w:p>
    <w:p w:rsidR="00C51362" w:rsidRDefault="00391500" w:rsidP="00CD171F">
      <w:pPr>
        <w:pStyle w:val="Heading2"/>
        <w:spacing w:before="120"/>
      </w:pPr>
      <w:bookmarkStart w:id="98" w:name="_Toc506968438"/>
      <w:bookmarkStart w:id="99" w:name="_Toc506968474"/>
      <w:bookmarkStart w:id="100" w:name="_Toc506205741"/>
      <w:bookmarkStart w:id="101" w:name="_Toc506207198"/>
      <w:bookmarkStart w:id="102" w:name="_Toc506207959"/>
      <w:bookmarkStart w:id="103" w:name="_Toc506215597"/>
      <w:bookmarkStart w:id="104" w:name="_Toc506215781"/>
      <w:bookmarkStart w:id="105" w:name="_Toc506217794"/>
      <w:bookmarkStart w:id="106" w:name="_Toc506218384"/>
      <w:bookmarkStart w:id="107" w:name="_Toc506218532"/>
      <w:bookmarkStart w:id="108" w:name="_Toc506219189"/>
      <w:bookmarkStart w:id="109" w:name="_Toc506220225"/>
      <w:bookmarkStart w:id="110" w:name="_Toc506220735"/>
      <w:bookmarkStart w:id="111" w:name="_Toc506220896"/>
      <w:bookmarkStart w:id="112" w:name="_Toc506967723"/>
      <w:bookmarkStart w:id="113" w:name="_Toc506967940"/>
      <w:bookmarkStart w:id="114" w:name="_Toc506968742"/>
      <w:bookmarkStart w:id="115" w:name="_Toc506968787"/>
      <w:bookmarkStart w:id="116" w:name="_Toc506968848"/>
      <w:bookmarkStart w:id="117" w:name="_Toc506968938"/>
      <w:bookmarkStart w:id="118" w:name="_Toc508287776"/>
      <w:bookmarkStart w:id="119" w:name="_Toc508289813"/>
      <w:r>
        <w:lastRenderedPageBreak/>
        <w:t>Attachment A</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C51362" w:rsidRDefault="00C51362" w:rsidP="00A7642A">
      <w:pPr>
        <w:pStyle w:val="Heading3"/>
      </w:pPr>
      <w:bookmarkStart w:id="120" w:name="_Toc508287777"/>
      <w:r>
        <w:t>Terms of reference</w:t>
      </w:r>
      <w:bookmarkEnd w:id="120"/>
    </w:p>
    <w:p w:rsidR="00C51362" w:rsidRDefault="00C51362" w:rsidP="00C51362">
      <w:pPr>
        <w:pStyle w:val="BodyText"/>
        <w:jc w:val="left"/>
      </w:pPr>
      <w:r>
        <w:rPr>
          <w:b/>
          <w:bCs/>
          <w:i/>
          <w:iCs/>
          <w:szCs w:val="24"/>
        </w:rPr>
        <w:t>Productivity Commission Act 1998</w:t>
      </w:r>
    </w:p>
    <w:p w:rsidR="00C51362" w:rsidRDefault="00C51362" w:rsidP="00C51362">
      <w:pPr>
        <w:pStyle w:val="Heading3"/>
      </w:pPr>
      <w:r>
        <w:t>Murray-Darling Basin Plan: Five-year assessment</w:t>
      </w:r>
    </w:p>
    <w:p w:rsidR="00C51362" w:rsidRDefault="00C51362" w:rsidP="00C51362">
      <w:pPr>
        <w:pStyle w:val="BodyText"/>
        <w:rPr>
          <w:szCs w:val="24"/>
          <w:lang w:val="en"/>
        </w:rPr>
      </w:pPr>
      <w:r>
        <w:rPr>
          <w:lang w:val="en"/>
        </w:rPr>
        <w:t xml:space="preserve">I, Scott Morrison, Treasurer, pursuant to Parts 2 and 3 of the </w:t>
      </w:r>
      <w:r>
        <w:rPr>
          <w:i/>
          <w:iCs/>
          <w:lang w:val="en"/>
        </w:rPr>
        <w:t>Productivity Commission Act 1998</w:t>
      </w:r>
      <w:r>
        <w:rPr>
          <w:lang w:val="en"/>
        </w:rPr>
        <w:t>, hereby request that the Productivity Commission (the Commission) undertake an Inquiry into the effectiveness of the implementation of the Basin Plan and water resource plans.</w:t>
      </w:r>
    </w:p>
    <w:p w:rsidR="00C51362" w:rsidRDefault="00C51362" w:rsidP="00C51362">
      <w:pPr>
        <w:pStyle w:val="Heading3"/>
        <w:rPr>
          <w:lang w:val="en"/>
        </w:rPr>
      </w:pPr>
      <w:r>
        <w:rPr>
          <w:lang w:val="en"/>
        </w:rPr>
        <w:t>Background</w:t>
      </w:r>
    </w:p>
    <w:p w:rsidR="00C51362" w:rsidRDefault="00C51362" w:rsidP="00C51362">
      <w:pPr>
        <w:pStyle w:val="BodyText"/>
        <w:rPr>
          <w:szCs w:val="24"/>
          <w:lang w:val="en"/>
        </w:rPr>
      </w:pPr>
      <w:r>
        <w:rPr>
          <w:lang w:val="en"/>
        </w:rPr>
        <w:t>The Basin Plan provides for the integrated management of water resources of the Murray</w:t>
      </w:r>
      <w:r>
        <w:rPr>
          <w:lang w:val="en"/>
        </w:rPr>
        <w:noBreakHyphen/>
        <w:t xml:space="preserve">Darling Basin in ways that promote the objects of the </w:t>
      </w:r>
      <w:r>
        <w:rPr>
          <w:i/>
          <w:iCs/>
          <w:lang w:val="en"/>
        </w:rPr>
        <w:t>Water Act 2007 (</w:t>
      </w:r>
      <w:proofErr w:type="spellStart"/>
      <w:r>
        <w:rPr>
          <w:i/>
          <w:iCs/>
          <w:lang w:val="en"/>
        </w:rPr>
        <w:t>Cth</w:t>
      </w:r>
      <w:proofErr w:type="spellEnd"/>
      <w:r>
        <w:rPr>
          <w:i/>
          <w:iCs/>
          <w:lang w:val="en"/>
        </w:rPr>
        <w:t>)</w:t>
      </w:r>
      <w:r>
        <w:rPr>
          <w:lang w:val="en"/>
        </w:rPr>
        <w:t xml:space="preserve"> (Water Act), including the objective of </w:t>
      </w:r>
      <w:proofErr w:type="spellStart"/>
      <w:r>
        <w:rPr>
          <w:lang w:val="en"/>
        </w:rPr>
        <w:t>optimising</w:t>
      </w:r>
      <w:proofErr w:type="spellEnd"/>
      <w:r>
        <w:rPr>
          <w:lang w:val="en"/>
        </w:rPr>
        <w:t xml:space="preserve"> social, economic and environmental outcomes. </w:t>
      </w:r>
    </w:p>
    <w:p w:rsidR="00C51362" w:rsidRDefault="00C51362" w:rsidP="00C51362">
      <w:pPr>
        <w:pStyle w:val="BodyText"/>
        <w:rPr>
          <w:lang w:val="en"/>
        </w:rPr>
      </w:pPr>
      <w:r>
        <w:rPr>
          <w:lang w:val="en"/>
        </w:rPr>
        <w:t>Under section 87 of the Water Act the Commission is required to undertake five</w:t>
      </w:r>
      <w:r>
        <w:rPr>
          <w:lang w:val="en"/>
        </w:rPr>
        <w:noBreakHyphen/>
        <w:t xml:space="preserve">yearly assessments of the effectiveness of the implementation of the Basin Plan and water resource plans. This inquiry is the first such assessment. </w:t>
      </w:r>
    </w:p>
    <w:p w:rsidR="00C51362" w:rsidRDefault="00C51362" w:rsidP="00C51362">
      <w:pPr>
        <w:pStyle w:val="Heading3"/>
        <w:rPr>
          <w:lang w:val="en"/>
        </w:rPr>
      </w:pPr>
      <w:r>
        <w:rPr>
          <w:lang w:val="en"/>
        </w:rPr>
        <w:t>Scope of the inquiry</w:t>
      </w:r>
    </w:p>
    <w:p w:rsidR="00C51362" w:rsidRDefault="00C51362" w:rsidP="00C51362">
      <w:pPr>
        <w:pStyle w:val="BodyText"/>
        <w:rPr>
          <w:szCs w:val="24"/>
          <w:lang w:val="en"/>
        </w:rPr>
      </w:pPr>
      <w:r>
        <w:rPr>
          <w:lang w:val="en"/>
        </w:rPr>
        <w:t xml:space="preserve">In accordance with the provisions of Part 3 of the Water Act, the Commission is to report on the matter of the effectiveness of the implementation of the Basin Plan and the water resource plans for the five year period ending 31 December 2018. </w:t>
      </w:r>
    </w:p>
    <w:p w:rsidR="00C51362" w:rsidRDefault="00C51362" w:rsidP="00C51362">
      <w:pPr>
        <w:pStyle w:val="BodyText"/>
        <w:rPr>
          <w:lang w:val="en"/>
        </w:rPr>
      </w:pPr>
      <w:r>
        <w:rPr>
          <w:lang w:val="en"/>
        </w:rPr>
        <w:t xml:space="preserve">In undertaking the Inquiry, the Commission should assess: </w:t>
      </w:r>
    </w:p>
    <w:p w:rsidR="00C51362" w:rsidRDefault="00C51362" w:rsidP="00C51362">
      <w:pPr>
        <w:pStyle w:val="ListBullet"/>
        <w:rPr>
          <w:lang w:val="en"/>
        </w:rPr>
      </w:pPr>
      <w:r>
        <w:rPr>
          <w:lang w:val="en"/>
        </w:rPr>
        <w:t xml:space="preserve">progress towards implementing the actions required under the Plan within legislated timeframes, including: </w:t>
      </w:r>
    </w:p>
    <w:p w:rsidR="00C51362" w:rsidRDefault="00C51362" w:rsidP="00C51362">
      <w:pPr>
        <w:pStyle w:val="ListBullet2"/>
        <w:rPr>
          <w:lang w:val="en"/>
        </w:rPr>
      </w:pPr>
      <w:r>
        <w:rPr>
          <w:lang w:val="en"/>
        </w:rPr>
        <w:t xml:space="preserve">the extent to which stated water recovery and other targets are on track to be delivered within statutory timeframes; and </w:t>
      </w:r>
    </w:p>
    <w:p w:rsidR="00C51362" w:rsidRDefault="00C51362" w:rsidP="00C51362">
      <w:pPr>
        <w:pStyle w:val="ListBullet2"/>
        <w:rPr>
          <w:lang w:val="en"/>
        </w:rPr>
      </w:pPr>
      <w:r>
        <w:rPr>
          <w:lang w:val="en"/>
        </w:rPr>
        <w:t xml:space="preserve">the likelihood that activities and arrangements now in place will ensure that these targets and timeframes will be met. </w:t>
      </w:r>
    </w:p>
    <w:p w:rsidR="00C51362" w:rsidRDefault="00C51362" w:rsidP="00C51362">
      <w:pPr>
        <w:pStyle w:val="ListBullet"/>
        <w:rPr>
          <w:lang w:val="en"/>
        </w:rPr>
      </w:pPr>
      <w:r>
        <w:rPr>
          <w:lang w:val="en"/>
        </w:rPr>
        <w:t xml:space="preserve">the extent to which the current framework for implementing the Basin Plan, including the framework for monitoring, compliance, reporting and evaluation, is likely to be sufficient: </w:t>
      </w:r>
    </w:p>
    <w:p w:rsidR="00C51362" w:rsidRDefault="00C51362" w:rsidP="00C51362">
      <w:pPr>
        <w:pStyle w:val="ListBullet2"/>
        <w:rPr>
          <w:lang w:val="en"/>
        </w:rPr>
      </w:pPr>
      <w:r>
        <w:rPr>
          <w:lang w:val="en"/>
        </w:rPr>
        <w:lastRenderedPageBreak/>
        <w:t xml:space="preserve">to support delivery of the objectives and outcomes identified in Chapter 5 of the Basin Plan, acknowledging that the Basin Plan is not yet fully implemented and that many of the outcomes will only be observable over a longer timeframe; </w:t>
      </w:r>
    </w:p>
    <w:p w:rsidR="00C51362" w:rsidRDefault="00C51362" w:rsidP="00C51362">
      <w:pPr>
        <w:pStyle w:val="ListBullet2"/>
        <w:rPr>
          <w:lang w:val="en"/>
        </w:rPr>
      </w:pPr>
      <w:r>
        <w:rPr>
          <w:lang w:val="en"/>
        </w:rPr>
        <w:t xml:space="preserve">to enable assessment of risks and risk mitigation requirements and provisions associated with Basin Plan implementation; and </w:t>
      </w:r>
    </w:p>
    <w:p w:rsidR="00C51362" w:rsidRDefault="00C51362" w:rsidP="00C51362">
      <w:pPr>
        <w:pStyle w:val="ListBullet2"/>
        <w:rPr>
          <w:lang w:val="en"/>
        </w:rPr>
      </w:pPr>
      <w:r>
        <w:rPr>
          <w:lang w:val="en"/>
        </w:rPr>
        <w:t xml:space="preserve">to enable an assessment of progress in meeting the Plan's objectives and outcomes under the next scheduled review of the Basin Plan in 2026. </w:t>
      </w:r>
    </w:p>
    <w:p w:rsidR="00C51362" w:rsidRDefault="00C51362" w:rsidP="00C51362">
      <w:pPr>
        <w:pStyle w:val="BodyText"/>
        <w:rPr>
          <w:lang w:val="en"/>
        </w:rPr>
      </w:pPr>
      <w:r>
        <w:rPr>
          <w:lang w:val="en"/>
        </w:rPr>
        <w:t xml:space="preserve">In assessing progress towards Basin Plan implementation, the Commission should report on progress towards milestones agreed in the Murray-Darling Basin Ministerial Council’s report to the Council of Australian Governments, </w:t>
      </w:r>
      <w:r>
        <w:rPr>
          <w:i/>
          <w:iCs/>
          <w:lang w:val="en"/>
        </w:rPr>
        <w:t>Implementing the Basin Plan</w:t>
      </w:r>
      <w:r>
        <w:rPr>
          <w:lang w:val="en"/>
        </w:rPr>
        <w:t xml:space="preserve">. Specifically, the Commission should focus on progress towards a pathway for three key priorities including: </w:t>
      </w:r>
    </w:p>
    <w:p w:rsidR="00C51362" w:rsidRDefault="00C51362" w:rsidP="00C51362">
      <w:pPr>
        <w:pStyle w:val="ListBullet"/>
        <w:rPr>
          <w:lang w:val="en"/>
        </w:rPr>
      </w:pPr>
      <w:r>
        <w:rPr>
          <w:lang w:val="en"/>
        </w:rPr>
        <w:t>supply measures to offset the Basin Plan water recovery target of 2,750 GL by 2019, using the Sustainable Diversion Limit (</w:t>
      </w:r>
      <w:proofErr w:type="spellStart"/>
      <w:r>
        <w:rPr>
          <w:lang w:val="en"/>
        </w:rPr>
        <w:t>SDL</w:t>
      </w:r>
      <w:proofErr w:type="spellEnd"/>
      <w:r>
        <w:rPr>
          <w:lang w:val="en"/>
        </w:rPr>
        <w:t xml:space="preserve">) adjustment mechanism; </w:t>
      </w:r>
    </w:p>
    <w:p w:rsidR="00C51362" w:rsidRDefault="00C51362" w:rsidP="00C51362">
      <w:pPr>
        <w:pStyle w:val="ListBullet"/>
        <w:rPr>
          <w:lang w:val="en"/>
        </w:rPr>
      </w:pPr>
      <w:r>
        <w:rPr>
          <w:lang w:val="en"/>
        </w:rPr>
        <w:t xml:space="preserve">constraints measures to address impediments to delivering environmental water; and </w:t>
      </w:r>
    </w:p>
    <w:p w:rsidR="00C51362" w:rsidRDefault="00C51362" w:rsidP="00C51362">
      <w:pPr>
        <w:pStyle w:val="ListBullet"/>
        <w:rPr>
          <w:lang w:val="en"/>
        </w:rPr>
      </w:pPr>
      <w:r>
        <w:rPr>
          <w:lang w:val="en"/>
        </w:rPr>
        <w:t xml:space="preserve">efficiency measures to recover an additional 450 GL by 2024, consistent with the Basin Plan legal requirement to achieve neutral or improved socio-economic outcomes. </w:t>
      </w:r>
    </w:p>
    <w:p w:rsidR="00C51362" w:rsidRDefault="00C51362" w:rsidP="00C51362">
      <w:pPr>
        <w:pStyle w:val="BodyText"/>
        <w:rPr>
          <w:lang w:val="en"/>
        </w:rPr>
      </w:pPr>
      <w:r>
        <w:rPr>
          <w:lang w:val="en"/>
        </w:rPr>
        <w:t xml:space="preserve">In undertaking this assessment, the Commission should have regard to the </w:t>
      </w:r>
      <w:r>
        <w:rPr>
          <w:i/>
          <w:iCs/>
          <w:lang w:val="en"/>
        </w:rPr>
        <w:t>Intergovernmental Agreement on Implementing Water Reform in the Murray Darling Basin (2013)</w:t>
      </w:r>
      <w:r>
        <w:rPr>
          <w:lang w:val="en"/>
        </w:rPr>
        <w:t xml:space="preserve">, and the </w:t>
      </w:r>
      <w:r>
        <w:rPr>
          <w:i/>
          <w:iCs/>
          <w:lang w:val="en"/>
        </w:rPr>
        <w:t>Basin Plan Implementation Agreement</w:t>
      </w:r>
      <w:r>
        <w:rPr>
          <w:lang w:val="en"/>
        </w:rPr>
        <w:t xml:space="preserve"> between the Murray-Darling Basin Authority (</w:t>
      </w:r>
      <w:proofErr w:type="spellStart"/>
      <w:r>
        <w:rPr>
          <w:lang w:val="en"/>
        </w:rPr>
        <w:t>MDBA</w:t>
      </w:r>
      <w:proofErr w:type="spellEnd"/>
      <w:r>
        <w:rPr>
          <w:lang w:val="en"/>
        </w:rPr>
        <w:t>), Basin states and the Commonwealth Environmental Water Holder (</w:t>
      </w:r>
      <w:proofErr w:type="spellStart"/>
      <w:r>
        <w:rPr>
          <w:lang w:val="en"/>
        </w:rPr>
        <w:t>CEWH</w:t>
      </w:r>
      <w:proofErr w:type="spellEnd"/>
      <w:r>
        <w:rPr>
          <w:lang w:val="en"/>
        </w:rPr>
        <w:t xml:space="preserve">). </w:t>
      </w:r>
    </w:p>
    <w:p w:rsidR="00C51362" w:rsidRDefault="00C51362" w:rsidP="00C51362">
      <w:pPr>
        <w:pStyle w:val="BodyText"/>
        <w:rPr>
          <w:lang w:val="en"/>
        </w:rPr>
      </w:pPr>
      <w:r>
        <w:rPr>
          <w:lang w:val="en"/>
        </w:rPr>
        <w:t xml:space="preserve">In undertaking this assessment, the Commission should also have regard to reviews and audits that have recently been completed or are ongoing, including those relating to compliance and Basin Plan implementation. </w:t>
      </w:r>
    </w:p>
    <w:p w:rsidR="00C51362" w:rsidRDefault="00C51362" w:rsidP="00C51362">
      <w:pPr>
        <w:pStyle w:val="BodyText"/>
        <w:rPr>
          <w:lang w:val="en"/>
        </w:rPr>
      </w:pPr>
      <w:r>
        <w:rPr>
          <w:lang w:val="en"/>
        </w:rPr>
        <w:t>The Commission should also have regard to the differing responsibilities of the Basin states and the Australian Capital Territory, the Department of Agriculture and Water Resources (</w:t>
      </w:r>
      <w:proofErr w:type="spellStart"/>
      <w:r>
        <w:rPr>
          <w:lang w:val="en"/>
        </w:rPr>
        <w:t>DAWR</w:t>
      </w:r>
      <w:proofErr w:type="spellEnd"/>
      <w:r>
        <w:rPr>
          <w:lang w:val="en"/>
        </w:rPr>
        <w:t xml:space="preserve">), the </w:t>
      </w:r>
      <w:proofErr w:type="spellStart"/>
      <w:r>
        <w:rPr>
          <w:lang w:val="en"/>
        </w:rPr>
        <w:t>CEWH</w:t>
      </w:r>
      <w:proofErr w:type="spellEnd"/>
      <w:r>
        <w:rPr>
          <w:lang w:val="en"/>
        </w:rPr>
        <w:t xml:space="preserve"> and the </w:t>
      </w:r>
      <w:proofErr w:type="spellStart"/>
      <w:r>
        <w:rPr>
          <w:lang w:val="en"/>
        </w:rPr>
        <w:t>MDBA</w:t>
      </w:r>
      <w:proofErr w:type="spellEnd"/>
      <w:r>
        <w:rPr>
          <w:lang w:val="en"/>
        </w:rPr>
        <w:t xml:space="preserve">. </w:t>
      </w:r>
    </w:p>
    <w:p w:rsidR="00C51362" w:rsidRDefault="00C51362" w:rsidP="00C51362">
      <w:pPr>
        <w:pStyle w:val="BodyText"/>
        <w:rPr>
          <w:lang w:val="en"/>
        </w:rPr>
      </w:pPr>
      <w:r>
        <w:rPr>
          <w:lang w:val="en"/>
        </w:rPr>
        <w:t xml:space="preserve">The Commission should assess progress towards full implementation in the context of the differing timeframes applicable to each key component of the Basin Plan. This includes an assessment of the extent to which Commonwealth and state-led water recovery efforts and state water resource plans are on track for when </w:t>
      </w:r>
      <w:proofErr w:type="spellStart"/>
      <w:r>
        <w:rPr>
          <w:lang w:val="en"/>
        </w:rPr>
        <w:t>SDLs</w:t>
      </w:r>
      <w:proofErr w:type="spellEnd"/>
      <w:r>
        <w:rPr>
          <w:lang w:val="en"/>
        </w:rPr>
        <w:t xml:space="preserve"> take effect from 1 July 2019. </w:t>
      </w:r>
    </w:p>
    <w:p w:rsidR="00C51362" w:rsidRDefault="00C51362" w:rsidP="00C51362">
      <w:pPr>
        <w:pStyle w:val="BodyText"/>
        <w:rPr>
          <w:lang w:val="en"/>
        </w:rPr>
      </w:pPr>
      <w:r>
        <w:rPr>
          <w:lang w:val="en"/>
        </w:rPr>
        <w:t xml:space="preserve">The Commission should make findings on progress to date and recommendations on any actions required by the Commonwealth or Basin state or territory to ensure the timely implementation of Basin Plan requirements and the effective achievement of Basin Plan outcomes. </w:t>
      </w:r>
    </w:p>
    <w:p w:rsidR="00C51362" w:rsidRDefault="00C51362" w:rsidP="00C51362">
      <w:pPr>
        <w:pStyle w:val="Heading3"/>
        <w:rPr>
          <w:lang w:val="en"/>
        </w:rPr>
      </w:pPr>
      <w:r>
        <w:rPr>
          <w:lang w:val="en"/>
        </w:rPr>
        <w:lastRenderedPageBreak/>
        <w:t>Process</w:t>
      </w:r>
    </w:p>
    <w:p w:rsidR="00C51362" w:rsidRDefault="00C51362" w:rsidP="00C51362">
      <w:pPr>
        <w:pStyle w:val="BodyText"/>
        <w:rPr>
          <w:szCs w:val="24"/>
          <w:lang w:val="en"/>
        </w:rPr>
      </w:pPr>
      <w:r>
        <w:rPr>
          <w:lang w:val="en"/>
        </w:rPr>
        <w:t>In undertaking the inquiry, the Commission should consult widely including establishing a stakeholder working group in accordance with section 89 of the Water Act, inviting public submissions, holding public hearings, and releasing a draft report to the public. The Commission should consult with relevant Australian Government, Basin state and territory government agencies, key interest groups and affected parties. These consultations should include, but not be limited to, parties with interests in agriculture, industry and the environment, and Aboriginal groups. The Government has asked Basin jurisdictions to co</w:t>
      </w:r>
      <w:r>
        <w:rPr>
          <w:lang w:val="en"/>
        </w:rPr>
        <w:noBreakHyphen/>
        <w:t xml:space="preserve">operate with this Inquiry, including by providing the Commission with the information it considers necessary in undertaking its Inquiry. </w:t>
      </w:r>
    </w:p>
    <w:p w:rsidR="00C51362" w:rsidRDefault="00C51362" w:rsidP="00C51362">
      <w:pPr>
        <w:pStyle w:val="BodyText"/>
        <w:rPr>
          <w:lang w:val="en"/>
        </w:rPr>
      </w:pPr>
      <w:r>
        <w:rPr>
          <w:lang w:val="en"/>
        </w:rPr>
        <w:t xml:space="preserve">The final report is to be provided to the Government by 31 December 2018. </w:t>
      </w:r>
    </w:p>
    <w:p w:rsidR="00C51362" w:rsidRDefault="00C51362" w:rsidP="001765AA">
      <w:pPr>
        <w:pStyle w:val="BodyText"/>
        <w:spacing w:before="720"/>
        <w:jc w:val="left"/>
        <w:rPr>
          <w:lang w:val="en"/>
        </w:rPr>
      </w:pPr>
      <w:r>
        <w:rPr>
          <w:lang w:val="en"/>
        </w:rPr>
        <w:t>Scott Morrison</w:t>
      </w:r>
      <w:r>
        <w:rPr>
          <w:lang w:val="en"/>
        </w:rPr>
        <w:br/>
        <w:t>Treasurer</w:t>
      </w:r>
    </w:p>
    <w:p w:rsidR="00C51362" w:rsidRDefault="00C51362" w:rsidP="00C51362">
      <w:pPr>
        <w:pStyle w:val="BodyText"/>
        <w:rPr>
          <w:lang w:val="en"/>
        </w:rPr>
      </w:pPr>
      <w:r>
        <w:rPr>
          <w:lang w:val="en"/>
        </w:rPr>
        <w:t>[Received 7 March 2018]</w:t>
      </w:r>
    </w:p>
    <w:p w:rsidR="00C51362" w:rsidRDefault="00C51362" w:rsidP="00C51362">
      <w:pPr>
        <w:pStyle w:val="BodyText"/>
      </w:pPr>
    </w:p>
    <w:p w:rsidR="00C51362" w:rsidRDefault="00C51362" w:rsidP="00C51362">
      <w:pPr>
        <w:pStyle w:val="BodyText"/>
        <w:sectPr w:rsidR="00C51362" w:rsidSect="00B04F4D">
          <w:headerReference w:type="even" r:id="rId37"/>
          <w:headerReference w:type="default" r:id="rId38"/>
          <w:footerReference w:type="even" r:id="rId39"/>
          <w:footerReference w:type="default" r:id="rId40"/>
          <w:pgSz w:w="11907" w:h="16840" w:code="9"/>
          <w:pgMar w:top="1984" w:right="1304" w:bottom="1247" w:left="1814" w:header="1701" w:footer="397" w:gutter="0"/>
          <w:pgNumType w:chapSep="period"/>
          <w:cols w:space="720"/>
          <w:docGrid w:linePitch="326"/>
        </w:sectPr>
      </w:pPr>
    </w:p>
    <w:p w:rsidR="00391500" w:rsidRPr="00391500" w:rsidRDefault="00391500" w:rsidP="006C28E0">
      <w:pPr>
        <w:pStyle w:val="Heading2"/>
        <w:spacing w:before="120"/>
      </w:pPr>
      <w:bookmarkStart w:id="121" w:name="_Toc508287778"/>
      <w:bookmarkStart w:id="122" w:name="_Toc508289814"/>
      <w:r>
        <w:lastRenderedPageBreak/>
        <w:t xml:space="preserve">Attachment </w:t>
      </w:r>
      <w:bookmarkEnd w:id="121"/>
      <w:r w:rsidR="00A7642A">
        <w:t>B</w:t>
      </w:r>
      <w:bookmarkEnd w:id="122"/>
    </w:p>
    <w:p w:rsidR="00862E51" w:rsidRDefault="00862E51" w:rsidP="00862E51">
      <w:pPr>
        <w:pStyle w:val="Heading3"/>
      </w:pPr>
      <w:r>
        <w:t>How to prepare a submission</w:t>
      </w:r>
    </w:p>
    <w:p w:rsidR="00862E51" w:rsidRDefault="00862E51" w:rsidP="00862E51">
      <w:pPr>
        <w:pStyle w:val="BodyText"/>
      </w:pPr>
      <w:r>
        <w:t>Submissions may range from a short letter outlining your views on a particular topic to a much more s</w:t>
      </w:r>
      <w:smartTag w:uri="urn:schemas-microsoft-com:office:smarttags" w:element="PersonName">
        <w:r>
          <w:t>ubs</w:t>
        </w:r>
      </w:smartTag>
      <w:r>
        <w:t>ta</w:t>
      </w:r>
      <w:smartTag w:uri="urn:schemas-microsoft-com:office:smarttags" w:element="PersonName">
        <w:r>
          <w:t>nt</w:t>
        </w:r>
      </w:smartTag>
      <w:r>
        <w:t>ial docume</w:t>
      </w:r>
      <w:smartTag w:uri="urn:schemas-microsoft-com:office:smarttags" w:element="PersonName">
        <w:r>
          <w:t>nt</w:t>
        </w:r>
      </w:smartTag>
      <w:r>
        <w:t xml:space="preserve"> covering a range of issues. Where possible, you should provide evidence, such as releva</w:t>
      </w:r>
      <w:smartTag w:uri="urn:schemas-microsoft-com:office:smarttags" w:element="PersonName">
        <w:r>
          <w:t>nt</w:t>
        </w:r>
      </w:smartTag>
      <w:r>
        <w:t xml:space="preserve"> data and docume</w:t>
      </w:r>
      <w:smartTag w:uri="urn:schemas-microsoft-com:office:smarttags" w:element="PersonName">
        <w:r>
          <w:t>nt</w:t>
        </w:r>
      </w:smartTag>
      <w:r>
        <w:t>ation, to support your views.</w:t>
      </w:r>
    </w:p>
    <w:p w:rsidR="00862E51" w:rsidRDefault="00862E51" w:rsidP="00862E51">
      <w:pPr>
        <w:pStyle w:val="Heading4"/>
      </w:pPr>
      <w:r>
        <w:t>Generally</w:t>
      </w:r>
    </w:p>
    <w:p w:rsidR="00862E51" w:rsidRDefault="00862E51" w:rsidP="00862E51">
      <w:pPr>
        <w:pStyle w:val="ListBullet"/>
      </w:pPr>
      <w:r>
        <w:t>Each submission, except for any attachment supplied in confidence , will be published on the Commission’s website shortly after receipt, and will remain there indefinitely as a public document.</w:t>
      </w:r>
    </w:p>
    <w:p w:rsidR="00862E51" w:rsidRDefault="00862E51" w:rsidP="00862E51">
      <w:pPr>
        <w:pStyle w:val="ListBullet"/>
      </w:pPr>
      <w:r>
        <w:t>The Commission reserves the right to not publish material on its website that is offensive, potentially defamatory, or clearly out of scope for the inquiry or study in question.</w:t>
      </w:r>
    </w:p>
    <w:p w:rsidR="00862E51" w:rsidRDefault="00862E51" w:rsidP="00862E51">
      <w:pPr>
        <w:pStyle w:val="Heading4"/>
      </w:pPr>
      <w:r>
        <w:t>Copyright</w:t>
      </w:r>
    </w:p>
    <w:p w:rsidR="00862E51" w:rsidRDefault="00862E51" w:rsidP="00862E51">
      <w:pPr>
        <w:pStyle w:val="ListBullet"/>
      </w:pPr>
      <w:r>
        <w:t>Copyright in submissions sent to the Commission resides with the author(s), not with the Commission.</w:t>
      </w:r>
    </w:p>
    <w:p w:rsidR="00862E51" w:rsidRDefault="00862E51" w:rsidP="00862E51">
      <w:pPr>
        <w:pStyle w:val="ListBullet"/>
      </w:pPr>
      <w:r>
        <w:t>Do not send us material for which you are not the copyright owner — such as newspaper articles — you should just reference or link to this material in your submission.</w:t>
      </w:r>
    </w:p>
    <w:p w:rsidR="00862E51" w:rsidRDefault="00862E51" w:rsidP="00862E51">
      <w:pPr>
        <w:pStyle w:val="Heading4"/>
      </w:pPr>
      <w:r>
        <w:t>In confidence material</w:t>
      </w:r>
    </w:p>
    <w:p w:rsidR="00862E51" w:rsidRPr="009D6440" w:rsidRDefault="00862E51" w:rsidP="00862E51">
      <w:pPr>
        <w:pStyle w:val="ListBullet"/>
      </w:pPr>
      <w:r w:rsidRPr="009D6440">
        <w:t>This is a public review and all submissions should be provided as public documents that can be placed on the Commission</w:t>
      </w:r>
      <w:r>
        <w:t>’</w:t>
      </w:r>
      <w:r w:rsidRPr="009D6440">
        <w:t>s website for others to read and comment on. However, information which is of a confidential nature or which is submitted in confidence can be treated as such by the Commission, provided the cause for such treatment is shown.</w:t>
      </w:r>
    </w:p>
    <w:p w:rsidR="00862E51" w:rsidRDefault="00862E51" w:rsidP="00862E51">
      <w:pPr>
        <w:pStyle w:val="ListBullet"/>
      </w:pPr>
      <w:r w:rsidRPr="009D6440">
        <w:t>The Commission may also request a non</w:t>
      </w:r>
      <w:r>
        <w:noBreakHyphen/>
      </w:r>
      <w:r w:rsidRPr="009D6440">
        <w:t>confidential summary of the confidential material it is given, or the reasons why a summary cannot be provided.</w:t>
      </w:r>
    </w:p>
    <w:p w:rsidR="00862E51" w:rsidRDefault="00862E51" w:rsidP="00862E51">
      <w:pPr>
        <w:pStyle w:val="ListBullet"/>
      </w:pPr>
      <w:r w:rsidRPr="009D6440">
        <w:t xml:space="preserve">Material supplied in confidence should be clearly marked </w:t>
      </w:r>
      <w:r>
        <w:t>‘</w:t>
      </w:r>
      <w:r w:rsidRPr="009D6440">
        <w:t>IN CONFIDENCE</w:t>
      </w:r>
      <w:r>
        <w:t>’</w:t>
      </w:r>
      <w:r w:rsidRPr="009D6440">
        <w:t xml:space="preserve"> and be in a separate attachment to non</w:t>
      </w:r>
      <w:r>
        <w:noBreakHyphen/>
      </w:r>
      <w:r w:rsidRPr="009D6440">
        <w:t>confidential material.</w:t>
      </w:r>
    </w:p>
    <w:p w:rsidR="00862E51" w:rsidRPr="009D6440" w:rsidRDefault="00862E51" w:rsidP="00862E51">
      <w:pPr>
        <w:pStyle w:val="ListBullet"/>
      </w:pPr>
      <w:r w:rsidRPr="009D6440">
        <w:t>You are encouraged to contact the Commission for further information and advice before submitting such material.</w:t>
      </w:r>
    </w:p>
    <w:p w:rsidR="00862E51" w:rsidRDefault="00862E51" w:rsidP="00862E51">
      <w:pPr>
        <w:pStyle w:val="Heading4"/>
      </w:pPr>
      <w:r>
        <w:t>Privacy</w:t>
      </w:r>
    </w:p>
    <w:p w:rsidR="00862E51" w:rsidRDefault="00862E51" w:rsidP="00862E51">
      <w:pPr>
        <w:pStyle w:val="ListBullet"/>
      </w:pPr>
      <w:r>
        <w:t xml:space="preserve">For privacy reasons, all </w:t>
      </w:r>
      <w:r w:rsidRPr="009D6440">
        <w:rPr>
          <w:b/>
        </w:rPr>
        <w:t>personal</w:t>
      </w:r>
      <w:r>
        <w:t xml:space="preserve"> details (</w:t>
      </w:r>
      <w:r w:rsidR="00F35185">
        <w:t>for example,</w:t>
      </w:r>
      <w:r>
        <w:t xml:space="preserve"> home and email address, signatures, phone, mobile and fax numbers) will be removed before they are published on the website. Please do not provide a these details unless necessary.</w:t>
      </w:r>
    </w:p>
    <w:p w:rsidR="00862E51" w:rsidRDefault="00862E51" w:rsidP="00862E51">
      <w:pPr>
        <w:pStyle w:val="ListBullet"/>
      </w:pPr>
      <w:r>
        <w:lastRenderedPageBreak/>
        <w:t>You may wish to remain anonymous or use a pseudonym. Please note that, if you choose to remain anonymous or use a pseudonym, the Commission may place less weight on your submission.</w:t>
      </w:r>
    </w:p>
    <w:p w:rsidR="00862E51" w:rsidRDefault="00862E51" w:rsidP="00862E51">
      <w:pPr>
        <w:pStyle w:val="Heading4"/>
      </w:pPr>
      <w:r>
        <w:t>Technical tips</w:t>
      </w:r>
    </w:p>
    <w:p w:rsidR="00862E51" w:rsidRPr="009D6440" w:rsidRDefault="00862E51" w:rsidP="00862E51">
      <w:pPr>
        <w:pStyle w:val="ListBullet"/>
      </w:pPr>
      <w:r w:rsidRPr="009D6440">
        <w:t>The Commission prefers to receive submissions as a Microsoft Word (.</w:t>
      </w:r>
      <w:proofErr w:type="spellStart"/>
      <w:r w:rsidRPr="009D6440">
        <w:t>docx</w:t>
      </w:r>
      <w:proofErr w:type="spellEnd"/>
      <w:r w:rsidRPr="009D6440">
        <w:t xml:space="preserve">) files. PDF files are acceptable if produced from a Word document or similar text based software. You may wish to research the </w:t>
      </w:r>
      <w:proofErr w:type="spellStart"/>
      <w:r w:rsidRPr="009D6440">
        <w:t>Internet</w:t>
      </w:r>
      <w:proofErr w:type="spellEnd"/>
      <w:r w:rsidRPr="009D6440">
        <w:t xml:space="preserve"> on how to make your documents more accessible or for the more technical, follow advice from Web Content Accessibility Guidelines (</w:t>
      </w:r>
      <w:proofErr w:type="spellStart"/>
      <w:r w:rsidRPr="009D6440">
        <w:t>WCAG</w:t>
      </w:r>
      <w:proofErr w:type="spellEnd"/>
      <w:r w:rsidRPr="009D6440">
        <w:t>) 2.0</w:t>
      </w:r>
      <w:r w:rsidR="00BB3148">
        <w:t xml:space="preserve"> </w:t>
      </w:r>
      <w:r>
        <w:t>&lt;</w:t>
      </w:r>
      <w:r w:rsidRPr="00C738C7">
        <w:t>http://</w:t>
      </w:r>
      <w:proofErr w:type="spellStart"/>
      <w:r w:rsidRPr="00C738C7">
        <w:t>www.w3.org</w:t>
      </w:r>
      <w:proofErr w:type="spellEnd"/>
      <w:r w:rsidRPr="00C738C7">
        <w:t>/</w:t>
      </w:r>
      <w:proofErr w:type="spellStart"/>
      <w:r w:rsidRPr="00C738C7">
        <w:t>TR</w:t>
      </w:r>
      <w:proofErr w:type="spellEnd"/>
      <w:r w:rsidRPr="00C738C7">
        <w:t>/</w:t>
      </w:r>
      <w:proofErr w:type="spellStart"/>
      <w:r w:rsidRPr="00C738C7">
        <w:t>WCAG20</w:t>
      </w:r>
      <w:proofErr w:type="spellEnd"/>
      <w:r w:rsidRPr="00C738C7">
        <w:t>/</w:t>
      </w:r>
      <w:r>
        <w:t>&gt;.</w:t>
      </w:r>
    </w:p>
    <w:p w:rsidR="00862E51" w:rsidRPr="009D6440" w:rsidRDefault="00862E51" w:rsidP="00862E51">
      <w:pPr>
        <w:pStyle w:val="ListBullet"/>
      </w:pPr>
      <w:r w:rsidRPr="009D6440">
        <w:t>Do not send password protected files.</w:t>
      </w:r>
    </w:p>
    <w:p w:rsidR="00862E51" w:rsidRPr="009D6440" w:rsidRDefault="00862E51" w:rsidP="00862E51">
      <w:pPr>
        <w:pStyle w:val="ListBullet"/>
      </w:pPr>
      <w:r w:rsidRPr="009D6440">
        <w:t>Track changes, editing marks, hidden text and internal links should be removed from submissions.</w:t>
      </w:r>
    </w:p>
    <w:p w:rsidR="00862E51" w:rsidRDefault="00862E51" w:rsidP="00862E51">
      <w:pPr>
        <w:pStyle w:val="ListBullet"/>
      </w:pPr>
      <w:r w:rsidRPr="009D6440">
        <w:t>To minimise linking problems, type the full web address (for example, http://</w:t>
      </w:r>
      <w:proofErr w:type="spellStart"/>
      <w:r w:rsidRPr="009D6440">
        <w:t>www.referred</w:t>
      </w:r>
      <w:r>
        <w:noBreakHyphen/>
      </w:r>
      <w:r w:rsidRPr="009D6440">
        <w:t>website.com</w:t>
      </w:r>
      <w:proofErr w:type="spellEnd"/>
      <w:r w:rsidRPr="009D6440">
        <w:t>/folder/file</w:t>
      </w:r>
      <w:r>
        <w:noBreakHyphen/>
      </w:r>
      <w:proofErr w:type="spellStart"/>
      <w:r w:rsidRPr="009D6440">
        <w:t>name.html</w:t>
      </w:r>
      <w:proofErr w:type="spellEnd"/>
      <w:r w:rsidRPr="009D6440">
        <w:t>).</w:t>
      </w:r>
    </w:p>
    <w:p w:rsidR="00862E51" w:rsidRDefault="00862E51" w:rsidP="00862E51">
      <w:pPr>
        <w:pStyle w:val="Heading3"/>
      </w:pPr>
      <w:r>
        <w:t>How to lodge a submission</w:t>
      </w:r>
    </w:p>
    <w:p w:rsidR="00862E51" w:rsidRDefault="00862E51" w:rsidP="00862E51">
      <w:pPr>
        <w:pStyle w:val="BodyText"/>
        <w:spacing w:after="240"/>
      </w:pPr>
      <w:r w:rsidRPr="008960C8">
        <w:t>Submissions should be lodged using the online form on the Commission’s website. Submissions lodged by post should be accompanied by a submission cover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7426"/>
      </w:tblGrid>
      <w:tr w:rsidR="00AA4178" w:rsidTr="00B87C8E">
        <w:trPr>
          <w:tblHeader/>
        </w:trPr>
        <w:tc>
          <w:tcPr>
            <w:tcW w:w="1384" w:type="dxa"/>
          </w:tcPr>
          <w:p w:rsidR="00AA4178" w:rsidRDefault="00862E51" w:rsidP="00AA4178">
            <w:pPr>
              <w:pStyle w:val="BodyText"/>
              <w:tabs>
                <w:tab w:val="left" w:pos="1701"/>
              </w:tabs>
              <w:spacing w:before="120"/>
            </w:pPr>
            <w:r>
              <w:t>Online</w:t>
            </w:r>
            <w:r w:rsidR="00AA4178">
              <w:t>*</w:t>
            </w:r>
          </w:p>
        </w:tc>
        <w:tc>
          <w:tcPr>
            <w:tcW w:w="7621" w:type="dxa"/>
          </w:tcPr>
          <w:p w:rsidR="00AA4178" w:rsidRDefault="00BC3D8A" w:rsidP="005D7A6B">
            <w:pPr>
              <w:pStyle w:val="BodyText"/>
              <w:tabs>
                <w:tab w:val="left" w:pos="1701"/>
              </w:tabs>
              <w:spacing w:before="120"/>
            </w:pPr>
            <w:hyperlink r:id="rId41" w:history="1">
              <w:proofErr w:type="spellStart"/>
              <w:r w:rsidR="001765AA" w:rsidRPr="00825355">
                <w:rPr>
                  <w:rStyle w:val="Hyperlink"/>
                </w:rPr>
                <w:t>www.pc.gov.au</w:t>
              </w:r>
              <w:proofErr w:type="spellEnd"/>
              <w:r w:rsidR="001765AA" w:rsidRPr="00825355">
                <w:rPr>
                  <w:rStyle w:val="Hyperlink"/>
                </w:rPr>
                <w:t>/inquiries/current/basin-plan</w:t>
              </w:r>
            </w:hyperlink>
          </w:p>
        </w:tc>
      </w:tr>
      <w:tr w:rsidR="00BB3148" w:rsidTr="00B87C8E">
        <w:trPr>
          <w:tblHeader/>
        </w:trPr>
        <w:tc>
          <w:tcPr>
            <w:tcW w:w="1384" w:type="dxa"/>
          </w:tcPr>
          <w:p w:rsidR="00BB3148" w:rsidRDefault="00BB3148" w:rsidP="00AA4178">
            <w:pPr>
              <w:pStyle w:val="BodyText"/>
              <w:tabs>
                <w:tab w:val="left" w:pos="1701"/>
              </w:tabs>
              <w:spacing w:before="120"/>
            </w:pPr>
            <w:r>
              <w:t>Email*</w:t>
            </w:r>
          </w:p>
        </w:tc>
        <w:tc>
          <w:tcPr>
            <w:tcW w:w="7621" w:type="dxa"/>
          </w:tcPr>
          <w:p w:rsidR="00BB3148" w:rsidRDefault="00BB3148" w:rsidP="00BB3148">
            <w:pPr>
              <w:pStyle w:val="BodyText"/>
              <w:tabs>
                <w:tab w:val="left" w:pos="1701"/>
              </w:tabs>
              <w:spacing w:before="120"/>
            </w:pPr>
            <w:proofErr w:type="spellStart"/>
            <w:r w:rsidRPr="0032133C">
              <w:t>basin.plan@pc.gov.au</w:t>
            </w:r>
            <w:proofErr w:type="spellEnd"/>
          </w:p>
        </w:tc>
      </w:tr>
    </w:tbl>
    <w:p w:rsidR="00862E51" w:rsidRDefault="00862E51" w:rsidP="00862E51">
      <w:pPr>
        <w:pStyle w:val="BodyText"/>
      </w:pPr>
      <w:r>
        <w:t>*</w:t>
      </w:r>
      <w:r w:rsidRPr="007354B8">
        <w:t xml:space="preserve"> </w:t>
      </w:r>
      <w:r>
        <w:t>If you do not receive notification of receipt of your submission to the Commission, please co</w:t>
      </w:r>
      <w:smartTag w:uri="urn:schemas-microsoft-com:office:smarttags" w:element="PersonName">
        <w:r>
          <w:t>nt</w:t>
        </w:r>
      </w:smartTag>
      <w:r>
        <w:t>act the Administrative Officer.</w:t>
      </w:r>
    </w:p>
    <w:p w:rsidR="00391500" w:rsidRPr="00391500" w:rsidRDefault="00391500" w:rsidP="00391500">
      <w:pPr>
        <w:pStyle w:val="Heading4"/>
      </w:pPr>
      <w:r w:rsidRPr="00391500">
        <w:t>Due date for submissions</w:t>
      </w:r>
    </w:p>
    <w:p w:rsidR="00391500" w:rsidRDefault="00391500" w:rsidP="00391500">
      <w:pPr>
        <w:pStyle w:val="BodyText"/>
      </w:pPr>
      <w:r w:rsidRPr="006C28E0">
        <w:t xml:space="preserve">Please send submissions to the Commission by </w:t>
      </w:r>
      <w:r w:rsidR="00D13AC7">
        <w:rPr>
          <w:b/>
        </w:rPr>
        <w:t>19 April 2018</w:t>
      </w:r>
    </w:p>
    <w:sectPr w:rsidR="00391500" w:rsidSect="00C37B8E">
      <w:headerReference w:type="even" r:id="rId42"/>
      <w:headerReference w:type="default" r:id="rId43"/>
      <w:footerReference w:type="even" r:id="rId44"/>
      <w:footerReference w:type="default" r:id="rId45"/>
      <w:pgSz w:w="11907" w:h="16840" w:code="9"/>
      <w:pgMar w:top="1984"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ABE" w:rsidRDefault="00286ABE">
      <w:r>
        <w:separator/>
      </w:r>
    </w:p>
  </w:endnote>
  <w:endnote w:type="continuationSeparator" w:id="0">
    <w:p w:rsidR="00286ABE" w:rsidRDefault="00286ABE">
      <w:r>
        <w:continuationSeparator/>
      </w:r>
    </w:p>
  </w:endnote>
  <w:endnote w:type="continuationNotice" w:id="1">
    <w:p w:rsidR="00286ABE" w:rsidRDefault="00286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F4D" w:rsidRDefault="00B04F4D">
    <w:pPr>
      <w:pStyle w:val="FooterEnd"/>
    </w:pPr>
  </w:p>
  <w:p w:rsidR="00B04F4D" w:rsidRDefault="00B04F4D">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04F4D" w:rsidTr="00423F5C">
      <w:trPr>
        <w:trHeight w:hRule="exact" w:val="567"/>
      </w:trPr>
      <w:tc>
        <w:tcPr>
          <w:tcW w:w="510" w:type="dxa"/>
        </w:tcPr>
        <w:p w:rsidR="00B04F4D" w:rsidRPr="00A24443" w:rsidRDefault="00B04F4D" w:rsidP="00423F5C">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C3D8A">
            <w:rPr>
              <w:rStyle w:val="PageNumber"/>
              <w:caps w:val="0"/>
              <w:noProof/>
            </w:rPr>
            <w:t>38</w:t>
          </w:r>
          <w:r w:rsidRPr="00A24443">
            <w:rPr>
              <w:rStyle w:val="PageNumber"/>
              <w:caps w:val="0"/>
            </w:rPr>
            <w:fldChar w:fldCharType="end"/>
          </w:r>
        </w:p>
      </w:tc>
      <w:tc>
        <w:tcPr>
          <w:tcW w:w="7767" w:type="dxa"/>
        </w:tcPr>
        <w:p w:rsidR="00B04F4D" w:rsidRPr="0013739A" w:rsidRDefault="0032133C" w:rsidP="00423F5C">
          <w:pPr>
            <w:pStyle w:val="Footer"/>
            <w:rPr>
              <w:rFonts w:cs="Arial"/>
            </w:rPr>
          </w:pPr>
          <w:r>
            <w:rPr>
              <w:rFonts w:cs="Arial"/>
            </w:rPr>
            <w:t>murray darling basin plan</w:t>
          </w:r>
        </w:p>
      </w:tc>
      <w:tc>
        <w:tcPr>
          <w:tcW w:w="510" w:type="dxa"/>
        </w:tcPr>
        <w:p w:rsidR="00B04F4D" w:rsidRDefault="00B04F4D" w:rsidP="00423F5C">
          <w:pPr>
            <w:pStyle w:val="Footer"/>
          </w:pPr>
        </w:p>
      </w:tc>
    </w:tr>
  </w:tbl>
  <w:p w:rsidR="00B04F4D" w:rsidRDefault="00B04F4D" w:rsidP="009F6FCD">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04F4D" w:rsidTr="005F48ED">
      <w:trPr>
        <w:trHeight w:hRule="exact" w:val="567"/>
      </w:trPr>
      <w:tc>
        <w:tcPr>
          <w:tcW w:w="510" w:type="dxa"/>
        </w:tcPr>
        <w:p w:rsidR="00B04F4D" w:rsidRDefault="00B04F4D">
          <w:pPr>
            <w:pStyle w:val="Footer"/>
            <w:ind w:right="360" w:firstLine="360"/>
          </w:pPr>
        </w:p>
      </w:tc>
      <w:tc>
        <w:tcPr>
          <w:tcW w:w="7767" w:type="dxa"/>
        </w:tcPr>
        <w:p w:rsidR="00B04F4D" w:rsidRPr="00BA5B14" w:rsidRDefault="00B04F4D"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rsidR="00B04F4D" w:rsidRPr="00A24443" w:rsidRDefault="00B04F4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C3D8A">
            <w:rPr>
              <w:rStyle w:val="PageNumber"/>
              <w:caps w:val="0"/>
              <w:noProof/>
            </w:rPr>
            <w:t>37</w:t>
          </w:r>
          <w:r w:rsidRPr="00A24443">
            <w:rPr>
              <w:rStyle w:val="PageNumber"/>
              <w:caps w:val="0"/>
            </w:rPr>
            <w:fldChar w:fldCharType="end"/>
          </w:r>
        </w:p>
      </w:tc>
    </w:tr>
  </w:tbl>
  <w:p w:rsidR="00B04F4D" w:rsidRDefault="00B04F4D">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04F4D" w:rsidTr="005F48ED">
      <w:trPr>
        <w:trHeight w:hRule="exact" w:val="567"/>
      </w:trPr>
      <w:tc>
        <w:tcPr>
          <w:tcW w:w="510" w:type="dxa"/>
        </w:tcPr>
        <w:p w:rsidR="00B04F4D" w:rsidRPr="00A24443" w:rsidRDefault="00B04F4D"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C3D8A">
            <w:rPr>
              <w:rStyle w:val="PageNumber"/>
              <w:caps w:val="0"/>
              <w:noProof/>
            </w:rPr>
            <w:t>40</w:t>
          </w:r>
          <w:r w:rsidRPr="00A24443">
            <w:rPr>
              <w:rStyle w:val="PageNumber"/>
              <w:caps w:val="0"/>
            </w:rPr>
            <w:fldChar w:fldCharType="end"/>
          </w:r>
        </w:p>
      </w:tc>
      <w:tc>
        <w:tcPr>
          <w:tcW w:w="7767" w:type="dxa"/>
        </w:tcPr>
        <w:p w:rsidR="00B04F4D" w:rsidRPr="0013739A" w:rsidRDefault="00B04F4D" w:rsidP="0013739A">
          <w:pPr>
            <w:pStyle w:val="Footer"/>
            <w:rPr>
              <w:rFonts w:cs="Arial"/>
            </w:rPr>
          </w:pPr>
          <w:r>
            <w:rPr>
              <w:rFonts w:cs="Arial"/>
            </w:rPr>
            <w:t>murray darling basin plan</w:t>
          </w:r>
        </w:p>
      </w:tc>
      <w:tc>
        <w:tcPr>
          <w:tcW w:w="510" w:type="dxa"/>
        </w:tcPr>
        <w:p w:rsidR="00B04F4D" w:rsidRDefault="00B04F4D" w:rsidP="0019293B">
          <w:pPr>
            <w:pStyle w:val="Footer"/>
          </w:pPr>
        </w:p>
      </w:tc>
    </w:tr>
  </w:tbl>
  <w:p w:rsidR="00B04F4D" w:rsidRDefault="00B04F4D" w:rsidP="0019293B">
    <w:pPr>
      <w:pStyle w:val="FooterEn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04F4D" w:rsidTr="005F48ED">
      <w:trPr>
        <w:trHeight w:hRule="exact" w:val="567"/>
      </w:trPr>
      <w:tc>
        <w:tcPr>
          <w:tcW w:w="510" w:type="dxa"/>
        </w:tcPr>
        <w:p w:rsidR="00B04F4D" w:rsidRDefault="00B04F4D">
          <w:pPr>
            <w:pStyle w:val="Footer"/>
            <w:ind w:right="360" w:firstLine="360"/>
          </w:pPr>
        </w:p>
      </w:tc>
      <w:tc>
        <w:tcPr>
          <w:tcW w:w="7767" w:type="dxa"/>
        </w:tcPr>
        <w:p w:rsidR="00B04F4D" w:rsidRPr="00BA5B14" w:rsidRDefault="00B04F4D"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rsidR="00B04F4D" w:rsidRPr="00A24443" w:rsidRDefault="00B04F4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C3D8A">
            <w:rPr>
              <w:rStyle w:val="PageNumber"/>
              <w:caps w:val="0"/>
              <w:noProof/>
            </w:rPr>
            <w:t>39</w:t>
          </w:r>
          <w:r w:rsidRPr="00A24443">
            <w:rPr>
              <w:rStyle w:val="PageNumber"/>
              <w:caps w:val="0"/>
            </w:rPr>
            <w:fldChar w:fldCharType="end"/>
          </w:r>
        </w:p>
      </w:tc>
    </w:tr>
  </w:tbl>
  <w:p w:rsidR="00B04F4D" w:rsidRDefault="00B04F4D">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04F4D" w:rsidTr="005F48ED">
      <w:trPr>
        <w:trHeight w:hRule="exact" w:val="567"/>
      </w:trPr>
      <w:tc>
        <w:tcPr>
          <w:tcW w:w="510" w:type="dxa"/>
        </w:tcPr>
        <w:p w:rsidR="00B04F4D" w:rsidRDefault="00B04F4D" w:rsidP="0019293B">
          <w:pPr>
            <w:pStyle w:val="FooterEnd"/>
          </w:pPr>
        </w:p>
        <w:p w:rsidR="00B04F4D" w:rsidRPr="00A24443" w:rsidRDefault="00B04F4D"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E0DEA">
            <w:rPr>
              <w:rStyle w:val="PageNumber"/>
              <w:caps w:val="0"/>
              <w:noProof/>
            </w:rPr>
            <w:t>39</w:t>
          </w:r>
          <w:r w:rsidRPr="00A24443">
            <w:rPr>
              <w:rStyle w:val="PageNumber"/>
              <w:caps w:val="0"/>
            </w:rPr>
            <w:fldChar w:fldCharType="end"/>
          </w:r>
        </w:p>
      </w:tc>
      <w:tc>
        <w:tcPr>
          <w:tcW w:w="7767" w:type="dxa"/>
        </w:tcPr>
        <w:p w:rsidR="00B04F4D" w:rsidRPr="0013739A" w:rsidRDefault="00B04F4D" w:rsidP="0013739A">
          <w:pPr>
            <w:pStyle w:val="Footer"/>
            <w:rPr>
              <w:rFonts w:cs="Arial"/>
            </w:rPr>
          </w:pPr>
          <w:r>
            <w:rPr>
              <w:rFonts w:cs="Arial"/>
            </w:rPr>
            <w:t>murray-darling basin plan</w:t>
          </w:r>
        </w:p>
      </w:tc>
      <w:tc>
        <w:tcPr>
          <w:tcW w:w="510" w:type="dxa"/>
        </w:tcPr>
        <w:p w:rsidR="00B04F4D" w:rsidRDefault="00B04F4D" w:rsidP="0019293B">
          <w:pPr>
            <w:pStyle w:val="Footer"/>
          </w:pPr>
        </w:p>
      </w:tc>
    </w:tr>
  </w:tbl>
  <w:p w:rsidR="00B04F4D" w:rsidRDefault="00B04F4D" w:rsidP="0019293B">
    <w:pPr>
      <w:pStyle w:val="FooterEnd"/>
    </w:pPr>
  </w:p>
  <w:p w:rsidR="00B04F4D" w:rsidRDefault="00B04F4D" w:rsidP="0019293B">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04F4D" w:rsidTr="005F48ED">
      <w:trPr>
        <w:trHeight w:hRule="exact" w:val="567"/>
      </w:trPr>
      <w:tc>
        <w:tcPr>
          <w:tcW w:w="510" w:type="dxa"/>
        </w:tcPr>
        <w:p w:rsidR="00B04F4D" w:rsidRDefault="00B04F4D">
          <w:pPr>
            <w:pStyle w:val="Footer"/>
            <w:ind w:right="360" w:firstLine="360"/>
          </w:pPr>
        </w:p>
      </w:tc>
      <w:tc>
        <w:tcPr>
          <w:tcW w:w="7767" w:type="dxa"/>
        </w:tcPr>
        <w:p w:rsidR="00B04F4D" w:rsidRPr="00BA5B14" w:rsidRDefault="00B04F4D" w:rsidP="0013739A">
          <w:pPr>
            <w:pStyle w:val="Footer"/>
            <w:jc w:val="right"/>
            <w:rPr>
              <w:rFonts w:cs="Arial"/>
            </w:rPr>
          </w:pPr>
          <w:r>
            <w:rPr>
              <w:rFonts w:cs="Arial"/>
            </w:rPr>
            <w:t>Issues Paper</w:t>
          </w:r>
        </w:p>
      </w:tc>
      <w:tc>
        <w:tcPr>
          <w:tcW w:w="510" w:type="dxa"/>
        </w:tcPr>
        <w:p w:rsidR="00B04F4D" w:rsidRPr="00A24443" w:rsidRDefault="00B04F4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C3D8A">
            <w:rPr>
              <w:rStyle w:val="PageNumber"/>
              <w:caps w:val="0"/>
              <w:noProof/>
            </w:rPr>
            <w:t>iii</w:t>
          </w:r>
          <w:r w:rsidRPr="00A24443">
            <w:rPr>
              <w:rStyle w:val="PageNumber"/>
              <w:caps w:val="0"/>
            </w:rPr>
            <w:fldChar w:fldCharType="end"/>
          </w:r>
        </w:p>
      </w:tc>
    </w:tr>
  </w:tbl>
  <w:p w:rsidR="00B04F4D" w:rsidRDefault="00B04F4D">
    <w:pPr>
      <w:pStyle w:val="FooterEnd"/>
    </w:pPr>
  </w:p>
  <w:p w:rsidR="00B04F4D" w:rsidRDefault="00B04F4D">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04F4D" w:rsidTr="005F48ED">
      <w:trPr>
        <w:trHeight w:hRule="exact" w:val="567"/>
      </w:trPr>
      <w:tc>
        <w:tcPr>
          <w:tcW w:w="510" w:type="dxa"/>
        </w:tcPr>
        <w:p w:rsidR="00B04F4D" w:rsidRDefault="00B04F4D" w:rsidP="0019293B">
          <w:pPr>
            <w:pStyle w:val="FooterEnd"/>
          </w:pPr>
        </w:p>
        <w:p w:rsidR="00B04F4D" w:rsidRPr="00A24443" w:rsidRDefault="00B04F4D"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C3D8A">
            <w:rPr>
              <w:rStyle w:val="PageNumber"/>
              <w:caps w:val="0"/>
              <w:noProof/>
            </w:rPr>
            <w:t>4</w:t>
          </w:r>
          <w:r w:rsidRPr="00A24443">
            <w:rPr>
              <w:rStyle w:val="PageNumber"/>
              <w:caps w:val="0"/>
            </w:rPr>
            <w:fldChar w:fldCharType="end"/>
          </w:r>
        </w:p>
      </w:tc>
      <w:tc>
        <w:tcPr>
          <w:tcW w:w="7767" w:type="dxa"/>
        </w:tcPr>
        <w:p w:rsidR="00B04F4D" w:rsidRPr="0013739A" w:rsidRDefault="00B04F4D" w:rsidP="0013739A">
          <w:pPr>
            <w:pStyle w:val="Footer"/>
            <w:rPr>
              <w:rFonts w:cs="Arial"/>
            </w:rPr>
          </w:pPr>
          <w:r>
            <w:rPr>
              <w:rFonts w:cs="Arial"/>
            </w:rPr>
            <w:t>murray-darling basin plan</w:t>
          </w:r>
        </w:p>
      </w:tc>
      <w:tc>
        <w:tcPr>
          <w:tcW w:w="510" w:type="dxa"/>
        </w:tcPr>
        <w:p w:rsidR="00B04F4D" w:rsidRDefault="00B04F4D" w:rsidP="0019293B">
          <w:pPr>
            <w:pStyle w:val="Footer"/>
          </w:pPr>
        </w:p>
      </w:tc>
    </w:tr>
  </w:tbl>
  <w:p w:rsidR="00B04F4D" w:rsidRDefault="00B04F4D"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04F4D" w:rsidTr="005F48ED">
      <w:trPr>
        <w:trHeight w:hRule="exact" w:val="567"/>
      </w:trPr>
      <w:tc>
        <w:tcPr>
          <w:tcW w:w="510" w:type="dxa"/>
        </w:tcPr>
        <w:p w:rsidR="00B04F4D" w:rsidRDefault="00B04F4D">
          <w:pPr>
            <w:pStyle w:val="Footer"/>
            <w:ind w:right="360" w:firstLine="360"/>
          </w:pPr>
        </w:p>
      </w:tc>
      <w:tc>
        <w:tcPr>
          <w:tcW w:w="7767" w:type="dxa"/>
        </w:tcPr>
        <w:p w:rsidR="00B04F4D" w:rsidRPr="00BA5B14" w:rsidRDefault="00B04F4D" w:rsidP="0013739A">
          <w:pPr>
            <w:pStyle w:val="Footer"/>
            <w:jc w:val="right"/>
            <w:rPr>
              <w:rFonts w:cs="Arial"/>
            </w:rPr>
          </w:pPr>
          <w:r>
            <w:rPr>
              <w:rFonts w:cs="Arial"/>
            </w:rPr>
            <w:t>Issues Paper</w:t>
          </w:r>
        </w:p>
      </w:tc>
      <w:tc>
        <w:tcPr>
          <w:tcW w:w="510" w:type="dxa"/>
        </w:tcPr>
        <w:p w:rsidR="00B04F4D" w:rsidRPr="00A24443" w:rsidRDefault="00B04F4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C3D8A">
            <w:rPr>
              <w:rStyle w:val="PageNumber"/>
              <w:caps w:val="0"/>
              <w:noProof/>
            </w:rPr>
            <w:t>5</w:t>
          </w:r>
          <w:r w:rsidRPr="00A24443">
            <w:rPr>
              <w:rStyle w:val="PageNumber"/>
              <w:caps w:val="0"/>
            </w:rPr>
            <w:fldChar w:fldCharType="end"/>
          </w:r>
        </w:p>
      </w:tc>
    </w:tr>
  </w:tbl>
  <w:p w:rsidR="00B04F4D" w:rsidRDefault="00B04F4D">
    <w:pPr>
      <w:pStyle w:val="FooterEnd"/>
    </w:pPr>
  </w:p>
  <w:p w:rsidR="00B04F4D" w:rsidRDefault="00B04F4D">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F4D" w:rsidRDefault="00B04F4D" w:rsidP="00563B55">
    <w:pPr>
      <w:pStyle w:val="Footer"/>
      <w:framePr w:wrap="around" w:vAnchor="text" w:hAnchor="page" w:x="1261" w:y="-209"/>
      <w:rPr>
        <w:rStyle w:val="PageNumber"/>
      </w:rPr>
    </w:pPr>
    <w:r>
      <w:rPr>
        <w:rStyle w:val="PageNumber"/>
      </w:rPr>
      <w:fldChar w:fldCharType="begin"/>
    </w:r>
    <w:r>
      <w:rPr>
        <w:rStyle w:val="PageNumber"/>
      </w:rPr>
      <w:instrText xml:space="preserve">PAGE  </w:instrText>
    </w:r>
    <w:r>
      <w:rPr>
        <w:rStyle w:val="PageNumber"/>
      </w:rPr>
      <w:fldChar w:fldCharType="separate"/>
    </w:r>
    <w:r w:rsidR="00BC3D8A">
      <w:rPr>
        <w:rStyle w:val="PageNumber"/>
        <w:noProof/>
      </w:rPr>
      <w:t>6</w:t>
    </w:r>
    <w:r>
      <w:rPr>
        <w:rStyle w:val="PageNumber"/>
      </w:rPr>
      <w:fldChar w:fldCharType="end"/>
    </w:r>
  </w:p>
  <w:p w:rsidR="00B04F4D" w:rsidRDefault="00B04F4D">
    <w:pPr>
      <w:pStyle w:val="FooterEnd"/>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F4D" w:rsidRDefault="00B04F4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B04F4D" w:rsidRDefault="00B04F4D">
    <w:pPr>
      <w:pStyle w:val="Footer"/>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04F4D" w:rsidTr="00635A9C">
      <w:trPr>
        <w:trHeight w:hRule="exact" w:val="567"/>
      </w:trPr>
      <w:tc>
        <w:tcPr>
          <w:tcW w:w="510" w:type="dxa"/>
        </w:tcPr>
        <w:p w:rsidR="00B04F4D" w:rsidRPr="00A24443" w:rsidRDefault="00B04F4D" w:rsidP="00635A9C">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C3D8A">
            <w:rPr>
              <w:rStyle w:val="PageNumber"/>
              <w:caps w:val="0"/>
              <w:noProof/>
            </w:rPr>
            <w:t>26</w:t>
          </w:r>
          <w:r w:rsidRPr="00A24443">
            <w:rPr>
              <w:rStyle w:val="PageNumber"/>
              <w:caps w:val="0"/>
            </w:rPr>
            <w:fldChar w:fldCharType="end"/>
          </w:r>
        </w:p>
      </w:tc>
      <w:tc>
        <w:tcPr>
          <w:tcW w:w="7767" w:type="dxa"/>
        </w:tcPr>
        <w:p w:rsidR="00B04F4D" w:rsidRPr="0013739A" w:rsidRDefault="005D7A6B" w:rsidP="00635A9C">
          <w:pPr>
            <w:pStyle w:val="Footer"/>
            <w:rPr>
              <w:rFonts w:cs="Arial"/>
            </w:rPr>
          </w:pPr>
          <w:bookmarkStart w:id="74" w:name="DraftReportEven"/>
          <w:bookmarkEnd w:id="74"/>
          <w:r>
            <w:rPr>
              <w:rFonts w:cs="Arial"/>
            </w:rPr>
            <w:t>Murray-</w:t>
          </w:r>
          <w:r w:rsidR="00B04F4D">
            <w:rPr>
              <w:rFonts w:cs="Arial"/>
            </w:rPr>
            <w:t>darling basin plan</w:t>
          </w:r>
        </w:p>
      </w:tc>
      <w:tc>
        <w:tcPr>
          <w:tcW w:w="510" w:type="dxa"/>
        </w:tcPr>
        <w:p w:rsidR="00B04F4D" w:rsidRDefault="00B04F4D" w:rsidP="00635A9C">
          <w:pPr>
            <w:pStyle w:val="Footer"/>
          </w:pPr>
        </w:p>
      </w:tc>
    </w:tr>
  </w:tbl>
  <w:p w:rsidR="00B04F4D" w:rsidRDefault="00B04F4D">
    <w:pPr>
      <w:pStyle w:val="FooterEnd"/>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04F4D" w:rsidTr="005F48ED">
      <w:trPr>
        <w:trHeight w:hRule="exact" w:val="567"/>
      </w:trPr>
      <w:tc>
        <w:tcPr>
          <w:tcW w:w="510" w:type="dxa"/>
        </w:tcPr>
        <w:p w:rsidR="00B04F4D" w:rsidRDefault="00B04F4D">
          <w:pPr>
            <w:pStyle w:val="Footer"/>
            <w:ind w:right="360" w:firstLine="360"/>
          </w:pPr>
        </w:p>
      </w:tc>
      <w:tc>
        <w:tcPr>
          <w:tcW w:w="7767" w:type="dxa"/>
        </w:tcPr>
        <w:p w:rsidR="00B04F4D" w:rsidRPr="00BA5B14" w:rsidRDefault="00B04F4D" w:rsidP="0013739A">
          <w:pPr>
            <w:pStyle w:val="Footer"/>
            <w:jc w:val="right"/>
            <w:rPr>
              <w:rFonts w:cs="Arial"/>
            </w:rPr>
          </w:pPr>
          <w:r>
            <w:rPr>
              <w:rFonts w:cs="Arial"/>
            </w:rPr>
            <w:t>Issues Paper</w:t>
          </w:r>
        </w:p>
      </w:tc>
      <w:tc>
        <w:tcPr>
          <w:tcW w:w="510" w:type="dxa"/>
        </w:tcPr>
        <w:p w:rsidR="00B04F4D" w:rsidRDefault="00B04F4D">
          <w:pPr>
            <w:pStyle w:val="Footer"/>
            <w:jc w:val="right"/>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C3D8A">
            <w:rPr>
              <w:rStyle w:val="PageNumber"/>
              <w:caps w:val="0"/>
              <w:noProof/>
            </w:rPr>
            <w:t>27</w:t>
          </w:r>
          <w:r w:rsidRPr="00A24443">
            <w:rPr>
              <w:rStyle w:val="PageNumber"/>
              <w:caps w:val="0"/>
            </w:rPr>
            <w:fldChar w:fldCharType="end"/>
          </w:r>
        </w:p>
        <w:p w:rsidR="00B04F4D" w:rsidRPr="00A24443" w:rsidRDefault="00B04F4D">
          <w:pPr>
            <w:pStyle w:val="Footer"/>
            <w:jc w:val="right"/>
            <w:rPr>
              <w:caps w:val="0"/>
            </w:rPr>
          </w:pPr>
        </w:p>
      </w:tc>
    </w:tr>
  </w:tbl>
  <w:p w:rsidR="00B04F4D" w:rsidRDefault="00B04F4D">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ABE" w:rsidRDefault="00286ABE">
      <w:r>
        <w:separator/>
      </w:r>
    </w:p>
  </w:footnote>
  <w:footnote w:type="continuationSeparator" w:id="0">
    <w:p w:rsidR="00286ABE" w:rsidRDefault="00286ABE">
      <w:r>
        <w:continuationSeparator/>
      </w:r>
    </w:p>
  </w:footnote>
  <w:footnote w:type="continuationNotice" w:id="1">
    <w:p w:rsidR="00286ABE" w:rsidRDefault="00286ABE"/>
  </w:footnote>
  <w:footnote w:id="2">
    <w:p w:rsidR="00B04F4D" w:rsidRDefault="00B04F4D" w:rsidP="00441D29">
      <w:pPr>
        <w:pStyle w:val="FootnoteText"/>
      </w:pPr>
      <w:r w:rsidRPr="00C45348">
        <w:rPr>
          <w:rStyle w:val="FootnoteReference"/>
        </w:rPr>
        <w:footnoteRef/>
      </w:r>
      <w:r>
        <w:tab/>
        <w:t>The Basin States are the jurisdictions of New South Wales, Victoria, Queensland, South Australia and the Australian Capital Territory</w:t>
      </w:r>
    </w:p>
  </w:footnote>
  <w:footnote w:id="3">
    <w:p w:rsidR="00B04F4D" w:rsidRDefault="00B04F4D">
      <w:pPr>
        <w:pStyle w:val="FootnoteText"/>
      </w:pPr>
      <w:r w:rsidRPr="00C45348">
        <w:rPr>
          <w:rStyle w:val="FootnoteReference"/>
        </w:rPr>
        <w:footnoteRef/>
      </w:r>
      <w:r>
        <w:tab/>
        <w:t xml:space="preserve">The list of approved </w:t>
      </w:r>
      <w:proofErr w:type="spellStart"/>
      <w:r>
        <w:t>SDL</w:t>
      </w:r>
      <w:proofErr w:type="spellEnd"/>
      <w:r>
        <w:t xml:space="preserve"> adjustment projects can be found on the </w:t>
      </w:r>
      <w:proofErr w:type="spellStart"/>
      <w:r>
        <w:t>MDBA’s</w:t>
      </w:r>
      <w:proofErr w:type="spellEnd"/>
      <w:r>
        <w:t xml:space="preserve"> website: &lt;</w:t>
      </w:r>
      <w:r w:rsidRPr="005A4A65">
        <w:t>https://www.mdba.gov.au/basin-plan-roll-out/sustainable-diversion-limits/sdl-adjustment-proposals-state-projects</w:t>
      </w:r>
      <w:r>
        <w:t>&gt;</w:t>
      </w:r>
    </w:p>
  </w:footnote>
  <w:footnote w:id="4">
    <w:p w:rsidR="00B04F4D" w:rsidRDefault="00B04F4D">
      <w:pPr>
        <w:pStyle w:val="FootnoteText"/>
      </w:pPr>
      <w:r w:rsidRPr="00C45348">
        <w:rPr>
          <w:rStyle w:val="FootnoteReference"/>
        </w:rPr>
        <w:footnoteRef/>
      </w:r>
      <w:r>
        <w:tab/>
        <w:t>These measures have been assessed</w:t>
      </w:r>
      <w:r w:rsidR="00B71553">
        <w:t xml:space="preserve"> as</w:t>
      </w:r>
      <w:r>
        <w:t xml:space="preserve"> constraints-as-supply measures, meaning they contribute to the supply measures assessment. The proposals to investigate constraints in the </w:t>
      </w:r>
      <w:proofErr w:type="spellStart"/>
      <w:r>
        <w:t>SDL</w:t>
      </w:r>
      <w:proofErr w:type="spellEnd"/>
      <w:r>
        <w:t xml:space="preserve"> adjustments package represents a change in responsibilities to the 2013 Basin Plan Implementation Agreement where the </w:t>
      </w:r>
      <w:proofErr w:type="spellStart"/>
      <w:r>
        <w:t>MDBA</w:t>
      </w:r>
      <w:proofErr w:type="spellEnd"/>
      <w:r>
        <w:t xml:space="preserve"> was responsible for developing and evaluating options to lift constraints.</w:t>
      </w:r>
    </w:p>
  </w:footnote>
  <w:footnote w:id="5">
    <w:p w:rsidR="00B04F4D" w:rsidRDefault="00B04F4D" w:rsidP="00213FF3">
      <w:pPr>
        <w:pStyle w:val="FootnoteText"/>
      </w:pPr>
      <w:r w:rsidRPr="00C45348">
        <w:rPr>
          <w:rStyle w:val="FootnoteReference"/>
        </w:rPr>
        <w:footnoteRef/>
      </w:r>
      <w:r>
        <w:tab/>
        <w:t>Recovered w</w:t>
      </w:r>
      <w:r w:rsidRPr="00E10288">
        <w:t xml:space="preserve">ater </w:t>
      </w:r>
      <w:r>
        <w:t>holdings are reported as</w:t>
      </w:r>
      <w:r w:rsidRPr="00E10288">
        <w:t xml:space="preserve"> </w:t>
      </w:r>
      <w:r>
        <w:t>long-term average annual yields (</w:t>
      </w:r>
      <w:proofErr w:type="spellStart"/>
      <w:r w:rsidRPr="00E10288">
        <w:t>LTAAY</w:t>
      </w:r>
      <w:r>
        <w:t>s</w:t>
      </w:r>
      <w:proofErr w:type="spellEnd"/>
      <w:r>
        <w:t>)</w:t>
      </w:r>
      <w:r w:rsidRPr="00E10288">
        <w:t xml:space="preserve">, which </w:t>
      </w:r>
      <w:r>
        <w:t>represent the average quantity of water allocated to a water entitlement each year.</w:t>
      </w:r>
    </w:p>
  </w:footnote>
  <w:footnote w:id="6">
    <w:p w:rsidR="00B04F4D" w:rsidRPr="00212381" w:rsidRDefault="00B04F4D" w:rsidP="00724054">
      <w:pPr>
        <w:ind w:left="284" w:hanging="284"/>
        <w:rPr>
          <w:sz w:val="20"/>
        </w:rPr>
      </w:pPr>
      <w:r w:rsidRPr="00C45348">
        <w:rPr>
          <w:rStyle w:val="FootnoteReference"/>
        </w:rPr>
        <w:footnoteRef/>
      </w:r>
      <w:r>
        <w:tab/>
      </w:r>
      <w:r w:rsidRPr="00DE5D29">
        <w:rPr>
          <w:sz w:val="20"/>
        </w:rPr>
        <w:t>Approximately $</w:t>
      </w:r>
      <w:proofErr w:type="spellStart"/>
      <w:r w:rsidRPr="00DE5D29">
        <w:rPr>
          <w:sz w:val="20"/>
        </w:rPr>
        <w:t>15m</w:t>
      </w:r>
      <w:proofErr w:type="spellEnd"/>
      <w:r w:rsidRPr="00DE5D29">
        <w:rPr>
          <w:sz w:val="20"/>
        </w:rPr>
        <w:t xml:space="preserve"> of this funding was allocated to Queensland, $</w:t>
      </w:r>
      <w:proofErr w:type="spellStart"/>
      <w:r w:rsidRPr="00DE5D29">
        <w:rPr>
          <w:sz w:val="20"/>
        </w:rPr>
        <w:t>33m</w:t>
      </w:r>
      <w:proofErr w:type="spellEnd"/>
      <w:r w:rsidRPr="00DE5D29">
        <w:rPr>
          <w:sz w:val="20"/>
        </w:rPr>
        <w:t xml:space="preserve"> to New South Wales and $</w:t>
      </w:r>
      <w:proofErr w:type="spellStart"/>
      <w:r w:rsidRPr="00DE5D29">
        <w:rPr>
          <w:sz w:val="20"/>
        </w:rPr>
        <w:t>25m</w:t>
      </w:r>
      <w:proofErr w:type="spellEnd"/>
      <w:r w:rsidRPr="00DE5D29">
        <w:rPr>
          <w:sz w:val="20"/>
        </w:rPr>
        <w:t xml:space="preserve"> to Victoria. No funding </w:t>
      </w:r>
      <w:r>
        <w:rPr>
          <w:sz w:val="20"/>
        </w:rPr>
        <w:t>has been</w:t>
      </w:r>
      <w:r w:rsidRPr="00DE5D29" w:rsidDel="00F27706">
        <w:rPr>
          <w:sz w:val="20"/>
        </w:rPr>
        <w:t xml:space="preserve"> </w:t>
      </w:r>
      <w:r>
        <w:rPr>
          <w:sz w:val="20"/>
        </w:rPr>
        <w:t>committed</w:t>
      </w:r>
      <w:r w:rsidRPr="00DE5D29">
        <w:rPr>
          <w:sz w:val="20"/>
        </w:rPr>
        <w:t xml:space="preserve"> to South Australia or the ACT </w:t>
      </w:r>
      <w:r w:rsidR="00885F6C" w:rsidRPr="00885F6C">
        <w:rPr>
          <w:sz w:val="20"/>
        </w:rPr>
        <w:t>(</w:t>
      </w:r>
      <w:proofErr w:type="spellStart"/>
      <w:r w:rsidR="00885F6C" w:rsidRPr="00885F6C">
        <w:rPr>
          <w:sz w:val="20"/>
        </w:rPr>
        <w:t>DIRDC</w:t>
      </w:r>
      <w:proofErr w:type="spellEnd"/>
      <w:r w:rsidR="00885F6C" w:rsidRPr="00885F6C">
        <w:rPr>
          <w:sz w:val="20"/>
        </w:rPr>
        <w:t> 2017)</w:t>
      </w:r>
      <w:r w:rsidRPr="00212381">
        <w:rPr>
          <w:sz w:val="20"/>
        </w:rPr>
        <w:t>.</w:t>
      </w:r>
    </w:p>
  </w:footnote>
  <w:footnote w:id="7">
    <w:p w:rsidR="00B04F4D" w:rsidRDefault="00B04F4D">
      <w:pPr>
        <w:pStyle w:val="FootnoteText"/>
      </w:pPr>
      <w:r w:rsidRPr="00C45348">
        <w:rPr>
          <w:rStyle w:val="FootnoteReference"/>
        </w:rPr>
        <w:footnoteRef/>
      </w:r>
      <w:r>
        <w:tab/>
        <w:t xml:space="preserve">The Basin Plan Amendment Instrument 2017 changed the number of </w:t>
      </w:r>
      <w:proofErr w:type="spellStart"/>
      <w:r>
        <w:t>WRP</w:t>
      </w:r>
      <w:proofErr w:type="spellEnd"/>
      <w:r>
        <w:t xml:space="preserve"> areas from 36 to 33 by merging Eastern Porous Rock with Western Porous Rock to form NSW Murray Darling Basin Porous Rock ground water </w:t>
      </w:r>
      <w:proofErr w:type="spellStart"/>
      <w:r>
        <w:t>WRP</w:t>
      </w:r>
      <w:proofErr w:type="spellEnd"/>
      <w:r>
        <w:t xml:space="preserve"> area, Lachlan and South Western Fractured Rock with New England Fractured Rock and Northern Basalts to form NSW Murray-Darling Basin Fractured Rock groundwater </w:t>
      </w:r>
      <w:proofErr w:type="spellStart"/>
      <w:r>
        <w:t>WRP</w:t>
      </w:r>
      <w:proofErr w:type="spellEnd"/>
      <w:r>
        <w:t xml:space="preserve"> area and merging the surface and groundwater </w:t>
      </w:r>
      <w:proofErr w:type="spellStart"/>
      <w:r>
        <w:t>WRP</w:t>
      </w:r>
      <w:proofErr w:type="spellEnd"/>
      <w:r>
        <w:t xml:space="preserve"> areas of Moonie and Queensland Border Rivers. This amendment was disallowed by Parliament on 14 February 2018.</w:t>
      </w:r>
      <w:r w:rsidRPr="00DD6210">
        <w:t xml:space="preserve"> </w:t>
      </w:r>
    </w:p>
  </w:footnote>
  <w:footnote w:id="8">
    <w:p w:rsidR="00B04F4D" w:rsidRDefault="00B04F4D" w:rsidP="001E7336">
      <w:pPr>
        <w:pStyle w:val="FootnoteText"/>
      </w:pPr>
      <w:r w:rsidRPr="00C45348">
        <w:rPr>
          <w:rStyle w:val="FootnoteReference"/>
        </w:rPr>
        <w:footnoteRef/>
      </w:r>
      <w:r>
        <w:tab/>
      </w:r>
      <w:r w:rsidRPr="00B61A54">
        <w:t>Planned environmental</w:t>
      </w:r>
      <w:r>
        <w:t xml:space="preserve"> water is that which is used to achieve positive environmental outcomes through rules on consumptive water users or river operators that constrain the volume and timing of extractions or require releases from storages under certain conditions.</w:t>
      </w:r>
    </w:p>
  </w:footnote>
  <w:footnote w:id="9">
    <w:p w:rsidR="00B04F4D" w:rsidRDefault="00B04F4D" w:rsidP="001E7336">
      <w:pPr>
        <w:pStyle w:val="FootnoteText"/>
      </w:pPr>
      <w:r w:rsidRPr="00C45348">
        <w:rPr>
          <w:rStyle w:val="FootnoteReference"/>
        </w:rPr>
        <w:footnoteRef/>
      </w:r>
      <w:r>
        <w:tab/>
      </w:r>
      <w:r w:rsidRPr="00B61A54">
        <w:t xml:space="preserve">Held </w:t>
      </w:r>
      <w:r>
        <w:t xml:space="preserve">environmental water is that which governments possess and use specifically to achieve positive environmental outcomes. Held water is managed by environmental water holders established by governments, with the majority held by the </w:t>
      </w:r>
      <w:proofErr w:type="spellStart"/>
      <w:r>
        <w:t>CEWH</w:t>
      </w:r>
      <w:proofErr w:type="spellEnd"/>
      <w:r>
        <w:t>.</w:t>
      </w:r>
    </w:p>
  </w:footnote>
  <w:footnote w:id="10">
    <w:p w:rsidR="00B04F4D" w:rsidRDefault="00B04F4D">
      <w:pPr>
        <w:pStyle w:val="FootnoteText"/>
      </w:pPr>
      <w:r w:rsidRPr="00C45348">
        <w:rPr>
          <w:rStyle w:val="FootnoteReference"/>
        </w:rPr>
        <w:footnoteRef/>
      </w:r>
      <w:r>
        <w:tab/>
        <w:t>These targets are based on national water quality guidelines including those for drinking water, recreational water, and fresh and marine water.</w:t>
      </w:r>
    </w:p>
  </w:footnote>
  <w:footnote w:id="11">
    <w:p w:rsidR="00B04F4D" w:rsidRDefault="00B04F4D" w:rsidP="008E1B95">
      <w:pPr>
        <w:pStyle w:val="FootnoteText"/>
      </w:pPr>
      <w:r w:rsidRPr="00C45348">
        <w:rPr>
          <w:rStyle w:val="FootnoteReference"/>
        </w:rPr>
        <w:footnoteRef/>
      </w:r>
      <w:r>
        <w:tab/>
        <w:t>Water rights include water access entitlements, water allocations, water irrigation rights and water delivery rights.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B04F4D">
      <w:tc>
        <w:tcPr>
          <w:tcW w:w="2155" w:type="dxa"/>
          <w:tcBorders>
            <w:top w:val="single" w:sz="24" w:space="0" w:color="auto"/>
          </w:tcBorders>
        </w:tcPr>
        <w:p w:rsidR="00B04F4D" w:rsidRDefault="00B04F4D" w:rsidP="0019293B">
          <w:pPr>
            <w:pStyle w:val="HeaderEven"/>
          </w:pPr>
        </w:p>
      </w:tc>
      <w:tc>
        <w:tcPr>
          <w:tcW w:w="6634" w:type="dxa"/>
          <w:tcBorders>
            <w:top w:val="single" w:sz="6" w:space="0" w:color="auto"/>
          </w:tcBorders>
        </w:tcPr>
        <w:p w:rsidR="00B04F4D" w:rsidRDefault="00B04F4D" w:rsidP="0019293B">
          <w:pPr>
            <w:pStyle w:val="HeaderEven"/>
          </w:pPr>
        </w:p>
      </w:tc>
    </w:tr>
  </w:tbl>
  <w:p w:rsidR="00B04F4D" w:rsidRDefault="00B04F4D" w:rsidP="0019293B">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B04F4D">
      <w:tc>
        <w:tcPr>
          <w:tcW w:w="2155" w:type="dxa"/>
          <w:tcBorders>
            <w:top w:val="single" w:sz="24" w:space="0" w:color="auto"/>
          </w:tcBorders>
        </w:tcPr>
        <w:p w:rsidR="00B04F4D" w:rsidRDefault="00B04F4D" w:rsidP="0019293B">
          <w:pPr>
            <w:pStyle w:val="HeaderEven"/>
          </w:pPr>
        </w:p>
      </w:tc>
      <w:tc>
        <w:tcPr>
          <w:tcW w:w="6634" w:type="dxa"/>
          <w:tcBorders>
            <w:top w:val="single" w:sz="6" w:space="0" w:color="auto"/>
          </w:tcBorders>
        </w:tcPr>
        <w:p w:rsidR="00B04F4D" w:rsidRDefault="00B04F4D" w:rsidP="0019293B">
          <w:pPr>
            <w:pStyle w:val="HeaderEven"/>
          </w:pPr>
        </w:p>
      </w:tc>
    </w:tr>
  </w:tbl>
  <w:p w:rsidR="00B04F4D" w:rsidRDefault="00B04F4D" w:rsidP="0019293B">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04F4D">
      <w:tc>
        <w:tcPr>
          <w:tcW w:w="6634" w:type="dxa"/>
          <w:tcBorders>
            <w:top w:val="single" w:sz="6" w:space="0" w:color="auto"/>
          </w:tcBorders>
        </w:tcPr>
        <w:p w:rsidR="00B04F4D" w:rsidRDefault="00B04F4D" w:rsidP="00E669E2">
          <w:pPr>
            <w:pStyle w:val="HeaderOdd"/>
          </w:pPr>
        </w:p>
      </w:tc>
      <w:tc>
        <w:tcPr>
          <w:tcW w:w="2155" w:type="dxa"/>
          <w:tcBorders>
            <w:top w:val="single" w:sz="24" w:space="0" w:color="auto"/>
          </w:tcBorders>
        </w:tcPr>
        <w:p w:rsidR="00B04F4D" w:rsidRDefault="00B04F4D" w:rsidP="00E669E2">
          <w:pPr>
            <w:pStyle w:val="HeaderOdd"/>
          </w:pPr>
        </w:p>
      </w:tc>
    </w:tr>
  </w:tbl>
  <w:p w:rsidR="00B04F4D" w:rsidRDefault="00B04F4D"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04F4D">
      <w:tc>
        <w:tcPr>
          <w:tcW w:w="6634" w:type="dxa"/>
          <w:tcBorders>
            <w:top w:val="single" w:sz="6" w:space="0" w:color="auto"/>
          </w:tcBorders>
        </w:tcPr>
        <w:p w:rsidR="00B04F4D" w:rsidRDefault="00B04F4D" w:rsidP="00E669E2">
          <w:pPr>
            <w:pStyle w:val="HeaderOdd"/>
          </w:pPr>
        </w:p>
      </w:tc>
      <w:tc>
        <w:tcPr>
          <w:tcW w:w="2155" w:type="dxa"/>
          <w:tcBorders>
            <w:top w:val="single" w:sz="24" w:space="0" w:color="auto"/>
          </w:tcBorders>
        </w:tcPr>
        <w:p w:rsidR="00B04F4D" w:rsidRDefault="00B04F4D" w:rsidP="00E669E2">
          <w:pPr>
            <w:pStyle w:val="HeaderOdd"/>
          </w:pPr>
        </w:p>
      </w:tc>
    </w:tr>
  </w:tbl>
  <w:p w:rsidR="00B04F4D" w:rsidRDefault="00B04F4D"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04F4D">
      <w:tc>
        <w:tcPr>
          <w:tcW w:w="6634" w:type="dxa"/>
          <w:tcBorders>
            <w:top w:val="single" w:sz="6" w:space="0" w:color="auto"/>
          </w:tcBorders>
        </w:tcPr>
        <w:p w:rsidR="00B04F4D" w:rsidRDefault="00B04F4D" w:rsidP="00E669E2">
          <w:pPr>
            <w:pStyle w:val="HeaderOdd"/>
          </w:pPr>
        </w:p>
      </w:tc>
      <w:tc>
        <w:tcPr>
          <w:tcW w:w="2155" w:type="dxa"/>
          <w:tcBorders>
            <w:top w:val="single" w:sz="24" w:space="0" w:color="auto"/>
          </w:tcBorders>
        </w:tcPr>
        <w:p w:rsidR="00B04F4D" w:rsidRDefault="00B04F4D" w:rsidP="00E669E2">
          <w:pPr>
            <w:pStyle w:val="HeaderOdd"/>
          </w:pPr>
        </w:p>
      </w:tc>
    </w:tr>
  </w:tbl>
  <w:p w:rsidR="00B04F4D" w:rsidRDefault="00B04F4D" w:rsidP="009A5FC0">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F4D" w:rsidRDefault="00B04F4D">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F4D" w:rsidRDefault="00B04F4D">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B04F4D">
      <w:tc>
        <w:tcPr>
          <w:tcW w:w="2155" w:type="dxa"/>
          <w:tcBorders>
            <w:top w:val="single" w:sz="24" w:space="0" w:color="auto"/>
          </w:tcBorders>
        </w:tcPr>
        <w:p w:rsidR="00B04F4D" w:rsidRDefault="00B04F4D" w:rsidP="0019293B">
          <w:pPr>
            <w:pStyle w:val="HeaderEven"/>
          </w:pPr>
        </w:p>
      </w:tc>
      <w:tc>
        <w:tcPr>
          <w:tcW w:w="6634" w:type="dxa"/>
          <w:tcBorders>
            <w:top w:val="single" w:sz="6" w:space="0" w:color="auto"/>
          </w:tcBorders>
        </w:tcPr>
        <w:p w:rsidR="00B04F4D" w:rsidRDefault="00B04F4D" w:rsidP="0019293B">
          <w:pPr>
            <w:pStyle w:val="HeaderEven"/>
          </w:pPr>
        </w:p>
      </w:tc>
    </w:tr>
  </w:tbl>
  <w:p w:rsidR="00B04F4D" w:rsidRDefault="00B04F4D" w:rsidP="0019293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04F4D">
      <w:tc>
        <w:tcPr>
          <w:tcW w:w="6634" w:type="dxa"/>
          <w:tcBorders>
            <w:top w:val="single" w:sz="6" w:space="0" w:color="auto"/>
          </w:tcBorders>
        </w:tcPr>
        <w:p w:rsidR="00B04F4D" w:rsidRDefault="00B04F4D" w:rsidP="00E669E2">
          <w:pPr>
            <w:pStyle w:val="HeaderOdd"/>
          </w:pPr>
        </w:p>
      </w:tc>
      <w:tc>
        <w:tcPr>
          <w:tcW w:w="2155" w:type="dxa"/>
          <w:tcBorders>
            <w:top w:val="single" w:sz="24" w:space="0" w:color="auto"/>
          </w:tcBorders>
        </w:tcPr>
        <w:p w:rsidR="00B04F4D" w:rsidRDefault="00B04F4D" w:rsidP="00E669E2">
          <w:pPr>
            <w:pStyle w:val="HeaderOdd"/>
          </w:pPr>
        </w:p>
      </w:tc>
    </w:tr>
  </w:tbl>
  <w:p w:rsidR="00B04F4D" w:rsidRDefault="00B04F4D" w:rsidP="00E669E2">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B04F4D" w:rsidTr="00423F5C">
      <w:tc>
        <w:tcPr>
          <w:tcW w:w="2155" w:type="dxa"/>
          <w:tcBorders>
            <w:top w:val="single" w:sz="24" w:space="0" w:color="auto"/>
          </w:tcBorders>
        </w:tcPr>
        <w:p w:rsidR="00B04F4D" w:rsidRDefault="00B04F4D" w:rsidP="00423F5C">
          <w:pPr>
            <w:pStyle w:val="HeaderEven"/>
          </w:pPr>
        </w:p>
      </w:tc>
      <w:tc>
        <w:tcPr>
          <w:tcW w:w="6634" w:type="dxa"/>
          <w:tcBorders>
            <w:top w:val="single" w:sz="6" w:space="0" w:color="auto"/>
          </w:tcBorders>
        </w:tcPr>
        <w:p w:rsidR="00B04F4D" w:rsidRDefault="00B04F4D" w:rsidP="00423F5C">
          <w:pPr>
            <w:pStyle w:val="HeaderEven"/>
          </w:pPr>
        </w:p>
      </w:tc>
    </w:tr>
  </w:tbl>
  <w:p w:rsidR="00B04F4D" w:rsidRDefault="00B04F4D" w:rsidP="009F6FCD">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04F4D">
      <w:tc>
        <w:tcPr>
          <w:tcW w:w="6634" w:type="dxa"/>
          <w:tcBorders>
            <w:top w:val="single" w:sz="6" w:space="0" w:color="auto"/>
          </w:tcBorders>
        </w:tcPr>
        <w:p w:rsidR="00B04F4D" w:rsidRDefault="00B04F4D" w:rsidP="00E669E2">
          <w:pPr>
            <w:pStyle w:val="HeaderOdd"/>
          </w:pPr>
        </w:p>
      </w:tc>
      <w:tc>
        <w:tcPr>
          <w:tcW w:w="2155" w:type="dxa"/>
          <w:tcBorders>
            <w:top w:val="single" w:sz="24" w:space="0" w:color="auto"/>
          </w:tcBorders>
        </w:tcPr>
        <w:p w:rsidR="00B04F4D" w:rsidRDefault="00B04F4D" w:rsidP="00E669E2">
          <w:pPr>
            <w:pStyle w:val="HeaderOdd"/>
          </w:pPr>
        </w:p>
      </w:tc>
    </w:tr>
  </w:tbl>
  <w:p w:rsidR="00B04F4D" w:rsidRDefault="00B04F4D"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1A206C5B"/>
    <w:multiLevelType w:val="hybridMultilevel"/>
    <w:tmpl w:val="49EEC518"/>
    <w:lvl w:ilvl="0" w:tplc="7A1A9484">
      <w:start w:val="1"/>
      <w:numFmt w:val="lowerLetter"/>
      <w:lvlText w:val="%1."/>
      <w:lvlJc w:val="left"/>
      <w:pPr>
        <w:ind w:left="360" w:hanging="360"/>
      </w:pPr>
      <w:rPr>
        <w:rFonts w:ascii="Arial" w:eastAsia="Times New Roman" w:hAnsi="Aria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AB25CDE"/>
    <w:multiLevelType w:val="singleLevel"/>
    <w:tmpl w:val="3086CA22"/>
    <w:lvl w:ilvl="0">
      <w:start w:val="1"/>
      <w:numFmt w:val="decimal"/>
      <w:lvlText w:val="%1."/>
      <w:legacy w:legacy="1" w:legacySpace="0" w:legacyIndent="340"/>
      <w:lvlJc w:val="left"/>
      <w:pPr>
        <w:ind w:left="340" w:hanging="340"/>
      </w:pPr>
    </w:lvl>
  </w:abstractNum>
  <w:abstractNum w:abstractNumId="11">
    <w:nsid w:val="1AFF5AA9"/>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nsid w:val="28A50AFC"/>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2B674544"/>
    <w:multiLevelType w:val="hybridMultilevel"/>
    <w:tmpl w:val="527E183E"/>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nsid w:val="39E70E42"/>
    <w:multiLevelType w:val="hybridMultilevel"/>
    <w:tmpl w:val="40824060"/>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EF711C4"/>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07C5C17"/>
    <w:multiLevelType w:val="hybridMultilevel"/>
    <w:tmpl w:val="527E183E"/>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4B633A"/>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282058B"/>
    <w:multiLevelType w:val="hybridMultilevel"/>
    <w:tmpl w:val="7F8EFCD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nsid w:val="5E912A3E"/>
    <w:multiLevelType w:val="multilevel"/>
    <w:tmpl w:val="AAD8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11E76AB"/>
    <w:multiLevelType w:val="hybridMultilevel"/>
    <w:tmpl w:val="35B6DE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1">
    <w:nsid w:val="68FB4104"/>
    <w:multiLevelType w:val="hybridMultilevel"/>
    <w:tmpl w:val="7F8EFCD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092FBB"/>
    <w:multiLevelType w:val="multilevel"/>
    <w:tmpl w:val="A60ED9E4"/>
    <w:lvl w:ilvl="0">
      <w:start w:val="1"/>
      <w:numFmt w:val="bullet"/>
      <w:lvlText w:val=""/>
      <w:lvlJc w:val="left"/>
      <w:pPr>
        <w:tabs>
          <w:tab w:val="num" w:pos="1070"/>
        </w:tabs>
        <w:ind w:left="1070" w:hanging="360"/>
      </w:pPr>
      <w:rPr>
        <w:rFonts w:ascii="Symbol" w:hAnsi="Symbol" w:hint="default"/>
        <w:sz w:val="20"/>
      </w:rPr>
    </w:lvl>
    <w:lvl w:ilvl="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33">
    <w:nsid w:val="71C0191F"/>
    <w:multiLevelType w:val="hybridMultilevel"/>
    <w:tmpl w:val="7F8EFCD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9295A2A"/>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6">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6"/>
  </w:num>
  <w:num w:numId="2">
    <w:abstractNumId w:val="2"/>
  </w:num>
  <w:num w:numId="3">
    <w:abstractNumId w:val="3"/>
  </w:num>
  <w:num w:numId="4">
    <w:abstractNumId w:val="30"/>
  </w:num>
  <w:num w:numId="5">
    <w:abstractNumId w:val="25"/>
  </w:num>
  <w:num w:numId="6">
    <w:abstractNumId w:val="7"/>
  </w:num>
  <w:num w:numId="7">
    <w:abstractNumId w:val="24"/>
  </w:num>
  <w:num w:numId="8">
    <w:abstractNumId w:val="6"/>
  </w:num>
  <w:num w:numId="9">
    <w:abstractNumId w:val="5"/>
  </w:num>
  <w:num w:numId="10">
    <w:abstractNumId w:val="12"/>
  </w:num>
  <w:num w:numId="11">
    <w:abstractNumId w:val="14"/>
  </w:num>
  <w:num w:numId="12">
    <w:abstractNumId w:val="4"/>
  </w:num>
  <w:num w:numId="13">
    <w:abstractNumId w:val="26"/>
  </w:num>
  <w:num w:numId="14">
    <w:abstractNumId w:val="35"/>
  </w:num>
  <w:num w:numId="15">
    <w:abstractNumId w:val="28"/>
  </w:num>
  <w:num w:numId="16">
    <w:abstractNumId w:val="31"/>
  </w:num>
  <w:num w:numId="17">
    <w:abstractNumId w:val="18"/>
  </w:num>
  <w:num w:numId="18">
    <w:abstractNumId w:val="21"/>
  </w:num>
  <w:num w:numId="19">
    <w:abstractNumId w:val="33"/>
  </w:num>
  <w:num w:numId="20">
    <w:abstractNumId w:val="15"/>
  </w:num>
  <w:num w:numId="21">
    <w:abstractNumId w:val="20"/>
  </w:num>
  <w:num w:numId="22">
    <w:abstractNumId w:val="23"/>
  </w:num>
  <w:num w:numId="23">
    <w:abstractNumId w:val="17"/>
  </w:num>
  <w:num w:numId="24">
    <w:abstractNumId w:val="13"/>
  </w:num>
  <w:num w:numId="25">
    <w:abstractNumId w:val="36"/>
  </w:num>
  <w:num w:numId="26">
    <w:abstractNumId w:val="8"/>
  </w:num>
  <w:num w:numId="27">
    <w:abstractNumId w:val="22"/>
  </w:num>
  <w:num w:numId="28">
    <w:abstractNumId w:val="19"/>
  </w:num>
  <w:num w:numId="29">
    <w:abstractNumId w:val="9"/>
  </w:num>
  <w:num w:numId="30">
    <w:abstractNumId w:val="34"/>
  </w:num>
  <w:num w:numId="31">
    <w:abstractNumId w:val="29"/>
  </w:num>
  <w:num w:numId="32">
    <w:abstractNumId w:val="0"/>
  </w:num>
  <w:num w:numId="33">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34">
    <w:abstractNumId w:val="11"/>
  </w:num>
  <w:num w:numId="35">
    <w:abstractNumId w:val="32"/>
  </w:num>
  <w:num w:numId="36">
    <w:abstractNumId w:val="27"/>
  </w:num>
  <w:num w:numId="37">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7D2749"/>
    <w:rsid w:val="000000EA"/>
    <w:rsid w:val="00000462"/>
    <w:rsid w:val="0000070F"/>
    <w:rsid w:val="000008EB"/>
    <w:rsid w:val="000009BA"/>
    <w:rsid w:val="00000B78"/>
    <w:rsid w:val="00000B9C"/>
    <w:rsid w:val="00000D43"/>
    <w:rsid w:val="00000F5E"/>
    <w:rsid w:val="00001229"/>
    <w:rsid w:val="000023A1"/>
    <w:rsid w:val="000025A1"/>
    <w:rsid w:val="00002660"/>
    <w:rsid w:val="00002C97"/>
    <w:rsid w:val="00002D07"/>
    <w:rsid w:val="00002F44"/>
    <w:rsid w:val="0000348E"/>
    <w:rsid w:val="000035D9"/>
    <w:rsid w:val="00003846"/>
    <w:rsid w:val="00003B8E"/>
    <w:rsid w:val="00003CED"/>
    <w:rsid w:val="00003D86"/>
    <w:rsid w:val="00003F85"/>
    <w:rsid w:val="0000437D"/>
    <w:rsid w:val="000044EA"/>
    <w:rsid w:val="00004CFA"/>
    <w:rsid w:val="000050DE"/>
    <w:rsid w:val="0000587D"/>
    <w:rsid w:val="000058C7"/>
    <w:rsid w:val="00005A64"/>
    <w:rsid w:val="00005A9A"/>
    <w:rsid w:val="00005C1B"/>
    <w:rsid w:val="00005E86"/>
    <w:rsid w:val="00006416"/>
    <w:rsid w:val="00006DA6"/>
    <w:rsid w:val="0000712A"/>
    <w:rsid w:val="00007371"/>
    <w:rsid w:val="000075DF"/>
    <w:rsid w:val="00007992"/>
    <w:rsid w:val="00007B85"/>
    <w:rsid w:val="00007BEC"/>
    <w:rsid w:val="00010816"/>
    <w:rsid w:val="00010863"/>
    <w:rsid w:val="00010B75"/>
    <w:rsid w:val="00010F79"/>
    <w:rsid w:val="00011404"/>
    <w:rsid w:val="00011826"/>
    <w:rsid w:val="00011A2F"/>
    <w:rsid w:val="00011BFE"/>
    <w:rsid w:val="0001202F"/>
    <w:rsid w:val="000121E1"/>
    <w:rsid w:val="0001310C"/>
    <w:rsid w:val="00013186"/>
    <w:rsid w:val="0001389E"/>
    <w:rsid w:val="000139D1"/>
    <w:rsid w:val="00013B70"/>
    <w:rsid w:val="000146C7"/>
    <w:rsid w:val="00014B90"/>
    <w:rsid w:val="00014C34"/>
    <w:rsid w:val="00014E81"/>
    <w:rsid w:val="00015782"/>
    <w:rsid w:val="00015B71"/>
    <w:rsid w:val="000162C7"/>
    <w:rsid w:val="0001670C"/>
    <w:rsid w:val="0001687C"/>
    <w:rsid w:val="00016A7D"/>
    <w:rsid w:val="00017278"/>
    <w:rsid w:val="000175BF"/>
    <w:rsid w:val="00017961"/>
    <w:rsid w:val="00017A82"/>
    <w:rsid w:val="00017C3E"/>
    <w:rsid w:val="00017CC7"/>
    <w:rsid w:val="00017CE2"/>
    <w:rsid w:val="00017EF3"/>
    <w:rsid w:val="00020239"/>
    <w:rsid w:val="000205F4"/>
    <w:rsid w:val="000208A9"/>
    <w:rsid w:val="00020CC4"/>
    <w:rsid w:val="00021257"/>
    <w:rsid w:val="00021260"/>
    <w:rsid w:val="00021695"/>
    <w:rsid w:val="000216B8"/>
    <w:rsid w:val="000216E4"/>
    <w:rsid w:val="0002195F"/>
    <w:rsid w:val="0002210E"/>
    <w:rsid w:val="000227D5"/>
    <w:rsid w:val="000228D8"/>
    <w:rsid w:val="00022C52"/>
    <w:rsid w:val="0002327B"/>
    <w:rsid w:val="000232E1"/>
    <w:rsid w:val="0002349A"/>
    <w:rsid w:val="000237CA"/>
    <w:rsid w:val="00023C58"/>
    <w:rsid w:val="00023F32"/>
    <w:rsid w:val="00023F8C"/>
    <w:rsid w:val="00024201"/>
    <w:rsid w:val="000242A0"/>
    <w:rsid w:val="000245AA"/>
    <w:rsid w:val="00024683"/>
    <w:rsid w:val="000247E5"/>
    <w:rsid w:val="00025681"/>
    <w:rsid w:val="00025A51"/>
    <w:rsid w:val="00025A71"/>
    <w:rsid w:val="0002669D"/>
    <w:rsid w:val="00026952"/>
    <w:rsid w:val="00026B0B"/>
    <w:rsid w:val="00026BDD"/>
    <w:rsid w:val="00026F27"/>
    <w:rsid w:val="00030765"/>
    <w:rsid w:val="000307E7"/>
    <w:rsid w:val="00030DB0"/>
    <w:rsid w:val="0003104F"/>
    <w:rsid w:val="000316F8"/>
    <w:rsid w:val="00031801"/>
    <w:rsid w:val="0003188D"/>
    <w:rsid w:val="000318CC"/>
    <w:rsid w:val="00031954"/>
    <w:rsid w:val="0003223A"/>
    <w:rsid w:val="00032D56"/>
    <w:rsid w:val="00032D68"/>
    <w:rsid w:val="0003304D"/>
    <w:rsid w:val="00033286"/>
    <w:rsid w:val="000332DB"/>
    <w:rsid w:val="0003357E"/>
    <w:rsid w:val="00033778"/>
    <w:rsid w:val="000338A0"/>
    <w:rsid w:val="00034284"/>
    <w:rsid w:val="000345DA"/>
    <w:rsid w:val="00034654"/>
    <w:rsid w:val="00034888"/>
    <w:rsid w:val="00034AF8"/>
    <w:rsid w:val="00034C70"/>
    <w:rsid w:val="00035030"/>
    <w:rsid w:val="0003519E"/>
    <w:rsid w:val="00035258"/>
    <w:rsid w:val="000354BE"/>
    <w:rsid w:val="00035BBE"/>
    <w:rsid w:val="00035D26"/>
    <w:rsid w:val="00035F61"/>
    <w:rsid w:val="00035F90"/>
    <w:rsid w:val="00035FED"/>
    <w:rsid w:val="00035FFA"/>
    <w:rsid w:val="00036419"/>
    <w:rsid w:val="0003646D"/>
    <w:rsid w:val="0003664B"/>
    <w:rsid w:val="00036AA8"/>
    <w:rsid w:val="00036BA9"/>
    <w:rsid w:val="00036C00"/>
    <w:rsid w:val="00036CD3"/>
    <w:rsid w:val="0004015D"/>
    <w:rsid w:val="0004111F"/>
    <w:rsid w:val="00041303"/>
    <w:rsid w:val="00041613"/>
    <w:rsid w:val="00041B0F"/>
    <w:rsid w:val="0004223B"/>
    <w:rsid w:val="00042525"/>
    <w:rsid w:val="00042554"/>
    <w:rsid w:val="000431BD"/>
    <w:rsid w:val="0004326F"/>
    <w:rsid w:val="00043FC6"/>
    <w:rsid w:val="000440A0"/>
    <w:rsid w:val="000442CF"/>
    <w:rsid w:val="00044448"/>
    <w:rsid w:val="00044699"/>
    <w:rsid w:val="0004491E"/>
    <w:rsid w:val="00044F13"/>
    <w:rsid w:val="00045011"/>
    <w:rsid w:val="00045C16"/>
    <w:rsid w:val="0004629B"/>
    <w:rsid w:val="00046602"/>
    <w:rsid w:val="000467AB"/>
    <w:rsid w:val="000467C4"/>
    <w:rsid w:val="00046EF3"/>
    <w:rsid w:val="0004706C"/>
    <w:rsid w:val="00047311"/>
    <w:rsid w:val="000473CA"/>
    <w:rsid w:val="00047699"/>
    <w:rsid w:val="00047BA1"/>
    <w:rsid w:val="0005013E"/>
    <w:rsid w:val="00050766"/>
    <w:rsid w:val="00050830"/>
    <w:rsid w:val="00050B71"/>
    <w:rsid w:val="0005133A"/>
    <w:rsid w:val="00051EF6"/>
    <w:rsid w:val="00052328"/>
    <w:rsid w:val="00052556"/>
    <w:rsid w:val="00052979"/>
    <w:rsid w:val="00052CFD"/>
    <w:rsid w:val="00052E7F"/>
    <w:rsid w:val="000536A2"/>
    <w:rsid w:val="00053794"/>
    <w:rsid w:val="00053810"/>
    <w:rsid w:val="00053CAC"/>
    <w:rsid w:val="00053D80"/>
    <w:rsid w:val="00054315"/>
    <w:rsid w:val="00055077"/>
    <w:rsid w:val="00055435"/>
    <w:rsid w:val="00055438"/>
    <w:rsid w:val="00055DC7"/>
    <w:rsid w:val="00055ED2"/>
    <w:rsid w:val="00055ED5"/>
    <w:rsid w:val="0005642B"/>
    <w:rsid w:val="000565B3"/>
    <w:rsid w:val="000569FB"/>
    <w:rsid w:val="00056B42"/>
    <w:rsid w:val="00056BBF"/>
    <w:rsid w:val="00056CDC"/>
    <w:rsid w:val="00056D66"/>
    <w:rsid w:val="00057115"/>
    <w:rsid w:val="0005754E"/>
    <w:rsid w:val="00057874"/>
    <w:rsid w:val="00057BB5"/>
    <w:rsid w:val="00057D98"/>
    <w:rsid w:val="00057DA2"/>
    <w:rsid w:val="0006037B"/>
    <w:rsid w:val="000606A7"/>
    <w:rsid w:val="000608A9"/>
    <w:rsid w:val="00060F87"/>
    <w:rsid w:val="000617A4"/>
    <w:rsid w:val="000618AD"/>
    <w:rsid w:val="00061C87"/>
    <w:rsid w:val="00061F89"/>
    <w:rsid w:val="000622D8"/>
    <w:rsid w:val="000628D3"/>
    <w:rsid w:val="00062E36"/>
    <w:rsid w:val="00063454"/>
    <w:rsid w:val="0006396C"/>
    <w:rsid w:val="00063B91"/>
    <w:rsid w:val="000641F3"/>
    <w:rsid w:val="00065721"/>
    <w:rsid w:val="0006592B"/>
    <w:rsid w:val="00065953"/>
    <w:rsid w:val="00065999"/>
    <w:rsid w:val="000659F7"/>
    <w:rsid w:val="00065C0E"/>
    <w:rsid w:val="0006645D"/>
    <w:rsid w:val="000667DB"/>
    <w:rsid w:val="00066CA0"/>
    <w:rsid w:val="00066EAC"/>
    <w:rsid w:val="000671D1"/>
    <w:rsid w:val="00067518"/>
    <w:rsid w:val="00067833"/>
    <w:rsid w:val="000678C9"/>
    <w:rsid w:val="00067FFC"/>
    <w:rsid w:val="0007150B"/>
    <w:rsid w:val="0007150F"/>
    <w:rsid w:val="00071825"/>
    <w:rsid w:val="00071B4D"/>
    <w:rsid w:val="0007236F"/>
    <w:rsid w:val="0007251B"/>
    <w:rsid w:val="00072540"/>
    <w:rsid w:val="00072A52"/>
    <w:rsid w:val="00072BCB"/>
    <w:rsid w:val="00073060"/>
    <w:rsid w:val="000731D7"/>
    <w:rsid w:val="00073409"/>
    <w:rsid w:val="00073650"/>
    <w:rsid w:val="00074180"/>
    <w:rsid w:val="000741A4"/>
    <w:rsid w:val="00074746"/>
    <w:rsid w:val="00074DD8"/>
    <w:rsid w:val="00074FD4"/>
    <w:rsid w:val="000752A5"/>
    <w:rsid w:val="00075426"/>
    <w:rsid w:val="00075436"/>
    <w:rsid w:val="0007549A"/>
    <w:rsid w:val="00075636"/>
    <w:rsid w:val="00075664"/>
    <w:rsid w:val="00075827"/>
    <w:rsid w:val="00075EEB"/>
    <w:rsid w:val="00076522"/>
    <w:rsid w:val="000765E6"/>
    <w:rsid w:val="00076814"/>
    <w:rsid w:val="00076D25"/>
    <w:rsid w:val="00076E3A"/>
    <w:rsid w:val="000774E0"/>
    <w:rsid w:val="00077738"/>
    <w:rsid w:val="00077A7D"/>
    <w:rsid w:val="00077DBB"/>
    <w:rsid w:val="00077DDE"/>
    <w:rsid w:val="00080321"/>
    <w:rsid w:val="0008035A"/>
    <w:rsid w:val="00080861"/>
    <w:rsid w:val="000809C9"/>
    <w:rsid w:val="00080CF4"/>
    <w:rsid w:val="00080FC4"/>
    <w:rsid w:val="000810CC"/>
    <w:rsid w:val="00081485"/>
    <w:rsid w:val="000814D7"/>
    <w:rsid w:val="00081644"/>
    <w:rsid w:val="00081A07"/>
    <w:rsid w:val="00081A44"/>
    <w:rsid w:val="00081A69"/>
    <w:rsid w:val="00081C4E"/>
    <w:rsid w:val="00082486"/>
    <w:rsid w:val="00082585"/>
    <w:rsid w:val="000826AC"/>
    <w:rsid w:val="000828D6"/>
    <w:rsid w:val="00082E09"/>
    <w:rsid w:val="000831AD"/>
    <w:rsid w:val="000832E9"/>
    <w:rsid w:val="00083512"/>
    <w:rsid w:val="000836DA"/>
    <w:rsid w:val="00083A19"/>
    <w:rsid w:val="00083A60"/>
    <w:rsid w:val="00083E54"/>
    <w:rsid w:val="000848AD"/>
    <w:rsid w:val="0008507F"/>
    <w:rsid w:val="00085093"/>
    <w:rsid w:val="000854DB"/>
    <w:rsid w:val="00085BD8"/>
    <w:rsid w:val="00085EE0"/>
    <w:rsid w:val="0008699A"/>
    <w:rsid w:val="00086DB2"/>
    <w:rsid w:val="00087237"/>
    <w:rsid w:val="00087441"/>
    <w:rsid w:val="0008797B"/>
    <w:rsid w:val="00087A62"/>
    <w:rsid w:val="0009044E"/>
    <w:rsid w:val="00090608"/>
    <w:rsid w:val="00090CA2"/>
    <w:rsid w:val="00090EBF"/>
    <w:rsid w:val="00090F9D"/>
    <w:rsid w:val="000910F1"/>
    <w:rsid w:val="000916EA"/>
    <w:rsid w:val="000924D0"/>
    <w:rsid w:val="000926AD"/>
    <w:rsid w:val="00092926"/>
    <w:rsid w:val="000929A2"/>
    <w:rsid w:val="00092C21"/>
    <w:rsid w:val="00092F66"/>
    <w:rsid w:val="00093119"/>
    <w:rsid w:val="000931BD"/>
    <w:rsid w:val="00093832"/>
    <w:rsid w:val="000938F5"/>
    <w:rsid w:val="00093A8E"/>
    <w:rsid w:val="00093E5D"/>
    <w:rsid w:val="00094103"/>
    <w:rsid w:val="00094217"/>
    <w:rsid w:val="00094D89"/>
    <w:rsid w:val="00094FF4"/>
    <w:rsid w:val="00095663"/>
    <w:rsid w:val="000957E7"/>
    <w:rsid w:val="00096736"/>
    <w:rsid w:val="000968AC"/>
    <w:rsid w:val="00096AB5"/>
    <w:rsid w:val="00096D33"/>
    <w:rsid w:val="00096E55"/>
    <w:rsid w:val="00097788"/>
    <w:rsid w:val="0009783E"/>
    <w:rsid w:val="0009798C"/>
    <w:rsid w:val="00097C60"/>
    <w:rsid w:val="000A00C2"/>
    <w:rsid w:val="000A0340"/>
    <w:rsid w:val="000A0436"/>
    <w:rsid w:val="000A05B2"/>
    <w:rsid w:val="000A07AE"/>
    <w:rsid w:val="000A07F4"/>
    <w:rsid w:val="000A083D"/>
    <w:rsid w:val="000A0BA4"/>
    <w:rsid w:val="000A0D92"/>
    <w:rsid w:val="000A0DD9"/>
    <w:rsid w:val="000A1331"/>
    <w:rsid w:val="000A1514"/>
    <w:rsid w:val="000A1662"/>
    <w:rsid w:val="000A1986"/>
    <w:rsid w:val="000A1A4F"/>
    <w:rsid w:val="000A1A8D"/>
    <w:rsid w:val="000A2182"/>
    <w:rsid w:val="000A2B52"/>
    <w:rsid w:val="000A3230"/>
    <w:rsid w:val="000A3FDF"/>
    <w:rsid w:val="000A4150"/>
    <w:rsid w:val="000A51F8"/>
    <w:rsid w:val="000A5838"/>
    <w:rsid w:val="000A6609"/>
    <w:rsid w:val="000A67F1"/>
    <w:rsid w:val="000A6B5A"/>
    <w:rsid w:val="000A6CF1"/>
    <w:rsid w:val="000A6E24"/>
    <w:rsid w:val="000A7049"/>
    <w:rsid w:val="000A70B8"/>
    <w:rsid w:val="000A738C"/>
    <w:rsid w:val="000A74D0"/>
    <w:rsid w:val="000A75D7"/>
    <w:rsid w:val="000A7855"/>
    <w:rsid w:val="000A7A05"/>
    <w:rsid w:val="000A7BCE"/>
    <w:rsid w:val="000B0527"/>
    <w:rsid w:val="000B07E6"/>
    <w:rsid w:val="000B088F"/>
    <w:rsid w:val="000B0C1B"/>
    <w:rsid w:val="000B0D3F"/>
    <w:rsid w:val="000B1022"/>
    <w:rsid w:val="000B216C"/>
    <w:rsid w:val="000B28DB"/>
    <w:rsid w:val="000B290B"/>
    <w:rsid w:val="000B29D9"/>
    <w:rsid w:val="000B304D"/>
    <w:rsid w:val="000B30A7"/>
    <w:rsid w:val="000B32AB"/>
    <w:rsid w:val="000B3D8A"/>
    <w:rsid w:val="000B3DB5"/>
    <w:rsid w:val="000B3E12"/>
    <w:rsid w:val="000B3E6F"/>
    <w:rsid w:val="000B41E1"/>
    <w:rsid w:val="000B42E3"/>
    <w:rsid w:val="000B4730"/>
    <w:rsid w:val="000B4909"/>
    <w:rsid w:val="000B4A08"/>
    <w:rsid w:val="000B4A6A"/>
    <w:rsid w:val="000B4C74"/>
    <w:rsid w:val="000B4D4E"/>
    <w:rsid w:val="000B560B"/>
    <w:rsid w:val="000B5E76"/>
    <w:rsid w:val="000B601B"/>
    <w:rsid w:val="000B6134"/>
    <w:rsid w:val="000B68C6"/>
    <w:rsid w:val="000B6B0A"/>
    <w:rsid w:val="000B6D4B"/>
    <w:rsid w:val="000B6E8A"/>
    <w:rsid w:val="000B70F1"/>
    <w:rsid w:val="000B7335"/>
    <w:rsid w:val="000B734F"/>
    <w:rsid w:val="000B7A76"/>
    <w:rsid w:val="000B7C66"/>
    <w:rsid w:val="000B7ED4"/>
    <w:rsid w:val="000C0332"/>
    <w:rsid w:val="000C096A"/>
    <w:rsid w:val="000C0BC0"/>
    <w:rsid w:val="000C0D5D"/>
    <w:rsid w:val="000C100A"/>
    <w:rsid w:val="000C1499"/>
    <w:rsid w:val="000C16BC"/>
    <w:rsid w:val="000C207E"/>
    <w:rsid w:val="000C2105"/>
    <w:rsid w:val="000C21F5"/>
    <w:rsid w:val="000C22B5"/>
    <w:rsid w:val="000C278D"/>
    <w:rsid w:val="000C2C53"/>
    <w:rsid w:val="000C2EF1"/>
    <w:rsid w:val="000C3211"/>
    <w:rsid w:val="000C3D51"/>
    <w:rsid w:val="000C475E"/>
    <w:rsid w:val="000C4D29"/>
    <w:rsid w:val="000C4E3A"/>
    <w:rsid w:val="000C50D6"/>
    <w:rsid w:val="000C56A3"/>
    <w:rsid w:val="000C5727"/>
    <w:rsid w:val="000C680F"/>
    <w:rsid w:val="000C6893"/>
    <w:rsid w:val="000C70CE"/>
    <w:rsid w:val="000C78AD"/>
    <w:rsid w:val="000C7A79"/>
    <w:rsid w:val="000D006E"/>
    <w:rsid w:val="000D0A2A"/>
    <w:rsid w:val="000D0C00"/>
    <w:rsid w:val="000D1485"/>
    <w:rsid w:val="000D188A"/>
    <w:rsid w:val="000D1D31"/>
    <w:rsid w:val="000D2054"/>
    <w:rsid w:val="000D2239"/>
    <w:rsid w:val="000D2267"/>
    <w:rsid w:val="000D24D9"/>
    <w:rsid w:val="000D26FA"/>
    <w:rsid w:val="000D2D03"/>
    <w:rsid w:val="000D2D15"/>
    <w:rsid w:val="000D36FC"/>
    <w:rsid w:val="000D41E9"/>
    <w:rsid w:val="000D42D5"/>
    <w:rsid w:val="000D43D1"/>
    <w:rsid w:val="000D453D"/>
    <w:rsid w:val="000D474B"/>
    <w:rsid w:val="000D48D7"/>
    <w:rsid w:val="000D4AB9"/>
    <w:rsid w:val="000D4D43"/>
    <w:rsid w:val="000D5662"/>
    <w:rsid w:val="000D590A"/>
    <w:rsid w:val="000D5CA1"/>
    <w:rsid w:val="000D5D0E"/>
    <w:rsid w:val="000D5E24"/>
    <w:rsid w:val="000D6235"/>
    <w:rsid w:val="000D63F5"/>
    <w:rsid w:val="000D64F5"/>
    <w:rsid w:val="000D64F9"/>
    <w:rsid w:val="000D784B"/>
    <w:rsid w:val="000D7901"/>
    <w:rsid w:val="000D7A65"/>
    <w:rsid w:val="000E01C7"/>
    <w:rsid w:val="000E0239"/>
    <w:rsid w:val="000E0370"/>
    <w:rsid w:val="000E047F"/>
    <w:rsid w:val="000E04F2"/>
    <w:rsid w:val="000E05B8"/>
    <w:rsid w:val="000E0D4C"/>
    <w:rsid w:val="000E0D4F"/>
    <w:rsid w:val="000E10A7"/>
    <w:rsid w:val="000E1361"/>
    <w:rsid w:val="000E17A0"/>
    <w:rsid w:val="000E1864"/>
    <w:rsid w:val="000E2429"/>
    <w:rsid w:val="000E29DE"/>
    <w:rsid w:val="000E2B64"/>
    <w:rsid w:val="000E2B7A"/>
    <w:rsid w:val="000E3039"/>
    <w:rsid w:val="000E37A3"/>
    <w:rsid w:val="000E408A"/>
    <w:rsid w:val="000E40DE"/>
    <w:rsid w:val="000E43FE"/>
    <w:rsid w:val="000E4473"/>
    <w:rsid w:val="000E51DB"/>
    <w:rsid w:val="000E5306"/>
    <w:rsid w:val="000E55C2"/>
    <w:rsid w:val="000E5753"/>
    <w:rsid w:val="000E5D11"/>
    <w:rsid w:val="000E5F7D"/>
    <w:rsid w:val="000E5FE0"/>
    <w:rsid w:val="000E678E"/>
    <w:rsid w:val="000E6796"/>
    <w:rsid w:val="000E68A8"/>
    <w:rsid w:val="000E6BEE"/>
    <w:rsid w:val="000E6F9C"/>
    <w:rsid w:val="000E7997"/>
    <w:rsid w:val="000E7BFF"/>
    <w:rsid w:val="000E7C99"/>
    <w:rsid w:val="000E7FCC"/>
    <w:rsid w:val="000F0035"/>
    <w:rsid w:val="000F00AF"/>
    <w:rsid w:val="000F047E"/>
    <w:rsid w:val="000F0AFD"/>
    <w:rsid w:val="000F0D31"/>
    <w:rsid w:val="000F1008"/>
    <w:rsid w:val="000F1458"/>
    <w:rsid w:val="000F1ADB"/>
    <w:rsid w:val="000F1B62"/>
    <w:rsid w:val="000F1BBB"/>
    <w:rsid w:val="000F21E4"/>
    <w:rsid w:val="000F2D70"/>
    <w:rsid w:val="000F2DC8"/>
    <w:rsid w:val="000F302E"/>
    <w:rsid w:val="000F31FA"/>
    <w:rsid w:val="000F37A3"/>
    <w:rsid w:val="000F37CA"/>
    <w:rsid w:val="000F3824"/>
    <w:rsid w:val="000F3B31"/>
    <w:rsid w:val="000F420B"/>
    <w:rsid w:val="000F42AE"/>
    <w:rsid w:val="000F533F"/>
    <w:rsid w:val="000F5348"/>
    <w:rsid w:val="000F5BD0"/>
    <w:rsid w:val="000F5D3D"/>
    <w:rsid w:val="000F5D73"/>
    <w:rsid w:val="000F5D9F"/>
    <w:rsid w:val="000F5FF2"/>
    <w:rsid w:val="000F6BC9"/>
    <w:rsid w:val="000F7076"/>
    <w:rsid w:val="000F7173"/>
    <w:rsid w:val="000F785B"/>
    <w:rsid w:val="000F7864"/>
    <w:rsid w:val="000F7D4E"/>
    <w:rsid w:val="0010013A"/>
    <w:rsid w:val="00100B38"/>
    <w:rsid w:val="00100D4C"/>
    <w:rsid w:val="00101644"/>
    <w:rsid w:val="00101B7A"/>
    <w:rsid w:val="0010207B"/>
    <w:rsid w:val="0010209E"/>
    <w:rsid w:val="0010214F"/>
    <w:rsid w:val="0010257B"/>
    <w:rsid w:val="00102B3A"/>
    <w:rsid w:val="00102E26"/>
    <w:rsid w:val="00103829"/>
    <w:rsid w:val="00103A68"/>
    <w:rsid w:val="00103C06"/>
    <w:rsid w:val="00103DEC"/>
    <w:rsid w:val="00104410"/>
    <w:rsid w:val="00104435"/>
    <w:rsid w:val="001045E5"/>
    <w:rsid w:val="001048C5"/>
    <w:rsid w:val="00104BC3"/>
    <w:rsid w:val="00105225"/>
    <w:rsid w:val="00105852"/>
    <w:rsid w:val="001060C6"/>
    <w:rsid w:val="001066B7"/>
    <w:rsid w:val="00106BBE"/>
    <w:rsid w:val="00106CEA"/>
    <w:rsid w:val="00106F99"/>
    <w:rsid w:val="001070FD"/>
    <w:rsid w:val="00107132"/>
    <w:rsid w:val="0010723E"/>
    <w:rsid w:val="00107988"/>
    <w:rsid w:val="00107ED6"/>
    <w:rsid w:val="00110116"/>
    <w:rsid w:val="00110244"/>
    <w:rsid w:val="001107FD"/>
    <w:rsid w:val="00110C23"/>
    <w:rsid w:val="001112F5"/>
    <w:rsid w:val="001113F7"/>
    <w:rsid w:val="001116DD"/>
    <w:rsid w:val="001117D1"/>
    <w:rsid w:val="001117FD"/>
    <w:rsid w:val="00111897"/>
    <w:rsid w:val="00111CBA"/>
    <w:rsid w:val="0011222C"/>
    <w:rsid w:val="00112790"/>
    <w:rsid w:val="001137DF"/>
    <w:rsid w:val="0011380F"/>
    <w:rsid w:val="00113E4D"/>
    <w:rsid w:val="00114B79"/>
    <w:rsid w:val="00114E14"/>
    <w:rsid w:val="0011565D"/>
    <w:rsid w:val="001157F4"/>
    <w:rsid w:val="00116647"/>
    <w:rsid w:val="001167ED"/>
    <w:rsid w:val="0011699F"/>
    <w:rsid w:val="0011702F"/>
    <w:rsid w:val="0011725D"/>
    <w:rsid w:val="001173E2"/>
    <w:rsid w:val="00117467"/>
    <w:rsid w:val="001175AD"/>
    <w:rsid w:val="001178E7"/>
    <w:rsid w:val="00120072"/>
    <w:rsid w:val="001201B8"/>
    <w:rsid w:val="001214C2"/>
    <w:rsid w:val="00121698"/>
    <w:rsid w:val="0012193F"/>
    <w:rsid w:val="00121C6E"/>
    <w:rsid w:val="00121EF6"/>
    <w:rsid w:val="0012207F"/>
    <w:rsid w:val="001226D7"/>
    <w:rsid w:val="00122816"/>
    <w:rsid w:val="00122880"/>
    <w:rsid w:val="001228D4"/>
    <w:rsid w:val="00122A79"/>
    <w:rsid w:val="00122ABF"/>
    <w:rsid w:val="00122C83"/>
    <w:rsid w:val="001231E9"/>
    <w:rsid w:val="001232E1"/>
    <w:rsid w:val="00123524"/>
    <w:rsid w:val="00123780"/>
    <w:rsid w:val="0012426E"/>
    <w:rsid w:val="001242B0"/>
    <w:rsid w:val="001242B1"/>
    <w:rsid w:val="00124D7D"/>
    <w:rsid w:val="0012514F"/>
    <w:rsid w:val="00125197"/>
    <w:rsid w:val="0012536D"/>
    <w:rsid w:val="0012554D"/>
    <w:rsid w:val="00125697"/>
    <w:rsid w:val="00125D61"/>
    <w:rsid w:val="00126639"/>
    <w:rsid w:val="00126743"/>
    <w:rsid w:val="00126762"/>
    <w:rsid w:val="00126DC6"/>
    <w:rsid w:val="00126EB8"/>
    <w:rsid w:val="00127076"/>
    <w:rsid w:val="001274D4"/>
    <w:rsid w:val="00130362"/>
    <w:rsid w:val="00130485"/>
    <w:rsid w:val="001305E3"/>
    <w:rsid w:val="00130D58"/>
    <w:rsid w:val="00131128"/>
    <w:rsid w:val="0013117F"/>
    <w:rsid w:val="001315B4"/>
    <w:rsid w:val="00131F92"/>
    <w:rsid w:val="0013254D"/>
    <w:rsid w:val="001325E1"/>
    <w:rsid w:val="001331F5"/>
    <w:rsid w:val="00133402"/>
    <w:rsid w:val="001334E8"/>
    <w:rsid w:val="0013354A"/>
    <w:rsid w:val="00133FD5"/>
    <w:rsid w:val="0013400A"/>
    <w:rsid w:val="0013405C"/>
    <w:rsid w:val="0013439C"/>
    <w:rsid w:val="001344D0"/>
    <w:rsid w:val="001345D1"/>
    <w:rsid w:val="00134E4F"/>
    <w:rsid w:val="0013511E"/>
    <w:rsid w:val="00135326"/>
    <w:rsid w:val="001354DB"/>
    <w:rsid w:val="00135BCD"/>
    <w:rsid w:val="00135D7F"/>
    <w:rsid w:val="001363AA"/>
    <w:rsid w:val="001364FF"/>
    <w:rsid w:val="00136695"/>
    <w:rsid w:val="0013672D"/>
    <w:rsid w:val="0013739A"/>
    <w:rsid w:val="0013755C"/>
    <w:rsid w:val="001377DF"/>
    <w:rsid w:val="00137938"/>
    <w:rsid w:val="00137A5A"/>
    <w:rsid w:val="00137B47"/>
    <w:rsid w:val="00137D0D"/>
    <w:rsid w:val="00137E1C"/>
    <w:rsid w:val="00137E40"/>
    <w:rsid w:val="001400AA"/>
    <w:rsid w:val="001403C7"/>
    <w:rsid w:val="0014064A"/>
    <w:rsid w:val="0014091C"/>
    <w:rsid w:val="00140E1F"/>
    <w:rsid w:val="00140EDD"/>
    <w:rsid w:val="00140F05"/>
    <w:rsid w:val="00141346"/>
    <w:rsid w:val="00141C0C"/>
    <w:rsid w:val="00141C53"/>
    <w:rsid w:val="001421DD"/>
    <w:rsid w:val="001428DB"/>
    <w:rsid w:val="001428EC"/>
    <w:rsid w:val="00142906"/>
    <w:rsid w:val="00142A57"/>
    <w:rsid w:val="00142BB6"/>
    <w:rsid w:val="00142C07"/>
    <w:rsid w:val="00142F36"/>
    <w:rsid w:val="00143053"/>
    <w:rsid w:val="00143862"/>
    <w:rsid w:val="00143D2C"/>
    <w:rsid w:val="001442F5"/>
    <w:rsid w:val="001449E4"/>
    <w:rsid w:val="001449F2"/>
    <w:rsid w:val="00144D02"/>
    <w:rsid w:val="00145084"/>
    <w:rsid w:val="00145104"/>
    <w:rsid w:val="0014533A"/>
    <w:rsid w:val="001455D3"/>
    <w:rsid w:val="001455DC"/>
    <w:rsid w:val="0014564A"/>
    <w:rsid w:val="001456B1"/>
    <w:rsid w:val="0014571C"/>
    <w:rsid w:val="00145C68"/>
    <w:rsid w:val="00145CC1"/>
    <w:rsid w:val="00146085"/>
    <w:rsid w:val="00146436"/>
    <w:rsid w:val="0014643F"/>
    <w:rsid w:val="00146B58"/>
    <w:rsid w:val="00146D41"/>
    <w:rsid w:val="00146EB3"/>
    <w:rsid w:val="001474A1"/>
    <w:rsid w:val="0014792A"/>
    <w:rsid w:val="00150A4B"/>
    <w:rsid w:val="00150B34"/>
    <w:rsid w:val="00150C16"/>
    <w:rsid w:val="00150E3D"/>
    <w:rsid w:val="0015110F"/>
    <w:rsid w:val="00151B8A"/>
    <w:rsid w:val="0015236F"/>
    <w:rsid w:val="00152408"/>
    <w:rsid w:val="00152AF6"/>
    <w:rsid w:val="00152BCF"/>
    <w:rsid w:val="001533E6"/>
    <w:rsid w:val="0015341A"/>
    <w:rsid w:val="001537FD"/>
    <w:rsid w:val="00153970"/>
    <w:rsid w:val="00153A68"/>
    <w:rsid w:val="00153BCA"/>
    <w:rsid w:val="00153C8B"/>
    <w:rsid w:val="00153DFF"/>
    <w:rsid w:val="00153E32"/>
    <w:rsid w:val="00153E9F"/>
    <w:rsid w:val="0015427C"/>
    <w:rsid w:val="00154399"/>
    <w:rsid w:val="001547DD"/>
    <w:rsid w:val="00154827"/>
    <w:rsid w:val="00154B01"/>
    <w:rsid w:val="0015503F"/>
    <w:rsid w:val="001550AB"/>
    <w:rsid w:val="00155182"/>
    <w:rsid w:val="00155330"/>
    <w:rsid w:val="001554D5"/>
    <w:rsid w:val="00155730"/>
    <w:rsid w:val="00155CAA"/>
    <w:rsid w:val="00156C38"/>
    <w:rsid w:val="00157176"/>
    <w:rsid w:val="001577EB"/>
    <w:rsid w:val="00157A49"/>
    <w:rsid w:val="00157A62"/>
    <w:rsid w:val="00157CAF"/>
    <w:rsid w:val="00157E5C"/>
    <w:rsid w:val="00157FC4"/>
    <w:rsid w:val="00160592"/>
    <w:rsid w:val="00160859"/>
    <w:rsid w:val="00160985"/>
    <w:rsid w:val="00160FCE"/>
    <w:rsid w:val="00161A67"/>
    <w:rsid w:val="001621B7"/>
    <w:rsid w:val="00162A8D"/>
    <w:rsid w:val="00162FAA"/>
    <w:rsid w:val="0016312B"/>
    <w:rsid w:val="0016324F"/>
    <w:rsid w:val="001635DE"/>
    <w:rsid w:val="00163627"/>
    <w:rsid w:val="0016387B"/>
    <w:rsid w:val="00163975"/>
    <w:rsid w:val="00164292"/>
    <w:rsid w:val="001643B5"/>
    <w:rsid w:val="001643DA"/>
    <w:rsid w:val="0016476B"/>
    <w:rsid w:val="00164897"/>
    <w:rsid w:val="00164C49"/>
    <w:rsid w:val="00165158"/>
    <w:rsid w:val="00165164"/>
    <w:rsid w:val="0016577D"/>
    <w:rsid w:val="00165BB0"/>
    <w:rsid w:val="001661E4"/>
    <w:rsid w:val="00166496"/>
    <w:rsid w:val="0016664A"/>
    <w:rsid w:val="00166826"/>
    <w:rsid w:val="0016689A"/>
    <w:rsid w:val="00166988"/>
    <w:rsid w:val="00166D71"/>
    <w:rsid w:val="001671FD"/>
    <w:rsid w:val="0016749E"/>
    <w:rsid w:val="001676C5"/>
    <w:rsid w:val="00167794"/>
    <w:rsid w:val="001677BB"/>
    <w:rsid w:val="00167818"/>
    <w:rsid w:val="00167A51"/>
    <w:rsid w:val="00167E94"/>
    <w:rsid w:val="001706D2"/>
    <w:rsid w:val="0017079A"/>
    <w:rsid w:val="001707A7"/>
    <w:rsid w:val="00170E08"/>
    <w:rsid w:val="001710B8"/>
    <w:rsid w:val="00171191"/>
    <w:rsid w:val="001714DF"/>
    <w:rsid w:val="00171689"/>
    <w:rsid w:val="00171747"/>
    <w:rsid w:val="00171967"/>
    <w:rsid w:val="00171AB7"/>
    <w:rsid w:val="00172047"/>
    <w:rsid w:val="0017226D"/>
    <w:rsid w:val="00172A5C"/>
    <w:rsid w:val="00172B3A"/>
    <w:rsid w:val="00172CA4"/>
    <w:rsid w:val="00172CBA"/>
    <w:rsid w:val="00172E8C"/>
    <w:rsid w:val="0017311F"/>
    <w:rsid w:val="0017319A"/>
    <w:rsid w:val="001738BF"/>
    <w:rsid w:val="00173B81"/>
    <w:rsid w:val="001740EA"/>
    <w:rsid w:val="00174696"/>
    <w:rsid w:val="00174FA6"/>
    <w:rsid w:val="00175103"/>
    <w:rsid w:val="00175129"/>
    <w:rsid w:val="00175D84"/>
    <w:rsid w:val="00175F18"/>
    <w:rsid w:val="001761EF"/>
    <w:rsid w:val="001765AA"/>
    <w:rsid w:val="00176AD9"/>
    <w:rsid w:val="00176B71"/>
    <w:rsid w:val="00176E74"/>
    <w:rsid w:val="00176ECE"/>
    <w:rsid w:val="00177483"/>
    <w:rsid w:val="001774A8"/>
    <w:rsid w:val="001802CB"/>
    <w:rsid w:val="001803CE"/>
    <w:rsid w:val="001814BD"/>
    <w:rsid w:val="00181B05"/>
    <w:rsid w:val="00181DDC"/>
    <w:rsid w:val="00181F69"/>
    <w:rsid w:val="001820F1"/>
    <w:rsid w:val="0018267A"/>
    <w:rsid w:val="00182EF7"/>
    <w:rsid w:val="001836C2"/>
    <w:rsid w:val="0018389D"/>
    <w:rsid w:val="00183A28"/>
    <w:rsid w:val="00183C18"/>
    <w:rsid w:val="00183E82"/>
    <w:rsid w:val="00183F28"/>
    <w:rsid w:val="00184799"/>
    <w:rsid w:val="00184ED5"/>
    <w:rsid w:val="00184F1F"/>
    <w:rsid w:val="00185285"/>
    <w:rsid w:val="0018556C"/>
    <w:rsid w:val="001859B1"/>
    <w:rsid w:val="00185CD8"/>
    <w:rsid w:val="00186081"/>
    <w:rsid w:val="001860E4"/>
    <w:rsid w:val="00186761"/>
    <w:rsid w:val="00186A5C"/>
    <w:rsid w:val="00186AD4"/>
    <w:rsid w:val="00186B54"/>
    <w:rsid w:val="00187383"/>
    <w:rsid w:val="0018761A"/>
    <w:rsid w:val="001877B3"/>
    <w:rsid w:val="001878BB"/>
    <w:rsid w:val="00187EB3"/>
    <w:rsid w:val="00190CFA"/>
    <w:rsid w:val="00191AE0"/>
    <w:rsid w:val="00192000"/>
    <w:rsid w:val="00192070"/>
    <w:rsid w:val="00192111"/>
    <w:rsid w:val="0019219A"/>
    <w:rsid w:val="00192866"/>
    <w:rsid w:val="0019293B"/>
    <w:rsid w:val="00192BB4"/>
    <w:rsid w:val="00193432"/>
    <w:rsid w:val="0019374C"/>
    <w:rsid w:val="00193945"/>
    <w:rsid w:val="00193998"/>
    <w:rsid w:val="0019402A"/>
    <w:rsid w:val="0019426B"/>
    <w:rsid w:val="001943DA"/>
    <w:rsid w:val="0019465B"/>
    <w:rsid w:val="001947B5"/>
    <w:rsid w:val="00194C7D"/>
    <w:rsid w:val="00194DF6"/>
    <w:rsid w:val="00194FAA"/>
    <w:rsid w:val="0019510C"/>
    <w:rsid w:val="00195456"/>
    <w:rsid w:val="00195A31"/>
    <w:rsid w:val="00196000"/>
    <w:rsid w:val="0019650F"/>
    <w:rsid w:val="00196703"/>
    <w:rsid w:val="0019670E"/>
    <w:rsid w:val="001969C1"/>
    <w:rsid w:val="00196CAE"/>
    <w:rsid w:val="00196D5A"/>
    <w:rsid w:val="00196EFE"/>
    <w:rsid w:val="0019724C"/>
    <w:rsid w:val="00197421"/>
    <w:rsid w:val="00197788"/>
    <w:rsid w:val="001A0DA0"/>
    <w:rsid w:val="001A10C5"/>
    <w:rsid w:val="001A124A"/>
    <w:rsid w:val="001A1BBF"/>
    <w:rsid w:val="001A273C"/>
    <w:rsid w:val="001A2909"/>
    <w:rsid w:val="001A2AC6"/>
    <w:rsid w:val="001A2CEE"/>
    <w:rsid w:val="001A2D79"/>
    <w:rsid w:val="001A302C"/>
    <w:rsid w:val="001A35F8"/>
    <w:rsid w:val="001A37FA"/>
    <w:rsid w:val="001A380F"/>
    <w:rsid w:val="001A38C5"/>
    <w:rsid w:val="001A3C67"/>
    <w:rsid w:val="001A3C7D"/>
    <w:rsid w:val="001A3E6F"/>
    <w:rsid w:val="001A444D"/>
    <w:rsid w:val="001A46D5"/>
    <w:rsid w:val="001A4E30"/>
    <w:rsid w:val="001A52F7"/>
    <w:rsid w:val="001A53EF"/>
    <w:rsid w:val="001A54C4"/>
    <w:rsid w:val="001A54EB"/>
    <w:rsid w:val="001A5753"/>
    <w:rsid w:val="001A575E"/>
    <w:rsid w:val="001A5CCB"/>
    <w:rsid w:val="001A5E8C"/>
    <w:rsid w:val="001A61F8"/>
    <w:rsid w:val="001A666E"/>
    <w:rsid w:val="001A678A"/>
    <w:rsid w:val="001A7393"/>
    <w:rsid w:val="001A7AA1"/>
    <w:rsid w:val="001B0061"/>
    <w:rsid w:val="001B00C6"/>
    <w:rsid w:val="001B0D7A"/>
    <w:rsid w:val="001B15D4"/>
    <w:rsid w:val="001B16F2"/>
    <w:rsid w:val="001B1A77"/>
    <w:rsid w:val="001B1BE2"/>
    <w:rsid w:val="001B1EFA"/>
    <w:rsid w:val="001B2325"/>
    <w:rsid w:val="001B25E5"/>
    <w:rsid w:val="001B26DE"/>
    <w:rsid w:val="001B2F86"/>
    <w:rsid w:val="001B3164"/>
    <w:rsid w:val="001B3336"/>
    <w:rsid w:val="001B3B9B"/>
    <w:rsid w:val="001B413D"/>
    <w:rsid w:val="001B4CA7"/>
    <w:rsid w:val="001B4E68"/>
    <w:rsid w:val="001B5720"/>
    <w:rsid w:val="001B5840"/>
    <w:rsid w:val="001B585A"/>
    <w:rsid w:val="001B6161"/>
    <w:rsid w:val="001B62F5"/>
    <w:rsid w:val="001B68BD"/>
    <w:rsid w:val="001B6C0E"/>
    <w:rsid w:val="001B6C44"/>
    <w:rsid w:val="001B72C3"/>
    <w:rsid w:val="001B7357"/>
    <w:rsid w:val="001B74E9"/>
    <w:rsid w:val="001B7E3F"/>
    <w:rsid w:val="001C005B"/>
    <w:rsid w:val="001C0865"/>
    <w:rsid w:val="001C1182"/>
    <w:rsid w:val="001C13DF"/>
    <w:rsid w:val="001C19D7"/>
    <w:rsid w:val="001C1B1E"/>
    <w:rsid w:val="001C1D2B"/>
    <w:rsid w:val="001C21CE"/>
    <w:rsid w:val="001C2468"/>
    <w:rsid w:val="001C2A0B"/>
    <w:rsid w:val="001C2EAD"/>
    <w:rsid w:val="001C301A"/>
    <w:rsid w:val="001C311F"/>
    <w:rsid w:val="001C3377"/>
    <w:rsid w:val="001C3511"/>
    <w:rsid w:val="001C36AD"/>
    <w:rsid w:val="001C3ABA"/>
    <w:rsid w:val="001C3B86"/>
    <w:rsid w:val="001C3D88"/>
    <w:rsid w:val="001C3F5D"/>
    <w:rsid w:val="001C4475"/>
    <w:rsid w:val="001C500F"/>
    <w:rsid w:val="001C5111"/>
    <w:rsid w:val="001C52C8"/>
    <w:rsid w:val="001C5326"/>
    <w:rsid w:val="001C5576"/>
    <w:rsid w:val="001C5D70"/>
    <w:rsid w:val="001C6050"/>
    <w:rsid w:val="001C613A"/>
    <w:rsid w:val="001C6273"/>
    <w:rsid w:val="001C653A"/>
    <w:rsid w:val="001C6A68"/>
    <w:rsid w:val="001C6BB5"/>
    <w:rsid w:val="001C6CCB"/>
    <w:rsid w:val="001C6FC1"/>
    <w:rsid w:val="001C7150"/>
    <w:rsid w:val="001C7279"/>
    <w:rsid w:val="001C7288"/>
    <w:rsid w:val="001C7828"/>
    <w:rsid w:val="001C7BE0"/>
    <w:rsid w:val="001C7E42"/>
    <w:rsid w:val="001D0655"/>
    <w:rsid w:val="001D0800"/>
    <w:rsid w:val="001D08CB"/>
    <w:rsid w:val="001D08D7"/>
    <w:rsid w:val="001D0D34"/>
    <w:rsid w:val="001D0F71"/>
    <w:rsid w:val="001D164E"/>
    <w:rsid w:val="001D177D"/>
    <w:rsid w:val="001D18C1"/>
    <w:rsid w:val="001D1D8D"/>
    <w:rsid w:val="001D1EB0"/>
    <w:rsid w:val="001D1F21"/>
    <w:rsid w:val="001D2310"/>
    <w:rsid w:val="001D2455"/>
    <w:rsid w:val="001D2B85"/>
    <w:rsid w:val="001D303E"/>
    <w:rsid w:val="001D3420"/>
    <w:rsid w:val="001D3577"/>
    <w:rsid w:val="001D3AD5"/>
    <w:rsid w:val="001D3CDE"/>
    <w:rsid w:val="001D418C"/>
    <w:rsid w:val="001D427C"/>
    <w:rsid w:val="001D4378"/>
    <w:rsid w:val="001D45BB"/>
    <w:rsid w:val="001D5268"/>
    <w:rsid w:val="001D55D2"/>
    <w:rsid w:val="001D5E6D"/>
    <w:rsid w:val="001D6761"/>
    <w:rsid w:val="001D6D74"/>
    <w:rsid w:val="001D6E90"/>
    <w:rsid w:val="001D717B"/>
    <w:rsid w:val="001D7C06"/>
    <w:rsid w:val="001E053E"/>
    <w:rsid w:val="001E0709"/>
    <w:rsid w:val="001E0761"/>
    <w:rsid w:val="001E09A6"/>
    <w:rsid w:val="001E119B"/>
    <w:rsid w:val="001E178B"/>
    <w:rsid w:val="001E1A90"/>
    <w:rsid w:val="001E1EF7"/>
    <w:rsid w:val="001E2048"/>
    <w:rsid w:val="001E21F6"/>
    <w:rsid w:val="001E2D2F"/>
    <w:rsid w:val="001E40AC"/>
    <w:rsid w:val="001E4CDB"/>
    <w:rsid w:val="001E4D46"/>
    <w:rsid w:val="001E4EE9"/>
    <w:rsid w:val="001E5182"/>
    <w:rsid w:val="001E53EF"/>
    <w:rsid w:val="001E551E"/>
    <w:rsid w:val="001E55DB"/>
    <w:rsid w:val="001E5CA2"/>
    <w:rsid w:val="001E5CF5"/>
    <w:rsid w:val="001E5FCD"/>
    <w:rsid w:val="001E640E"/>
    <w:rsid w:val="001E6B87"/>
    <w:rsid w:val="001E7336"/>
    <w:rsid w:val="001E7BE8"/>
    <w:rsid w:val="001E7C55"/>
    <w:rsid w:val="001F0248"/>
    <w:rsid w:val="001F02DE"/>
    <w:rsid w:val="001F0375"/>
    <w:rsid w:val="001F0900"/>
    <w:rsid w:val="001F09F9"/>
    <w:rsid w:val="001F0B95"/>
    <w:rsid w:val="001F0E27"/>
    <w:rsid w:val="001F0E5A"/>
    <w:rsid w:val="001F10C9"/>
    <w:rsid w:val="001F10E4"/>
    <w:rsid w:val="001F196F"/>
    <w:rsid w:val="001F1F9B"/>
    <w:rsid w:val="001F24C0"/>
    <w:rsid w:val="001F2E6E"/>
    <w:rsid w:val="001F341F"/>
    <w:rsid w:val="001F344F"/>
    <w:rsid w:val="001F378D"/>
    <w:rsid w:val="001F37E6"/>
    <w:rsid w:val="001F3A3F"/>
    <w:rsid w:val="001F3BD7"/>
    <w:rsid w:val="001F3DEC"/>
    <w:rsid w:val="001F3EB3"/>
    <w:rsid w:val="001F41A2"/>
    <w:rsid w:val="001F49AE"/>
    <w:rsid w:val="001F4F1D"/>
    <w:rsid w:val="001F4F86"/>
    <w:rsid w:val="001F52FD"/>
    <w:rsid w:val="001F5A36"/>
    <w:rsid w:val="001F5C26"/>
    <w:rsid w:val="001F60B4"/>
    <w:rsid w:val="001F6157"/>
    <w:rsid w:val="001F6195"/>
    <w:rsid w:val="001F65F9"/>
    <w:rsid w:val="001F69FC"/>
    <w:rsid w:val="001F71CD"/>
    <w:rsid w:val="001F7541"/>
    <w:rsid w:val="001F7736"/>
    <w:rsid w:val="001F7BE4"/>
    <w:rsid w:val="001F7EC1"/>
    <w:rsid w:val="001F7FE8"/>
    <w:rsid w:val="0020035B"/>
    <w:rsid w:val="00200491"/>
    <w:rsid w:val="0020067D"/>
    <w:rsid w:val="00200733"/>
    <w:rsid w:val="00200A00"/>
    <w:rsid w:val="00200BD7"/>
    <w:rsid w:val="00200BF0"/>
    <w:rsid w:val="00200D93"/>
    <w:rsid w:val="0020109A"/>
    <w:rsid w:val="002011A6"/>
    <w:rsid w:val="0020140C"/>
    <w:rsid w:val="0020161A"/>
    <w:rsid w:val="002018A7"/>
    <w:rsid w:val="00201BC8"/>
    <w:rsid w:val="00201E21"/>
    <w:rsid w:val="00201E33"/>
    <w:rsid w:val="00202498"/>
    <w:rsid w:val="00202546"/>
    <w:rsid w:val="00202C2C"/>
    <w:rsid w:val="00203A1E"/>
    <w:rsid w:val="002049E1"/>
    <w:rsid w:val="00204EAB"/>
    <w:rsid w:val="00204FF8"/>
    <w:rsid w:val="002052F0"/>
    <w:rsid w:val="00205353"/>
    <w:rsid w:val="002057B4"/>
    <w:rsid w:val="00205C13"/>
    <w:rsid w:val="00205CA0"/>
    <w:rsid w:val="00205D6E"/>
    <w:rsid w:val="00206284"/>
    <w:rsid w:val="00206804"/>
    <w:rsid w:val="00206A9D"/>
    <w:rsid w:val="00206ADF"/>
    <w:rsid w:val="00206C99"/>
    <w:rsid w:val="002077A9"/>
    <w:rsid w:val="00207923"/>
    <w:rsid w:val="00207C94"/>
    <w:rsid w:val="0021094B"/>
    <w:rsid w:val="00211D28"/>
    <w:rsid w:val="00211F02"/>
    <w:rsid w:val="0021205A"/>
    <w:rsid w:val="00212381"/>
    <w:rsid w:val="002124A0"/>
    <w:rsid w:val="002127AC"/>
    <w:rsid w:val="00212AA5"/>
    <w:rsid w:val="00212B02"/>
    <w:rsid w:val="002130D1"/>
    <w:rsid w:val="002135AB"/>
    <w:rsid w:val="0021383E"/>
    <w:rsid w:val="00213A6E"/>
    <w:rsid w:val="00213E77"/>
    <w:rsid w:val="00213F39"/>
    <w:rsid w:val="00213FF3"/>
    <w:rsid w:val="00214286"/>
    <w:rsid w:val="002144BE"/>
    <w:rsid w:val="00214642"/>
    <w:rsid w:val="00214AEB"/>
    <w:rsid w:val="002153D4"/>
    <w:rsid w:val="00215630"/>
    <w:rsid w:val="00215CEF"/>
    <w:rsid w:val="00215E03"/>
    <w:rsid w:val="00216297"/>
    <w:rsid w:val="0021673E"/>
    <w:rsid w:val="002168F1"/>
    <w:rsid w:val="00216968"/>
    <w:rsid w:val="00216C72"/>
    <w:rsid w:val="00217124"/>
    <w:rsid w:val="002174D3"/>
    <w:rsid w:val="00217886"/>
    <w:rsid w:val="00217E02"/>
    <w:rsid w:val="0022033D"/>
    <w:rsid w:val="002205E2"/>
    <w:rsid w:val="0022083E"/>
    <w:rsid w:val="00220DC2"/>
    <w:rsid w:val="0022103F"/>
    <w:rsid w:val="00221050"/>
    <w:rsid w:val="002210D3"/>
    <w:rsid w:val="0022116D"/>
    <w:rsid w:val="00221408"/>
    <w:rsid w:val="0022145B"/>
    <w:rsid w:val="00221A0B"/>
    <w:rsid w:val="00221A0E"/>
    <w:rsid w:val="00221B87"/>
    <w:rsid w:val="002221DB"/>
    <w:rsid w:val="00222EF4"/>
    <w:rsid w:val="002231F2"/>
    <w:rsid w:val="002232DC"/>
    <w:rsid w:val="00223BBC"/>
    <w:rsid w:val="00223F84"/>
    <w:rsid w:val="00223FA0"/>
    <w:rsid w:val="0022460E"/>
    <w:rsid w:val="00224F89"/>
    <w:rsid w:val="00225415"/>
    <w:rsid w:val="002255D8"/>
    <w:rsid w:val="002257F0"/>
    <w:rsid w:val="00225BFB"/>
    <w:rsid w:val="00225E35"/>
    <w:rsid w:val="0022649E"/>
    <w:rsid w:val="00226AF0"/>
    <w:rsid w:val="00226E80"/>
    <w:rsid w:val="00226F2E"/>
    <w:rsid w:val="002273D3"/>
    <w:rsid w:val="00227888"/>
    <w:rsid w:val="00227F29"/>
    <w:rsid w:val="00227FDC"/>
    <w:rsid w:val="002307E3"/>
    <w:rsid w:val="002320A1"/>
    <w:rsid w:val="0023240A"/>
    <w:rsid w:val="0023250B"/>
    <w:rsid w:val="00232638"/>
    <w:rsid w:val="00232E0F"/>
    <w:rsid w:val="002332C9"/>
    <w:rsid w:val="002334DF"/>
    <w:rsid w:val="002338E2"/>
    <w:rsid w:val="00233C50"/>
    <w:rsid w:val="00233F10"/>
    <w:rsid w:val="002340DF"/>
    <w:rsid w:val="002341C8"/>
    <w:rsid w:val="00234468"/>
    <w:rsid w:val="0023489E"/>
    <w:rsid w:val="00234B24"/>
    <w:rsid w:val="00235042"/>
    <w:rsid w:val="002356CD"/>
    <w:rsid w:val="00235D3D"/>
    <w:rsid w:val="002364B3"/>
    <w:rsid w:val="00236888"/>
    <w:rsid w:val="00236D3F"/>
    <w:rsid w:val="00236E98"/>
    <w:rsid w:val="002370D9"/>
    <w:rsid w:val="00237D40"/>
    <w:rsid w:val="00237DDA"/>
    <w:rsid w:val="0024084C"/>
    <w:rsid w:val="002408FB"/>
    <w:rsid w:val="00240AA9"/>
    <w:rsid w:val="00240C46"/>
    <w:rsid w:val="0024110D"/>
    <w:rsid w:val="002415A2"/>
    <w:rsid w:val="002419C2"/>
    <w:rsid w:val="002419E2"/>
    <w:rsid w:val="00241DDC"/>
    <w:rsid w:val="00241F8D"/>
    <w:rsid w:val="00242279"/>
    <w:rsid w:val="002425DC"/>
    <w:rsid w:val="002428CF"/>
    <w:rsid w:val="00242BAD"/>
    <w:rsid w:val="00242CC7"/>
    <w:rsid w:val="002438F7"/>
    <w:rsid w:val="00243997"/>
    <w:rsid w:val="00244269"/>
    <w:rsid w:val="0024441A"/>
    <w:rsid w:val="0024493F"/>
    <w:rsid w:val="00244B15"/>
    <w:rsid w:val="00244FF9"/>
    <w:rsid w:val="0024508D"/>
    <w:rsid w:val="0024516C"/>
    <w:rsid w:val="002453D6"/>
    <w:rsid w:val="0024546F"/>
    <w:rsid w:val="0024587C"/>
    <w:rsid w:val="00245948"/>
    <w:rsid w:val="002459D6"/>
    <w:rsid w:val="00245A2C"/>
    <w:rsid w:val="00245C82"/>
    <w:rsid w:val="00245F93"/>
    <w:rsid w:val="0024608C"/>
    <w:rsid w:val="00246129"/>
    <w:rsid w:val="0024613F"/>
    <w:rsid w:val="00246448"/>
    <w:rsid w:val="00246467"/>
    <w:rsid w:val="00246579"/>
    <w:rsid w:val="002469DC"/>
    <w:rsid w:val="00246D0A"/>
    <w:rsid w:val="002470BC"/>
    <w:rsid w:val="002472B4"/>
    <w:rsid w:val="00247360"/>
    <w:rsid w:val="0024753D"/>
    <w:rsid w:val="002475F0"/>
    <w:rsid w:val="00247A33"/>
    <w:rsid w:val="00247A39"/>
    <w:rsid w:val="00247B90"/>
    <w:rsid w:val="0025017E"/>
    <w:rsid w:val="0025049D"/>
    <w:rsid w:val="0025062A"/>
    <w:rsid w:val="00250747"/>
    <w:rsid w:val="00251377"/>
    <w:rsid w:val="00251679"/>
    <w:rsid w:val="002516A2"/>
    <w:rsid w:val="002516E6"/>
    <w:rsid w:val="00251DE6"/>
    <w:rsid w:val="00251EA1"/>
    <w:rsid w:val="002520C0"/>
    <w:rsid w:val="0025221A"/>
    <w:rsid w:val="0025267F"/>
    <w:rsid w:val="00252DB3"/>
    <w:rsid w:val="0025302F"/>
    <w:rsid w:val="002533D2"/>
    <w:rsid w:val="002535E1"/>
    <w:rsid w:val="00253A0B"/>
    <w:rsid w:val="00253AAE"/>
    <w:rsid w:val="00253D69"/>
    <w:rsid w:val="00253FE1"/>
    <w:rsid w:val="0025421A"/>
    <w:rsid w:val="002543B2"/>
    <w:rsid w:val="00254938"/>
    <w:rsid w:val="0025518B"/>
    <w:rsid w:val="002557B5"/>
    <w:rsid w:val="00255B7D"/>
    <w:rsid w:val="002569F7"/>
    <w:rsid w:val="00257018"/>
    <w:rsid w:val="00257AD8"/>
    <w:rsid w:val="00260162"/>
    <w:rsid w:val="00260374"/>
    <w:rsid w:val="002603A7"/>
    <w:rsid w:val="002604AE"/>
    <w:rsid w:val="00260F7B"/>
    <w:rsid w:val="002613D9"/>
    <w:rsid w:val="00261960"/>
    <w:rsid w:val="00261BBB"/>
    <w:rsid w:val="00262155"/>
    <w:rsid w:val="00262526"/>
    <w:rsid w:val="00262845"/>
    <w:rsid w:val="00262BD1"/>
    <w:rsid w:val="00262E48"/>
    <w:rsid w:val="00262E7F"/>
    <w:rsid w:val="0026348F"/>
    <w:rsid w:val="0026372D"/>
    <w:rsid w:val="00263A61"/>
    <w:rsid w:val="00263C17"/>
    <w:rsid w:val="00263C24"/>
    <w:rsid w:val="00263E83"/>
    <w:rsid w:val="0026407D"/>
    <w:rsid w:val="00264FB6"/>
    <w:rsid w:val="002655EF"/>
    <w:rsid w:val="00265B0D"/>
    <w:rsid w:val="00265C5D"/>
    <w:rsid w:val="00265DA0"/>
    <w:rsid w:val="0026629A"/>
    <w:rsid w:val="00266647"/>
    <w:rsid w:val="00266673"/>
    <w:rsid w:val="00266A01"/>
    <w:rsid w:val="0026734E"/>
    <w:rsid w:val="0026735E"/>
    <w:rsid w:val="00267548"/>
    <w:rsid w:val="00267707"/>
    <w:rsid w:val="00267AC0"/>
    <w:rsid w:val="00267CE5"/>
    <w:rsid w:val="002701B0"/>
    <w:rsid w:val="00270895"/>
    <w:rsid w:val="00270C55"/>
    <w:rsid w:val="00270D70"/>
    <w:rsid w:val="0027218E"/>
    <w:rsid w:val="002724BA"/>
    <w:rsid w:val="00272601"/>
    <w:rsid w:val="00272703"/>
    <w:rsid w:val="0027289A"/>
    <w:rsid w:val="002728D2"/>
    <w:rsid w:val="00272AF4"/>
    <w:rsid w:val="00273072"/>
    <w:rsid w:val="0027326B"/>
    <w:rsid w:val="002735F5"/>
    <w:rsid w:val="00273680"/>
    <w:rsid w:val="00273E53"/>
    <w:rsid w:val="002747A7"/>
    <w:rsid w:val="00274BCA"/>
    <w:rsid w:val="00274C57"/>
    <w:rsid w:val="00275532"/>
    <w:rsid w:val="00275682"/>
    <w:rsid w:val="00275B8A"/>
    <w:rsid w:val="0027612B"/>
    <w:rsid w:val="002765D4"/>
    <w:rsid w:val="00276915"/>
    <w:rsid w:val="0027761A"/>
    <w:rsid w:val="00277805"/>
    <w:rsid w:val="002779DE"/>
    <w:rsid w:val="00277D5F"/>
    <w:rsid w:val="00277FEC"/>
    <w:rsid w:val="00280202"/>
    <w:rsid w:val="002803A7"/>
    <w:rsid w:val="002803FD"/>
    <w:rsid w:val="00280512"/>
    <w:rsid w:val="00280ABB"/>
    <w:rsid w:val="00280B31"/>
    <w:rsid w:val="00280C7E"/>
    <w:rsid w:val="00280CDB"/>
    <w:rsid w:val="002815F4"/>
    <w:rsid w:val="00281C48"/>
    <w:rsid w:val="00281C88"/>
    <w:rsid w:val="002827EA"/>
    <w:rsid w:val="00282CFE"/>
    <w:rsid w:val="00282E76"/>
    <w:rsid w:val="00282EC4"/>
    <w:rsid w:val="00282FE0"/>
    <w:rsid w:val="002834D1"/>
    <w:rsid w:val="002834FD"/>
    <w:rsid w:val="002859AC"/>
    <w:rsid w:val="00286ABE"/>
    <w:rsid w:val="00286BA8"/>
    <w:rsid w:val="00286FC9"/>
    <w:rsid w:val="00287ABF"/>
    <w:rsid w:val="00287AD5"/>
    <w:rsid w:val="00287B97"/>
    <w:rsid w:val="00287C56"/>
    <w:rsid w:val="002901D2"/>
    <w:rsid w:val="0029113F"/>
    <w:rsid w:val="00291163"/>
    <w:rsid w:val="00291259"/>
    <w:rsid w:val="00291425"/>
    <w:rsid w:val="0029169E"/>
    <w:rsid w:val="002917CF"/>
    <w:rsid w:val="00291887"/>
    <w:rsid w:val="00291B40"/>
    <w:rsid w:val="00291B57"/>
    <w:rsid w:val="002923CD"/>
    <w:rsid w:val="002924B0"/>
    <w:rsid w:val="00292AD8"/>
    <w:rsid w:val="00292B4D"/>
    <w:rsid w:val="00293335"/>
    <w:rsid w:val="002934A1"/>
    <w:rsid w:val="00293834"/>
    <w:rsid w:val="002940C2"/>
    <w:rsid w:val="00294425"/>
    <w:rsid w:val="00294543"/>
    <w:rsid w:val="00294685"/>
    <w:rsid w:val="002948B5"/>
    <w:rsid w:val="002951CB"/>
    <w:rsid w:val="0029530C"/>
    <w:rsid w:val="00295AC8"/>
    <w:rsid w:val="00295D70"/>
    <w:rsid w:val="0029659E"/>
    <w:rsid w:val="002966A2"/>
    <w:rsid w:val="00296B12"/>
    <w:rsid w:val="00296BF2"/>
    <w:rsid w:val="002975D4"/>
    <w:rsid w:val="002979DD"/>
    <w:rsid w:val="00297C3C"/>
    <w:rsid w:val="00297F76"/>
    <w:rsid w:val="002A0248"/>
    <w:rsid w:val="002A0409"/>
    <w:rsid w:val="002A094C"/>
    <w:rsid w:val="002A0A3E"/>
    <w:rsid w:val="002A14B9"/>
    <w:rsid w:val="002A1C1F"/>
    <w:rsid w:val="002A1D46"/>
    <w:rsid w:val="002A21C6"/>
    <w:rsid w:val="002A2417"/>
    <w:rsid w:val="002A288F"/>
    <w:rsid w:val="002A29A4"/>
    <w:rsid w:val="002A2A27"/>
    <w:rsid w:val="002A2A45"/>
    <w:rsid w:val="002A2C59"/>
    <w:rsid w:val="002A2DF4"/>
    <w:rsid w:val="002A3299"/>
    <w:rsid w:val="002A38E3"/>
    <w:rsid w:val="002A3C3F"/>
    <w:rsid w:val="002A42FA"/>
    <w:rsid w:val="002A5098"/>
    <w:rsid w:val="002A5339"/>
    <w:rsid w:val="002A54CA"/>
    <w:rsid w:val="002A586E"/>
    <w:rsid w:val="002A58FD"/>
    <w:rsid w:val="002A5900"/>
    <w:rsid w:val="002A5BEB"/>
    <w:rsid w:val="002A5DBD"/>
    <w:rsid w:val="002A6083"/>
    <w:rsid w:val="002A6E75"/>
    <w:rsid w:val="002A6FB2"/>
    <w:rsid w:val="002A70CD"/>
    <w:rsid w:val="002A719A"/>
    <w:rsid w:val="002A730A"/>
    <w:rsid w:val="002A7CEA"/>
    <w:rsid w:val="002A7E12"/>
    <w:rsid w:val="002B001A"/>
    <w:rsid w:val="002B0040"/>
    <w:rsid w:val="002B04DB"/>
    <w:rsid w:val="002B09F3"/>
    <w:rsid w:val="002B11EB"/>
    <w:rsid w:val="002B1BE2"/>
    <w:rsid w:val="002B1D36"/>
    <w:rsid w:val="002B1EE2"/>
    <w:rsid w:val="002B206C"/>
    <w:rsid w:val="002B2502"/>
    <w:rsid w:val="002B25A5"/>
    <w:rsid w:val="002B2ED0"/>
    <w:rsid w:val="002B34B0"/>
    <w:rsid w:val="002B3638"/>
    <w:rsid w:val="002B38C4"/>
    <w:rsid w:val="002B4008"/>
    <w:rsid w:val="002B421B"/>
    <w:rsid w:val="002B4370"/>
    <w:rsid w:val="002B486F"/>
    <w:rsid w:val="002B48A2"/>
    <w:rsid w:val="002B4F75"/>
    <w:rsid w:val="002B56F9"/>
    <w:rsid w:val="002B5AC1"/>
    <w:rsid w:val="002B643C"/>
    <w:rsid w:val="002B656E"/>
    <w:rsid w:val="002B6BF8"/>
    <w:rsid w:val="002B70ED"/>
    <w:rsid w:val="002B77E3"/>
    <w:rsid w:val="002B794E"/>
    <w:rsid w:val="002B7E05"/>
    <w:rsid w:val="002C01C7"/>
    <w:rsid w:val="002C09AA"/>
    <w:rsid w:val="002C0D69"/>
    <w:rsid w:val="002C0DB6"/>
    <w:rsid w:val="002C0E98"/>
    <w:rsid w:val="002C0EBD"/>
    <w:rsid w:val="002C15F6"/>
    <w:rsid w:val="002C17C0"/>
    <w:rsid w:val="002C1AF0"/>
    <w:rsid w:val="002C2655"/>
    <w:rsid w:val="002C2D93"/>
    <w:rsid w:val="002C2F9C"/>
    <w:rsid w:val="002C306C"/>
    <w:rsid w:val="002C37FA"/>
    <w:rsid w:val="002C3B52"/>
    <w:rsid w:val="002C419B"/>
    <w:rsid w:val="002C439F"/>
    <w:rsid w:val="002C43D7"/>
    <w:rsid w:val="002C4506"/>
    <w:rsid w:val="002C4C3C"/>
    <w:rsid w:val="002C56D8"/>
    <w:rsid w:val="002C5940"/>
    <w:rsid w:val="002C5AE6"/>
    <w:rsid w:val="002C62F0"/>
    <w:rsid w:val="002C633F"/>
    <w:rsid w:val="002C634B"/>
    <w:rsid w:val="002C680F"/>
    <w:rsid w:val="002C68D7"/>
    <w:rsid w:val="002C7200"/>
    <w:rsid w:val="002C73E7"/>
    <w:rsid w:val="002C7526"/>
    <w:rsid w:val="002C7A6D"/>
    <w:rsid w:val="002C7FD4"/>
    <w:rsid w:val="002D0524"/>
    <w:rsid w:val="002D07B3"/>
    <w:rsid w:val="002D0A8E"/>
    <w:rsid w:val="002D0DDF"/>
    <w:rsid w:val="002D0E8E"/>
    <w:rsid w:val="002D0ECA"/>
    <w:rsid w:val="002D0EEB"/>
    <w:rsid w:val="002D10F2"/>
    <w:rsid w:val="002D14FF"/>
    <w:rsid w:val="002D2028"/>
    <w:rsid w:val="002D28D0"/>
    <w:rsid w:val="002D2E28"/>
    <w:rsid w:val="002D32EA"/>
    <w:rsid w:val="002D332E"/>
    <w:rsid w:val="002D3457"/>
    <w:rsid w:val="002D3D75"/>
    <w:rsid w:val="002D3EFF"/>
    <w:rsid w:val="002D4583"/>
    <w:rsid w:val="002D4B07"/>
    <w:rsid w:val="002D4B9F"/>
    <w:rsid w:val="002D52EC"/>
    <w:rsid w:val="002D5375"/>
    <w:rsid w:val="002D5498"/>
    <w:rsid w:val="002D557D"/>
    <w:rsid w:val="002D5700"/>
    <w:rsid w:val="002D58C9"/>
    <w:rsid w:val="002D5D00"/>
    <w:rsid w:val="002D5EAA"/>
    <w:rsid w:val="002D6741"/>
    <w:rsid w:val="002D6793"/>
    <w:rsid w:val="002D6B08"/>
    <w:rsid w:val="002D6CED"/>
    <w:rsid w:val="002D7161"/>
    <w:rsid w:val="002D7604"/>
    <w:rsid w:val="002D7804"/>
    <w:rsid w:val="002D7BEE"/>
    <w:rsid w:val="002E0230"/>
    <w:rsid w:val="002E028F"/>
    <w:rsid w:val="002E04C4"/>
    <w:rsid w:val="002E0E65"/>
    <w:rsid w:val="002E1070"/>
    <w:rsid w:val="002E150F"/>
    <w:rsid w:val="002E1B80"/>
    <w:rsid w:val="002E1C68"/>
    <w:rsid w:val="002E2019"/>
    <w:rsid w:val="002E21C3"/>
    <w:rsid w:val="002E24F2"/>
    <w:rsid w:val="002E271C"/>
    <w:rsid w:val="002E3103"/>
    <w:rsid w:val="002E377A"/>
    <w:rsid w:val="002E4181"/>
    <w:rsid w:val="002E4B10"/>
    <w:rsid w:val="002E4C1A"/>
    <w:rsid w:val="002E4C83"/>
    <w:rsid w:val="002E5684"/>
    <w:rsid w:val="002E5B07"/>
    <w:rsid w:val="002E61E4"/>
    <w:rsid w:val="002E6DCF"/>
    <w:rsid w:val="002E6E7D"/>
    <w:rsid w:val="002E6F46"/>
    <w:rsid w:val="002E712C"/>
    <w:rsid w:val="002E7832"/>
    <w:rsid w:val="002E7983"/>
    <w:rsid w:val="002E7C48"/>
    <w:rsid w:val="002F0464"/>
    <w:rsid w:val="002F0815"/>
    <w:rsid w:val="002F082A"/>
    <w:rsid w:val="002F0EB6"/>
    <w:rsid w:val="002F1536"/>
    <w:rsid w:val="002F17D1"/>
    <w:rsid w:val="002F203F"/>
    <w:rsid w:val="002F254A"/>
    <w:rsid w:val="002F284D"/>
    <w:rsid w:val="002F2AF4"/>
    <w:rsid w:val="002F3090"/>
    <w:rsid w:val="002F39BE"/>
    <w:rsid w:val="002F3D49"/>
    <w:rsid w:val="002F4032"/>
    <w:rsid w:val="002F418F"/>
    <w:rsid w:val="002F4547"/>
    <w:rsid w:val="002F46A0"/>
    <w:rsid w:val="002F46F7"/>
    <w:rsid w:val="002F471F"/>
    <w:rsid w:val="002F4A04"/>
    <w:rsid w:val="002F555B"/>
    <w:rsid w:val="002F55A1"/>
    <w:rsid w:val="002F5720"/>
    <w:rsid w:val="002F5986"/>
    <w:rsid w:val="002F59A1"/>
    <w:rsid w:val="002F5B60"/>
    <w:rsid w:val="002F6264"/>
    <w:rsid w:val="002F6399"/>
    <w:rsid w:val="002F6998"/>
    <w:rsid w:val="002F6DB0"/>
    <w:rsid w:val="002F7224"/>
    <w:rsid w:val="002F7386"/>
    <w:rsid w:val="002F73E9"/>
    <w:rsid w:val="002F76BA"/>
    <w:rsid w:val="002F7956"/>
    <w:rsid w:val="002F797F"/>
    <w:rsid w:val="00300583"/>
    <w:rsid w:val="00300989"/>
    <w:rsid w:val="00300B50"/>
    <w:rsid w:val="00300B85"/>
    <w:rsid w:val="00300C19"/>
    <w:rsid w:val="00300CBD"/>
    <w:rsid w:val="00300F24"/>
    <w:rsid w:val="00301151"/>
    <w:rsid w:val="00301189"/>
    <w:rsid w:val="00301580"/>
    <w:rsid w:val="0030192C"/>
    <w:rsid w:val="00301AE1"/>
    <w:rsid w:val="00301C92"/>
    <w:rsid w:val="00301E38"/>
    <w:rsid w:val="00301E4A"/>
    <w:rsid w:val="00301EB3"/>
    <w:rsid w:val="003022E5"/>
    <w:rsid w:val="003024B4"/>
    <w:rsid w:val="0030287A"/>
    <w:rsid w:val="003028FC"/>
    <w:rsid w:val="00302BC9"/>
    <w:rsid w:val="00302C90"/>
    <w:rsid w:val="00302EDF"/>
    <w:rsid w:val="00302FBE"/>
    <w:rsid w:val="0030317F"/>
    <w:rsid w:val="0030347C"/>
    <w:rsid w:val="00303C75"/>
    <w:rsid w:val="003040F6"/>
    <w:rsid w:val="00304338"/>
    <w:rsid w:val="00304489"/>
    <w:rsid w:val="003045F1"/>
    <w:rsid w:val="00304C3C"/>
    <w:rsid w:val="00304ED6"/>
    <w:rsid w:val="00304F29"/>
    <w:rsid w:val="003050DF"/>
    <w:rsid w:val="00305137"/>
    <w:rsid w:val="00305267"/>
    <w:rsid w:val="00305ACB"/>
    <w:rsid w:val="00305B53"/>
    <w:rsid w:val="003060FE"/>
    <w:rsid w:val="00306304"/>
    <w:rsid w:val="00306B48"/>
    <w:rsid w:val="00306F51"/>
    <w:rsid w:val="00307084"/>
    <w:rsid w:val="00307715"/>
    <w:rsid w:val="003079E5"/>
    <w:rsid w:val="00307FDD"/>
    <w:rsid w:val="003103EC"/>
    <w:rsid w:val="00310530"/>
    <w:rsid w:val="00310608"/>
    <w:rsid w:val="003115A6"/>
    <w:rsid w:val="003118E5"/>
    <w:rsid w:val="00311A0E"/>
    <w:rsid w:val="00311F0C"/>
    <w:rsid w:val="0031243E"/>
    <w:rsid w:val="003128B3"/>
    <w:rsid w:val="0031294A"/>
    <w:rsid w:val="00313070"/>
    <w:rsid w:val="00313182"/>
    <w:rsid w:val="003136FB"/>
    <w:rsid w:val="00313D5A"/>
    <w:rsid w:val="00313DA9"/>
    <w:rsid w:val="00313DF6"/>
    <w:rsid w:val="00313E3A"/>
    <w:rsid w:val="00313EB0"/>
    <w:rsid w:val="00314480"/>
    <w:rsid w:val="003147F8"/>
    <w:rsid w:val="003152A4"/>
    <w:rsid w:val="00315599"/>
    <w:rsid w:val="003156E2"/>
    <w:rsid w:val="003156F6"/>
    <w:rsid w:val="00315A46"/>
    <w:rsid w:val="00315EBE"/>
    <w:rsid w:val="00315F28"/>
    <w:rsid w:val="003164DA"/>
    <w:rsid w:val="003168B8"/>
    <w:rsid w:val="00316CD1"/>
    <w:rsid w:val="00316F62"/>
    <w:rsid w:val="00317274"/>
    <w:rsid w:val="0031766A"/>
    <w:rsid w:val="0031786E"/>
    <w:rsid w:val="00317E9F"/>
    <w:rsid w:val="00320416"/>
    <w:rsid w:val="00320D79"/>
    <w:rsid w:val="0032133C"/>
    <w:rsid w:val="0032152C"/>
    <w:rsid w:val="00321631"/>
    <w:rsid w:val="00321A76"/>
    <w:rsid w:val="00322CEF"/>
    <w:rsid w:val="00322D7D"/>
    <w:rsid w:val="00322EF6"/>
    <w:rsid w:val="00322F18"/>
    <w:rsid w:val="00323010"/>
    <w:rsid w:val="0032304D"/>
    <w:rsid w:val="0032320E"/>
    <w:rsid w:val="0032344D"/>
    <w:rsid w:val="003236A0"/>
    <w:rsid w:val="00323894"/>
    <w:rsid w:val="00323B88"/>
    <w:rsid w:val="00323E09"/>
    <w:rsid w:val="00324002"/>
    <w:rsid w:val="003240C2"/>
    <w:rsid w:val="00325434"/>
    <w:rsid w:val="00325815"/>
    <w:rsid w:val="003258C9"/>
    <w:rsid w:val="003258F9"/>
    <w:rsid w:val="00325F86"/>
    <w:rsid w:val="00325FED"/>
    <w:rsid w:val="0032619F"/>
    <w:rsid w:val="003262A0"/>
    <w:rsid w:val="00326D2C"/>
    <w:rsid w:val="00326F72"/>
    <w:rsid w:val="00327A57"/>
    <w:rsid w:val="00327CEC"/>
    <w:rsid w:val="00327E75"/>
    <w:rsid w:val="0033024D"/>
    <w:rsid w:val="0033051D"/>
    <w:rsid w:val="00330D24"/>
    <w:rsid w:val="00330F44"/>
    <w:rsid w:val="0033118E"/>
    <w:rsid w:val="00331698"/>
    <w:rsid w:val="00331A4C"/>
    <w:rsid w:val="00331C6D"/>
    <w:rsid w:val="00331F3B"/>
    <w:rsid w:val="00332086"/>
    <w:rsid w:val="00332186"/>
    <w:rsid w:val="00332480"/>
    <w:rsid w:val="0033259D"/>
    <w:rsid w:val="0033262C"/>
    <w:rsid w:val="003326A2"/>
    <w:rsid w:val="003327B5"/>
    <w:rsid w:val="00332C2F"/>
    <w:rsid w:val="00332FEE"/>
    <w:rsid w:val="00333332"/>
    <w:rsid w:val="00333932"/>
    <w:rsid w:val="003339BB"/>
    <w:rsid w:val="00333AA1"/>
    <w:rsid w:val="00333C2E"/>
    <w:rsid w:val="0033457E"/>
    <w:rsid w:val="00334E8B"/>
    <w:rsid w:val="00334F56"/>
    <w:rsid w:val="00335084"/>
    <w:rsid w:val="003354E0"/>
    <w:rsid w:val="00335BB9"/>
    <w:rsid w:val="00335C63"/>
    <w:rsid w:val="003360B2"/>
    <w:rsid w:val="00336EE0"/>
    <w:rsid w:val="00336FE5"/>
    <w:rsid w:val="0033773C"/>
    <w:rsid w:val="003377BD"/>
    <w:rsid w:val="0033786F"/>
    <w:rsid w:val="003412D6"/>
    <w:rsid w:val="003419ED"/>
    <w:rsid w:val="0034216F"/>
    <w:rsid w:val="003421C0"/>
    <w:rsid w:val="0034224A"/>
    <w:rsid w:val="00342490"/>
    <w:rsid w:val="00342833"/>
    <w:rsid w:val="003428B1"/>
    <w:rsid w:val="00342ACF"/>
    <w:rsid w:val="00342C2F"/>
    <w:rsid w:val="00342D7B"/>
    <w:rsid w:val="003440C5"/>
    <w:rsid w:val="00344127"/>
    <w:rsid w:val="0034412B"/>
    <w:rsid w:val="003441FA"/>
    <w:rsid w:val="0034464D"/>
    <w:rsid w:val="003446B7"/>
    <w:rsid w:val="003446FC"/>
    <w:rsid w:val="0034476F"/>
    <w:rsid w:val="003448BA"/>
    <w:rsid w:val="00344922"/>
    <w:rsid w:val="003449EF"/>
    <w:rsid w:val="00344B29"/>
    <w:rsid w:val="00344DFF"/>
    <w:rsid w:val="00344FFA"/>
    <w:rsid w:val="003450FF"/>
    <w:rsid w:val="0034516F"/>
    <w:rsid w:val="003456F4"/>
    <w:rsid w:val="00345CCC"/>
    <w:rsid w:val="003465C7"/>
    <w:rsid w:val="003465EE"/>
    <w:rsid w:val="003468E5"/>
    <w:rsid w:val="0034698A"/>
    <w:rsid w:val="00346B8F"/>
    <w:rsid w:val="0034711C"/>
    <w:rsid w:val="0034726C"/>
    <w:rsid w:val="003473E6"/>
    <w:rsid w:val="00347B05"/>
    <w:rsid w:val="00350989"/>
    <w:rsid w:val="00350EA7"/>
    <w:rsid w:val="0035138C"/>
    <w:rsid w:val="003518AA"/>
    <w:rsid w:val="00351E7A"/>
    <w:rsid w:val="00352165"/>
    <w:rsid w:val="00352649"/>
    <w:rsid w:val="00352DB9"/>
    <w:rsid w:val="0035317C"/>
    <w:rsid w:val="00353182"/>
    <w:rsid w:val="00353703"/>
    <w:rsid w:val="003538E2"/>
    <w:rsid w:val="00353E93"/>
    <w:rsid w:val="003542B1"/>
    <w:rsid w:val="00354501"/>
    <w:rsid w:val="003545CD"/>
    <w:rsid w:val="00354725"/>
    <w:rsid w:val="003549F4"/>
    <w:rsid w:val="00354F4A"/>
    <w:rsid w:val="00355918"/>
    <w:rsid w:val="00355F07"/>
    <w:rsid w:val="00356320"/>
    <w:rsid w:val="003565D9"/>
    <w:rsid w:val="00356769"/>
    <w:rsid w:val="00356834"/>
    <w:rsid w:val="00356F9C"/>
    <w:rsid w:val="003571A5"/>
    <w:rsid w:val="003572DA"/>
    <w:rsid w:val="00357769"/>
    <w:rsid w:val="00357873"/>
    <w:rsid w:val="00357D55"/>
    <w:rsid w:val="003602E1"/>
    <w:rsid w:val="00360BB3"/>
    <w:rsid w:val="003610D0"/>
    <w:rsid w:val="00361D0E"/>
    <w:rsid w:val="00361F08"/>
    <w:rsid w:val="00361FFB"/>
    <w:rsid w:val="00362453"/>
    <w:rsid w:val="00362500"/>
    <w:rsid w:val="003627CF"/>
    <w:rsid w:val="0036293A"/>
    <w:rsid w:val="00362984"/>
    <w:rsid w:val="00362A27"/>
    <w:rsid w:val="00362ADF"/>
    <w:rsid w:val="00362AF2"/>
    <w:rsid w:val="003635CB"/>
    <w:rsid w:val="0036394E"/>
    <w:rsid w:val="00363953"/>
    <w:rsid w:val="003641E1"/>
    <w:rsid w:val="00364AB3"/>
    <w:rsid w:val="00364C46"/>
    <w:rsid w:val="00364C57"/>
    <w:rsid w:val="0036503E"/>
    <w:rsid w:val="0036544D"/>
    <w:rsid w:val="00365460"/>
    <w:rsid w:val="0036556D"/>
    <w:rsid w:val="00365DB9"/>
    <w:rsid w:val="00365DF6"/>
    <w:rsid w:val="00366420"/>
    <w:rsid w:val="0036660E"/>
    <w:rsid w:val="00366683"/>
    <w:rsid w:val="003668EA"/>
    <w:rsid w:val="003669B7"/>
    <w:rsid w:val="003672A6"/>
    <w:rsid w:val="003677AE"/>
    <w:rsid w:val="00367BFB"/>
    <w:rsid w:val="00367F09"/>
    <w:rsid w:val="00367F2F"/>
    <w:rsid w:val="00370179"/>
    <w:rsid w:val="0037022F"/>
    <w:rsid w:val="0037026F"/>
    <w:rsid w:val="003705DC"/>
    <w:rsid w:val="00370BDA"/>
    <w:rsid w:val="00371061"/>
    <w:rsid w:val="00371240"/>
    <w:rsid w:val="003714B5"/>
    <w:rsid w:val="003714FA"/>
    <w:rsid w:val="00371D00"/>
    <w:rsid w:val="0037232B"/>
    <w:rsid w:val="003726FE"/>
    <w:rsid w:val="00372905"/>
    <w:rsid w:val="00372F42"/>
    <w:rsid w:val="00373429"/>
    <w:rsid w:val="0037399E"/>
    <w:rsid w:val="00373FEA"/>
    <w:rsid w:val="00374065"/>
    <w:rsid w:val="0037415D"/>
    <w:rsid w:val="00374260"/>
    <w:rsid w:val="0037458F"/>
    <w:rsid w:val="00374731"/>
    <w:rsid w:val="00374A92"/>
    <w:rsid w:val="00375634"/>
    <w:rsid w:val="0037566F"/>
    <w:rsid w:val="00375939"/>
    <w:rsid w:val="00375ED7"/>
    <w:rsid w:val="00376006"/>
    <w:rsid w:val="00376051"/>
    <w:rsid w:val="00376096"/>
    <w:rsid w:val="0037630F"/>
    <w:rsid w:val="003764C8"/>
    <w:rsid w:val="00376535"/>
    <w:rsid w:val="00376B03"/>
    <w:rsid w:val="00376E59"/>
    <w:rsid w:val="0037722A"/>
    <w:rsid w:val="00377381"/>
    <w:rsid w:val="00377448"/>
    <w:rsid w:val="0038008B"/>
    <w:rsid w:val="00380340"/>
    <w:rsid w:val="0038060D"/>
    <w:rsid w:val="00380D4E"/>
    <w:rsid w:val="00380D55"/>
    <w:rsid w:val="00381376"/>
    <w:rsid w:val="00381423"/>
    <w:rsid w:val="003815B9"/>
    <w:rsid w:val="003815C3"/>
    <w:rsid w:val="00381621"/>
    <w:rsid w:val="003818DD"/>
    <w:rsid w:val="003819FE"/>
    <w:rsid w:val="00381BE6"/>
    <w:rsid w:val="0038232A"/>
    <w:rsid w:val="003824F9"/>
    <w:rsid w:val="0038264A"/>
    <w:rsid w:val="00382847"/>
    <w:rsid w:val="0038291C"/>
    <w:rsid w:val="00382991"/>
    <w:rsid w:val="00382AC4"/>
    <w:rsid w:val="00382FA9"/>
    <w:rsid w:val="003835B5"/>
    <w:rsid w:val="00383B31"/>
    <w:rsid w:val="00383FF0"/>
    <w:rsid w:val="003849E0"/>
    <w:rsid w:val="00385350"/>
    <w:rsid w:val="00385AC1"/>
    <w:rsid w:val="0038629A"/>
    <w:rsid w:val="003863F9"/>
    <w:rsid w:val="00386738"/>
    <w:rsid w:val="003869E0"/>
    <w:rsid w:val="00387491"/>
    <w:rsid w:val="0038758C"/>
    <w:rsid w:val="003875AC"/>
    <w:rsid w:val="00387893"/>
    <w:rsid w:val="00387944"/>
    <w:rsid w:val="0039018F"/>
    <w:rsid w:val="0039035D"/>
    <w:rsid w:val="00390470"/>
    <w:rsid w:val="00390543"/>
    <w:rsid w:val="003905B3"/>
    <w:rsid w:val="00390772"/>
    <w:rsid w:val="0039083E"/>
    <w:rsid w:val="00391500"/>
    <w:rsid w:val="003919F9"/>
    <w:rsid w:val="0039220C"/>
    <w:rsid w:val="00393A37"/>
    <w:rsid w:val="00393DD0"/>
    <w:rsid w:val="00393FA8"/>
    <w:rsid w:val="00393FFF"/>
    <w:rsid w:val="00394960"/>
    <w:rsid w:val="00394E34"/>
    <w:rsid w:val="00394E9A"/>
    <w:rsid w:val="00395183"/>
    <w:rsid w:val="003955FD"/>
    <w:rsid w:val="00395D9E"/>
    <w:rsid w:val="00395DA0"/>
    <w:rsid w:val="00395F9C"/>
    <w:rsid w:val="00396527"/>
    <w:rsid w:val="00396BCE"/>
    <w:rsid w:val="00396C19"/>
    <w:rsid w:val="00396E39"/>
    <w:rsid w:val="00396F14"/>
    <w:rsid w:val="003972F6"/>
    <w:rsid w:val="003975B0"/>
    <w:rsid w:val="0039794A"/>
    <w:rsid w:val="003A0158"/>
    <w:rsid w:val="003A019A"/>
    <w:rsid w:val="003A0898"/>
    <w:rsid w:val="003A0BDA"/>
    <w:rsid w:val="003A0D80"/>
    <w:rsid w:val="003A0D87"/>
    <w:rsid w:val="003A13C0"/>
    <w:rsid w:val="003A147E"/>
    <w:rsid w:val="003A16A2"/>
    <w:rsid w:val="003A1BC4"/>
    <w:rsid w:val="003A1CAF"/>
    <w:rsid w:val="003A1D52"/>
    <w:rsid w:val="003A1F75"/>
    <w:rsid w:val="003A211B"/>
    <w:rsid w:val="003A237E"/>
    <w:rsid w:val="003A26AF"/>
    <w:rsid w:val="003A321E"/>
    <w:rsid w:val="003A4101"/>
    <w:rsid w:val="003A42BB"/>
    <w:rsid w:val="003A43BF"/>
    <w:rsid w:val="003A490F"/>
    <w:rsid w:val="003A4E8F"/>
    <w:rsid w:val="003A4EBE"/>
    <w:rsid w:val="003A50C6"/>
    <w:rsid w:val="003A5281"/>
    <w:rsid w:val="003A529C"/>
    <w:rsid w:val="003A6068"/>
    <w:rsid w:val="003A62F0"/>
    <w:rsid w:val="003A6319"/>
    <w:rsid w:val="003A6436"/>
    <w:rsid w:val="003A66E7"/>
    <w:rsid w:val="003A6B04"/>
    <w:rsid w:val="003A6D2A"/>
    <w:rsid w:val="003A71B8"/>
    <w:rsid w:val="003A73FE"/>
    <w:rsid w:val="003A79FF"/>
    <w:rsid w:val="003B0505"/>
    <w:rsid w:val="003B05F2"/>
    <w:rsid w:val="003B0DF1"/>
    <w:rsid w:val="003B0F3B"/>
    <w:rsid w:val="003B169F"/>
    <w:rsid w:val="003B16B5"/>
    <w:rsid w:val="003B1914"/>
    <w:rsid w:val="003B1C46"/>
    <w:rsid w:val="003B1E85"/>
    <w:rsid w:val="003B22F6"/>
    <w:rsid w:val="003B23C1"/>
    <w:rsid w:val="003B23C2"/>
    <w:rsid w:val="003B2846"/>
    <w:rsid w:val="003B3193"/>
    <w:rsid w:val="003B3C29"/>
    <w:rsid w:val="003B3E7A"/>
    <w:rsid w:val="003B490A"/>
    <w:rsid w:val="003B5111"/>
    <w:rsid w:val="003B525E"/>
    <w:rsid w:val="003B61C7"/>
    <w:rsid w:val="003B6480"/>
    <w:rsid w:val="003B6FD9"/>
    <w:rsid w:val="003B74FD"/>
    <w:rsid w:val="003B78D2"/>
    <w:rsid w:val="003B79FA"/>
    <w:rsid w:val="003B7A40"/>
    <w:rsid w:val="003B7E6A"/>
    <w:rsid w:val="003C024A"/>
    <w:rsid w:val="003C034F"/>
    <w:rsid w:val="003C0B2A"/>
    <w:rsid w:val="003C0C4B"/>
    <w:rsid w:val="003C1168"/>
    <w:rsid w:val="003C1258"/>
    <w:rsid w:val="003C1465"/>
    <w:rsid w:val="003C18F0"/>
    <w:rsid w:val="003C1BAF"/>
    <w:rsid w:val="003C1CED"/>
    <w:rsid w:val="003C1D58"/>
    <w:rsid w:val="003C1EA7"/>
    <w:rsid w:val="003C20EB"/>
    <w:rsid w:val="003C228B"/>
    <w:rsid w:val="003C24DA"/>
    <w:rsid w:val="003C261A"/>
    <w:rsid w:val="003C2921"/>
    <w:rsid w:val="003C34BE"/>
    <w:rsid w:val="003C38B5"/>
    <w:rsid w:val="003C3D25"/>
    <w:rsid w:val="003C41E0"/>
    <w:rsid w:val="003C46DA"/>
    <w:rsid w:val="003C4829"/>
    <w:rsid w:val="003C4915"/>
    <w:rsid w:val="003C4A25"/>
    <w:rsid w:val="003C56A3"/>
    <w:rsid w:val="003C59C3"/>
    <w:rsid w:val="003C5C4C"/>
    <w:rsid w:val="003C5D89"/>
    <w:rsid w:val="003C5D99"/>
    <w:rsid w:val="003C6200"/>
    <w:rsid w:val="003C684F"/>
    <w:rsid w:val="003C690D"/>
    <w:rsid w:val="003C6AD4"/>
    <w:rsid w:val="003C6C19"/>
    <w:rsid w:val="003C716B"/>
    <w:rsid w:val="003C7A7D"/>
    <w:rsid w:val="003C7AFB"/>
    <w:rsid w:val="003C7DFA"/>
    <w:rsid w:val="003D0539"/>
    <w:rsid w:val="003D0933"/>
    <w:rsid w:val="003D0A0C"/>
    <w:rsid w:val="003D0B5D"/>
    <w:rsid w:val="003D0B8D"/>
    <w:rsid w:val="003D0EEC"/>
    <w:rsid w:val="003D1087"/>
    <w:rsid w:val="003D10E5"/>
    <w:rsid w:val="003D1384"/>
    <w:rsid w:val="003D16F6"/>
    <w:rsid w:val="003D174C"/>
    <w:rsid w:val="003D1819"/>
    <w:rsid w:val="003D1950"/>
    <w:rsid w:val="003D2170"/>
    <w:rsid w:val="003D39A4"/>
    <w:rsid w:val="003D407B"/>
    <w:rsid w:val="003D490F"/>
    <w:rsid w:val="003D4BF4"/>
    <w:rsid w:val="003D50AC"/>
    <w:rsid w:val="003D5101"/>
    <w:rsid w:val="003D5171"/>
    <w:rsid w:val="003D52C5"/>
    <w:rsid w:val="003D5BFC"/>
    <w:rsid w:val="003D65AE"/>
    <w:rsid w:val="003D66D6"/>
    <w:rsid w:val="003D69DC"/>
    <w:rsid w:val="003D6BC1"/>
    <w:rsid w:val="003D6C75"/>
    <w:rsid w:val="003D70A0"/>
    <w:rsid w:val="003D70AA"/>
    <w:rsid w:val="003D715F"/>
    <w:rsid w:val="003D73C6"/>
    <w:rsid w:val="003D743E"/>
    <w:rsid w:val="003D7BB6"/>
    <w:rsid w:val="003D7C3B"/>
    <w:rsid w:val="003E041A"/>
    <w:rsid w:val="003E05B3"/>
    <w:rsid w:val="003E08AA"/>
    <w:rsid w:val="003E0DEA"/>
    <w:rsid w:val="003E111E"/>
    <w:rsid w:val="003E14C0"/>
    <w:rsid w:val="003E174B"/>
    <w:rsid w:val="003E189D"/>
    <w:rsid w:val="003E1E67"/>
    <w:rsid w:val="003E1FF7"/>
    <w:rsid w:val="003E21B9"/>
    <w:rsid w:val="003E226D"/>
    <w:rsid w:val="003E27F9"/>
    <w:rsid w:val="003E296F"/>
    <w:rsid w:val="003E2988"/>
    <w:rsid w:val="003E2F59"/>
    <w:rsid w:val="003E33B3"/>
    <w:rsid w:val="003E3B80"/>
    <w:rsid w:val="003E4007"/>
    <w:rsid w:val="003E4116"/>
    <w:rsid w:val="003E45F8"/>
    <w:rsid w:val="003E4BFD"/>
    <w:rsid w:val="003E5180"/>
    <w:rsid w:val="003E53DB"/>
    <w:rsid w:val="003E54C9"/>
    <w:rsid w:val="003E553B"/>
    <w:rsid w:val="003E556C"/>
    <w:rsid w:val="003E562F"/>
    <w:rsid w:val="003E5803"/>
    <w:rsid w:val="003E5B0A"/>
    <w:rsid w:val="003E5DF1"/>
    <w:rsid w:val="003E5E74"/>
    <w:rsid w:val="003E5F15"/>
    <w:rsid w:val="003E5F4A"/>
    <w:rsid w:val="003E60C4"/>
    <w:rsid w:val="003E60F3"/>
    <w:rsid w:val="003E64F8"/>
    <w:rsid w:val="003E6AFE"/>
    <w:rsid w:val="003E6CA6"/>
    <w:rsid w:val="003E6DA5"/>
    <w:rsid w:val="003E7416"/>
    <w:rsid w:val="003E746B"/>
    <w:rsid w:val="003E781A"/>
    <w:rsid w:val="003E7905"/>
    <w:rsid w:val="003E7B33"/>
    <w:rsid w:val="003E7CF7"/>
    <w:rsid w:val="003E7D9D"/>
    <w:rsid w:val="003F0789"/>
    <w:rsid w:val="003F0A65"/>
    <w:rsid w:val="003F0DAC"/>
    <w:rsid w:val="003F0F42"/>
    <w:rsid w:val="003F1193"/>
    <w:rsid w:val="003F129A"/>
    <w:rsid w:val="003F137B"/>
    <w:rsid w:val="003F17F7"/>
    <w:rsid w:val="003F1882"/>
    <w:rsid w:val="003F1EFE"/>
    <w:rsid w:val="003F2C4C"/>
    <w:rsid w:val="003F3546"/>
    <w:rsid w:val="003F4890"/>
    <w:rsid w:val="003F4D66"/>
    <w:rsid w:val="003F52B5"/>
    <w:rsid w:val="003F55D2"/>
    <w:rsid w:val="003F56A5"/>
    <w:rsid w:val="003F56A8"/>
    <w:rsid w:val="003F5CB9"/>
    <w:rsid w:val="003F5F71"/>
    <w:rsid w:val="003F6475"/>
    <w:rsid w:val="003F66A5"/>
    <w:rsid w:val="003F66C9"/>
    <w:rsid w:val="003F6D80"/>
    <w:rsid w:val="003F6F86"/>
    <w:rsid w:val="003F73C7"/>
    <w:rsid w:val="003F76B6"/>
    <w:rsid w:val="003F7728"/>
    <w:rsid w:val="003F797D"/>
    <w:rsid w:val="003F79D2"/>
    <w:rsid w:val="003F7F83"/>
    <w:rsid w:val="003F7FA8"/>
    <w:rsid w:val="00400107"/>
    <w:rsid w:val="0040049A"/>
    <w:rsid w:val="004007BB"/>
    <w:rsid w:val="00400DE9"/>
    <w:rsid w:val="00400EC8"/>
    <w:rsid w:val="0040133F"/>
    <w:rsid w:val="0040138D"/>
    <w:rsid w:val="00401521"/>
    <w:rsid w:val="00401817"/>
    <w:rsid w:val="00401882"/>
    <w:rsid w:val="00401D6F"/>
    <w:rsid w:val="00401FC2"/>
    <w:rsid w:val="004021E4"/>
    <w:rsid w:val="004022C4"/>
    <w:rsid w:val="004024B0"/>
    <w:rsid w:val="004025CC"/>
    <w:rsid w:val="0040283D"/>
    <w:rsid w:val="00402940"/>
    <w:rsid w:val="00402C5E"/>
    <w:rsid w:val="00402CCD"/>
    <w:rsid w:val="004033E5"/>
    <w:rsid w:val="004039CD"/>
    <w:rsid w:val="00403A2C"/>
    <w:rsid w:val="00403AE1"/>
    <w:rsid w:val="00403F2B"/>
    <w:rsid w:val="004040CE"/>
    <w:rsid w:val="00404202"/>
    <w:rsid w:val="004046A8"/>
    <w:rsid w:val="00404784"/>
    <w:rsid w:val="004048FB"/>
    <w:rsid w:val="00404A35"/>
    <w:rsid w:val="00404EBB"/>
    <w:rsid w:val="00404ED5"/>
    <w:rsid w:val="00404EF1"/>
    <w:rsid w:val="00404F9E"/>
    <w:rsid w:val="00405159"/>
    <w:rsid w:val="004055C3"/>
    <w:rsid w:val="0040569B"/>
    <w:rsid w:val="00405A9C"/>
    <w:rsid w:val="00405DB2"/>
    <w:rsid w:val="00405DE6"/>
    <w:rsid w:val="00405E3B"/>
    <w:rsid w:val="00406041"/>
    <w:rsid w:val="004060E6"/>
    <w:rsid w:val="00406711"/>
    <w:rsid w:val="00406847"/>
    <w:rsid w:val="00406880"/>
    <w:rsid w:val="00406A98"/>
    <w:rsid w:val="00406D54"/>
    <w:rsid w:val="00406E3C"/>
    <w:rsid w:val="00407171"/>
    <w:rsid w:val="0040779D"/>
    <w:rsid w:val="00407912"/>
    <w:rsid w:val="004079D0"/>
    <w:rsid w:val="00407A02"/>
    <w:rsid w:val="004100C8"/>
    <w:rsid w:val="00410306"/>
    <w:rsid w:val="00410934"/>
    <w:rsid w:val="00410BC4"/>
    <w:rsid w:val="00411A61"/>
    <w:rsid w:val="00411A63"/>
    <w:rsid w:val="00411ACF"/>
    <w:rsid w:val="00411DBD"/>
    <w:rsid w:val="004120B7"/>
    <w:rsid w:val="0041217A"/>
    <w:rsid w:val="00412ACE"/>
    <w:rsid w:val="00412D9D"/>
    <w:rsid w:val="00412DDC"/>
    <w:rsid w:val="00413152"/>
    <w:rsid w:val="004132AE"/>
    <w:rsid w:val="00413551"/>
    <w:rsid w:val="00413703"/>
    <w:rsid w:val="004138B3"/>
    <w:rsid w:val="00413979"/>
    <w:rsid w:val="0041448A"/>
    <w:rsid w:val="004145D2"/>
    <w:rsid w:val="00414AA0"/>
    <w:rsid w:val="0041531F"/>
    <w:rsid w:val="00415385"/>
    <w:rsid w:val="00415C49"/>
    <w:rsid w:val="00415F39"/>
    <w:rsid w:val="0041605D"/>
    <w:rsid w:val="004160BA"/>
    <w:rsid w:val="0041636F"/>
    <w:rsid w:val="0041652F"/>
    <w:rsid w:val="004165F1"/>
    <w:rsid w:val="0041664E"/>
    <w:rsid w:val="0041668B"/>
    <w:rsid w:val="004166D9"/>
    <w:rsid w:val="00416A16"/>
    <w:rsid w:val="00416A8E"/>
    <w:rsid w:val="00416BB0"/>
    <w:rsid w:val="00416BFD"/>
    <w:rsid w:val="00416D05"/>
    <w:rsid w:val="00416E81"/>
    <w:rsid w:val="004171F2"/>
    <w:rsid w:val="00417466"/>
    <w:rsid w:val="004174D0"/>
    <w:rsid w:val="004204A4"/>
    <w:rsid w:val="00420749"/>
    <w:rsid w:val="00420847"/>
    <w:rsid w:val="00420CA5"/>
    <w:rsid w:val="00420DA2"/>
    <w:rsid w:val="00421130"/>
    <w:rsid w:val="0042170E"/>
    <w:rsid w:val="004218CC"/>
    <w:rsid w:val="00421DF9"/>
    <w:rsid w:val="0042213E"/>
    <w:rsid w:val="004221EE"/>
    <w:rsid w:val="0042267E"/>
    <w:rsid w:val="004229BD"/>
    <w:rsid w:val="00422C95"/>
    <w:rsid w:val="00422FB8"/>
    <w:rsid w:val="00422FBF"/>
    <w:rsid w:val="004230AF"/>
    <w:rsid w:val="00423204"/>
    <w:rsid w:val="00423241"/>
    <w:rsid w:val="00423635"/>
    <w:rsid w:val="00423B80"/>
    <w:rsid w:val="00423D02"/>
    <w:rsid w:val="00423F0A"/>
    <w:rsid w:val="00423F5C"/>
    <w:rsid w:val="004241B0"/>
    <w:rsid w:val="00424289"/>
    <w:rsid w:val="0042458F"/>
    <w:rsid w:val="0042485C"/>
    <w:rsid w:val="00424D44"/>
    <w:rsid w:val="00425452"/>
    <w:rsid w:val="004259E7"/>
    <w:rsid w:val="004262C6"/>
    <w:rsid w:val="00426B14"/>
    <w:rsid w:val="00426CB4"/>
    <w:rsid w:val="00426EFD"/>
    <w:rsid w:val="0042736C"/>
    <w:rsid w:val="00427530"/>
    <w:rsid w:val="0042787B"/>
    <w:rsid w:val="00427A4E"/>
    <w:rsid w:val="00427B84"/>
    <w:rsid w:val="00427D81"/>
    <w:rsid w:val="00430277"/>
    <w:rsid w:val="004302CE"/>
    <w:rsid w:val="00430448"/>
    <w:rsid w:val="004308B8"/>
    <w:rsid w:val="0043092C"/>
    <w:rsid w:val="0043092F"/>
    <w:rsid w:val="0043098E"/>
    <w:rsid w:val="00431059"/>
    <w:rsid w:val="00431122"/>
    <w:rsid w:val="00431249"/>
    <w:rsid w:val="00431938"/>
    <w:rsid w:val="00431A1A"/>
    <w:rsid w:val="00431B36"/>
    <w:rsid w:val="00431C6D"/>
    <w:rsid w:val="00431DD5"/>
    <w:rsid w:val="00431F33"/>
    <w:rsid w:val="00431FD1"/>
    <w:rsid w:val="004320BA"/>
    <w:rsid w:val="0043248F"/>
    <w:rsid w:val="00432B78"/>
    <w:rsid w:val="0043319E"/>
    <w:rsid w:val="004333AF"/>
    <w:rsid w:val="00433C40"/>
    <w:rsid w:val="0043437E"/>
    <w:rsid w:val="0043462F"/>
    <w:rsid w:val="00434997"/>
    <w:rsid w:val="00434BE3"/>
    <w:rsid w:val="00434C19"/>
    <w:rsid w:val="00434D48"/>
    <w:rsid w:val="00434EE9"/>
    <w:rsid w:val="00434F1E"/>
    <w:rsid w:val="00436003"/>
    <w:rsid w:val="00436107"/>
    <w:rsid w:val="004363E9"/>
    <w:rsid w:val="004363FD"/>
    <w:rsid w:val="00436698"/>
    <w:rsid w:val="00436E43"/>
    <w:rsid w:val="00436E72"/>
    <w:rsid w:val="00436F6D"/>
    <w:rsid w:val="0043723A"/>
    <w:rsid w:val="00437753"/>
    <w:rsid w:val="00437CB9"/>
    <w:rsid w:val="00440244"/>
    <w:rsid w:val="00440316"/>
    <w:rsid w:val="0044064A"/>
    <w:rsid w:val="004407C4"/>
    <w:rsid w:val="004409AF"/>
    <w:rsid w:val="00440FA9"/>
    <w:rsid w:val="0044147F"/>
    <w:rsid w:val="004414CA"/>
    <w:rsid w:val="00441548"/>
    <w:rsid w:val="004415DB"/>
    <w:rsid w:val="00441951"/>
    <w:rsid w:val="00441D29"/>
    <w:rsid w:val="00441DC7"/>
    <w:rsid w:val="00441DCE"/>
    <w:rsid w:val="00441E1C"/>
    <w:rsid w:val="00441FEF"/>
    <w:rsid w:val="0044228E"/>
    <w:rsid w:val="00442C10"/>
    <w:rsid w:val="00442D9F"/>
    <w:rsid w:val="00442F20"/>
    <w:rsid w:val="00443A4C"/>
    <w:rsid w:val="00443AA6"/>
    <w:rsid w:val="0044445F"/>
    <w:rsid w:val="0044454D"/>
    <w:rsid w:val="00444D55"/>
    <w:rsid w:val="00444D58"/>
    <w:rsid w:val="004453E0"/>
    <w:rsid w:val="00445E5B"/>
    <w:rsid w:val="004461B1"/>
    <w:rsid w:val="00446291"/>
    <w:rsid w:val="0044642D"/>
    <w:rsid w:val="00446A38"/>
    <w:rsid w:val="00446C5E"/>
    <w:rsid w:val="00446DF1"/>
    <w:rsid w:val="004473F8"/>
    <w:rsid w:val="00447822"/>
    <w:rsid w:val="0044792B"/>
    <w:rsid w:val="00447D41"/>
    <w:rsid w:val="00450069"/>
    <w:rsid w:val="0045012D"/>
    <w:rsid w:val="00450374"/>
    <w:rsid w:val="004503E6"/>
    <w:rsid w:val="00450537"/>
    <w:rsid w:val="0045080E"/>
    <w:rsid w:val="00450810"/>
    <w:rsid w:val="0045094D"/>
    <w:rsid w:val="00450EBF"/>
    <w:rsid w:val="0045114A"/>
    <w:rsid w:val="0045175A"/>
    <w:rsid w:val="00451DAA"/>
    <w:rsid w:val="00451E94"/>
    <w:rsid w:val="00451ED7"/>
    <w:rsid w:val="00451EE5"/>
    <w:rsid w:val="00451F6B"/>
    <w:rsid w:val="0045244F"/>
    <w:rsid w:val="00453907"/>
    <w:rsid w:val="00453DBE"/>
    <w:rsid w:val="0045449C"/>
    <w:rsid w:val="00454510"/>
    <w:rsid w:val="0045465B"/>
    <w:rsid w:val="00454775"/>
    <w:rsid w:val="00454932"/>
    <w:rsid w:val="00454A0E"/>
    <w:rsid w:val="00454DD3"/>
    <w:rsid w:val="00454DDF"/>
    <w:rsid w:val="00455107"/>
    <w:rsid w:val="0045544B"/>
    <w:rsid w:val="004556D3"/>
    <w:rsid w:val="00455AFF"/>
    <w:rsid w:val="00455B16"/>
    <w:rsid w:val="00455DF6"/>
    <w:rsid w:val="00455E9A"/>
    <w:rsid w:val="00455F1F"/>
    <w:rsid w:val="004566A5"/>
    <w:rsid w:val="004573A0"/>
    <w:rsid w:val="004573B0"/>
    <w:rsid w:val="00457416"/>
    <w:rsid w:val="004575B5"/>
    <w:rsid w:val="00457688"/>
    <w:rsid w:val="00457F81"/>
    <w:rsid w:val="0046044A"/>
    <w:rsid w:val="00460598"/>
    <w:rsid w:val="00460B7F"/>
    <w:rsid w:val="00460BB4"/>
    <w:rsid w:val="00460DF7"/>
    <w:rsid w:val="0046151A"/>
    <w:rsid w:val="00461FA9"/>
    <w:rsid w:val="00462693"/>
    <w:rsid w:val="004626CF"/>
    <w:rsid w:val="004626E0"/>
    <w:rsid w:val="004627BB"/>
    <w:rsid w:val="0046292E"/>
    <w:rsid w:val="00462C48"/>
    <w:rsid w:val="004631D5"/>
    <w:rsid w:val="004632A0"/>
    <w:rsid w:val="00463312"/>
    <w:rsid w:val="0046336D"/>
    <w:rsid w:val="004635FF"/>
    <w:rsid w:val="00463662"/>
    <w:rsid w:val="004636AF"/>
    <w:rsid w:val="00463E61"/>
    <w:rsid w:val="00463ED1"/>
    <w:rsid w:val="004648E6"/>
    <w:rsid w:val="00464C32"/>
    <w:rsid w:val="004654E4"/>
    <w:rsid w:val="00465849"/>
    <w:rsid w:val="00465BBB"/>
    <w:rsid w:val="00465E6C"/>
    <w:rsid w:val="00465FE9"/>
    <w:rsid w:val="00466074"/>
    <w:rsid w:val="00466AB7"/>
    <w:rsid w:val="00466C86"/>
    <w:rsid w:val="00466E7D"/>
    <w:rsid w:val="00467075"/>
    <w:rsid w:val="00467387"/>
    <w:rsid w:val="00467C13"/>
    <w:rsid w:val="00467DB4"/>
    <w:rsid w:val="0047006C"/>
    <w:rsid w:val="004701F1"/>
    <w:rsid w:val="00470262"/>
    <w:rsid w:val="0047040D"/>
    <w:rsid w:val="00470737"/>
    <w:rsid w:val="004707D9"/>
    <w:rsid w:val="00470888"/>
    <w:rsid w:val="00470A8A"/>
    <w:rsid w:val="00470E0C"/>
    <w:rsid w:val="00470F49"/>
    <w:rsid w:val="00470F8D"/>
    <w:rsid w:val="004710D6"/>
    <w:rsid w:val="0047139B"/>
    <w:rsid w:val="004714EC"/>
    <w:rsid w:val="0047193E"/>
    <w:rsid w:val="00472AAB"/>
    <w:rsid w:val="00472BBF"/>
    <w:rsid w:val="00472E76"/>
    <w:rsid w:val="00472ECB"/>
    <w:rsid w:val="0047300A"/>
    <w:rsid w:val="0047322C"/>
    <w:rsid w:val="00473498"/>
    <w:rsid w:val="0047376A"/>
    <w:rsid w:val="0047376C"/>
    <w:rsid w:val="00473A2B"/>
    <w:rsid w:val="00473DCB"/>
    <w:rsid w:val="004740A0"/>
    <w:rsid w:val="00474EB1"/>
    <w:rsid w:val="00475430"/>
    <w:rsid w:val="00475983"/>
    <w:rsid w:val="00475B64"/>
    <w:rsid w:val="00475C92"/>
    <w:rsid w:val="00476094"/>
    <w:rsid w:val="004762E3"/>
    <w:rsid w:val="004763AB"/>
    <w:rsid w:val="0047685D"/>
    <w:rsid w:val="00477144"/>
    <w:rsid w:val="0047745C"/>
    <w:rsid w:val="0047774D"/>
    <w:rsid w:val="00477750"/>
    <w:rsid w:val="00480B07"/>
    <w:rsid w:val="00480F54"/>
    <w:rsid w:val="0048106E"/>
    <w:rsid w:val="0048147B"/>
    <w:rsid w:val="004819B4"/>
    <w:rsid w:val="00481AD6"/>
    <w:rsid w:val="00481DF2"/>
    <w:rsid w:val="004823A7"/>
    <w:rsid w:val="004825F2"/>
    <w:rsid w:val="00482FE4"/>
    <w:rsid w:val="00483306"/>
    <w:rsid w:val="0048330C"/>
    <w:rsid w:val="0048373F"/>
    <w:rsid w:val="00483796"/>
    <w:rsid w:val="004837F6"/>
    <w:rsid w:val="004838AA"/>
    <w:rsid w:val="00483E23"/>
    <w:rsid w:val="00484181"/>
    <w:rsid w:val="00484298"/>
    <w:rsid w:val="00484382"/>
    <w:rsid w:val="00484B32"/>
    <w:rsid w:val="00484B6C"/>
    <w:rsid w:val="00485E49"/>
    <w:rsid w:val="004863A8"/>
    <w:rsid w:val="00486422"/>
    <w:rsid w:val="00486791"/>
    <w:rsid w:val="00487141"/>
    <w:rsid w:val="004871BB"/>
    <w:rsid w:val="0048721B"/>
    <w:rsid w:val="004879FF"/>
    <w:rsid w:val="0049005C"/>
    <w:rsid w:val="004902B2"/>
    <w:rsid w:val="004906BC"/>
    <w:rsid w:val="00490807"/>
    <w:rsid w:val="00490940"/>
    <w:rsid w:val="00491226"/>
    <w:rsid w:val="00491380"/>
    <w:rsid w:val="0049152C"/>
    <w:rsid w:val="004917C9"/>
    <w:rsid w:val="0049191A"/>
    <w:rsid w:val="004919A0"/>
    <w:rsid w:val="00491EC8"/>
    <w:rsid w:val="00492075"/>
    <w:rsid w:val="004929CA"/>
    <w:rsid w:val="00492F4D"/>
    <w:rsid w:val="004933D9"/>
    <w:rsid w:val="0049357A"/>
    <w:rsid w:val="004935AB"/>
    <w:rsid w:val="00493686"/>
    <w:rsid w:val="0049385D"/>
    <w:rsid w:val="00494107"/>
    <w:rsid w:val="00494234"/>
    <w:rsid w:val="0049443A"/>
    <w:rsid w:val="0049459F"/>
    <w:rsid w:val="004947E5"/>
    <w:rsid w:val="004948A6"/>
    <w:rsid w:val="00494B25"/>
    <w:rsid w:val="00495064"/>
    <w:rsid w:val="004960AD"/>
    <w:rsid w:val="00496226"/>
    <w:rsid w:val="00496626"/>
    <w:rsid w:val="004968EB"/>
    <w:rsid w:val="00496BE5"/>
    <w:rsid w:val="00496D3C"/>
    <w:rsid w:val="00496DA4"/>
    <w:rsid w:val="00497220"/>
    <w:rsid w:val="004972A4"/>
    <w:rsid w:val="00497378"/>
    <w:rsid w:val="00497434"/>
    <w:rsid w:val="004974FC"/>
    <w:rsid w:val="00497747"/>
    <w:rsid w:val="0049791F"/>
    <w:rsid w:val="00497943"/>
    <w:rsid w:val="00497A95"/>
    <w:rsid w:val="004A00AE"/>
    <w:rsid w:val="004A085C"/>
    <w:rsid w:val="004A163B"/>
    <w:rsid w:val="004A1CBC"/>
    <w:rsid w:val="004A2000"/>
    <w:rsid w:val="004A2993"/>
    <w:rsid w:val="004A2A8A"/>
    <w:rsid w:val="004A301E"/>
    <w:rsid w:val="004A3036"/>
    <w:rsid w:val="004A38DD"/>
    <w:rsid w:val="004A3E5A"/>
    <w:rsid w:val="004A4543"/>
    <w:rsid w:val="004A4859"/>
    <w:rsid w:val="004A4E69"/>
    <w:rsid w:val="004A51F3"/>
    <w:rsid w:val="004A53D2"/>
    <w:rsid w:val="004A5E19"/>
    <w:rsid w:val="004A6097"/>
    <w:rsid w:val="004A67B3"/>
    <w:rsid w:val="004A6A11"/>
    <w:rsid w:val="004A6D05"/>
    <w:rsid w:val="004A71B3"/>
    <w:rsid w:val="004A74CF"/>
    <w:rsid w:val="004A77FC"/>
    <w:rsid w:val="004A7DAD"/>
    <w:rsid w:val="004B0382"/>
    <w:rsid w:val="004B0426"/>
    <w:rsid w:val="004B059E"/>
    <w:rsid w:val="004B0916"/>
    <w:rsid w:val="004B0937"/>
    <w:rsid w:val="004B0A4D"/>
    <w:rsid w:val="004B0C44"/>
    <w:rsid w:val="004B0D53"/>
    <w:rsid w:val="004B0D72"/>
    <w:rsid w:val="004B16EB"/>
    <w:rsid w:val="004B1CAC"/>
    <w:rsid w:val="004B1D3D"/>
    <w:rsid w:val="004B1D71"/>
    <w:rsid w:val="004B1F70"/>
    <w:rsid w:val="004B209F"/>
    <w:rsid w:val="004B2C3D"/>
    <w:rsid w:val="004B2CC1"/>
    <w:rsid w:val="004B2E42"/>
    <w:rsid w:val="004B2EB0"/>
    <w:rsid w:val="004B2F7E"/>
    <w:rsid w:val="004B316C"/>
    <w:rsid w:val="004B3602"/>
    <w:rsid w:val="004B3714"/>
    <w:rsid w:val="004B3C7D"/>
    <w:rsid w:val="004B4284"/>
    <w:rsid w:val="004B42BC"/>
    <w:rsid w:val="004B43AE"/>
    <w:rsid w:val="004B450E"/>
    <w:rsid w:val="004B478A"/>
    <w:rsid w:val="004B4BFD"/>
    <w:rsid w:val="004B4F2B"/>
    <w:rsid w:val="004B50B9"/>
    <w:rsid w:val="004B50E3"/>
    <w:rsid w:val="004B585C"/>
    <w:rsid w:val="004B5945"/>
    <w:rsid w:val="004B5F00"/>
    <w:rsid w:val="004B6364"/>
    <w:rsid w:val="004B65D0"/>
    <w:rsid w:val="004B6860"/>
    <w:rsid w:val="004B6A10"/>
    <w:rsid w:val="004B7019"/>
    <w:rsid w:val="004B704C"/>
    <w:rsid w:val="004B71FD"/>
    <w:rsid w:val="004B77FF"/>
    <w:rsid w:val="004B7C3B"/>
    <w:rsid w:val="004B7D17"/>
    <w:rsid w:val="004C01A2"/>
    <w:rsid w:val="004C0300"/>
    <w:rsid w:val="004C03D1"/>
    <w:rsid w:val="004C0765"/>
    <w:rsid w:val="004C0824"/>
    <w:rsid w:val="004C0900"/>
    <w:rsid w:val="004C11FD"/>
    <w:rsid w:val="004C1639"/>
    <w:rsid w:val="004C1748"/>
    <w:rsid w:val="004C1760"/>
    <w:rsid w:val="004C1B08"/>
    <w:rsid w:val="004C1FA1"/>
    <w:rsid w:val="004C212E"/>
    <w:rsid w:val="004C22D0"/>
    <w:rsid w:val="004C22D6"/>
    <w:rsid w:val="004C25A8"/>
    <w:rsid w:val="004C269E"/>
    <w:rsid w:val="004C26C4"/>
    <w:rsid w:val="004C271D"/>
    <w:rsid w:val="004C2784"/>
    <w:rsid w:val="004C27D1"/>
    <w:rsid w:val="004C2860"/>
    <w:rsid w:val="004C288D"/>
    <w:rsid w:val="004C291A"/>
    <w:rsid w:val="004C2B86"/>
    <w:rsid w:val="004C2B99"/>
    <w:rsid w:val="004C2C7C"/>
    <w:rsid w:val="004C2CF2"/>
    <w:rsid w:val="004C2E33"/>
    <w:rsid w:val="004C30ED"/>
    <w:rsid w:val="004C3425"/>
    <w:rsid w:val="004C34D6"/>
    <w:rsid w:val="004C3CC5"/>
    <w:rsid w:val="004C41FA"/>
    <w:rsid w:val="004C45BB"/>
    <w:rsid w:val="004C4827"/>
    <w:rsid w:val="004C4E41"/>
    <w:rsid w:val="004C4F2E"/>
    <w:rsid w:val="004C4F3E"/>
    <w:rsid w:val="004C52DA"/>
    <w:rsid w:val="004C53CD"/>
    <w:rsid w:val="004C547A"/>
    <w:rsid w:val="004C5590"/>
    <w:rsid w:val="004C57DB"/>
    <w:rsid w:val="004C5D99"/>
    <w:rsid w:val="004C61A2"/>
    <w:rsid w:val="004C64D5"/>
    <w:rsid w:val="004C6A75"/>
    <w:rsid w:val="004C6CB4"/>
    <w:rsid w:val="004C7482"/>
    <w:rsid w:val="004C75F2"/>
    <w:rsid w:val="004C7626"/>
    <w:rsid w:val="004D02F7"/>
    <w:rsid w:val="004D0A0E"/>
    <w:rsid w:val="004D0CB1"/>
    <w:rsid w:val="004D12FA"/>
    <w:rsid w:val="004D163C"/>
    <w:rsid w:val="004D1BD9"/>
    <w:rsid w:val="004D1D43"/>
    <w:rsid w:val="004D1E15"/>
    <w:rsid w:val="004D1F3C"/>
    <w:rsid w:val="004D223C"/>
    <w:rsid w:val="004D2865"/>
    <w:rsid w:val="004D2F81"/>
    <w:rsid w:val="004D35D3"/>
    <w:rsid w:val="004D36F3"/>
    <w:rsid w:val="004D3821"/>
    <w:rsid w:val="004D498F"/>
    <w:rsid w:val="004D5041"/>
    <w:rsid w:val="004D536B"/>
    <w:rsid w:val="004D5454"/>
    <w:rsid w:val="004D5675"/>
    <w:rsid w:val="004D57F1"/>
    <w:rsid w:val="004D6036"/>
    <w:rsid w:val="004D60C5"/>
    <w:rsid w:val="004D60DA"/>
    <w:rsid w:val="004D61EF"/>
    <w:rsid w:val="004D6217"/>
    <w:rsid w:val="004D688F"/>
    <w:rsid w:val="004D69C9"/>
    <w:rsid w:val="004D69DA"/>
    <w:rsid w:val="004D6BFF"/>
    <w:rsid w:val="004D6CDD"/>
    <w:rsid w:val="004D6E00"/>
    <w:rsid w:val="004D74A1"/>
    <w:rsid w:val="004D7A01"/>
    <w:rsid w:val="004D7BA5"/>
    <w:rsid w:val="004D7DDF"/>
    <w:rsid w:val="004D7DE3"/>
    <w:rsid w:val="004E0D43"/>
    <w:rsid w:val="004E10A8"/>
    <w:rsid w:val="004E159F"/>
    <w:rsid w:val="004E15BA"/>
    <w:rsid w:val="004E17FB"/>
    <w:rsid w:val="004E190E"/>
    <w:rsid w:val="004E1CEB"/>
    <w:rsid w:val="004E24E0"/>
    <w:rsid w:val="004E2A0B"/>
    <w:rsid w:val="004E2E38"/>
    <w:rsid w:val="004E2EFD"/>
    <w:rsid w:val="004E3403"/>
    <w:rsid w:val="004E4274"/>
    <w:rsid w:val="004E4AE4"/>
    <w:rsid w:val="004E4CC3"/>
    <w:rsid w:val="004E4CEE"/>
    <w:rsid w:val="004E4D9B"/>
    <w:rsid w:val="004E5064"/>
    <w:rsid w:val="004E55E2"/>
    <w:rsid w:val="004E5C05"/>
    <w:rsid w:val="004E6151"/>
    <w:rsid w:val="004E6580"/>
    <w:rsid w:val="004E65AD"/>
    <w:rsid w:val="004E65F8"/>
    <w:rsid w:val="004E6985"/>
    <w:rsid w:val="004E6A46"/>
    <w:rsid w:val="004E78C7"/>
    <w:rsid w:val="004E7B5E"/>
    <w:rsid w:val="004E7EBD"/>
    <w:rsid w:val="004F00A1"/>
    <w:rsid w:val="004F02CD"/>
    <w:rsid w:val="004F0331"/>
    <w:rsid w:val="004F04D8"/>
    <w:rsid w:val="004F08E8"/>
    <w:rsid w:val="004F0A5D"/>
    <w:rsid w:val="004F0D72"/>
    <w:rsid w:val="004F11A2"/>
    <w:rsid w:val="004F1371"/>
    <w:rsid w:val="004F1640"/>
    <w:rsid w:val="004F2BBB"/>
    <w:rsid w:val="004F2EF3"/>
    <w:rsid w:val="004F30A5"/>
    <w:rsid w:val="004F337B"/>
    <w:rsid w:val="004F3708"/>
    <w:rsid w:val="004F4A51"/>
    <w:rsid w:val="004F54C8"/>
    <w:rsid w:val="004F59AD"/>
    <w:rsid w:val="004F5FEF"/>
    <w:rsid w:val="004F614B"/>
    <w:rsid w:val="004F61FF"/>
    <w:rsid w:val="004F623A"/>
    <w:rsid w:val="004F6BE4"/>
    <w:rsid w:val="004F777B"/>
    <w:rsid w:val="004F7963"/>
    <w:rsid w:val="004F7E89"/>
    <w:rsid w:val="00500558"/>
    <w:rsid w:val="005005DB"/>
    <w:rsid w:val="00500649"/>
    <w:rsid w:val="005007CB"/>
    <w:rsid w:val="00500952"/>
    <w:rsid w:val="00500E08"/>
    <w:rsid w:val="00500EAD"/>
    <w:rsid w:val="00500EE7"/>
    <w:rsid w:val="005010D5"/>
    <w:rsid w:val="005012A2"/>
    <w:rsid w:val="00501312"/>
    <w:rsid w:val="00501424"/>
    <w:rsid w:val="005017FF"/>
    <w:rsid w:val="00501F25"/>
    <w:rsid w:val="0050207D"/>
    <w:rsid w:val="005024DD"/>
    <w:rsid w:val="0050262F"/>
    <w:rsid w:val="005030D5"/>
    <w:rsid w:val="005038BF"/>
    <w:rsid w:val="00503DE3"/>
    <w:rsid w:val="005042B0"/>
    <w:rsid w:val="005044E2"/>
    <w:rsid w:val="00504D86"/>
    <w:rsid w:val="00504FC8"/>
    <w:rsid w:val="0050549C"/>
    <w:rsid w:val="0050563B"/>
    <w:rsid w:val="00505922"/>
    <w:rsid w:val="0050594F"/>
    <w:rsid w:val="00507325"/>
    <w:rsid w:val="0050795F"/>
    <w:rsid w:val="00507A21"/>
    <w:rsid w:val="00507CEA"/>
    <w:rsid w:val="00510085"/>
    <w:rsid w:val="005106D5"/>
    <w:rsid w:val="0051072A"/>
    <w:rsid w:val="00510AAC"/>
    <w:rsid w:val="0051157C"/>
    <w:rsid w:val="005119A5"/>
    <w:rsid w:val="00511A8F"/>
    <w:rsid w:val="00511C9E"/>
    <w:rsid w:val="00511D28"/>
    <w:rsid w:val="00511DBB"/>
    <w:rsid w:val="00511EA5"/>
    <w:rsid w:val="00512310"/>
    <w:rsid w:val="00512832"/>
    <w:rsid w:val="005128B8"/>
    <w:rsid w:val="0051292F"/>
    <w:rsid w:val="00512C8C"/>
    <w:rsid w:val="00512CB4"/>
    <w:rsid w:val="00512DDC"/>
    <w:rsid w:val="00513467"/>
    <w:rsid w:val="0051352A"/>
    <w:rsid w:val="005135B1"/>
    <w:rsid w:val="0051365E"/>
    <w:rsid w:val="00513771"/>
    <w:rsid w:val="005137AB"/>
    <w:rsid w:val="005137E0"/>
    <w:rsid w:val="0051397B"/>
    <w:rsid w:val="00513F28"/>
    <w:rsid w:val="0051401B"/>
    <w:rsid w:val="005145EE"/>
    <w:rsid w:val="00514820"/>
    <w:rsid w:val="00515969"/>
    <w:rsid w:val="00515B4D"/>
    <w:rsid w:val="00515BAE"/>
    <w:rsid w:val="00515E62"/>
    <w:rsid w:val="005167B5"/>
    <w:rsid w:val="00516898"/>
    <w:rsid w:val="0051697D"/>
    <w:rsid w:val="00516E48"/>
    <w:rsid w:val="005170F8"/>
    <w:rsid w:val="005172FD"/>
    <w:rsid w:val="0051761B"/>
    <w:rsid w:val="0051771F"/>
    <w:rsid w:val="00517795"/>
    <w:rsid w:val="005177CA"/>
    <w:rsid w:val="00517A86"/>
    <w:rsid w:val="00517D12"/>
    <w:rsid w:val="00517E04"/>
    <w:rsid w:val="00520108"/>
    <w:rsid w:val="0052025C"/>
    <w:rsid w:val="00520318"/>
    <w:rsid w:val="00520360"/>
    <w:rsid w:val="005210CA"/>
    <w:rsid w:val="005211AE"/>
    <w:rsid w:val="00521326"/>
    <w:rsid w:val="005217BE"/>
    <w:rsid w:val="00521930"/>
    <w:rsid w:val="00521C04"/>
    <w:rsid w:val="00521C2A"/>
    <w:rsid w:val="00521E6D"/>
    <w:rsid w:val="0052290D"/>
    <w:rsid w:val="00522EFE"/>
    <w:rsid w:val="0052303D"/>
    <w:rsid w:val="005230F0"/>
    <w:rsid w:val="00523399"/>
    <w:rsid w:val="00523639"/>
    <w:rsid w:val="0052410B"/>
    <w:rsid w:val="00524365"/>
    <w:rsid w:val="00525135"/>
    <w:rsid w:val="005251AA"/>
    <w:rsid w:val="00525774"/>
    <w:rsid w:val="00525A88"/>
    <w:rsid w:val="005261BE"/>
    <w:rsid w:val="0052664F"/>
    <w:rsid w:val="00527165"/>
    <w:rsid w:val="00527661"/>
    <w:rsid w:val="00527880"/>
    <w:rsid w:val="005279D5"/>
    <w:rsid w:val="00527A0B"/>
    <w:rsid w:val="00527E21"/>
    <w:rsid w:val="005301C0"/>
    <w:rsid w:val="00530221"/>
    <w:rsid w:val="00530545"/>
    <w:rsid w:val="00530B73"/>
    <w:rsid w:val="00530EA8"/>
    <w:rsid w:val="005312DB"/>
    <w:rsid w:val="0053168D"/>
    <w:rsid w:val="00531E33"/>
    <w:rsid w:val="00531FE5"/>
    <w:rsid w:val="00532237"/>
    <w:rsid w:val="00532527"/>
    <w:rsid w:val="00532720"/>
    <w:rsid w:val="00532738"/>
    <w:rsid w:val="005329D5"/>
    <w:rsid w:val="00532AED"/>
    <w:rsid w:val="00533738"/>
    <w:rsid w:val="00533E1F"/>
    <w:rsid w:val="00534072"/>
    <w:rsid w:val="005342A1"/>
    <w:rsid w:val="00534595"/>
    <w:rsid w:val="00534807"/>
    <w:rsid w:val="00534D3C"/>
    <w:rsid w:val="00534F24"/>
    <w:rsid w:val="00535556"/>
    <w:rsid w:val="00535825"/>
    <w:rsid w:val="00535A31"/>
    <w:rsid w:val="00536018"/>
    <w:rsid w:val="00536276"/>
    <w:rsid w:val="005368B9"/>
    <w:rsid w:val="005370F1"/>
    <w:rsid w:val="00537194"/>
    <w:rsid w:val="005373F4"/>
    <w:rsid w:val="005402FA"/>
    <w:rsid w:val="0054076A"/>
    <w:rsid w:val="00540C5D"/>
    <w:rsid w:val="00540F0A"/>
    <w:rsid w:val="00541237"/>
    <w:rsid w:val="005417A9"/>
    <w:rsid w:val="005417B6"/>
    <w:rsid w:val="00541EC8"/>
    <w:rsid w:val="0054222F"/>
    <w:rsid w:val="0054223C"/>
    <w:rsid w:val="00542398"/>
    <w:rsid w:val="00542A84"/>
    <w:rsid w:val="00542CA1"/>
    <w:rsid w:val="00543278"/>
    <w:rsid w:val="00543457"/>
    <w:rsid w:val="00543DBB"/>
    <w:rsid w:val="00543DFD"/>
    <w:rsid w:val="00543E38"/>
    <w:rsid w:val="005441E1"/>
    <w:rsid w:val="0054426B"/>
    <w:rsid w:val="005444B0"/>
    <w:rsid w:val="00544EB7"/>
    <w:rsid w:val="0054501B"/>
    <w:rsid w:val="005451F0"/>
    <w:rsid w:val="005454C3"/>
    <w:rsid w:val="0054566C"/>
    <w:rsid w:val="00545F03"/>
    <w:rsid w:val="00546B8F"/>
    <w:rsid w:val="00546C77"/>
    <w:rsid w:val="00546EEA"/>
    <w:rsid w:val="0054790E"/>
    <w:rsid w:val="0054799A"/>
    <w:rsid w:val="00547C06"/>
    <w:rsid w:val="00550679"/>
    <w:rsid w:val="005508EE"/>
    <w:rsid w:val="00550AD8"/>
    <w:rsid w:val="005516DA"/>
    <w:rsid w:val="0055276E"/>
    <w:rsid w:val="00552AA5"/>
    <w:rsid w:val="00553743"/>
    <w:rsid w:val="0055391F"/>
    <w:rsid w:val="00553B1D"/>
    <w:rsid w:val="00553C9A"/>
    <w:rsid w:val="00554133"/>
    <w:rsid w:val="0055427C"/>
    <w:rsid w:val="005544B1"/>
    <w:rsid w:val="00554786"/>
    <w:rsid w:val="00554C24"/>
    <w:rsid w:val="00554C59"/>
    <w:rsid w:val="00554E36"/>
    <w:rsid w:val="00554F39"/>
    <w:rsid w:val="005550D3"/>
    <w:rsid w:val="00555384"/>
    <w:rsid w:val="00555AA6"/>
    <w:rsid w:val="00555B75"/>
    <w:rsid w:val="0055644D"/>
    <w:rsid w:val="00556A13"/>
    <w:rsid w:val="00556CDE"/>
    <w:rsid w:val="00556EEF"/>
    <w:rsid w:val="00557044"/>
    <w:rsid w:val="00557355"/>
    <w:rsid w:val="00557517"/>
    <w:rsid w:val="005579C6"/>
    <w:rsid w:val="0056002C"/>
    <w:rsid w:val="00560850"/>
    <w:rsid w:val="00560BD0"/>
    <w:rsid w:val="005613AF"/>
    <w:rsid w:val="00561780"/>
    <w:rsid w:val="00561903"/>
    <w:rsid w:val="0056190E"/>
    <w:rsid w:val="005626BE"/>
    <w:rsid w:val="005626F7"/>
    <w:rsid w:val="00562B68"/>
    <w:rsid w:val="00562C7E"/>
    <w:rsid w:val="00562E02"/>
    <w:rsid w:val="00562EDF"/>
    <w:rsid w:val="00563908"/>
    <w:rsid w:val="00563B55"/>
    <w:rsid w:val="00563CFA"/>
    <w:rsid w:val="00563EB1"/>
    <w:rsid w:val="00563FAE"/>
    <w:rsid w:val="00564520"/>
    <w:rsid w:val="005649A3"/>
    <w:rsid w:val="00564FEA"/>
    <w:rsid w:val="00564FF0"/>
    <w:rsid w:val="0056586A"/>
    <w:rsid w:val="00565A7E"/>
    <w:rsid w:val="00565EAF"/>
    <w:rsid w:val="0056622C"/>
    <w:rsid w:val="0056637B"/>
    <w:rsid w:val="00566469"/>
    <w:rsid w:val="005667AC"/>
    <w:rsid w:val="00566EAB"/>
    <w:rsid w:val="005673B1"/>
    <w:rsid w:val="00567437"/>
    <w:rsid w:val="005675AF"/>
    <w:rsid w:val="00567A21"/>
    <w:rsid w:val="005703A1"/>
    <w:rsid w:val="0057042B"/>
    <w:rsid w:val="00570631"/>
    <w:rsid w:val="00570C06"/>
    <w:rsid w:val="00571A27"/>
    <w:rsid w:val="00571AD5"/>
    <w:rsid w:val="00571E50"/>
    <w:rsid w:val="00571FE9"/>
    <w:rsid w:val="0057216D"/>
    <w:rsid w:val="005721EB"/>
    <w:rsid w:val="005723E7"/>
    <w:rsid w:val="005729BD"/>
    <w:rsid w:val="00572AE1"/>
    <w:rsid w:val="00572DAB"/>
    <w:rsid w:val="00572E1F"/>
    <w:rsid w:val="00573283"/>
    <w:rsid w:val="005732D2"/>
    <w:rsid w:val="0057352D"/>
    <w:rsid w:val="00573659"/>
    <w:rsid w:val="00573AB2"/>
    <w:rsid w:val="00573D74"/>
    <w:rsid w:val="00573DA9"/>
    <w:rsid w:val="005741F7"/>
    <w:rsid w:val="0057453D"/>
    <w:rsid w:val="0057482A"/>
    <w:rsid w:val="00574E3E"/>
    <w:rsid w:val="005756F8"/>
    <w:rsid w:val="00575750"/>
    <w:rsid w:val="00575F79"/>
    <w:rsid w:val="00575FCC"/>
    <w:rsid w:val="005761E8"/>
    <w:rsid w:val="00576237"/>
    <w:rsid w:val="005762EC"/>
    <w:rsid w:val="00576939"/>
    <w:rsid w:val="00577501"/>
    <w:rsid w:val="00577939"/>
    <w:rsid w:val="00577CC9"/>
    <w:rsid w:val="00580631"/>
    <w:rsid w:val="00580AA3"/>
    <w:rsid w:val="00581906"/>
    <w:rsid w:val="00581F2A"/>
    <w:rsid w:val="00581F78"/>
    <w:rsid w:val="0058205A"/>
    <w:rsid w:val="005831F6"/>
    <w:rsid w:val="005831FD"/>
    <w:rsid w:val="005833A1"/>
    <w:rsid w:val="005834FB"/>
    <w:rsid w:val="0058396D"/>
    <w:rsid w:val="00583C39"/>
    <w:rsid w:val="0058411A"/>
    <w:rsid w:val="00584172"/>
    <w:rsid w:val="0058440B"/>
    <w:rsid w:val="00584513"/>
    <w:rsid w:val="0058453A"/>
    <w:rsid w:val="00585030"/>
    <w:rsid w:val="00585061"/>
    <w:rsid w:val="0058546D"/>
    <w:rsid w:val="00585591"/>
    <w:rsid w:val="005855E7"/>
    <w:rsid w:val="005856A9"/>
    <w:rsid w:val="00585E14"/>
    <w:rsid w:val="005860FD"/>
    <w:rsid w:val="0058620B"/>
    <w:rsid w:val="00586231"/>
    <w:rsid w:val="005864A1"/>
    <w:rsid w:val="00587A02"/>
    <w:rsid w:val="00587A8E"/>
    <w:rsid w:val="00587F28"/>
    <w:rsid w:val="0059017B"/>
    <w:rsid w:val="0059022E"/>
    <w:rsid w:val="00590262"/>
    <w:rsid w:val="00590430"/>
    <w:rsid w:val="00590515"/>
    <w:rsid w:val="005909CF"/>
    <w:rsid w:val="00590B3A"/>
    <w:rsid w:val="00590CB5"/>
    <w:rsid w:val="00591325"/>
    <w:rsid w:val="005913F9"/>
    <w:rsid w:val="00591C67"/>
    <w:rsid w:val="00591CE0"/>
    <w:rsid w:val="00591E71"/>
    <w:rsid w:val="005923A9"/>
    <w:rsid w:val="005924FB"/>
    <w:rsid w:val="00592D91"/>
    <w:rsid w:val="00593390"/>
    <w:rsid w:val="0059368B"/>
    <w:rsid w:val="00593A89"/>
    <w:rsid w:val="00594133"/>
    <w:rsid w:val="0059432F"/>
    <w:rsid w:val="0059492B"/>
    <w:rsid w:val="00594957"/>
    <w:rsid w:val="00594A79"/>
    <w:rsid w:val="00594EEE"/>
    <w:rsid w:val="00594FA6"/>
    <w:rsid w:val="00595016"/>
    <w:rsid w:val="00595108"/>
    <w:rsid w:val="0059535B"/>
    <w:rsid w:val="005953F9"/>
    <w:rsid w:val="0059544F"/>
    <w:rsid w:val="005956F6"/>
    <w:rsid w:val="00595B73"/>
    <w:rsid w:val="0059602D"/>
    <w:rsid w:val="005966EF"/>
    <w:rsid w:val="00596EA3"/>
    <w:rsid w:val="00596FB3"/>
    <w:rsid w:val="0059734F"/>
    <w:rsid w:val="005977D9"/>
    <w:rsid w:val="005978F2"/>
    <w:rsid w:val="00597B0D"/>
    <w:rsid w:val="00597B18"/>
    <w:rsid w:val="00597B35"/>
    <w:rsid w:val="00597D3D"/>
    <w:rsid w:val="00597E1D"/>
    <w:rsid w:val="00597E88"/>
    <w:rsid w:val="005A022F"/>
    <w:rsid w:val="005A0470"/>
    <w:rsid w:val="005A0495"/>
    <w:rsid w:val="005A0B6F"/>
    <w:rsid w:val="005A0BA2"/>
    <w:rsid w:val="005A0BE2"/>
    <w:rsid w:val="005A0CBC"/>
    <w:rsid w:val="005A0D41"/>
    <w:rsid w:val="005A1070"/>
    <w:rsid w:val="005A11D1"/>
    <w:rsid w:val="005A1217"/>
    <w:rsid w:val="005A15A7"/>
    <w:rsid w:val="005A1639"/>
    <w:rsid w:val="005A1735"/>
    <w:rsid w:val="005A22D5"/>
    <w:rsid w:val="005A264C"/>
    <w:rsid w:val="005A2FAC"/>
    <w:rsid w:val="005A3318"/>
    <w:rsid w:val="005A37F2"/>
    <w:rsid w:val="005A3F2C"/>
    <w:rsid w:val="005A4097"/>
    <w:rsid w:val="005A41A1"/>
    <w:rsid w:val="005A44AC"/>
    <w:rsid w:val="005A4586"/>
    <w:rsid w:val="005A4649"/>
    <w:rsid w:val="005A48D6"/>
    <w:rsid w:val="005A49E5"/>
    <w:rsid w:val="005A4A65"/>
    <w:rsid w:val="005A4D4D"/>
    <w:rsid w:val="005A500A"/>
    <w:rsid w:val="005A51B4"/>
    <w:rsid w:val="005A54FB"/>
    <w:rsid w:val="005A577D"/>
    <w:rsid w:val="005A5B0C"/>
    <w:rsid w:val="005A5B8F"/>
    <w:rsid w:val="005A5BAA"/>
    <w:rsid w:val="005A5C6F"/>
    <w:rsid w:val="005A65EB"/>
    <w:rsid w:val="005A66FC"/>
    <w:rsid w:val="005A6E66"/>
    <w:rsid w:val="005A72B8"/>
    <w:rsid w:val="005A7660"/>
    <w:rsid w:val="005A7BFC"/>
    <w:rsid w:val="005A7D9B"/>
    <w:rsid w:val="005A7E61"/>
    <w:rsid w:val="005B0EC1"/>
    <w:rsid w:val="005B0F15"/>
    <w:rsid w:val="005B1BB1"/>
    <w:rsid w:val="005B1FC2"/>
    <w:rsid w:val="005B1FD8"/>
    <w:rsid w:val="005B24AF"/>
    <w:rsid w:val="005B2E6E"/>
    <w:rsid w:val="005B2E81"/>
    <w:rsid w:val="005B2F0D"/>
    <w:rsid w:val="005B3198"/>
    <w:rsid w:val="005B3855"/>
    <w:rsid w:val="005B3912"/>
    <w:rsid w:val="005B3A2E"/>
    <w:rsid w:val="005B3B13"/>
    <w:rsid w:val="005B3B7D"/>
    <w:rsid w:val="005B44D6"/>
    <w:rsid w:val="005B45B8"/>
    <w:rsid w:val="005B4868"/>
    <w:rsid w:val="005B48C2"/>
    <w:rsid w:val="005B4D89"/>
    <w:rsid w:val="005B4FF5"/>
    <w:rsid w:val="005B507D"/>
    <w:rsid w:val="005B51CC"/>
    <w:rsid w:val="005B5D34"/>
    <w:rsid w:val="005B643B"/>
    <w:rsid w:val="005B6B74"/>
    <w:rsid w:val="005B6BA7"/>
    <w:rsid w:val="005B742E"/>
    <w:rsid w:val="005B7881"/>
    <w:rsid w:val="005B7982"/>
    <w:rsid w:val="005B79BC"/>
    <w:rsid w:val="005B7AE6"/>
    <w:rsid w:val="005B7E7A"/>
    <w:rsid w:val="005C00D2"/>
    <w:rsid w:val="005C064D"/>
    <w:rsid w:val="005C09DA"/>
    <w:rsid w:val="005C14AA"/>
    <w:rsid w:val="005C17CE"/>
    <w:rsid w:val="005C1AB4"/>
    <w:rsid w:val="005C1E92"/>
    <w:rsid w:val="005C21B5"/>
    <w:rsid w:val="005C21E9"/>
    <w:rsid w:val="005C288D"/>
    <w:rsid w:val="005C2B67"/>
    <w:rsid w:val="005C2BE2"/>
    <w:rsid w:val="005C3A35"/>
    <w:rsid w:val="005C3C2D"/>
    <w:rsid w:val="005C48BA"/>
    <w:rsid w:val="005C5337"/>
    <w:rsid w:val="005C5463"/>
    <w:rsid w:val="005C5544"/>
    <w:rsid w:val="005C5713"/>
    <w:rsid w:val="005C586E"/>
    <w:rsid w:val="005C5946"/>
    <w:rsid w:val="005C5BAB"/>
    <w:rsid w:val="005C5E19"/>
    <w:rsid w:val="005C5E7B"/>
    <w:rsid w:val="005C601C"/>
    <w:rsid w:val="005C65A8"/>
    <w:rsid w:val="005C6A3D"/>
    <w:rsid w:val="005C6A72"/>
    <w:rsid w:val="005C6AA0"/>
    <w:rsid w:val="005C6E5C"/>
    <w:rsid w:val="005C6F63"/>
    <w:rsid w:val="005C6FA4"/>
    <w:rsid w:val="005C6FC5"/>
    <w:rsid w:val="005C7168"/>
    <w:rsid w:val="005C7D48"/>
    <w:rsid w:val="005C7FCD"/>
    <w:rsid w:val="005D0834"/>
    <w:rsid w:val="005D0913"/>
    <w:rsid w:val="005D0935"/>
    <w:rsid w:val="005D0DED"/>
    <w:rsid w:val="005D10EF"/>
    <w:rsid w:val="005D1222"/>
    <w:rsid w:val="005D1278"/>
    <w:rsid w:val="005D1BD3"/>
    <w:rsid w:val="005D1F91"/>
    <w:rsid w:val="005D210E"/>
    <w:rsid w:val="005D225F"/>
    <w:rsid w:val="005D239B"/>
    <w:rsid w:val="005D2751"/>
    <w:rsid w:val="005D27B9"/>
    <w:rsid w:val="005D2A6D"/>
    <w:rsid w:val="005D2AD5"/>
    <w:rsid w:val="005D308D"/>
    <w:rsid w:val="005D31E7"/>
    <w:rsid w:val="005D3859"/>
    <w:rsid w:val="005D394E"/>
    <w:rsid w:val="005D39FA"/>
    <w:rsid w:val="005D3AC9"/>
    <w:rsid w:val="005D3BBF"/>
    <w:rsid w:val="005D3ECB"/>
    <w:rsid w:val="005D4603"/>
    <w:rsid w:val="005D4CC8"/>
    <w:rsid w:val="005D5458"/>
    <w:rsid w:val="005D59B9"/>
    <w:rsid w:val="005D604C"/>
    <w:rsid w:val="005D6086"/>
    <w:rsid w:val="005D60D2"/>
    <w:rsid w:val="005D660E"/>
    <w:rsid w:val="005D6A6F"/>
    <w:rsid w:val="005D6CC2"/>
    <w:rsid w:val="005D7A6B"/>
    <w:rsid w:val="005D7B92"/>
    <w:rsid w:val="005E0080"/>
    <w:rsid w:val="005E0356"/>
    <w:rsid w:val="005E09B2"/>
    <w:rsid w:val="005E0CDE"/>
    <w:rsid w:val="005E0D86"/>
    <w:rsid w:val="005E12FC"/>
    <w:rsid w:val="005E1471"/>
    <w:rsid w:val="005E15AC"/>
    <w:rsid w:val="005E1B0D"/>
    <w:rsid w:val="005E1B2F"/>
    <w:rsid w:val="005E1BFC"/>
    <w:rsid w:val="005E1E84"/>
    <w:rsid w:val="005E1EB5"/>
    <w:rsid w:val="005E22C5"/>
    <w:rsid w:val="005E27C1"/>
    <w:rsid w:val="005E28B1"/>
    <w:rsid w:val="005E2C53"/>
    <w:rsid w:val="005E314F"/>
    <w:rsid w:val="005E31F3"/>
    <w:rsid w:val="005E35F1"/>
    <w:rsid w:val="005E3B6E"/>
    <w:rsid w:val="005E3B83"/>
    <w:rsid w:val="005E3B96"/>
    <w:rsid w:val="005E3CAC"/>
    <w:rsid w:val="005E457C"/>
    <w:rsid w:val="005E48F5"/>
    <w:rsid w:val="005E4B4A"/>
    <w:rsid w:val="005E4CD9"/>
    <w:rsid w:val="005E4DEF"/>
    <w:rsid w:val="005E53FF"/>
    <w:rsid w:val="005E57B2"/>
    <w:rsid w:val="005E58F5"/>
    <w:rsid w:val="005E59EE"/>
    <w:rsid w:val="005E5DEB"/>
    <w:rsid w:val="005E5E4B"/>
    <w:rsid w:val="005E62DA"/>
    <w:rsid w:val="005E6502"/>
    <w:rsid w:val="005E6CB8"/>
    <w:rsid w:val="005E6F67"/>
    <w:rsid w:val="005E72B0"/>
    <w:rsid w:val="005E7B35"/>
    <w:rsid w:val="005E7D74"/>
    <w:rsid w:val="005E7D82"/>
    <w:rsid w:val="005E7E39"/>
    <w:rsid w:val="005F04FF"/>
    <w:rsid w:val="005F06BA"/>
    <w:rsid w:val="005F0D60"/>
    <w:rsid w:val="005F103C"/>
    <w:rsid w:val="005F1591"/>
    <w:rsid w:val="005F1602"/>
    <w:rsid w:val="005F1710"/>
    <w:rsid w:val="005F1944"/>
    <w:rsid w:val="005F19D7"/>
    <w:rsid w:val="005F1AD7"/>
    <w:rsid w:val="005F227C"/>
    <w:rsid w:val="005F261D"/>
    <w:rsid w:val="005F296E"/>
    <w:rsid w:val="005F2E31"/>
    <w:rsid w:val="005F30C8"/>
    <w:rsid w:val="005F39E1"/>
    <w:rsid w:val="005F4133"/>
    <w:rsid w:val="005F43CD"/>
    <w:rsid w:val="005F48ED"/>
    <w:rsid w:val="005F4AD7"/>
    <w:rsid w:val="005F572E"/>
    <w:rsid w:val="005F582D"/>
    <w:rsid w:val="005F6018"/>
    <w:rsid w:val="005F601A"/>
    <w:rsid w:val="005F610D"/>
    <w:rsid w:val="005F64EB"/>
    <w:rsid w:val="005F6933"/>
    <w:rsid w:val="005F6A21"/>
    <w:rsid w:val="005F6C2F"/>
    <w:rsid w:val="005F6FEA"/>
    <w:rsid w:val="005F73D1"/>
    <w:rsid w:val="005F750C"/>
    <w:rsid w:val="005F7905"/>
    <w:rsid w:val="005F79D0"/>
    <w:rsid w:val="0060008D"/>
    <w:rsid w:val="00600310"/>
    <w:rsid w:val="00600434"/>
    <w:rsid w:val="00600466"/>
    <w:rsid w:val="006004F8"/>
    <w:rsid w:val="0060072C"/>
    <w:rsid w:val="00600F1F"/>
    <w:rsid w:val="00601782"/>
    <w:rsid w:val="00602293"/>
    <w:rsid w:val="006023C3"/>
    <w:rsid w:val="006023EF"/>
    <w:rsid w:val="006025EB"/>
    <w:rsid w:val="006026C7"/>
    <w:rsid w:val="00602C5F"/>
    <w:rsid w:val="00602E62"/>
    <w:rsid w:val="00603B0A"/>
    <w:rsid w:val="00603D6A"/>
    <w:rsid w:val="00603EF4"/>
    <w:rsid w:val="00604299"/>
    <w:rsid w:val="0060459D"/>
    <w:rsid w:val="00604751"/>
    <w:rsid w:val="00604943"/>
    <w:rsid w:val="00604FD6"/>
    <w:rsid w:val="00605150"/>
    <w:rsid w:val="006051A5"/>
    <w:rsid w:val="006051BA"/>
    <w:rsid w:val="006053DF"/>
    <w:rsid w:val="006056CF"/>
    <w:rsid w:val="006057A8"/>
    <w:rsid w:val="00605A2F"/>
    <w:rsid w:val="00605C8B"/>
    <w:rsid w:val="00605DA9"/>
    <w:rsid w:val="00605F29"/>
    <w:rsid w:val="006064A4"/>
    <w:rsid w:val="0060676C"/>
    <w:rsid w:val="0060690A"/>
    <w:rsid w:val="00606AFB"/>
    <w:rsid w:val="00606CA2"/>
    <w:rsid w:val="00606E78"/>
    <w:rsid w:val="006073A0"/>
    <w:rsid w:val="00607B23"/>
    <w:rsid w:val="00607BF1"/>
    <w:rsid w:val="00607E83"/>
    <w:rsid w:val="00610001"/>
    <w:rsid w:val="00610263"/>
    <w:rsid w:val="00610370"/>
    <w:rsid w:val="00610A95"/>
    <w:rsid w:val="00610CFB"/>
    <w:rsid w:val="00610D73"/>
    <w:rsid w:val="00610E41"/>
    <w:rsid w:val="00611209"/>
    <w:rsid w:val="00611704"/>
    <w:rsid w:val="0061174F"/>
    <w:rsid w:val="00611A11"/>
    <w:rsid w:val="00611A31"/>
    <w:rsid w:val="00611BFC"/>
    <w:rsid w:val="00611D37"/>
    <w:rsid w:val="00611E79"/>
    <w:rsid w:val="0061237A"/>
    <w:rsid w:val="00612A64"/>
    <w:rsid w:val="00612E72"/>
    <w:rsid w:val="00613245"/>
    <w:rsid w:val="00613A3F"/>
    <w:rsid w:val="00613A7B"/>
    <w:rsid w:val="0061419E"/>
    <w:rsid w:val="0061444A"/>
    <w:rsid w:val="0061495F"/>
    <w:rsid w:val="00614BFB"/>
    <w:rsid w:val="0061516E"/>
    <w:rsid w:val="00615253"/>
    <w:rsid w:val="006157DF"/>
    <w:rsid w:val="00616513"/>
    <w:rsid w:val="00616523"/>
    <w:rsid w:val="0061666F"/>
    <w:rsid w:val="006166B3"/>
    <w:rsid w:val="00616798"/>
    <w:rsid w:val="006168FC"/>
    <w:rsid w:val="00616AC1"/>
    <w:rsid w:val="00616C8A"/>
    <w:rsid w:val="00616D7C"/>
    <w:rsid w:val="00616FF9"/>
    <w:rsid w:val="00617018"/>
    <w:rsid w:val="00617772"/>
    <w:rsid w:val="0062000A"/>
    <w:rsid w:val="006200E7"/>
    <w:rsid w:val="00620332"/>
    <w:rsid w:val="006203CD"/>
    <w:rsid w:val="006208D0"/>
    <w:rsid w:val="00620BBF"/>
    <w:rsid w:val="00620D8E"/>
    <w:rsid w:val="0062106E"/>
    <w:rsid w:val="006212F2"/>
    <w:rsid w:val="00621308"/>
    <w:rsid w:val="00621EAF"/>
    <w:rsid w:val="00621ECE"/>
    <w:rsid w:val="006221AA"/>
    <w:rsid w:val="00622488"/>
    <w:rsid w:val="006234FB"/>
    <w:rsid w:val="00624113"/>
    <w:rsid w:val="00624CAE"/>
    <w:rsid w:val="00624FCC"/>
    <w:rsid w:val="00625180"/>
    <w:rsid w:val="00625206"/>
    <w:rsid w:val="00625742"/>
    <w:rsid w:val="00625CAD"/>
    <w:rsid w:val="00625E1C"/>
    <w:rsid w:val="00625FF7"/>
    <w:rsid w:val="00626887"/>
    <w:rsid w:val="0062695A"/>
    <w:rsid w:val="006269A4"/>
    <w:rsid w:val="00626F12"/>
    <w:rsid w:val="00626F8B"/>
    <w:rsid w:val="006271C5"/>
    <w:rsid w:val="0062738A"/>
    <w:rsid w:val="0062765A"/>
    <w:rsid w:val="006301DD"/>
    <w:rsid w:val="00630273"/>
    <w:rsid w:val="0063029C"/>
    <w:rsid w:val="006302B3"/>
    <w:rsid w:val="006304D2"/>
    <w:rsid w:val="00630735"/>
    <w:rsid w:val="00630A10"/>
    <w:rsid w:val="00630B21"/>
    <w:rsid w:val="00630D4D"/>
    <w:rsid w:val="00630F83"/>
    <w:rsid w:val="00631068"/>
    <w:rsid w:val="0063142D"/>
    <w:rsid w:val="006314DF"/>
    <w:rsid w:val="006315D8"/>
    <w:rsid w:val="006315F8"/>
    <w:rsid w:val="00631844"/>
    <w:rsid w:val="0063191B"/>
    <w:rsid w:val="00631A1A"/>
    <w:rsid w:val="00631C53"/>
    <w:rsid w:val="00631EA5"/>
    <w:rsid w:val="006321C8"/>
    <w:rsid w:val="006324C4"/>
    <w:rsid w:val="00632587"/>
    <w:rsid w:val="00632637"/>
    <w:rsid w:val="00632A74"/>
    <w:rsid w:val="00633198"/>
    <w:rsid w:val="006332B4"/>
    <w:rsid w:val="0063339D"/>
    <w:rsid w:val="00633900"/>
    <w:rsid w:val="00633C5D"/>
    <w:rsid w:val="00633CD5"/>
    <w:rsid w:val="00633EEA"/>
    <w:rsid w:val="006347FE"/>
    <w:rsid w:val="00634CE2"/>
    <w:rsid w:val="00635572"/>
    <w:rsid w:val="0063588C"/>
    <w:rsid w:val="00635A9C"/>
    <w:rsid w:val="00635C5E"/>
    <w:rsid w:val="00635E21"/>
    <w:rsid w:val="00635EAD"/>
    <w:rsid w:val="00636566"/>
    <w:rsid w:val="006369A8"/>
    <w:rsid w:val="00636D88"/>
    <w:rsid w:val="006374BB"/>
    <w:rsid w:val="00637702"/>
    <w:rsid w:val="006378F5"/>
    <w:rsid w:val="0063792D"/>
    <w:rsid w:val="00637B8A"/>
    <w:rsid w:val="00637CAA"/>
    <w:rsid w:val="00637E2F"/>
    <w:rsid w:val="00637E4B"/>
    <w:rsid w:val="00640482"/>
    <w:rsid w:val="006404BD"/>
    <w:rsid w:val="00640CBF"/>
    <w:rsid w:val="00640F0E"/>
    <w:rsid w:val="006412CE"/>
    <w:rsid w:val="00641C5D"/>
    <w:rsid w:val="00641D40"/>
    <w:rsid w:val="0064229F"/>
    <w:rsid w:val="00642466"/>
    <w:rsid w:val="00642C18"/>
    <w:rsid w:val="00642C90"/>
    <w:rsid w:val="00642D32"/>
    <w:rsid w:val="00642EBD"/>
    <w:rsid w:val="006431BD"/>
    <w:rsid w:val="00643767"/>
    <w:rsid w:val="0064393F"/>
    <w:rsid w:val="0064412B"/>
    <w:rsid w:val="00644347"/>
    <w:rsid w:val="006448FB"/>
    <w:rsid w:val="00644C40"/>
    <w:rsid w:val="00644C69"/>
    <w:rsid w:val="006454E4"/>
    <w:rsid w:val="00645A5B"/>
    <w:rsid w:val="00645DCE"/>
    <w:rsid w:val="00645F8A"/>
    <w:rsid w:val="006463CD"/>
    <w:rsid w:val="00646A04"/>
    <w:rsid w:val="00646E4D"/>
    <w:rsid w:val="006471D3"/>
    <w:rsid w:val="00647600"/>
    <w:rsid w:val="00647625"/>
    <w:rsid w:val="00647A8C"/>
    <w:rsid w:val="00647CA7"/>
    <w:rsid w:val="00647D95"/>
    <w:rsid w:val="00647E16"/>
    <w:rsid w:val="00647E7A"/>
    <w:rsid w:val="00647EA2"/>
    <w:rsid w:val="0065046D"/>
    <w:rsid w:val="00650690"/>
    <w:rsid w:val="00650E2F"/>
    <w:rsid w:val="0065112D"/>
    <w:rsid w:val="00651159"/>
    <w:rsid w:val="0065128D"/>
    <w:rsid w:val="006513BD"/>
    <w:rsid w:val="0065187B"/>
    <w:rsid w:val="006520F0"/>
    <w:rsid w:val="00652B94"/>
    <w:rsid w:val="00652C1C"/>
    <w:rsid w:val="0065300F"/>
    <w:rsid w:val="006533C3"/>
    <w:rsid w:val="00653784"/>
    <w:rsid w:val="00653A9E"/>
    <w:rsid w:val="0065415A"/>
    <w:rsid w:val="006542A8"/>
    <w:rsid w:val="006543B2"/>
    <w:rsid w:val="00654626"/>
    <w:rsid w:val="00654D42"/>
    <w:rsid w:val="00654E97"/>
    <w:rsid w:val="00655000"/>
    <w:rsid w:val="006551B4"/>
    <w:rsid w:val="00655CA0"/>
    <w:rsid w:val="0065647F"/>
    <w:rsid w:val="0065649F"/>
    <w:rsid w:val="00656C58"/>
    <w:rsid w:val="00656DA1"/>
    <w:rsid w:val="00656EE4"/>
    <w:rsid w:val="00657572"/>
    <w:rsid w:val="006575F9"/>
    <w:rsid w:val="00657888"/>
    <w:rsid w:val="00657DD4"/>
    <w:rsid w:val="00660323"/>
    <w:rsid w:val="00660458"/>
    <w:rsid w:val="00660790"/>
    <w:rsid w:val="00660A4C"/>
    <w:rsid w:val="00660BA8"/>
    <w:rsid w:val="00660D75"/>
    <w:rsid w:val="00660D9C"/>
    <w:rsid w:val="006610AA"/>
    <w:rsid w:val="006612A6"/>
    <w:rsid w:val="00661535"/>
    <w:rsid w:val="00661AF5"/>
    <w:rsid w:val="006623A8"/>
    <w:rsid w:val="00662884"/>
    <w:rsid w:val="006628C4"/>
    <w:rsid w:val="00662B3D"/>
    <w:rsid w:val="00662BC8"/>
    <w:rsid w:val="00662F58"/>
    <w:rsid w:val="00663159"/>
    <w:rsid w:val="0066336A"/>
    <w:rsid w:val="00663402"/>
    <w:rsid w:val="006638DA"/>
    <w:rsid w:val="006639E3"/>
    <w:rsid w:val="00663A1B"/>
    <w:rsid w:val="00663D1E"/>
    <w:rsid w:val="00663F45"/>
    <w:rsid w:val="006644E4"/>
    <w:rsid w:val="006648AE"/>
    <w:rsid w:val="006651B4"/>
    <w:rsid w:val="00665667"/>
    <w:rsid w:val="006658F8"/>
    <w:rsid w:val="00665A62"/>
    <w:rsid w:val="00665D1E"/>
    <w:rsid w:val="00665D31"/>
    <w:rsid w:val="0066608E"/>
    <w:rsid w:val="006660D2"/>
    <w:rsid w:val="00666527"/>
    <w:rsid w:val="006665FA"/>
    <w:rsid w:val="0066687B"/>
    <w:rsid w:val="00666884"/>
    <w:rsid w:val="00666AD7"/>
    <w:rsid w:val="00666B9B"/>
    <w:rsid w:val="006671F1"/>
    <w:rsid w:val="00667717"/>
    <w:rsid w:val="006677B0"/>
    <w:rsid w:val="006677DF"/>
    <w:rsid w:val="006677E3"/>
    <w:rsid w:val="00670810"/>
    <w:rsid w:val="006710D3"/>
    <w:rsid w:val="0067111C"/>
    <w:rsid w:val="00671654"/>
    <w:rsid w:val="00671CFA"/>
    <w:rsid w:val="00671E3A"/>
    <w:rsid w:val="006727A9"/>
    <w:rsid w:val="00672B71"/>
    <w:rsid w:val="006731EF"/>
    <w:rsid w:val="00673265"/>
    <w:rsid w:val="00673978"/>
    <w:rsid w:val="00673DAC"/>
    <w:rsid w:val="0067402F"/>
    <w:rsid w:val="00674435"/>
    <w:rsid w:val="0067478B"/>
    <w:rsid w:val="00674798"/>
    <w:rsid w:val="00674BF5"/>
    <w:rsid w:val="00674C53"/>
    <w:rsid w:val="00674E5C"/>
    <w:rsid w:val="00674F21"/>
    <w:rsid w:val="006756DF"/>
    <w:rsid w:val="00675A3D"/>
    <w:rsid w:val="00675C03"/>
    <w:rsid w:val="00676451"/>
    <w:rsid w:val="006774DA"/>
    <w:rsid w:val="006778F6"/>
    <w:rsid w:val="006779BB"/>
    <w:rsid w:val="00677C36"/>
    <w:rsid w:val="006800E5"/>
    <w:rsid w:val="0068010D"/>
    <w:rsid w:val="00680175"/>
    <w:rsid w:val="00680456"/>
    <w:rsid w:val="00680499"/>
    <w:rsid w:val="00680512"/>
    <w:rsid w:val="00680C2A"/>
    <w:rsid w:val="00680D91"/>
    <w:rsid w:val="00681094"/>
    <w:rsid w:val="00681C2A"/>
    <w:rsid w:val="00681C81"/>
    <w:rsid w:val="00682036"/>
    <w:rsid w:val="00682063"/>
    <w:rsid w:val="006823E3"/>
    <w:rsid w:val="006824A5"/>
    <w:rsid w:val="00682654"/>
    <w:rsid w:val="00682996"/>
    <w:rsid w:val="00682D4E"/>
    <w:rsid w:val="00682E5E"/>
    <w:rsid w:val="00683553"/>
    <w:rsid w:val="00683A8A"/>
    <w:rsid w:val="00683C69"/>
    <w:rsid w:val="0068418F"/>
    <w:rsid w:val="006845BE"/>
    <w:rsid w:val="00684D08"/>
    <w:rsid w:val="00685519"/>
    <w:rsid w:val="006857F9"/>
    <w:rsid w:val="0068595E"/>
    <w:rsid w:val="00685D60"/>
    <w:rsid w:val="006865B0"/>
    <w:rsid w:val="006872A6"/>
    <w:rsid w:val="00687CFC"/>
    <w:rsid w:val="00687FB9"/>
    <w:rsid w:val="00690295"/>
    <w:rsid w:val="006903FA"/>
    <w:rsid w:val="006905F5"/>
    <w:rsid w:val="00690997"/>
    <w:rsid w:val="006909FC"/>
    <w:rsid w:val="00690D23"/>
    <w:rsid w:val="00690F10"/>
    <w:rsid w:val="0069128A"/>
    <w:rsid w:val="00691699"/>
    <w:rsid w:val="00691757"/>
    <w:rsid w:val="00691AC0"/>
    <w:rsid w:val="0069207B"/>
    <w:rsid w:val="0069258F"/>
    <w:rsid w:val="00692DF3"/>
    <w:rsid w:val="00692F6A"/>
    <w:rsid w:val="006932E0"/>
    <w:rsid w:val="00693A0C"/>
    <w:rsid w:val="00693EC5"/>
    <w:rsid w:val="006940DD"/>
    <w:rsid w:val="00694144"/>
    <w:rsid w:val="006947E8"/>
    <w:rsid w:val="00694EE7"/>
    <w:rsid w:val="0069514C"/>
    <w:rsid w:val="006954D8"/>
    <w:rsid w:val="006955F9"/>
    <w:rsid w:val="00695822"/>
    <w:rsid w:val="0069592F"/>
    <w:rsid w:val="00695C00"/>
    <w:rsid w:val="0069608C"/>
    <w:rsid w:val="006961B5"/>
    <w:rsid w:val="00696410"/>
    <w:rsid w:val="00697707"/>
    <w:rsid w:val="00697837"/>
    <w:rsid w:val="00697CE7"/>
    <w:rsid w:val="00697EC2"/>
    <w:rsid w:val="006A001F"/>
    <w:rsid w:val="006A0138"/>
    <w:rsid w:val="006A0CDC"/>
    <w:rsid w:val="006A0D15"/>
    <w:rsid w:val="006A0DCF"/>
    <w:rsid w:val="006A1495"/>
    <w:rsid w:val="006A1505"/>
    <w:rsid w:val="006A1795"/>
    <w:rsid w:val="006A1992"/>
    <w:rsid w:val="006A1C5F"/>
    <w:rsid w:val="006A207D"/>
    <w:rsid w:val="006A2414"/>
    <w:rsid w:val="006A25F6"/>
    <w:rsid w:val="006A2978"/>
    <w:rsid w:val="006A2CFB"/>
    <w:rsid w:val="006A3561"/>
    <w:rsid w:val="006A36B5"/>
    <w:rsid w:val="006A3DF6"/>
    <w:rsid w:val="006A4655"/>
    <w:rsid w:val="006A465E"/>
    <w:rsid w:val="006A4675"/>
    <w:rsid w:val="006A4FC6"/>
    <w:rsid w:val="006A5ACA"/>
    <w:rsid w:val="006A64AF"/>
    <w:rsid w:val="006A693C"/>
    <w:rsid w:val="006A6BD2"/>
    <w:rsid w:val="006A6C33"/>
    <w:rsid w:val="006A6D07"/>
    <w:rsid w:val="006A6E92"/>
    <w:rsid w:val="006A7240"/>
    <w:rsid w:val="006B0153"/>
    <w:rsid w:val="006B07FB"/>
    <w:rsid w:val="006B0DF2"/>
    <w:rsid w:val="006B0FF4"/>
    <w:rsid w:val="006B116F"/>
    <w:rsid w:val="006B1368"/>
    <w:rsid w:val="006B1DAF"/>
    <w:rsid w:val="006B1DD7"/>
    <w:rsid w:val="006B2223"/>
    <w:rsid w:val="006B23BE"/>
    <w:rsid w:val="006B246C"/>
    <w:rsid w:val="006B25EB"/>
    <w:rsid w:val="006B26C1"/>
    <w:rsid w:val="006B297A"/>
    <w:rsid w:val="006B29E6"/>
    <w:rsid w:val="006B2B3C"/>
    <w:rsid w:val="006B32C3"/>
    <w:rsid w:val="006B3A6C"/>
    <w:rsid w:val="006B3A91"/>
    <w:rsid w:val="006B425A"/>
    <w:rsid w:val="006B4736"/>
    <w:rsid w:val="006B47BB"/>
    <w:rsid w:val="006B514E"/>
    <w:rsid w:val="006B5264"/>
    <w:rsid w:val="006B5357"/>
    <w:rsid w:val="006B55A9"/>
    <w:rsid w:val="006B5CED"/>
    <w:rsid w:val="006B61D9"/>
    <w:rsid w:val="006B65D0"/>
    <w:rsid w:val="006B7264"/>
    <w:rsid w:val="006B7303"/>
    <w:rsid w:val="006B7641"/>
    <w:rsid w:val="006B7935"/>
    <w:rsid w:val="006B7C03"/>
    <w:rsid w:val="006B7C47"/>
    <w:rsid w:val="006B7F26"/>
    <w:rsid w:val="006C04EA"/>
    <w:rsid w:val="006C071D"/>
    <w:rsid w:val="006C07C1"/>
    <w:rsid w:val="006C0969"/>
    <w:rsid w:val="006C13C3"/>
    <w:rsid w:val="006C1A8C"/>
    <w:rsid w:val="006C1D81"/>
    <w:rsid w:val="006C1E0E"/>
    <w:rsid w:val="006C212C"/>
    <w:rsid w:val="006C22CB"/>
    <w:rsid w:val="006C2677"/>
    <w:rsid w:val="006C28E0"/>
    <w:rsid w:val="006C2ABD"/>
    <w:rsid w:val="006C2D93"/>
    <w:rsid w:val="006C2DDE"/>
    <w:rsid w:val="006C3110"/>
    <w:rsid w:val="006C369A"/>
    <w:rsid w:val="006C3D58"/>
    <w:rsid w:val="006C3F7C"/>
    <w:rsid w:val="006C4891"/>
    <w:rsid w:val="006C4CF3"/>
    <w:rsid w:val="006C51CF"/>
    <w:rsid w:val="006C5600"/>
    <w:rsid w:val="006C5A02"/>
    <w:rsid w:val="006C6BC1"/>
    <w:rsid w:val="006C6E44"/>
    <w:rsid w:val="006C6ECB"/>
    <w:rsid w:val="006C700F"/>
    <w:rsid w:val="006C7038"/>
    <w:rsid w:val="006C7458"/>
    <w:rsid w:val="006D0685"/>
    <w:rsid w:val="006D0C14"/>
    <w:rsid w:val="006D0D42"/>
    <w:rsid w:val="006D0E9F"/>
    <w:rsid w:val="006D1232"/>
    <w:rsid w:val="006D1994"/>
    <w:rsid w:val="006D21CC"/>
    <w:rsid w:val="006D24D7"/>
    <w:rsid w:val="006D266F"/>
    <w:rsid w:val="006D2AA6"/>
    <w:rsid w:val="006D2AF5"/>
    <w:rsid w:val="006D31B2"/>
    <w:rsid w:val="006D3A1D"/>
    <w:rsid w:val="006D3D67"/>
    <w:rsid w:val="006D41BF"/>
    <w:rsid w:val="006D43F2"/>
    <w:rsid w:val="006D4791"/>
    <w:rsid w:val="006D4A46"/>
    <w:rsid w:val="006D4B8C"/>
    <w:rsid w:val="006D4D37"/>
    <w:rsid w:val="006D51EA"/>
    <w:rsid w:val="006D60BA"/>
    <w:rsid w:val="006D634E"/>
    <w:rsid w:val="006D637E"/>
    <w:rsid w:val="006D6889"/>
    <w:rsid w:val="006D6D65"/>
    <w:rsid w:val="006D715F"/>
    <w:rsid w:val="006D7412"/>
    <w:rsid w:val="006D77F9"/>
    <w:rsid w:val="006D7EAE"/>
    <w:rsid w:val="006E026E"/>
    <w:rsid w:val="006E0E02"/>
    <w:rsid w:val="006E15F7"/>
    <w:rsid w:val="006E179F"/>
    <w:rsid w:val="006E18C4"/>
    <w:rsid w:val="006E25F7"/>
    <w:rsid w:val="006E2AF5"/>
    <w:rsid w:val="006E2FF6"/>
    <w:rsid w:val="006E35D2"/>
    <w:rsid w:val="006E3697"/>
    <w:rsid w:val="006E37E9"/>
    <w:rsid w:val="006E3B2F"/>
    <w:rsid w:val="006E4019"/>
    <w:rsid w:val="006E414D"/>
    <w:rsid w:val="006E4273"/>
    <w:rsid w:val="006E4449"/>
    <w:rsid w:val="006E457A"/>
    <w:rsid w:val="006E4847"/>
    <w:rsid w:val="006E49C2"/>
    <w:rsid w:val="006E4DAD"/>
    <w:rsid w:val="006E4DE9"/>
    <w:rsid w:val="006E5439"/>
    <w:rsid w:val="006E549B"/>
    <w:rsid w:val="006E54CB"/>
    <w:rsid w:val="006E585A"/>
    <w:rsid w:val="006E585C"/>
    <w:rsid w:val="006E6475"/>
    <w:rsid w:val="006E6555"/>
    <w:rsid w:val="006E6A31"/>
    <w:rsid w:val="006E73EF"/>
    <w:rsid w:val="006E7574"/>
    <w:rsid w:val="006E76F2"/>
    <w:rsid w:val="006E7BC1"/>
    <w:rsid w:val="006E7F25"/>
    <w:rsid w:val="006F005F"/>
    <w:rsid w:val="006F04C9"/>
    <w:rsid w:val="006F0E1F"/>
    <w:rsid w:val="006F0F05"/>
    <w:rsid w:val="006F129B"/>
    <w:rsid w:val="006F1478"/>
    <w:rsid w:val="006F160A"/>
    <w:rsid w:val="006F18DC"/>
    <w:rsid w:val="006F1B34"/>
    <w:rsid w:val="006F1B35"/>
    <w:rsid w:val="006F1B55"/>
    <w:rsid w:val="006F204C"/>
    <w:rsid w:val="006F229B"/>
    <w:rsid w:val="006F22D1"/>
    <w:rsid w:val="006F2EA8"/>
    <w:rsid w:val="006F3100"/>
    <w:rsid w:val="006F37B4"/>
    <w:rsid w:val="006F3832"/>
    <w:rsid w:val="006F3B6A"/>
    <w:rsid w:val="006F3E15"/>
    <w:rsid w:val="006F3ED4"/>
    <w:rsid w:val="006F3F63"/>
    <w:rsid w:val="006F459A"/>
    <w:rsid w:val="006F45CD"/>
    <w:rsid w:val="006F4828"/>
    <w:rsid w:val="006F49AB"/>
    <w:rsid w:val="006F4F40"/>
    <w:rsid w:val="006F5455"/>
    <w:rsid w:val="006F5F3F"/>
    <w:rsid w:val="006F6708"/>
    <w:rsid w:val="006F6751"/>
    <w:rsid w:val="006F71F5"/>
    <w:rsid w:val="006F7257"/>
    <w:rsid w:val="006F7281"/>
    <w:rsid w:val="006F734C"/>
    <w:rsid w:val="006F758A"/>
    <w:rsid w:val="006F7614"/>
    <w:rsid w:val="006F77B6"/>
    <w:rsid w:val="006F781E"/>
    <w:rsid w:val="006F7C1D"/>
    <w:rsid w:val="006F7F16"/>
    <w:rsid w:val="00700431"/>
    <w:rsid w:val="00700C50"/>
    <w:rsid w:val="00701059"/>
    <w:rsid w:val="00701BEB"/>
    <w:rsid w:val="00701FED"/>
    <w:rsid w:val="007021D7"/>
    <w:rsid w:val="00702D1A"/>
    <w:rsid w:val="00703258"/>
    <w:rsid w:val="00703919"/>
    <w:rsid w:val="00703CA8"/>
    <w:rsid w:val="0070477B"/>
    <w:rsid w:val="0070479B"/>
    <w:rsid w:val="00704885"/>
    <w:rsid w:val="00704AB0"/>
    <w:rsid w:val="00705B8E"/>
    <w:rsid w:val="00705D46"/>
    <w:rsid w:val="00705F48"/>
    <w:rsid w:val="00706064"/>
    <w:rsid w:val="00706573"/>
    <w:rsid w:val="00706883"/>
    <w:rsid w:val="00706E60"/>
    <w:rsid w:val="007073EE"/>
    <w:rsid w:val="007075CB"/>
    <w:rsid w:val="007077B0"/>
    <w:rsid w:val="007079C9"/>
    <w:rsid w:val="00707A34"/>
    <w:rsid w:val="00707CB2"/>
    <w:rsid w:val="00707F33"/>
    <w:rsid w:val="00710357"/>
    <w:rsid w:val="00710427"/>
    <w:rsid w:val="00710AE6"/>
    <w:rsid w:val="00710F8B"/>
    <w:rsid w:val="00711219"/>
    <w:rsid w:val="0071187F"/>
    <w:rsid w:val="0071192F"/>
    <w:rsid w:val="00711C0B"/>
    <w:rsid w:val="0071203F"/>
    <w:rsid w:val="0071299C"/>
    <w:rsid w:val="00712F04"/>
    <w:rsid w:val="0071376F"/>
    <w:rsid w:val="00713862"/>
    <w:rsid w:val="007139D9"/>
    <w:rsid w:val="00713F64"/>
    <w:rsid w:val="00714A5A"/>
    <w:rsid w:val="00714AC4"/>
    <w:rsid w:val="00714CE2"/>
    <w:rsid w:val="00714D4D"/>
    <w:rsid w:val="007151BA"/>
    <w:rsid w:val="0071573F"/>
    <w:rsid w:val="007161C9"/>
    <w:rsid w:val="00716EAE"/>
    <w:rsid w:val="00716ED7"/>
    <w:rsid w:val="00717263"/>
    <w:rsid w:val="007172FC"/>
    <w:rsid w:val="00717310"/>
    <w:rsid w:val="0071789B"/>
    <w:rsid w:val="00717B60"/>
    <w:rsid w:val="007200A4"/>
    <w:rsid w:val="007204C5"/>
    <w:rsid w:val="00720515"/>
    <w:rsid w:val="00720642"/>
    <w:rsid w:val="00721047"/>
    <w:rsid w:val="00721431"/>
    <w:rsid w:val="00721B52"/>
    <w:rsid w:val="00721CBA"/>
    <w:rsid w:val="00721DA0"/>
    <w:rsid w:val="00721DE8"/>
    <w:rsid w:val="007220E6"/>
    <w:rsid w:val="007226D6"/>
    <w:rsid w:val="00722E0C"/>
    <w:rsid w:val="00722E62"/>
    <w:rsid w:val="00722FB7"/>
    <w:rsid w:val="007236BB"/>
    <w:rsid w:val="007238A1"/>
    <w:rsid w:val="00723B07"/>
    <w:rsid w:val="00723DEE"/>
    <w:rsid w:val="00723E69"/>
    <w:rsid w:val="00724054"/>
    <w:rsid w:val="0072423C"/>
    <w:rsid w:val="00724C0A"/>
    <w:rsid w:val="00724CDB"/>
    <w:rsid w:val="00724FD4"/>
    <w:rsid w:val="007250EB"/>
    <w:rsid w:val="00725441"/>
    <w:rsid w:val="0072555C"/>
    <w:rsid w:val="007256DC"/>
    <w:rsid w:val="00725C68"/>
    <w:rsid w:val="007260F5"/>
    <w:rsid w:val="00726272"/>
    <w:rsid w:val="0072634D"/>
    <w:rsid w:val="007263BA"/>
    <w:rsid w:val="007266D3"/>
    <w:rsid w:val="00726AF3"/>
    <w:rsid w:val="00726F90"/>
    <w:rsid w:val="00727C09"/>
    <w:rsid w:val="00727C62"/>
    <w:rsid w:val="007303FD"/>
    <w:rsid w:val="00730646"/>
    <w:rsid w:val="0073072C"/>
    <w:rsid w:val="00730AB1"/>
    <w:rsid w:val="00730F46"/>
    <w:rsid w:val="00731038"/>
    <w:rsid w:val="007311C1"/>
    <w:rsid w:val="00731270"/>
    <w:rsid w:val="007313FF"/>
    <w:rsid w:val="007314D9"/>
    <w:rsid w:val="007317E0"/>
    <w:rsid w:val="00732029"/>
    <w:rsid w:val="007326B4"/>
    <w:rsid w:val="0073329D"/>
    <w:rsid w:val="007335E2"/>
    <w:rsid w:val="007335F3"/>
    <w:rsid w:val="00733997"/>
    <w:rsid w:val="00734219"/>
    <w:rsid w:val="0073461B"/>
    <w:rsid w:val="00734AB8"/>
    <w:rsid w:val="0073514A"/>
    <w:rsid w:val="007357F1"/>
    <w:rsid w:val="00735AB9"/>
    <w:rsid w:val="00735D30"/>
    <w:rsid w:val="00736420"/>
    <w:rsid w:val="00736546"/>
    <w:rsid w:val="00736B54"/>
    <w:rsid w:val="00736C8B"/>
    <w:rsid w:val="00736E34"/>
    <w:rsid w:val="00737485"/>
    <w:rsid w:val="00737866"/>
    <w:rsid w:val="00737AB7"/>
    <w:rsid w:val="00737D59"/>
    <w:rsid w:val="00740157"/>
    <w:rsid w:val="00740208"/>
    <w:rsid w:val="0074035B"/>
    <w:rsid w:val="0074036C"/>
    <w:rsid w:val="007419D7"/>
    <w:rsid w:val="00741B36"/>
    <w:rsid w:val="00742286"/>
    <w:rsid w:val="00742517"/>
    <w:rsid w:val="00742965"/>
    <w:rsid w:val="00742ADD"/>
    <w:rsid w:val="00742C98"/>
    <w:rsid w:val="00742D25"/>
    <w:rsid w:val="00742DB5"/>
    <w:rsid w:val="00743052"/>
    <w:rsid w:val="0074307A"/>
    <w:rsid w:val="00743473"/>
    <w:rsid w:val="007435CF"/>
    <w:rsid w:val="00744338"/>
    <w:rsid w:val="0074442C"/>
    <w:rsid w:val="00744974"/>
    <w:rsid w:val="00744B22"/>
    <w:rsid w:val="00744EE9"/>
    <w:rsid w:val="007453CB"/>
    <w:rsid w:val="00745509"/>
    <w:rsid w:val="00746A98"/>
    <w:rsid w:val="00746D74"/>
    <w:rsid w:val="00746E08"/>
    <w:rsid w:val="00746F20"/>
    <w:rsid w:val="00746FDD"/>
    <w:rsid w:val="0074774A"/>
    <w:rsid w:val="00747D7F"/>
    <w:rsid w:val="00747DF8"/>
    <w:rsid w:val="00747DFF"/>
    <w:rsid w:val="00747F89"/>
    <w:rsid w:val="007500F5"/>
    <w:rsid w:val="00750332"/>
    <w:rsid w:val="0075035E"/>
    <w:rsid w:val="007503D9"/>
    <w:rsid w:val="0075045D"/>
    <w:rsid w:val="00750534"/>
    <w:rsid w:val="007507CF"/>
    <w:rsid w:val="00751049"/>
    <w:rsid w:val="007512BB"/>
    <w:rsid w:val="00751441"/>
    <w:rsid w:val="00751A31"/>
    <w:rsid w:val="00751B3C"/>
    <w:rsid w:val="00751B45"/>
    <w:rsid w:val="0075261A"/>
    <w:rsid w:val="007528F2"/>
    <w:rsid w:val="00752A2A"/>
    <w:rsid w:val="00752DA1"/>
    <w:rsid w:val="0075338A"/>
    <w:rsid w:val="007534AA"/>
    <w:rsid w:val="00753551"/>
    <w:rsid w:val="007538BD"/>
    <w:rsid w:val="00753C23"/>
    <w:rsid w:val="00754093"/>
    <w:rsid w:val="00754129"/>
    <w:rsid w:val="00754398"/>
    <w:rsid w:val="007550FE"/>
    <w:rsid w:val="00755370"/>
    <w:rsid w:val="007553A8"/>
    <w:rsid w:val="0075583F"/>
    <w:rsid w:val="00756661"/>
    <w:rsid w:val="00756AB9"/>
    <w:rsid w:val="00756CDA"/>
    <w:rsid w:val="007578B4"/>
    <w:rsid w:val="00757AF0"/>
    <w:rsid w:val="00757C97"/>
    <w:rsid w:val="00757E3A"/>
    <w:rsid w:val="00757FE2"/>
    <w:rsid w:val="007604BB"/>
    <w:rsid w:val="00760651"/>
    <w:rsid w:val="00760DCF"/>
    <w:rsid w:val="00761018"/>
    <w:rsid w:val="007614A5"/>
    <w:rsid w:val="0076191C"/>
    <w:rsid w:val="00761E52"/>
    <w:rsid w:val="007626BC"/>
    <w:rsid w:val="00762CDB"/>
    <w:rsid w:val="00762DD2"/>
    <w:rsid w:val="00762F85"/>
    <w:rsid w:val="00763D3F"/>
    <w:rsid w:val="007646B6"/>
    <w:rsid w:val="00764C63"/>
    <w:rsid w:val="007650C6"/>
    <w:rsid w:val="00765170"/>
    <w:rsid w:val="007651BB"/>
    <w:rsid w:val="00765276"/>
    <w:rsid w:val="007652D9"/>
    <w:rsid w:val="00765340"/>
    <w:rsid w:val="00765534"/>
    <w:rsid w:val="00765894"/>
    <w:rsid w:val="0076589E"/>
    <w:rsid w:val="00765E0A"/>
    <w:rsid w:val="00765F92"/>
    <w:rsid w:val="007660E1"/>
    <w:rsid w:val="00766222"/>
    <w:rsid w:val="00766960"/>
    <w:rsid w:val="00766D59"/>
    <w:rsid w:val="00766E1F"/>
    <w:rsid w:val="007674E0"/>
    <w:rsid w:val="00767618"/>
    <w:rsid w:val="007677C2"/>
    <w:rsid w:val="00767946"/>
    <w:rsid w:val="00767CE0"/>
    <w:rsid w:val="00770188"/>
    <w:rsid w:val="00770194"/>
    <w:rsid w:val="00770453"/>
    <w:rsid w:val="00771339"/>
    <w:rsid w:val="00771506"/>
    <w:rsid w:val="00771749"/>
    <w:rsid w:val="00771C65"/>
    <w:rsid w:val="00771DF8"/>
    <w:rsid w:val="00772ABE"/>
    <w:rsid w:val="00772DBB"/>
    <w:rsid w:val="00773271"/>
    <w:rsid w:val="0077334C"/>
    <w:rsid w:val="007733EF"/>
    <w:rsid w:val="0077343A"/>
    <w:rsid w:val="007738AD"/>
    <w:rsid w:val="00773C6B"/>
    <w:rsid w:val="00773D75"/>
    <w:rsid w:val="00773EE1"/>
    <w:rsid w:val="00774060"/>
    <w:rsid w:val="0077413E"/>
    <w:rsid w:val="00774627"/>
    <w:rsid w:val="007746C4"/>
    <w:rsid w:val="00774F3D"/>
    <w:rsid w:val="00775267"/>
    <w:rsid w:val="00775311"/>
    <w:rsid w:val="007755A8"/>
    <w:rsid w:val="007758EA"/>
    <w:rsid w:val="00775997"/>
    <w:rsid w:val="00775D19"/>
    <w:rsid w:val="00775EC2"/>
    <w:rsid w:val="007767A4"/>
    <w:rsid w:val="00776BA8"/>
    <w:rsid w:val="00777175"/>
    <w:rsid w:val="00777511"/>
    <w:rsid w:val="00777847"/>
    <w:rsid w:val="007779D3"/>
    <w:rsid w:val="00777C27"/>
    <w:rsid w:val="00777ED1"/>
    <w:rsid w:val="00777FD4"/>
    <w:rsid w:val="0078011A"/>
    <w:rsid w:val="007801CE"/>
    <w:rsid w:val="00780457"/>
    <w:rsid w:val="0078183C"/>
    <w:rsid w:val="00781B58"/>
    <w:rsid w:val="00781EB6"/>
    <w:rsid w:val="007824B3"/>
    <w:rsid w:val="0078268C"/>
    <w:rsid w:val="00782829"/>
    <w:rsid w:val="00782F8A"/>
    <w:rsid w:val="007833E9"/>
    <w:rsid w:val="0078346D"/>
    <w:rsid w:val="007835DC"/>
    <w:rsid w:val="0078369B"/>
    <w:rsid w:val="007837AE"/>
    <w:rsid w:val="00783858"/>
    <w:rsid w:val="007838EA"/>
    <w:rsid w:val="00783D47"/>
    <w:rsid w:val="00783EE4"/>
    <w:rsid w:val="007849A7"/>
    <w:rsid w:val="007851A9"/>
    <w:rsid w:val="007851D6"/>
    <w:rsid w:val="00785232"/>
    <w:rsid w:val="007852A6"/>
    <w:rsid w:val="00785542"/>
    <w:rsid w:val="007855CF"/>
    <w:rsid w:val="0078574C"/>
    <w:rsid w:val="00785CA3"/>
    <w:rsid w:val="00786400"/>
    <w:rsid w:val="00786636"/>
    <w:rsid w:val="0078668E"/>
    <w:rsid w:val="00786A26"/>
    <w:rsid w:val="00787A37"/>
    <w:rsid w:val="00787DB6"/>
    <w:rsid w:val="007903DB"/>
    <w:rsid w:val="0079056E"/>
    <w:rsid w:val="007907EB"/>
    <w:rsid w:val="00790B27"/>
    <w:rsid w:val="00790CA6"/>
    <w:rsid w:val="00790E3D"/>
    <w:rsid w:val="00791042"/>
    <w:rsid w:val="007913FA"/>
    <w:rsid w:val="00791D13"/>
    <w:rsid w:val="00791DDE"/>
    <w:rsid w:val="0079226D"/>
    <w:rsid w:val="007923FE"/>
    <w:rsid w:val="007924A4"/>
    <w:rsid w:val="007924DA"/>
    <w:rsid w:val="00792826"/>
    <w:rsid w:val="00792B66"/>
    <w:rsid w:val="00792F7A"/>
    <w:rsid w:val="00793429"/>
    <w:rsid w:val="007934EE"/>
    <w:rsid w:val="0079375F"/>
    <w:rsid w:val="00793857"/>
    <w:rsid w:val="00793C78"/>
    <w:rsid w:val="007949DB"/>
    <w:rsid w:val="00794B60"/>
    <w:rsid w:val="00794E51"/>
    <w:rsid w:val="00794F01"/>
    <w:rsid w:val="007951A0"/>
    <w:rsid w:val="0079598E"/>
    <w:rsid w:val="00795B95"/>
    <w:rsid w:val="00795DDD"/>
    <w:rsid w:val="00796511"/>
    <w:rsid w:val="00796707"/>
    <w:rsid w:val="00796A77"/>
    <w:rsid w:val="00796EC6"/>
    <w:rsid w:val="0079701E"/>
    <w:rsid w:val="007970C7"/>
    <w:rsid w:val="007970EA"/>
    <w:rsid w:val="00797113"/>
    <w:rsid w:val="0079753A"/>
    <w:rsid w:val="00797A86"/>
    <w:rsid w:val="00797AC6"/>
    <w:rsid w:val="00797B0A"/>
    <w:rsid w:val="00797E83"/>
    <w:rsid w:val="007A015D"/>
    <w:rsid w:val="007A026A"/>
    <w:rsid w:val="007A04AC"/>
    <w:rsid w:val="007A0651"/>
    <w:rsid w:val="007A0E05"/>
    <w:rsid w:val="007A0EB7"/>
    <w:rsid w:val="007A14D1"/>
    <w:rsid w:val="007A16E3"/>
    <w:rsid w:val="007A1C50"/>
    <w:rsid w:val="007A1F73"/>
    <w:rsid w:val="007A21EB"/>
    <w:rsid w:val="007A22B5"/>
    <w:rsid w:val="007A2945"/>
    <w:rsid w:val="007A2D30"/>
    <w:rsid w:val="007A2E6C"/>
    <w:rsid w:val="007A3512"/>
    <w:rsid w:val="007A3F6A"/>
    <w:rsid w:val="007A3FD9"/>
    <w:rsid w:val="007A5543"/>
    <w:rsid w:val="007A5A1F"/>
    <w:rsid w:val="007A5A73"/>
    <w:rsid w:val="007A5C72"/>
    <w:rsid w:val="007A6008"/>
    <w:rsid w:val="007A6168"/>
    <w:rsid w:val="007A6171"/>
    <w:rsid w:val="007A61A2"/>
    <w:rsid w:val="007A622B"/>
    <w:rsid w:val="007A668F"/>
    <w:rsid w:val="007A6825"/>
    <w:rsid w:val="007A6C78"/>
    <w:rsid w:val="007A6DC9"/>
    <w:rsid w:val="007A71F7"/>
    <w:rsid w:val="007A738A"/>
    <w:rsid w:val="007A764B"/>
    <w:rsid w:val="007A7786"/>
    <w:rsid w:val="007A7F7C"/>
    <w:rsid w:val="007B00EE"/>
    <w:rsid w:val="007B036C"/>
    <w:rsid w:val="007B0640"/>
    <w:rsid w:val="007B0FA1"/>
    <w:rsid w:val="007B13D5"/>
    <w:rsid w:val="007B13DE"/>
    <w:rsid w:val="007B1735"/>
    <w:rsid w:val="007B1A93"/>
    <w:rsid w:val="007B1C7B"/>
    <w:rsid w:val="007B2075"/>
    <w:rsid w:val="007B233F"/>
    <w:rsid w:val="007B2545"/>
    <w:rsid w:val="007B275F"/>
    <w:rsid w:val="007B28AA"/>
    <w:rsid w:val="007B2E41"/>
    <w:rsid w:val="007B30B9"/>
    <w:rsid w:val="007B34A7"/>
    <w:rsid w:val="007B38CA"/>
    <w:rsid w:val="007B3D0D"/>
    <w:rsid w:val="007B3D4E"/>
    <w:rsid w:val="007B3FFE"/>
    <w:rsid w:val="007B42A0"/>
    <w:rsid w:val="007B4312"/>
    <w:rsid w:val="007B45B8"/>
    <w:rsid w:val="007B55E1"/>
    <w:rsid w:val="007B58BC"/>
    <w:rsid w:val="007B61AC"/>
    <w:rsid w:val="007B6408"/>
    <w:rsid w:val="007B64EC"/>
    <w:rsid w:val="007B6878"/>
    <w:rsid w:val="007B6988"/>
    <w:rsid w:val="007B7231"/>
    <w:rsid w:val="007B7591"/>
    <w:rsid w:val="007B7AFC"/>
    <w:rsid w:val="007B7C11"/>
    <w:rsid w:val="007B7DE4"/>
    <w:rsid w:val="007C01F3"/>
    <w:rsid w:val="007C03DD"/>
    <w:rsid w:val="007C08A1"/>
    <w:rsid w:val="007C08E3"/>
    <w:rsid w:val="007C1171"/>
    <w:rsid w:val="007C1229"/>
    <w:rsid w:val="007C1623"/>
    <w:rsid w:val="007C1766"/>
    <w:rsid w:val="007C17DA"/>
    <w:rsid w:val="007C1875"/>
    <w:rsid w:val="007C18D1"/>
    <w:rsid w:val="007C1D2E"/>
    <w:rsid w:val="007C1EED"/>
    <w:rsid w:val="007C1FA8"/>
    <w:rsid w:val="007C285B"/>
    <w:rsid w:val="007C2893"/>
    <w:rsid w:val="007C2FFC"/>
    <w:rsid w:val="007C36C9"/>
    <w:rsid w:val="007C3749"/>
    <w:rsid w:val="007C38BB"/>
    <w:rsid w:val="007C3C4C"/>
    <w:rsid w:val="007C45BC"/>
    <w:rsid w:val="007C4740"/>
    <w:rsid w:val="007C4BEE"/>
    <w:rsid w:val="007C4D6D"/>
    <w:rsid w:val="007C550E"/>
    <w:rsid w:val="007C5727"/>
    <w:rsid w:val="007C59A0"/>
    <w:rsid w:val="007C656B"/>
    <w:rsid w:val="007C7BDD"/>
    <w:rsid w:val="007D02B1"/>
    <w:rsid w:val="007D02EE"/>
    <w:rsid w:val="007D068A"/>
    <w:rsid w:val="007D09CF"/>
    <w:rsid w:val="007D0C21"/>
    <w:rsid w:val="007D0D8B"/>
    <w:rsid w:val="007D14E3"/>
    <w:rsid w:val="007D150F"/>
    <w:rsid w:val="007D1715"/>
    <w:rsid w:val="007D1A8B"/>
    <w:rsid w:val="007D1D92"/>
    <w:rsid w:val="007D200E"/>
    <w:rsid w:val="007D240B"/>
    <w:rsid w:val="007D2731"/>
    <w:rsid w:val="007D2749"/>
    <w:rsid w:val="007D2799"/>
    <w:rsid w:val="007D3114"/>
    <w:rsid w:val="007D3475"/>
    <w:rsid w:val="007D3863"/>
    <w:rsid w:val="007D3AD1"/>
    <w:rsid w:val="007D3DC9"/>
    <w:rsid w:val="007D4052"/>
    <w:rsid w:val="007D4348"/>
    <w:rsid w:val="007D4611"/>
    <w:rsid w:val="007D50EA"/>
    <w:rsid w:val="007D5389"/>
    <w:rsid w:val="007D582B"/>
    <w:rsid w:val="007D59F6"/>
    <w:rsid w:val="007D5F62"/>
    <w:rsid w:val="007D5FE8"/>
    <w:rsid w:val="007D6272"/>
    <w:rsid w:val="007D6401"/>
    <w:rsid w:val="007D6672"/>
    <w:rsid w:val="007D703F"/>
    <w:rsid w:val="007D71DC"/>
    <w:rsid w:val="007D7344"/>
    <w:rsid w:val="007D7438"/>
    <w:rsid w:val="007D7441"/>
    <w:rsid w:val="007D7B58"/>
    <w:rsid w:val="007D7FF3"/>
    <w:rsid w:val="007E00C1"/>
    <w:rsid w:val="007E014A"/>
    <w:rsid w:val="007E01E4"/>
    <w:rsid w:val="007E0768"/>
    <w:rsid w:val="007E0AB9"/>
    <w:rsid w:val="007E123F"/>
    <w:rsid w:val="007E16D8"/>
    <w:rsid w:val="007E19D4"/>
    <w:rsid w:val="007E1A5E"/>
    <w:rsid w:val="007E1E9E"/>
    <w:rsid w:val="007E2006"/>
    <w:rsid w:val="007E211B"/>
    <w:rsid w:val="007E2563"/>
    <w:rsid w:val="007E2861"/>
    <w:rsid w:val="007E28E4"/>
    <w:rsid w:val="007E29BC"/>
    <w:rsid w:val="007E2BA6"/>
    <w:rsid w:val="007E2D5B"/>
    <w:rsid w:val="007E2DC6"/>
    <w:rsid w:val="007E31D2"/>
    <w:rsid w:val="007E3366"/>
    <w:rsid w:val="007E3A97"/>
    <w:rsid w:val="007E3C33"/>
    <w:rsid w:val="007E3F7F"/>
    <w:rsid w:val="007E41CB"/>
    <w:rsid w:val="007E437A"/>
    <w:rsid w:val="007E4388"/>
    <w:rsid w:val="007E451B"/>
    <w:rsid w:val="007E45FC"/>
    <w:rsid w:val="007E4666"/>
    <w:rsid w:val="007E4BA7"/>
    <w:rsid w:val="007E5118"/>
    <w:rsid w:val="007E5383"/>
    <w:rsid w:val="007E53FD"/>
    <w:rsid w:val="007E5B6F"/>
    <w:rsid w:val="007E5C7B"/>
    <w:rsid w:val="007E625D"/>
    <w:rsid w:val="007E63F9"/>
    <w:rsid w:val="007E696B"/>
    <w:rsid w:val="007E74B1"/>
    <w:rsid w:val="007E7566"/>
    <w:rsid w:val="007E75DD"/>
    <w:rsid w:val="007E7970"/>
    <w:rsid w:val="007E7A12"/>
    <w:rsid w:val="007E7A13"/>
    <w:rsid w:val="007E7C82"/>
    <w:rsid w:val="007E7E84"/>
    <w:rsid w:val="007F05DF"/>
    <w:rsid w:val="007F08AC"/>
    <w:rsid w:val="007F10D7"/>
    <w:rsid w:val="007F1199"/>
    <w:rsid w:val="007F12A8"/>
    <w:rsid w:val="007F1410"/>
    <w:rsid w:val="007F1B08"/>
    <w:rsid w:val="007F1B10"/>
    <w:rsid w:val="007F1B2A"/>
    <w:rsid w:val="007F224C"/>
    <w:rsid w:val="007F2335"/>
    <w:rsid w:val="007F2720"/>
    <w:rsid w:val="007F28D0"/>
    <w:rsid w:val="007F297D"/>
    <w:rsid w:val="007F318D"/>
    <w:rsid w:val="007F31F1"/>
    <w:rsid w:val="007F35CB"/>
    <w:rsid w:val="007F3936"/>
    <w:rsid w:val="007F3A92"/>
    <w:rsid w:val="007F3B7C"/>
    <w:rsid w:val="007F45A0"/>
    <w:rsid w:val="007F49CF"/>
    <w:rsid w:val="007F4AEA"/>
    <w:rsid w:val="007F5380"/>
    <w:rsid w:val="007F5464"/>
    <w:rsid w:val="007F5C6F"/>
    <w:rsid w:val="007F5F89"/>
    <w:rsid w:val="007F60A8"/>
    <w:rsid w:val="007F6353"/>
    <w:rsid w:val="007F640A"/>
    <w:rsid w:val="007F7107"/>
    <w:rsid w:val="007F7754"/>
    <w:rsid w:val="007F7EA8"/>
    <w:rsid w:val="007F7F3E"/>
    <w:rsid w:val="00800D4C"/>
    <w:rsid w:val="00801021"/>
    <w:rsid w:val="00801745"/>
    <w:rsid w:val="008018BE"/>
    <w:rsid w:val="0080247C"/>
    <w:rsid w:val="00802B53"/>
    <w:rsid w:val="00802D13"/>
    <w:rsid w:val="008032F6"/>
    <w:rsid w:val="00803B53"/>
    <w:rsid w:val="00803EEE"/>
    <w:rsid w:val="008050A1"/>
    <w:rsid w:val="00805364"/>
    <w:rsid w:val="00805531"/>
    <w:rsid w:val="00806852"/>
    <w:rsid w:val="008069BB"/>
    <w:rsid w:val="008069F6"/>
    <w:rsid w:val="00807E42"/>
    <w:rsid w:val="00807EF9"/>
    <w:rsid w:val="0081006B"/>
    <w:rsid w:val="0081030F"/>
    <w:rsid w:val="0081042A"/>
    <w:rsid w:val="00810B54"/>
    <w:rsid w:val="00811038"/>
    <w:rsid w:val="00811160"/>
    <w:rsid w:val="00811527"/>
    <w:rsid w:val="0081245C"/>
    <w:rsid w:val="0081277F"/>
    <w:rsid w:val="008128B2"/>
    <w:rsid w:val="00812DD0"/>
    <w:rsid w:val="00812F4A"/>
    <w:rsid w:val="00813493"/>
    <w:rsid w:val="008134B5"/>
    <w:rsid w:val="00813DF8"/>
    <w:rsid w:val="00814428"/>
    <w:rsid w:val="0081497D"/>
    <w:rsid w:val="00814DFA"/>
    <w:rsid w:val="008155BB"/>
    <w:rsid w:val="0081578F"/>
    <w:rsid w:val="00815A33"/>
    <w:rsid w:val="00815D6E"/>
    <w:rsid w:val="0081619D"/>
    <w:rsid w:val="008161A5"/>
    <w:rsid w:val="008162D3"/>
    <w:rsid w:val="008162F3"/>
    <w:rsid w:val="00816411"/>
    <w:rsid w:val="0081654F"/>
    <w:rsid w:val="008171D6"/>
    <w:rsid w:val="00817354"/>
    <w:rsid w:val="008174ED"/>
    <w:rsid w:val="00817559"/>
    <w:rsid w:val="00817637"/>
    <w:rsid w:val="0081773F"/>
    <w:rsid w:val="008178F1"/>
    <w:rsid w:val="00817978"/>
    <w:rsid w:val="00817AF3"/>
    <w:rsid w:val="00817BB8"/>
    <w:rsid w:val="00820113"/>
    <w:rsid w:val="0082087D"/>
    <w:rsid w:val="00820BA8"/>
    <w:rsid w:val="00820D13"/>
    <w:rsid w:val="00820D4E"/>
    <w:rsid w:val="00820D86"/>
    <w:rsid w:val="00820E16"/>
    <w:rsid w:val="00820EDC"/>
    <w:rsid w:val="00820FC5"/>
    <w:rsid w:val="008218E4"/>
    <w:rsid w:val="00821C08"/>
    <w:rsid w:val="00822278"/>
    <w:rsid w:val="008223BB"/>
    <w:rsid w:val="0082242B"/>
    <w:rsid w:val="00822521"/>
    <w:rsid w:val="008226A5"/>
    <w:rsid w:val="008229C2"/>
    <w:rsid w:val="00822BB4"/>
    <w:rsid w:val="008231C8"/>
    <w:rsid w:val="00823ED7"/>
    <w:rsid w:val="00824317"/>
    <w:rsid w:val="00824447"/>
    <w:rsid w:val="00824DAF"/>
    <w:rsid w:val="00824E7A"/>
    <w:rsid w:val="0082511B"/>
    <w:rsid w:val="0082521F"/>
    <w:rsid w:val="00825729"/>
    <w:rsid w:val="008259E1"/>
    <w:rsid w:val="00825B08"/>
    <w:rsid w:val="00826280"/>
    <w:rsid w:val="00826729"/>
    <w:rsid w:val="008267EC"/>
    <w:rsid w:val="008270C5"/>
    <w:rsid w:val="00827129"/>
    <w:rsid w:val="00827594"/>
    <w:rsid w:val="00827737"/>
    <w:rsid w:val="008277A7"/>
    <w:rsid w:val="00827BE6"/>
    <w:rsid w:val="00827BEB"/>
    <w:rsid w:val="00830227"/>
    <w:rsid w:val="00830373"/>
    <w:rsid w:val="00830603"/>
    <w:rsid w:val="00830680"/>
    <w:rsid w:val="00831049"/>
    <w:rsid w:val="00831A3D"/>
    <w:rsid w:val="00831DFE"/>
    <w:rsid w:val="0083219D"/>
    <w:rsid w:val="008321EB"/>
    <w:rsid w:val="0083222E"/>
    <w:rsid w:val="00832492"/>
    <w:rsid w:val="008327FF"/>
    <w:rsid w:val="00832B3E"/>
    <w:rsid w:val="00832BA7"/>
    <w:rsid w:val="00833037"/>
    <w:rsid w:val="00833455"/>
    <w:rsid w:val="00833786"/>
    <w:rsid w:val="008339DE"/>
    <w:rsid w:val="00834375"/>
    <w:rsid w:val="008344FC"/>
    <w:rsid w:val="008345B6"/>
    <w:rsid w:val="008348AF"/>
    <w:rsid w:val="00834E68"/>
    <w:rsid w:val="008352F3"/>
    <w:rsid w:val="00835771"/>
    <w:rsid w:val="008359E8"/>
    <w:rsid w:val="00835A4A"/>
    <w:rsid w:val="00835E53"/>
    <w:rsid w:val="00835EDA"/>
    <w:rsid w:val="00835F38"/>
    <w:rsid w:val="00835FB7"/>
    <w:rsid w:val="00836183"/>
    <w:rsid w:val="0083659D"/>
    <w:rsid w:val="00836948"/>
    <w:rsid w:val="008369EA"/>
    <w:rsid w:val="00836CF0"/>
    <w:rsid w:val="00836EE7"/>
    <w:rsid w:val="0083709B"/>
    <w:rsid w:val="008371E2"/>
    <w:rsid w:val="00837485"/>
    <w:rsid w:val="008374A6"/>
    <w:rsid w:val="0083788F"/>
    <w:rsid w:val="00837A0E"/>
    <w:rsid w:val="00837B4F"/>
    <w:rsid w:val="00837C90"/>
    <w:rsid w:val="00840098"/>
    <w:rsid w:val="008402BC"/>
    <w:rsid w:val="00840428"/>
    <w:rsid w:val="0084042A"/>
    <w:rsid w:val="00840556"/>
    <w:rsid w:val="008406A7"/>
    <w:rsid w:val="008407FA"/>
    <w:rsid w:val="008408C3"/>
    <w:rsid w:val="00840E87"/>
    <w:rsid w:val="00841628"/>
    <w:rsid w:val="00841744"/>
    <w:rsid w:val="008418BF"/>
    <w:rsid w:val="008420B0"/>
    <w:rsid w:val="0084233E"/>
    <w:rsid w:val="008424E2"/>
    <w:rsid w:val="008425DF"/>
    <w:rsid w:val="00842933"/>
    <w:rsid w:val="00842D10"/>
    <w:rsid w:val="00842E33"/>
    <w:rsid w:val="008439B2"/>
    <w:rsid w:val="00843B49"/>
    <w:rsid w:val="008443F3"/>
    <w:rsid w:val="008445E4"/>
    <w:rsid w:val="00844614"/>
    <w:rsid w:val="00844897"/>
    <w:rsid w:val="008449FC"/>
    <w:rsid w:val="00844AEC"/>
    <w:rsid w:val="00844ED9"/>
    <w:rsid w:val="0084501C"/>
    <w:rsid w:val="0084502C"/>
    <w:rsid w:val="0084535D"/>
    <w:rsid w:val="008457AA"/>
    <w:rsid w:val="00845945"/>
    <w:rsid w:val="008462D4"/>
    <w:rsid w:val="00846813"/>
    <w:rsid w:val="00846B37"/>
    <w:rsid w:val="00846B9B"/>
    <w:rsid w:val="00847074"/>
    <w:rsid w:val="00847629"/>
    <w:rsid w:val="008476B5"/>
    <w:rsid w:val="008476FA"/>
    <w:rsid w:val="008478D5"/>
    <w:rsid w:val="00847B74"/>
    <w:rsid w:val="00847F09"/>
    <w:rsid w:val="008501D9"/>
    <w:rsid w:val="00850879"/>
    <w:rsid w:val="00850967"/>
    <w:rsid w:val="00850B28"/>
    <w:rsid w:val="00850F0A"/>
    <w:rsid w:val="0085150D"/>
    <w:rsid w:val="008515BF"/>
    <w:rsid w:val="00851EAB"/>
    <w:rsid w:val="008522A3"/>
    <w:rsid w:val="0085252A"/>
    <w:rsid w:val="008525DC"/>
    <w:rsid w:val="00852783"/>
    <w:rsid w:val="008529F5"/>
    <w:rsid w:val="00852B60"/>
    <w:rsid w:val="00852C81"/>
    <w:rsid w:val="00852CF6"/>
    <w:rsid w:val="0085351B"/>
    <w:rsid w:val="008536A9"/>
    <w:rsid w:val="00854420"/>
    <w:rsid w:val="00854CFF"/>
    <w:rsid w:val="00854EC3"/>
    <w:rsid w:val="00854F47"/>
    <w:rsid w:val="0085503C"/>
    <w:rsid w:val="00855218"/>
    <w:rsid w:val="00855400"/>
    <w:rsid w:val="00855E41"/>
    <w:rsid w:val="00856562"/>
    <w:rsid w:val="0085694E"/>
    <w:rsid w:val="008569A8"/>
    <w:rsid w:val="00856A5C"/>
    <w:rsid w:val="00856D40"/>
    <w:rsid w:val="00856FEC"/>
    <w:rsid w:val="0085783C"/>
    <w:rsid w:val="00860790"/>
    <w:rsid w:val="0086082C"/>
    <w:rsid w:val="00860E19"/>
    <w:rsid w:val="00860F9D"/>
    <w:rsid w:val="008617B8"/>
    <w:rsid w:val="008618B4"/>
    <w:rsid w:val="00861D1C"/>
    <w:rsid w:val="00861E23"/>
    <w:rsid w:val="0086260C"/>
    <w:rsid w:val="00862611"/>
    <w:rsid w:val="008629D5"/>
    <w:rsid w:val="00862B5E"/>
    <w:rsid w:val="00862B7F"/>
    <w:rsid w:val="00862E51"/>
    <w:rsid w:val="0086310E"/>
    <w:rsid w:val="008631A9"/>
    <w:rsid w:val="0086360A"/>
    <w:rsid w:val="00863659"/>
    <w:rsid w:val="00864123"/>
    <w:rsid w:val="008642BF"/>
    <w:rsid w:val="008648BE"/>
    <w:rsid w:val="00864920"/>
    <w:rsid w:val="008649C6"/>
    <w:rsid w:val="00864ADC"/>
    <w:rsid w:val="00864D97"/>
    <w:rsid w:val="00864E3E"/>
    <w:rsid w:val="00864F5E"/>
    <w:rsid w:val="00864FE7"/>
    <w:rsid w:val="00865054"/>
    <w:rsid w:val="008650C0"/>
    <w:rsid w:val="0086526B"/>
    <w:rsid w:val="00865485"/>
    <w:rsid w:val="00865527"/>
    <w:rsid w:val="00865693"/>
    <w:rsid w:val="008662AD"/>
    <w:rsid w:val="008662D9"/>
    <w:rsid w:val="008663C7"/>
    <w:rsid w:val="0086666A"/>
    <w:rsid w:val="008671BC"/>
    <w:rsid w:val="0086792F"/>
    <w:rsid w:val="00870650"/>
    <w:rsid w:val="008706BF"/>
    <w:rsid w:val="00870A3C"/>
    <w:rsid w:val="008710E1"/>
    <w:rsid w:val="00871BD9"/>
    <w:rsid w:val="00871F1B"/>
    <w:rsid w:val="00872292"/>
    <w:rsid w:val="008725A9"/>
    <w:rsid w:val="00872804"/>
    <w:rsid w:val="008728C7"/>
    <w:rsid w:val="00872AAC"/>
    <w:rsid w:val="00872FC0"/>
    <w:rsid w:val="0087340B"/>
    <w:rsid w:val="0087341B"/>
    <w:rsid w:val="0087383A"/>
    <w:rsid w:val="00873D17"/>
    <w:rsid w:val="008744C3"/>
    <w:rsid w:val="0087452B"/>
    <w:rsid w:val="0087524F"/>
    <w:rsid w:val="00875430"/>
    <w:rsid w:val="008757B2"/>
    <w:rsid w:val="00875919"/>
    <w:rsid w:val="00875ED0"/>
    <w:rsid w:val="00875F41"/>
    <w:rsid w:val="00876035"/>
    <w:rsid w:val="0087612E"/>
    <w:rsid w:val="00876131"/>
    <w:rsid w:val="008763E0"/>
    <w:rsid w:val="00876954"/>
    <w:rsid w:val="008769F0"/>
    <w:rsid w:val="00876D62"/>
    <w:rsid w:val="008770D8"/>
    <w:rsid w:val="00877201"/>
    <w:rsid w:val="00877289"/>
    <w:rsid w:val="008778BB"/>
    <w:rsid w:val="00880153"/>
    <w:rsid w:val="008801D1"/>
    <w:rsid w:val="008803CA"/>
    <w:rsid w:val="00880A9E"/>
    <w:rsid w:val="00880F97"/>
    <w:rsid w:val="008812B1"/>
    <w:rsid w:val="0088133A"/>
    <w:rsid w:val="00881650"/>
    <w:rsid w:val="008816A9"/>
    <w:rsid w:val="008818D0"/>
    <w:rsid w:val="008819A4"/>
    <w:rsid w:val="008820A4"/>
    <w:rsid w:val="008823AB"/>
    <w:rsid w:val="008827CA"/>
    <w:rsid w:val="008829C5"/>
    <w:rsid w:val="00882DF0"/>
    <w:rsid w:val="00883525"/>
    <w:rsid w:val="008848DD"/>
    <w:rsid w:val="00884C1F"/>
    <w:rsid w:val="00884DEA"/>
    <w:rsid w:val="00884F06"/>
    <w:rsid w:val="00885096"/>
    <w:rsid w:val="0088512A"/>
    <w:rsid w:val="00885721"/>
    <w:rsid w:val="00885F6C"/>
    <w:rsid w:val="00886051"/>
    <w:rsid w:val="00886080"/>
    <w:rsid w:val="008863F1"/>
    <w:rsid w:val="00886634"/>
    <w:rsid w:val="00886B43"/>
    <w:rsid w:val="00886BEC"/>
    <w:rsid w:val="00886E00"/>
    <w:rsid w:val="00886F45"/>
    <w:rsid w:val="00887BED"/>
    <w:rsid w:val="00887F1B"/>
    <w:rsid w:val="00887FDA"/>
    <w:rsid w:val="00887FDC"/>
    <w:rsid w:val="00890026"/>
    <w:rsid w:val="00890497"/>
    <w:rsid w:val="00890653"/>
    <w:rsid w:val="00890B1E"/>
    <w:rsid w:val="00890E1D"/>
    <w:rsid w:val="00890E57"/>
    <w:rsid w:val="00891365"/>
    <w:rsid w:val="008913C6"/>
    <w:rsid w:val="0089163D"/>
    <w:rsid w:val="0089169A"/>
    <w:rsid w:val="008918E8"/>
    <w:rsid w:val="008919C1"/>
    <w:rsid w:val="00891A10"/>
    <w:rsid w:val="00891B97"/>
    <w:rsid w:val="00891C1C"/>
    <w:rsid w:val="00891E04"/>
    <w:rsid w:val="0089239A"/>
    <w:rsid w:val="008926AF"/>
    <w:rsid w:val="0089276C"/>
    <w:rsid w:val="0089285E"/>
    <w:rsid w:val="00892E53"/>
    <w:rsid w:val="00892E8A"/>
    <w:rsid w:val="00892FEB"/>
    <w:rsid w:val="0089316B"/>
    <w:rsid w:val="00893590"/>
    <w:rsid w:val="008935BD"/>
    <w:rsid w:val="00893635"/>
    <w:rsid w:val="008938FA"/>
    <w:rsid w:val="00893A77"/>
    <w:rsid w:val="00893E7F"/>
    <w:rsid w:val="00893F81"/>
    <w:rsid w:val="0089436C"/>
    <w:rsid w:val="00894491"/>
    <w:rsid w:val="008945FF"/>
    <w:rsid w:val="008946D1"/>
    <w:rsid w:val="0089485F"/>
    <w:rsid w:val="0089530B"/>
    <w:rsid w:val="00895383"/>
    <w:rsid w:val="00895400"/>
    <w:rsid w:val="0089548E"/>
    <w:rsid w:val="00895551"/>
    <w:rsid w:val="00895A52"/>
    <w:rsid w:val="00895A77"/>
    <w:rsid w:val="00895E85"/>
    <w:rsid w:val="008962A2"/>
    <w:rsid w:val="008968A1"/>
    <w:rsid w:val="00896A7D"/>
    <w:rsid w:val="008971B7"/>
    <w:rsid w:val="00897214"/>
    <w:rsid w:val="00897B24"/>
    <w:rsid w:val="00897EE5"/>
    <w:rsid w:val="00897FF3"/>
    <w:rsid w:val="008A02DF"/>
    <w:rsid w:val="008A050F"/>
    <w:rsid w:val="008A09A7"/>
    <w:rsid w:val="008A111D"/>
    <w:rsid w:val="008A141F"/>
    <w:rsid w:val="008A2193"/>
    <w:rsid w:val="008A21A2"/>
    <w:rsid w:val="008A25B0"/>
    <w:rsid w:val="008A26C6"/>
    <w:rsid w:val="008A2A67"/>
    <w:rsid w:val="008A2BE2"/>
    <w:rsid w:val="008A2F76"/>
    <w:rsid w:val="008A3358"/>
    <w:rsid w:val="008A3857"/>
    <w:rsid w:val="008A3A77"/>
    <w:rsid w:val="008A42E2"/>
    <w:rsid w:val="008A43B3"/>
    <w:rsid w:val="008A501E"/>
    <w:rsid w:val="008A5722"/>
    <w:rsid w:val="008A58BC"/>
    <w:rsid w:val="008A63F4"/>
    <w:rsid w:val="008A67D0"/>
    <w:rsid w:val="008A6B20"/>
    <w:rsid w:val="008A6B6A"/>
    <w:rsid w:val="008A7B36"/>
    <w:rsid w:val="008A7BCD"/>
    <w:rsid w:val="008B02D4"/>
    <w:rsid w:val="008B09A4"/>
    <w:rsid w:val="008B16A2"/>
    <w:rsid w:val="008B1849"/>
    <w:rsid w:val="008B1989"/>
    <w:rsid w:val="008B1CC7"/>
    <w:rsid w:val="008B210C"/>
    <w:rsid w:val="008B2779"/>
    <w:rsid w:val="008B2B6F"/>
    <w:rsid w:val="008B2D06"/>
    <w:rsid w:val="008B2DB9"/>
    <w:rsid w:val="008B2E4F"/>
    <w:rsid w:val="008B32EA"/>
    <w:rsid w:val="008B4232"/>
    <w:rsid w:val="008B447E"/>
    <w:rsid w:val="008B4FAF"/>
    <w:rsid w:val="008B514D"/>
    <w:rsid w:val="008B569E"/>
    <w:rsid w:val="008B5A2C"/>
    <w:rsid w:val="008B5C03"/>
    <w:rsid w:val="008B5F4A"/>
    <w:rsid w:val="008B6487"/>
    <w:rsid w:val="008B668F"/>
    <w:rsid w:val="008B6B16"/>
    <w:rsid w:val="008B6BA2"/>
    <w:rsid w:val="008B6CB5"/>
    <w:rsid w:val="008B72D9"/>
    <w:rsid w:val="008B76F8"/>
    <w:rsid w:val="008B7762"/>
    <w:rsid w:val="008B79BB"/>
    <w:rsid w:val="008B7C90"/>
    <w:rsid w:val="008C0530"/>
    <w:rsid w:val="008C0633"/>
    <w:rsid w:val="008C0763"/>
    <w:rsid w:val="008C1539"/>
    <w:rsid w:val="008C1A90"/>
    <w:rsid w:val="008C1B9E"/>
    <w:rsid w:val="008C1C1D"/>
    <w:rsid w:val="008C2B13"/>
    <w:rsid w:val="008C2CC3"/>
    <w:rsid w:val="008C31F1"/>
    <w:rsid w:val="008C376A"/>
    <w:rsid w:val="008C38E8"/>
    <w:rsid w:val="008C3AE2"/>
    <w:rsid w:val="008C3CA9"/>
    <w:rsid w:val="008C3EFF"/>
    <w:rsid w:val="008C3FCD"/>
    <w:rsid w:val="008C4173"/>
    <w:rsid w:val="008C47E3"/>
    <w:rsid w:val="008C49B8"/>
    <w:rsid w:val="008C4D0F"/>
    <w:rsid w:val="008C4F1D"/>
    <w:rsid w:val="008C4F68"/>
    <w:rsid w:val="008C5395"/>
    <w:rsid w:val="008C5704"/>
    <w:rsid w:val="008C599E"/>
    <w:rsid w:val="008C5A38"/>
    <w:rsid w:val="008C5B86"/>
    <w:rsid w:val="008C5BF6"/>
    <w:rsid w:val="008C5F3B"/>
    <w:rsid w:val="008C66E8"/>
    <w:rsid w:val="008C6B02"/>
    <w:rsid w:val="008C705D"/>
    <w:rsid w:val="008C70EC"/>
    <w:rsid w:val="008C7676"/>
    <w:rsid w:val="008C79B1"/>
    <w:rsid w:val="008D0013"/>
    <w:rsid w:val="008D00E1"/>
    <w:rsid w:val="008D010C"/>
    <w:rsid w:val="008D0849"/>
    <w:rsid w:val="008D0B26"/>
    <w:rsid w:val="008D0C7A"/>
    <w:rsid w:val="008D0FFB"/>
    <w:rsid w:val="008D1226"/>
    <w:rsid w:val="008D14BF"/>
    <w:rsid w:val="008D1864"/>
    <w:rsid w:val="008D1FCB"/>
    <w:rsid w:val="008D288C"/>
    <w:rsid w:val="008D28E5"/>
    <w:rsid w:val="008D2B77"/>
    <w:rsid w:val="008D30F7"/>
    <w:rsid w:val="008D365C"/>
    <w:rsid w:val="008D36F6"/>
    <w:rsid w:val="008D3AA7"/>
    <w:rsid w:val="008D3D5D"/>
    <w:rsid w:val="008D43BB"/>
    <w:rsid w:val="008D46E0"/>
    <w:rsid w:val="008D4E67"/>
    <w:rsid w:val="008D5169"/>
    <w:rsid w:val="008D51AC"/>
    <w:rsid w:val="008D5622"/>
    <w:rsid w:val="008D59D3"/>
    <w:rsid w:val="008D5B54"/>
    <w:rsid w:val="008D6102"/>
    <w:rsid w:val="008D622B"/>
    <w:rsid w:val="008D659D"/>
    <w:rsid w:val="008D671B"/>
    <w:rsid w:val="008D6AA1"/>
    <w:rsid w:val="008D6AB1"/>
    <w:rsid w:val="008D6C5F"/>
    <w:rsid w:val="008D6EF0"/>
    <w:rsid w:val="008D72E1"/>
    <w:rsid w:val="008D7553"/>
    <w:rsid w:val="008D76C0"/>
    <w:rsid w:val="008D795C"/>
    <w:rsid w:val="008D7A72"/>
    <w:rsid w:val="008E0530"/>
    <w:rsid w:val="008E05C4"/>
    <w:rsid w:val="008E05D8"/>
    <w:rsid w:val="008E05FE"/>
    <w:rsid w:val="008E0600"/>
    <w:rsid w:val="008E0A08"/>
    <w:rsid w:val="008E0A5B"/>
    <w:rsid w:val="008E0C4C"/>
    <w:rsid w:val="008E0F58"/>
    <w:rsid w:val="008E137C"/>
    <w:rsid w:val="008E1486"/>
    <w:rsid w:val="008E14DA"/>
    <w:rsid w:val="008E1584"/>
    <w:rsid w:val="008E1B95"/>
    <w:rsid w:val="008E1CC1"/>
    <w:rsid w:val="008E2248"/>
    <w:rsid w:val="008E2302"/>
    <w:rsid w:val="008E241B"/>
    <w:rsid w:val="008E268D"/>
    <w:rsid w:val="008E28A9"/>
    <w:rsid w:val="008E31B4"/>
    <w:rsid w:val="008E3585"/>
    <w:rsid w:val="008E35AC"/>
    <w:rsid w:val="008E38C3"/>
    <w:rsid w:val="008E399A"/>
    <w:rsid w:val="008E3DC9"/>
    <w:rsid w:val="008E4199"/>
    <w:rsid w:val="008E439E"/>
    <w:rsid w:val="008E5516"/>
    <w:rsid w:val="008E5703"/>
    <w:rsid w:val="008E5714"/>
    <w:rsid w:val="008E57EC"/>
    <w:rsid w:val="008E5A98"/>
    <w:rsid w:val="008E5BF5"/>
    <w:rsid w:val="008E5EEC"/>
    <w:rsid w:val="008E5F19"/>
    <w:rsid w:val="008E65B0"/>
    <w:rsid w:val="008E6929"/>
    <w:rsid w:val="008E6961"/>
    <w:rsid w:val="008E6A03"/>
    <w:rsid w:val="008E6A45"/>
    <w:rsid w:val="008E6E97"/>
    <w:rsid w:val="008E6F56"/>
    <w:rsid w:val="008E7336"/>
    <w:rsid w:val="008E7387"/>
    <w:rsid w:val="008E7399"/>
    <w:rsid w:val="008E7834"/>
    <w:rsid w:val="008E7E5D"/>
    <w:rsid w:val="008F0825"/>
    <w:rsid w:val="008F0AE3"/>
    <w:rsid w:val="008F0C90"/>
    <w:rsid w:val="008F0D92"/>
    <w:rsid w:val="008F15FC"/>
    <w:rsid w:val="008F1B8D"/>
    <w:rsid w:val="008F1C6D"/>
    <w:rsid w:val="008F22F9"/>
    <w:rsid w:val="008F2897"/>
    <w:rsid w:val="008F2AF6"/>
    <w:rsid w:val="008F33D0"/>
    <w:rsid w:val="008F343C"/>
    <w:rsid w:val="008F3CFA"/>
    <w:rsid w:val="008F3D2E"/>
    <w:rsid w:val="008F3EA1"/>
    <w:rsid w:val="008F3F49"/>
    <w:rsid w:val="008F4189"/>
    <w:rsid w:val="008F41D2"/>
    <w:rsid w:val="008F4544"/>
    <w:rsid w:val="008F49A0"/>
    <w:rsid w:val="008F4DE9"/>
    <w:rsid w:val="008F4FE4"/>
    <w:rsid w:val="008F6218"/>
    <w:rsid w:val="008F6221"/>
    <w:rsid w:val="008F64BE"/>
    <w:rsid w:val="008F6738"/>
    <w:rsid w:val="008F759A"/>
    <w:rsid w:val="0090006A"/>
    <w:rsid w:val="00900369"/>
    <w:rsid w:val="0090046D"/>
    <w:rsid w:val="00901832"/>
    <w:rsid w:val="00902552"/>
    <w:rsid w:val="0090264E"/>
    <w:rsid w:val="009026A3"/>
    <w:rsid w:val="00903096"/>
    <w:rsid w:val="009030BF"/>
    <w:rsid w:val="0090318B"/>
    <w:rsid w:val="00903311"/>
    <w:rsid w:val="0090332E"/>
    <w:rsid w:val="0090359B"/>
    <w:rsid w:val="009039F8"/>
    <w:rsid w:val="00903B52"/>
    <w:rsid w:val="00904445"/>
    <w:rsid w:val="00904926"/>
    <w:rsid w:val="00904958"/>
    <w:rsid w:val="00905038"/>
    <w:rsid w:val="0090578C"/>
    <w:rsid w:val="00905B94"/>
    <w:rsid w:val="009068C1"/>
    <w:rsid w:val="0090725D"/>
    <w:rsid w:val="0090762B"/>
    <w:rsid w:val="00907932"/>
    <w:rsid w:val="0091032F"/>
    <w:rsid w:val="009108D4"/>
    <w:rsid w:val="0091095C"/>
    <w:rsid w:val="00910D1F"/>
    <w:rsid w:val="00910D44"/>
    <w:rsid w:val="0091184A"/>
    <w:rsid w:val="009121BC"/>
    <w:rsid w:val="0091235B"/>
    <w:rsid w:val="009123A5"/>
    <w:rsid w:val="0091286B"/>
    <w:rsid w:val="00913149"/>
    <w:rsid w:val="0091320E"/>
    <w:rsid w:val="00913332"/>
    <w:rsid w:val="0091339B"/>
    <w:rsid w:val="0091366F"/>
    <w:rsid w:val="0091390E"/>
    <w:rsid w:val="00913D06"/>
    <w:rsid w:val="00914012"/>
    <w:rsid w:val="00914342"/>
    <w:rsid w:val="00914368"/>
    <w:rsid w:val="009148C8"/>
    <w:rsid w:val="0091499E"/>
    <w:rsid w:val="00914F5D"/>
    <w:rsid w:val="009151EE"/>
    <w:rsid w:val="00915304"/>
    <w:rsid w:val="00915487"/>
    <w:rsid w:val="0091582B"/>
    <w:rsid w:val="009158A6"/>
    <w:rsid w:val="009159DA"/>
    <w:rsid w:val="00915FD6"/>
    <w:rsid w:val="00916526"/>
    <w:rsid w:val="00916527"/>
    <w:rsid w:val="009166FE"/>
    <w:rsid w:val="00916BC3"/>
    <w:rsid w:val="00916DEC"/>
    <w:rsid w:val="00916EC1"/>
    <w:rsid w:val="009175F6"/>
    <w:rsid w:val="0091778C"/>
    <w:rsid w:val="00917CCE"/>
    <w:rsid w:val="00917EAC"/>
    <w:rsid w:val="00917EC4"/>
    <w:rsid w:val="00917FE8"/>
    <w:rsid w:val="00920844"/>
    <w:rsid w:val="00920ED9"/>
    <w:rsid w:val="0092125E"/>
    <w:rsid w:val="00921440"/>
    <w:rsid w:val="0092171D"/>
    <w:rsid w:val="00921BEB"/>
    <w:rsid w:val="00921F71"/>
    <w:rsid w:val="00922427"/>
    <w:rsid w:val="00922516"/>
    <w:rsid w:val="00922648"/>
    <w:rsid w:val="0092299E"/>
    <w:rsid w:val="00922AC7"/>
    <w:rsid w:val="00922B81"/>
    <w:rsid w:val="00922ED5"/>
    <w:rsid w:val="00923172"/>
    <w:rsid w:val="00923528"/>
    <w:rsid w:val="009235AC"/>
    <w:rsid w:val="00923914"/>
    <w:rsid w:val="00923BC6"/>
    <w:rsid w:val="009241A2"/>
    <w:rsid w:val="0092435B"/>
    <w:rsid w:val="00924AF4"/>
    <w:rsid w:val="009252B1"/>
    <w:rsid w:val="00925437"/>
    <w:rsid w:val="00925809"/>
    <w:rsid w:val="00925A94"/>
    <w:rsid w:val="00925DD1"/>
    <w:rsid w:val="0092621A"/>
    <w:rsid w:val="009262B2"/>
    <w:rsid w:val="0092678D"/>
    <w:rsid w:val="00926BEF"/>
    <w:rsid w:val="00926D85"/>
    <w:rsid w:val="00926DCD"/>
    <w:rsid w:val="00926DDE"/>
    <w:rsid w:val="00926E6E"/>
    <w:rsid w:val="009274A6"/>
    <w:rsid w:val="009274C8"/>
    <w:rsid w:val="00927522"/>
    <w:rsid w:val="009276BF"/>
    <w:rsid w:val="009279A4"/>
    <w:rsid w:val="009279F3"/>
    <w:rsid w:val="00927CBC"/>
    <w:rsid w:val="00927D6A"/>
    <w:rsid w:val="00927E57"/>
    <w:rsid w:val="009303AC"/>
    <w:rsid w:val="00930894"/>
    <w:rsid w:val="00930898"/>
    <w:rsid w:val="00930D56"/>
    <w:rsid w:val="00931076"/>
    <w:rsid w:val="009318CD"/>
    <w:rsid w:val="00931943"/>
    <w:rsid w:val="00931E57"/>
    <w:rsid w:val="00932434"/>
    <w:rsid w:val="0093262D"/>
    <w:rsid w:val="00932727"/>
    <w:rsid w:val="009327A5"/>
    <w:rsid w:val="00932D8E"/>
    <w:rsid w:val="00933029"/>
    <w:rsid w:val="009336AA"/>
    <w:rsid w:val="009340D0"/>
    <w:rsid w:val="009345D9"/>
    <w:rsid w:val="009348E7"/>
    <w:rsid w:val="00934B15"/>
    <w:rsid w:val="009363A7"/>
    <w:rsid w:val="0093659A"/>
    <w:rsid w:val="009366A5"/>
    <w:rsid w:val="00936BB9"/>
    <w:rsid w:val="00936ED4"/>
    <w:rsid w:val="009375D9"/>
    <w:rsid w:val="009376D5"/>
    <w:rsid w:val="009377B0"/>
    <w:rsid w:val="00937805"/>
    <w:rsid w:val="00937FED"/>
    <w:rsid w:val="0094012A"/>
    <w:rsid w:val="00940301"/>
    <w:rsid w:val="00940346"/>
    <w:rsid w:val="00940667"/>
    <w:rsid w:val="009406F3"/>
    <w:rsid w:val="00940714"/>
    <w:rsid w:val="00940817"/>
    <w:rsid w:val="00940A1D"/>
    <w:rsid w:val="00940C87"/>
    <w:rsid w:val="009410DB"/>
    <w:rsid w:val="0094143C"/>
    <w:rsid w:val="009416BF"/>
    <w:rsid w:val="00941907"/>
    <w:rsid w:val="00941CB0"/>
    <w:rsid w:val="00941EA1"/>
    <w:rsid w:val="00941F13"/>
    <w:rsid w:val="00942236"/>
    <w:rsid w:val="00942344"/>
    <w:rsid w:val="009423D5"/>
    <w:rsid w:val="00942782"/>
    <w:rsid w:val="00942914"/>
    <w:rsid w:val="00942B62"/>
    <w:rsid w:val="009431F4"/>
    <w:rsid w:val="00943543"/>
    <w:rsid w:val="00943997"/>
    <w:rsid w:val="00943A78"/>
    <w:rsid w:val="00943B93"/>
    <w:rsid w:val="0094464D"/>
    <w:rsid w:val="00944704"/>
    <w:rsid w:val="00944796"/>
    <w:rsid w:val="00944C45"/>
    <w:rsid w:val="00945DFC"/>
    <w:rsid w:val="00945F49"/>
    <w:rsid w:val="00945FEF"/>
    <w:rsid w:val="009462D2"/>
    <w:rsid w:val="0094666E"/>
    <w:rsid w:val="00946AB7"/>
    <w:rsid w:val="0094764F"/>
    <w:rsid w:val="00947C44"/>
    <w:rsid w:val="00947F17"/>
    <w:rsid w:val="0095017A"/>
    <w:rsid w:val="009502F1"/>
    <w:rsid w:val="009504A1"/>
    <w:rsid w:val="009505DF"/>
    <w:rsid w:val="00950E31"/>
    <w:rsid w:val="00951DB8"/>
    <w:rsid w:val="009525EF"/>
    <w:rsid w:val="0095263C"/>
    <w:rsid w:val="00952E9F"/>
    <w:rsid w:val="0095323B"/>
    <w:rsid w:val="00953274"/>
    <w:rsid w:val="00953781"/>
    <w:rsid w:val="009538BD"/>
    <w:rsid w:val="00953940"/>
    <w:rsid w:val="00953A1C"/>
    <w:rsid w:val="00953D74"/>
    <w:rsid w:val="00954065"/>
    <w:rsid w:val="00954B2E"/>
    <w:rsid w:val="00955209"/>
    <w:rsid w:val="00955530"/>
    <w:rsid w:val="0095559A"/>
    <w:rsid w:val="00956395"/>
    <w:rsid w:val="00956438"/>
    <w:rsid w:val="0095674F"/>
    <w:rsid w:val="00956A0C"/>
    <w:rsid w:val="00956BD9"/>
    <w:rsid w:val="00956E83"/>
    <w:rsid w:val="0095731E"/>
    <w:rsid w:val="00957388"/>
    <w:rsid w:val="009574D0"/>
    <w:rsid w:val="00957647"/>
    <w:rsid w:val="009578EA"/>
    <w:rsid w:val="00957AAD"/>
    <w:rsid w:val="00957BF1"/>
    <w:rsid w:val="00957DCC"/>
    <w:rsid w:val="009604C1"/>
    <w:rsid w:val="00960916"/>
    <w:rsid w:val="0096099A"/>
    <w:rsid w:val="009613D0"/>
    <w:rsid w:val="0096179D"/>
    <w:rsid w:val="00962489"/>
    <w:rsid w:val="009626D3"/>
    <w:rsid w:val="00962EC3"/>
    <w:rsid w:val="00962FDB"/>
    <w:rsid w:val="00963237"/>
    <w:rsid w:val="0096343C"/>
    <w:rsid w:val="009635F3"/>
    <w:rsid w:val="00963999"/>
    <w:rsid w:val="00964191"/>
    <w:rsid w:val="009642AA"/>
    <w:rsid w:val="009643BF"/>
    <w:rsid w:val="00964D0C"/>
    <w:rsid w:val="00964DAF"/>
    <w:rsid w:val="009654AC"/>
    <w:rsid w:val="00965668"/>
    <w:rsid w:val="00965CF6"/>
    <w:rsid w:val="00965F42"/>
    <w:rsid w:val="00965F52"/>
    <w:rsid w:val="00966437"/>
    <w:rsid w:val="0096660E"/>
    <w:rsid w:val="00966EFC"/>
    <w:rsid w:val="00967151"/>
    <w:rsid w:val="009673FC"/>
    <w:rsid w:val="00967747"/>
    <w:rsid w:val="0096793F"/>
    <w:rsid w:val="00967C29"/>
    <w:rsid w:val="00967CD3"/>
    <w:rsid w:val="00967DFA"/>
    <w:rsid w:val="0097005F"/>
    <w:rsid w:val="009701AD"/>
    <w:rsid w:val="00970252"/>
    <w:rsid w:val="0097036C"/>
    <w:rsid w:val="009704C7"/>
    <w:rsid w:val="00970733"/>
    <w:rsid w:val="00970D56"/>
    <w:rsid w:val="009711FC"/>
    <w:rsid w:val="0097152E"/>
    <w:rsid w:val="00971971"/>
    <w:rsid w:val="0097198B"/>
    <w:rsid w:val="00971B48"/>
    <w:rsid w:val="00971C3B"/>
    <w:rsid w:val="00971EED"/>
    <w:rsid w:val="00971F12"/>
    <w:rsid w:val="009725C7"/>
    <w:rsid w:val="00972790"/>
    <w:rsid w:val="009728B3"/>
    <w:rsid w:val="00972989"/>
    <w:rsid w:val="00972FFC"/>
    <w:rsid w:val="00972FFD"/>
    <w:rsid w:val="009731A1"/>
    <w:rsid w:val="00973F71"/>
    <w:rsid w:val="009744FA"/>
    <w:rsid w:val="00974E92"/>
    <w:rsid w:val="00974F4E"/>
    <w:rsid w:val="00975B48"/>
    <w:rsid w:val="00975D13"/>
    <w:rsid w:val="00975E5A"/>
    <w:rsid w:val="00975FC9"/>
    <w:rsid w:val="009760A1"/>
    <w:rsid w:val="009762F9"/>
    <w:rsid w:val="009765B8"/>
    <w:rsid w:val="00976993"/>
    <w:rsid w:val="00977525"/>
    <w:rsid w:val="00977CC6"/>
    <w:rsid w:val="00977E84"/>
    <w:rsid w:val="00977E8A"/>
    <w:rsid w:val="00977FCF"/>
    <w:rsid w:val="00980015"/>
    <w:rsid w:val="009802C8"/>
    <w:rsid w:val="00980509"/>
    <w:rsid w:val="009805DD"/>
    <w:rsid w:val="009805E9"/>
    <w:rsid w:val="00980790"/>
    <w:rsid w:val="009809F7"/>
    <w:rsid w:val="00980A1B"/>
    <w:rsid w:val="00980AE9"/>
    <w:rsid w:val="00980FEB"/>
    <w:rsid w:val="009811F9"/>
    <w:rsid w:val="00981216"/>
    <w:rsid w:val="009814C6"/>
    <w:rsid w:val="00981523"/>
    <w:rsid w:val="0098169A"/>
    <w:rsid w:val="00981BBC"/>
    <w:rsid w:val="00981DF5"/>
    <w:rsid w:val="0098239E"/>
    <w:rsid w:val="009825C5"/>
    <w:rsid w:val="00982D5A"/>
    <w:rsid w:val="00982F07"/>
    <w:rsid w:val="00982FD9"/>
    <w:rsid w:val="0098300B"/>
    <w:rsid w:val="009831AB"/>
    <w:rsid w:val="009837FB"/>
    <w:rsid w:val="00983B80"/>
    <w:rsid w:val="00984403"/>
    <w:rsid w:val="009844CB"/>
    <w:rsid w:val="009848B4"/>
    <w:rsid w:val="00984A19"/>
    <w:rsid w:val="00984F07"/>
    <w:rsid w:val="009852B1"/>
    <w:rsid w:val="0098559B"/>
    <w:rsid w:val="00985739"/>
    <w:rsid w:val="00985823"/>
    <w:rsid w:val="00985A5D"/>
    <w:rsid w:val="00985DB8"/>
    <w:rsid w:val="009860DF"/>
    <w:rsid w:val="009861A7"/>
    <w:rsid w:val="0098658B"/>
    <w:rsid w:val="009866F6"/>
    <w:rsid w:val="00986839"/>
    <w:rsid w:val="009869E8"/>
    <w:rsid w:val="00986D61"/>
    <w:rsid w:val="00986F27"/>
    <w:rsid w:val="00986FC1"/>
    <w:rsid w:val="009873F1"/>
    <w:rsid w:val="00987550"/>
    <w:rsid w:val="00987FDF"/>
    <w:rsid w:val="00990088"/>
    <w:rsid w:val="009900EE"/>
    <w:rsid w:val="0099027C"/>
    <w:rsid w:val="009903ED"/>
    <w:rsid w:val="009905CB"/>
    <w:rsid w:val="00990BD9"/>
    <w:rsid w:val="00990C2C"/>
    <w:rsid w:val="009910CB"/>
    <w:rsid w:val="00991149"/>
    <w:rsid w:val="00991360"/>
    <w:rsid w:val="009913F0"/>
    <w:rsid w:val="0099156C"/>
    <w:rsid w:val="009917E3"/>
    <w:rsid w:val="00991D74"/>
    <w:rsid w:val="009920AD"/>
    <w:rsid w:val="0099243D"/>
    <w:rsid w:val="009926E5"/>
    <w:rsid w:val="009927EA"/>
    <w:rsid w:val="00992BC7"/>
    <w:rsid w:val="00993076"/>
    <w:rsid w:val="0099372E"/>
    <w:rsid w:val="0099405E"/>
    <w:rsid w:val="00994707"/>
    <w:rsid w:val="009949F7"/>
    <w:rsid w:val="0099531C"/>
    <w:rsid w:val="00995408"/>
    <w:rsid w:val="009955BB"/>
    <w:rsid w:val="00995705"/>
    <w:rsid w:val="00995B26"/>
    <w:rsid w:val="00995C97"/>
    <w:rsid w:val="00996203"/>
    <w:rsid w:val="00996222"/>
    <w:rsid w:val="00996265"/>
    <w:rsid w:val="009964AF"/>
    <w:rsid w:val="00996501"/>
    <w:rsid w:val="00996A2C"/>
    <w:rsid w:val="00996AB6"/>
    <w:rsid w:val="00996C5B"/>
    <w:rsid w:val="0099716E"/>
    <w:rsid w:val="0099751F"/>
    <w:rsid w:val="00997C6C"/>
    <w:rsid w:val="009A0CC6"/>
    <w:rsid w:val="009A0D0F"/>
    <w:rsid w:val="009A0D69"/>
    <w:rsid w:val="009A115A"/>
    <w:rsid w:val="009A1471"/>
    <w:rsid w:val="009A1778"/>
    <w:rsid w:val="009A179D"/>
    <w:rsid w:val="009A1A50"/>
    <w:rsid w:val="009A2454"/>
    <w:rsid w:val="009A2601"/>
    <w:rsid w:val="009A2DBE"/>
    <w:rsid w:val="009A3A42"/>
    <w:rsid w:val="009A3AFB"/>
    <w:rsid w:val="009A3EB5"/>
    <w:rsid w:val="009A3F35"/>
    <w:rsid w:val="009A3FFD"/>
    <w:rsid w:val="009A4161"/>
    <w:rsid w:val="009A4483"/>
    <w:rsid w:val="009A44BD"/>
    <w:rsid w:val="009A46C4"/>
    <w:rsid w:val="009A513C"/>
    <w:rsid w:val="009A5177"/>
    <w:rsid w:val="009A5575"/>
    <w:rsid w:val="009A5585"/>
    <w:rsid w:val="009A5684"/>
    <w:rsid w:val="009A57FA"/>
    <w:rsid w:val="009A58A6"/>
    <w:rsid w:val="009A59DE"/>
    <w:rsid w:val="009A5AAC"/>
    <w:rsid w:val="009A5FC0"/>
    <w:rsid w:val="009A68E5"/>
    <w:rsid w:val="009A6B19"/>
    <w:rsid w:val="009A726F"/>
    <w:rsid w:val="009A74F8"/>
    <w:rsid w:val="009A7AD0"/>
    <w:rsid w:val="009A7D55"/>
    <w:rsid w:val="009A7E52"/>
    <w:rsid w:val="009B027A"/>
    <w:rsid w:val="009B02BF"/>
    <w:rsid w:val="009B0A6E"/>
    <w:rsid w:val="009B0C15"/>
    <w:rsid w:val="009B0E03"/>
    <w:rsid w:val="009B12BD"/>
    <w:rsid w:val="009B12DC"/>
    <w:rsid w:val="009B153E"/>
    <w:rsid w:val="009B194E"/>
    <w:rsid w:val="009B19F0"/>
    <w:rsid w:val="009B1BAF"/>
    <w:rsid w:val="009B1DF5"/>
    <w:rsid w:val="009B1EE1"/>
    <w:rsid w:val="009B21E4"/>
    <w:rsid w:val="009B24E0"/>
    <w:rsid w:val="009B2778"/>
    <w:rsid w:val="009B2A2D"/>
    <w:rsid w:val="009B3114"/>
    <w:rsid w:val="009B35EC"/>
    <w:rsid w:val="009B3C44"/>
    <w:rsid w:val="009B4154"/>
    <w:rsid w:val="009B42EE"/>
    <w:rsid w:val="009B4540"/>
    <w:rsid w:val="009B481D"/>
    <w:rsid w:val="009B4A79"/>
    <w:rsid w:val="009B5167"/>
    <w:rsid w:val="009B5563"/>
    <w:rsid w:val="009B55B4"/>
    <w:rsid w:val="009B5C2D"/>
    <w:rsid w:val="009B5FDC"/>
    <w:rsid w:val="009B674B"/>
    <w:rsid w:val="009B6989"/>
    <w:rsid w:val="009B69FE"/>
    <w:rsid w:val="009B6B3F"/>
    <w:rsid w:val="009B6B44"/>
    <w:rsid w:val="009B723C"/>
    <w:rsid w:val="009B72A2"/>
    <w:rsid w:val="009B742F"/>
    <w:rsid w:val="009B7442"/>
    <w:rsid w:val="009B74A4"/>
    <w:rsid w:val="009B7E8F"/>
    <w:rsid w:val="009B7FC3"/>
    <w:rsid w:val="009C0AFA"/>
    <w:rsid w:val="009C0C14"/>
    <w:rsid w:val="009C0D01"/>
    <w:rsid w:val="009C0D4C"/>
    <w:rsid w:val="009C1775"/>
    <w:rsid w:val="009C17EC"/>
    <w:rsid w:val="009C240D"/>
    <w:rsid w:val="009C261B"/>
    <w:rsid w:val="009C262C"/>
    <w:rsid w:val="009C2DFB"/>
    <w:rsid w:val="009C2FAF"/>
    <w:rsid w:val="009C3461"/>
    <w:rsid w:val="009C3E7C"/>
    <w:rsid w:val="009C43C3"/>
    <w:rsid w:val="009C45E5"/>
    <w:rsid w:val="009C46A6"/>
    <w:rsid w:val="009C4865"/>
    <w:rsid w:val="009C48EB"/>
    <w:rsid w:val="009C4A1C"/>
    <w:rsid w:val="009C4A4B"/>
    <w:rsid w:val="009C4ABE"/>
    <w:rsid w:val="009C5928"/>
    <w:rsid w:val="009C59B2"/>
    <w:rsid w:val="009C5B54"/>
    <w:rsid w:val="009C5E5A"/>
    <w:rsid w:val="009C5F39"/>
    <w:rsid w:val="009C6349"/>
    <w:rsid w:val="009C635A"/>
    <w:rsid w:val="009C6573"/>
    <w:rsid w:val="009C67EA"/>
    <w:rsid w:val="009C685F"/>
    <w:rsid w:val="009C76DB"/>
    <w:rsid w:val="009C7AC6"/>
    <w:rsid w:val="009D072D"/>
    <w:rsid w:val="009D094F"/>
    <w:rsid w:val="009D0C50"/>
    <w:rsid w:val="009D0C8D"/>
    <w:rsid w:val="009D0F4B"/>
    <w:rsid w:val="009D1589"/>
    <w:rsid w:val="009D16D6"/>
    <w:rsid w:val="009D1843"/>
    <w:rsid w:val="009D1B19"/>
    <w:rsid w:val="009D20FE"/>
    <w:rsid w:val="009D27E4"/>
    <w:rsid w:val="009D2E9C"/>
    <w:rsid w:val="009D30DC"/>
    <w:rsid w:val="009D3176"/>
    <w:rsid w:val="009D3872"/>
    <w:rsid w:val="009D398A"/>
    <w:rsid w:val="009D39B4"/>
    <w:rsid w:val="009D3A32"/>
    <w:rsid w:val="009D3C51"/>
    <w:rsid w:val="009D3D33"/>
    <w:rsid w:val="009D3E64"/>
    <w:rsid w:val="009D3F3A"/>
    <w:rsid w:val="009D455C"/>
    <w:rsid w:val="009D479D"/>
    <w:rsid w:val="009D4F68"/>
    <w:rsid w:val="009D522F"/>
    <w:rsid w:val="009D53B3"/>
    <w:rsid w:val="009D5432"/>
    <w:rsid w:val="009D572B"/>
    <w:rsid w:val="009D573C"/>
    <w:rsid w:val="009D5ACE"/>
    <w:rsid w:val="009D627F"/>
    <w:rsid w:val="009D63EC"/>
    <w:rsid w:val="009D675C"/>
    <w:rsid w:val="009D6844"/>
    <w:rsid w:val="009D69B8"/>
    <w:rsid w:val="009D6B51"/>
    <w:rsid w:val="009D7115"/>
    <w:rsid w:val="009D74E1"/>
    <w:rsid w:val="009D79A4"/>
    <w:rsid w:val="009E03A0"/>
    <w:rsid w:val="009E1025"/>
    <w:rsid w:val="009E11B4"/>
    <w:rsid w:val="009E1280"/>
    <w:rsid w:val="009E1844"/>
    <w:rsid w:val="009E1B7B"/>
    <w:rsid w:val="009E2087"/>
    <w:rsid w:val="009E2C6E"/>
    <w:rsid w:val="009E3051"/>
    <w:rsid w:val="009E3101"/>
    <w:rsid w:val="009E329E"/>
    <w:rsid w:val="009E371E"/>
    <w:rsid w:val="009E376B"/>
    <w:rsid w:val="009E3E04"/>
    <w:rsid w:val="009E3ED9"/>
    <w:rsid w:val="009E40B6"/>
    <w:rsid w:val="009E4228"/>
    <w:rsid w:val="009E430C"/>
    <w:rsid w:val="009E43CA"/>
    <w:rsid w:val="009E458E"/>
    <w:rsid w:val="009E4651"/>
    <w:rsid w:val="009E487B"/>
    <w:rsid w:val="009E4ECE"/>
    <w:rsid w:val="009E5091"/>
    <w:rsid w:val="009E509E"/>
    <w:rsid w:val="009E50C6"/>
    <w:rsid w:val="009E5150"/>
    <w:rsid w:val="009E51A4"/>
    <w:rsid w:val="009E53EA"/>
    <w:rsid w:val="009E56F5"/>
    <w:rsid w:val="009E585D"/>
    <w:rsid w:val="009E5BB4"/>
    <w:rsid w:val="009E5BBC"/>
    <w:rsid w:val="009E5C86"/>
    <w:rsid w:val="009E635E"/>
    <w:rsid w:val="009E6802"/>
    <w:rsid w:val="009E785F"/>
    <w:rsid w:val="009E791A"/>
    <w:rsid w:val="009E7969"/>
    <w:rsid w:val="009E7D51"/>
    <w:rsid w:val="009E7DB5"/>
    <w:rsid w:val="009E7E90"/>
    <w:rsid w:val="009F01DB"/>
    <w:rsid w:val="009F03F7"/>
    <w:rsid w:val="009F0438"/>
    <w:rsid w:val="009F060A"/>
    <w:rsid w:val="009F06D5"/>
    <w:rsid w:val="009F0793"/>
    <w:rsid w:val="009F092D"/>
    <w:rsid w:val="009F0D1B"/>
    <w:rsid w:val="009F117A"/>
    <w:rsid w:val="009F1605"/>
    <w:rsid w:val="009F167E"/>
    <w:rsid w:val="009F1A83"/>
    <w:rsid w:val="009F1E4F"/>
    <w:rsid w:val="009F26A3"/>
    <w:rsid w:val="009F2A86"/>
    <w:rsid w:val="009F2E4D"/>
    <w:rsid w:val="009F2F51"/>
    <w:rsid w:val="009F311D"/>
    <w:rsid w:val="009F3E26"/>
    <w:rsid w:val="009F3ED2"/>
    <w:rsid w:val="009F4031"/>
    <w:rsid w:val="009F4378"/>
    <w:rsid w:val="009F496F"/>
    <w:rsid w:val="009F5B7F"/>
    <w:rsid w:val="009F5BBD"/>
    <w:rsid w:val="009F5E38"/>
    <w:rsid w:val="009F6387"/>
    <w:rsid w:val="009F696D"/>
    <w:rsid w:val="009F6ADD"/>
    <w:rsid w:val="009F6BC6"/>
    <w:rsid w:val="009F6E78"/>
    <w:rsid w:val="009F6FCD"/>
    <w:rsid w:val="009F715D"/>
    <w:rsid w:val="009F74EF"/>
    <w:rsid w:val="009F7539"/>
    <w:rsid w:val="009F7587"/>
    <w:rsid w:val="009F7653"/>
    <w:rsid w:val="009F7C91"/>
    <w:rsid w:val="009F7CB0"/>
    <w:rsid w:val="009F7DAA"/>
    <w:rsid w:val="009F7F83"/>
    <w:rsid w:val="00A00094"/>
    <w:rsid w:val="00A00317"/>
    <w:rsid w:val="00A00692"/>
    <w:rsid w:val="00A00800"/>
    <w:rsid w:val="00A0174E"/>
    <w:rsid w:val="00A01C27"/>
    <w:rsid w:val="00A01CFD"/>
    <w:rsid w:val="00A01FD9"/>
    <w:rsid w:val="00A0242D"/>
    <w:rsid w:val="00A027D9"/>
    <w:rsid w:val="00A028F2"/>
    <w:rsid w:val="00A02A32"/>
    <w:rsid w:val="00A03199"/>
    <w:rsid w:val="00A03200"/>
    <w:rsid w:val="00A03506"/>
    <w:rsid w:val="00A035D3"/>
    <w:rsid w:val="00A03606"/>
    <w:rsid w:val="00A03B94"/>
    <w:rsid w:val="00A0409C"/>
    <w:rsid w:val="00A04319"/>
    <w:rsid w:val="00A04661"/>
    <w:rsid w:val="00A04AB2"/>
    <w:rsid w:val="00A04EEA"/>
    <w:rsid w:val="00A04F44"/>
    <w:rsid w:val="00A05270"/>
    <w:rsid w:val="00A0545A"/>
    <w:rsid w:val="00A057D7"/>
    <w:rsid w:val="00A0644E"/>
    <w:rsid w:val="00A0726B"/>
    <w:rsid w:val="00A072BD"/>
    <w:rsid w:val="00A074F6"/>
    <w:rsid w:val="00A075A3"/>
    <w:rsid w:val="00A07AA0"/>
    <w:rsid w:val="00A07B49"/>
    <w:rsid w:val="00A10013"/>
    <w:rsid w:val="00A10169"/>
    <w:rsid w:val="00A1090F"/>
    <w:rsid w:val="00A10DF6"/>
    <w:rsid w:val="00A10E67"/>
    <w:rsid w:val="00A11194"/>
    <w:rsid w:val="00A119DE"/>
    <w:rsid w:val="00A11B4A"/>
    <w:rsid w:val="00A11CDE"/>
    <w:rsid w:val="00A1236A"/>
    <w:rsid w:val="00A12B90"/>
    <w:rsid w:val="00A12EDC"/>
    <w:rsid w:val="00A132DB"/>
    <w:rsid w:val="00A13429"/>
    <w:rsid w:val="00A13651"/>
    <w:rsid w:val="00A13DCB"/>
    <w:rsid w:val="00A1450E"/>
    <w:rsid w:val="00A1453C"/>
    <w:rsid w:val="00A14830"/>
    <w:rsid w:val="00A14906"/>
    <w:rsid w:val="00A14941"/>
    <w:rsid w:val="00A14CEC"/>
    <w:rsid w:val="00A14E92"/>
    <w:rsid w:val="00A14EA4"/>
    <w:rsid w:val="00A15B25"/>
    <w:rsid w:val="00A15B67"/>
    <w:rsid w:val="00A15D5A"/>
    <w:rsid w:val="00A15DF6"/>
    <w:rsid w:val="00A15F84"/>
    <w:rsid w:val="00A15FD5"/>
    <w:rsid w:val="00A15FE1"/>
    <w:rsid w:val="00A16153"/>
    <w:rsid w:val="00A16872"/>
    <w:rsid w:val="00A16961"/>
    <w:rsid w:val="00A17176"/>
    <w:rsid w:val="00A17328"/>
    <w:rsid w:val="00A175BA"/>
    <w:rsid w:val="00A2039F"/>
    <w:rsid w:val="00A20445"/>
    <w:rsid w:val="00A20CD9"/>
    <w:rsid w:val="00A20F34"/>
    <w:rsid w:val="00A20FCB"/>
    <w:rsid w:val="00A21853"/>
    <w:rsid w:val="00A22188"/>
    <w:rsid w:val="00A22697"/>
    <w:rsid w:val="00A22A05"/>
    <w:rsid w:val="00A22B32"/>
    <w:rsid w:val="00A22BC0"/>
    <w:rsid w:val="00A22F6C"/>
    <w:rsid w:val="00A22F7E"/>
    <w:rsid w:val="00A23A20"/>
    <w:rsid w:val="00A24443"/>
    <w:rsid w:val="00A24973"/>
    <w:rsid w:val="00A2498B"/>
    <w:rsid w:val="00A24D41"/>
    <w:rsid w:val="00A25526"/>
    <w:rsid w:val="00A25630"/>
    <w:rsid w:val="00A25693"/>
    <w:rsid w:val="00A25D45"/>
    <w:rsid w:val="00A268B9"/>
    <w:rsid w:val="00A268D0"/>
    <w:rsid w:val="00A26C86"/>
    <w:rsid w:val="00A26C91"/>
    <w:rsid w:val="00A26DC9"/>
    <w:rsid w:val="00A2703A"/>
    <w:rsid w:val="00A270F1"/>
    <w:rsid w:val="00A271B6"/>
    <w:rsid w:val="00A27806"/>
    <w:rsid w:val="00A3027A"/>
    <w:rsid w:val="00A303FA"/>
    <w:rsid w:val="00A305A6"/>
    <w:rsid w:val="00A30B8B"/>
    <w:rsid w:val="00A30D32"/>
    <w:rsid w:val="00A31349"/>
    <w:rsid w:val="00A313F6"/>
    <w:rsid w:val="00A317A9"/>
    <w:rsid w:val="00A31AD8"/>
    <w:rsid w:val="00A31B74"/>
    <w:rsid w:val="00A31DFD"/>
    <w:rsid w:val="00A31F64"/>
    <w:rsid w:val="00A31FC0"/>
    <w:rsid w:val="00A32109"/>
    <w:rsid w:val="00A325D4"/>
    <w:rsid w:val="00A32800"/>
    <w:rsid w:val="00A33DCC"/>
    <w:rsid w:val="00A33DFF"/>
    <w:rsid w:val="00A33EDF"/>
    <w:rsid w:val="00A342F3"/>
    <w:rsid w:val="00A34358"/>
    <w:rsid w:val="00A3468B"/>
    <w:rsid w:val="00A34F20"/>
    <w:rsid w:val="00A35115"/>
    <w:rsid w:val="00A353D6"/>
    <w:rsid w:val="00A3589B"/>
    <w:rsid w:val="00A35F55"/>
    <w:rsid w:val="00A36274"/>
    <w:rsid w:val="00A36644"/>
    <w:rsid w:val="00A36993"/>
    <w:rsid w:val="00A36B8E"/>
    <w:rsid w:val="00A36D9A"/>
    <w:rsid w:val="00A374AA"/>
    <w:rsid w:val="00A375F8"/>
    <w:rsid w:val="00A3786D"/>
    <w:rsid w:val="00A3789C"/>
    <w:rsid w:val="00A378BF"/>
    <w:rsid w:val="00A37D20"/>
    <w:rsid w:val="00A4025D"/>
    <w:rsid w:val="00A40747"/>
    <w:rsid w:val="00A40C0B"/>
    <w:rsid w:val="00A40E6B"/>
    <w:rsid w:val="00A40EAA"/>
    <w:rsid w:val="00A4105E"/>
    <w:rsid w:val="00A416F9"/>
    <w:rsid w:val="00A419B9"/>
    <w:rsid w:val="00A41C45"/>
    <w:rsid w:val="00A41F54"/>
    <w:rsid w:val="00A420BC"/>
    <w:rsid w:val="00A42913"/>
    <w:rsid w:val="00A42B84"/>
    <w:rsid w:val="00A42C07"/>
    <w:rsid w:val="00A42E84"/>
    <w:rsid w:val="00A42FB0"/>
    <w:rsid w:val="00A430A6"/>
    <w:rsid w:val="00A4311D"/>
    <w:rsid w:val="00A4324F"/>
    <w:rsid w:val="00A437B9"/>
    <w:rsid w:val="00A43A13"/>
    <w:rsid w:val="00A43A7B"/>
    <w:rsid w:val="00A4453C"/>
    <w:rsid w:val="00A446EC"/>
    <w:rsid w:val="00A4499B"/>
    <w:rsid w:val="00A4508E"/>
    <w:rsid w:val="00A45542"/>
    <w:rsid w:val="00A458ED"/>
    <w:rsid w:val="00A45AA3"/>
    <w:rsid w:val="00A45BEA"/>
    <w:rsid w:val="00A45EDA"/>
    <w:rsid w:val="00A45F08"/>
    <w:rsid w:val="00A4646F"/>
    <w:rsid w:val="00A46801"/>
    <w:rsid w:val="00A46B28"/>
    <w:rsid w:val="00A47196"/>
    <w:rsid w:val="00A47232"/>
    <w:rsid w:val="00A47B3B"/>
    <w:rsid w:val="00A50701"/>
    <w:rsid w:val="00A5074C"/>
    <w:rsid w:val="00A50885"/>
    <w:rsid w:val="00A5099C"/>
    <w:rsid w:val="00A50F11"/>
    <w:rsid w:val="00A511B0"/>
    <w:rsid w:val="00A51FBF"/>
    <w:rsid w:val="00A52AEE"/>
    <w:rsid w:val="00A52BAF"/>
    <w:rsid w:val="00A52F1B"/>
    <w:rsid w:val="00A530E8"/>
    <w:rsid w:val="00A53B78"/>
    <w:rsid w:val="00A53BC0"/>
    <w:rsid w:val="00A542E6"/>
    <w:rsid w:val="00A54345"/>
    <w:rsid w:val="00A54735"/>
    <w:rsid w:val="00A549B8"/>
    <w:rsid w:val="00A54A3F"/>
    <w:rsid w:val="00A54D78"/>
    <w:rsid w:val="00A554AB"/>
    <w:rsid w:val="00A554D9"/>
    <w:rsid w:val="00A5554F"/>
    <w:rsid w:val="00A55758"/>
    <w:rsid w:val="00A557AE"/>
    <w:rsid w:val="00A55B17"/>
    <w:rsid w:val="00A55E3E"/>
    <w:rsid w:val="00A56D46"/>
    <w:rsid w:val="00A57062"/>
    <w:rsid w:val="00A5709D"/>
    <w:rsid w:val="00A572D5"/>
    <w:rsid w:val="00A573B6"/>
    <w:rsid w:val="00A57425"/>
    <w:rsid w:val="00A57683"/>
    <w:rsid w:val="00A6079A"/>
    <w:rsid w:val="00A6084A"/>
    <w:rsid w:val="00A60DE6"/>
    <w:rsid w:val="00A610FE"/>
    <w:rsid w:val="00A6121C"/>
    <w:rsid w:val="00A612E3"/>
    <w:rsid w:val="00A61548"/>
    <w:rsid w:val="00A61785"/>
    <w:rsid w:val="00A61EF4"/>
    <w:rsid w:val="00A6211D"/>
    <w:rsid w:val="00A62187"/>
    <w:rsid w:val="00A6299A"/>
    <w:rsid w:val="00A62BDF"/>
    <w:rsid w:val="00A62FE0"/>
    <w:rsid w:val="00A630D2"/>
    <w:rsid w:val="00A637E8"/>
    <w:rsid w:val="00A63881"/>
    <w:rsid w:val="00A641E2"/>
    <w:rsid w:val="00A642AE"/>
    <w:rsid w:val="00A64896"/>
    <w:rsid w:val="00A64E3A"/>
    <w:rsid w:val="00A6500F"/>
    <w:rsid w:val="00A651CF"/>
    <w:rsid w:val="00A652B6"/>
    <w:rsid w:val="00A654C0"/>
    <w:rsid w:val="00A6592D"/>
    <w:rsid w:val="00A65A45"/>
    <w:rsid w:val="00A65D3E"/>
    <w:rsid w:val="00A6616F"/>
    <w:rsid w:val="00A6690C"/>
    <w:rsid w:val="00A66984"/>
    <w:rsid w:val="00A66F6A"/>
    <w:rsid w:val="00A67133"/>
    <w:rsid w:val="00A67181"/>
    <w:rsid w:val="00A67286"/>
    <w:rsid w:val="00A6742E"/>
    <w:rsid w:val="00A674FF"/>
    <w:rsid w:val="00A67781"/>
    <w:rsid w:val="00A67BE3"/>
    <w:rsid w:val="00A67FEC"/>
    <w:rsid w:val="00A7003E"/>
    <w:rsid w:val="00A70145"/>
    <w:rsid w:val="00A70586"/>
    <w:rsid w:val="00A705DD"/>
    <w:rsid w:val="00A705ED"/>
    <w:rsid w:val="00A70809"/>
    <w:rsid w:val="00A70938"/>
    <w:rsid w:val="00A70C79"/>
    <w:rsid w:val="00A70CB0"/>
    <w:rsid w:val="00A70D6D"/>
    <w:rsid w:val="00A70FFA"/>
    <w:rsid w:val="00A71E7E"/>
    <w:rsid w:val="00A72031"/>
    <w:rsid w:val="00A72049"/>
    <w:rsid w:val="00A721F5"/>
    <w:rsid w:val="00A72361"/>
    <w:rsid w:val="00A7248F"/>
    <w:rsid w:val="00A7255D"/>
    <w:rsid w:val="00A7255E"/>
    <w:rsid w:val="00A72599"/>
    <w:rsid w:val="00A72EEB"/>
    <w:rsid w:val="00A7302C"/>
    <w:rsid w:val="00A730E1"/>
    <w:rsid w:val="00A731DF"/>
    <w:rsid w:val="00A731F6"/>
    <w:rsid w:val="00A73330"/>
    <w:rsid w:val="00A73661"/>
    <w:rsid w:val="00A73C25"/>
    <w:rsid w:val="00A73E7F"/>
    <w:rsid w:val="00A7404C"/>
    <w:rsid w:val="00A74089"/>
    <w:rsid w:val="00A7432D"/>
    <w:rsid w:val="00A7462B"/>
    <w:rsid w:val="00A74725"/>
    <w:rsid w:val="00A74AD2"/>
    <w:rsid w:val="00A75274"/>
    <w:rsid w:val="00A7536C"/>
    <w:rsid w:val="00A75370"/>
    <w:rsid w:val="00A753E8"/>
    <w:rsid w:val="00A754C4"/>
    <w:rsid w:val="00A7569B"/>
    <w:rsid w:val="00A758DD"/>
    <w:rsid w:val="00A75ABC"/>
    <w:rsid w:val="00A75CF3"/>
    <w:rsid w:val="00A76041"/>
    <w:rsid w:val="00A761F9"/>
    <w:rsid w:val="00A76338"/>
    <w:rsid w:val="00A7642A"/>
    <w:rsid w:val="00A76A9F"/>
    <w:rsid w:val="00A76C8D"/>
    <w:rsid w:val="00A76FA5"/>
    <w:rsid w:val="00A77073"/>
    <w:rsid w:val="00A770EB"/>
    <w:rsid w:val="00A77337"/>
    <w:rsid w:val="00A7747D"/>
    <w:rsid w:val="00A77BBB"/>
    <w:rsid w:val="00A77DAC"/>
    <w:rsid w:val="00A803BF"/>
    <w:rsid w:val="00A8043D"/>
    <w:rsid w:val="00A805D2"/>
    <w:rsid w:val="00A80B74"/>
    <w:rsid w:val="00A80BBE"/>
    <w:rsid w:val="00A80C87"/>
    <w:rsid w:val="00A81216"/>
    <w:rsid w:val="00A81451"/>
    <w:rsid w:val="00A81895"/>
    <w:rsid w:val="00A819A7"/>
    <w:rsid w:val="00A81BE0"/>
    <w:rsid w:val="00A81EDF"/>
    <w:rsid w:val="00A82898"/>
    <w:rsid w:val="00A831B6"/>
    <w:rsid w:val="00A83430"/>
    <w:rsid w:val="00A835EB"/>
    <w:rsid w:val="00A83831"/>
    <w:rsid w:val="00A83F99"/>
    <w:rsid w:val="00A8494E"/>
    <w:rsid w:val="00A8532D"/>
    <w:rsid w:val="00A85B1E"/>
    <w:rsid w:val="00A85CF5"/>
    <w:rsid w:val="00A85E10"/>
    <w:rsid w:val="00A86C1A"/>
    <w:rsid w:val="00A86F4F"/>
    <w:rsid w:val="00A87985"/>
    <w:rsid w:val="00A87CE9"/>
    <w:rsid w:val="00A87CF6"/>
    <w:rsid w:val="00A87EC3"/>
    <w:rsid w:val="00A90D85"/>
    <w:rsid w:val="00A91080"/>
    <w:rsid w:val="00A91343"/>
    <w:rsid w:val="00A91592"/>
    <w:rsid w:val="00A91939"/>
    <w:rsid w:val="00A91A04"/>
    <w:rsid w:val="00A91A27"/>
    <w:rsid w:val="00A91B97"/>
    <w:rsid w:val="00A92B53"/>
    <w:rsid w:val="00A92C6C"/>
    <w:rsid w:val="00A93AFF"/>
    <w:rsid w:val="00A942A3"/>
    <w:rsid w:val="00A942DF"/>
    <w:rsid w:val="00A9436A"/>
    <w:rsid w:val="00A94561"/>
    <w:rsid w:val="00A9460C"/>
    <w:rsid w:val="00A94680"/>
    <w:rsid w:val="00A94AFF"/>
    <w:rsid w:val="00A94DF2"/>
    <w:rsid w:val="00A94FA6"/>
    <w:rsid w:val="00A955BE"/>
    <w:rsid w:val="00A95C8D"/>
    <w:rsid w:val="00A95F75"/>
    <w:rsid w:val="00A96275"/>
    <w:rsid w:val="00A96582"/>
    <w:rsid w:val="00A96806"/>
    <w:rsid w:val="00A96B34"/>
    <w:rsid w:val="00A96B4D"/>
    <w:rsid w:val="00A97857"/>
    <w:rsid w:val="00A978DC"/>
    <w:rsid w:val="00A979C4"/>
    <w:rsid w:val="00A97FA7"/>
    <w:rsid w:val="00AA0284"/>
    <w:rsid w:val="00AA055F"/>
    <w:rsid w:val="00AA05A8"/>
    <w:rsid w:val="00AA0E16"/>
    <w:rsid w:val="00AA165B"/>
    <w:rsid w:val="00AA1AFF"/>
    <w:rsid w:val="00AA1CFA"/>
    <w:rsid w:val="00AA1F73"/>
    <w:rsid w:val="00AA205E"/>
    <w:rsid w:val="00AA27C0"/>
    <w:rsid w:val="00AA28CA"/>
    <w:rsid w:val="00AA2BAA"/>
    <w:rsid w:val="00AA30E7"/>
    <w:rsid w:val="00AA33D6"/>
    <w:rsid w:val="00AA36D9"/>
    <w:rsid w:val="00AA36F7"/>
    <w:rsid w:val="00AA3723"/>
    <w:rsid w:val="00AA3A6D"/>
    <w:rsid w:val="00AA3CAA"/>
    <w:rsid w:val="00AA3D88"/>
    <w:rsid w:val="00AA3ED9"/>
    <w:rsid w:val="00AA3FD7"/>
    <w:rsid w:val="00AA4178"/>
    <w:rsid w:val="00AA41F4"/>
    <w:rsid w:val="00AA469B"/>
    <w:rsid w:val="00AA47B5"/>
    <w:rsid w:val="00AA49A0"/>
    <w:rsid w:val="00AA4A3A"/>
    <w:rsid w:val="00AA4B1D"/>
    <w:rsid w:val="00AA4BAE"/>
    <w:rsid w:val="00AA4F21"/>
    <w:rsid w:val="00AA5730"/>
    <w:rsid w:val="00AA593F"/>
    <w:rsid w:val="00AA5A8D"/>
    <w:rsid w:val="00AA60BB"/>
    <w:rsid w:val="00AA63A0"/>
    <w:rsid w:val="00AA6710"/>
    <w:rsid w:val="00AA6AE2"/>
    <w:rsid w:val="00AA6AF5"/>
    <w:rsid w:val="00AA70CA"/>
    <w:rsid w:val="00AA78E5"/>
    <w:rsid w:val="00AA7CDF"/>
    <w:rsid w:val="00AB0115"/>
    <w:rsid w:val="00AB01D8"/>
    <w:rsid w:val="00AB051E"/>
    <w:rsid w:val="00AB05DA"/>
    <w:rsid w:val="00AB0681"/>
    <w:rsid w:val="00AB0A7D"/>
    <w:rsid w:val="00AB139A"/>
    <w:rsid w:val="00AB13E7"/>
    <w:rsid w:val="00AB147A"/>
    <w:rsid w:val="00AB15AE"/>
    <w:rsid w:val="00AB1E76"/>
    <w:rsid w:val="00AB2D39"/>
    <w:rsid w:val="00AB3BE0"/>
    <w:rsid w:val="00AB3E48"/>
    <w:rsid w:val="00AB4531"/>
    <w:rsid w:val="00AB4780"/>
    <w:rsid w:val="00AB47FB"/>
    <w:rsid w:val="00AB4B08"/>
    <w:rsid w:val="00AB4EEB"/>
    <w:rsid w:val="00AB58F6"/>
    <w:rsid w:val="00AB5909"/>
    <w:rsid w:val="00AB5CC1"/>
    <w:rsid w:val="00AB63E0"/>
    <w:rsid w:val="00AB6572"/>
    <w:rsid w:val="00AB65BE"/>
    <w:rsid w:val="00AB6986"/>
    <w:rsid w:val="00AB69B2"/>
    <w:rsid w:val="00AB6E54"/>
    <w:rsid w:val="00AB7238"/>
    <w:rsid w:val="00AB7B63"/>
    <w:rsid w:val="00AB7DA3"/>
    <w:rsid w:val="00AB7F27"/>
    <w:rsid w:val="00AB7F8B"/>
    <w:rsid w:val="00AB7FD8"/>
    <w:rsid w:val="00AC1309"/>
    <w:rsid w:val="00AC1B2A"/>
    <w:rsid w:val="00AC1C5F"/>
    <w:rsid w:val="00AC1D16"/>
    <w:rsid w:val="00AC1E0F"/>
    <w:rsid w:val="00AC1EF5"/>
    <w:rsid w:val="00AC1FD5"/>
    <w:rsid w:val="00AC234A"/>
    <w:rsid w:val="00AC262E"/>
    <w:rsid w:val="00AC29BD"/>
    <w:rsid w:val="00AC2B06"/>
    <w:rsid w:val="00AC2D56"/>
    <w:rsid w:val="00AC3009"/>
    <w:rsid w:val="00AC308C"/>
    <w:rsid w:val="00AC3DD8"/>
    <w:rsid w:val="00AC3E78"/>
    <w:rsid w:val="00AC3FF4"/>
    <w:rsid w:val="00AC4259"/>
    <w:rsid w:val="00AC4485"/>
    <w:rsid w:val="00AC44B1"/>
    <w:rsid w:val="00AC4AD2"/>
    <w:rsid w:val="00AC4DBD"/>
    <w:rsid w:val="00AC4F36"/>
    <w:rsid w:val="00AC4F8F"/>
    <w:rsid w:val="00AC5053"/>
    <w:rsid w:val="00AC51EF"/>
    <w:rsid w:val="00AC533C"/>
    <w:rsid w:val="00AC5C44"/>
    <w:rsid w:val="00AC5CBE"/>
    <w:rsid w:val="00AC60CC"/>
    <w:rsid w:val="00AC6138"/>
    <w:rsid w:val="00AC6485"/>
    <w:rsid w:val="00AC6A6B"/>
    <w:rsid w:val="00AC6C65"/>
    <w:rsid w:val="00AC6C93"/>
    <w:rsid w:val="00AC7390"/>
    <w:rsid w:val="00AC73D0"/>
    <w:rsid w:val="00AC76DB"/>
    <w:rsid w:val="00AC7BFE"/>
    <w:rsid w:val="00AC7D45"/>
    <w:rsid w:val="00AC7F64"/>
    <w:rsid w:val="00AD0280"/>
    <w:rsid w:val="00AD0354"/>
    <w:rsid w:val="00AD0B66"/>
    <w:rsid w:val="00AD10DF"/>
    <w:rsid w:val="00AD11F5"/>
    <w:rsid w:val="00AD14F6"/>
    <w:rsid w:val="00AD1B10"/>
    <w:rsid w:val="00AD1E5F"/>
    <w:rsid w:val="00AD1FAA"/>
    <w:rsid w:val="00AD293A"/>
    <w:rsid w:val="00AD3057"/>
    <w:rsid w:val="00AD33B7"/>
    <w:rsid w:val="00AD3915"/>
    <w:rsid w:val="00AD3C2F"/>
    <w:rsid w:val="00AD3DAF"/>
    <w:rsid w:val="00AD3EE3"/>
    <w:rsid w:val="00AD428F"/>
    <w:rsid w:val="00AD4718"/>
    <w:rsid w:val="00AD48D1"/>
    <w:rsid w:val="00AD520B"/>
    <w:rsid w:val="00AD5511"/>
    <w:rsid w:val="00AD58F2"/>
    <w:rsid w:val="00AD5E27"/>
    <w:rsid w:val="00AD6175"/>
    <w:rsid w:val="00AD694C"/>
    <w:rsid w:val="00AD6A8F"/>
    <w:rsid w:val="00AD7D0A"/>
    <w:rsid w:val="00AD7D54"/>
    <w:rsid w:val="00AE022C"/>
    <w:rsid w:val="00AE0412"/>
    <w:rsid w:val="00AE0457"/>
    <w:rsid w:val="00AE0564"/>
    <w:rsid w:val="00AE05EF"/>
    <w:rsid w:val="00AE06C8"/>
    <w:rsid w:val="00AE0AC3"/>
    <w:rsid w:val="00AE0BC2"/>
    <w:rsid w:val="00AE0FAF"/>
    <w:rsid w:val="00AE1028"/>
    <w:rsid w:val="00AE1043"/>
    <w:rsid w:val="00AE1208"/>
    <w:rsid w:val="00AE151C"/>
    <w:rsid w:val="00AE18ED"/>
    <w:rsid w:val="00AE1A30"/>
    <w:rsid w:val="00AE1E37"/>
    <w:rsid w:val="00AE26EA"/>
    <w:rsid w:val="00AE2D4C"/>
    <w:rsid w:val="00AE2FD3"/>
    <w:rsid w:val="00AE34E6"/>
    <w:rsid w:val="00AE3ADD"/>
    <w:rsid w:val="00AE3BCC"/>
    <w:rsid w:val="00AE3D5D"/>
    <w:rsid w:val="00AE4016"/>
    <w:rsid w:val="00AE4159"/>
    <w:rsid w:val="00AE49FA"/>
    <w:rsid w:val="00AE5260"/>
    <w:rsid w:val="00AE52C7"/>
    <w:rsid w:val="00AE5472"/>
    <w:rsid w:val="00AE5556"/>
    <w:rsid w:val="00AE6127"/>
    <w:rsid w:val="00AE6135"/>
    <w:rsid w:val="00AE6D70"/>
    <w:rsid w:val="00AE7291"/>
    <w:rsid w:val="00AE757A"/>
    <w:rsid w:val="00AE76B1"/>
    <w:rsid w:val="00AE7D57"/>
    <w:rsid w:val="00AF02B7"/>
    <w:rsid w:val="00AF0D61"/>
    <w:rsid w:val="00AF0ED5"/>
    <w:rsid w:val="00AF1079"/>
    <w:rsid w:val="00AF15D7"/>
    <w:rsid w:val="00AF1DEE"/>
    <w:rsid w:val="00AF23A1"/>
    <w:rsid w:val="00AF2EE5"/>
    <w:rsid w:val="00AF30B1"/>
    <w:rsid w:val="00AF3567"/>
    <w:rsid w:val="00AF3CAB"/>
    <w:rsid w:val="00AF3D23"/>
    <w:rsid w:val="00AF401C"/>
    <w:rsid w:val="00AF47D4"/>
    <w:rsid w:val="00AF4A7A"/>
    <w:rsid w:val="00AF51C8"/>
    <w:rsid w:val="00AF5CBD"/>
    <w:rsid w:val="00AF6531"/>
    <w:rsid w:val="00AF69B1"/>
    <w:rsid w:val="00AF6B41"/>
    <w:rsid w:val="00AF6CF3"/>
    <w:rsid w:val="00AF6E8C"/>
    <w:rsid w:val="00AF758B"/>
    <w:rsid w:val="00AF7E90"/>
    <w:rsid w:val="00B0006D"/>
    <w:rsid w:val="00B0016E"/>
    <w:rsid w:val="00B00D91"/>
    <w:rsid w:val="00B00E7C"/>
    <w:rsid w:val="00B014C4"/>
    <w:rsid w:val="00B014FF"/>
    <w:rsid w:val="00B01DDC"/>
    <w:rsid w:val="00B02A12"/>
    <w:rsid w:val="00B03184"/>
    <w:rsid w:val="00B036D5"/>
    <w:rsid w:val="00B0377A"/>
    <w:rsid w:val="00B03F25"/>
    <w:rsid w:val="00B04119"/>
    <w:rsid w:val="00B0417C"/>
    <w:rsid w:val="00B042A7"/>
    <w:rsid w:val="00B04529"/>
    <w:rsid w:val="00B047C3"/>
    <w:rsid w:val="00B04C4C"/>
    <w:rsid w:val="00B04D09"/>
    <w:rsid w:val="00B04F4D"/>
    <w:rsid w:val="00B058F2"/>
    <w:rsid w:val="00B05B80"/>
    <w:rsid w:val="00B06325"/>
    <w:rsid w:val="00B06660"/>
    <w:rsid w:val="00B06FE9"/>
    <w:rsid w:val="00B07103"/>
    <w:rsid w:val="00B0742F"/>
    <w:rsid w:val="00B0763F"/>
    <w:rsid w:val="00B07F08"/>
    <w:rsid w:val="00B07F5D"/>
    <w:rsid w:val="00B106CB"/>
    <w:rsid w:val="00B10866"/>
    <w:rsid w:val="00B10A19"/>
    <w:rsid w:val="00B10D7F"/>
    <w:rsid w:val="00B10DAC"/>
    <w:rsid w:val="00B110BA"/>
    <w:rsid w:val="00B1122A"/>
    <w:rsid w:val="00B11464"/>
    <w:rsid w:val="00B1152A"/>
    <w:rsid w:val="00B11971"/>
    <w:rsid w:val="00B11A05"/>
    <w:rsid w:val="00B11A1F"/>
    <w:rsid w:val="00B11D60"/>
    <w:rsid w:val="00B121B8"/>
    <w:rsid w:val="00B12237"/>
    <w:rsid w:val="00B1260F"/>
    <w:rsid w:val="00B12D09"/>
    <w:rsid w:val="00B13839"/>
    <w:rsid w:val="00B1393D"/>
    <w:rsid w:val="00B13A76"/>
    <w:rsid w:val="00B14DB2"/>
    <w:rsid w:val="00B1559E"/>
    <w:rsid w:val="00B15F7D"/>
    <w:rsid w:val="00B16B65"/>
    <w:rsid w:val="00B16BBC"/>
    <w:rsid w:val="00B16ED2"/>
    <w:rsid w:val="00B17B6C"/>
    <w:rsid w:val="00B17C39"/>
    <w:rsid w:val="00B17F3E"/>
    <w:rsid w:val="00B17FCD"/>
    <w:rsid w:val="00B2063F"/>
    <w:rsid w:val="00B208D6"/>
    <w:rsid w:val="00B20C69"/>
    <w:rsid w:val="00B20E9F"/>
    <w:rsid w:val="00B21002"/>
    <w:rsid w:val="00B211E1"/>
    <w:rsid w:val="00B21651"/>
    <w:rsid w:val="00B21889"/>
    <w:rsid w:val="00B21951"/>
    <w:rsid w:val="00B21B09"/>
    <w:rsid w:val="00B21D50"/>
    <w:rsid w:val="00B22440"/>
    <w:rsid w:val="00B226E0"/>
    <w:rsid w:val="00B227E3"/>
    <w:rsid w:val="00B22AF7"/>
    <w:rsid w:val="00B22BC5"/>
    <w:rsid w:val="00B23208"/>
    <w:rsid w:val="00B23446"/>
    <w:rsid w:val="00B23541"/>
    <w:rsid w:val="00B23848"/>
    <w:rsid w:val="00B23B33"/>
    <w:rsid w:val="00B23EE0"/>
    <w:rsid w:val="00B24803"/>
    <w:rsid w:val="00B24B49"/>
    <w:rsid w:val="00B24F4B"/>
    <w:rsid w:val="00B24FB5"/>
    <w:rsid w:val="00B25046"/>
    <w:rsid w:val="00B250B4"/>
    <w:rsid w:val="00B251F9"/>
    <w:rsid w:val="00B25618"/>
    <w:rsid w:val="00B25645"/>
    <w:rsid w:val="00B25790"/>
    <w:rsid w:val="00B259B8"/>
    <w:rsid w:val="00B26297"/>
    <w:rsid w:val="00B26403"/>
    <w:rsid w:val="00B26CA5"/>
    <w:rsid w:val="00B273FC"/>
    <w:rsid w:val="00B2796B"/>
    <w:rsid w:val="00B279F4"/>
    <w:rsid w:val="00B305C3"/>
    <w:rsid w:val="00B306F0"/>
    <w:rsid w:val="00B308F7"/>
    <w:rsid w:val="00B30A20"/>
    <w:rsid w:val="00B31370"/>
    <w:rsid w:val="00B3147C"/>
    <w:rsid w:val="00B32125"/>
    <w:rsid w:val="00B322D4"/>
    <w:rsid w:val="00B32325"/>
    <w:rsid w:val="00B327D9"/>
    <w:rsid w:val="00B32CC1"/>
    <w:rsid w:val="00B3325A"/>
    <w:rsid w:val="00B333CB"/>
    <w:rsid w:val="00B335A4"/>
    <w:rsid w:val="00B33832"/>
    <w:rsid w:val="00B33ECF"/>
    <w:rsid w:val="00B340EE"/>
    <w:rsid w:val="00B341AE"/>
    <w:rsid w:val="00B34586"/>
    <w:rsid w:val="00B34CA3"/>
    <w:rsid w:val="00B34ED8"/>
    <w:rsid w:val="00B34F55"/>
    <w:rsid w:val="00B3561B"/>
    <w:rsid w:val="00B35A62"/>
    <w:rsid w:val="00B35E2A"/>
    <w:rsid w:val="00B35F81"/>
    <w:rsid w:val="00B360AF"/>
    <w:rsid w:val="00B3637C"/>
    <w:rsid w:val="00B364D8"/>
    <w:rsid w:val="00B36A3D"/>
    <w:rsid w:val="00B36F1D"/>
    <w:rsid w:val="00B372C3"/>
    <w:rsid w:val="00B376DF"/>
    <w:rsid w:val="00B37705"/>
    <w:rsid w:val="00B37ED7"/>
    <w:rsid w:val="00B37F8F"/>
    <w:rsid w:val="00B401A4"/>
    <w:rsid w:val="00B403A5"/>
    <w:rsid w:val="00B40457"/>
    <w:rsid w:val="00B407A7"/>
    <w:rsid w:val="00B40891"/>
    <w:rsid w:val="00B40EE0"/>
    <w:rsid w:val="00B416FB"/>
    <w:rsid w:val="00B418D5"/>
    <w:rsid w:val="00B42384"/>
    <w:rsid w:val="00B425C3"/>
    <w:rsid w:val="00B42738"/>
    <w:rsid w:val="00B42874"/>
    <w:rsid w:val="00B42A74"/>
    <w:rsid w:val="00B42A82"/>
    <w:rsid w:val="00B42B28"/>
    <w:rsid w:val="00B42CC4"/>
    <w:rsid w:val="00B42FB5"/>
    <w:rsid w:val="00B43510"/>
    <w:rsid w:val="00B4361C"/>
    <w:rsid w:val="00B437D4"/>
    <w:rsid w:val="00B43AB0"/>
    <w:rsid w:val="00B43F38"/>
    <w:rsid w:val="00B440AD"/>
    <w:rsid w:val="00B44267"/>
    <w:rsid w:val="00B44CA8"/>
    <w:rsid w:val="00B45019"/>
    <w:rsid w:val="00B45439"/>
    <w:rsid w:val="00B4576E"/>
    <w:rsid w:val="00B45E37"/>
    <w:rsid w:val="00B46308"/>
    <w:rsid w:val="00B4679F"/>
    <w:rsid w:val="00B471F2"/>
    <w:rsid w:val="00B479BB"/>
    <w:rsid w:val="00B47C3F"/>
    <w:rsid w:val="00B503CF"/>
    <w:rsid w:val="00B50584"/>
    <w:rsid w:val="00B507B5"/>
    <w:rsid w:val="00B50C90"/>
    <w:rsid w:val="00B50CBF"/>
    <w:rsid w:val="00B50E50"/>
    <w:rsid w:val="00B51425"/>
    <w:rsid w:val="00B517E6"/>
    <w:rsid w:val="00B51CB5"/>
    <w:rsid w:val="00B51F4C"/>
    <w:rsid w:val="00B5213B"/>
    <w:rsid w:val="00B52623"/>
    <w:rsid w:val="00B52944"/>
    <w:rsid w:val="00B5303A"/>
    <w:rsid w:val="00B5340E"/>
    <w:rsid w:val="00B53480"/>
    <w:rsid w:val="00B53CBB"/>
    <w:rsid w:val="00B53E7E"/>
    <w:rsid w:val="00B53E9B"/>
    <w:rsid w:val="00B541DE"/>
    <w:rsid w:val="00B547C9"/>
    <w:rsid w:val="00B550A1"/>
    <w:rsid w:val="00B55281"/>
    <w:rsid w:val="00B55768"/>
    <w:rsid w:val="00B558DD"/>
    <w:rsid w:val="00B55998"/>
    <w:rsid w:val="00B559C0"/>
    <w:rsid w:val="00B55B39"/>
    <w:rsid w:val="00B55CC9"/>
    <w:rsid w:val="00B56BE0"/>
    <w:rsid w:val="00B56CB9"/>
    <w:rsid w:val="00B56FA6"/>
    <w:rsid w:val="00B57491"/>
    <w:rsid w:val="00B57614"/>
    <w:rsid w:val="00B57E6F"/>
    <w:rsid w:val="00B6022E"/>
    <w:rsid w:val="00B60251"/>
    <w:rsid w:val="00B604BE"/>
    <w:rsid w:val="00B60ACE"/>
    <w:rsid w:val="00B61B1A"/>
    <w:rsid w:val="00B61B9D"/>
    <w:rsid w:val="00B61CA4"/>
    <w:rsid w:val="00B61D12"/>
    <w:rsid w:val="00B61E15"/>
    <w:rsid w:val="00B62070"/>
    <w:rsid w:val="00B62796"/>
    <w:rsid w:val="00B62A85"/>
    <w:rsid w:val="00B6300B"/>
    <w:rsid w:val="00B633BF"/>
    <w:rsid w:val="00B6342E"/>
    <w:rsid w:val="00B63704"/>
    <w:rsid w:val="00B64054"/>
    <w:rsid w:val="00B64305"/>
    <w:rsid w:val="00B6432E"/>
    <w:rsid w:val="00B645D1"/>
    <w:rsid w:val="00B64D2B"/>
    <w:rsid w:val="00B65046"/>
    <w:rsid w:val="00B652A0"/>
    <w:rsid w:val="00B65517"/>
    <w:rsid w:val="00B65717"/>
    <w:rsid w:val="00B65770"/>
    <w:rsid w:val="00B65AC5"/>
    <w:rsid w:val="00B65E92"/>
    <w:rsid w:val="00B664AE"/>
    <w:rsid w:val="00B66836"/>
    <w:rsid w:val="00B66C17"/>
    <w:rsid w:val="00B67668"/>
    <w:rsid w:val="00B67902"/>
    <w:rsid w:val="00B7024E"/>
    <w:rsid w:val="00B705A4"/>
    <w:rsid w:val="00B70815"/>
    <w:rsid w:val="00B70A34"/>
    <w:rsid w:val="00B7113F"/>
    <w:rsid w:val="00B71553"/>
    <w:rsid w:val="00B71565"/>
    <w:rsid w:val="00B72370"/>
    <w:rsid w:val="00B72837"/>
    <w:rsid w:val="00B728E2"/>
    <w:rsid w:val="00B729AC"/>
    <w:rsid w:val="00B729DD"/>
    <w:rsid w:val="00B72ED2"/>
    <w:rsid w:val="00B72FE1"/>
    <w:rsid w:val="00B736B9"/>
    <w:rsid w:val="00B73E1E"/>
    <w:rsid w:val="00B74130"/>
    <w:rsid w:val="00B74474"/>
    <w:rsid w:val="00B7456E"/>
    <w:rsid w:val="00B745D5"/>
    <w:rsid w:val="00B74843"/>
    <w:rsid w:val="00B7489B"/>
    <w:rsid w:val="00B74BA5"/>
    <w:rsid w:val="00B74F7A"/>
    <w:rsid w:val="00B751D2"/>
    <w:rsid w:val="00B758E0"/>
    <w:rsid w:val="00B75948"/>
    <w:rsid w:val="00B75BB7"/>
    <w:rsid w:val="00B75E01"/>
    <w:rsid w:val="00B75FA0"/>
    <w:rsid w:val="00B76369"/>
    <w:rsid w:val="00B76408"/>
    <w:rsid w:val="00B765EB"/>
    <w:rsid w:val="00B76A9C"/>
    <w:rsid w:val="00B76F6D"/>
    <w:rsid w:val="00B775F2"/>
    <w:rsid w:val="00B77962"/>
    <w:rsid w:val="00B77AAC"/>
    <w:rsid w:val="00B77B15"/>
    <w:rsid w:val="00B77CA0"/>
    <w:rsid w:val="00B80319"/>
    <w:rsid w:val="00B80549"/>
    <w:rsid w:val="00B80995"/>
    <w:rsid w:val="00B80D00"/>
    <w:rsid w:val="00B80D1E"/>
    <w:rsid w:val="00B80EF3"/>
    <w:rsid w:val="00B81155"/>
    <w:rsid w:val="00B811FC"/>
    <w:rsid w:val="00B81468"/>
    <w:rsid w:val="00B81843"/>
    <w:rsid w:val="00B8184C"/>
    <w:rsid w:val="00B81AC8"/>
    <w:rsid w:val="00B82F56"/>
    <w:rsid w:val="00B8407F"/>
    <w:rsid w:val="00B842B4"/>
    <w:rsid w:val="00B847AE"/>
    <w:rsid w:val="00B84E15"/>
    <w:rsid w:val="00B852FF"/>
    <w:rsid w:val="00B85436"/>
    <w:rsid w:val="00B85581"/>
    <w:rsid w:val="00B85D38"/>
    <w:rsid w:val="00B8634C"/>
    <w:rsid w:val="00B8687B"/>
    <w:rsid w:val="00B8688A"/>
    <w:rsid w:val="00B86CA7"/>
    <w:rsid w:val="00B87143"/>
    <w:rsid w:val="00B87771"/>
    <w:rsid w:val="00B87C8E"/>
    <w:rsid w:val="00B87CE0"/>
    <w:rsid w:val="00B87DA0"/>
    <w:rsid w:val="00B87FEB"/>
    <w:rsid w:val="00B902A3"/>
    <w:rsid w:val="00B90ACB"/>
    <w:rsid w:val="00B90E57"/>
    <w:rsid w:val="00B90E8D"/>
    <w:rsid w:val="00B90F1E"/>
    <w:rsid w:val="00B910FE"/>
    <w:rsid w:val="00B912F9"/>
    <w:rsid w:val="00B91C2C"/>
    <w:rsid w:val="00B91E18"/>
    <w:rsid w:val="00B91FD2"/>
    <w:rsid w:val="00B920DA"/>
    <w:rsid w:val="00B920DF"/>
    <w:rsid w:val="00B92375"/>
    <w:rsid w:val="00B92922"/>
    <w:rsid w:val="00B932F7"/>
    <w:rsid w:val="00B93716"/>
    <w:rsid w:val="00B93ACE"/>
    <w:rsid w:val="00B94504"/>
    <w:rsid w:val="00B94C67"/>
    <w:rsid w:val="00B94EE6"/>
    <w:rsid w:val="00B9543D"/>
    <w:rsid w:val="00B956A7"/>
    <w:rsid w:val="00B95DD2"/>
    <w:rsid w:val="00B9617B"/>
    <w:rsid w:val="00B96278"/>
    <w:rsid w:val="00B96369"/>
    <w:rsid w:val="00B966CA"/>
    <w:rsid w:val="00B96980"/>
    <w:rsid w:val="00B97072"/>
    <w:rsid w:val="00B97494"/>
    <w:rsid w:val="00B97709"/>
    <w:rsid w:val="00B97966"/>
    <w:rsid w:val="00B97AD2"/>
    <w:rsid w:val="00BA02CC"/>
    <w:rsid w:val="00BA0763"/>
    <w:rsid w:val="00BA0CB2"/>
    <w:rsid w:val="00BA0EFE"/>
    <w:rsid w:val="00BA1614"/>
    <w:rsid w:val="00BA1803"/>
    <w:rsid w:val="00BA18D6"/>
    <w:rsid w:val="00BA1986"/>
    <w:rsid w:val="00BA1B67"/>
    <w:rsid w:val="00BA1F61"/>
    <w:rsid w:val="00BA247C"/>
    <w:rsid w:val="00BA24BA"/>
    <w:rsid w:val="00BA27DC"/>
    <w:rsid w:val="00BA2BCF"/>
    <w:rsid w:val="00BA2ECB"/>
    <w:rsid w:val="00BA2F19"/>
    <w:rsid w:val="00BA3076"/>
    <w:rsid w:val="00BA3658"/>
    <w:rsid w:val="00BA384E"/>
    <w:rsid w:val="00BA427A"/>
    <w:rsid w:val="00BA42AC"/>
    <w:rsid w:val="00BA4864"/>
    <w:rsid w:val="00BA4F20"/>
    <w:rsid w:val="00BA531F"/>
    <w:rsid w:val="00BA5401"/>
    <w:rsid w:val="00BA588E"/>
    <w:rsid w:val="00BA5B14"/>
    <w:rsid w:val="00BA5C4B"/>
    <w:rsid w:val="00BA6A1C"/>
    <w:rsid w:val="00BA6B1B"/>
    <w:rsid w:val="00BA7209"/>
    <w:rsid w:val="00BA73B6"/>
    <w:rsid w:val="00BA7429"/>
    <w:rsid w:val="00BA78A8"/>
    <w:rsid w:val="00BA7E27"/>
    <w:rsid w:val="00BB01A8"/>
    <w:rsid w:val="00BB06A4"/>
    <w:rsid w:val="00BB0882"/>
    <w:rsid w:val="00BB0DB9"/>
    <w:rsid w:val="00BB14B8"/>
    <w:rsid w:val="00BB19AC"/>
    <w:rsid w:val="00BB1E8A"/>
    <w:rsid w:val="00BB1FCA"/>
    <w:rsid w:val="00BB2603"/>
    <w:rsid w:val="00BB2648"/>
    <w:rsid w:val="00BB2888"/>
    <w:rsid w:val="00BB2D9E"/>
    <w:rsid w:val="00BB3148"/>
    <w:rsid w:val="00BB31FE"/>
    <w:rsid w:val="00BB3446"/>
    <w:rsid w:val="00BB3625"/>
    <w:rsid w:val="00BB3804"/>
    <w:rsid w:val="00BB381E"/>
    <w:rsid w:val="00BB4533"/>
    <w:rsid w:val="00BB4583"/>
    <w:rsid w:val="00BB47F6"/>
    <w:rsid w:val="00BB4976"/>
    <w:rsid w:val="00BB4A92"/>
    <w:rsid w:val="00BB4FCD"/>
    <w:rsid w:val="00BB5063"/>
    <w:rsid w:val="00BB5098"/>
    <w:rsid w:val="00BB523D"/>
    <w:rsid w:val="00BB54A8"/>
    <w:rsid w:val="00BB58B0"/>
    <w:rsid w:val="00BB5A35"/>
    <w:rsid w:val="00BB600E"/>
    <w:rsid w:val="00BB614A"/>
    <w:rsid w:val="00BB663B"/>
    <w:rsid w:val="00BB668D"/>
    <w:rsid w:val="00BB6A95"/>
    <w:rsid w:val="00BB7118"/>
    <w:rsid w:val="00BB71A2"/>
    <w:rsid w:val="00BB722E"/>
    <w:rsid w:val="00BB7275"/>
    <w:rsid w:val="00BB72A5"/>
    <w:rsid w:val="00BB7ACE"/>
    <w:rsid w:val="00BC02A5"/>
    <w:rsid w:val="00BC04C5"/>
    <w:rsid w:val="00BC04E9"/>
    <w:rsid w:val="00BC08CA"/>
    <w:rsid w:val="00BC0CC2"/>
    <w:rsid w:val="00BC0D62"/>
    <w:rsid w:val="00BC0EAC"/>
    <w:rsid w:val="00BC167A"/>
    <w:rsid w:val="00BC16E3"/>
    <w:rsid w:val="00BC17B4"/>
    <w:rsid w:val="00BC186B"/>
    <w:rsid w:val="00BC1AB4"/>
    <w:rsid w:val="00BC1D23"/>
    <w:rsid w:val="00BC1E14"/>
    <w:rsid w:val="00BC1E28"/>
    <w:rsid w:val="00BC2125"/>
    <w:rsid w:val="00BC2332"/>
    <w:rsid w:val="00BC2490"/>
    <w:rsid w:val="00BC26D1"/>
    <w:rsid w:val="00BC27C6"/>
    <w:rsid w:val="00BC2862"/>
    <w:rsid w:val="00BC348C"/>
    <w:rsid w:val="00BC3C09"/>
    <w:rsid w:val="00BC3D8A"/>
    <w:rsid w:val="00BC4216"/>
    <w:rsid w:val="00BC4808"/>
    <w:rsid w:val="00BC4F81"/>
    <w:rsid w:val="00BC53B1"/>
    <w:rsid w:val="00BC577E"/>
    <w:rsid w:val="00BC59C0"/>
    <w:rsid w:val="00BC5C98"/>
    <w:rsid w:val="00BC5E5E"/>
    <w:rsid w:val="00BC5EFB"/>
    <w:rsid w:val="00BC63EC"/>
    <w:rsid w:val="00BC6CB7"/>
    <w:rsid w:val="00BC79A1"/>
    <w:rsid w:val="00BC7C40"/>
    <w:rsid w:val="00BC7E12"/>
    <w:rsid w:val="00BD0075"/>
    <w:rsid w:val="00BD0117"/>
    <w:rsid w:val="00BD0197"/>
    <w:rsid w:val="00BD035A"/>
    <w:rsid w:val="00BD04DF"/>
    <w:rsid w:val="00BD0512"/>
    <w:rsid w:val="00BD0529"/>
    <w:rsid w:val="00BD058A"/>
    <w:rsid w:val="00BD05F9"/>
    <w:rsid w:val="00BD0C25"/>
    <w:rsid w:val="00BD1068"/>
    <w:rsid w:val="00BD1238"/>
    <w:rsid w:val="00BD13EA"/>
    <w:rsid w:val="00BD190A"/>
    <w:rsid w:val="00BD199B"/>
    <w:rsid w:val="00BD2286"/>
    <w:rsid w:val="00BD27D6"/>
    <w:rsid w:val="00BD2BB0"/>
    <w:rsid w:val="00BD3737"/>
    <w:rsid w:val="00BD3F9D"/>
    <w:rsid w:val="00BD4CC3"/>
    <w:rsid w:val="00BD4D0E"/>
    <w:rsid w:val="00BD4E22"/>
    <w:rsid w:val="00BD50CF"/>
    <w:rsid w:val="00BD5114"/>
    <w:rsid w:val="00BD5227"/>
    <w:rsid w:val="00BD6326"/>
    <w:rsid w:val="00BD65A9"/>
    <w:rsid w:val="00BD69E1"/>
    <w:rsid w:val="00BD6A61"/>
    <w:rsid w:val="00BD6E45"/>
    <w:rsid w:val="00BD6EE2"/>
    <w:rsid w:val="00BD7688"/>
    <w:rsid w:val="00BD76AE"/>
    <w:rsid w:val="00BE007C"/>
    <w:rsid w:val="00BE09AD"/>
    <w:rsid w:val="00BE0EEF"/>
    <w:rsid w:val="00BE1109"/>
    <w:rsid w:val="00BE12BC"/>
    <w:rsid w:val="00BE18F8"/>
    <w:rsid w:val="00BE230D"/>
    <w:rsid w:val="00BE230E"/>
    <w:rsid w:val="00BE2A96"/>
    <w:rsid w:val="00BE2C25"/>
    <w:rsid w:val="00BE2CFE"/>
    <w:rsid w:val="00BE2D80"/>
    <w:rsid w:val="00BE2DB6"/>
    <w:rsid w:val="00BE2F9C"/>
    <w:rsid w:val="00BE337F"/>
    <w:rsid w:val="00BE34CC"/>
    <w:rsid w:val="00BE3554"/>
    <w:rsid w:val="00BE3801"/>
    <w:rsid w:val="00BE3808"/>
    <w:rsid w:val="00BE3920"/>
    <w:rsid w:val="00BE39FA"/>
    <w:rsid w:val="00BE3E92"/>
    <w:rsid w:val="00BE43DE"/>
    <w:rsid w:val="00BE511D"/>
    <w:rsid w:val="00BE513F"/>
    <w:rsid w:val="00BE55F5"/>
    <w:rsid w:val="00BE5676"/>
    <w:rsid w:val="00BE5AD4"/>
    <w:rsid w:val="00BE6DF1"/>
    <w:rsid w:val="00BE6F49"/>
    <w:rsid w:val="00BE715C"/>
    <w:rsid w:val="00BE722A"/>
    <w:rsid w:val="00BE7880"/>
    <w:rsid w:val="00BE78DB"/>
    <w:rsid w:val="00BE79F7"/>
    <w:rsid w:val="00BE7A33"/>
    <w:rsid w:val="00BE7E06"/>
    <w:rsid w:val="00BF0443"/>
    <w:rsid w:val="00BF04EE"/>
    <w:rsid w:val="00BF05DC"/>
    <w:rsid w:val="00BF0D19"/>
    <w:rsid w:val="00BF0EFF"/>
    <w:rsid w:val="00BF0FAB"/>
    <w:rsid w:val="00BF1062"/>
    <w:rsid w:val="00BF1291"/>
    <w:rsid w:val="00BF1362"/>
    <w:rsid w:val="00BF1391"/>
    <w:rsid w:val="00BF145A"/>
    <w:rsid w:val="00BF1486"/>
    <w:rsid w:val="00BF23C8"/>
    <w:rsid w:val="00BF247A"/>
    <w:rsid w:val="00BF2F29"/>
    <w:rsid w:val="00BF3457"/>
    <w:rsid w:val="00BF34D9"/>
    <w:rsid w:val="00BF3844"/>
    <w:rsid w:val="00BF3CF5"/>
    <w:rsid w:val="00BF407E"/>
    <w:rsid w:val="00BF436B"/>
    <w:rsid w:val="00BF4432"/>
    <w:rsid w:val="00BF46BC"/>
    <w:rsid w:val="00BF47F6"/>
    <w:rsid w:val="00BF4FC0"/>
    <w:rsid w:val="00BF50A3"/>
    <w:rsid w:val="00BF5215"/>
    <w:rsid w:val="00BF53A2"/>
    <w:rsid w:val="00BF5E68"/>
    <w:rsid w:val="00BF6B23"/>
    <w:rsid w:val="00BF70A7"/>
    <w:rsid w:val="00BF7C0A"/>
    <w:rsid w:val="00BF7CEB"/>
    <w:rsid w:val="00BF7D26"/>
    <w:rsid w:val="00C001A6"/>
    <w:rsid w:val="00C00232"/>
    <w:rsid w:val="00C004A3"/>
    <w:rsid w:val="00C00543"/>
    <w:rsid w:val="00C00A6A"/>
    <w:rsid w:val="00C00A6B"/>
    <w:rsid w:val="00C00AA4"/>
    <w:rsid w:val="00C00EBC"/>
    <w:rsid w:val="00C01126"/>
    <w:rsid w:val="00C0114F"/>
    <w:rsid w:val="00C018C2"/>
    <w:rsid w:val="00C02471"/>
    <w:rsid w:val="00C026E0"/>
    <w:rsid w:val="00C02F2C"/>
    <w:rsid w:val="00C03447"/>
    <w:rsid w:val="00C03597"/>
    <w:rsid w:val="00C036C7"/>
    <w:rsid w:val="00C038BB"/>
    <w:rsid w:val="00C03BF5"/>
    <w:rsid w:val="00C0406F"/>
    <w:rsid w:val="00C0484E"/>
    <w:rsid w:val="00C04EBD"/>
    <w:rsid w:val="00C05073"/>
    <w:rsid w:val="00C050E3"/>
    <w:rsid w:val="00C0556C"/>
    <w:rsid w:val="00C05684"/>
    <w:rsid w:val="00C057F2"/>
    <w:rsid w:val="00C059BC"/>
    <w:rsid w:val="00C05C12"/>
    <w:rsid w:val="00C05FC6"/>
    <w:rsid w:val="00C062E9"/>
    <w:rsid w:val="00C06D2E"/>
    <w:rsid w:val="00C06E79"/>
    <w:rsid w:val="00C0761B"/>
    <w:rsid w:val="00C07848"/>
    <w:rsid w:val="00C0787A"/>
    <w:rsid w:val="00C07A0D"/>
    <w:rsid w:val="00C07B64"/>
    <w:rsid w:val="00C07F21"/>
    <w:rsid w:val="00C109B7"/>
    <w:rsid w:val="00C10C71"/>
    <w:rsid w:val="00C10D1C"/>
    <w:rsid w:val="00C119E2"/>
    <w:rsid w:val="00C119E3"/>
    <w:rsid w:val="00C11D62"/>
    <w:rsid w:val="00C125C4"/>
    <w:rsid w:val="00C12719"/>
    <w:rsid w:val="00C128F0"/>
    <w:rsid w:val="00C12A69"/>
    <w:rsid w:val="00C12F33"/>
    <w:rsid w:val="00C12FF5"/>
    <w:rsid w:val="00C13125"/>
    <w:rsid w:val="00C13330"/>
    <w:rsid w:val="00C136B2"/>
    <w:rsid w:val="00C13721"/>
    <w:rsid w:val="00C138DD"/>
    <w:rsid w:val="00C13CF6"/>
    <w:rsid w:val="00C1462A"/>
    <w:rsid w:val="00C14903"/>
    <w:rsid w:val="00C14DE9"/>
    <w:rsid w:val="00C14FE4"/>
    <w:rsid w:val="00C14FE5"/>
    <w:rsid w:val="00C1518C"/>
    <w:rsid w:val="00C151CB"/>
    <w:rsid w:val="00C152DC"/>
    <w:rsid w:val="00C15312"/>
    <w:rsid w:val="00C156E9"/>
    <w:rsid w:val="00C15F6B"/>
    <w:rsid w:val="00C161D3"/>
    <w:rsid w:val="00C164FF"/>
    <w:rsid w:val="00C166BA"/>
    <w:rsid w:val="00C166CC"/>
    <w:rsid w:val="00C16770"/>
    <w:rsid w:val="00C16C8F"/>
    <w:rsid w:val="00C17186"/>
    <w:rsid w:val="00C175FD"/>
    <w:rsid w:val="00C17B19"/>
    <w:rsid w:val="00C201C5"/>
    <w:rsid w:val="00C205B2"/>
    <w:rsid w:val="00C20884"/>
    <w:rsid w:val="00C20C1D"/>
    <w:rsid w:val="00C20CB3"/>
    <w:rsid w:val="00C20FBB"/>
    <w:rsid w:val="00C2115B"/>
    <w:rsid w:val="00C21592"/>
    <w:rsid w:val="00C21B75"/>
    <w:rsid w:val="00C21D61"/>
    <w:rsid w:val="00C21FCA"/>
    <w:rsid w:val="00C22045"/>
    <w:rsid w:val="00C2211E"/>
    <w:rsid w:val="00C22486"/>
    <w:rsid w:val="00C2259C"/>
    <w:rsid w:val="00C22A68"/>
    <w:rsid w:val="00C22B3D"/>
    <w:rsid w:val="00C22BCC"/>
    <w:rsid w:val="00C22C99"/>
    <w:rsid w:val="00C22DE3"/>
    <w:rsid w:val="00C2322B"/>
    <w:rsid w:val="00C2339A"/>
    <w:rsid w:val="00C2351C"/>
    <w:rsid w:val="00C237E0"/>
    <w:rsid w:val="00C23A15"/>
    <w:rsid w:val="00C248D5"/>
    <w:rsid w:val="00C2496A"/>
    <w:rsid w:val="00C24A34"/>
    <w:rsid w:val="00C24D91"/>
    <w:rsid w:val="00C2518E"/>
    <w:rsid w:val="00C25888"/>
    <w:rsid w:val="00C260CF"/>
    <w:rsid w:val="00C26BDF"/>
    <w:rsid w:val="00C27109"/>
    <w:rsid w:val="00C273CC"/>
    <w:rsid w:val="00C27796"/>
    <w:rsid w:val="00C27B28"/>
    <w:rsid w:val="00C27CDB"/>
    <w:rsid w:val="00C301E5"/>
    <w:rsid w:val="00C3066D"/>
    <w:rsid w:val="00C30DB8"/>
    <w:rsid w:val="00C3137C"/>
    <w:rsid w:val="00C3178D"/>
    <w:rsid w:val="00C317E1"/>
    <w:rsid w:val="00C323C3"/>
    <w:rsid w:val="00C32CF7"/>
    <w:rsid w:val="00C32FB1"/>
    <w:rsid w:val="00C333BE"/>
    <w:rsid w:val="00C333FB"/>
    <w:rsid w:val="00C33C9A"/>
    <w:rsid w:val="00C3411F"/>
    <w:rsid w:val="00C344C2"/>
    <w:rsid w:val="00C345EB"/>
    <w:rsid w:val="00C345F5"/>
    <w:rsid w:val="00C3461B"/>
    <w:rsid w:val="00C34730"/>
    <w:rsid w:val="00C3476A"/>
    <w:rsid w:val="00C352DF"/>
    <w:rsid w:val="00C35573"/>
    <w:rsid w:val="00C359E9"/>
    <w:rsid w:val="00C35C09"/>
    <w:rsid w:val="00C363C5"/>
    <w:rsid w:val="00C36E5B"/>
    <w:rsid w:val="00C36FC7"/>
    <w:rsid w:val="00C3778E"/>
    <w:rsid w:val="00C37927"/>
    <w:rsid w:val="00C37B8E"/>
    <w:rsid w:val="00C37BA1"/>
    <w:rsid w:val="00C37CE1"/>
    <w:rsid w:val="00C37D29"/>
    <w:rsid w:val="00C407FE"/>
    <w:rsid w:val="00C40930"/>
    <w:rsid w:val="00C409B5"/>
    <w:rsid w:val="00C40AAA"/>
    <w:rsid w:val="00C40B97"/>
    <w:rsid w:val="00C40C5B"/>
    <w:rsid w:val="00C40D8A"/>
    <w:rsid w:val="00C4183D"/>
    <w:rsid w:val="00C41875"/>
    <w:rsid w:val="00C41BF6"/>
    <w:rsid w:val="00C41EA8"/>
    <w:rsid w:val="00C41F9B"/>
    <w:rsid w:val="00C420E6"/>
    <w:rsid w:val="00C42301"/>
    <w:rsid w:val="00C426C5"/>
    <w:rsid w:val="00C42A76"/>
    <w:rsid w:val="00C42B3E"/>
    <w:rsid w:val="00C42F25"/>
    <w:rsid w:val="00C43055"/>
    <w:rsid w:val="00C4309B"/>
    <w:rsid w:val="00C43510"/>
    <w:rsid w:val="00C438C8"/>
    <w:rsid w:val="00C43A0F"/>
    <w:rsid w:val="00C43BD5"/>
    <w:rsid w:val="00C4423A"/>
    <w:rsid w:val="00C44B42"/>
    <w:rsid w:val="00C44F53"/>
    <w:rsid w:val="00C4515A"/>
    <w:rsid w:val="00C4523B"/>
    <w:rsid w:val="00C45348"/>
    <w:rsid w:val="00C459FA"/>
    <w:rsid w:val="00C4680D"/>
    <w:rsid w:val="00C47011"/>
    <w:rsid w:val="00C475D6"/>
    <w:rsid w:val="00C47747"/>
    <w:rsid w:val="00C50047"/>
    <w:rsid w:val="00C505C9"/>
    <w:rsid w:val="00C50A0F"/>
    <w:rsid w:val="00C51362"/>
    <w:rsid w:val="00C515F1"/>
    <w:rsid w:val="00C51602"/>
    <w:rsid w:val="00C51A18"/>
    <w:rsid w:val="00C52416"/>
    <w:rsid w:val="00C52607"/>
    <w:rsid w:val="00C52849"/>
    <w:rsid w:val="00C52B1C"/>
    <w:rsid w:val="00C52D1E"/>
    <w:rsid w:val="00C530E1"/>
    <w:rsid w:val="00C538C5"/>
    <w:rsid w:val="00C539D4"/>
    <w:rsid w:val="00C53E39"/>
    <w:rsid w:val="00C53F6F"/>
    <w:rsid w:val="00C541FE"/>
    <w:rsid w:val="00C543F4"/>
    <w:rsid w:val="00C5485A"/>
    <w:rsid w:val="00C54A80"/>
    <w:rsid w:val="00C55302"/>
    <w:rsid w:val="00C554BA"/>
    <w:rsid w:val="00C557A2"/>
    <w:rsid w:val="00C55AA5"/>
    <w:rsid w:val="00C55E8A"/>
    <w:rsid w:val="00C55F9F"/>
    <w:rsid w:val="00C56440"/>
    <w:rsid w:val="00C566EA"/>
    <w:rsid w:val="00C56930"/>
    <w:rsid w:val="00C56B47"/>
    <w:rsid w:val="00C574A9"/>
    <w:rsid w:val="00C575A6"/>
    <w:rsid w:val="00C575EF"/>
    <w:rsid w:val="00C57822"/>
    <w:rsid w:val="00C60214"/>
    <w:rsid w:val="00C60437"/>
    <w:rsid w:val="00C607C1"/>
    <w:rsid w:val="00C61163"/>
    <w:rsid w:val="00C61491"/>
    <w:rsid w:val="00C61659"/>
    <w:rsid w:val="00C61B37"/>
    <w:rsid w:val="00C61D9F"/>
    <w:rsid w:val="00C6206E"/>
    <w:rsid w:val="00C624C4"/>
    <w:rsid w:val="00C626BA"/>
    <w:rsid w:val="00C6291C"/>
    <w:rsid w:val="00C630EA"/>
    <w:rsid w:val="00C633CB"/>
    <w:rsid w:val="00C63C60"/>
    <w:rsid w:val="00C63F0A"/>
    <w:rsid w:val="00C640FA"/>
    <w:rsid w:val="00C6425E"/>
    <w:rsid w:val="00C642AE"/>
    <w:rsid w:val="00C643C3"/>
    <w:rsid w:val="00C644D7"/>
    <w:rsid w:val="00C64795"/>
    <w:rsid w:val="00C64B6F"/>
    <w:rsid w:val="00C64F0C"/>
    <w:rsid w:val="00C652EB"/>
    <w:rsid w:val="00C6580F"/>
    <w:rsid w:val="00C658F1"/>
    <w:rsid w:val="00C662CC"/>
    <w:rsid w:val="00C664CD"/>
    <w:rsid w:val="00C672CE"/>
    <w:rsid w:val="00C67384"/>
    <w:rsid w:val="00C673AF"/>
    <w:rsid w:val="00C67C01"/>
    <w:rsid w:val="00C67FA0"/>
    <w:rsid w:val="00C703B6"/>
    <w:rsid w:val="00C70625"/>
    <w:rsid w:val="00C7066D"/>
    <w:rsid w:val="00C70929"/>
    <w:rsid w:val="00C70AEB"/>
    <w:rsid w:val="00C70BBC"/>
    <w:rsid w:val="00C70DB9"/>
    <w:rsid w:val="00C70EAF"/>
    <w:rsid w:val="00C7115D"/>
    <w:rsid w:val="00C71480"/>
    <w:rsid w:val="00C71701"/>
    <w:rsid w:val="00C71705"/>
    <w:rsid w:val="00C719BF"/>
    <w:rsid w:val="00C725D0"/>
    <w:rsid w:val="00C7289E"/>
    <w:rsid w:val="00C72DD2"/>
    <w:rsid w:val="00C730E4"/>
    <w:rsid w:val="00C736B7"/>
    <w:rsid w:val="00C738C7"/>
    <w:rsid w:val="00C742CD"/>
    <w:rsid w:val="00C74EFA"/>
    <w:rsid w:val="00C75291"/>
    <w:rsid w:val="00C753E1"/>
    <w:rsid w:val="00C75968"/>
    <w:rsid w:val="00C75FB1"/>
    <w:rsid w:val="00C7615C"/>
    <w:rsid w:val="00C763FE"/>
    <w:rsid w:val="00C76402"/>
    <w:rsid w:val="00C76617"/>
    <w:rsid w:val="00C76984"/>
    <w:rsid w:val="00C76BAF"/>
    <w:rsid w:val="00C76FF2"/>
    <w:rsid w:val="00C77569"/>
    <w:rsid w:val="00C77E32"/>
    <w:rsid w:val="00C800F1"/>
    <w:rsid w:val="00C80222"/>
    <w:rsid w:val="00C80BB9"/>
    <w:rsid w:val="00C80D3E"/>
    <w:rsid w:val="00C80F8C"/>
    <w:rsid w:val="00C81015"/>
    <w:rsid w:val="00C81061"/>
    <w:rsid w:val="00C8172C"/>
    <w:rsid w:val="00C8186A"/>
    <w:rsid w:val="00C81D4A"/>
    <w:rsid w:val="00C82270"/>
    <w:rsid w:val="00C82CCC"/>
    <w:rsid w:val="00C83231"/>
    <w:rsid w:val="00C832A8"/>
    <w:rsid w:val="00C84066"/>
    <w:rsid w:val="00C840EC"/>
    <w:rsid w:val="00C84275"/>
    <w:rsid w:val="00C8465C"/>
    <w:rsid w:val="00C847DF"/>
    <w:rsid w:val="00C849D4"/>
    <w:rsid w:val="00C84A17"/>
    <w:rsid w:val="00C84AD1"/>
    <w:rsid w:val="00C850A8"/>
    <w:rsid w:val="00C850B1"/>
    <w:rsid w:val="00C851E3"/>
    <w:rsid w:val="00C855C5"/>
    <w:rsid w:val="00C85B13"/>
    <w:rsid w:val="00C85DC7"/>
    <w:rsid w:val="00C8645B"/>
    <w:rsid w:val="00C86535"/>
    <w:rsid w:val="00C8688D"/>
    <w:rsid w:val="00C86A02"/>
    <w:rsid w:val="00C86B11"/>
    <w:rsid w:val="00C8762C"/>
    <w:rsid w:val="00C90462"/>
    <w:rsid w:val="00C906E7"/>
    <w:rsid w:val="00C9073C"/>
    <w:rsid w:val="00C90D2E"/>
    <w:rsid w:val="00C90E19"/>
    <w:rsid w:val="00C90FB2"/>
    <w:rsid w:val="00C910E3"/>
    <w:rsid w:val="00C910F6"/>
    <w:rsid w:val="00C911EC"/>
    <w:rsid w:val="00C91C36"/>
    <w:rsid w:val="00C91D7A"/>
    <w:rsid w:val="00C91F5A"/>
    <w:rsid w:val="00C923A3"/>
    <w:rsid w:val="00C924EC"/>
    <w:rsid w:val="00C92BCC"/>
    <w:rsid w:val="00C92BE5"/>
    <w:rsid w:val="00C93360"/>
    <w:rsid w:val="00C936BD"/>
    <w:rsid w:val="00C938C6"/>
    <w:rsid w:val="00C93BE2"/>
    <w:rsid w:val="00C93E65"/>
    <w:rsid w:val="00C942FC"/>
    <w:rsid w:val="00C94708"/>
    <w:rsid w:val="00C94727"/>
    <w:rsid w:val="00C94A4D"/>
    <w:rsid w:val="00C94E69"/>
    <w:rsid w:val="00C94FCF"/>
    <w:rsid w:val="00C94FDA"/>
    <w:rsid w:val="00C95053"/>
    <w:rsid w:val="00C952E0"/>
    <w:rsid w:val="00C95F6D"/>
    <w:rsid w:val="00C95FE1"/>
    <w:rsid w:val="00C96073"/>
    <w:rsid w:val="00C962B7"/>
    <w:rsid w:val="00C963B6"/>
    <w:rsid w:val="00C96529"/>
    <w:rsid w:val="00C96901"/>
    <w:rsid w:val="00C96AC5"/>
    <w:rsid w:val="00C96AD3"/>
    <w:rsid w:val="00C96B89"/>
    <w:rsid w:val="00C96E2A"/>
    <w:rsid w:val="00C97096"/>
    <w:rsid w:val="00C970FA"/>
    <w:rsid w:val="00C97341"/>
    <w:rsid w:val="00C97712"/>
    <w:rsid w:val="00C977B8"/>
    <w:rsid w:val="00C97FC9"/>
    <w:rsid w:val="00CA00C4"/>
    <w:rsid w:val="00CA00F5"/>
    <w:rsid w:val="00CA00F9"/>
    <w:rsid w:val="00CA097D"/>
    <w:rsid w:val="00CA0FD3"/>
    <w:rsid w:val="00CA1154"/>
    <w:rsid w:val="00CA1796"/>
    <w:rsid w:val="00CA1BE2"/>
    <w:rsid w:val="00CA1EAC"/>
    <w:rsid w:val="00CA1F82"/>
    <w:rsid w:val="00CA2831"/>
    <w:rsid w:val="00CA286D"/>
    <w:rsid w:val="00CA2961"/>
    <w:rsid w:val="00CA2A71"/>
    <w:rsid w:val="00CA2F5A"/>
    <w:rsid w:val="00CA332B"/>
    <w:rsid w:val="00CA360E"/>
    <w:rsid w:val="00CA3D26"/>
    <w:rsid w:val="00CA4143"/>
    <w:rsid w:val="00CA42CF"/>
    <w:rsid w:val="00CA436E"/>
    <w:rsid w:val="00CA465C"/>
    <w:rsid w:val="00CA4955"/>
    <w:rsid w:val="00CA4CC6"/>
    <w:rsid w:val="00CA5117"/>
    <w:rsid w:val="00CA518F"/>
    <w:rsid w:val="00CA5758"/>
    <w:rsid w:val="00CA57D1"/>
    <w:rsid w:val="00CA5956"/>
    <w:rsid w:val="00CA5C7C"/>
    <w:rsid w:val="00CA5D22"/>
    <w:rsid w:val="00CA5FE6"/>
    <w:rsid w:val="00CA6406"/>
    <w:rsid w:val="00CA6468"/>
    <w:rsid w:val="00CA68E1"/>
    <w:rsid w:val="00CA6B6B"/>
    <w:rsid w:val="00CA6BB2"/>
    <w:rsid w:val="00CA7340"/>
    <w:rsid w:val="00CA77B3"/>
    <w:rsid w:val="00CA7CC0"/>
    <w:rsid w:val="00CA7F23"/>
    <w:rsid w:val="00CB0127"/>
    <w:rsid w:val="00CB036E"/>
    <w:rsid w:val="00CB100A"/>
    <w:rsid w:val="00CB1CE6"/>
    <w:rsid w:val="00CB24E7"/>
    <w:rsid w:val="00CB2748"/>
    <w:rsid w:val="00CB2899"/>
    <w:rsid w:val="00CB2E3F"/>
    <w:rsid w:val="00CB3164"/>
    <w:rsid w:val="00CB32FE"/>
    <w:rsid w:val="00CB333F"/>
    <w:rsid w:val="00CB3345"/>
    <w:rsid w:val="00CB3416"/>
    <w:rsid w:val="00CB36FC"/>
    <w:rsid w:val="00CB377E"/>
    <w:rsid w:val="00CB3E56"/>
    <w:rsid w:val="00CB42AE"/>
    <w:rsid w:val="00CB49F1"/>
    <w:rsid w:val="00CB4A91"/>
    <w:rsid w:val="00CB50D7"/>
    <w:rsid w:val="00CB63A8"/>
    <w:rsid w:val="00CB67CF"/>
    <w:rsid w:val="00CB6D33"/>
    <w:rsid w:val="00CB7177"/>
    <w:rsid w:val="00CB7CED"/>
    <w:rsid w:val="00CC0157"/>
    <w:rsid w:val="00CC070F"/>
    <w:rsid w:val="00CC086B"/>
    <w:rsid w:val="00CC09C6"/>
    <w:rsid w:val="00CC113E"/>
    <w:rsid w:val="00CC11B6"/>
    <w:rsid w:val="00CC197E"/>
    <w:rsid w:val="00CC1998"/>
    <w:rsid w:val="00CC1C1D"/>
    <w:rsid w:val="00CC245C"/>
    <w:rsid w:val="00CC2A03"/>
    <w:rsid w:val="00CC2AC5"/>
    <w:rsid w:val="00CC3911"/>
    <w:rsid w:val="00CC42E7"/>
    <w:rsid w:val="00CC4360"/>
    <w:rsid w:val="00CC4546"/>
    <w:rsid w:val="00CC4773"/>
    <w:rsid w:val="00CC4946"/>
    <w:rsid w:val="00CC4C93"/>
    <w:rsid w:val="00CC4EB2"/>
    <w:rsid w:val="00CC524D"/>
    <w:rsid w:val="00CC5530"/>
    <w:rsid w:val="00CC56EB"/>
    <w:rsid w:val="00CC5852"/>
    <w:rsid w:val="00CC5F0E"/>
    <w:rsid w:val="00CC64A1"/>
    <w:rsid w:val="00CC6B45"/>
    <w:rsid w:val="00CC6B54"/>
    <w:rsid w:val="00CC6CE1"/>
    <w:rsid w:val="00CC6E3B"/>
    <w:rsid w:val="00CC6EF7"/>
    <w:rsid w:val="00CC7602"/>
    <w:rsid w:val="00CC796B"/>
    <w:rsid w:val="00CD0247"/>
    <w:rsid w:val="00CD0741"/>
    <w:rsid w:val="00CD0908"/>
    <w:rsid w:val="00CD0BE9"/>
    <w:rsid w:val="00CD0DAA"/>
    <w:rsid w:val="00CD1076"/>
    <w:rsid w:val="00CD171F"/>
    <w:rsid w:val="00CD1B4B"/>
    <w:rsid w:val="00CD1DD7"/>
    <w:rsid w:val="00CD2115"/>
    <w:rsid w:val="00CD30E0"/>
    <w:rsid w:val="00CD3244"/>
    <w:rsid w:val="00CD361D"/>
    <w:rsid w:val="00CD3EE7"/>
    <w:rsid w:val="00CD4F0D"/>
    <w:rsid w:val="00CD5656"/>
    <w:rsid w:val="00CD57E4"/>
    <w:rsid w:val="00CD6275"/>
    <w:rsid w:val="00CD687F"/>
    <w:rsid w:val="00CD6BAC"/>
    <w:rsid w:val="00CD6BD1"/>
    <w:rsid w:val="00CD6E06"/>
    <w:rsid w:val="00CD6F0F"/>
    <w:rsid w:val="00CD73F1"/>
    <w:rsid w:val="00CD7749"/>
    <w:rsid w:val="00CD7750"/>
    <w:rsid w:val="00CD7933"/>
    <w:rsid w:val="00CD797F"/>
    <w:rsid w:val="00CD7CC4"/>
    <w:rsid w:val="00CE0874"/>
    <w:rsid w:val="00CE0C54"/>
    <w:rsid w:val="00CE1369"/>
    <w:rsid w:val="00CE190E"/>
    <w:rsid w:val="00CE20D7"/>
    <w:rsid w:val="00CE213F"/>
    <w:rsid w:val="00CE21AC"/>
    <w:rsid w:val="00CE2DA5"/>
    <w:rsid w:val="00CE2E43"/>
    <w:rsid w:val="00CE2E4C"/>
    <w:rsid w:val="00CE31BA"/>
    <w:rsid w:val="00CE33D5"/>
    <w:rsid w:val="00CE38AB"/>
    <w:rsid w:val="00CE3C80"/>
    <w:rsid w:val="00CE3D75"/>
    <w:rsid w:val="00CE3DC1"/>
    <w:rsid w:val="00CE3F42"/>
    <w:rsid w:val="00CE4206"/>
    <w:rsid w:val="00CE47DA"/>
    <w:rsid w:val="00CE491A"/>
    <w:rsid w:val="00CE580D"/>
    <w:rsid w:val="00CE5CCB"/>
    <w:rsid w:val="00CE6A96"/>
    <w:rsid w:val="00CE722B"/>
    <w:rsid w:val="00CE745A"/>
    <w:rsid w:val="00CE7668"/>
    <w:rsid w:val="00CE78C1"/>
    <w:rsid w:val="00CE7F8E"/>
    <w:rsid w:val="00CF04B2"/>
    <w:rsid w:val="00CF09BA"/>
    <w:rsid w:val="00CF0E67"/>
    <w:rsid w:val="00CF123C"/>
    <w:rsid w:val="00CF13BE"/>
    <w:rsid w:val="00CF166D"/>
    <w:rsid w:val="00CF1677"/>
    <w:rsid w:val="00CF19E5"/>
    <w:rsid w:val="00CF1E5E"/>
    <w:rsid w:val="00CF2160"/>
    <w:rsid w:val="00CF23F3"/>
    <w:rsid w:val="00CF2C6C"/>
    <w:rsid w:val="00CF2F36"/>
    <w:rsid w:val="00CF316E"/>
    <w:rsid w:val="00CF392C"/>
    <w:rsid w:val="00CF3B11"/>
    <w:rsid w:val="00CF3C0D"/>
    <w:rsid w:val="00CF4164"/>
    <w:rsid w:val="00CF443F"/>
    <w:rsid w:val="00CF4B7B"/>
    <w:rsid w:val="00CF5041"/>
    <w:rsid w:val="00CF52AA"/>
    <w:rsid w:val="00CF52EA"/>
    <w:rsid w:val="00CF5764"/>
    <w:rsid w:val="00CF57C0"/>
    <w:rsid w:val="00CF5E3B"/>
    <w:rsid w:val="00CF5FE1"/>
    <w:rsid w:val="00CF624D"/>
    <w:rsid w:val="00CF6549"/>
    <w:rsid w:val="00CF697B"/>
    <w:rsid w:val="00CF70D5"/>
    <w:rsid w:val="00CF7268"/>
    <w:rsid w:val="00CF7274"/>
    <w:rsid w:val="00CF73F2"/>
    <w:rsid w:val="00CF7697"/>
    <w:rsid w:val="00CF7B3C"/>
    <w:rsid w:val="00CF7BC0"/>
    <w:rsid w:val="00CF7DAF"/>
    <w:rsid w:val="00CF7ED3"/>
    <w:rsid w:val="00D00075"/>
    <w:rsid w:val="00D007E4"/>
    <w:rsid w:val="00D008FC"/>
    <w:rsid w:val="00D0090A"/>
    <w:rsid w:val="00D00C99"/>
    <w:rsid w:val="00D011D3"/>
    <w:rsid w:val="00D01200"/>
    <w:rsid w:val="00D01A49"/>
    <w:rsid w:val="00D01B72"/>
    <w:rsid w:val="00D02597"/>
    <w:rsid w:val="00D02CFD"/>
    <w:rsid w:val="00D03484"/>
    <w:rsid w:val="00D03505"/>
    <w:rsid w:val="00D038B0"/>
    <w:rsid w:val="00D03D2B"/>
    <w:rsid w:val="00D049B7"/>
    <w:rsid w:val="00D04ABD"/>
    <w:rsid w:val="00D0535B"/>
    <w:rsid w:val="00D05736"/>
    <w:rsid w:val="00D05B69"/>
    <w:rsid w:val="00D05DB9"/>
    <w:rsid w:val="00D0613F"/>
    <w:rsid w:val="00D06C8E"/>
    <w:rsid w:val="00D06D51"/>
    <w:rsid w:val="00D06D79"/>
    <w:rsid w:val="00D073AD"/>
    <w:rsid w:val="00D076BF"/>
    <w:rsid w:val="00D07735"/>
    <w:rsid w:val="00D10287"/>
    <w:rsid w:val="00D1045C"/>
    <w:rsid w:val="00D10526"/>
    <w:rsid w:val="00D10610"/>
    <w:rsid w:val="00D1070F"/>
    <w:rsid w:val="00D10AEC"/>
    <w:rsid w:val="00D11B87"/>
    <w:rsid w:val="00D11B94"/>
    <w:rsid w:val="00D11FC7"/>
    <w:rsid w:val="00D1234A"/>
    <w:rsid w:val="00D12554"/>
    <w:rsid w:val="00D12B24"/>
    <w:rsid w:val="00D12D2C"/>
    <w:rsid w:val="00D1311F"/>
    <w:rsid w:val="00D134A8"/>
    <w:rsid w:val="00D135EF"/>
    <w:rsid w:val="00D13AC7"/>
    <w:rsid w:val="00D13B73"/>
    <w:rsid w:val="00D13CC8"/>
    <w:rsid w:val="00D13DE5"/>
    <w:rsid w:val="00D147D9"/>
    <w:rsid w:val="00D1507C"/>
    <w:rsid w:val="00D15506"/>
    <w:rsid w:val="00D15612"/>
    <w:rsid w:val="00D15895"/>
    <w:rsid w:val="00D16605"/>
    <w:rsid w:val="00D16CE4"/>
    <w:rsid w:val="00D16EB7"/>
    <w:rsid w:val="00D17055"/>
    <w:rsid w:val="00D176EC"/>
    <w:rsid w:val="00D17BFC"/>
    <w:rsid w:val="00D202F6"/>
    <w:rsid w:val="00D204A4"/>
    <w:rsid w:val="00D204AC"/>
    <w:rsid w:val="00D20635"/>
    <w:rsid w:val="00D2065D"/>
    <w:rsid w:val="00D2088D"/>
    <w:rsid w:val="00D21092"/>
    <w:rsid w:val="00D213E7"/>
    <w:rsid w:val="00D2193A"/>
    <w:rsid w:val="00D21C34"/>
    <w:rsid w:val="00D21D3E"/>
    <w:rsid w:val="00D223BD"/>
    <w:rsid w:val="00D226F0"/>
    <w:rsid w:val="00D22953"/>
    <w:rsid w:val="00D22CD1"/>
    <w:rsid w:val="00D23421"/>
    <w:rsid w:val="00D238E0"/>
    <w:rsid w:val="00D23BF6"/>
    <w:rsid w:val="00D23DA1"/>
    <w:rsid w:val="00D2418E"/>
    <w:rsid w:val="00D2476B"/>
    <w:rsid w:val="00D24B55"/>
    <w:rsid w:val="00D24DD8"/>
    <w:rsid w:val="00D251FE"/>
    <w:rsid w:val="00D25301"/>
    <w:rsid w:val="00D25402"/>
    <w:rsid w:val="00D256FA"/>
    <w:rsid w:val="00D25890"/>
    <w:rsid w:val="00D25898"/>
    <w:rsid w:val="00D258E7"/>
    <w:rsid w:val="00D25FCD"/>
    <w:rsid w:val="00D262A3"/>
    <w:rsid w:val="00D268B3"/>
    <w:rsid w:val="00D26B82"/>
    <w:rsid w:val="00D26FC3"/>
    <w:rsid w:val="00D270A4"/>
    <w:rsid w:val="00D274BB"/>
    <w:rsid w:val="00D27612"/>
    <w:rsid w:val="00D27866"/>
    <w:rsid w:val="00D27D15"/>
    <w:rsid w:val="00D27D24"/>
    <w:rsid w:val="00D3045F"/>
    <w:rsid w:val="00D308A4"/>
    <w:rsid w:val="00D30C39"/>
    <w:rsid w:val="00D30F1D"/>
    <w:rsid w:val="00D310A8"/>
    <w:rsid w:val="00D3152B"/>
    <w:rsid w:val="00D315EC"/>
    <w:rsid w:val="00D31AEE"/>
    <w:rsid w:val="00D31FE9"/>
    <w:rsid w:val="00D32CE6"/>
    <w:rsid w:val="00D32FE9"/>
    <w:rsid w:val="00D33178"/>
    <w:rsid w:val="00D334EE"/>
    <w:rsid w:val="00D3350E"/>
    <w:rsid w:val="00D3352F"/>
    <w:rsid w:val="00D336D7"/>
    <w:rsid w:val="00D3442C"/>
    <w:rsid w:val="00D349F9"/>
    <w:rsid w:val="00D34B9D"/>
    <w:rsid w:val="00D34DDE"/>
    <w:rsid w:val="00D34E1B"/>
    <w:rsid w:val="00D34E5E"/>
    <w:rsid w:val="00D3523E"/>
    <w:rsid w:val="00D35247"/>
    <w:rsid w:val="00D35B07"/>
    <w:rsid w:val="00D35B42"/>
    <w:rsid w:val="00D35BA7"/>
    <w:rsid w:val="00D35D67"/>
    <w:rsid w:val="00D364AE"/>
    <w:rsid w:val="00D364B2"/>
    <w:rsid w:val="00D3663F"/>
    <w:rsid w:val="00D3667D"/>
    <w:rsid w:val="00D3670F"/>
    <w:rsid w:val="00D3694D"/>
    <w:rsid w:val="00D37461"/>
    <w:rsid w:val="00D37478"/>
    <w:rsid w:val="00D376BA"/>
    <w:rsid w:val="00D37A4E"/>
    <w:rsid w:val="00D37B0A"/>
    <w:rsid w:val="00D37D09"/>
    <w:rsid w:val="00D4018E"/>
    <w:rsid w:val="00D404E9"/>
    <w:rsid w:val="00D40B45"/>
    <w:rsid w:val="00D40F1D"/>
    <w:rsid w:val="00D41134"/>
    <w:rsid w:val="00D411FD"/>
    <w:rsid w:val="00D41481"/>
    <w:rsid w:val="00D417A0"/>
    <w:rsid w:val="00D41F95"/>
    <w:rsid w:val="00D421E9"/>
    <w:rsid w:val="00D43570"/>
    <w:rsid w:val="00D435A6"/>
    <w:rsid w:val="00D435BD"/>
    <w:rsid w:val="00D43DD7"/>
    <w:rsid w:val="00D4422E"/>
    <w:rsid w:val="00D4428E"/>
    <w:rsid w:val="00D44580"/>
    <w:rsid w:val="00D44C06"/>
    <w:rsid w:val="00D45634"/>
    <w:rsid w:val="00D457C7"/>
    <w:rsid w:val="00D45813"/>
    <w:rsid w:val="00D45BBC"/>
    <w:rsid w:val="00D464C4"/>
    <w:rsid w:val="00D46C83"/>
    <w:rsid w:val="00D46DE6"/>
    <w:rsid w:val="00D4704D"/>
    <w:rsid w:val="00D470C0"/>
    <w:rsid w:val="00D47525"/>
    <w:rsid w:val="00D475C8"/>
    <w:rsid w:val="00D4786B"/>
    <w:rsid w:val="00D47C0C"/>
    <w:rsid w:val="00D47CA1"/>
    <w:rsid w:val="00D47F59"/>
    <w:rsid w:val="00D50B97"/>
    <w:rsid w:val="00D50E4D"/>
    <w:rsid w:val="00D510A3"/>
    <w:rsid w:val="00D5128F"/>
    <w:rsid w:val="00D519EB"/>
    <w:rsid w:val="00D5214E"/>
    <w:rsid w:val="00D52550"/>
    <w:rsid w:val="00D52561"/>
    <w:rsid w:val="00D52783"/>
    <w:rsid w:val="00D52EAF"/>
    <w:rsid w:val="00D53ECB"/>
    <w:rsid w:val="00D54507"/>
    <w:rsid w:val="00D545B2"/>
    <w:rsid w:val="00D54750"/>
    <w:rsid w:val="00D54849"/>
    <w:rsid w:val="00D548B2"/>
    <w:rsid w:val="00D54C86"/>
    <w:rsid w:val="00D54D1B"/>
    <w:rsid w:val="00D54E17"/>
    <w:rsid w:val="00D555A2"/>
    <w:rsid w:val="00D5568A"/>
    <w:rsid w:val="00D557CD"/>
    <w:rsid w:val="00D55FB5"/>
    <w:rsid w:val="00D5626A"/>
    <w:rsid w:val="00D565E5"/>
    <w:rsid w:val="00D566DD"/>
    <w:rsid w:val="00D56781"/>
    <w:rsid w:val="00D5717F"/>
    <w:rsid w:val="00D57BCB"/>
    <w:rsid w:val="00D57ED0"/>
    <w:rsid w:val="00D6006D"/>
    <w:rsid w:val="00D6009B"/>
    <w:rsid w:val="00D60342"/>
    <w:rsid w:val="00D60E1B"/>
    <w:rsid w:val="00D61198"/>
    <w:rsid w:val="00D61AD0"/>
    <w:rsid w:val="00D629F5"/>
    <w:rsid w:val="00D629FF"/>
    <w:rsid w:val="00D62C31"/>
    <w:rsid w:val="00D62DE5"/>
    <w:rsid w:val="00D631DC"/>
    <w:rsid w:val="00D638F8"/>
    <w:rsid w:val="00D63D58"/>
    <w:rsid w:val="00D63D73"/>
    <w:rsid w:val="00D63D79"/>
    <w:rsid w:val="00D63DAF"/>
    <w:rsid w:val="00D63FB3"/>
    <w:rsid w:val="00D6413B"/>
    <w:rsid w:val="00D64452"/>
    <w:rsid w:val="00D645FE"/>
    <w:rsid w:val="00D646D7"/>
    <w:rsid w:val="00D64791"/>
    <w:rsid w:val="00D64CBD"/>
    <w:rsid w:val="00D64D4A"/>
    <w:rsid w:val="00D65219"/>
    <w:rsid w:val="00D65E5C"/>
    <w:rsid w:val="00D65FEB"/>
    <w:rsid w:val="00D6603B"/>
    <w:rsid w:val="00D666B7"/>
    <w:rsid w:val="00D66905"/>
    <w:rsid w:val="00D66D89"/>
    <w:rsid w:val="00D66E1E"/>
    <w:rsid w:val="00D67645"/>
    <w:rsid w:val="00D67A50"/>
    <w:rsid w:val="00D67C21"/>
    <w:rsid w:val="00D67DD2"/>
    <w:rsid w:val="00D701B0"/>
    <w:rsid w:val="00D703B2"/>
    <w:rsid w:val="00D70696"/>
    <w:rsid w:val="00D70E38"/>
    <w:rsid w:val="00D713DA"/>
    <w:rsid w:val="00D7191F"/>
    <w:rsid w:val="00D719F0"/>
    <w:rsid w:val="00D719F2"/>
    <w:rsid w:val="00D72235"/>
    <w:rsid w:val="00D7259D"/>
    <w:rsid w:val="00D72669"/>
    <w:rsid w:val="00D729EB"/>
    <w:rsid w:val="00D72BED"/>
    <w:rsid w:val="00D72DA9"/>
    <w:rsid w:val="00D72DAE"/>
    <w:rsid w:val="00D72EE1"/>
    <w:rsid w:val="00D73AD0"/>
    <w:rsid w:val="00D74124"/>
    <w:rsid w:val="00D742E8"/>
    <w:rsid w:val="00D7449D"/>
    <w:rsid w:val="00D75418"/>
    <w:rsid w:val="00D7565A"/>
    <w:rsid w:val="00D75722"/>
    <w:rsid w:val="00D757CA"/>
    <w:rsid w:val="00D759FE"/>
    <w:rsid w:val="00D75DBF"/>
    <w:rsid w:val="00D75F09"/>
    <w:rsid w:val="00D76120"/>
    <w:rsid w:val="00D76231"/>
    <w:rsid w:val="00D7623C"/>
    <w:rsid w:val="00D76321"/>
    <w:rsid w:val="00D76614"/>
    <w:rsid w:val="00D7667B"/>
    <w:rsid w:val="00D7683F"/>
    <w:rsid w:val="00D76942"/>
    <w:rsid w:val="00D76943"/>
    <w:rsid w:val="00D770AA"/>
    <w:rsid w:val="00D7713E"/>
    <w:rsid w:val="00D77538"/>
    <w:rsid w:val="00D7774E"/>
    <w:rsid w:val="00D807A9"/>
    <w:rsid w:val="00D80BDD"/>
    <w:rsid w:val="00D80CF5"/>
    <w:rsid w:val="00D80E7F"/>
    <w:rsid w:val="00D813C4"/>
    <w:rsid w:val="00D81451"/>
    <w:rsid w:val="00D8145B"/>
    <w:rsid w:val="00D81C80"/>
    <w:rsid w:val="00D81F75"/>
    <w:rsid w:val="00D8270C"/>
    <w:rsid w:val="00D828C5"/>
    <w:rsid w:val="00D82F6C"/>
    <w:rsid w:val="00D8329A"/>
    <w:rsid w:val="00D83390"/>
    <w:rsid w:val="00D83A1F"/>
    <w:rsid w:val="00D83DE8"/>
    <w:rsid w:val="00D841B3"/>
    <w:rsid w:val="00D847F3"/>
    <w:rsid w:val="00D848CE"/>
    <w:rsid w:val="00D84CD1"/>
    <w:rsid w:val="00D853CD"/>
    <w:rsid w:val="00D85CB6"/>
    <w:rsid w:val="00D85D9D"/>
    <w:rsid w:val="00D862B3"/>
    <w:rsid w:val="00D862EC"/>
    <w:rsid w:val="00D86760"/>
    <w:rsid w:val="00D86F99"/>
    <w:rsid w:val="00D870C3"/>
    <w:rsid w:val="00D872A0"/>
    <w:rsid w:val="00D8733A"/>
    <w:rsid w:val="00D8746B"/>
    <w:rsid w:val="00D87EC3"/>
    <w:rsid w:val="00D90113"/>
    <w:rsid w:val="00D9041B"/>
    <w:rsid w:val="00D904CD"/>
    <w:rsid w:val="00D90F88"/>
    <w:rsid w:val="00D91020"/>
    <w:rsid w:val="00D91436"/>
    <w:rsid w:val="00D91F5E"/>
    <w:rsid w:val="00D92034"/>
    <w:rsid w:val="00D920D9"/>
    <w:rsid w:val="00D9284A"/>
    <w:rsid w:val="00D92914"/>
    <w:rsid w:val="00D92990"/>
    <w:rsid w:val="00D92C04"/>
    <w:rsid w:val="00D92D2E"/>
    <w:rsid w:val="00D93070"/>
    <w:rsid w:val="00D93E3E"/>
    <w:rsid w:val="00D946B0"/>
    <w:rsid w:val="00D94CA5"/>
    <w:rsid w:val="00D953C2"/>
    <w:rsid w:val="00D9559C"/>
    <w:rsid w:val="00D95E87"/>
    <w:rsid w:val="00D96E8A"/>
    <w:rsid w:val="00D97034"/>
    <w:rsid w:val="00D971BE"/>
    <w:rsid w:val="00D97479"/>
    <w:rsid w:val="00D97A41"/>
    <w:rsid w:val="00DA00CF"/>
    <w:rsid w:val="00DA0C0A"/>
    <w:rsid w:val="00DA0D44"/>
    <w:rsid w:val="00DA0D62"/>
    <w:rsid w:val="00DA14E7"/>
    <w:rsid w:val="00DA1981"/>
    <w:rsid w:val="00DA1BD3"/>
    <w:rsid w:val="00DA2613"/>
    <w:rsid w:val="00DA2BAE"/>
    <w:rsid w:val="00DA2E5D"/>
    <w:rsid w:val="00DA3125"/>
    <w:rsid w:val="00DA34DE"/>
    <w:rsid w:val="00DA3754"/>
    <w:rsid w:val="00DA3878"/>
    <w:rsid w:val="00DA3917"/>
    <w:rsid w:val="00DA39A8"/>
    <w:rsid w:val="00DA3EB4"/>
    <w:rsid w:val="00DA3FFA"/>
    <w:rsid w:val="00DA4043"/>
    <w:rsid w:val="00DA4340"/>
    <w:rsid w:val="00DA48A9"/>
    <w:rsid w:val="00DA4BC5"/>
    <w:rsid w:val="00DA51CF"/>
    <w:rsid w:val="00DA548B"/>
    <w:rsid w:val="00DA57A7"/>
    <w:rsid w:val="00DA583E"/>
    <w:rsid w:val="00DA5B8F"/>
    <w:rsid w:val="00DA5BBA"/>
    <w:rsid w:val="00DA5DE1"/>
    <w:rsid w:val="00DA5FDE"/>
    <w:rsid w:val="00DA668D"/>
    <w:rsid w:val="00DA67A4"/>
    <w:rsid w:val="00DA69FD"/>
    <w:rsid w:val="00DA6B6E"/>
    <w:rsid w:val="00DA6CAE"/>
    <w:rsid w:val="00DA6D87"/>
    <w:rsid w:val="00DA6DE3"/>
    <w:rsid w:val="00DA704A"/>
    <w:rsid w:val="00DA758C"/>
    <w:rsid w:val="00DA7889"/>
    <w:rsid w:val="00DA7C29"/>
    <w:rsid w:val="00DA7FDE"/>
    <w:rsid w:val="00DB0480"/>
    <w:rsid w:val="00DB04FB"/>
    <w:rsid w:val="00DB0598"/>
    <w:rsid w:val="00DB0774"/>
    <w:rsid w:val="00DB1076"/>
    <w:rsid w:val="00DB1472"/>
    <w:rsid w:val="00DB14CC"/>
    <w:rsid w:val="00DB1BCE"/>
    <w:rsid w:val="00DB1F60"/>
    <w:rsid w:val="00DB26D2"/>
    <w:rsid w:val="00DB2A5A"/>
    <w:rsid w:val="00DB2A8D"/>
    <w:rsid w:val="00DB2AE0"/>
    <w:rsid w:val="00DB3201"/>
    <w:rsid w:val="00DB355E"/>
    <w:rsid w:val="00DB3B7B"/>
    <w:rsid w:val="00DB3D75"/>
    <w:rsid w:val="00DB40EE"/>
    <w:rsid w:val="00DB45E9"/>
    <w:rsid w:val="00DB4765"/>
    <w:rsid w:val="00DB5402"/>
    <w:rsid w:val="00DB572F"/>
    <w:rsid w:val="00DB5F25"/>
    <w:rsid w:val="00DB60A6"/>
    <w:rsid w:val="00DB62B4"/>
    <w:rsid w:val="00DB62E3"/>
    <w:rsid w:val="00DB6375"/>
    <w:rsid w:val="00DB6408"/>
    <w:rsid w:val="00DB67C9"/>
    <w:rsid w:val="00DB6807"/>
    <w:rsid w:val="00DB6BA0"/>
    <w:rsid w:val="00DB6EA2"/>
    <w:rsid w:val="00DB751A"/>
    <w:rsid w:val="00DB79CD"/>
    <w:rsid w:val="00DB7A0E"/>
    <w:rsid w:val="00DB7A41"/>
    <w:rsid w:val="00DB7BDD"/>
    <w:rsid w:val="00DC03EC"/>
    <w:rsid w:val="00DC06AC"/>
    <w:rsid w:val="00DC0C95"/>
    <w:rsid w:val="00DC1028"/>
    <w:rsid w:val="00DC14FF"/>
    <w:rsid w:val="00DC16F2"/>
    <w:rsid w:val="00DC1BC9"/>
    <w:rsid w:val="00DC20C3"/>
    <w:rsid w:val="00DC2182"/>
    <w:rsid w:val="00DC246B"/>
    <w:rsid w:val="00DC2663"/>
    <w:rsid w:val="00DC298F"/>
    <w:rsid w:val="00DC29EA"/>
    <w:rsid w:val="00DC2C7F"/>
    <w:rsid w:val="00DC2E7C"/>
    <w:rsid w:val="00DC32B1"/>
    <w:rsid w:val="00DC337F"/>
    <w:rsid w:val="00DC35D2"/>
    <w:rsid w:val="00DC35F1"/>
    <w:rsid w:val="00DC3605"/>
    <w:rsid w:val="00DC3A5B"/>
    <w:rsid w:val="00DC4047"/>
    <w:rsid w:val="00DC40BA"/>
    <w:rsid w:val="00DC40F2"/>
    <w:rsid w:val="00DC4353"/>
    <w:rsid w:val="00DC4533"/>
    <w:rsid w:val="00DC456A"/>
    <w:rsid w:val="00DC4633"/>
    <w:rsid w:val="00DC4928"/>
    <w:rsid w:val="00DC5213"/>
    <w:rsid w:val="00DC5316"/>
    <w:rsid w:val="00DC55B2"/>
    <w:rsid w:val="00DC5673"/>
    <w:rsid w:val="00DC5A4E"/>
    <w:rsid w:val="00DC5F64"/>
    <w:rsid w:val="00DC657B"/>
    <w:rsid w:val="00DC6899"/>
    <w:rsid w:val="00DC68F2"/>
    <w:rsid w:val="00DC6A5E"/>
    <w:rsid w:val="00DC710E"/>
    <w:rsid w:val="00DC765B"/>
    <w:rsid w:val="00DC7750"/>
    <w:rsid w:val="00DC7B51"/>
    <w:rsid w:val="00DC7CA5"/>
    <w:rsid w:val="00DC7CBD"/>
    <w:rsid w:val="00DC7CEA"/>
    <w:rsid w:val="00DC7E0E"/>
    <w:rsid w:val="00DC7E69"/>
    <w:rsid w:val="00DD084A"/>
    <w:rsid w:val="00DD0B40"/>
    <w:rsid w:val="00DD0CCC"/>
    <w:rsid w:val="00DD0EFC"/>
    <w:rsid w:val="00DD122B"/>
    <w:rsid w:val="00DD146D"/>
    <w:rsid w:val="00DD14DA"/>
    <w:rsid w:val="00DD19A6"/>
    <w:rsid w:val="00DD1B1B"/>
    <w:rsid w:val="00DD2EF3"/>
    <w:rsid w:val="00DD3371"/>
    <w:rsid w:val="00DD37F3"/>
    <w:rsid w:val="00DD4705"/>
    <w:rsid w:val="00DD48C4"/>
    <w:rsid w:val="00DD49F0"/>
    <w:rsid w:val="00DD56AA"/>
    <w:rsid w:val="00DD588B"/>
    <w:rsid w:val="00DD5AB7"/>
    <w:rsid w:val="00DD5D1C"/>
    <w:rsid w:val="00DD5FB2"/>
    <w:rsid w:val="00DD5FDA"/>
    <w:rsid w:val="00DD60E9"/>
    <w:rsid w:val="00DD6210"/>
    <w:rsid w:val="00DD6580"/>
    <w:rsid w:val="00DD6BA4"/>
    <w:rsid w:val="00DD6EF5"/>
    <w:rsid w:val="00DD6F3C"/>
    <w:rsid w:val="00DD6F73"/>
    <w:rsid w:val="00DD7C82"/>
    <w:rsid w:val="00DD7F26"/>
    <w:rsid w:val="00DE08E4"/>
    <w:rsid w:val="00DE1CDB"/>
    <w:rsid w:val="00DE1E3E"/>
    <w:rsid w:val="00DE2106"/>
    <w:rsid w:val="00DE22E1"/>
    <w:rsid w:val="00DE2358"/>
    <w:rsid w:val="00DE27BD"/>
    <w:rsid w:val="00DE2881"/>
    <w:rsid w:val="00DE2986"/>
    <w:rsid w:val="00DE2B48"/>
    <w:rsid w:val="00DE33F3"/>
    <w:rsid w:val="00DE36BD"/>
    <w:rsid w:val="00DE401C"/>
    <w:rsid w:val="00DE49F8"/>
    <w:rsid w:val="00DE4B22"/>
    <w:rsid w:val="00DE4EB5"/>
    <w:rsid w:val="00DE514F"/>
    <w:rsid w:val="00DE5877"/>
    <w:rsid w:val="00DE5D29"/>
    <w:rsid w:val="00DE6D7D"/>
    <w:rsid w:val="00DE6F6C"/>
    <w:rsid w:val="00DE7C5C"/>
    <w:rsid w:val="00DE7D66"/>
    <w:rsid w:val="00DF05E3"/>
    <w:rsid w:val="00DF093D"/>
    <w:rsid w:val="00DF0C0D"/>
    <w:rsid w:val="00DF0CB2"/>
    <w:rsid w:val="00DF1730"/>
    <w:rsid w:val="00DF1970"/>
    <w:rsid w:val="00DF224D"/>
    <w:rsid w:val="00DF23EB"/>
    <w:rsid w:val="00DF252C"/>
    <w:rsid w:val="00DF2877"/>
    <w:rsid w:val="00DF28FA"/>
    <w:rsid w:val="00DF3437"/>
    <w:rsid w:val="00DF3504"/>
    <w:rsid w:val="00DF3673"/>
    <w:rsid w:val="00DF3FEC"/>
    <w:rsid w:val="00DF45F0"/>
    <w:rsid w:val="00DF4790"/>
    <w:rsid w:val="00DF4D5F"/>
    <w:rsid w:val="00DF4E38"/>
    <w:rsid w:val="00DF4E3E"/>
    <w:rsid w:val="00DF4E7F"/>
    <w:rsid w:val="00DF4F4C"/>
    <w:rsid w:val="00DF50E7"/>
    <w:rsid w:val="00DF56BF"/>
    <w:rsid w:val="00DF58BF"/>
    <w:rsid w:val="00DF5FCC"/>
    <w:rsid w:val="00DF61D2"/>
    <w:rsid w:val="00DF61F2"/>
    <w:rsid w:val="00DF6872"/>
    <w:rsid w:val="00DF6E65"/>
    <w:rsid w:val="00DF7604"/>
    <w:rsid w:val="00DF7D6A"/>
    <w:rsid w:val="00E002EC"/>
    <w:rsid w:val="00E00B4C"/>
    <w:rsid w:val="00E00B7B"/>
    <w:rsid w:val="00E00D08"/>
    <w:rsid w:val="00E011FB"/>
    <w:rsid w:val="00E0190E"/>
    <w:rsid w:val="00E01AB5"/>
    <w:rsid w:val="00E01AC1"/>
    <w:rsid w:val="00E01D14"/>
    <w:rsid w:val="00E01D7F"/>
    <w:rsid w:val="00E01EBD"/>
    <w:rsid w:val="00E01FD1"/>
    <w:rsid w:val="00E021C1"/>
    <w:rsid w:val="00E025CD"/>
    <w:rsid w:val="00E028EE"/>
    <w:rsid w:val="00E02DEF"/>
    <w:rsid w:val="00E02F3A"/>
    <w:rsid w:val="00E03102"/>
    <w:rsid w:val="00E03182"/>
    <w:rsid w:val="00E033C4"/>
    <w:rsid w:val="00E033F8"/>
    <w:rsid w:val="00E03E28"/>
    <w:rsid w:val="00E03F92"/>
    <w:rsid w:val="00E04320"/>
    <w:rsid w:val="00E04816"/>
    <w:rsid w:val="00E05012"/>
    <w:rsid w:val="00E05958"/>
    <w:rsid w:val="00E0618E"/>
    <w:rsid w:val="00E078CE"/>
    <w:rsid w:val="00E07BB2"/>
    <w:rsid w:val="00E100F1"/>
    <w:rsid w:val="00E10984"/>
    <w:rsid w:val="00E10A25"/>
    <w:rsid w:val="00E10BD5"/>
    <w:rsid w:val="00E112CA"/>
    <w:rsid w:val="00E11539"/>
    <w:rsid w:val="00E1182A"/>
    <w:rsid w:val="00E11A54"/>
    <w:rsid w:val="00E11CAB"/>
    <w:rsid w:val="00E11FF6"/>
    <w:rsid w:val="00E120C7"/>
    <w:rsid w:val="00E1232C"/>
    <w:rsid w:val="00E123B7"/>
    <w:rsid w:val="00E125A4"/>
    <w:rsid w:val="00E125A5"/>
    <w:rsid w:val="00E131BF"/>
    <w:rsid w:val="00E133D0"/>
    <w:rsid w:val="00E133F7"/>
    <w:rsid w:val="00E13585"/>
    <w:rsid w:val="00E1359D"/>
    <w:rsid w:val="00E13AA8"/>
    <w:rsid w:val="00E13BF0"/>
    <w:rsid w:val="00E13E8F"/>
    <w:rsid w:val="00E1451B"/>
    <w:rsid w:val="00E148A6"/>
    <w:rsid w:val="00E14A35"/>
    <w:rsid w:val="00E14A98"/>
    <w:rsid w:val="00E14B69"/>
    <w:rsid w:val="00E14D0A"/>
    <w:rsid w:val="00E14F03"/>
    <w:rsid w:val="00E1503F"/>
    <w:rsid w:val="00E15139"/>
    <w:rsid w:val="00E16190"/>
    <w:rsid w:val="00E1657C"/>
    <w:rsid w:val="00E16727"/>
    <w:rsid w:val="00E169E7"/>
    <w:rsid w:val="00E16AA9"/>
    <w:rsid w:val="00E16EB7"/>
    <w:rsid w:val="00E17144"/>
    <w:rsid w:val="00E171F1"/>
    <w:rsid w:val="00E17261"/>
    <w:rsid w:val="00E172B5"/>
    <w:rsid w:val="00E177A9"/>
    <w:rsid w:val="00E17830"/>
    <w:rsid w:val="00E17A83"/>
    <w:rsid w:val="00E17C72"/>
    <w:rsid w:val="00E204B1"/>
    <w:rsid w:val="00E204E0"/>
    <w:rsid w:val="00E20C88"/>
    <w:rsid w:val="00E2122E"/>
    <w:rsid w:val="00E2125C"/>
    <w:rsid w:val="00E2127D"/>
    <w:rsid w:val="00E21FC6"/>
    <w:rsid w:val="00E2201D"/>
    <w:rsid w:val="00E2253C"/>
    <w:rsid w:val="00E22A5A"/>
    <w:rsid w:val="00E22F2E"/>
    <w:rsid w:val="00E22F6C"/>
    <w:rsid w:val="00E2305E"/>
    <w:rsid w:val="00E231B4"/>
    <w:rsid w:val="00E23FE4"/>
    <w:rsid w:val="00E24120"/>
    <w:rsid w:val="00E24260"/>
    <w:rsid w:val="00E244A2"/>
    <w:rsid w:val="00E245C1"/>
    <w:rsid w:val="00E249B7"/>
    <w:rsid w:val="00E2500F"/>
    <w:rsid w:val="00E251AE"/>
    <w:rsid w:val="00E25335"/>
    <w:rsid w:val="00E25FBB"/>
    <w:rsid w:val="00E2662B"/>
    <w:rsid w:val="00E2664E"/>
    <w:rsid w:val="00E266FC"/>
    <w:rsid w:val="00E269AF"/>
    <w:rsid w:val="00E27091"/>
    <w:rsid w:val="00E2710D"/>
    <w:rsid w:val="00E27437"/>
    <w:rsid w:val="00E27B1C"/>
    <w:rsid w:val="00E301A0"/>
    <w:rsid w:val="00E3021B"/>
    <w:rsid w:val="00E318E5"/>
    <w:rsid w:val="00E31AB0"/>
    <w:rsid w:val="00E31BD9"/>
    <w:rsid w:val="00E324F3"/>
    <w:rsid w:val="00E329AB"/>
    <w:rsid w:val="00E340BE"/>
    <w:rsid w:val="00E344BF"/>
    <w:rsid w:val="00E34CCA"/>
    <w:rsid w:val="00E34F63"/>
    <w:rsid w:val="00E34FAD"/>
    <w:rsid w:val="00E35169"/>
    <w:rsid w:val="00E35292"/>
    <w:rsid w:val="00E35564"/>
    <w:rsid w:val="00E35590"/>
    <w:rsid w:val="00E35670"/>
    <w:rsid w:val="00E35746"/>
    <w:rsid w:val="00E35F65"/>
    <w:rsid w:val="00E3600F"/>
    <w:rsid w:val="00E36BEB"/>
    <w:rsid w:val="00E371CD"/>
    <w:rsid w:val="00E371E6"/>
    <w:rsid w:val="00E37277"/>
    <w:rsid w:val="00E375D3"/>
    <w:rsid w:val="00E37949"/>
    <w:rsid w:val="00E37A01"/>
    <w:rsid w:val="00E37B88"/>
    <w:rsid w:val="00E37F84"/>
    <w:rsid w:val="00E400E6"/>
    <w:rsid w:val="00E4013E"/>
    <w:rsid w:val="00E4025F"/>
    <w:rsid w:val="00E40400"/>
    <w:rsid w:val="00E40973"/>
    <w:rsid w:val="00E409FD"/>
    <w:rsid w:val="00E40B5E"/>
    <w:rsid w:val="00E40B71"/>
    <w:rsid w:val="00E40CC8"/>
    <w:rsid w:val="00E40F74"/>
    <w:rsid w:val="00E40F96"/>
    <w:rsid w:val="00E41281"/>
    <w:rsid w:val="00E41866"/>
    <w:rsid w:val="00E41897"/>
    <w:rsid w:val="00E419EE"/>
    <w:rsid w:val="00E41A34"/>
    <w:rsid w:val="00E41C0B"/>
    <w:rsid w:val="00E41C7F"/>
    <w:rsid w:val="00E42109"/>
    <w:rsid w:val="00E42230"/>
    <w:rsid w:val="00E426BE"/>
    <w:rsid w:val="00E42B0D"/>
    <w:rsid w:val="00E42F4C"/>
    <w:rsid w:val="00E42F70"/>
    <w:rsid w:val="00E4311F"/>
    <w:rsid w:val="00E431A9"/>
    <w:rsid w:val="00E431DB"/>
    <w:rsid w:val="00E436BC"/>
    <w:rsid w:val="00E437A1"/>
    <w:rsid w:val="00E43A85"/>
    <w:rsid w:val="00E43E55"/>
    <w:rsid w:val="00E44867"/>
    <w:rsid w:val="00E44AC7"/>
    <w:rsid w:val="00E454B4"/>
    <w:rsid w:val="00E45668"/>
    <w:rsid w:val="00E45760"/>
    <w:rsid w:val="00E4593D"/>
    <w:rsid w:val="00E45992"/>
    <w:rsid w:val="00E4608A"/>
    <w:rsid w:val="00E4614B"/>
    <w:rsid w:val="00E46719"/>
    <w:rsid w:val="00E46CAD"/>
    <w:rsid w:val="00E46E46"/>
    <w:rsid w:val="00E472AC"/>
    <w:rsid w:val="00E47900"/>
    <w:rsid w:val="00E47CA0"/>
    <w:rsid w:val="00E47D81"/>
    <w:rsid w:val="00E501E2"/>
    <w:rsid w:val="00E50733"/>
    <w:rsid w:val="00E50F26"/>
    <w:rsid w:val="00E513B8"/>
    <w:rsid w:val="00E514D2"/>
    <w:rsid w:val="00E515AA"/>
    <w:rsid w:val="00E51765"/>
    <w:rsid w:val="00E51D6C"/>
    <w:rsid w:val="00E5207B"/>
    <w:rsid w:val="00E52243"/>
    <w:rsid w:val="00E52371"/>
    <w:rsid w:val="00E523A1"/>
    <w:rsid w:val="00E52586"/>
    <w:rsid w:val="00E528F9"/>
    <w:rsid w:val="00E5294E"/>
    <w:rsid w:val="00E52B70"/>
    <w:rsid w:val="00E52C05"/>
    <w:rsid w:val="00E52C1B"/>
    <w:rsid w:val="00E53966"/>
    <w:rsid w:val="00E53B64"/>
    <w:rsid w:val="00E53FC3"/>
    <w:rsid w:val="00E54D83"/>
    <w:rsid w:val="00E54EAA"/>
    <w:rsid w:val="00E54F32"/>
    <w:rsid w:val="00E55282"/>
    <w:rsid w:val="00E5551B"/>
    <w:rsid w:val="00E55F32"/>
    <w:rsid w:val="00E5613B"/>
    <w:rsid w:val="00E5629B"/>
    <w:rsid w:val="00E572BE"/>
    <w:rsid w:val="00E57DFE"/>
    <w:rsid w:val="00E57FD9"/>
    <w:rsid w:val="00E6006F"/>
    <w:rsid w:val="00E60EF9"/>
    <w:rsid w:val="00E61063"/>
    <w:rsid w:val="00E61250"/>
    <w:rsid w:val="00E62422"/>
    <w:rsid w:val="00E62881"/>
    <w:rsid w:val="00E62E84"/>
    <w:rsid w:val="00E632E2"/>
    <w:rsid w:val="00E63CFC"/>
    <w:rsid w:val="00E63D98"/>
    <w:rsid w:val="00E63F97"/>
    <w:rsid w:val="00E6409C"/>
    <w:rsid w:val="00E6449A"/>
    <w:rsid w:val="00E64CB5"/>
    <w:rsid w:val="00E64F32"/>
    <w:rsid w:val="00E64FA0"/>
    <w:rsid w:val="00E6556C"/>
    <w:rsid w:val="00E6608D"/>
    <w:rsid w:val="00E66234"/>
    <w:rsid w:val="00E66240"/>
    <w:rsid w:val="00E6666B"/>
    <w:rsid w:val="00E666C9"/>
    <w:rsid w:val="00E66858"/>
    <w:rsid w:val="00E6697F"/>
    <w:rsid w:val="00E669E2"/>
    <w:rsid w:val="00E670AC"/>
    <w:rsid w:val="00E6716F"/>
    <w:rsid w:val="00E673C3"/>
    <w:rsid w:val="00E6796F"/>
    <w:rsid w:val="00E67A0D"/>
    <w:rsid w:val="00E67C27"/>
    <w:rsid w:val="00E70730"/>
    <w:rsid w:val="00E70A50"/>
    <w:rsid w:val="00E70B4B"/>
    <w:rsid w:val="00E70E72"/>
    <w:rsid w:val="00E7104E"/>
    <w:rsid w:val="00E71466"/>
    <w:rsid w:val="00E715F6"/>
    <w:rsid w:val="00E7174B"/>
    <w:rsid w:val="00E717AD"/>
    <w:rsid w:val="00E71E09"/>
    <w:rsid w:val="00E71F7F"/>
    <w:rsid w:val="00E7203A"/>
    <w:rsid w:val="00E720CF"/>
    <w:rsid w:val="00E723F7"/>
    <w:rsid w:val="00E727AA"/>
    <w:rsid w:val="00E72AC3"/>
    <w:rsid w:val="00E72C36"/>
    <w:rsid w:val="00E72FB2"/>
    <w:rsid w:val="00E7383B"/>
    <w:rsid w:val="00E738B8"/>
    <w:rsid w:val="00E73908"/>
    <w:rsid w:val="00E73BB0"/>
    <w:rsid w:val="00E73D2C"/>
    <w:rsid w:val="00E742B3"/>
    <w:rsid w:val="00E742BE"/>
    <w:rsid w:val="00E74583"/>
    <w:rsid w:val="00E74CF7"/>
    <w:rsid w:val="00E754AA"/>
    <w:rsid w:val="00E7573F"/>
    <w:rsid w:val="00E75A46"/>
    <w:rsid w:val="00E75A49"/>
    <w:rsid w:val="00E75A53"/>
    <w:rsid w:val="00E75E85"/>
    <w:rsid w:val="00E7607D"/>
    <w:rsid w:val="00E76135"/>
    <w:rsid w:val="00E76574"/>
    <w:rsid w:val="00E76938"/>
    <w:rsid w:val="00E76C6E"/>
    <w:rsid w:val="00E76E5E"/>
    <w:rsid w:val="00E77D65"/>
    <w:rsid w:val="00E77E68"/>
    <w:rsid w:val="00E804BB"/>
    <w:rsid w:val="00E80753"/>
    <w:rsid w:val="00E807AB"/>
    <w:rsid w:val="00E80CF5"/>
    <w:rsid w:val="00E80EFF"/>
    <w:rsid w:val="00E8122B"/>
    <w:rsid w:val="00E8128D"/>
    <w:rsid w:val="00E81442"/>
    <w:rsid w:val="00E81B29"/>
    <w:rsid w:val="00E81B41"/>
    <w:rsid w:val="00E81BA1"/>
    <w:rsid w:val="00E81CD9"/>
    <w:rsid w:val="00E82186"/>
    <w:rsid w:val="00E8269E"/>
    <w:rsid w:val="00E827A6"/>
    <w:rsid w:val="00E827B3"/>
    <w:rsid w:val="00E827E5"/>
    <w:rsid w:val="00E82C9F"/>
    <w:rsid w:val="00E82F4F"/>
    <w:rsid w:val="00E83155"/>
    <w:rsid w:val="00E83700"/>
    <w:rsid w:val="00E8392A"/>
    <w:rsid w:val="00E83F58"/>
    <w:rsid w:val="00E8478F"/>
    <w:rsid w:val="00E84C33"/>
    <w:rsid w:val="00E84E5A"/>
    <w:rsid w:val="00E85579"/>
    <w:rsid w:val="00E85599"/>
    <w:rsid w:val="00E85EE2"/>
    <w:rsid w:val="00E85FA5"/>
    <w:rsid w:val="00E862DF"/>
    <w:rsid w:val="00E864DF"/>
    <w:rsid w:val="00E865D3"/>
    <w:rsid w:val="00E86677"/>
    <w:rsid w:val="00E86AE1"/>
    <w:rsid w:val="00E86D27"/>
    <w:rsid w:val="00E870ED"/>
    <w:rsid w:val="00E87220"/>
    <w:rsid w:val="00E8729E"/>
    <w:rsid w:val="00E873DB"/>
    <w:rsid w:val="00E87450"/>
    <w:rsid w:val="00E8755D"/>
    <w:rsid w:val="00E8774B"/>
    <w:rsid w:val="00E878B8"/>
    <w:rsid w:val="00E87C9A"/>
    <w:rsid w:val="00E905A6"/>
    <w:rsid w:val="00E90628"/>
    <w:rsid w:val="00E90FD1"/>
    <w:rsid w:val="00E912E9"/>
    <w:rsid w:val="00E91369"/>
    <w:rsid w:val="00E914E6"/>
    <w:rsid w:val="00E916C3"/>
    <w:rsid w:val="00E91924"/>
    <w:rsid w:val="00E91C19"/>
    <w:rsid w:val="00E91E04"/>
    <w:rsid w:val="00E926B3"/>
    <w:rsid w:val="00E929FA"/>
    <w:rsid w:val="00E92A47"/>
    <w:rsid w:val="00E92D04"/>
    <w:rsid w:val="00E938E6"/>
    <w:rsid w:val="00E93961"/>
    <w:rsid w:val="00E93A0F"/>
    <w:rsid w:val="00E94B70"/>
    <w:rsid w:val="00E94EED"/>
    <w:rsid w:val="00E94FA6"/>
    <w:rsid w:val="00E954DB"/>
    <w:rsid w:val="00E9578E"/>
    <w:rsid w:val="00E95A86"/>
    <w:rsid w:val="00E95D31"/>
    <w:rsid w:val="00E963AA"/>
    <w:rsid w:val="00E96BAD"/>
    <w:rsid w:val="00E975AC"/>
    <w:rsid w:val="00E97639"/>
    <w:rsid w:val="00E9763E"/>
    <w:rsid w:val="00E978DD"/>
    <w:rsid w:val="00E97D56"/>
    <w:rsid w:val="00EA0725"/>
    <w:rsid w:val="00EA0A08"/>
    <w:rsid w:val="00EA0B82"/>
    <w:rsid w:val="00EA0CEC"/>
    <w:rsid w:val="00EA107A"/>
    <w:rsid w:val="00EA14B3"/>
    <w:rsid w:val="00EA153C"/>
    <w:rsid w:val="00EA1554"/>
    <w:rsid w:val="00EA1833"/>
    <w:rsid w:val="00EA1A27"/>
    <w:rsid w:val="00EA1C3C"/>
    <w:rsid w:val="00EA20A7"/>
    <w:rsid w:val="00EA2195"/>
    <w:rsid w:val="00EA25BF"/>
    <w:rsid w:val="00EA2658"/>
    <w:rsid w:val="00EA2C82"/>
    <w:rsid w:val="00EA2CBA"/>
    <w:rsid w:val="00EA2EB2"/>
    <w:rsid w:val="00EA2ECF"/>
    <w:rsid w:val="00EA324B"/>
    <w:rsid w:val="00EA34F2"/>
    <w:rsid w:val="00EA3595"/>
    <w:rsid w:val="00EA3910"/>
    <w:rsid w:val="00EA3B45"/>
    <w:rsid w:val="00EA3F15"/>
    <w:rsid w:val="00EA47C5"/>
    <w:rsid w:val="00EA4F07"/>
    <w:rsid w:val="00EA4FE0"/>
    <w:rsid w:val="00EA55B7"/>
    <w:rsid w:val="00EA5B82"/>
    <w:rsid w:val="00EA63A4"/>
    <w:rsid w:val="00EA6621"/>
    <w:rsid w:val="00EA6A0F"/>
    <w:rsid w:val="00EA772B"/>
    <w:rsid w:val="00EA7B79"/>
    <w:rsid w:val="00EA7C41"/>
    <w:rsid w:val="00EA7D6C"/>
    <w:rsid w:val="00EA7F52"/>
    <w:rsid w:val="00EA7FAE"/>
    <w:rsid w:val="00EB02A5"/>
    <w:rsid w:val="00EB0508"/>
    <w:rsid w:val="00EB061C"/>
    <w:rsid w:val="00EB0645"/>
    <w:rsid w:val="00EB0A37"/>
    <w:rsid w:val="00EB0A59"/>
    <w:rsid w:val="00EB0D54"/>
    <w:rsid w:val="00EB0D9B"/>
    <w:rsid w:val="00EB0E35"/>
    <w:rsid w:val="00EB0FB3"/>
    <w:rsid w:val="00EB12AD"/>
    <w:rsid w:val="00EB17F0"/>
    <w:rsid w:val="00EB186E"/>
    <w:rsid w:val="00EB1C50"/>
    <w:rsid w:val="00EB1E8E"/>
    <w:rsid w:val="00EB20A0"/>
    <w:rsid w:val="00EB24F3"/>
    <w:rsid w:val="00EB2506"/>
    <w:rsid w:val="00EB31DD"/>
    <w:rsid w:val="00EB3B8C"/>
    <w:rsid w:val="00EB4539"/>
    <w:rsid w:val="00EB45E3"/>
    <w:rsid w:val="00EB480E"/>
    <w:rsid w:val="00EB48A2"/>
    <w:rsid w:val="00EB48E2"/>
    <w:rsid w:val="00EB4CEA"/>
    <w:rsid w:val="00EB4E3E"/>
    <w:rsid w:val="00EB5048"/>
    <w:rsid w:val="00EB50B1"/>
    <w:rsid w:val="00EB561B"/>
    <w:rsid w:val="00EB582D"/>
    <w:rsid w:val="00EB5BA6"/>
    <w:rsid w:val="00EB5CDD"/>
    <w:rsid w:val="00EB5D1B"/>
    <w:rsid w:val="00EB6684"/>
    <w:rsid w:val="00EB66DE"/>
    <w:rsid w:val="00EB680E"/>
    <w:rsid w:val="00EB6874"/>
    <w:rsid w:val="00EB6914"/>
    <w:rsid w:val="00EB6E6A"/>
    <w:rsid w:val="00EB6FFF"/>
    <w:rsid w:val="00EB7E33"/>
    <w:rsid w:val="00EB7E85"/>
    <w:rsid w:val="00EC0112"/>
    <w:rsid w:val="00EC09BE"/>
    <w:rsid w:val="00EC0A05"/>
    <w:rsid w:val="00EC18BD"/>
    <w:rsid w:val="00EC1A71"/>
    <w:rsid w:val="00EC1BE4"/>
    <w:rsid w:val="00EC1D6C"/>
    <w:rsid w:val="00EC1DE1"/>
    <w:rsid w:val="00EC1E46"/>
    <w:rsid w:val="00EC2119"/>
    <w:rsid w:val="00EC241D"/>
    <w:rsid w:val="00EC2844"/>
    <w:rsid w:val="00EC2889"/>
    <w:rsid w:val="00EC2D3B"/>
    <w:rsid w:val="00EC3002"/>
    <w:rsid w:val="00EC339E"/>
    <w:rsid w:val="00EC35E6"/>
    <w:rsid w:val="00EC363B"/>
    <w:rsid w:val="00EC3944"/>
    <w:rsid w:val="00EC3B5F"/>
    <w:rsid w:val="00EC3D30"/>
    <w:rsid w:val="00EC4097"/>
    <w:rsid w:val="00EC4713"/>
    <w:rsid w:val="00EC4D83"/>
    <w:rsid w:val="00EC5500"/>
    <w:rsid w:val="00EC5682"/>
    <w:rsid w:val="00EC5DDA"/>
    <w:rsid w:val="00EC64F2"/>
    <w:rsid w:val="00EC661A"/>
    <w:rsid w:val="00EC6722"/>
    <w:rsid w:val="00EC687C"/>
    <w:rsid w:val="00EC6C3E"/>
    <w:rsid w:val="00EC6F27"/>
    <w:rsid w:val="00EC705F"/>
    <w:rsid w:val="00EC7319"/>
    <w:rsid w:val="00EC7689"/>
    <w:rsid w:val="00EC7854"/>
    <w:rsid w:val="00ED0278"/>
    <w:rsid w:val="00ED0DDE"/>
    <w:rsid w:val="00ED1174"/>
    <w:rsid w:val="00ED18F8"/>
    <w:rsid w:val="00ED1964"/>
    <w:rsid w:val="00ED1B23"/>
    <w:rsid w:val="00ED1BC7"/>
    <w:rsid w:val="00ED1C46"/>
    <w:rsid w:val="00ED21A8"/>
    <w:rsid w:val="00ED2323"/>
    <w:rsid w:val="00ED2AF9"/>
    <w:rsid w:val="00ED2BB0"/>
    <w:rsid w:val="00ED2CE0"/>
    <w:rsid w:val="00ED2F11"/>
    <w:rsid w:val="00ED33F5"/>
    <w:rsid w:val="00ED34D7"/>
    <w:rsid w:val="00ED34DE"/>
    <w:rsid w:val="00ED35E7"/>
    <w:rsid w:val="00ED36BA"/>
    <w:rsid w:val="00ED3B09"/>
    <w:rsid w:val="00ED3C95"/>
    <w:rsid w:val="00ED3E6A"/>
    <w:rsid w:val="00ED4683"/>
    <w:rsid w:val="00ED50AD"/>
    <w:rsid w:val="00ED67B6"/>
    <w:rsid w:val="00ED687A"/>
    <w:rsid w:val="00ED69A7"/>
    <w:rsid w:val="00ED6B3F"/>
    <w:rsid w:val="00ED7044"/>
    <w:rsid w:val="00ED7CBD"/>
    <w:rsid w:val="00ED7ED7"/>
    <w:rsid w:val="00EE0866"/>
    <w:rsid w:val="00EE09E2"/>
    <w:rsid w:val="00EE0BAB"/>
    <w:rsid w:val="00EE147E"/>
    <w:rsid w:val="00EE1A4B"/>
    <w:rsid w:val="00EE1A61"/>
    <w:rsid w:val="00EE266D"/>
    <w:rsid w:val="00EE2AC3"/>
    <w:rsid w:val="00EE2DE2"/>
    <w:rsid w:val="00EE300C"/>
    <w:rsid w:val="00EE30BA"/>
    <w:rsid w:val="00EE34B8"/>
    <w:rsid w:val="00EE376D"/>
    <w:rsid w:val="00EE3CB0"/>
    <w:rsid w:val="00EE4CFB"/>
    <w:rsid w:val="00EE5008"/>
    <w:rsid w:val="00EE51B4"/>
    <w:rsid w:val="00EE59EF"/>
    <w:rsid w:val="00EE5A7F"/>
    <w:rsid w:val="00EE5D24"/>
    <w:rsid w:val="00EE6199"/>
    <w:rsid w:val="00EE61D5"/>
    <w:rsid w:val="00EE6886"/>
    <w:rsid w:val="00EE6893"/>
    <w:rsid w:val="00EE6EDA"/>
    <w:rsid w:val="00EE72D2"/>
    <w:rsid w:val="00EE7333"/>
    <w:rsid w:val="00EE76E4"/>
    <w:rsid w:val="00EE7765"/>
    <w:rsid w:val="00EE793C"/>
    <w:rsid w:val="00EE7D9C"/>
    <w:rsid w:val="00EF00CD"/>
    <w:rsid w:val="00EF021F"/>
    <w:rsid w:val="00EF0380"/>
    <w:rsid w:val="00EF04FB"/>
    <w:rsid w:val="00EF0820"/>
    <w:rsid w:val="00EF0A03"/>
    <w:rsid w:val="00EF125C"/>
    <w:rsid w:val="00EF195F"/>
    <w:rsid w:val="00EF1988"/>
    <w:rsid w:val="00EF1DA3"/>
    <w:rsid w:val="00EF1E03"/>
    <w:rsid w:val="00EF22EA"/>
    <w:rsid w:val="00EF2617"/>
    <w:rsid w:val="00EF2C7E"/>
    <w:rsid w:val="00EF30AA"/>
    <w:rsid w:val="00EF31D4"/>
    <w:rsid w:val="00EF3831"/>
    <w:rsid w:val="00EF3842"/>
    <w:rsid w:val="00EF3A79"/>
    <w:rsid w:val="00EF4C9F"/>
    <w:rsid w:val="00EF4D30"/>
    <w:rsid w:val="00EF509D"/>
    <w:rsid w:val="00EF54CD"/>
    <w:rsid w:val="00EF56E1"/>
    <w:rsid w:val="00EF5FA1"/>
    <w:rsid w:val="00EF6355"/>
    <w:rsid w:val="00EF63CA"/>
    <w:rsid w:val="00EF6480"/>
    <w:rsid w:val="00EF65EE"/>
    <w:rsid w:val="00EF6621"/>
    <w:rsid w:val="00EF69AA"/>
    <w:rsid w:val="00EF6C1A"/>
    <w:rsid w:val="00EF6C6C"/>
    <w:rsid w:val="00EF76C3"/>
    <w:rsid w:val="00EF76E3"/>
    <w:rsid w:val="00F00670"/>
    <w:rsid w:val="00F0075E"/>
    <w:rsid w:val="00F0083D"/>
    <w:rsid w:val="00F00A36"/>
    <w:rsid w:val="00F00D4D"/>
    <w:rsid w:val="00F00EAA"/>
    <w:rsid w:val="00F00EF3"/>
    <w:rsid w:val="00F019A0"/>
    <w:rsid w:val="00F01A35"/>
    <w:rsid w:val="00F0219F"/>
    <w:rsid w:val="00F0224D"/>
    <w:rsid w:val="00F02976"/>
    <w:rsid w:val="00F02A7E"/>
    <w:rsid w:val="00F02B8E"/>
    <w:rsid w:val="00F04278"/>
    <w:rsid w:val="00F044BB"/>
    <w:rsid w:val="00F045F7"/>
    <w:rsid w:val="00F04AB3"/>
    <w:rsid w:val="00F04AC0"/>
    <w:rsid w:val="00F04C9E"/>
    <w:rsid w:val="00F051BF"/>
    <w:rsid w:val="00F051C7"/>
    <w:rsid w:val="00F056FC"/>
    <w:rsid w:val="00F05B75"/>
    <w:rsid w:val="00F05BF9"/>
    <w:rsid w:val="00F05C65"/>
    <w:rsid w:val="00F05CE4"/>
    <w:rsid w:val="00F05E2A"/>
    <w:rsid w:val="00F05E2E"/>
    <w:rsid w:val="00F0632F"/>
    <w:rsid w:val="00F067AB"/>
    <w:rsid w:val="00F069AE"/>
    <w:rsid w:val="00F06FC5"/>
    <w:rsid w:val="00F0740F"/>
    <w:rsid w:val="00F07684"/>
    <w:rsid w:val="00F07957"/>
    <w:rsid w:val="00F07F5D"/>
    <w:rsid w:val="00F10266"/>
    <w:rsid w:val="00F10476"/>
    <w:rsid w:val="00F105D5"/>
    <w:rsid w:val="00F10C1A"/>
    <w:rsid w:val="00F11272"/>
    <w:rsid w:val="00F11AC8"/>
    <w:rsid w:val="00F12090"/>
    <w:rsid w:val="00F12288"/>
    <w:rsid w:val="00F1237C"/>
    <w:rsid w:val="00F1277B"/>
    <w:rsid w:val="00F12C3A"/>
    <w:rsid w:val="00F130C5"/>
    <w:rsid w:val="00F13220"/>
    <w:rsid w:val="00F1345C"/>
    <w:rsid w:val="00F135D8"/>
    <w:rsid w:val="00F13901"/>
    <w:rsid w:val="00F139DD"/>
    <w:rsid w:val="00F13AFF"/>
    <w:rsid w:val="00F13E37"/>
    <w:rsid w:val="00F14118"/>
    <w:rsid w:val="00F142CD"/>
    <w:rsid w:val="00F1523F"/>
    <w:rsid w:val="00F15308"/>
    <w:rsid w:val="00F157AE"/>
    <w:rsid w:val="00F158FD"/>
    <w:rsid w:val="00F15DB6"/>
    <w:rsid w:val="00F1608E"/>
    <w:rsid w:val="00F16119"/>
    <w:rsid w:val="00F1674C"/>
    <w:rsid w:val="00F16BBA"/>
    <w:rsid w:val="00F16E80"/>
    <w:rsid w:val="00F17461"/>
    <w:rsid w:val="00F176E1"/>
    <w:rsid w:val="00F17A2D"/>
    <w:rsid w:val="00F20287"/>
    <w:rsid w:val="00F20BF4"/>
    <w:rsid w:val="00F21044"/>
    <w:rsid w:val="00F21CCC"/>
    <w:rsid w:val="00F21D11"/>
    <w:rsid w:val="00F22238"/>
    <w:rsid w:val="00F226CB"/>
    <w:rsid w:val="00F22789"/>
    <w:rsid w:val="00F22A1D"/>
    <w:rsid w:val="00F22EC0"/>
    <w:rsid w:val="00F23411"/>
    <w:rsid w:val="00F23A48"/>
    <w:rsid w:val="00F240A7"/>
    <w:rsid w:val="00F2428D"/>
    <w:rsid w:val="00F24299"/>
    <w:rsid w:val="00F24558"/>
    <w:rsid w:val="00F2456A"/>
    <w:rsid w:val="00F247A9"/>
    <w:rsid w:val="00F25B7C"/>
    <w:rsid w:val="00F26887"/>
    <w:rsid w:val="00F26B6A"/>
    <w:rsid w:val="00F26E5C"/>
    <w:rsid w:val="00F26F70"/>
    <w:rsid w:val="00F2708F"/>
    <w:rsid w:val="00F27327"/>
    <w:rsid w:val="00F27706"/>
    <w:rsid w:val="00F277A5"/>
    <w:rsid w:val="00F27B95"/>
    <w:rsid w:val="00F27BDC"/>
    <w:rsid w:val="00F30084"/>
    <w:rsid w:val="00F30A86"/>
    <w:rsid w:val="00F30B21"/>
    <w:rsid w:val="00F31299"/>
    <w:rsid w:val="00F315B3"/>
    <w:rsid w:val="00F32044"/>
    <w:rsid w:val="00F326AD"/>
    <w:rsid w:val="00F326FE"/>
    <w:rsid w:val="00F32F5B"/>
    <w:rsid w:val="00F330EB"/>
    <w:rsid w:val="00F33687"/>
    <w:rsid w:val="00F336AA"/>
    <w:rsid w:val="00F33765"/>
    <w:rsid w:val="00F33C0F"/>
    <w:rsid w:val="00F33F99"/>
    <w:rsid w:val="00F3434B"/>
    <w:rsid w:val="00F34482"/>
    <w:rsid w:val="00F3457C"/>
    <w:rsid w:val="00F345D6"/>
    <w:rsid w:val="00F34841"/>
    <w:rsid w:val="00F34A5E"/>
    <w:rsid w:val="00F34D72"/>
    <w:rsid w:val="00F34DB9"/>
    <w:rsid w:val="00F35185"/>
    <w:rsid w:val="00F3534A"/>
    <w:rsid w:val="00F35437"/>
    <w:rsid w:val="00F35915"/>
    <w:rsid w:val="00F3594B"/>
    <w:rsid w:val="00F35AB3"/>
    <w:rsid w:val="00F35F5A"/>
    <w:rsid w:val="00F36516"/>
    <w:rsid w:val="00F36B21"/>
    <w:rsid w:val="00F36C84"/>
    <w:rsid w:val="00F373D4"/>
    <w:rsid w:val="00F3742F"/>
    <w:rsid w:val="00F3756F"/>
    <w:rsid w:val="00F37687"/>
    <w:rsid w:val="00F40405"/>
    <w:rsid w:val="00F40554"/>
    <w:rsid w:val="00F4073D"/>
    <w:rsid w:val="00F426C7"/>
    <w:rsid w:val="00F428B5"/>
    <w:rsid w:val="00F42AAA"/>
    <w:rsid w:val="00F42D5D"/>
    <w:rsid w:val="00F43142"/>
    <w:rsid w:val="00F4322B"/>
    <w:rsid w:val="00F4344F"/>
    <w:rsid w:val="00F435AD"/>
    <w:rsid w:val="00F436C7"/>
    <w:rsid w:val="00F43A75"/>
    <w:rsid w:val="00F43B6C"/>
    <w:rsid w:val="00F4410B"/>
    <w:rsid w:val="00F441E0"/>
    <w:rsid w:val="00F442CE"/>
    <w:rsid w:val="00F44621"/>
    <w:rsid w:val="00F4523F"/>
    <w:rsid w:val="00F45646"/>
    <w:rsid w:val="00F45B41"/>
    <w:rsid w:val="00F4657B"/>
    <w:rsid w:val="00F46ED4"/>
    <w:rsid w:val="00F47049"/>
    <w:rsid w:val="00F470C9"/>
    <w:rsid w:val="00F504EB"/>
    <w:rsid w:val="00F50B50"/>
    <w:rsid w:val="00F50BC0"/>
    <w:rsid w:val="00F50DA3"/>
    <w:rsid w:val="00F50DDB"/>
    <w:rsid w:val="00F50ED6"/>
    <w:rsid w:val="00F5117C"/>
    <w:rsid w:val="00F51198"/>
    <w:rsid w:val="00F51609"/>
    <w:rsid w:val="00F51C36"/>
    <w:rsid w:val="00F523CE"/>
    <w:rsid w:val="00F524FF"/>
    <w:rsid w:val="00F52A57"/>
    <w:rsid w:val="00F52B79"/>
    <w:rsid w:val="00F52C94"/>
    <w:rsid w:val="00F52D88"/>
    <w:rsid w:val="00F53076"/>
    <w:rsid w:val="00F5321F"/>
    <w:rsid w:val="00F53329"/>
    <w:rsid w:val="00F5338E"/>
    <w:rsid w:val="00F5357B"/>
    <w:rsid w:val="00F535D3"/>
    <w:rsid w:val="00F535E6"/>
    <w:rsid w:val="00F538A9"/>
    <w:rsid w:val="00F53ADC"/>
    <w:rsid w:val="00F53C4D"/>
    <w:rsid w:val="00F53EC2"/>
    <w:rsid w:val="00F54087"/>
    <w:rsid w:val="00F54128"/>
    <w:rsid w:val="00F54295"/>
    <w:rsid w:val="00F542D4"/>
    <w:rsid w:val="00F544E4"/>
    <w:rsid w:val="00F54B4C"/>
    <w:rsid w:val="00F553BE"/>
    <w:rsid w:val="00F55C25"/>
    <w:rsid w:val="00F55CE0"/>
    <w:rsid w:val="00F56915"/>
    <w:rsid w:val="00F570B4"/>
    <w:rsid w:val="00F57CFD"/>
    <w:rsid w:val="00F57D95"/>
    <w:rsid w:val="00F60B4B"/>
    <w:rsid w:val="00F60E33"/>
    <w:rsid w:val="00F60F66"/>
    <w:rsid w:val="00F61607"/>
    <w:rsid w:val="00F61875"/>
    <w:rsid w:val="00F618B0"/>
    <w:rsid w:val="00F62347"/>
    <w:rsid w:val="00F623D1"/>
    <w:rsid w:val="00F627D7"/>
    <w:rsid w:val="00F62933"/>
    <w:rsid w:val="00F63234"/>
    <w:rsid w:val="00F632E6"/>
    <w:rsid w:val="00F635AE"/>
    <w:rsid w:val="00F63796"/>
    <w:rsid w:val="00F63A84"/>
    <w:rsid w:val="00F63C6F"/>
    <w:rsid w:val="00F642D7"/>
    <w:rsid w:val="00F644EB"/>
    <w:rsid w:val="00F64817"/>
    <w:rsid w:val="00F64B69"/>
    <w:rsid w:val="00F65145"/>
    <w:rsid w:val="00F651AA"/>
    <w:rsid w:val="00F65BFE"/>
    <w:rsid w:val="00F65E0C"/>
    <w:rsid w:val="00F66881"/>
    <w:rsid w:val="00F66F6E"/>
    <w:rsid w:val="00F671B8"/>
    <w:rsid w:val="00F674D3"/>
    <w:rsid w:val="00F675DE"/>
    <w:rsid w:val="00F67615"/>
    <w:rsid w:val="00F67C13"/>
    <w:rsid w:val="00F67FD8"/>
    <w:rsid w:val="00F703F3"/>
    <w:rsid w:val="00F705FE"/>
    <w:rsid w:val="00F7096D"/>
    <w:rsid w:val="00F70C0B"/>
    <w:rsid w:val="00F7104D"/>
    <w:rsid w:val="00F71137"/>
    <w:rsid w:val="00F712FD"/>
    <w:rsid w:val="00F717CD"/>
    <w:rsid w:val="00F71894"/>
    <w:rsid w:val="00F719C2"/>
    <w:rsid w:val="00F7217D"/>
    <w:rsid w:val="00F7233E"/>
    <w:rsid w:val="00F72703"/>
    <w:rsid w:val="00F72878"/>
    <w:rsid w:val="00F735AE"/>
    <w:rsid w:val="00F73705"/>
    <w:rsid w:val="00F73759"/>
    <w:rsid w:val="00F737B4"/>
    <w:rsid w:val="00F738AF"/>
    <w:rsid w:val="00F73A7A"/>
    <w:rsid w:val="00F73F28"/>
    <w:rsid w:val="00F74403"/>
    <w:rsid w:val="00F7520F"/>
    <w:rsid w:val="00F7606E"/>
    <w:rsid w:val="00F762DF"/>
    <w:rsid w:val="00F763F6"/>
    <w:rsid w:val="00F76412"/>
    <w:rsid w:val="00F766A7"/>
    <w:rsid w:val="00F767AB"/>
    <w:rsid w:val="00F76E02"/>
    <w:rsid w:val="00F776E9"/>
    <w:rsid w:val="00F81006"/>
    <w:rsid w:val="00F81369"/>
    <w:rsid w:val="00F81782"/>
    <w:rsid w:val="00F818C4"/>
    <w:rsid w:val="00F81F37"/>
    <w:rsid w:val="00F81FD2"/>
    <w:rsid w:val="00F82248"/>
    <w:rsid w:val="00F824F3"/>
    <w:rsid w:val="00F825B9"/>
    <w:rsid w:val="00F8286F"/>
    <w:rsid w:val="00F82EB6"/>
    <w:rsid w:val="00F8367D"/>
    <w:rsid w:val="00F83734"/>
    <w:rsid w:val="00F8379B"/>
    <w:rsid w:val="00F83F6F"/>
    <w:rsid w:val="00F8428F"/>
    <w:rsid w:val="00F84FE0"/>
    <w:rsid w:val="00F852C0"/>
    <w:rsid w:val="00F852FD"/>
    <w:rsid w:val="00F85325"/>
    <w:rsid w:val="00F85DF6"/>
    <w:rsid w:val="00F85F60"/>
    <w:rsid w:val="00F86438"/>
    <w:rsid w:val="00F86530"/>
    <w:rsid w:val="00F86E2E"/>
    <w:rsid w:val="00F86ECC"/>
    <w:rsid w:val="00F86F9B"/>
    <w:rsid w:val="00F874D0"/>
    <w:rsid w:val="00F876CF"/>
    <w:rsid w:val="00F877B4"/>
    <w:rsid w:val="00F87884"/>
    <w:rsid w:val="00F87E3F"/>
    <w:rsid w:val="00F87F18"/>
    <w:rsid w:val="00F90037"/>
    <w:rsid w:val="00F90097"/>
    <w:rsid w:val="00F900CA"/>
    <w:rsid w:val="00F905C7"/>
    <w:rsid w:val="00F910A2"/>
    <w:rsid w:val="00F910D0"/>
    <w:rsid w:val="00F91196"/>
    <w:rsid w:val="00F91A1A"/>
    <w:rsid w:val="00F91B34"/>
    <w:rsid w:val="00F92812"/>
    <w:rsid w:val="00F929EC"/>
    <w:rsid w:val="00F92ABF"/>
    <w:rsid w:val="00F937AD"/>
    <w:rsid w:val="00F93A0C"/>
    <w:rsid w:val="00F93A57"/>
    <w:rsid w:val="00F93C72"/>
    <w:rsid w:val="00F94396"/>
    <w:rsid w:val="00F95110"/>
    <w:rsid w:val="00F952DF"/>
    <w:rsid w:val="00F9564F"/>
    <w:rsid w:val="00F9587D"/>
    <w:rsid w:val="00F95C23"/>
    <w:rsid w:val="00F95D34"/>
    <w:rsid w:val="00F95E03"/>
    <w:rsid w:val="00F95E82"/>
    <w:rsid w:val="00F9694B"/>
    <w:rsid w:val="00F97024"/>
    <w:rsid w:val="00F97130"/>
    <w:rsid w:val="00F97333"/>
    <w:rsid w:val="00F9737C"/>
    <w:rsid w:val="00F9788A"/>
    <w:rsid w:val="00F97C59"/>
    <w:rsid w:val="00FA0099"/>
    <w:rsid w:val="00FA0F30"/>
    <w:rsid w:val="00FA0F6A"/>
    <w:rsid w:val="00FA0FC5"/>
    <w:rsid w:val="00FA178D"/>
    <w:rsid w:val="00FA180C"/>
    <w:rsid w:val="00FA1B0E"/>
    <w:rsid w:val="00FA1BCA"/>
    <w:rsid w:val="00FA1E86"/>
    <w:rsid w:val="00FA204A"/>
    <w:rsid w:val="00FA24A1"/>
    <w:rsid w:val="00FA2857"/>
    <w:rsid w:val="00FA31FC"/>
    <w:rsid w:val="00FA331A"/>
    <w:rsid w:val="00FA354E"/>
    <w:rsid w:val="00FA3627"/>
    <w:rsid w:val="00FA3A52"/>
    <w:rsid w:val="00FA3B8E"/>
    <w:rsid w:val="00FA43C6"/>
    <w:rsid w:val="00FA466C"/>
    <w:rsid w:val="00FA49DA"/>
    <w:rsid w:val="00FA4ACA"/>
    <w:rsid w:val="00FA4CDF"/>
    <w:rsid w:val="00FA5009"/>
    <w:rsid w:val="00FA57CB"/>
    <w:rsid w:val="00FA5A56"/>
    <w:rsid w:val="00FA5F21"/>
    <w:rsid w:val="00FA6057"/>
    <w:rsid w:val="00FA606C"/>
    <w:rsid w:val="00FA6075"/>
    <w:rsid w:val="00FA6429"/>
    <w:rsid w:val="00FA66FB"/>
    <w:rsid w:val="00FA690A"/>
    <w:rsid w:val="00FA6AE6"/>
    <w:rsid w:val="00FA6DB7"/>
    <w:rsid w:val="00FA7100"/>
    <w:rsid w:val="00FA736E"/>
    <w:rsid w:val="00FA75C4"/>
    <w:rsid w:val="00FA789D"/>
    <w:rsid w:val="00FB00C5"/>
    <w:rsid w:val="00FB0731"/>
    <w:rsid w:val="00FB08DD"/>
    <w:rsid w:val="00FB0C18"/>
    <w:rsid w:val="00FB11A8"/>
    <w:rsid w:val="00FB133F"/>
    <w:rsid w:val="00FB1477"/>
    <w:rsid w:val="00FB1A73"/>
    <w:rsid w:val="00FB1A8D"/>
    <w:rsid w:val="00FB20A0"/>
    <w:rsid w:val="00FB2136"/>
    <w:rsid w:val="00FB22D7"/>
    <w:rsid w:val="00FB2796"/>
    <w:rsid w:val="00FB2BDF"/>
    <w:rsid w:val="00FB317F"/>
    <w:rsid w:val="00FB3449"/>
    <w:rsid w:val="00FB3465"/>
    <w:rsid w:val="00FB35D1"/>
    <w:rsid w:val="00FB3762"/>
    <w:rsid w:val="00FB3BF8"/>
    <w:rsid w:val="00FB41A1"/>
    <w:rsid w:val="00FB42BB"/>
    <w:rsid w:val="00FB4425"/>
    <w:rsid w:val="00FB4429"/>
    <w:rsid w:val="00FB4BA8"/>
    <w:rsid w:val="00FB4D6B"/>
    <w:rsid w:val="00FB4F77"/>
    <w:rsid w:val="00FB52C0"/>
    <w:rsid w:val="00FB5453"/>
    <w:rsid w:val="00FB5B07"/>
    <w:rsid w:val="00FB632E"/>
    <w:rsid w:val="00FB69D2"/>
    <w:rsid w:val="00FB6AFF"/>
    <w:rsid w:val="00FB6D02"/>
    <w:rsid w:val="00FB6E82"/>
    <w:rsid w:val="00FB764D"/>
    <w:rsid w:val="00FB7DB2"/>
    <w:rsid w:val="00FC00AC"/>
    <w:rsid w:val="00FC01FF"/>
    <w:rsid w:val="00FC021D"/>
    <w:rsid w:val="00FC06BE"/>
    <w:rsid w:val="00FC0F73"/>
    <w:rsid w:val="00FC1B1D"/>
    <w:rsid w:val="00FC1CF5"/>
    <w:rsid w:val="00FC2444"/>
    <w:rsid w:val="00FC2542"/>
    <w:rsid w:val="00FC27EC"/>
    <w:rsid w:val="00FC28B6"/>
    <w:rsid w:val="00FC29B4"/>
    <w:rsid w:val="00FC320A"/>
    <w:rsid w:val="00FC32EC"/>
    <w:rsid w:val="00FC3485"/>
    <w:rsid w:val="00FC3DFC"/>
    <w:rsid w:val="00FC47C1"/>
    <w:rsid w:val="00FC4854"/>
    <w:rsid w:val="00FC4C39"/>
    <w:rsid w:val="00FC4DE9"/>
    <w:rsid w:val="00FC5112"/>
    <w:rsid w:val="00FC5504"/>
    <w:rsid w:val="00FC582A"/>
    <w:rsid w:val="00FC59CF"/>
    <w:rsid w:val="00FC5C0E"/>
    <w:rsid w:val="00FC5DF7"/>
    <w:rsid w:val="00FC61F7"/>
    <w:rsid w:val="00FC68E1"/>
    <w:rsid w:val="00FC6E58"/>
    <w:rsid w:val="00FC6FEB"/>
    <w:rsid w:val="00FC7015"/>
    <w:rsid w:val="00FC70D0"/>
    <w:rsid w:val="00FC73E2"/>
    <w:rsid w:val="00FC77AD"/>
    <w:rsid w:val="00FC7AFC"/>
    <w:rsid w:val="00FC7EED"/>
    <w:rsid w:val="00FD0608"/>
    <w:rsid w:val="00FD0FAB"/>
    <w:rsid w:val="00FD10BC"/>
    <w:rsid w:val="00FD1510"/>
    <w:rsid w:val="00FD165A"/>
    <w:rsid w:val="00FD1A25"/>
    <w:rsid w:val="00FD22B1"/>
    <w:rsid w:val="00FD33F1"/>
    <w:rsid w:val="00FD3566"/>
    <w:rsid w:val="00FD363D"/>
    <w:rsid w:val="00FD406D"/>
    <w:rsid w:val="00FD423A"/>
    <w:rsid w:val="00FD43A6"/>
    <w:rsid w:val="00FD44D1"/>
    <w:rsid w:val="00FD4631"/>
    <w:rsid w:val="00FD4D5D"/>
    <w:rsid w:val="00FD4DB0"/>
    <w:rsid w:val="00FD4E5B"/>
    <w:rsid w:val="00FD4E5D"/>
    <w:rsid w:val="00FD5099"/>
    <w:rsid w:val="00FD5466"/>
    <w:rsid w:val="00FD5C05"/>
    <w:rsid w:val="00FD5E88"/>
    <w:rsid w:val="00FD62BD"/>
    <w:rsid w:val="00FD6537"/>
    <w:rsid w:val="00FD66C9"/>
    <w:rsid w:val="00FD6742"/>
    <w:rsid w:val="00FD6A9C"/>
    <w:rsid w:val="00FD6DA7"/>
    <w:rsid w:val="00FD76D4"/>
    <w:rsid w:val="00FD7D74"/>
    <w:rsid w:val="00FD7DBD"/>
    <w:rsid w:val="00FD7E23"/>
    <w:rsid w:val="00FE0901"/>
    <w:rsid w:val="00FE0C44"/>
    <w:rsid w:val="00FE0CBB"/>
    <w:rsid w:val="00FE0CF4"/>
    <w:rsid w:val="00FE1226"/>
    <w:rsid w:val="00FE1299"/>
    <w:rsid w:val="00FE131B"/>
    <w:rsid w:val="00FE15C5"/>
    <w:rsid w:val="00FE16C0"/>
    <w:rsid w:val="00FE1787"/>
    <w:rsid w:val="00FE1840"/>
    <w:rsid w:val="00FE1913"/>
    <w:rsid w:val="00FE1BE0"/>
    <w:rsid w:val="00FE1E86"/>
    <w:rsid w:val="00FE22BE"/>
    <w:rsid w:val="00FE2329"/>
    <w:rsid w:val="00FE2455"/>
    <w:rsid w:val="00FE2869"/>
    <w:rsid w:val="00FE3306"/>
    <w:rsid w:val="00FE33B0"/>
    <w:rsid w:val="00FE35F5"/>
    <w:rsid w:val="00FE36F6"/>
    <w:rsid w:val="00FE39E4"/>
    <w:rsid w:val="00FE3A76"/>
    <w:rsid w:val="00FE3BA3"/>
    <w:rsid w:val="00FE3BB3"/>
    <w:rsid w:val="00FE3C31"/>
    <w:rsid w:val="00FE3CD1"/>
    <w:rsid w:val="00FE46B7"/>
    <w:rsid w:val="00FE4AA8"/>
    <w:rsid w:val="00FE4BAD"/>
    <w:rsid w:val="00FE503A"/>
    <w:rsid w:val="00FE52F0"/>
    <w:rsid w:val="00FE5397"/>
    <w:rsid w:val="00FE5446"/>
    <w:rsid w:val="00FE553D"/>
    <w:rsid w:val="00FE56AF"/>
    <w:rsid w:val="00FE580F"/>
    <w:rsid w:val="00FE58CD"/>
    <w:rsid w:val="00FE5A2F"/>
    <w:rsid w:val="00FE5EFA"/>
    <w:rsid w:val="00FE626E"/>
    <w:rsid w:val="00FE688D"/>
    <w:rsid w:val="00FE6958"/>
    <w:rsid w:val="00FE74C8"/>
    <w:rsid w:val="00FE7A74"/>
    <w:rsid w:val="00FE7B48"/>
    <w:rsid w:val="00FE7B7E"/>
    <w:rsid w:val="00FE7BCC"/>
    <w:rsid w:val="00FE7D2D"/>
    <w:rsid w:val="00FE7F3D"/>
    <w:rsid w:val="00FE7FA4"/>
    <w:rsid w:val="00FF093B"/>
    <w:rsid w:val="00FF0E16"/>
    <w:rsid w:val="00FF11BA"/>
    <w:rsid w:val="00FF11E4"/>
    <w:rsid w:val="00FF14C2"/>
    <w:rsid w:val="00FF150E"/>
    <w:rsid w:val="00FF1855"/>
    <w:rsid w:val="00FF1CC7"/>
    <w:rsid w:val="00FF1D50"/>
    <w:rsid w:val="00FF1EC0"/>
    <w:rsid w:val="00FF233F"/>
    <w:rsid w:val="00FF24D9"/>
    <w:rsid w:val="00FF2B52"/>
    <w:rsid w:val="00FF2E16"/>
    <w:rsid w:val="00FF2F0C"/>
    <w:rsid w:val="00FF360E"/>
    <w:rsid w:val="00FF371B"/>
    <w:rsid w:val="00FF3CF1"/>
    <w:rsid w:val="00FF3F21"/>
    <w:rsid w:val="00FF42A1"/>
    <w:rsid w:val="00FF47E9"/>
    <w:rsid w:val="00FF4AF8"/>
    <w:rsid w:val="00FF4C74"/>
    <w:rsid w:val="00FF4E07"/>
    <w:rsid w:val="00FF5307"/>
    <w:rsid w:val="00FF55EC"/>
    <w:rsid w:val="00FF58D0"/>
    <w:rsid w:val="00FF5A4A"/>
    <w:rsid w:val="00FF5D08"/>
    <w:rsid w:val="00FF61F4"/>
    <w:rsid w:val="00FF64A2"/>
    <w:rsid w:val="00FF65DC"/>
    <w:rsid w:val="00FF6696"/>
    <w:rsid w:val="00FF6B69"/>
    <w:rsid w:val="00FF6E05"/>
    <w:rsid w:val="00FF7726"/>
    <w:rsid w:val="00FF7977"/>
    <w:rsid w:val="00FF79C5"/>
    <w:rsid w:val="00FF7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5:docId w15:val="{1C8FE7F9-D50B-47D4-88F2-9A8A846B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D8A"/>
    <w:rPr>
      <w:sz w:val="24"/>
      <w:szCs w:val="24"/>
    </w:rPr>
  </w:style>
  <w:style w:type="paragraph" w:styleId="Heading1">
    <w:name w:val="heading 1"/>
    <w:basedOn w:val="BodyText"/>
    <w:next w:val="BodyText"/>
    <w:link w:val="Heading1Char"/>
    <w:rsid w:val="00BC3D8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BC3D8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BC3D8A"/>
    <w:pPr>
      <w:spacing w:before="560" w:line="320" w:lineRule="exact"/>
      <w:ind w:left="0" w:firstLine="0"/>
      <w:outlineLvl w:val="2"/>
    </w:pPr>
    <w:rPr>
      <w:sz w:val="26"/>
    </w:rPr>
  </w:style>
  <w:style w:type="paragraph" w:styleId="Heading4">
    <w:name w:val="heading 4"/>
    <w:basedOn w:val="Heading3"/>
    <w:next w:val="BodyText"/>
    <w:link w:val="Heading4Char"/>
    <w:qFormat/>
    <w:rsid w:val="00BC3D8A"/>
    <w:pPr>
      <w:spacing w:before="480"/>
      <w:outlineLvl w:val="3"/>
    </w:pPr>
    <w:rPr>
      <w:b w:val="0"/>
      <w:sz w:val="24"/>
    </w:rPr>
  </w:style>
  <w:style w:type="paragraph" w:styleId="Heading5">
    <w:name w:val="heading 5"/>
    <w:basedOn w:val="Heading4"/>
    <w:next w:val="BodyText"/>
    <w:link w:val="Heading5Char"/>
    <w:qFormat/>
    <w:rsid w:val="00BC3D8A"/>
    <w:pPr>
      <w:outlineLvl w:val="4"/>
    </w:pPr>
    <w:rPr>
      <w:i/>
      <w:sz w:val="22"/>
    </w:rPr>
  </w:style>
  <w:style w:type="paragraph" w:styleId="Heading6">
    <w:name w:val="heading 6"/>
    <w:basedOn w:val="BodyText"/>
    <w:next w:val="BodyText"/>
    <w:link w:val="Heading6Char"/>
    <w:semiHidden/>
    <w:rsid w:val="00BC3D8A"/>
    <w:pPr>
      <w:spacing w:after="60"/>
      <w:jc w:val="left"/>
      <w:outlineLvl w:val="5"/>
    </w:pPr>
    <w:rPr>
      <w:i/>
      <w:sz w:val="22"/>
    </w:rPr>
  </w:style>
  <w:style w:type="paragraph" w:styleId="Heading7">
    <w:name w:val="heading 7"/>
    <w:basedOn w:val="BodyText"/>
    <w:next w:val="BodyText"/>
    <w:link w:val="Heading7Char"/>
    <w:semiHidden/>
    <w:rsid w:val="00BC3D8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BC3D8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BC3D8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BC3D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3D8A"/>
  </w:style>
  <w:style w:type="paragraph" w:styleId="BodyText">
    <w:name w:val="Body Text"/>
    <w:aliases w:val="Body Text1,new legislation style,new legislation style1,new legislation style Ch"/>
    <w:link w:val="BodyTextChar"/>
    <w:qFormat/>
    <w:rsid w:val="00BC3D8A"/>
    <w:pPr>
      <w:spacing w:before="240" w:line="300" w:lineRule="atLeast"/>
      <w:jc w:val="both"/>
    </w:pPr>
    <w:rPr>
      <w:sz w:val="24"/>
    </w:rPr>
  </w:style>
  <w:style w:type="paragraph" w:styleId="Footer">
    <w:name w:val="footer"/>
    <w:basedOn w:val="BodyText"/>
    <w:link w:val="FooterChar"/>
    <w:rsid w:val="00BC3D8A"/>
    <w:pPr>
      <w:spacing w:before="80" w:line="200" w:lineRule="exact"/>
      <w:ind w:right="6"/>
      <w:jc w:val="left"/>
    </w:pPr>
    <w:rPr>
      <w:rFonts w:ascii="Arial" w:hAnsi="Arial"/>
      <w:caps/>
      <w:spacing w:val="-4"/>
      <w:sz w:val="16"/>
    </w:rPr>
  </w:style>
  <w:style w:type="paragraph" w:customStyle="1" w:styleId="FooterEnd">
    <w:name w:val="Footer End"/>
    <w:basedOn w:val="Footer"/>
    <w:rsid w:val="00BC3D8A"/>
    <w:pPr>
      <w:spacing w:before="0" w:line="20" w:lineRule="exact"/>
    </w:pPr>
  </w:style>
  <w:style w:type="paragraph" w:styleId="Header">
    <w:name w:val="header"/>
    <w:basedOn w:val="BodyText"/>
    <w:link w:val="HeaderChar"/>
    <w:rsid w:val="00BC3D8A"/>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BC3D8A"/>
    <w:pPr>
      <w:spacing w:line="20" w:lineRule="exact"/>
    </w:pPr>
    <w:rPr>
      <w:sz w:val="16"/>
    </w:rPr>
  </w:style>
  <w:style w:type="paragraph" w:customStyle="1" w:styleId="HeaderEven">
    <w:name w:val="Header Even"/>
    <w:basedOn w:val="Header"/>
    <w:rsid w:val="00BC3D8A"/>
  </w:style>
  <w:style w:type="paragraph" w:customStyle="1" w:styleId="HeaderOdd">
    <w:name w:val="Header Odd"/>
    <w:basedOn w:val="Header"/>
    <w:rsid w:val="00BC3D8A"/>
  </w:style>
  <w:style w:type="character" w:styleId="PageNumber">
    <w:name w:val="page number"/>
    <w:basedOn w:val="DefaultParagraphFont"/>
    <w:rsid w:val="00BC3D8A"/>
    <w:rPr>
      <w:rFonts w:ascii="Arial" w:hAnsi="Arial"/>
      <w:b/>
      <w:sz w:val="16"/>
    </w:rPr>
  </w:style>
  <w:style w:type="paragraph" w:customStyle="1" w:styleId="Abbreviation">
    <w:name w:val="Abbreviation"/>
    <w:basedOn w:val="BodyText"/>
    <w:rsid w:val="00BC3D8A"/>
    <w:pPr>
      <w:spacing w:before="120"/>
      <w:ind w:left="2381" w:hanging="2381"/>
      <w:jc w:val="left"/>
    </w:pPr>
  </w:style>
  <w:style w:type="paragraph" w:customStyle="1" w:styleId="Box">
    <w:name w:val="Box"/>
    <w:basedOn w:val="BodyText"/>
    <w:qFormat/>
    <w:rsid w:val="00BC3D8A"/>
    <w:pPr>
      <w:keepNext/>
      <w:spacing w:before="120" w:line="260" w:lineRule="atLeast"/>
    </w:pPr>
    <w:rPr>
      <w:rFonts w:ascii="Arial" w:hAnsi="Arial"/>
      <w:sz w:val="20"/>
    </w:rPr>
  </w:style>
  <w:style w:type="paragraph" w:customStyle="1" w:styleId="BoxContinued">
    <w:name w:val="Box Continued"/>
    <w:basedOn w:val="BodyText"/>
    <w:next w:val="BodyText"/>
    <w:semiHidden/>
    <w:rsid w:val="00BC3D8A"/>
    <w:pPr>
      <w:spacing w:before="180" w:line="220" w:lineRule="exact"/>
      <w:jc w:val="right"/>
    </w:pPr>
    <w:rPr>
      <w:rFonts w:ascii="Arial" w:hAnsi="Arial"/>
      <w:sz w:val="18"/>
    </w:rPr>
  </w:style>
  <w:style w:type="paragraph" w:customStyle="1" w:styleId="BoxHeading1">
    <w:name w:val="Box Heading 1"/>
    <w:basedOn w:val="BodyText"/>
    <w:next w:val="Box"/>
    <w:rsid w:val="00BC3D8A"/>
    <w:pPr>
      <w:keepNext/>
      <w:spacing w:before="200" w:line="280" w:lineRule="atLeast"/>
    </w:pPr>
    <w:rPr>
      <w:rFonts w:ascii="Arial" w:hAnsi="Arial"/>
      <w:b/>
      <w:sz w:val="22"/>
    </w:rPr>
  </w:style>
  <w:style w:type="paragraph" w:customStyle="1" w:styleId="BoxHeading2">
    <w:name w:val="Box Heading 2"/>
    <w:basedOn w:val="BoxHeading1"/>
    <w:next w:val="Normal"/>
    <w:rsid w:val="00BC3D8A"/>
    <w:rPr>
      <w:b w:val="0"/>
      <w:i/>
    </w:rPr>
  </w:style>
  <w:style w:type="paragraph" w:customStyle="1" w:styleId="BoxListBullet">
    <w:name w:val="Box List Bullet"/>
    <w:basedOn w:val="BodyText"/>
    <w:rsid w:val="00BC3D8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BC3D8A"/>
    <w:pPr>
      <w:numPr>
        <w:numId w:val="12"/>
      </w:numPr>
      <w:ind w:left="568" w:hanging="284"/>
    </w:pPr>
  </w:style>
  <w:style w:type="paragraph" w:customStyle="1" w:styleId="BoxListNumber">
    <w:name w:val="Box List Number"/>
    <w:basedOn w:val="BodyText"/>
    <w:rsid w:val="00BC3D8A"/>
    <w:pPr>
      <w:keepNext/>
      <w:numPr>
        <w:numId w:val="9"/>
      </w:numPr>
      <w:spacing w:before="100" w:line="260" w:lineRule="atLeast"/>
    </w:pPr>
    <w:rPr>
      <w:rFonts w:ascii="Arial" w:hAnsi="Arial"/>
      <w:sz w:val="20"/>
    </w:rPr>
  </w:style>
  <w:style w:type="paragraph" w:customStyle="1" w:styleId="BoxListNumber2">
    <w:name w:val="Box List Number 2"/>
    <w:basedOn w:val="BoxListNumber"/>
    <w:rsid w:val="00BC3D8A"/>
    <w:pPr>
      <w:numPr>
        <w:ilvl w:val="1"/>
      </w:numPr>
      <w:ind w:left="681" w:hanging="397"/>
    </w:pPr>
  </w:style>
  <w:style w:type="paragraph" w:customStyle="1" w:styleId="BoxQuote">
    <w:name w:val="Box Quote"/>
    <w:basedOn w:val="BodyText"/>
    <w:next w:val="Box"/>
    <w:qFormat/>
    <w:rsid w:val="00BC3D8A"/>
    <w:pPr>
      <w:keepNext/>
      <w:spacing w:before="60" w:line="240" w:lineRule="exact"/>
      <w:ind w:left="284"/>
    </w:pPr>
    <w:rPr>
      <w:rFonts w:ascii="Arial" w:hAnsi="Arial"/>
      <w:sz w:val="18"/>
    </w:rPr>
  </w:style>
  <w:style w:type="paragraph" w:customStyle="1" w:styleId="Note">
    <w:name w:val="Note"/>
    <w:basedOn w:val="BodyText"/>
    <w:next w:val="BodyText"/>
    <w:rsid w:val="00BC3D8A"/>
    <w:pPr>
      <w:keepLines/>
      <w:spacing w:before="80" w:line="220" w:lineRule="exact"/>
    </w:pPr>
    <w:rPr>
      <w:rFonts w:ascii="Arial" w:hAnsi="Arial"/>
      <w:sz w:val="18"/>
    </w:rPr>
  </w:style>
  <w:style w:type="paragraph" w:customStyle="1" w:styleId="Source">
    <w:name w:val="Source"/>
    <w:basedOn w:val="Normal"/>
    <w:next w:val="BodyText"/>
    <w:rsid w:val="00BC3D8A"/>
    <w:pPr>
      <w:keepLines/>
      <w:spacing w:before="80" w:line="220" w:lineRule="exact"/>
      <w:jc w:val="both"/>
    </w:pPr>
    <w:rPr>
      <w:rFonts w:ascii="Arial" w:hAnsi="Arial"/>
      <w:sz w:val="18"/>
      <w:szCs w:val="20"/>
    </w:rPr>
  </w:style>
  <w:style w:type="paragraph" w:customStyle="1" w:styleId="BoxSource">
    <w:name w:val="Box Source"/>
    <w:basedOn w:val="Source"/>
    <w:next w:val="BodyText"/>
    <w:rsid w:val="00BC3D8A"/>
    <w:pPr>
      <w:spacing w:before="120"/>
    </w:pPr>
  </w:style>
  <w:style w:type="paragraph" w:customStyle="1" w:styleId="BoxSpaceAbove">
    <w:name w:val="Box Space Above"/>
    <w:basedOn w:val="BodyText"/>
    <w:rsid w:val="00BC3D8A"/>
    <w:pPr>
      <w:keepNext/>
      <w:spacing w:before="360" w:line="80" w:lineRule="exact"/>
      <w:jc w:val="left"/>
    </w:pPr>
  </w:style>
  <w:style w:type="paragraph" w:styleId="Caption">
    <w:name w:val="caption"/>
    <w:basedOn w:val="Normal"/>
    <w:next w:val="BodyText"/>
    <w:rsid w:val="00BC3D8A"/>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BC3D8A"/>
    <w:pPr>
      <w:spacing w:before="120" w:after="0"/>
    </w:pPr>
  </w:style>
  <w:style w:type="paragraph" w:customStyle="1" w:styleId="BoxSubtitle">
    <w:name w:val="Box Subtitle"/>
    <w:basedOn w:val="BoxTitle"/>
    <w:next w:val="Normal"/>
    <w:rsid w:val="00BC3D8A"/>
    <w:pPr>
      <w:spacing w:after="80" w:line="200" w:lineRule="exact"/>
      <w:ind w:firstLine="0"/>
    </w:pPr>
    <w:rPr>
      <w:b w:val="0"/>
      <w:sz w:val="20"/>
    </w:rPr>
  </w:style>
  <w:style w:type="paragraph" w:customStyle="1" w:styleId="Chapter">
    <w:name w:val="Chapter"/>
    <w:basedOn w:val="Heading1"/>
    <w:next w:val="BodyText"/>
    <w:semiHidden/>
    <w:rsid w:val="00BC3D8A"/>
    <w:pPr>
      <w:ind w:left="0" w:firstLine="0"/>
      <w:outlineLvl w:val="9"/>
    </w:pPr>
  </w:style>
  <w:style w:type="paragraph" w:customStyle="1" w:styleId="ChapterSummary">
    <w:name w:val="Chapter Summary"/>
    <w:basedOn w:val="BodyText"/>
    <w:rsid w:val="00BC3D8A"/>
    <w:pPr>
      <w:spacing w:line="280" w:lineRule="atLeast"/>
      <w:ind w:left="907"/>
    </w:pPr>
    <w:rPr>
      <w:rFonts w:ascii="Arial" w:hAnsi="Arial"/>
      <w:b/>
      <w:sz w:val="20"/>
    </w:rPr>
  </w:style>
  <w:style w:type="character" w:styleId="CommentReference">
    <w:name w:val="annotation reference"/>
    <w:basedOn w:val="DefaultParagraphFont"/>
    <w:semiHidden/>
    <w:rsid w:val="00BC3D8A"/>
    <w:rPr>
      <w:b/>
      <w:vanish/>
      <w:color w:val="FF00FF"/>
      <w:sz w:val="20"/>
    </w:rPr>
  </w:style>
  <w:style w:type="paragraph" w:styleId="CommentText">
    <w:name w:val="annotation text"/>
    <w:basedOn w:val="Normal"/>
    <w:link w:val="CommentTextChar"/>
    <w:rsid w:val="00BC3D8A"/>
    <w:pPr>
      <w:spacing w:before="120" w:line="240" w:lineRule="atLeast"/>
      <w:ind w:left="567" w:hanging="567"/>
    </w:pPr>
    <w:rPr>
      <w:sz w:val="20"/>
    </w:rPr>
  </w:style>
  <w:style w:type="paragraph" w:customStyle="1" w:styleId="Continued">
    <w:name w:val="Continued"/>
    <w:basedOn w:val="BoxContinued"/>
    <w:next w:val="BodyText"/>
    <w:rsid w:val="00BC3D8A"/>
  </w:style>
  <w:style w:type="character" w:customStyle="1" w:styleId="DocumentInfo">
    <w:name w:val="Document Info"/>
    <w:basedOn w:val="DefaultParagraphFont"/>
    <w:semiHidden/>
    <w:rsid w:val="00BC3D8A"/>
    <w:rPr>
      <w:rFonts w:ascii="Arial" w:hAnsi="Arial"/>
      <w:sz w:val="14"/>
    </w:rPr>
  </w:style>
  <w:style w:type="character" w:customStyle="1" w:styleId="DraftingNote">
    <w:name w:val="Drafting Note"/>
    <w:basedOn w:val="DefaultParagraphFont"/>
    <w:rsid w:val="00BC3D8A"/>
    <w:rPr>
      <w:b/>
      <w:color w:val="FF0000"/>
      <w:sz w:val="24"/>
      <w:u w:val="dotted"/>
    </w:rPr>
  </w:style>
  <w:style w:type="paragraph" w:customStyle="1" w:styleId="Figure">
    <w:name w:val="Figure"/>
    <w:basedOn w:val="BodyText"/>
    <w:rsid w:val="00BC3D8A"/>
    <w:pPr>
      <w:keepNext/>
      <w:spacing w:before="120" w:after="120" w:line="240" w:lineRule="atLeast"/>
      <w:jc w:val="center"/>
    </w:pPr>
  </w:style>
  <w:style w:type="paragraph" w:customStyle="1" w:styleId="FigureTitle">
    <w:name w:val="Figure Title"/>
    <w:basedOn w:val="Caption"/>
    <w:next w:val="Subtitle"/>
    <w:rsid w:val="00BC3D8A"/>
    <w:pPr>
      <w:spacing w:before="120"/>
    </w:pPr>
  </w:style>
  <w:style w:type="paragraph" w:styleId="Subtitle">
    <w:name w:val="Subtitle"/>
    <w:basedOn w:val="Caption"/>
    <w:link w:val="SubtitleChar"/>
    <w:qFormat/>
    <w:rsid w:val="00BC3D8A"/>
    <w:pPr>
      <w:spacing w:before="0" w:line="200" w:lineRule="exact"/>
      <w:ind w:firstLine="0"/>
    </w:pPr>
    <w:rPr>
      <w:b w:val="0"/>
      <w:sz w:val="20"/>
    </w:rPr>
  </w:style>
  <w:style w:type="paragraph" w:customStyle="1" w:styleId="Finding">
    <w:name w:val="Finding"/>
    <w:basedOn w:val="BodyText"/>
    <w:rsid w:val="00BC3D8A"/>
    <w:pPr>
      <w:keepLines/>
      <w:spacing w:before="120" w:line="280" w:lineRule="atLeast"/>
    </w:pPr>
    <w:rPr>
      <w:rFonts w:ascii="Arial" w:hAnsi="Arial"/>
      <w:sz w:val="22"/>
    </w:rPr>
  </w:style>
  <w:style w:type="paragraph" w:customStyle="1" w:styleId="FindingBullet">
    <w:name w:val="Finding Bullet"/>
    <w:basedOn w:val="Finding"/>
    <w:rsid w:val="00BC3D8A"/>
    <w:pPr>
      <w:numPr>
        <w:numId w:val="14"/>
      </w:numPr>
      <w:spacing w:before="80"/>
    </w:pPr>
  </w:style>
  <w:style w:type="paragraph" w:customStyle="1" w:styleId="FindingNoTitle">
    <w:name w:val="Finding NoTitle"/>
    <w:basedOn w:val="Finding"/>
    <w:semiHidden/>
    <w:rsid w:val="00BC3D8A"/>
    <w:pPr>
      <w:spacing w:before="240"/>
    </w:pPr>
  </w:style>
  <w:style w:type="paragraph" w:customStyle="1" w:styleId="RecTitle">
    <w:name w:val="Rec Title"/>
    <w:basedOn w:val="BodyText"/>
    <w:next w:val="Rec"/>
    <w:qFormat/>
    <w:rsid w:val="00BC3D8A"/>
    <w:pPr>
      <w:keepNext/>
      <w:keepLines/>
      <w:spacing w:line="280" w:lineRule="atLeast"/>
    </w:pPr>
    <w:rPr>
      <w:rFonts w:ascii="Arial" w:hAnsi="Arial"/>
      <w:caps/>
      <w:sz w:val="18"/>
    </w:rPr>
  </w:style>
  <w:style w:type="paragraph" w:customStyle="1" w:styleId="FindingTitle">
    <w:name w:val="Finding Title"/>
    <w:basedOn w:val="RecTitle"/>
    <w:next w:val="Finding"/>
    <w:rsid w:val="00BC3D8A"/>
  </w:style>
  <w:style w:type="character" w:styleId="FootnoteReference">
    <w:name w:val="footnote reference"/>
    <w:basedOn w:val="DefaultParagraphFont"/>
    <w:semiHidden/>
    <w:rsid w:val="00BC3D8A"/>
    <w:rPr>
      <w:rFonts w:ascii="Times New Roman" w:hAnsi="Times New Roman"/>
      <w:position w:val="6"/>
      <w:sz w:val="20"/>
      <w:vertAlign w:val="baseline"/>
    </w:rPr>
  </w:style>
  <w:style w:type="paragraph" w:styleId="FootnoteText">
    <w:name w:val="footnote text"/>
    <w:basedOn w:val="BodyText"/>
    <w:link w:val="FootnoteTextChar"/>
    <w:rsid w:val="00BC3D8A"/>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BC3D8A"/>
    <w:rPr>
      <w:i/>
    </w:rPr>
  </w:style>
  <w:style w:type="paragraph" w:customStyle="1" w:styleId="Jurisdictioncommentsbodytext">
    <w:name w:val="Jurisdiction comments body text"/>
    <w:rsid w:val="00BC3D8A"/>
    <w:pPr>
      <w:spacing w:after="140"/>
      <w:jc w:val="both"/>
    </w:pPr>
    <w:rPr>
      <w:rFonts w:ascii="Arial" w:hAnsi="Arial"/>
      <w:sz w:val="24"/>
      <w:lang w:eastAsia="en-US"/>
    </w:rPr>
  </w:style>
  <w:style w:type="paragraph" w:customStyle="1" w:styleId="Jurisdictioncommentsheading">
    <w:name w:val="Jurisdiction comments heading"/>
    <w:rsid w:val="00BC3D8A"/>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BC3D8A"/>
    <w:pPr>
      <w:numPr>
        <w:numId w:val="2"/>
      </w:numPr>
      <w:spacing w:after="140"/>
      <w:jc w:val="both"/>
    </w:pPr>
    <w:rPr>
      <w:rFonts w:ascii="Arial" w:hAnsi="Arial"/>
      <w:sz w:val="24"/>
      <w:lang w:eastAsia="en-US"/>
    </w:rPr>
  </w:style>
  <w:style w:type="paragraph" w:styleId="ListBullet">
    <w:name w:val="List Bullet"/>
    <w:basedOn w:val="BodyText"/>
    <w:link w:val="ListBulletChar"/>
    <w:rsid w:val="00BC3D8A"/>
    <w:pPr>
      <w:numPr>
        <w:numId w:val="22"/>
      </w:numPr>
      <w:spacing w:before="120"/>
    </w:pPr>
  </w:style>
  <w:style w:type="paragraph" w:styleId="ListBullet2">
    <w:name w:val="List Bullet 2"/>
    <w:basedOn w:val="BodyText"/>
    <w:rsid w:val="00BC3D8A"/>
    <w:pPr>
      <w:numPr>
        <w:numId w:val="3"/>
      </w:numPr>
      <w:spacing w:before="120"/>
    </w:pPr>
  </w:style>
  <w:style w:type="paragraph" w:styleId="ListBullet3">
    <w:name w:val="List Bullet 3"/>
    <w:basedOn w:val="BodyText"/>
    <w:rsid w:val="00BC3D8A"/>
    <w:pPr>
      <w:numPr>
        <w:numId w:val="4"/>
      </w:numPr>
      <w:spacing w:before="120"/>
      <w:ind w:left="1020" w:hanging="340"/>
    </w:pPr>
  </w:style>
  <w:style w:type="paragraph" w:styleId="ListNumber">
    <w:name w:val="List Number"/>
    <w:basedOn w:val="BodyText"/>
    <w:rsid w:val="00BC3D8A"/>
    <w:pPr>
      <w:numPr>
        <w:numId w:val="8"/>
      </w:numPr>
      <w:spacing w:before="120"/>
    </w:pPr>
  </w:style>
  <w:style w:type="paragraph" w:styleId="ListNumber2">
    <w:name w:val="List Number 2"/>
    <w:basedOn w:val="ListNumber"/>
    <w:rsid w:val="00BC3D8A"/>
    <w:pPr>
      <w:numPr>
        <w:ilvl w:val="1"/>
      </w:numPr>
    </w:pPr>
  </w:style>
  <w:style w:type="paragraph" w:styleId="ListNumber3">
    <w:name w:val="List Number 3"/>
    <w:basedOn w:val="ListNumber2"/>
    <w:rsid w:val="00BC3D8A"/>
    <w:pPr>
      <w:numPr>
        <w:ilvl w:val="2"/>
      </w:numPr>
    </w:pPr>
  </w:style>
  <w:style w:type="character" w:customStyle="1" w:styleId="NoteLabel">
    <w:name w:val="Note Label"/>
    <w:basedOn w:val="DefaultParagraphFont"/>
    <w:rsid w:val="00BC3D8A"/>
    <w:rPr>
      <w:rFonts w:ascii="Arial" w:hAnsi="Arial"/>
      <w:b/>
      <w:position w:val="6"/>
      <w:sz w:val="18"/>
    </w:rPr>
  </w:style>
  <w:style w:type="paragraph" w:customStyle="1" w:styleId="PartDivider">
    <w:name w:val="Part Divider"/>
    <w:basedOn w:val="BodyText"/>
    <w:next w:val="BodyText"/>
    <w:semiHidden/>
    <w:rsid w:val="00BC3D8A"/>
    <w:pPr>
      <w:spacing w:before="0" w:line="40" w:lineRule="exact"/>
      <w:jc w:val="right"/>
    </w:pPr>
    <w:rPr>
      <w:smallCaps/>
      <w:sz w:val="16"/>
    </w:rPr>
  </w:style>
  <w:style w:type="paragraph" w:customStyle="1" w:styleId="PartNumber">
    <w:name w:val="Part Number"/>
    <w:basedOn w:val="BodyText"/>
    <w:next w:val="BodyText"/>
    <w:semiHidden/>
    <w:rsid w:val="00BC3D8A"/>
    <w:pPr>
      <w:spacing w:before="4000" w:line="320" w:lineRule="exact"/>
      <w:ind w:left="6634"/>
      <w:jc w:val="right"/>
    </w:pPr>
    <w:rPr>
      <w:smallCaps/>
      <w:spacing w:val="60"/>
      <w:sz w:val="32"/>
    </w:rPr>
  </w:style>
  <w:style w:type="paragraph" w:customStyle="1" w:styleId="PartTitle">
    <w:name w:val="Part Title"/>
    <w:basedOn w:val="BodyText"/>
    <w:semiHidden/>
    <w:rsid w:val="00BC3D8A"/>
    <w:pPr>
      <w:spacing w:before="160" w:after="1360" w:line="520" w:lineRule="exact"/>
      <w:ind w:right="2381"/>
      <w:jc w:val="right"/>
    </w:pPr>
    <w:rPr>
      <w:smallCaps/>
      <w:sz w:val="52"/>
    </w:rPr>
  </w:style>
  <w:style w:type="paragraph" w:styleId="Quote">
    <w:name w:val="Quote"/>
    <w:basedOn w:val="BodyText"/>
    <w:next w:val="BodyText"/>
    <w:link w:val="QuoteChar"/>
    <w:qFormat/>
    <w:rsid w:val="00BC3D8A"/>
    <w:pPr>
      <w:spacing w:before="120" w:line="280" w:lineRule="exact"/>
      <w:ind w:left="340"/>
    </w:pPr>
    <w:rPr>
      <w:sz w:val="22"/>
    </w:rPr>
  </w:style>
  <w:style w:type="paragraph" w:customStyle="1" w:styleId="QuoteBullet">
    <w:name w:val="Quote Bullet"/>
    <w:basedOn w:val="Quote"/>
    <w:rsid w:val="00BC3D8A"/>
    <w:pPr>
      <w:numPr>
        <w:numId w:val="5"/>
      </w:numPr>
    </w:pPr>
  </w:style>
  <w:style w:type="paragraph" w:customStyle="1" w:styleId="Rec">
    <w:name w:val="Rec"/>
    <w:basedOn w:val="BodyText"/>
    <w:qFormat/>
    <w:rsid w:val="00BC3D8A"/>
    <w:pPr>
      <w:keepLines/>
      <w:spacing w:before="120" w:line="280" w:lineRule="atLeast"/>
    </w:pPr>
    <w:rPr>
      <w:rFonts w:ascii="Arial" w:hAnsi="Arial"/>
      <w:sz w:val="22"/>
    </w:rPr>
  </w:style>
  <w:style w:type="paragraph" w:customStyle="1" w:styleId="RecBullet">
    <w:name w:val="Rec Bullet"/>
    <w:basedOn w:val="Rec"/>
    <w:rsid w:val="00BC3D8A"/>
    <w:pPr>
      <w:numPr>
        <w:numId w:val="25"/>
      </w:numPr>
      <w:spacing w:before="80"/>
    </w:pPr>
  </w:style>
  <w:style w:type="paragraph" w:customStyle="1" w:styleId="RecB">
    <w:name w:val="RecB"/>
    <w:basedOn w:val="Normal"/>
    <w:semiHidden/>
    <w:rsid w:val="00BC3D8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BC3D8A"/>
    <w:pPr>
      <w:numPr>
        <w:numId w:val="10"/>
      </w:numPr>
      <w:spacing w:before="80"/>
    </w:pPr>
  </w:style>
  <w:style w:type="paragraph" w:customStyle="1" w:styleId="RecBNoTitle">
    <w:name w:val="RecB NoTitle"/>
    <w:basedOn w:val="RecB"/>
    <w:semiHidden/>
    <w:rsid w:val="00BC3D8A"/>
    <w:pPr>
      <w:spacing w:before="240"/>
    </w:pPr>
  </w:style>
  <w:style w:type="paragraph" w:customStyle="1" w:styleId="Reference">
    <w:name w:val="Reference"/>
    <w:basedOn w:val="BodyText"/>
    <w:rsid w:val="00BC3D8A"/>
    <w:pPr>
      <w:spacing w:before="120"/>
      <w:ind w:left="340" w:hanging="340"/>
    </w:pPr>
  </w:style>
  <w:style w:type="paragraph" w:customStyle="1" w:styleId="SequenceInfo">
    <w:name w:val="Sequence Info"/>
    <w:basedOn w:val="BodyText"/>
    <w:semiHidden/>
    <w:rsid w:val="00BC3D8A"/>
    <w:rPr>
      <w:vanish/>
      <w:sz w:val="16"/>
    </w:rPr>
  </w:style>
  <w:style w:type="paragraph" w:customStyle="1" w:styleId="SideNote">
    <w:name w:val="Side Note"/>
    <w:basedOn w:val="BodyText"/>
    <w:next w:val="BodyText"/>
    <w:semiHidden/>
    <w:rsid w:val="00BC3D8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BC3D8A"/>
    <w:pPr>
      <w:framePr w:wrap="around"/>
      <w:numPr>
        <w:numId w:val="6"/>
      </w:numPr>
      <w:tabs>
        <w:tab w:val="left" w:pos="227"/>
      </w:tabs>
    </w:pPr>
  </w:style>
  <w:style w:type="paragraph" w:customStyle="1" w:styleId="SideNoteGraphic">
    <w:name w:val="Side Note Graphic"/>
    <w:basedOn w:val="SideNote"/>
    <w:next w:val="BodyText"/>
    <w:semiHidden/>
    <w:rsid w:val="00BC3D8A"/>
    <w:pPr>
      <w:framePr w:wrap="around"/>
    </w:pPr>
  </w:style>
  <w:style w:type="paragraph" w:customStyle="1" w:styleId="TableBodyText">
    <w:name w:val="Table Body Text"/>
    <w:basedOn w:val="BodyText"/>
    <w:rsid w:val="00BC3D8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BC3D8A"/>
    <w:pPr>
      <w:numPr>
        <w:numId w:val="7"/>
      </w:numPr>
      <w:jc w:val="left"/>
    </w:pPr>
  </w:style>
  <w:style w:type="paragraph" w:customStyle="1" w:styleId="TableColumnHeading">
    <w:name w:val="Table Column Heading"/>
    <w:basedOn w:val="TableBodyText"/>
    <w:rsid w:val="00BC3D8A"/>
    <w:pPr>
      <w:spacing w:before="80" w:after="80"/>
    </w:pPr>
    <w:rPr>
      <w:i/>
    </w:rPr>
  </w:style>
  <w:style w:type="paragraph" w:styleId="TOC2">
    <w:name w:val="toc 2"/>
    <w:basedOn w:val="TOC1"/>
    <w:rsid w:val="00BC3D8A"/>
    <w:pPr>
      <w:ind w:left="1134" w:hanging="624"/>
    </w:pPr>
    <w:rPr>
      <w:b w:val="0"/>
    </w:rPr>
  </w:style>
  <w:style w:type="paragraph" w:styleId="TOC3">
    <w:name w:val="toc 3"/>
    <w:basedOn w:val="TOC2"/>
    <w:rsid w:val="00BC3D8A"/>
    <w:pPr>
      <w:spacing w:before="60"/>
      <w:ind w:left="1190" w:hanging="680"/>
    </w:pPr>
  </w:style>
  <w:style w:type="paragraph" w:styleId="TableofFigures">
    <w:name w:val="table of figures"/>
    <w:basedOn w:val="TOC3"/>
    <w:next w:val="BodyText"/>
    <w:semiHidden/>
    <w:rsid w:val="00BC3D8A"/>
    <w:pPr>
      <w:ind w:left="737" w:hanging="737"/>
    </w:pPr>
  </w:style>
  <w:style w:type="paragraph" w:customStyle="1" w:styleId="TableTitle">
    <w:name w:val="Table Title"/>
    <w:basedOn w:val="Caption"/>
    <w:next w:val="Subtitle"/>
    <w:qFormat/>
    <w:rsid w:val="00BC3D8A"/>
    <w:pPr>
      <w:spacing w:before="120"/>
    </w:pPr>
  </w:style>
  <w:style w:type="paragraph" w:customStyle="1" w:styleId="TableUnitsRow">
    <w:name w:val="Table Units Row"/>
    <w:basedOn w:val="TableBodyText"/>
    <w:rsid w:val="00BC3D8A"/>
    <w:pPr>
      <w:spacing w:before="40"/>
    </w:pPr>
  </w:style>
  <w:style w:type="paragraph" w:styleId="TOC1">
    <w:name w:val="toc 1"/>
    <w:basedOn w:val="Normal"/>
    <w:next w:val="TOC2"/>
    <w:link w:val="TOC1Char"/>
    <w:rsid w:val="00BC3D8A"/>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BC3D8A"/>
    <w:pPr>
      <w:ind w:left="1191" w:firstLine="0"/>
    </w:pPr>
  </w:style>
  <w:style w:type="paragraph" w:customStyle="1" w:styleId="RecBBullet2">
    <w:name w:val="RecB Bullet 2"/>
    <w:basedOn w:val="ListBullet2"/>
    <w:semiHidden/>
    <w:rsid w:val="00BC3D8A"/>
    <w:pPr>
      <w:pBdr>
        <w:left w:val="single" w:sz="24" w:space="29" w:color="C0C0C0"/>
      </w:pBdr>
    </w:pPr>
    <w:rPr>
      <w:b/>
      <w:i/>
    </w:rPr>
  </w:style>
  <w:style w:type="paragraph" w:styleId="BalloonText">
    <w:name w:val="Balloon Text"/>
    <w:basedOn w:val="Normal"/>
    <w:link w:val="BalloonTextChar"/>
    <w:rsid w:val="00BC3D8A"/>
    <w:rPr>
      <w:rFonts w:ascii="Tahoma" w:hAnsi="Tahoma" w:cs="Tahoma"/>
      <w:sz w:val="16"/>
      <w:szCs w:val="16"/>
    </w:rPr>
  </w:style>
  <w:style w:type="character" w:customStyle="1" w:styleId="BalloonTextChar">
    <w:name w:val="Balloon Text Char"/>
    <w:basedOn w:val="DefaultParagraphFont"/>
    <w:link w:val="BalloonText"/>
    <w:rsid w:val="00BC3D8A"/>
    <w:rPr>
      <w:rFonts w:ascii="Tahoma" w:hAnsi="Tahoma" w:cs="Tahoma"/>
      <w:sz w:val="16"/>
      <w:szCs w:val="16"/>
    </w:rPr>
  </w:style>
  <w:style w:type="character" w:customStyle="1" w:styleId="SubtitleChar">
    <w:name w:val="Subtitle Char"/>
    <w:basedOn w:val="DefaultParagraphFont"/>
    <w:link w:val="Subtitle"/>
    <w:rsid w:val="00BC3D8A"/>
    <w:rPr>
      <w:rFonts w:ascii="Arial" w:hAnsi="Arial"/>
      <w:szCs w:val="24"/>
    </w:rPr>
  </w:style>
  <w:style w:type="paragraph" w:customStyle="1" w:styleId="BoxListBullet3">
    <w:name w:val="Box List Bullet 3"/>
    <w:basedOn w:val="ListBullet3"/>
    <w:rsid w:val="00BC3D8A"/>
    <w:pPr>
      <w:numPr>
        <w:numId w:val="13"/>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BC3D8A"/>
    <w:rPr>
      <w:i/>
      <w:iCs/>
    </w:rPr>
  </w:style>
  <w:style w:type="paragraph" w:customStyle="1" w:styleId="BoxQuoteBullet">
    <w:name w:val="Box Quote Bullet"/>
    <w:basedOn w:val="BoxQuote"/>
    <w:next w:val="Box"/>
    <w:rsid w:val="00BC3D8A"/>
    <w:pPr>
      <w:numPr>
        <w:numId w:val="11"/>
      </w:numPr>
      <w:ind w:left="568" w:hanging="284"/>
    </w:pPr>
  </w:style>
  <w:style w:type="paragraph" w:customStyle="1" w:styleId="InformationRequestBullet">
    <w:name w:val="Information Request Bullet"/>
    <w:basedOn w:val="ListBullet"/>
    <w:next w:val="BodyText"/>
    <w:rsid w:val="00BC3D8A"/>
    <w:pPr>
      <w:numPr>
        <w:numId w:val="17"/>
      </w:numPr>
      <w:spacing w:before="80" w:line="280" w:lineRule="atLeast"/>
      <w:ind w:left="357" w:hanging="357"/>
    </w:pPr>
    <w:rPr>
      <w:rFonts w:ascii="Arial" w:hAnsi="Arial"/>
      <w:i/>
      <w:sz w:val="22"/>
    </w:rPr>
  </w:style>
  <w:style w:type="paragraph" w:customStyle="1" w:styleId="BoxSpaceBelow">
    <w:name w:val="Box Space Below"/>
    <w:basedOn w:val="Box"/>
    <w:rsid w:val="00BC3D8A"/>
    <w:pPr>
      <w:keepNext w:val="0"/>
      <w:spacing w:before="60" w:after="60" w:line="80" w:lineRule="exact"/>
    </w:pPr>
    <w:rPr>
      <w:sz w:val="14"/>
    </w:rPr>
  </w:style>
  <w:style w:type="paragraph" w:customStyle="1" w:styleId="KeyPointsListBullet">
    <w:name w:val="Key Points List Bullet"/>
    <w:basedOn w:val="Normal"/>
    <w:qFormat/>
    <w:rsid w:val="00BC3D8A"/>
    <w:pPr>
      <w:keepNext/>
      <w:numPr>
        <w:numId w:val="15"/>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BC3D8A"/>
    <w:pPr>
      <w:numPr>
        <w:numId w:val="26"/>
      </w:numPr>
      <w:ind w:left="568" w:hanging="284"/>
    </w:pPr>
  </w:style>
  <w:style w:type="paragraph" w:customStyle="1" w:styleId="InformationRequestTitle">
    <w:name w:val="Information Request Title"/>
    <w:basedOn w:val="FindingTitle"/>
    <w:next w:val="InformationRequest"/>
    <w:rsid w:val="00BC3D8A"/>
    <w:rPr>
      <w:i/>
    </w:rPr>
  </w:style>
  <w:style w:type="paragraph" w:customStyle="1" w:styleId="Space">
    <w:name w:val="Space"/>
    <w:basedOn w:val="Normal"/>
    <w:rsid w:val="00BC3D8A"/>
    <w:pPr>
      <w:keepNext/>
      <w:spacing w:line="120" w:lineRule="exact"/>
      <w:jc w:val="both"/>
    </w:pPr>
    <w:rPr>
      <w:rFonts w:ascii="Arial" w:hAnsi="Arial"/>
      <w:sz w:val="20"/>
      <w:szCs w:val="20"/>
    </w:rPr>
  </w:style>
  <w:style w:type="paragraph" w:customStyle="1" w:styleId="Heading1nochapterno">
    <w:name w:val="Heading 1 (no chapter no.)"/>
    <w:basedOn w:val="Heading1"/>
    <w:rsid w:val="00BC3D8A"/>
    <w:pPr>
      <w:spacing w:before="0"/>
      <w:ind w:left="0" w:firstLine="0"/>
    </w:pPr>
  </w:style>
  <w:style w:type="paragraph" w:customStyle="1" w:styleId="Heading2nosectionno">
    <w:name w:val="Heading 2 (no section no.)"/>
    <w:basedOn w:val="Heading2"/>
    <w:rsid w:val="00BC3D8A"/>
    <w:pPr>
      <w:ind w:left="0" w:firstLine="0"/>
    </w:pPr>
  </w:style>
  <w:style w:type="character" w:customStyle="1" w:styleId="Heading5Char">
    <w:name w:val="Heading 5 Char"/>
    <w:basedOn w:val="DefaultParagraphFont"/>
    <w:link w:val="Heading5"/>
    <w:rsid w:val="00BC3D8A"/>
    <w:rPr>
      <w:rFonts w:ascii="Arial" w:hAnsi="Arial"/>
      <w:i/>
      <w:sz w:val="22"/>
    </w:rPr>
  </w:style>
  <w:style w:type="paragraph" w:customStyle="1" w:styleId="Figurespace">
    <w:name w:val="Figure space"/>
    <w:basedOn w:val="Box"/>
    <w:rsid w:val="00BC3D8A"/>
    <w:pPr>
      <w:spacing w:before="0" w:line="120" w:lineRule="exact"/>
    </w:pPr>
  </w:style>
  <w:style w:type="paragraph" w:customStyle="1" w:styleId="FooterDraftReport">
    <w:name w:val="FooterDraftReport"/>
    <w:basedOn w:val="Footer"/>
    <w:link w:val="FooterDraftReportChar"/>
    <w:rsid w:val="00BC3D8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rsid w:val="00415F39"/>
    <w:rPr>
      <w:color w:val="000000" w:themeColor="hyperlink"/>
      <w:u w:val="single"/>
    </w:rPr>
  </w:style>
  <w:style w:type="table" w:styleId="TableGrid">
    <w:name w:val="Table Grid"/>
    <w:basedOn w:val="TableNormal"/>
    <w:rsid w:val="00BC3D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BodyTextChar"/>
    <w:link w:val="Footer"/>
    <w:rsid w:val="00BC3D8A"/>
    <w:rPr>
      <w:rFonts w:ascii="Arial" w:hAnsi="Arial"/>
      <w:caps/>
      <w:spacing w:val="-4"/>
      <w:sz w:val="16"/>
    </w:rPr>
  </w:style>
  <w:style w:type="character" w:customStyle="1" w:styleId="BodyTextChar">
    <w:name w:val="Body Text Char"/>
    <w:aliases w:val="Body Text1 Char,new legislation style Char,new legislation style1 Char,new legislation style Ch Char"/>
    <w:basedOn w:val="DefaultParagraphFont"/>
    <w:link w:val="BodyText"/>
    <w:rsid w:val="00BC3D8A"/>
    <w:rPr>
      <w:sz w:val="24"/>
    </w:rPr>
  </w:style>
  <w:style w:type="character" w:customStyle="1" w:styleId="CommentTextChar">
    <w:name w:val="Comment Text Char"/>
    <w:basedOn w:val="DefaultParagraphFont"/>
    <w:link w:val="CommentText"/>
    <w:rsid w:val="001F49AE"/>
    <w:rPr>
      <w:szCs w:val="24"/>
    </w:rPr>
  </w:style>
  <w:style w:type="character" w:customStyle="1" w:styleId="Heading1Char">
    <w:name w:val="Heading 1 Char"/>
    <w:basedOn w:val="DefaultParagraphFont"/>
    <w:link w:val="Heading1"/>
    <w:rsid w:val="009744FA"/>
    <w:rPr>
      <w:sz w:val="52"/>
    </w:rPr>
  </w:style>
  <w:style w:type="character" w:customStyle="1" w:styleId="Heading4Char">
    <w:name w:val="Heading 4 Char"/>
    <w:basedOn w:val="DefaultParagraphFont"/>
    <w:link w:val="Heading4"/>
    <w:rsid w:val="009744FA"/>
    <w:rPr>
      <w:rFonts w:ascii="Arial" w:hAnsi="Arial"/>
      <w:sz w:val="24"/>
    </w:rPr>
  </w:style>
  <w:style w:type="character" w:customStyle="1" w:styleId="Heading6Char">
    <w:name w:val="Heading 6 Char"/>
    <w:basedOn w:val="DefaultParagraphFont"/>
    <w:link w:val="Heading6"/>
    <w:semiHidden/>
    <w:rsid w:val="009744FA"/>
    <w:rPr>
      <w:i/>
      <w:sz w:val="22"/>
    </w:rPr>
  </w:style>
  <w:style w:type="character" w:customStyle="1" w:styleId="Heading7Char">
    <w:name w:val="Heading 7 Char"/>
    <w:basedOn w:val="DefaultParagraphFont"/>
    <w:link w:val="Heading7"/>
    <w:semiHidden/>
    <w:rsid w:val="009744FA"/>
    <w:rPr>
      <w:rFonts w:ascii="Arial" w:hAnsi="Arial"/>
    </w:rPr>
  </w:style>
  <w:style w:type="character" w:customStyle="1" w:styleId="Heading8Char">
    <w:name w:val="Heading 8 Char"/>
    <w:basedOn w:val="DefaultParagraphFont"/>
    <w:link w:val="Heading8"/>
    <w:semiHidden/>
    <w:rsid w:val="009744FA"/>
    <w:rPr>
      <w:rFonts w:ascii="Arial" w:hAnsi="Arial"/>
      <w:i/>
    </w:rPr>
  </w:style>
  <w:style w:type="character" w:customStyle="1" w:styleId="Heading9Char">
    <w:name w:val="Heading 9 Char"/>
    <w:basedOn w:val="DefaultParagraphFont"/>
    <w:link w:val="Heading9"/>
    <w:semiHidden/>
    <w:rsid w:val="009744FA"/>
    <w:rPr>
      <w:rFonts w:ascii="Arial" w:hAnsi="Arial"/>
      <w:b/>
      <w:i/>
      <w:sz w:val="18"/>
    </w:rPr>
  </w:style>
  <w:style w:type="character" w:customStyle="1" w:styleId="HeaderChar">
    <w:name w:val="Header Char"/>
    <w:basedOn w:val="DefaultParagraphFont"/>
    <w:link w:val="Header"/>
    <w:rsid w:val="009744FA"/>
    <w:rPr>
      <w:rFonts w:ascii="Arial" w:hAnsi="Arial"/>
      <w:caps/>
      <w:sz w:val="24"/>
    </w:rPr>
  </w:style>
  <w:style w:type="character" w:customStyle="1" w:styleId="FootnoteTextChar">
    <w:name w:val="Footnote Text Char"/>
    <w:basedOn w:val="DefaultParagraphFont"/>
    <w:link w:val="FootnoteText"/>
    <w:rsid w:val="009744FA"/>
  </w:style>
  <w:style w:type="character" w:customStyle="1" w:styleId="QuoteChar">
    <w:name w:val="Quote Char"/>
    <w:basedOn w:val="DefaultParagraphFont"/>
    <w:link w:val="Quote"/>
    <w:rsid w:val="009744FA"/>
    <w:rPr>
      <w:sz w:val="22"/>
    </w:rPr>
  </w:style>
  <w:style w:type="paragraph" w:customStyle="1" w:styleId="Heading1NotTOC">
    <w:name w:val="Heading 1 Not TOC"/>
    <w:basedOn w:val="Heading1"/>
    <w:next w:val="BodyText"/>
    <w:rsid w:val="009744FA"/>
    <w:rPr>
      <w:kern w:val="28"/>
      <w:szCs w:val="26"/>
      <w:lang w:eastAsia="en-US"/>
    </w:rPr>
  </w:style>
  <w:style w:type="character" w:customStyle="1" w:styleId="TOC1Char">
    <w:name w:val="TOC 1 Char"/>
    <w:basedOn w:val="DefaultParagraphFont"/>
    <w:link w:val="TOC1"/>
    <w:rsid w:val="00BC3D8A"/>
    <w:rPr>
      <w:rFonts w:ascii="Arial" w:hAnsi="Arial"/>
      <w:b/>
      <w:sz w:val="26"/>
      <w:szCs w:val="26"/>
      <w:lang w:eastAsia="en-US"/>
    </w:rPr>
  </w:style>
  <w:style w:type="paragraph" w:customStyle="1" w:styleId="BoxSpaceAboveElement">
    <w:name w:val="Box Space Above Element"/>
    <w:basedOn w:val="BoxSpaceAbove"/>
    <w:link w:val="BoxSpaceAboveElementChar"/>
    <w:qFormat/>
    <w:rsid w:val="009744FA"/>
    <w:pPr>
      <w:spacing w:before="240"/>
    </w:pPr>
    <w:rPr>
      <w:b/>
      <w:vanish/>
      <w:color w:val="FF00FF"/>
      <w:sz w:val="14"/>
    </w:rPr>
  </w:style>
  <w:style w:type="character" w:customStyle="1" w:styleId="BoxSpaceAboveElementChar">
    <w:name w:val="Box Space Above Element Char"/>
    <w:basedOn w:val="DefaultParagraphFont"/>
    <w:link w:val="BoxSpaceAboveElement"/>
    <w:rsid w:val="009744FA"/>
    <w:rPr>
      <w:b/>
      <w:vanish/>
      <w:color w:val="FF00FF"/>
      <w:sz w:val="14"/>
    </w:rPr>
  </w:style>
  <w:style w:type="paragraph" w:styleId="ListParagraph">
    <w:name w:val="List Paragraph"/>
    <w:basedOn w:val="Normal"/>
    <w:uiPriority w:val="34"/>
    <w:qFormat/>
    <w:rsid w:val="009744FA"/>
    <w:pPr>
      <w:ind w:left="720"/>
    </w:pPr>
    <w:rPr>
      <w:rFonts w:ascii="Calibri" w:eastAsiaTheme="minorHAnsi" w:hAnsi="Calibri"/>
      <w:sz w:val="22"/>
      <w:szCs w:val="22"/>
    </w:rPr>
  </w:style>
  <w:style w:type="paragraph" w:styleId="CommentSubject">
    <w:name w:val="annotation subject"/>
    <w:basedOn w:val="CommentText"/>
    <w:next w:val="CommentText"/>
    <w:link w:val="CommentSubjectChar"/>
    <w:semiHidden/>
    <w:unhideWhenUsed/>
    <w:rsid w:val="009744FA"/>
    <w:pPr>
      <w:spacing w:before="0" w:line="240" w:lineRule="auto"/>
      <w:ind w:left="0" w:firstLine="0"/>
    </w:pPr>
    <w:rPr>
      <w:b/>
      <w:bCs/>
    </w:rPr>
  </w:style>
  <w:style w:type="character" w:customStyle="1" w:styleId="CommentSubjectChar">
    <w:name w:val="Comment Subject Char"/>
    <w:basedOn w:val="CommentTextChar"/>
    <w:link w:val="CommentSubject"/>
    <w:semiHidden/>
    <w:rsid w:val="009744FA"/>
    <w:rPr>
      <w:b/>
      <w:bCs/>
      <w:szCs w:val="24"/>
      <w:lang w:eastAsia="en-US"/>
    </w:rPr>
  </w:style>
  <w:style w:type="paragraph" w:styleId="Bibliography">
    <w:name w:val="Bibliography"/>
    <w:basedOn w:val="Normal"/>
    <w:next w:val="Normal"/>
    <w:uiPriority w:val="37"/>
    <w:unhideWhenUsed/>
    <w:rsid w:val="009744FA"/>
    <w:pPr>
      <w:spacing w:after="240"/>
      <w:ind w:left="720" w:hanging="720"/>
    </w:pPr>
  </w:style>
  <w:style w:type="character" w:customStyle="1" w:styleId="ListBulletChar">
    <w:name w:val="List Bullet Char"/>
    <w:basedOn w:val="DefaultParagraphFont"/>
    <w:link w:val="ListBullet"/>
    <w:rsid w:val="009744FA"/>
    <w:rPr>
      <w:sz w:val="24"/>
    </w:rPr>
  </w:style>
  <w:style w:type="paragraph" w:styleId="Revision">
    <w:name w:val="Revision"/>
    <w:hidden/>
    <w:uiPriority w:val="99"/>
    <w:semiHidden/>
    <w:rsid w:val="009744FA"/>
    <w:rPr>
      <w:sz w:val="24"/>
      <w:szCs w:val="24"/>
    </w:rPr>
  </w:style>
  <w:style w:type="character" w:styleId="EndnoteReference">
    <w:name w:val="endnote reference"/>
    <w:basedOn w:val="DefaultParagraphFont"/>
    <w:semiHidden/>
    <w:unhideWhenUsed/>
    <w:rsid w:val="009744FA"/>
    <w:rPr>
      <w:vertAlign w:val="superscript"/>
    </w:rPr>
  </w:style>
  <w:style w:type="character" w:styleId="FollowedHyperlink">
    <w:name w:val="FollowedHyperlink"/>
    <w:basedOn w:val="DefaultParagraphFont"/>
    <w:semiHidden/>
    <w:unhideWhenUsed/>
    <w:rsid w:val="00A10E67"/>
    <w:rPr>
      <w:color w:val="BFBFBF" w:themeColor="followedHyperlink"/>
      <w:u w:val="single"/>
    </w:rPr>
  </w:style>
  <w:style w:type="character" w:customStyle="1" w:styleId="FooterDraftReportChar">
    <w:name w:val="FooterDraftReport Char"/>
    <w:basedOn w:val="FooterChar"/>
    <w:link w:val="FooterDraftReport"/>
    <w:rsid w:val="00BC3D8A"/>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Continuedintitle">
    <w:name w:val="Continued (in title)"/>
    <w:basedOn w:val="DefaultParagraphFont"/>
    <w:rsid w:val="00BC3D8A"/>
    <w:rPr>
      <w:rFonts w:ascii="Arial" w:hAnsi="Arial"/>
      <w:b/>
      <w:sz w:val="18"/>
    </w:rPr>
  </w:style>
  <w:style w:type="paragraph" w:styleId="NormalWeb">
    <w:name w:val="Normal (Web)"/>
    <w:basedOn w:val="Normal"/>
    <w:uiPriority w:val="99"/>
    <w:unhideWhenUsed/>
    <w:rsid w:val="009924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6939">
      <w:bodyDiv w:val="1"/>
      <w:marLeft w:val="0"/>
      <w:marRight w:val="0"/>
      <w:marTop w:val="0"/>
      <w:marBottom w:val="0"/>
      <w:divBdr>
        <w:top w:val="none" w:sz="0" w:space="0" w:color="auto"/>
        <w:left w:val="none" w:sz="0" w:space="0" w:color="auto"/>
        <w:bottom w:val="none" w:sz="0" w:space="0" w:color="auto"/>
        <w:right w:val="none" w:sz="0" w:space="0" w:color="auto"/>
      </w:divBdr>
    </w:div>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460001467">
      <w:bodyDiv w:val="1"/>
      <w:marLeft w:val="0"/>
      <w:marRight w:val="0"/>
      <w:marTop w:val="0"/>
      <w:marBottom w:val="0"/>
      <w:divBdr>
        <w:top w:val="none" w:sz="0" w:space="0" w:color="auto"/>
        <w:left w:val="none" w:sz="0" w:space="0" w:color="auto"/>
        <w:bottom w:val="none" w:sz="0" w:space="0" w:color="auto"/>
        <w:right w:val="none" w:sz="0" w:space="0" w:color="auto"/>
      </w:divBdr>
    </w:div>
    <w:div w:id="604504117">
      <w:bodyDiv w:val="1"/>
      <w:marLeft w:val="0"/>
      <w:marRight w:val="0"/>
      <w:marTop w:val="0"/>
      <w:marBottom w:val="0"/>
      <w:divBdr>
        <w:top w:val="none" w:sz="0" w:space="0" w:color="auto"/>
        <w:left w:val="none" w:sz="0" w:space="0" w:color="auto"/>
        <w:bottom w:val="none" w:sz="0" w:space="0" w:color="auto"/>
        <w:right w:val="none" w:sz="0" w:space="0" w:color="auto"/>
      </w:divBdr>
    </w:div>
    <w:div w:id="930971588">
      <w:bodyDiv w:val="1"/>
      <w:marLeft w:val="0"/>
      <w:marRight w:val="0"/>
      <w:marTop w:val="0"/>
      <w:marBottom w:val="0"/>
      <w:divBdr>
        <w:top w:val="none" w:sz="0" w:space="0" w:color="auto"/>
        <w:left w:val="none" w:sz="0" w:space="0" w:color="auto"/>
        <w:bottom w:val="none" w:sz="0" w:space="0" w:color="auto"/>
        <w:right w:val="none" w:sz="0" w:space="0" w:color="auto"/>
      </w:divBdr>
      <w:divsChild>
        <w:div w:id="1244411175">
          <w:marLeft w:val="0"/>
          <w:marRight w:val="0"/>
          <w:marTop w:val="0"/>
          <w:marBottom w:val="0"/>
          <w:divBdr>
            <w:top w:val="none" w:sz="0" w:space="0" w:color="auto"/>
            <w:left w:val="none" w:sz="0" w:space="0" w:color="auto"/>
            <w:bottom w:val="none" w:sz="0" w:space="0" w:color="auto"/>
            <w:right w:val="none" w:sz="0" w:space="0" w:color="auto"/>
          </w:divBdr>
          <w:divsChild>
            <w:div w:id="542520762">
              <w:marLeft w:val="0"/>
              <w:marRight w:val="0"/>
              <w:marTop w:val="0"/>
              <w:marBottom w:val="0"/>
              <w:divBdr>
                <w:top w:val="none" w:sz="0" w:space="0" w:color="auto"/>
                <w:left w:val="none" w:sz="0" w:space="0" w:color="auto"/>
                <w:bottom w:val="none" w:sz="0" w:space="0" w:color="auto"/>
                <w:right w:val="none" w:sz="0" w:space="0" w:color="auto"/>
              </w:divBdr>
              <w:divsChild>
                <w:div w:id="1791776531">
                  <w:marLeft w:val="0"/>
                  <w:marRight w:val="0"/>
                  <w:marTop w:val="0"/>
                  <w:marBottom w:val="0"/>
                  <w:divBdr>
                    <w:top w:val="none" w:sz="0" w:space="0" w:color="auto"/>
                    <w:left w:val="none" w:sz="0" w:space="0" w:color="auto"/>
                    <w:bottom w:val="none" w:sz="0" w:space="0" w:color="auto"/>
                    <w:right w:val="none" w:sz="0" w:space="0" w:color="auto"/>
                  </w:divBdr>
                  <w:divsChild>
                    <w:div w:id="1453862861">
                      <w:marLeft w:val="0"/>
                      <w:marRight w:val="0"/>
                      <w:marTop w:val="0"/>
                      <w:marBottom w:val="0"/>
                      <w:divBdr>
                        <w:top w:val="none" w:sz="0" w:space="0" w:color="auto"/>
                        <w:left w:val="none" w:sz="0" w:space="0" w:color="auto"/>
                        <w:bottom w:val="none" w:sz="0" w:space="0" w:color="auto"/>
                        <w:right w:val="none" w:sz="0" w:space="0" w:color="auto"/>
                      </w:divBdr>
                      <w:divsChild>
                        <w:div w:id="848299224">
                          <w:marLeft w:val="0"/>
                          <w:marRight w:val="0"/>
                          <w:marTop w:val="0"/>
                          <w:marBottom w:val="0"/>
                          <w:divBdr>
                            <w:top w:val="none" w:sz="0" w:space="0" w:color="auto"/>
                            <w:left w:val="none" w:sz="0" w:space="0" w:color="auto"/>
                            <w:bottom w:val="none" w:sz="0" w:space="0" w:color="auto"/>
                            <w:right w:val="none" w:sz="0" w:space="0" w:color="auto"/>
                          </w:divBdr>
                          <w:divsChild>
                            <w:div w:id="3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992467">
      <w:bodyDiv w:val="1"/>
      <w:marLeft w:val="0"/>
      <w:marRight w:val="0"/>
      <w:marTop w:val="0"/>
      <w:marBottom w:val="0"/>
      <w:divBdr>
        <w:top w:val="none" w:sz="0" w:space="0" w:color="auto"/>
        <w:left w:val="none" w:sz="0" w:space="0" w:color="auto"/>
        <w:bottom w:val="none" w:sz="0" w:space="0" w:color="auto"/>
        <w:right w:val="none" w:sz="0" w:space="0" w:color="auto"/>
      </w:divBdr>
    </w:div>
    <w:div w:id="1017390317">
      <w:bodyDiv w:val="1"/>
      <w:marLeft w:val="0"/>
      <w:marRight w:val="0"/>
      <w:marTop w:val="0"/>
      <w:marBottom w:val="0"/>
      <w:divBdr>
        <w:top w:val="none" w:sz="0" w:space="0" w:color="auto"/>
        <w:left w:val="none" w:sz="0" w:space="0" w:color="auto"/>
        <w:bottom w:val="none" w:sz="0" w:space="0" w:color="auto"/>
        <w:right w:val="none" w:sz="0" w:space="0" w:color="auto"/>
      </w:divBdr>
    </w:div>
    <w:div w:id="1119377708">
      <w:bodyDiv w:val="1"/>
      <w:marLeft w:val="0"/>
      <w:marRight w:val="0"/>
      <w:marTop w:val="0"/>
      <w:marBottom w:val="0"/>
      <w:divBdr>
        <w:top w:val="none" w:sz="0" w:space="0" w:color="auto"/>
        <w:left w:val="none" w:sz="0" w:space="0" w:color="auto"/>
        <w:bottom w:val="none" w:sz="0" w:space="0" w:color="auto"/>
        <w:right w:val="none" w:sz="0" w:space="0" w:color="auto"/>
      </w:divBdr>
    </w:div>
    <w:div w:id="1350134152">
      <w:bodyDiv w:val="1"/>
      <w:marLeft w:val="0"/>
      <w:marRight w:val="0"/>
      <w:marTop w:val="0"/>
      <w:marBottom w:val="0"/>
      <w:divBdr>
        <w:top w:val="none" w:sz="0" w:space="0" w:color="auto"/>
        <w:left w:val="none" w:sz="0" w:space="0" w:color="auto"/>
        <w:bottom w:val="none" w:sz="0" w:space="0" w:color="auto"/>
        <w:right w:val="none" w:sz="0" w:space="0" w:color="auto"/>
      </w:divBdr>
    </w:div>
    <w:div w:id="1367751640">
      <w:bodyDiv w:val="1"/>
      <w:marLeft w:val="0"/>
      <w:marRight w:val="0"/>
      <w:marTop w:val="0"/>
      <w:marBottom w:val="0"/>
      <w:divBdr>
        <w:top w:val="none" w:sz="0" w:space="0" w:color="auto"/>
        <w:left w:val="none" w:sz="0" w:space="0" w:color="auto"/>
        <w:bottom w:val="none" w:sz="0" w:space="0" w:color="auto"/>
        <w:right w:val="none" w:sz="0" w:space="0" w:color="auto"/>
      </w:divBdr>
      <w:divsChild>
        <w:div w:id="956376589">
          <w:marLeft w:val="0"/>
          <w:marRight w:val="0"/>
          <w:marTop w:val="0"/>
          <w:marBottom w:val="0"/>
          <w:divBdr>
            <w:top w:val="none" w:sz="0" w:space="0" w:color="auto"/>
            <w:left w:val="none" w:sz="0" w:space="0" w:color="auto"/>
            <w:bottom w:val="none" w:sz="0" w:space="0" w:color="auto"/>
            <w:right w:val="none" w:sz="0" w:space="0" w:color="auto"/>
          </w:divBdr>
          <w:divsChild>
            <w:div w:id="1110667260">
              <w:marLeft w:val="0"/>
              <w:marRight w:val="0"/>
              <w:marTop w:val="0"/>
              <w:marBottom w:val="0"/>
              <w:divBdr>
                <w:top w:val="none" w:sz="0" w:space="0" w:color="auto"/>
                <w:left w:val="none" w:sz="0" w:space="0" w:color="auto"/>
                <w:bottom w:val="none" w:sz="0" w:space="0" w:color="auto"/>
                <w:right w:val="none" w:sz="0" w:space="0" w:color="auto"/>
              </w:divBdr>
              <w:divsChild>
                <w:div w:id="686174800">
                  <w:marLeft w:val="0"/>
                  <w:marRight w:val="0"/>
                  <w:marTop w:val="0"/>
                  <w:marBottom w:val="0"/>
                  <w:divBdr>
                    <w:top w:val="none" w:sz="0" w:space="0" w:color="auto"/>
                    <w:left w:val="none" w:sz="0" w:space="0" w:color="auto"/>
                    <w:bottom w:val="none" w:sz="0" w:space="0" w:color="auto"/>
                    <w:right w:val="none" w:sz="0" w:space="0" w:color="auto"/>
                  </w:divBdr>
                  <w:divsChild>
                    <w:div w:id="1641114215">
                      <w:marLeft w:val="0"/>
                      <w:marRight w:val="0"/>
                      <w:marTop w:val="0"/>
                      <w:marBottom w:val="0"/>
                      <w:divBdr>
                        <w:top w:val="none" w:sz="0" w:space="0" w:color="auto"/>
                        <w:left w:val="none" w:sz="0" w:space="0" w:color="auto"/>
                        <w:bottom w:val="none" w:sz="0" w:space="0" w:color="auto"/>
                        <w:right w:val="none" w:sz="0" w:space="0" w:color="auto"/>
                      </w:divBdr>
                      <w:divsChild>
                        <w:div w:id="264577369">
                          <w:marLeft w:val="-225"/>
                          <w:marRight w:val="-225"/>
                          <w:marTop w:val="0"/>
                          <w:marBottom w:val="0"/>
                          <w:divBdr>
                            <w:top w:val="none" w:sz="0" w:space="0" w:color="auto"/>
                            <w:left w:val="none" w:sz="0" w:space="0" w:color="auto"/>
                            <w:bottom w:val="none" w:sz="0" w:space="0" w:color="auto"/>
                            <w:right w:val="none" w:sz="0" w:space="0" w:color="auto"/>
                          </w:divBdr>
                          <w:divsChild>
                            <w:div w:id="1089161568">
                              <w:marLeft w:val="0"/>
                              <w:marRight w:val="0"/>
                              <w:marTop w:val="0"/>
                              <w:marBottom w:val="0"/>
                              <w:divBdr>
                                <w:top w:val="none" w:sz="0" w:space="0" w:color="auto"/>
                                <w:left w:val="none" w:sz="0" w:space="0" w:color="auto"/>
                                <w:bottom w:val="none" w:sz="0" w:space="0" w:color="auto"/>
                                <w:right w:val="none" w:sz="0" w:space="0" w:color="auto"/>
                              </w:divBdr>
                              <w:divsChild>
                                <w:div w:id="2098742468">
                                  <w:marLeft w:val="0"/>
                                  <w:marRight w:val="0"/>
                                  <w:marTop w:val="0"/>
                                  <w:marBottom w:val="0"/>
                                  <w:divBdr>
                                    <w:top w:val="none" w:sz="0" w:space="0" w:color="auto"/>
                                    <w:left w:val="none" w:sz="0" w:space="0" w:color="auto"/>
                                    <w:bottom w:val="none" w:sz="0" w:space="0" w:color="auto"/>
                                    <w:right w:val="none" w:sz="0" w:space="0" w:color="auto"/>
                                  </w:divBdr>
                                  <w:divsChild>
                                    <w:div w:id="1584877834">
                                      <w:marLeft w:val="0"/>
                                      <w:marRight w:val="0"/>
                                      <w:marTop w:val="0"/>
                                      <w:marBottom w:val="0"/>
                                      <w:divBdr>
                                        <w:top w:val="none" w:sz="0" w:space="0" w:color="auto"/>
                                        <w:left w:val="none" w:sz="0" w:space="0" w:color="auto"/>
                                        <w:bottom w:val="none" w:sz="0" w:space="0" w:color="auto"/>
                                        <w:right w:val="none" w:sz="0" w:space="0" w:color="auto"/>
                                      </w:divBdr>
                                      <w:divsChild>
                                        <w:div w:id="1556698340">
                                          <w:marLeft w:val="0"/>
                                          <w:marRight w:val="0"/>
                                          <w:marTop w:val="0"/>
                                          <w:marBottom w:val="0"/>
                                          <w:divBdr>
                                            <w:top w:val="none" w:sz="0" w:space="0" w:color="auto"/>
                                            <w:left w:val="none" w:sz="0" w:space="0" w:color="auto"/>
                                            <w:bottom w:val="none" w:sz="0" w:space="0" w:color="auto"/>
                                            <w:right w:val="none" w:sz="0" w:space="0" w:color="auto"/>
                                          </w:divBdr>
                                          <w:divsChild>
                                            <w:div w:id="314838696">
                                              <w:marLeft w:val="0"/>
                                              <w:marRight w:val="0"/>
                                              <w:marTop w:val="0"/>
                                              <w:marBottom w:val="0"/>
                                              <w:divBdr>
                                                <w:top w:val="none" w:sz="0" w:space="0" w:color="auto"/>
                                                <w:left w:val="none" w:sz="0" w:space="0" w:color="auto"/>
                                                <w:bottom w:val="none" w:sz="0" w:space="0" w:color="auto"/>
                                                <w:right w:val="none" w:sz="0" w:space="0" w:color="auto"/>
                                              </w:divBdr>
                                              <w:divsChild>
                                                <w:div w:id="986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0534628">
      <w:bodyDiv w:val="1"/>
      <w:marLeft w:val="0"/>
      <w:marRight w:val="0"/>
      <w:marTop w:val="0"/>
      <w:marBottom w:val="0"/>
      <w:divBdr>
        <w:top w:val="none" w:sz="0" w:space="0" w:color="auto"/>
        <w:left w:val="none" w:sz="0" w:space="0" w:color="auto"/>
        <w:bottom w:val="none" w:sz="0" w:space="0" w:color="auto"/>
        <w:right w:val="none" w:sz="0" w:space="0" w:color="auto"/>
      </w:divBdr>
    </w:div>
    <w:div w:id="1506439052">
      <w:bodyDiv w:val="1"/>
      <w:marLeft w:val="0"/>
      <w:marRight w:val="0"/>
      <w:marTop w:val="0"/>
      <w:marBottom w:val="0"/>
      <w:divBdr>
        <w:top w:val="none" w:sz="0" w:space="0" w:color="auto"/>
        <w:left w:val="none" w:sz="0" w:space="0" w:color="auto"/>
        <w:bottom w:val="none" w:sz="0" w:space="0" w:color="auto"/>
        <w:right w:val="none" w:sz="0" w:space="0" w:color="auto"/>
      </w:divBdr>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608460193">
      <w:bodyDiv w:val="1"/>
      <w:marLeft w:val="0"/>
      <w:marRight w:val="0"/>
      <w:marTop w:val="0"/>
      <w:marBottom w:val="0"/>
      <w:divBdr>
        <w:top w:val="none" w:sz="0" w:space="0" w:color="auto"/>
        <w:left w:val="none" w:sz="0" w:space="0" w:color="auto"/>
        <w:bottom w:val="none" w:sz="0" w:space="0" w:color="auto"/>
        <w:right w:val="none" w:sz="0" w:space="0" w:color="auto"/>
      </w:divBdr>
    </w:div>
    <w:div w:id="162195310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header" Target="header7.xml"/><Relationship Id="rId42" Type="http://schemas.openxmlformats.org/officeDocument/2006/relationships/header" Target="header10.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emf"/><Relationship Id="rId33" Type="http://schemas.openxmlformats.org/officeDocument/2006/relationships/header" Target="header6.xml"/><Relationship Id="rId38" Type="http://schemas.openxmlformats.org/officeDocument/2006/relationships/header" Target="header9.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hyperlink" Target="http://www.pc.gov.au/inquiries/current/basin-pla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image" Target="media/image6.emf"/><Relationship Id="rId37" Type="http://schemas.openxmlformats.org/officeDocument/2006/relationships/header" Target="header8.xml"/><Relationship Id="rId40" Type="http://schemas.openxmlformats.org/officeDocument/2006/relationships/footer" Target="footer11.xml"/><Relationship Id="rId45"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hyperlink" Target="http://www.pc.gov.au/inquiries/current/basin-plan" TargetMode="Externa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footer" Target="footer9.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image" Target="media/image5.emf"/><Relationship Id="rId44"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image" Target="media/image4.emf"/><Relationship Id="rId35" Type="http://schemas.openxmlformats.org/officeDocument/2006/relationships/footer" Target="footer8.xml"/><Relationship Id="rId43"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0da5c63-8548-4ac8-9616-83b0f373280e" ContentTypeId="0x0101007916246811615643A710C6FEAFF56A871101" PreviousValue="false"/>
</file>

<file path=customXml/item3.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Visit_x0020_Location xmlns="8044c801-d84b-4ee1-a77e-678f8dcdee17" xsi:nil="true"/>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Issues Papers</TermName>
          <TermId xmlns="http://schemas.microsoft.com/office/infopath/2007/PartnerControls">3f58d8d8-eba3-4f69-b92f-42d45f1952c5</TermId>
        </TermInfo>
      </Terms>
    </p7a0baa8c88445a78b6f55906390ba17>
    <TaxCatchAll xmlns="3f4bcce7-ac1a-4c9d-aa3e-7e77695652db">
      <Value>249</Value>
    </TaxCatchAll>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Consult" ma:contentTypeID="0x0101007916246811615643A710C6FEAFF56A87110100EEFE548D9549EA4098E3A65339C068F3007A3D139E40C22A49BB9A469316E1E902" ma:contentTypeVersion="0" ma:contentTypeDescription="" ma:contentTypeScope="" ma:versionID="f11baf0f7c853dbf1c067d68c53b28c7">
  <xsd:schema xmlns:xsd="http://www.w3.org/2001/XMLSchema" xmlns:xs="http://www.w3.org/2001/XMLSchema" xmlns:p="http://schemas.microsoft.com/office/2006/metadata/properties" xmlns:ns1="http://schemas.microsoft.com/sharepoint/v3" xmlns:ns2="3f4bcce7-ac1a-4c9d-aa3e-7e77695652db" xmlns:ns4="8044c801-d84b-4ee1-a77e-678f8dcdee17" targetNamespace="http://schemas.microsoft.com/office/2006/metadata/properties" ma:root="true" ma:fieldsID="9b11d80b9faed8361a2afe5b48665aa3" ns1:_="" ns2:_="" ns4:_="">
    <xsd:import namespace="http://schemas.microsoft.com/sharepoint/v3"/>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1:V3Comments" minOccurs="0"/>
                <xsd:element ref="ns4:Archive" minOccurs="0"/>
                <xsd:element ref="ns4:Visit_x0020_Location"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2"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34acda73-1f87-46c1-87fb-9a6ab750dd38"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Archive" ma:index="14" nillable="true" ma:displayName="Archive" ma:default="0" ma:internalName="Archive">
      <xsd:simpleType>
        <xsd:restriction base="dms:Boolean"/>
      </xsd:simpleType>
    </xsd:element>
    <xsd:element name="Visit_x0020_Location" ma:index="15" nillable="true" ma:displayName="Visit Location" ma:format="RadioButtons" ma:internalName="Visit_x0020_Location">
      <xsd:simpleType>
        <xsd:union memberTypes="dms:Text">
          <xsd:simpleType>
            <xsd:restriction base="dms:Choice">
              <xsd:enumeration value="Adelaide"/>
              <xsd:enumeration value="Brisbane"/>
              <xsd:enumeration value="Canberra"/>
              <xsd:enumeration value="Darwin"/>
              <xsd:enumeration value="Hobart"/>
              <xsd:enumeration value="Melbourne"/>
              <xsd:enumeration value="Perth"/>
              <xsd:enumeration value="Sydney"/>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2BE95-AA43-4B10-BD65-721642F6BDF6}">
  <ds:schemaRefs>
    <ds:schemaRef ds:uri="http://schemas.microsoft.com/sharepoint/v3/contenttype/forms"/>
  </ds:schemaRefs>
</ds:datastoreItem>
</file>

<file path=customXml/itemProps2.xml><?xml version="1.0" encoding="utf-8"?>
<ds:datastoreItem xmlns:ds="http://schemas.openxmlformats.org/officeDocument/2006/customXml" ds:itemID="{4DAC86F4-8992-41EB-9D26-641EF92CA99C}">
  <ds:schemaRefs>
    <ds:schemaRef ds:uri="Microsoft.SharePoint.Taxonomy.ContentTypeSync"/>
  </ds:schemaRefs>
</ds:datastoreItem>
</file>

<file path=customXml/itemProps3.xml><?xml version="1.0" encoding="utf-8"?>
<ds:datastoreItem xmlns:ds="http://schemas.openxmlformats.org/officeDocument/2006/customXml" ds:itemID="{D3DDD874-CE14-4121-953D-1C171A1FBE39}">
  <ds:schemaRefs>
    <ds:schemaRef ds:uri="http://schemas.microsoft.com/office/2006/documentManagement/types"/>
    <ds:schemaRef ds:uri="http://purl.org/dc/dcmitype/"/>
    <ds:schemaRef ds:uri="http://schemas.microsoft.com/sharepoint/v3"/>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8044c801-d84b-4ee1-a77e-678f8dcdee17"/>
    <ds:schemaRef ds:uri="3f4bcce7-ac1a-4c9d-aa3e-7e77695652db"/>
  </ds:schemaRefs>
</ds:datastoreItem>
</file>

<file path=customXml/itemProps4.xml><?xml version="1.0" encoding="utf-8"?>
<ds:datastoreItem xmlns:ds="http://schemas.openxmlformats.org/officeDocument/2006/customXml" ds:itemID="{33F4E2D5-F724-4863-B22A-AD1B571AC24C}">
  <ds:schemaRefs>
    <ds:schemaRef ds:uri="http://schemas.microsoft.com/office/2006/metadata/customXsn"/>
  </ds:schemaRefs>
</ds:datastoreItem>
</file>

<file path=customXml/itemProps5.xml><?xml version="1.0" encoding="utf-8"?>
<ds:datastoreItem xmlns:ds="http://schemas.openxmlformats.org/officeDocument/2006/customXml" ds:itemID="{EB229674-2E69-4AEB-ABA9-C7702A4F94CF}">
  <ds:schemaRefs>
    <ds:schemaRef ds:uri="http://schemas.microsoft.com/sharepoint/events"/>
  </ds:schemaRefs>
</ds:datastoreItem>
</file>

<file path=customXml/itemProps6.xml><?xml version="1.0" encoding="utf-8"?>
<ds:datastoreItem xmlns:ds="http://schemas.openxmlformats.org/officeDocument/2006/customXml" ds:itemID="{EFB77D4D-75E3-41D3-B250-97D649D3C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C06E2DD-88A9-4317-9FF3-196CC6AE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40</TotalTime>
  <Pages>44</Pages>
  <Words>12846</Words>
  <Characters>73237</Characters>
  <Application>Microsoft Office Word</Application>
  <DocSecurity>0</DocSecurity>
  <Lines>1494</Lines>
  <Paragraphs>652</Paragraphs>
  <ScaleCrop>false</ScaleCrop>
  <HeadingPairs>
    <vt:vector size="2" baseType="variant">
      <vt:variant>
        <vt:lpstr>Title</vt:lpstr>
      </vt:variant>
      <vt:variant>
        <vt:i4>1</vt:i4>
      </vt:variant>
    </vt:vector>
  </HeadingPairs>
  <TitlesOfParts>
    <vt:vector size="1" baseType="lpstr">
      <vt:lpstr>Murray-Darling Basin Plan: 5-year assessment - Issues Paper</vt:lpstr>
    </vt:vector>
  </TitlesOfParts>
  <Company>Productivity Commission</Company>
  <LinksUpToDate>false</LinksUpToDate>
  <CharactersWithSpaces>85431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Basin Plan: 5-year assessment - Issues Paper</dc:title>
  <dc:subject>Report</dc:subject>
  <dc:creator>Productivity Commission</dc:creator>
  <cp:keywords/>
  <dc:description/>
  <cp:lastModifiedBy>Cross, Michelle</cp:lastModifiedBy>
  <cp:revision>17</cp:revision>
  <cp:lastPrinted>2018-02-20T23:55:00Z</cp:lastPrinted>
  <dcterms:created xsi:type="dcterms:W3CDTF">2018-03-09T02:58:00Z</dcterms:created>
  <dcterms:modified xsi:type="dcterms:W3CDTF">2018-03-13T03:31:00Z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 value="true"/&gt;&lt;pref name="automaticJournalAbbreviations" value="true"/&gt;&lt;pref name="noteType" value=""/&gt;&lt;/prefs&gt;&lt;/data&gt;</vt:lpwstr>
  </property>
  <property fmtid="{D5CDD505-2E9C-101B-9397-08002B2CF9AE}" pid="3" name="ContentTypeId">
    <vt:lpwstr>0x0101007916246811615643A710C6FEAFF56A87110100EEFE548D9549EA4098E3A65339C068F3007A3D139E40C22A49BB9A469316E1E902</vt:lpwstr>
  </property>
  <property fmtid="{D5CDD505-2E9C-101B-9397-08002B2CF9AE}" pid="4" name="_dlc_DocId">
    <vt:lpwstr>PCDOC-1326704921-49</vt:lpwstr>
  </property>
  <property fmtid="{D5CDD505-2E9C-101B-9397-08002B2CF9AE}" pid="5" name="_dlc_DocIdUrl">
    <vt:lpwstr>http://inet.pc.gov.au/pmo/inq/mdbp/_layouts/15/DocIdRedir.aspx?ID=PCDOC-1326704921-49, PCDOC-1326704921-49</vt:lpwstr>
  </property>
  <property fmtid="{D5CDD505-2E9C-101B-9397-08002B2CF9AE}" pid="6" name="_dlc_DocIdItemGuid">
    <vt:lpwstr>650e99e4-66f0-41b9-b8a2-53621baf8083</vt:lpwstr>
  </property>
  <property fmtid="{D5CDD505-2E9C-101B-9397-08002B2CF9AE}" pid="7" name="Record Tag">
    <vt:lpwstr>249;#Issues Papers|3f58d8d8-eba3-4f69-b92f-42d45f1952c5</vt:lpwstr>
  </property>
  <property fmtid="{D5CDD505-2E9C-101B-9397-08002B2CF9AE}" pid="8" name="TaxKeyword">
    <vt:lpwstr/>
  </property>
  <property fmtid="{D5CDD505-2E9C-101B-9397-08002B2CF9AE}" pid="9" name="ZOTERO_PREF_1">
    <vt:lpwstr>&lt;data data-version="3" zotero-version="4.0.29.10"&gt;&lt;session id="uNAaV5cj"/&gt;&lt;style id="http://www.zotero.org/styles/unisa-harvard" hasBibliography="1" bibliographyStyleHasBeenSet="1"/&gt;&lt;prefs&gt;&lt;pref name="fieldType" value="Field"/&gt;&lt;pref name="storeReferences"</vt:lpwstr>
  </property>
</Properties>
</file>