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868C55" w14:textId="77777777" w:rsidR="006F1151" w:rsidRPr="006F1151" w:rsidRDefault="006F1151" w:rsidP="006F1151">
      <w:pPr>
        <w:pStyle w:val="Heading1"/>
        <w:rPr>
          <w:color w:val="FFFFFF" w:themeColor="background1"/>
          <w:sz w:val="16"/>
          <w:szCs w:val="16"/>
        </w:rPr>
      </w:pPr>
      <w:r w:rsidRPr="006F1151">
        <w:rPr>
          <w:color w:val="FFFFFF" w:themeColor="background1"/>
          <w:sz w:val="16"/>
          <w:szCs w:val="16"/>
        </w:rPr>
        <w:t>Business Set-up, Transfer and Closure. Productivity Commission Draft Report</w:t>
      </w:r>
      <w:r>
        <w:rPr>
          <w:noProof/>
          <w:lang w:eastAsia="en-AU"/>
        </w:rPr>
        <w:drawing>
          <wp:anchor distT="0" distB="0" distL="114300" distR="114300" simplePos="0" relativeHeight="251658240" behindDoc="1" locked="0" layoutInCell="1" allowOverlap="1" wp14:anchorId="52498148" wp14:editId="63D2C9C2">
            <wp:simplePos x="1721485" y="-5925185"/>
            <wp:positionH relativeFrom="page">
              <wp:align>center</wp:align>
            </wp:positionH>
            <wp:positionV relativeFrom="page">
              <wp:align>center</wp:align>
            </wp:positionV>
            <wp:extent cx="7578000" cy="10764000"/>
            <wp:effectExtent l="0" t="0" r="4445" b="0"/>
            <wp:wrapNone/>
            <wp:docPr id="1" name="Picture 1" descr="Australian Productivity Commission logo. Cover of the Business set-up, Transfer and Closure draft report. May 2015. This is a draft report prepared for further public consult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aft-business-title-web.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578000" cy="10764000"/>
                    </a:xfrm>
                    <a:prstGeom prst="rect">
                      <a:avLst/>
                    </a:prstGeom>
                  </pic:spPr>
                </pic:pic>
              </a:graphicData>
            </a:graphic>
            <wp14:sizeRelH relativeFrom="margin">
              <wp14:pctWidth>0</wp14:pctWidth>
            </wp14:sizeRelH>
            <wp14:sizeRelV relativeFrom="margin">
              <wp14:pctHeight>0</wp14:pctHeight>
            </wp14:sizeRelV>
          </wp:anchor>
        </w:drawing>
      </w:r>
      <w:r w:rsidRPr="006F1151">
        <w:rPr>
          <w:color w:val="FFFFFF" w:themeColor="background1"/>
          <w:sz w:val="16"/>
          <w:szCs w:val="16"/>
        </w:rPr>
        <w:t>. May 2015.</w:t>
      </w:r>
    </w:p>
    <w:p w14:paraId="42800B29" w14:textId="1B17523C" w:rsidR="00B04D19" w:rsidRDefault="006F1151" w:rsidP="006F1151">
      <w:pPr>
        <w:pStyle w:val="Heading2"/>
        <w:rPr>
          <w:szCs w:val="26"/>
        </w:rPr>
      </w:pPr>
      <w:r w:rsidRPr="006F1151">
        <w:rPr>
          <w:color w:val="FFFFFF" w:themeColor="background1"/>
          <w:sz w:val="16"/>
          <w:szCs w:val="16"/>
        </w:rPr>
        <w:t>This is a draft report prepared for further public consultation and input. The Commission will finalise its report after these procedures have taken place.</w:t>
      </w:r>
      <w:r w:rsidR="00B04D19">
        <w:br w:type="page"/>
      </w:r>
    </w:p>
    <w:p w14:paraId="4538FFE8"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36BE4338"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482AACE2" wp14:editId="2837385D">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3C259050"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081E2628" w14:textId="77777777" w:rsidR="008A3857" w:rsidRPr="008A3857" w:rsidRDefault="008A3857" w:rsidP="008A3857">
      <w:pPr>
        <w:pStyle w:val="Copyrightsubtitle"/>
      </w:pPr>
      <w:r w:rsidRPr="008A3857">
        <w:t>Use of the Commonwealth Coat of Arms</w:t>
      </w:r>
    </w:p>
    <w:p w14:paraId="07AA7EE3" w14:textId="77777777"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32D28057" w14:textId="77777777" w:rsidR="008A3857" w:rsidRPr="008A3857" w:rsidRDefault="008A3857" w:rsidP="008A3857">
      <w:pPr>
        <w:pStyle w:val="Copyrightsubtitle"/>
      </w:pPr>
      <w:r w:rsidRPr="008A3857">
        <w:t>Third party copyright</w:t>
      </w:r>
    </w:p>
    <w:p w14:paraId="50925415"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18B0989A" w14:textId="77777777" w:rsidR="008A3857" w:rsidRPr="008A3857" w:rsidRDefault="008A3857" w:rsidP="008A3857">
      <w:pPr>
        <w:pStyle w:val="Copyrightsubtitle"/>
      </w:pPr>
      <w:r w:rsidRPr="008A3857">
        <w:t>Attribution</w:t>
      </w:r>
    </w:p>
    <w:p w14:paraId="49DAFFCC" w14:textId="77777777" w:rsidR="008A3857" w:rsidRPr="008A3857" w:rsidRDefault="008A3857" w:rsidP="00BA0B81">
      <w:pPr>
        <w:pStyle w:val="Copyrightbodytext"/>
      </w:pPr>
      <w:r w:rsidRPr="008A3857">
        <w:t xml:space="preserve">This work should be attributed as follows, </w:t>
      </w:r>
      <w:r w:rsidRPr="008E242D">
        <w:rPr>
          <w:i/>
        </w:rPr>
        <w:t xml:space="preserve">Source: </w:t>
      </w:r>
      <w:r w:rsidR="00D64DC5" w:rsidRPr="00D64DC5">
        <w:rPr>
          <w:i/>
        </w:rPr>
        <w:t>Productivity Commission</w:t>
      </w:r>
      <w:r w:rsidR="00D64DC5">
        <w:t xml:space="preserve">, </w:t>
      </w:r>
      <w:r w:rsidR="00D64DC5">
        <w:rPr>
          <w:i/>
        </w:rPr>
        <w:t>Business Set-up, Transfer and Closure</w:t>
      </w:r>
      <w:r w:rsidR="008D1343">
        <w:rPr>
          <w:i/>
        </w:rPr>
        <w:t>, Draft Report</w:t>
      </w:r>
      <w:r w:rsidR="00D64DC5">
        <w:rPr>
          <w:i/>
        </w:rPr>
        <w:t>.</w:t>
      </w:r>
    </w:p>
    <w:p w14:paraId="71940342" w14:textId="7777777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D64DC5">
        <w:rPr>
          <w:i/>
        </w:rPr>
        <w:t>Business Set-up, Transfer and Closure</w:t>
      </w:r>
      <w:r w:rsidR="008D1343">
        <w:rPr>
          <w:i/>
        </w:rPr>
        <w:t>, Draft Report</w:t>
      </w:r>
      <w:r w:rsidRPr="008A3857">
        <w:t>.</w:t>
      </w:r>
    </w:p>
    <w:p w14:paraId="564DE61F"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058229BA" w14:textId="77777777" w:rsidR="008A3857" w:rsidRPr="00A97672" w:rsidRDefault="00A97672" w:rsidP="008A3857">
      <w:pPr>
        <w:pStyle w:val="Copyrightbodytext"/>
      </w:pPr>
      <w:r>
        <w:t>Productivity Commission 201</w:t>
      </w:r>
      <w:r w:rsidR="00D64ADA">
        <w:t>5</w:t>
      </w:r>
      <w:r>
        <w:t xml:space="preserve">, </w:t>
      </w:r>
      <w:r w:rsidR="00D64ADA">
        <w:rPr>
          <w:i/>
        </w:rPr>
        <w:t>Business Set-</w:t>
      </w:r>
      <w:r>
        <w:rPr>
          <w:i/>
        </w:rPr>
        <w:t>up</w:t>
      </w:r>
      <w:r w:rsidR="00D64ADA">
        <w:rPr>
          <w:i/>
        </w:rPr>
        <w:t>, Transfer</w:t>
      </w:r>
      <w:r>
        <w:rPr>
          <w:i/>
        </w:rPr>
        <w:t xml:space="preserve"> and Closure</w:t>
      </w:r>
      <w:r>
        <w:t>, Draft Report, Canberra.</w:t>
      </w:r>
    </w:p>
    <w:p w14:paraId="6D877EB6" w14:textId="77777777" w:rsidR="008A3857" w:rsidRPr="008A3857" w:rsidRDefault="008A3857" w:rsidP="008A3857">
      <w:pPr>
        <w:pStyle w:val="Copyrightsubtitle"/>
      </w:pPr>
      <w:bookmarkStart w:id="1" w:name="JEL"/>
      <w:bookmarkEnd w:id="1"/>
      <w:r w:rsidRPr="008A3857">
        <w:t>Publications enquiries</w:t>
      </w:r>
    </w:p>
    <w:p w14:paraId="02150A86"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7C417AA3"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70EB8527" w14:textId="77777777" w:rsidTr="00D21E39">
        <w:tc>
          <w:tcPr>
            <w:tcW w:w="8771" w:type="dxa"/>
            <w:tcBorders>
              <w:top w:val="single" w:sz="6" w:space="0" w:color="78A22F"/>
              <w:left w:val="nil"/>
              <w:bottom w:val="nil"/>
              <w:right w:val="nil"/>
            </w:tcBorders>
            <w:shd w:val="clear" w:color="auto" w:fill="F2F2F2" w:themeFill="background1" w:themeFillShade="F2"/>
          </w:tcPr>
          <w:p w14:paraId="770AB5C0" w14:textId="77777777" w:rsidR="008A3857" w:rsidRPr="008A3857" w:rsidRDefault="008A3857" w:rsidP="00D21E39">
            <w:pPr>
              <w:pStyle w:val="BoxTitle"/>
              <w:rPr>
                <w:sz w:val="22"/>
                <w:szCs w:val="22"/>
              </w:rPr>
            </w:pPr>
            <w:r w:rsidRPr="008A3857">
              <w:rPr>
                <w:sz w:val="22"/>
                <w:szCs w:val="22"/>
              </w:rPr>
              <w:t>The Productivity Commission</w:t>
            </w:r>
          </w:p>
        </w:tc>
      </w:tr>
      <w:tr w:rsidR="008A3857" w14:paraId="1EE83124" w14:textId="77777777" w:rsidTr="00D21E39">
        <w:trPr>
          <w:cantSplit/>
        </w:trPr>
        <w:tc>
          <w:tcPr>
            <w:tcW w:w="8771" w:type="dxa"/>
            <w:tcBorders>
              <w:top w:val="nil"/>
              <w:left w:val="nil"/>
              <w:bottom w:val="nil"/>
              <w:right w:val="nil"/>
            </w:tcBorders>
            <w:shd w:val="clear" w:color="auto" w:fill="F2F2F2" w:themeFill="background1" w:themeFillShade="F2"/>
          </w:tcPr>
          <w:p w14:paraId="1660137E" w14:textId="77777777" w:rsidR="008A3857" w:rsidRDefault="008A3857" w:rsidP="00D21E39">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ED89905" w14:textId="77777777" w:rsidR="008A3857" w:rsidRDefault="008A3857" w:rsidP="00D21E39">
            <w:pPr>
              <w:pStyle w:val="Box"/>
            </w:pPr>
            <w:r w:rsidRPr="00BB5DCF">
              <w:t>The Commission’s independence is underpinned by an Act of Parliament. Its processes and outputs are open to public scrutiny and are driven by concern for the wellbeing of the community as a whole.</w:t>
            </w:r>
          </w:p>
          <w:p w14:paraId="56734342" w14:textId="77777777"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62528CA4" w14:textId="77777777" w:rsidTr="00D21E39">
        <w:trPr>
          <w:cantSplit/>
        </w:trPr>
        <w:tc>
          <w:tcPr>
            <w:tcW w:w="8771" w:type="dxa"/>
            <w:tcBorders>
              <w:top w:val="nil"/>
              <w:left w:val="nil"/>
              <w:bottom w:val="single" w:sz="6" w:space="0" w:color="78A22F"/>
              <w:right w:val="nil"/>
            </w:tcBorders>
            <w:shd w:val="clear" w:color="auto" w:fill="F2F2F2" w:themeFill="background1" w:themeFillShade="F2"/>
          </w:tcPr>
          <w:p w14:paraId="4CB1F6B6" w14:textId="77777777" w:rsidR="008A3857" w:rsidRDefault="008A3857" w:rsidP="00D21E39">
            <w:pPr>
              <w:pStyle w:val="Box"/>
              <w:spacing w:before="0" w:line="120" w:lineRule="exact"/>
            </w:pPr>
          </w:p>
        </w:tc>
      </w:tr>
    </w:tbl>
    <w:p w14:paraId="13EA5855" w14:textId="77777777" w:rsidR="00735FEA" w:rsidRDefault="00735FEA">
      <w:pPr>
        <w:pStyle w:val="BodyText"/>
        <w:sectPr w:rsidR="00735FEA" w:rsidSect="00122FE9">
          <w:headerReference w:type="even" r:id="rId16"/>
          <w:headerReference w:type="default" r:id="rId17"/>
          <w:footerReference w:type="even" r:id="rId18"/>
          <w:footerReference w:type="default" r:id="rId19"/>
          <w:headerReference w:type="first" r:id="rId20"/>
          <w:footerReference w:type="first" r:id="rId21"/>
          <w:type w:val="oddPage"/>
          <w:pgSz w:w="11907" w:h="16840" w:code="9"/>
          <w:pgMar w:top="1304" w:right="1304" w:bottom="567" w:left="1814" w:header="1701" w:footer="397" w:gutter="0"/>
          <w:pgNumType w:fmt="lowerRoman" w:start="1"/>
          <w:cols w:space="720"/>
          <w:titlePg/>
        </w:sectPr>
      </w:pPr>
      <w:bookmarkStart w:id="2" w:name="cov"/>
      <w:bookmarkEnd w:id="2"/>
    </w:p>
    <w:p w14:paraId="204B65CF" w14:textId="77777777" w:rsidR="00A97672" w:rsidRDefault="00A97672">
      <w:pPr>
        <w:pStyle w:val="Heading1"/>
      </w:pPr>
      <w:r>
        <w:lastRenderedPageBreak/>
        <w:t>Opportunity for further comment</w:t>
      </w:r>
    </w:p>
    <w:p w14:paraId="078D8122" w14:textId="77777777" w:rsidR="00A97672" w:rsidRDefault="004028DA">
      <w:pPr>
        <w:pStyle w:val="BodyText"/>
      </w:pPr>
      <w:r>
        <w:t xml:space="preserve">You are invited to examine </w:t>
      </w:r>
      <w:r w:rsidR="00A97672">
        <w:rPr>
          <w:sz w:val="23"/>
          <w:szCs w:val="23"/>
        </w:rPr>
        <w:t xml:space="preserve">this draft and comment on it by written submission to the Productivity Commission, preferably in electronic format, by </w:t>
      </w:r>
      <w:r w:rsidR="00D94152">
        <w:rPr>
          <w:b/>
          <w:bCs/>
          <w:sz w:val="23"/>
          <w:szCs w:val="23"/>
        </w:rPr>
        <w:t>3</w:t>
      </w:r>
      <w:r w:rsidR="00A97672">
        <w:rPr>
          <w:b/>
          <w:bCs/>
          <w:sz w:val="23"/>
          <w:szCs w:val="23"/>
        </w:rPr>
        <w:t xml:space="preserve"> July 2015</w:t>
      </w:r>
      <w:r w:rsidR="00A97672">
        <w:rPr>
          <w:sz w:val="23"/>
          <w:szCs w:val="23"/>
        </w:rPr>
        <w:t>. Further information on how to provide a submission is included on the inquiry website http://</w:t>
      </w:r>
      <w:proofErr w:type="spellStart"/>
      <w:r w:rsidR="00A97672">
        <w:rPr>
          <w:sz w:val="23"/>
          <w:szCs w:val="23"/>
        </w:rPr>
        <w:t>www.pc.gov.au</w:t>
      </w:r>
      <w:proofErr w:type="spellEnd"/>
      <w:r w:rsidR="00A97672">
        <w:rPr>
          <w:sz w:val="23"/>
          <w:szCs w:val="23"/>
        </w:rPr>
        <w:t>/projects/inquiry/</w:t>
      </w:r>
      <w:r>
        <w:rPr>
          <w:sz w:val="23"/>
          <w:szCs w:val="23"/>
        </w:rPr>
        <w:t>business</w:t>
      </w:r>
      <w:r w:rsidR="00A97672">
        <w:t>.</w:t>
      </w:r>
    </w:p>
    <w:p w14:paraId="5A9F9B0A" w14:textId="77777777" w:rsidR="00A97672" w:rsidRDefault="004028DA">
      <w:pPr>
        <w:pStyle w:val="BodyText"/>
      </w:pPr>
      <w:r>
        <w:rPr>
          <w:sz w:val="23"/>
          <w:szCs w:val="23"/>
        </w:rPr>
        <w:t xml:space="preserve">The final report will be prepared after further submissions have been received and public hearings have been held, and will be forwarded to the Australian Government by the end of </w:t>
      </w:r>
      <w:r w:rsidR="00D94152">
        <w:rPr>
          <w:sz w:val="23"/>
          <w:szCs w:val="23"/>
        </w:rPr>
        <w:t>August 2015</w:t>
      </w:r>
      <w:r>
        <w:rPr>
          <w:sz w:val="23"/>
          <w:szCs w:val="23"/>
        </w:rPr>
        <w:t xml:space="preserve">. </w:t>
      </w:r>
      <w:r w:rsidR="00A97672">
        <w:t xml:space="preserve"> </w:t>
      </w:r>
    </w:p>
    <w:p w14:paraId="380BB67C" w14:textId="77777777" w:rsidR="00A97672" w:rsidRPr="007151C7" w:rsidRDefault="00A97672" w:rsidP="00D21E39">
      <w:pPr>
        <w:pStyle w:val="Heading3"/>
        <w:spacing w:after="240"/>
      </w:pPr>
      <w:r w:rsidRPr="00B146AA">
        <w:t>Public hearing date</w:t>
      </w:r>
      <w:r>
        <w:t>s</w:t>
      </w:r>
      <w:r w:rsidRPr="00B146AA">
        <w:t xml:space="preserve"> and venues</w:t>
      </w:r>
      <w: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01"/>
        <w:gridCol w:w="3119"/>
        <w:gridCol w:w="3969"/>
      </w:tblGrid>
      <w:tr w:rsidR="00A97672" w:rsidRPr="002E1C30" w14:paraId="0DBEDA7D" w14:textId="77777777" w:rsidTr="00D94152">
        <w:tc>
          <w:tcPr>
            <w:tcW w:w="1701" w:type="dxa"/>
            <w:tcBorders>
              <w:top w:val="single" w:sz="4" w:space="0" w:color="78A22F"/>
              <w:bottom w:val="single" w:sz="4" w:space="0" w:color="78A22F"/>
            </w:tcBorders>
            <w:tcMar>
              <w:left w:w="0" w:type="dxa"/>
              <w:right w:w="0" w:type="dxa"/>
            </w:tcMar>
            <w:vAlign w:val="center"/>
          </w:tcPr>
          <w:p w14:paraId="34648372" w14:textId="77777777" w:rsidR="00A97672" w:rsidRPr="002E1C30" w:rsidRDefault="00A97672" w:rsidP="00D21E39">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Location</w:t>
            </w:r>
          </w:p>
        </w:tc>
        <w:tc>
          <w:tcPr>
            <w:tcW w:w="3119" w:type="dxa"/>
            <w:tcBorders>
              <w:top w:val="single" w:sz="4" w:space="0" w:color="78A22F"/>
              <w:bottom w:val="single" w:sz="4" w:space="0" w:color="78A22F"/>
            </w:tcBorders>
            <w:vAlign w:val="center"/>
          </w:tcPr>
          <w:p w14:paraId="0F13826F" w14:textId="77777777" w:rsidR="00A97672" w:rsidRPr="002E1C30" w:rsidRDefault="00A97672" w:rsidP="00D21E39">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Date</w:t>
            </w:r>
          </w:p>
        </w:tc>
        <w:tc>
          <w:tcPr>
            <w:tcW w:w="3969" w:type="dxa"/>
            <w:tcBorders>
              <w:top w:val="single" w:sz="4" w:space="0" w:color="78A22F"/>
              <w:bottom w:val="single" w:sz="4" w:space="0" w:color="78A22F"/>
            </w:tcBorders>
            <w:vAlign w:val="center"/>
          </w:tcPr>
          <w:p w14:paraId="7A7FA3E1" w14:textId="77777777" w:rsidR="00A97672" w:rsidRPr="002E1C30" w:rsidRDefault="00A97672" w:rsidP="00D21E39">
            <w:pPr>
              <w:pStyle w:val="BodyText"/>
              <w:spacing w:before="120" w:after="120"/>
              <w:jc w:val="left"/>
              <w:rPr>
                <w:rFonts w:asciiTheme="majorHAnsi" w:hAnsiTheme="majorHAnsi" w:cstheme="majorHAnsi"/>
                <w:b/>
                <w:szCs w:val="24"/>
              </w:rPr>
            </w:pPr>
            <w:r w:rsidRPr="002E1C30">
              <w:rPr>
                <w:rFonts w:asciiTheme="majorHAnsi" w:hAnsiTheme="majorHAnsi" w:cstheme="majorHAnsi"/>
                <w:b/>
                <w:szCs w:val="24"/>
              </w:rPr>
              <w:t>Venue</w:t>
            </w:r>
          </w:p>
        </w:tc>
      </w:tr>
      <w:tr w:rsidR="004028DA" w14:paraId="325BAC9B" w14:textId="77777777" w:rsidTr="00C014EE">
        <w:tc>
          <w:tcPr>
            <w:tcW w:w="1701" w:type="dxa"/>
            <w:shd w:val="clear" w:color="auto" w:fill="auto"/>
            <w:tcMar>
              <w:left w:w="0" w:type="dxa"/>
              <w:right w:w="0" w:type="dxa"/>
            </w:tcMar>
          </w:tcPr>
          <w:p w14:paraId="6DD0A887" w14:textId="77777777" w:rsidR="004028DA" w:rsidRDefault="004028DA" w:rsidP="00D21E39">
            <w:pPr>
              <w:pStyle w:val="BodyText"/>
              <w:spacing w:before="120" w:line="280" w:lineRule="exact"/>
            </w:pPr>
            <w:r>
              <w:t>Melbourne</w:t>
            </w:r>
          </w:p>
        </w:tc>
        <w:tc>
          <w:tcPr>
            <w:tcW w:w="3119" w:type="dxa"/>
            <w:shd w:val="clear" w:color="auto" w:fill="auto"/>
          </w:tcPr>
          <w:p w14:paraId="78DE28F1" w14:textId="77777777" w:rsidR="004028DA" w:rsidRDefault="004028DA" w:rsidP="00D21E39">
            <w:pPr>
              <w:pStyle w:val="BodyText"/>
              <w:spacing w:before="120" w:line="280" w:lineRule="exact"/>
            </w:pPr>
            <w:r>
              <w:t>Monday 22 June 2015</w:t>
            </w:r>
          </w:p>
        </w:tc>
        <w:tc>
          <w:tcPr>
            <w:tcW w:w="3969" w:type="dxa"/>
            <w:shd w:val="clear" w:color="auto" w:fill="auto"/>
          </w:tcPr>
          <w:p w14:paraId="7DD5A6F3" w14:textId="77777777" w:rsidR="004028DA" w:rsidRDefault="004028DA" w:rsidP="00D21E39">
            <w:pPr>
              <w:pStyle w:val="BodyText"/>
              <w:spacing w:before="120" w:line="280" w:lineRule="exact"/>
            </w:pPr>
            <w:r>
              <w:t>Productivity Commission</w:t>
            </w:r>
          </w:p>
          <w:p w14:paraId="0872ACCB" w14:textId="77777777" w:rsidR="004028DA" w:rsidRDefault="004028DA" w:rsidP="000B07D6">
            <w:pPr>
              <w:pStyle w:val="BodyText"/>
              <w:spacing w:before="0" w:line="280" w:lineRule="exact"/>
            </w:pPr>
            <w:r>
              <w:t>L12, 530 Collins Street</w:t>
            </w:r>
          </w:p>
        </w:tc>
      </w:tr>
      <w:tr w:rsidR="004028DA" w14:paraId="5C059F5D" w14:textId="77777777" w:rsidTr="00C014EE">
        <w:tc>
          <w:tcPr>
            <w:tcW w:w="1701" w:type="dxa"/>
            <w:shd w:val="clear" w:color="auto" w:fill="auto"/>
            <w:tcMar>
              <w:left w:w="0" w:type="dxa"/>
              <w:right w:w="0" w:type="dxa"/>
            </w:tcMar>
          </w:tcPr>
          <w:p w14:paraId="01F98D61" w14:textId="77777777" w:rsidR="004028DA" w:rsidRDefault="004028DA" w:rsidP="00D21E39">
            <w:pPr>
              <w:pStyle w:val="BodyText"/>
              <w:spacing w:before="120" w:line="280" w:lineRule="exact"/>
            </w:pPr>
            <w:r>
              <w:t>Canberra</w:t>
            </w:r>
          </w:p>
        </w:tc>
        <w:tc>
          <w:tcPr>
            <w:tcW w:w="3119" w:type="dxa"/>
            <w:shd w:val="clear" w:color="auto" w:fill="auto"/>
          </w:tcPr>
          <w:p w14:paraId="5DB17843" w14:textId="77777777" w:rsidR="004028DA" w:rsidRDefault="004028DA" w:rsidP="00D21E39">
            <w:pPr>
              <w:pStyle w:val="BodyText"/>
              <w:spacing w:before="120" w:line="280" w:lineRule="exact"/>
            </w:pPr>
            <w:r>
              <w:t>Wednesday 24 June 2015</w:t>
            </w:r>
          </w:p>
        </w:tc>
        <w:tc>
          <w:tcPr>
            <w:tcW w:w="3969" w:type="dxa"/>
            <w:shd w:val="clear" w:color="auto" w:fill="auto"/>
          </w:tcPr>
          <w:p w14:paraId="7C5F7AC1" w14:textId="77777777" w:rsidR="004028DA" w:rsidRDefault="00D94152" w:rsidP="00D21E39">
            <w:pPr>
              <w:pStyle w:val="BodyText"/>
              <w:spacing w:before="120" w:line="280" w:lineRule="exact"/>
            </w:pPr>
            <w:r>
              <w:t xml:space="preserve">Productivity </w:t>
            </w:r>
            <w:r w:rsidR="004028DA">
              <w:t>Commission</w:t>
            </w:r>
          </w:p>
          <w:p w14:paraId="75F53BD7" w14:textId="77777777" w:rsidR="004028DA" w:rsidRDefault="004028DA" w:rsidP="000B07D6">
            <w:pPr>
              <w:pStyle w:val="BodyText"/>
              <w:spacing w:before="0" w:line="280" w:lineRule="exact"/>
            </w:pPr>
            <w:proofErr w:type="spellStart"/>
            <w:r>
              <w:t>L2</w:t>
            </w:r>
            <w:proofErr w:type="spellEnd"/>
            <w:r>
              <w:t>, 15 Moore Street</w:t>
            </w:r>
          </w:p>
        </w:tc>
      </w:tr>
      <w:tr w:rsidR="004028DA" w14:paraId="6070AB62" w14:textId="77777777" w:rsidTr="00C014EE">
        <w:tc>
          <w:tcPr>
            <w:tcW w:w="1701" w:type="dxa"/>
            <w:tcBorders>
              <w:bottom w:val="single" w:sz="4" w:space="0" w:color="78A22F"/>
            </w:tcBorders>
            <w:shd w:val="clear" w:color="auto" w:fill="auto"/>
            <w:tcMar>
              <w:left w:w="0" w:type="dxa"/>
              <w:right w:w="0" w:type="dxa"/>
            </w:tcMar>
          </w:tcPr>
          <w:p w14:paraId="5EBFA127" w14:textId="77777777" w:rsidR="004028DA" w:rsidRDefault="004028DA">
            <w:pPr>
              <w:pStyle w:val="BodyText"/>
              <w:spacing w:before="120" w:line="280" w:lineRule="exact"/>
            </w:pPr>
            <w:r>
              <w:t>Sydney</w:t>
            </w:r>
          </w:p>
        </w:tc>
        <w:tc>
          <w:tcPr>
            <w:tcW w:w="3119" w:type="dxa"/>
            <w:tcBorders>
              <w:bottom w:val="single" w:sz="4" w:space="0" w:color="78A22F"/>
            </w:tcBorders>
            <w:shd w:val="clear" w:color="auto" w:fill="auto"/>
          </w:tcPr>
          <w:p w14:paraId="7896445C" w14:textId="77777777" w:rsidR="004028DA" w:rsidRDefault="004028DA" w:rsidP="006E05D4">
            <w:pPr>
              <w:pStyle w:val="BodyText"/>
              <w:spacing w:before="120" w:line="280" w:lineRule="exact"/>
            </w:pPr>
            <w:r>
              <w:t>Tuesday 30 June 201</w:t>
            </w:r>
            <w:r w:rsidR="006E05D4">
              <w:t>5</w:t>
            </w:r>
          </w:p>
        </w:tc>
        <w:tc>
          <w:tcPr>
            <w:tcW w:w="3969" w:type="dxa"/>
            <w:tcBorders>
              <w:bottom w:val="single" w:sz="4" w:space="0" w:color="78A22F"/>
            </w:tcBorders>
            <w:shd w:val="clear" w:color="auto" w:fill="auto"/>
          </w:tcPr>
          <w:p w14:paraId="37C96C8B" w14:textId="77777777" w:rsidR="004028DA" w:rsidRDefault="004028DA">
            <w:pPr>
              <w:pStyle w:val="BodyText"/>
              <w:spacing w:before="120" w:line="280" w:lineRule="exact"/>
            </w:pPr>
            <w:r>
              <w:t>SMC Conference &amp; Function Centre</w:t>
            </w:r>
          </w:p>
          <w:p w14:paraId="4555D25C" w14:textId="77777777" w:rsidR="000B07D6" w:rsidRDefault="000B07D6" w:rsidP="000B07D6">
            <w:pPr>
              <w:pStyle w:val="BodyText"/>
              <w:spacing w:before="0" w:line="280" w:lineRule="exact"/>
            </w:pPr>
            <w:r>
              <w:t>Corinthian Room</w:t>
            </w:r>
          </w:p>
          <w:p w14:paraId="0873E04D" w14:textId="77777777" w:rsidR="004028DA" w:rsidRDefault="004028DA" w:rsidP="000B07D6">
            <w:pPr>
              <w:pStyle w:val="BodyText"/>
              <w:spacing w:before="0" w:line="280" w:lineRule="exact"/>
            </w:pPr>
            <w:r>
              <w:t xml:space="preserve">66 </w:t>
            </w:r>
            <w:r w:rsidR="000B07D6">
              <w:t>Goulburn Street</w:t>
            </w:r>
          </w:p>
        </w:tc>
      </w:tr>
    </w:tbl>
    <w:p w14:paraId="5D6BBE65" w14:textId="77777777" w:rsidR="00A97672" w:rsidRPr="00683E2C" w:rsidRDefault="00A97672" w:rsidP="00D21E39">
      <w:pPr>
        <w:pStyle w:val="Heading3"/>
      </w:pPr>
      <w:r w:rsidRPr="00683E2C">
        <w:t>Commissioners</w:t>
      </w:r>
    </w:p>
    <w:p w14:paraId="097402D5" w14:textId="77777777" w:rsidR="00A97672" w:rsidRDefault="004028DA">
      <w:pPr>
        <w:pStyle w:val="BodyText"/>
        <w:rPr>
          <w:sz w:val="23"/>
          <w:szCs w:val="23"/>
        </w:rPr>
      </w:pPr>
      <w:r>
        <w:rPr>
          <w:sz w:val="23"/>
          <w:szCs w:val="23"/>
        </w:rPr>
        <w:t xml:space="preserve">For the purposes of this inquiry and draft report, in accordance with section 40 of the </w:t>
      </w:r>
      <w:r>
        <w:rPr>
          <w:i/>
          <w:iCs/>
          <w:sz w:val="23"/>
          <w:szCs w:val="23"/>
        </w:rPr>
        <w:t xml:space="preserve">Productivity Commission Act 1998 </w:t>
      </w:r>
      <w:r>
        <w:rPr>
          <w:sz w:val="23"/>
          <w:szCs w:val="23"/>
        </w:rPr>
        <w:t>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A97672" w14:paraId="2AB4C912" w14:textId="77777777" w:rsidTr="00D21E39">
        <w:tc>
          <w:tcPr>
            <w:tcW w:w="3969" w:type="dxa"/>
            <w:tcMar>
              <w:left w:w="0" w:type="dxa"/>
              <w:right w:w="0" w:type="dxa"/>
            </w:tcMar>
          </w:tcPr>
          <w:p w14:paraId="429D6C90" w14:textId="77777777" w:rsidR="00A97672" w:rsidRDefault="00C014EE" w:rsidP="00D94152">
            <w:pPr>
              <w:pStyle w:val="BodyText"/>
              <w:tabs>
                <w:tab w:val="center" w:pos="1984"/>
              </w:tabs>
              <w:spacing w:before="120"/>
            </w:pPr>
            <w:r>
              <w:t>Warren Mundy</w:t>
            </w:r>
          </w:p>
        </w:tc>
        <w:tc>
          <w:tcPr>
            <w:tcW w:w="4820" w:type="dxa"/>
          </w:tcPr>
          <w:p w14:paraId="2C5A9938" w14:textId="77777777" w:rsidR="00A97672" w:rsidRDefault="00A97672">
            <w:pPr>
              <w:pStyle w:val="BodyText"/>
              <w:spacing w:before="120"/>
            </w:pPr>
            <w:r>
              <w:t>Presiding</w:t>
            </w:r>
            <w:r w:rsidR="004028DA">
              <w:t xml:space="preserve"> </w:t>
            </w:r>
            <w:r w:rsidR="00D94152">
              <w:t>Commissioner</w:t>
            </w:r>
          </w:p>
        </w:tc>
      </w:tr>
      <w:tr w:rsidR="00A97672" w14:paraId="7730C824" w14:textId="77777777" w:rsidTr="00D21E39">
        <w:tc>
          <w:tcPr>
            <w:tcW w:w="3969" w:type="dxa"/>
            <w:tcMar>
              <w:left w:w="0" w:type="dxa"/>
              <w:right w:w="0" w:type="dxa"/>
            </w:tcMar>
          </w:tcPr>
          <w:p w14:paraId="74927534" w14:textId="77777777" w:rsidR="00A97672" w:rsidRDefault="00D94152">
            <w:pPr>
              <w:pStyle w:val="BodyText"/>
              <w:spacing w:before="120"/>
            </w:pPr>
            <w:r>
              <w:t>Melinda Cilento</w:t>
            </w:r>
          </w:p>
        </w:tc>
        <w:tc>
          <w:tcPr>
            <w:tcW w:w="4820" w:type="dxa"/>
          </w:tcPr>
          <w:p w14:paraId="31A7388A" w14:textId="77777777" w:rsidR="00A97672" w:rsidRDefault="004028DA">
            <w:pPr>
              <w:pStyle w:val="BodyText"/>
              <w:spacing w:before="120"/>
            </w:pPr>
            <w:r>
              <w:t>Commissioner</w:t>
            </w:r>
          </w:p>
        </w:tc>
      </w:tr>
    </w:tbl>
    <w:p w14:paraId="257B0E42" w14:textId="77777777" w:rsidR="00A97672" w:rsidRPr="00DD35BF" w:rsidRDefault="00A97672" w:rsidP="00D21E39">
      <w:pPr>
        <w:pStyle w:val="BodyText"/>
        <w:rPr>
          <w:lang w:eastAsia="en-US"/>
        </w:rPr>
      </w:pPr>
    </w:p>
    <w:p w14:paraId="7CDEB325" w14:textId="77777777" w:rsidR="00A97672" w:rsidRPr="003C10D8" w:rsidRDefault="00A97672" w:rsidP="00D21E39">
      <w:pPr>
        <w:pStyle w:val="BodyText"/>
        <w:rPr>
          <w:lang w:eastAsia="en-US"/>
        </w:rPr>
        <w:sectPr w:rsidR="00A97672" w:rsidRPr="003C10D8" w:rsidSect="00D21E39">
          <w:headerReference w:type="even" r:id="rId22"/>
          <w:headerReference w:type="default" r:id="rId23"/>
          <w:footerReference w:type="even" r:id="rId24"/>
          <w:footerReference w:type="default" r:id="rId25"/>
          <w:headerReference w:type="first" r:id="rId26"/>
          <w:type w:val="oddPage"/>
          <w:pgSz w:w="11907" w:h="16840" w:code="9"/>
          <w:pgMar w:top="1985" w:right="1304" w:bottom="1191" w:left="1814" w:header="1701" w:footer="397" w:gutter="0"/>
          <w:pgNumType w:fmt="lowerRoman"/>
          <w:cols w:space="720"/>
        </w:sectPr>
      </w:pPr>
    </w:p>
    <w:p w14:paraId="068B82FD" w14:textId="77777777" w:rsidR="00A97672" w:rsidRDefault="00A97672" w:rsidP="00D21E39">
      <w:pPr>
        <w:pStyle w:val="Heading1"/>
      </w:pPr>
      <w:r>
        <w:lastRenderedPageBreak/>
        <w:t>Terms of reference</w:t>
      </w:r>
    </w:p>
    <w:p w14:paraId="312CD0A5" w14:textId="77777777" w:rsidR="00A97672" w:rsidRDefault="00A97672" w:rsidP="00A97672">
      <w:pPr>
        <w:pStyle w:val="BodyText"/>
      </w:pPr>
      <w:r w:rsidRPr="00AF2983">
        <w:t xml:space="preserve">I, Joseph Benedict Hockey, Treasurer, pursuant to Parts 2 and 3 of the </w:t>
      </w:r>
      <w:r w:rsidRPr="00AF2983">
        <w:rPr>
          <w:i/>
          <w:iCs/>
        </w:rPr>
        <w:t>Productivity Commission Act 1998</w:t>
      </w:r>
      <w:r w:rsidRPr="00AF2983">
        <w:t xml:space="preserve">, hereby request that the Productivity Commission (Commission) undertake an inquiry into barriers to business entries and exits and identify options for reducing these barriers where appropriate, in order to drive efficiency and economic growth in the Australian economy. </w:t>
      </w:r>
    </w:p>
    <w:p w14:paraId="1F4D0E47" w14:textId="77777777" w:rsidR="00A97672" w:rsidRPr="00AF2983" w:rsidRDefault="00A97672" w:rsidP="00A97672">
      <w:pPr>
        <w:pStyle w:val="Heading3"/>
      </w:pPr>
      <w:r w:rsidRPr="00AF2983">
        <w:t xml:space="preserve">Background </w:t>
      </w:r>
    </w:p>
    <w:p w14:paraId="6A298671" w14:textId="77777777" w:rsidR="00A97672" w:rsidRPr="00AF2983" w:rsidRDefault="00A97672" w:rsidP="00A97672">
      <w:pPr>
        <w:pStyle w:val="BodyText"/>
      </w:pPr>
      <w:r w:rsidRPr="00AF2983">
        <w:t xml:space="preserve">Firm entry and exit plays an important role in fostering innovation, competition, and thereby driving productivity and economic growth. Competition from new firms, or even the threat of potential entry, forces existing firms to be more efficient. The exit of inefficient firms can provide for greater allocative efficiency as their former resources can be put to higher value uses. </w:t>
      </w:r>
    </w:p>
    <w:p w14:paraId="56179649" w14:textId="77777777" w:rsidR="00A97672" w:rsidRPr="00AF2983" w:rsidRDefault="00A97672" w:rsidP="00A97672">
      <w:pPr>
        <w:pStyle w:val="BodyText"/>
      </w:pPr>
      <w:r w:rsidRPr="00AF2983">
        <w:t xml:space="preserve">Certain barriers to entry and exit have the potential to hinder the efficient operation of markets, with negative consequences for economic growth. Barriers to entry and exit can be a function of market structure, government regulation, industry specific sunk costs or geography. Cultural appetite for risk is also an important determinant of the level of business entry and exit in an economy. </w:t>
      </w:r>
    </w:p>
    <w:p w14:paraId="61ED4450" w14:textId="77777777" w:rsidR="00A97672" w:rsidRPr="00AF2983" w:rsidRDefault="00A97672" w:rsidP="00A97672">
      <w:pPr>
        <w:pStyle w:val="BodyText"/>
      </w:pPr>
      <w:r w:rsidRPr="00AF2983">
        <w:t xml:space="preserve">Business insolvency also results in losses to equity and debt holders, and to employees. Different approaches to managing insolvency can affect the efficient provision of finance and labour. </w:t>
      </w:r>
    </w:p>
    <w:p w14:paraId="66628A13" w14:textId="77777777" w:rsidR="00A97672" w:rsidRPr="00AF2983" w:rsidRDefault="00C014EE" w:rsidP="00A97672">
      <w:pPr>
        <w:pStyle w:val="Heading3"/>
      </w:pPr>
      <w:r>
        <w:t>Scope of the Inquiry</w:t>
      </w:r>
    </w:p>
    <w:p w14:paraId="6D57F303" w14:textId="77777777" w:rsidR="00A97672" w:rsidRPr="00AF2983" w:rsidRDefault="00A97672" w:rsidP="00A97672">
      <w:pPr>
        <w:pStyle w:val="BodyText"/>
      </w:pPr>
      <w:r w:rsidRPr="00AF2983">
        <w:t xml:space="preserve">The Commission is to conduct a broad ranging investigation into barriers to business entries and exits and how or where it might be efficiency-enhancing to reduce such barriers. In undertaking this inquiry, the Commission is to investigate, analyse and propose recommendations on the following: </w:t>
      </w:r>
    </w:p>
    <w:p w14:paraId="62129A72" w14:textId="77777777" w:rsidR="00A97672" w:rsidRPr="00AF2983" w:rsidRDefault="00A97672" w:rsidP="00A97672">
      <w:pPr>
        <w:pStyle w:val="ListNumber"/>
        <w:numPr>
          <w:ilvl w:val="0"/>
          <w:numId w:val="25"/>
        </w:numPr>
      </w:pPr>
      <w:r w:rsidRPr="00AF2983">
        <w:t xml:space="preserve">The nature and scale/extent of barriers to entry and exit that currently exist for firms and their impact on economic performance. </w:t>
      </w:r>
    </w:p>
    <w:p w14:paraId="7EBBF7E1" w14:textId="77777777" w:rsidR="00A97672" w:rsidRPr="00AF2983" w:rsidRDefault="00A97672" w:rsidP="00A97672">
      <w:pPr>
        <w:pStyle w:val="ListNumber2"/>
        <w:numPr>
          <w:ilvl w:val="1"/>
          <w:numId w:val="25"/>
        </w:numPr>
      </w:pPr>
      <w:r w:rsidRPr="00AF2983">
        <w:t xml:space="preserve">Consideration could also be given to the variance in entry and exit rates, for example, between industries, locations, or firm size. </w:t>
      </w:r>
    </w:p>
    <w:p w14:paraId="0C21653B" w14:textId="77777777" w:rsidR="00A97672" w:rsidRPr="00AF2983" w:rsidRDefault="00A97672" w:rsidP="00A97672">
      <w:pPr>
        <w:pStyle w:val="ListNumber"/>
        <w:numPr>
          <w:ilvl w:val="0"/>
          <w:numId w:val="25"/>
        </w:numPr>
      </w:pPr>
      <w:r w:rsidRPr="00AF2983">
        <w:lastRenderedPageBreak/>
        <w:t xml:space="preserve">Identify appropriate options for reducing these entry and exit barriers, including, but not limited to, advice on the potential impacts of: </w:t>
      </w:r>
    </w:p>
    <w:p w14:paraId="783550E3" w14:textId="77777777" w:rsidR="00A97672" w:rsidRPr="00AF2983" w:rsidRDefault="00A97672" w:rsidP="00A97672">
      <w:pPr>
        <w:pStyle w:val="ListNumber2"/>
        <w:numPr>
          <w:ilvl w:val="1"/>
          <w:numId w:val="25"/>
        </w:numPr>
      </w:pPr>
      <w:r w:rsidRPr="00AF2983">
        <w:t xml:space="preserve">The regulation of product and service markets; </w:t>
      </w:r>
    </w:p>
    <w:p w14:paraId="306D071B" w14:textId="77777777" w:rsidR="00A97672" w:rsidRPr="00AF2983" w:rsidRDefault="00A97672" w:rsidP="00A97672">
      <w:pPr>
        <w:pStyle w:val="ListNumber2"/>
        <w:numPr>
          <w:ilvl w:val="1"/>
          <w:numId w:val="25"/>
        </w:numPr>
      </w:pPr>
      <w:r w:rsidRPr="00AF2983">
        <w:t xml:space="preserve">Transfers and subsidies to businesses, including import barriers; </w:t>
      </w:r>
    </w:p>
    <w:p w14:paraId="61B66D33" w14:textId="77777777" w:rsidR="00A97672" w:rsidRPr="00AF2983" w:rsidRDefault="00A97672" w:rsidP="00A97672">
      <w:pPr>
        <w:pStyle w:val="ListNumber2"/>
        <w:numPr>
          <w:ilvl w:val="1"/>
          <w:numId w:val="25"/>
        </w:numPr>
      </w:pPr>
      <w:r w:rsidRPr="00AF2983">
        <w:t xml:space="preserve">Regulations affecting the ease of starting, operationalising or closing a business; </w:t>
      </w:r>
    </w:p>
    <w:p w14:paraId="2E8827ED" w14:textId="77777777" w:rsidR="00A97672" w:rsidRPr="00AF2983" w:rsidRDefault="00A97672" w:rsidP="00A97672">
      <w:pPr>
        <w:pStyle w:val="ListNumber2"/>
        <w:numPr>
          <w:ilvl w:val="1"/>
          <w:numId w:val="25"/>
        </w:numPr>
      </w:pPr>
      <w:r w:rsidRPr="00AF2983">
        <w:t xml:space="preserve">Time spent on and cost of complying or dealing with government regulation, licensing and bureaucracy; and </w:t>
      </w:r>
    </w:p>
    <w:p w14:paraId="3870863D" w14:textId="77777777" w:rsidR="00A97672" w:rsidRPr="00AF2983" w:rsidRDefault="00A97672" w:rsidP="00A97672">
      <w:pPr>
        <w:pStyle w:val="ListNumber2"/>
        <w:numPr>
          <w:ilvl w:val="1"/>
          <w:numId w:val="25"/>
        </w:numPr>
      </w:pPr>
      <w:r w:rsidRPr="00AF2983">
        <w:t xml:space="preserve">The personal/corporate insolvency regimes on business exits. </w:t>
      </w:r>
    </w:p>
    <w:p w14:paraId="4FDAB584" w14:textId="77777777" w:rsidR="00A97672" w:rsidRPr="00AF2983" w:rsidRDefault="00A97672" w:rsidP="00A97672">
      <w:pPr>
        <w:pStyle w:val="Heading3"/>
      </w:pPr>
      <w:r w:rsidRPr="00AF2983">
        <w:t xml:space="preserve">Process </w:t>
      </w:r>
    </w:p>
    <w:p w14:paraId="14725D40" w14:textId="77777777" w:rsidR="00A97672" w:rsidRDefault="00A97672" w:rsidP="00A97672">
      <w:pPr>
        <w:pStyle w:val="BodyText"/>
      </w:pPr>
      <w:r w:rsidRPr="00AF2983">
        <w:t xml:space="preserve">The Commission is to undertake an appropriate public consultation process, inviting public submissions and releasing a draft report to the public. A final report should be provided to the Government within nine months of receipt of the reference. </w:t>
      </w:r>
    </w:p>
    <w:p w14:paraId="027020FE" w14:textId="77777777" w:rsidR="00A97672" w:rsidRDefault="00A97672" w:rsidP="00C014EE">
      <w:pPr>
        <w:pStyle w:val="BodyText"/>
        <w:spacing w:before="960"/>
        <w:jc w:val="left"/>
      </w:pPr>
      <w:r w:rsidRPr="00AF2983">
        <w:t>J.B. HOCKEY</w:t>
      </w:r>
      <w:r>
        <w:br/>
        <w:t>Treasurer</w:t>
      </w:r>
    </w:p>
    <w:p w14:paraId="22AE615B" w14:textId="77777777" w:rsidR="00A97672" w:rsidRDefault="00A97672" w:rsidP="00D21E39">
      <w:pPr>
        <w:pStyle w:val="BodyText"/>
      </w:pPr>
      <w:r>
        <w:t>[20 November 2014]</w:t>
      </w:r>
    </w:p>
    <w:p w14:paraId="16D99291" w14:textId="77777777" w:rsidR="00A97672" w:rsidRDefault="00A97672" w:rsidP="00D21E39">
      <w:pPr>
        <w:pStyle w:val="BodyText"/>
      </w:pPr>
    </w:p>
    <w:p w14:paraId="33D87920" w14:textId="77777777" w:rsidR="00A97672" w:rsidRDefault="00A97672" w:rsidP="00D21E39">
      <w:pPr>
        <w:pStyle w:val="BodyText"/>
        <w:sectPr w:rsidR="00A97672" w:rsidSect="00D21E39">
          <w:headerReference w:type="even" r:id="rId27"/>
          <w:headerReference w:type="default" r:id="rId28"/>
          <w:footerReference w:type="even" r:id="rId29"/>
          <w:footerReference w:type="default" r:id="rId30"/>
          <w:headerReference w:type="first" r:id="rId31"/>
          <w:pgSz w:w="11907" w:h="16840" w:code="9"/>
          <w:pgMar w:top="1985" w:right="1304" w:bottom="1247" w:left="1814" w:header="1701" w:footer="397" w:gutter="0"/>
          <w:pgNumType w:fmt="lowerRoman"/>
          <w:cols w:space="720"/>
        </w:sectPr>
      </w:pPr>
    </w:p>
    <w:p w14:paraId="12ABA029" w14:textId="77777777" w:rsidR="001B7F1E" w:rsidRDefault="00735FEA" w:rsidP="008206EE">
      <w:pPr>
        <w:pStyle w:val="Heading1NotTOC"/>
      </w:pPr>
      <w:bookmarkStart w:id="3" w:name="Contents"/>
      <w:bookmarkEnd w:id="3"/>
      <w:r w:rsidRPr="00B153C3">
        <w:lastRenderedPageBreak/>
        <w:t>Contents</w:t>
      </w:r>
      <w:bookmarkStart w:id="4" w:name="InsertContents"/>
      <w:bookmarkEnd w:id="4"/>
    </w:p>
    <w:p w14:paraId="5D2C0F12" w14:textId="77777777" w:rsidR="00C014EE" w:rsidRDefault="00C014EE" w:rsidP="001240E9">
      <w:pPr>
        <w:pStyle w:val="TOC1"/>
        <w:rPr>
          <w:noProof/>
        </w:rPr>
      </w:pPr>
      <w:r>
        <w:rPr>
          <w:noProof/>
        </w:rPr>
        <w:t>Opportunity for further comment</w:t>
      </w:r>
      <w:r>
        <w:rPr>
          <w:noProof/>
        </w:rPr>
        <w:tab/>
        <w:t>iii</w:t>
      </w:r>
    </w:p>
    <w:p w14:paraId="7E4B1EFF" w14:textId="77777777" w:rsidR="00C014EE" w:rsidRDefault="00C014EE" w:rsidP="001240E9">
      <w:pPr>
        <w:pStyle w:val="TOC1"/>
        <w:rPr>
          <w:noProof/>
        </w:rPr>
      </w:pPr>
      <w:r>
        <w:rPr>
          <w:noProof/>
        </w:rPr>
        <w:t>Terms of reference</w:t>
      </w:r>
      <w:r>
        <w:rPr>
          <w:noProof/>
        </w:rPr>
        <w:tab/>
        <w:t>iv</w:t>
      </w:r>
    </w:p>
    <w:p w14:paraId="22F10756" w14:textId="77777777" w:rsidR="00C014EE" w:rsidRPr="00C014EE" w:rsidRDefault="00C014EE" w:rsidP="00C014EE">
      <w:pPr>
        <w:pStyle w:val="TOC1"/>
        <w:rPr>
          <w:noProof/>
        </w:rPr>
      </w:pPr>
      <w:r>
        <w:rPr>
          <w:noProof/>
        </w:rPr>
        <w:t>Abbreviations and explanations</w:t>
      </w:r>
      <w:r>
        <w:rPr>
          <w:noProof/>
        </w:rPr>
        <w:tab/>
        <w:t>x</w:t>
      </w:r>
    </w:p>
    <w:p w14:paraId="13B33AE6" w14:textId="77777777" w:rsidR="008D1343" w:rsidRPr="00A143A3" w:rsidRDefault="008D1343" w:rsidP="008D1343">
      <w:pPr>
        <w:pStyle w:val="TOC1"/>
        <w:rPr>
          <w:noProof/>
        </w:rPr>
      </w:pPr>
      <w:r>
        <w:rPr>
          <w:noProof/>
        </w:rPr>
        <w:t>Key points</w:t>
      </w:r>
      <w:r>
        <w:rPr>
          <w:noProof/>
        </w:rPr>
        <w:tab/>
        <w:t>2</w:t>
      </w:r>
    </w:p>
    <w:p w14:paraId="5DE73610" w14:textId="77777777" w:rsidR="00A143A3" w:rsidRDefault="00A143A3" w:rsidP="00A143A3">
      <w:pPr>
        <w:pStyle w:val="TOC1"/>
        <w:rPr>
          <w:noProof/>
        </w:rPr>
      </w:pPr>
      <w:r>
        <w:rPr>
          <w:noProof/>
        </w:rPr>
        <w:t>Overview</w:t>
      </w:r>
      <w:r>
        <w:rPr>
          <w:noProof/>
        </w:rPr>
        <w:tab/>
      </w:r>
      <w:r w:rsidR="008D1343">
        <w:rPr>
          <w:noProof/>
        </w:rPr>
        <w:t>3</w:t>
      </w:r>
    </w:p>
    <w:p w14:paraId="0A11D99C"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Draft findings and recommendations</w:t>
      </w:r>
      <w:r>
        <w:rPr>
          <w:noProof/>
        </w:rPr>
        <w:tab/>
        <w:t>26</w:t>
      </w:r>
    </w:p>
    <w:p w14:paraId="69D5E852"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Scope of the inquiry</w:t>
      </w:r>
      <w:r>
        <w:rPr>
          <w:noProof/>
        </w:rPr>
        <w:tab/>
        <w:t>37</w:t>
      </w:r>
    </w:p>
    <w:p w14:paraId="4E3E89E6" w14:textId="77777777" w:rsidR="00031564" w:rsidRDefault="00031564" w:rsidP="00031564">
      <w:pPr>
        <w:pStyle w:val="TOC2"/>
        <w:tabs>
          <w:tab w:val="left" w:pos="1320"/>
        </w:tabs>
        <w:ind w:left="1134" w:hanging="624"/>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Inquiry background</w:t>
      </w:r>
      <w:r>
        <w:rPr>
          <w:noProof/>
        </w:rPr>
        <w:tab/>
        <w:t>37</w:t>
      </w:r>
    </w:p>
    <w:p w14:paraId="503D1CE9" w14:textId="77777777" w:rsidR="00031564" w:rsidRPr="00031564" w:rsidRDefault="00031564" w:rsidP="00031564">
      <w:pPr>
        <w:pStyle w:val="TOC2"/>
        <w:tabs>
          <w:tab w:val="left" w:pos="1320"/>
        </w:tabs>
        <w:ind w:left="1134" w:hanging="624"/>
        <w:rPr>
          <w:noProof/>
        </w:rPr>
      </w:pPr>
      <w:r>
        <w:rPr>
          <w:noProof/>
        </w:rPr>
        <w:t>1.2</w:t>
      </w:r>
      <w:r>
        <w:rPr>
          <w:rFonts w:asciiTheme="minorHAnsi" w:eastAsiaTheme="minorEastAsia" w:hAnsiTheme="minorHAnsi" w:cstheme="minorBidi"/>
          <w:noProof/>
          <w:sz w:val="22"/>
          <w:szCs w:val="22"/>
          <w:lang w:eastAsia="en-AU"/>
        </w:rPr>
        <w:tab/>
      </w:r>
      <w:r>
        <w:rPr>
          <w:noProof/>
        </w:rPr>
        <w:t>What this inquiry is about</w:t>
      </w:r>
      <w:r>
        <w:rPr>
          <w:noProof/>
        </w:rPr>
        <w:tab/>
        <w:t>37</w:t>
      </w:r>
    </w:p>
    <w:p w14:paraId="538B071C" w14:textId="77777777" w:rsidR="00031564" w:rsidRPr="00031564" w:rsidRDefault="00031564" w:rsidP="00031564">
      <w:pPr>
        <w:pStyle w:val="TOC2"/>
        <w:tabs>
          <w:tab w:val="left" w:pos="1320"/>
        </w:tabs>
        <w:ind w:left="1134" w:hanging="624"/>
        <w:rPr>
          <w:noProof/>
        </w:rPr>
      </w:pPr>
      <w:r>
        <w:rPr>
          <w:noProof/>
        </w:rPr>
        <w:t>1.3</w:t>
      </w:r>
      <w:r w:rsidRPr="00031564">
        <w:rPr>
          <w:noProof/>
        </w:rPr>
        <w:tab/>
      </w:r>
      <w:r>
        <w:rPr>
          <w:noProof/>
        </w:rPr>
        <w:t>Other reviews and work of relevance</w:t>
      </w:r>
      <w:r>
        <w:rPr>
          <w:noProof/>
        </w:rPr>
        <w:tab/>
        <w:t>40</w:t>
      </w:r>
    </w:p>
    <w:p w14:paraId="179CAFAA" w14:textId="77777777" w:rsidR="00031564" w:rsidRDefault="00031564" w:rsidP="00031564">
      <w:pPr>
        <w:pStyle w:val="TOC2"/>
        <w:tabs>
          <w:tab w:val="left" w:pos="1320"/>
        </w:tabs>
        <w:ind w:left="1134" w:hanging="624"/>
        <w:rPr>
          <w:rFonts w:asciiTheme="minorHAnsi" w:eastAsiaTheme="minorEastAsia" w:hAnsiTheme="minorHAnsi" w:cstheme="minorBidi"/>
          <w:noProof/>
          <w:sz w:val="22"/>
          <w:szCs w:val="22"/>
          <w:lang w:eastAsia="en-AU"/>
        </w:rPr>
      </w:pPr>
      <w:r>
        <w:rPr>
          <w:noProof/>
        </w:rPr>
        <w:t>1.4</w:t>
      </w:r>
      <w:r w:rsidRPr="00031564">
        <w:rPr>
          <w:noProof/>
        </w:rPr>
        <w:tab/>
      </w:r>
      <w:r>
        <w:rPr>
          <w:noProof/>
        </w:rPr>
        <w:t>Guide to the report</w:t>
      </w:r>
      <w:r>
        <w:rPr>
          <w:noProof/>
        </w:rPr>
        <w:tab/>
        <w:t>41</w:t>
      </w:r>
    </w:p>
    <w:p w14:paraId="710BD536"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Understanding business set</w:t>
      </w:r>
      <w:r w:rsidRPr="00941B9A">
        <w:rPr>
          <w:rFonts w:ascii="MS Mincho" w:eastAsia="MS Mincho" w:hAnsi="MS Mincho" w:cs="MS Mincho"/>
          <w:noProof/>
        </w:rPr>
        <w:t>‑</w:t>
      </w:r>
      <w:r>
        <w:rPr>
          <w:noProof/>
        </w:rPr>
        <w:t>ups, transfers and closures</w:t>
      </w:r>
      <w:r>
        <w:rPr>
          <w:noProof/>
        </w:rPr>
        <w:tab/>
        <w:t>43</w:t>
      </w:r>
    </w:p>
    <w:p w14:paraId="6DFF6B41" w14:textId="77777777" w:rsidR="00031564" w:rsidRPr="00031564" w:rsidRDefault="00031564" w:rsidP="00031564">
      <w:pPr>
        <w:pStyle w:val="TOC2"/>
        <w:tabs>
          <w:tab w:val="left" w:pos="1320"/>
        </w:tabs>
        <w:ind w:left="1134" w:hanging="624"/>
        <w:rPr>
          <w:noProof/>
        </w:rPr>
      </w:pPr>
      <w:r>
        <w:rPr>
          <w:noProof/>
        </w:rPr>
        <w:t>2.1</w:t>
      </w:r>
      <w:r>
        <w:rPr>
          <w:rFonts w:asciiTheme="minorHAnsi" w:eastAsiaTheme="minorEastAsia" w:hAnsiTheme="minorHAnsi" w:cstheme="minorBidi"/>
          <w:noProof/>
          <w:sz w:val="22"/>
          <w:szCs w:val="22"/>
          <w:lang w:eastAsia="en-AU"/>
        </w:rPr>
        <w:tab/>
      </w:r>
      <w:r>
        <w:rPr>
          <w:noProof/>
        </w:rPr>
        <w:t>Recent trends in business set</w:t>
      </w:r>
      <w:r>
        <w:rPr>
          <w:noProof/>
        </w:rPr>
        <w:noBreakHyphen/>
        <w:t>up, transfer and closure</w:t>
      </w:r>
      <w:r>
        <w:rPr>
          <w:noProof/>
        </w:rPr>
        <w:tab/>
        <w:t>44</w:t>
      </w:r>
    </w:p>
    <w:p w14:paraId="7AC2995E" w14:textId="77777777" w:rsidR="00031564" w:rsidRPr="00031564" w:rsidRDefault="00031564" w:rsidP="00031564">
      <w:pPr>
        <w:pStyle w:val="TOC2"/>
        <w:tabs>
          <w:tab w:val="left" w:pos="1320"/>
        </w:tabs>
        <w:ind w:left="1134" w:hanging="624"/>
        <w:rPr>
          <w:noProof/>
        </w:rPr>
      </w:pPr>
      <w:r>
        <w:rPr>
          <w:noProof/>
        </w:rPr>
        <w:t>2.2</w:t>
      </w:r>
      <w:r w:rsidRPr="00031564">
        <w:rPr>
          <w:noProof/>
        </w:rPr>
        <w:tab/>
      </w:r>
      <w:r>
        <w:rPr>
          <w:noProof/>
        </w:rPr>
        <w:t>What influences business set</w:t>
      </w:r>
      <w:r>
        <w:rPr>
          <w:noProof/>
        </w:rPr>
        <w:noBreakHyphen/>
        <w:t>up, transfer and closure?</w:t>
      </w:r>
      <w:r>
        <w:rPr>
          <w:noProof/>
        </w:rPr>
        <w:tab/>
        <w:t>54</w:t>
      </w:r>
    </w:p>
    <w:p w14:paraId="168295A0" w14:textId="77777777" w:rsidR="00031564" w:rsidRDefault="00031564" w:rsidP="00031564">
      <w:pPr>
        <w:pStyle w:val="TOC2"/>
        <w:tabs>
          <w:tab w:val="left" w:pos="1320"/>
        </w:tabs>
        <w:ind w:left="1134" w:hanging="624"/>
        <w:rPr>
          <w:rFonts w:asciiTheme="minorHAnsi" w:eastAsiaTheme="minorEastAsia" w:hAnsiTheme="minorHAnsi" w:cstheme="minorBidi"/>
          <w:noProof/>
          <w:sz w:val="22"/>
          <w:szCs w:val="22"/>
          <w:lang w:eastAsia="en-AU"/>
        </w:rPr>
      </w:pPr>
      <w:r>
        <w:rPr>
          <w:noProof/>
        </w:rPr>
        <w:t>2.3</w:t>
      </w:r>
      <w:r w:rsidRPr="00031564">
        <w:rPr>
          <w:noProof/>
        </w:rPr>
        <w:tab/>
      </w:r>
      <w:r w:rsidRPr="00A143A3">
        <w:rPr>
          <w:noProof/>
          <w:spacing w:val="-4"/>
        </w:rPr>
        <w:t>Why are business set</w:t>
      </w:r>
      <w:r w:rsidRPr="00A143A3">
        <w:rPr>
          <w:noProof/>
          <w:spacing w:val="-4"/>
        </w:rPr>
        <w:noBreakHyphen/>
        <w:t>ups, transfers and closures important?</w:t>
      </w:r>
      <w:r>
        <w:rPr>
          <w:noProof/>
        </w:rPr>
        <w:tab/>
        <w:t>60</w:t>
      </w:r>
    </w:p>
    <w:p w14:paraId="2AB2D2F3"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Setting up a business</w:t>
      </w:r>
      <w:r>
        <w:rPr>
          <w:noProof/>
        </w:rPr>
        <w:tab/>
        <w:t>65</w:t>
      </w:r>
    </w:p>
    <w:p w14:paraId="2953741E" w14:textId="77777777" w:rsidR="00031564" w:rsidRPr="00031564" w:rsidRDefault="00031564" w:rsidP="00031564">
      <w:pPr>
        <w:pStyle w:val="TOC2"/>
        <w:tabs>
          <w:tab w:val="left" w:pos="1320"/>
        </w:tabs>
        <w:ind w:left="1134" w:hanging="624"/>
        <w:rPr>
          <w:noProof/>
        </w:rPr>
      </w:pPr>
      <w:r>
        <w:rPr>
          <w:noProof/>
        </w:rPr>
        <w:t>3.1</w:t>
      </w:r>
      <w:r>
        <w:rPr>
          <w:rFonts w:asciiTheme="minorHAnsi" w:eastAsiaTheme="minorEastAsia" w:hAnsiTheme="minorHAnsi" w:cstheme="minorBidi"/>
          <w:noProof/>
          <w:sz w:val="22"/>
          <w:szCs w:val="22"/>
          <w:lang w:eastAsia="en-AU"/>
        </w:rPr>
        <w:tab/>
      </w:r>
      <w:r>
        <w:rPr>
          <w:noProof/>
        </w:rPr>
        <w:t>Generic requirements for setting up a business</w:t>
      </w:r>
      <w:r>
        <w:rPr>
          <w:noProof/>
        </w:rPr>
        <w:tab/>
        <w:t>65</w:t>
      </w:r>
    </w:p>
    <w:p w14:paraId="019A7373" w14:textId="77777777" w:rsidR="00031564" w:rsidRPr="00031564" w:rsidRDefault="00031564" w:rsidP="00031564">
      <w:pPr>
        <w:pStyle w:val="TOC2"/>
        <w:tabs>
          <w:tab w:val="left" w:pos="1320"/>
        </w:tabs>
        <w:ind w:left="1134" w:hanging="624"/>
        <w:rPr>
          <w:noProof/>
        </w:rPr>
      </w:pPr>
      <w:r>
        <w:rPr>
          <w:noProof/>
        </w:rPr>
        <w:t>3.2</w:t>
      </w:r>
      <w:r w:rsidRPr="00031564">
        <w:rPr>
          <w:noProof/>
        </w:rPr>
        <w:tab/>
      </w:r>
      <w:r>
        <w:rPr>
          <w:noProof/>
        </w:rPr>
        <w:t>Requirements applying to specific business activities</w:t>
      </w:r>
      <w:r>
        <w:rPr>
          <w:noProof/>
        </w:rPr>
        <w:tab/>
        <w:t>74</w:t>
      </w:r>
    </w:p>
    <w:p w14:paraId="1D4BC05F" w14:textId="77777777" w:rsidR="00031564" w:rsidRDefault="00031564" w:rsidP="00031564">
      <w:pPr>
        <w:pStyle w:val="TOC2"/>
        <w:tabs>
          <w:tab w:val="left" w:pos="1320"/>
        </w:tabs>
        <w:ind w:left="1134" w:hanging="624"/>
        <w:rPr>
          <w:rFonts w:asciiTheme="minorHAnsi" w:eastAsiaTheme="minorEastAsia" w:hAnsiTheme="minorHAnsi" w:cstheme="minorBidi"/>
          <w:noProof/>
          <w:sz w:val="22"/>
          <w:szCs w:val="22"/>
          <w:lang w:eastAsia="en-AU"/>
        </w:rPr>
      </w:pPr>
      <w:r>
        <w:rPr>
          <w:noProof/>
        </w:rPr>
        <w:t>3.3</w:t>
      </w:r>
      <w:r w:rsidRPr="00031564">
        <w:rPr>
          <w:noProof/>
        </w:rPr>
        <w:tab/>
      </w:r>
      <w:r>
        <w:rPr>
          <w:noProof/>
        </w:rPr>
        <w:t>Ongoing and cumulative compliance burdens</w:t>
      </w:r>
      <w:r>
        <w:rPr>
          <w:noProof/>
        </w:rPr>
        <w:tab/>
        <w:t>78</w:t>
      </w:r>
    </w:p>
    <w:p w14:paraId="7E1FBBD3"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Business structures</w:t>
      </w:r>
      <w:r>
        <w:rPr>
          <w:noProof/>
        </w:rPr>
        <w:tab/>
        <w:t>83</w:t>
      </w:r>
    </w:p>
    <w:p w14:paraId="227585A7" w14:textId="77777777" w:rsidR="00031564" w:rsidRPr="00031564" w:rsidRDefault="00031564" w:rsidP="00031564">
      <w:pPr>
        <w:pStyle w:val="TOC2"/>
        <w:tabs>
          <w:tab w:val="left" w:pos="1320"/>
        </w:tabs>
        <w:ind w:left="1134" w:hanging="624"/>
        <w:rPr>
          <w:noProof/>
        </w:rPr>
      </w:pPr>
      <w:r>
        <w:rPr>
          <w:noProof/>
        </w:rPr>
        <w:t>4.1</w:t>
      </w:r>
      <w:r>
        <w:rPr>
          <w:rFonts w:asciiTheme="minorHAnsi" w:eastAsiaTheme="minorEastAsia" w:hAnsiTheme="minorHAnsi" w:cstheme="minorBidi"/>
          <w:noProof/>
          <w:sz w:val="22"/>
          <w:szCs w:val="22"/>
          <w:lang w:eastAsia="en-AU"/>
        </w:rPr>
        <w:tab/>
      </w:r>
      <w:r>
        <w:rPr>
          <w:noProof/>
        </w:rPr>
        <w:t>Different business ownership structures</w:t>
      </w:r>
      <w:r>
        <w:rPr>
          <w:noProof/>
        </w:rPr>
        <w:tab/>
        <w:t>83</w:t>
      </w:r>
    </w:p>
    <w:p w14:paraId="11951A6F" w14:textId="77777777" w:rsidR="00031564" w:rsidRPr="00031564" w:rsidRDefault="00031564" w:rsidP="00031564">
      <w:pPr>
        <w:pStyle w:val="TOC2"/>
        <w:tabs>
          <w:tab w:val="left" w:pos="1320"/>
        </w:tabs>
        <w:ind w:left="1134" w:hanging="624"/>
        <w:rPr>
          <w:noProof/>
        </w:rPr>
      </w:pPr>
      <w:r>
        <w:rPr>
          <w:noProof/>
        </w:rPr>
        <w:t>4.2</w:t>
      </w:r>
      <w:r w:rsidRPr="00031564">
        <w:rPr>
          <w:noProof/>
        </w:rPr>
        <w:tab/>
      </w:r>
      <w:r>
        <w:rPr>
          <w:noProof/>
        </w:rPr>
        <w:t>Prevalence of different structures</w:t>
      </w:r>
      <w:r>
        <w:rPr>
          <w:noProof/>
        </w:rPr>
        <w:tab/>
        <w:t>89</w:t>
      </w:r>
    </w:p>
    <w:p w14:paraId="2023C1BC" w14:textId="77777777" w:rsidR="00031564" w:rsidRPr="00031564" w:rsidRDefault="00031564" w:rsidP="00031564">
      <w:pPr>
        <w:pStyle w:val="TOC2"/>
        <w:tabs>
          <w:tab w:val="left" w:pos="1320"/>
        </w:tabs>
        <w:ind w:left="1134" w:hanging="624"/>
        <w:rPr>
          <w:noProof/>
        </w:rPr>
      </w:pPr>
      <w:r>
        <w:rPr>
          <w:noProof/>
        </w:rPr>
        <w:t>4.3</w:t>
      </w:r>
      <w:r w:rsidRPr="00031564">
        <w:rPr>
          <w:noProof/>
        </w:rPr>
        <w:tab/>
      </w:r>
      <w:r>
        <w:rPr>
          <w:noProof/>
        </w:rPr>
        <w:t>Incentives in choosing a business structure</w:t>
      </w:r>
      <w:r>
        <w:rPr>
          <w:noProof/>
        </w:rPr>
        <w:tab/>
        <w:t>94</w:t>
      </w:r>
    </w:p>
    <w:p w14:paraId="16CBFF9F" w14:textId="77777777" w:rsidR="00031564" w:rsidRDefault="00031564" w:rsidP="00031564">
      <w:pPr>
        <w:pStyle w:val="TOC2"/>
        <w:tabs>
          <w:tab w:val="left" w:pos="1320"/>
        </w:tabs>
        <w:ind w:left="1134" w:hanging="624"/>
        <w:rPr>
          <w:rFonts w:asciiTheme="minorHAnsi" w:eastAsiaTheme="minorEastAsia" w:hAnsiTheme="minorHAnsi" w:cstheme="minorBidi"/>
          <w:noProof/>
          <w:sz w:val="22"/>
          <w:szCs w:val="22"/>
          <w:lang w:eastAsia="en-AU"/>
        </w:rPr>
      </w:pPr>
      <w:r>
        <w:rPr>
          <w:noProof/>
        </w:rPr>
        <w:t>4.4</w:t>
      </w:r>
      <w:r w:rsidRPr="00031564">
        <w:rPr>
          <w:noProof/>
        </w:rPr>
        <w:tab/>
      </w:r>
      <w:r>
        <w:rPr>
          <w:noProof/>
        </w:rPr>
        <w:t>Issues and concerns with current business structures</w:t>
      </w:r>
      <w:r>
        <w:rPr>
          <w:noProof/>
        </w:rPr>
        <w:tab/>
        <w:t>98</w:t>
      </w:r>
    </w:p>
    <w:p w14:paraId="19879B87" w14:textId="77777777" w:rsidR="00306641" w:rsidRDefault="00306641" w:rsidP="00031564">
      <w:pPr>
        <w:pStyle w:val="TOC1"/>
        <w:rPr>
          <w:noProof/>
        </w:rPr>
      </w:pPr>
    </w:p>
    <w:p w14:paraId="6B200439" w14:textId="77777777" w:rsidR="00306641" w:rsidRDefault="00306641" w:rsidP="00031564">
      <w:pPr>
        <w:pStyle w:val="TOC1"/>
        <w:rPr>
          <w:noProof/>
        </w:rPr>
      </w:pPr>
    </w:p>
    <w:p w14:paraId="2B1A44B0"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Access to finance for new businesses</w:t>
      </w:r>
      <w:r>
        <w:rPr>
          <w:noProof/>
        </w:rPr>
        <w:tab/>
        <w:t>107</w:t>
      </w:r>
    </w:p>
    <w:p w14:paraId="29C9EA2F" w14:textId="77777777" w:rsidR="00031564" w:rsidRPr="00A143A3" w:rsidRDefault="00031564" w:rsidP="00A143A3">
      <w:pPr>
        <w:pStyle w:val="TOC2"/>
        <w:tabs>
          <w:tab w:val="left" w:pos="1320"/>
        </w:tabs>
        <w:ind w:left="1134" w:hanging="624"/>
        <w:rPr>
          <w:noProof/>
        </w:rPr>
      </w:pPr>
      <w:r>
        <w:rPr>
          <w:noProof/>
        </w:rPr>
        <w:t>5.1</w:t>
      </w:r>
      <w:r w:rsidRPr="00A143A3">
        <w:rPr>
          <w:noProof/>
        </w:rPr>
        <w:tab/>
        <w:t>Is there evidence that access to finance is an issue?</w:t>
      </w:r>
      <w:r>
        <w:rPr>
          <w:noProof/>
        </w:rPr>
        <w:tab/>
        <w:t>108</w:t>
      </w:r>
    </w:p>
    <w:p w14:paraId="4229C32C" w14:textId="77777777" w:rsidR="00031564" w:rsidRPr="00A143A3" w:rsidRDefault="00031564" w:rsidP="00A143A3">
      <w:pPr>
        <w:pStyle w:val="TOC2"/>
        <w:tabs>
          <w:tab w:val="left" w:pos="1320"/>
        </w:tabs>
        <w:ind w:left="1134" w:hanging="624"/>
        <w:rPr>
          <w:noProof/>
        </w:rPr>
      </w:pPr>
      <w:r>
        <w:rPr>
          <w:noProof/>
        </w:rPr>
        <w:t>5.2</w:t>
      </w:r>
      <w:r w:rsidRPr="00A143A3">
        <w:rPr>
          <w:noProof/>
        </w:rPr>
        <w:tab/>
      </w:r>
      <w:r>
        <w:rPr>
          <w:noProof/>
        </w:rPr>
        <w:t>Types and sources of business finance</w:t>
      </w:r>
      <w:r>
        <w:rPr>
          <w:noProof/>
        </w:rPr>
        <w:tab/>
        <w:t>114</w:t>
      </w:r>
    </w:p>
    <w:p w14:paraId="57314E5E" w14:textId="77777777" w:rsidR="00031564" w:rsidRPr="00A143A3" w:rsidRDefault="00031564" w:rsidP="00A143A3">
      <w:pPr>
        <w:pStyle w:val="TOC2"/>
        <w:tabs>
          <w:tab w:val="left" w:pos="1320"/>
        </w:tabs>
        <w:ind w:left="1134" w:hanging="624"/>
        <w:rPr>
          <w:noProof/>
        </w:rPr>
      </w:pPr>
      <w:r>
        <w:rPr>
          <w:noProof/>
        </w:rPr>
        <w:t>5.3</w:t>
      </w:r>
      <w:r w:rsidRPr="00A143A3">
        <w:rPr>
          <w:noProof/>
        </w:rPr>
        <w:tab/>
      </w:r>
      <w:r w:rsidRPr="00A143A3">
        <w:rPr>
          <w:noProof/>
          <w:spacing w:val="-4"/>
        </w:rPr>
        <w:t>Why might new businesses find it difficult to access finance?</w:t>
      </w:r>
      <w:r>
        <w:rPr>
          <w:noProof/>
        </w:rPr>
        <w:tab/>
        <w:t>120</w:t>
      </w:r>
    </w:p>
    <w:p w14:paraId="19984EC2" w14:textId="77777777" w:rsidR="00031564" w:rsidRPr="00A143A3" w:rsidRDefault="00031564" w:rsidP="00A143A3">
      <w:pPr>
        <w:pStyle w:val="TOC2"/>
        <w:tabs>
          <w:tab w:val="left" w:pos="1320"/>
        </w:tabs>
        <w:ind w:left="1134" w:hanging="624"/>
        <w:rPr>
          <w:noProof/>
        </w:rPr>
      </w:pPr>
      <w:r>
        <w:rPr>
          <w:noProof/>
        </w:rPr>
        <w:t>5.4</w:t>
      </w:r>
      <w:r w:rsidRPr="00A143A3">
        <w:rPr>
          <w:noProof/>
        </w:rPr>
        <w:tab/>
      </w:r>
      <w:r>
        <w:rPr>
          <w:noProof/>
        </w:rPr>
        <w:t>What conclusions can be drawn on access to finance?</w:t>
      </w:r>
      <w:r>
        <w:rPr>
          <w:noProof/>
        </w:rPr>
        <w:tab/>
        <w:t>122</w:t>
      </w:r>
    </w:p>
    <w:p w14:paraId="03121D74"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Equity finance</w:t>
      </w:r>
      <w:r>
        <w:rPr>
          <w:noProof/>
        </w:rPr>
        <w:tab/>
        <w:t>123</w:t>
      </w:r>
    </w:p>
    <w:p w14:paraId="6900AEB9" w14:textId="77777777" w:rsidR="00031564" w:rsidRPr="00A143A3" w:rsidRDefault="00031564" w:rsidP="00A143A3">
      <w:pPr>
        <w:pStyle w:val="TOC2"/>
        <w:tabs>
          <w:tab w:val="left" w:pos="1320"/>
        </w:tabs>
        <w:ind w:left="1134" w:hanging="624"/>
        <w:rPr>
          <w:noProof/>
        </w:rPr>
      </w:pPr>
      <w:r>
        <w:rPr>
          <w:noProof/>
        </w:rPr>
        <w:t>6.1</w:t>
      </w:r>
      <w:r w:rsidRPr="00A143A3">
        <w:rPr>
          <w:noProof/>
        </w:rPr>
        <w:tab/>
      </w:r>
      <w:r>
        <w:rPr>
          <w:noProof/>
        </w:rPr>
        <w:t>The role of equity finance</w:t>
      </w:r>
      <w:r>
        <w:rPr>
          <w:noProof/>
        </w:rPr>
        <w:tab/>
        <w:t>124</w:t>
      </w:r>
    </w:p>
    <w:p w14:paraId="5A3BE944" w14:textId="77777777" w:rsidR="00031564" w:rsidRPr="00A143A3" w:rsidRDefault="00031564" w:rsidP="00A143A3">
      <w:pPr>
        <w:pStyle w:val="TOC2"/>
        <w:tabs>
          <w:tab w:val="left" w:pos="1320"/>
        </w:tabs>
        <w:ind w:left="1134" w:hanging="624"/>
        <w:rPr>
          <w:noProof/>
        </w:rPr>
      </w:pPr>
      <w:r>
        <w:rPr>
          <w:noProof/>
        </w:rPr>
        <w:t>6.2</w:t>
      </w:r>
      <w:r w:rsidRPr="00A143A3">
        <w:rPr>
          <w:noProof/>
        </w:rPr>
        <w:tab/>
      </w:r>
      <w:r>
        <w:rPr>
          <w:noProof/>
        </w:rPr>
        <w:t>Access to equity finance</w:t>
      </w:r>
      <w:r>
        <w:rPr>
          <w:noProof/>
        </w:rPr>
        <w:tab/>
        <w:t>130</w:t>
      </w:r>
    </w:p>
    <w:p w14:paraId="4770C26D"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Debt finance</w:t>
      </w:r>
      <w:r>
        <w:rPr>
          <w:noProof/>
        </w:rPr>
        <w:tab/>
        <w:t>149</w:t>
      </w:r>
    </w:p>
    <w:p w14:paraId="4BDF9894" w14:textId="77777777" w:rsidR="00031564" w:rsidRPr="00A143A3" w:rsidRDefault="00031564" w:rsidP="00A143A3">
      <w:pPr>
        <w:pStyle w:val="TOC2"/>
        <w:tabs>
          <w:tab w:val="left" w:pos="1320"/>
        </w:tabs>
        <w:ind w:left="1134" w:hanging="624"/>
        <w:rPr>
          <w:noProof/>
        </w:rPr>
      </w:pPr>
      <w:r>
        <w:rPr>
          <w:noProof/>
        </w:rPr>
        <w:t>7.1</w:t>
      </w:r>
      <w:r w:rsidRPr="00A143A3">
        <w:rPr>
          <w:noProof/>
        </w:rPr>
        <w:tab/>
      </w:r>
      <w:r>
        <w:rPr>
          <w:noProof/>
        </w:rPr>
        <w:t>The use of debt finance by new businesses</w:t>
      </w:r>
      <w:r>
        <w:rPr>
          <w:noProof/>
        </w:rPr>
        <w:tab/>
        <w:t>150</w:t>
      </w:r>
    </w:p>
    <w:p w14:paraId="5BED3C75" w14:textId="77777777" w:rsidR="00031564" w:rsidRPr="00A143A3" w:rsidRDefault="00031564" w:rsidP="00A143A3">
      <w:pPr>
        <w:pStyle w:val="TOC2"/>
        <w:tabs>
          <w:tab w:val="left" w:pos="1320"/>
        </w:tabs>
        <w:ind w:left="1134" w:hanging="624"/>
        <w:rPr>
          <w:noProof/>
        </w:rPr>
      </w:pPr>
      <w:r>
        <w:rPr>
          <w:noProof/>
        </w:rPr>
        <w:t>7.2</w:t>
      </w:r>
      <w:r w:rsidRPr="00A143A3">
        <w:rPr>
          <w:noProof/>
        </w:rPr>
        <w:tab/>
      </w:r>
      <w:r>
        <w:rPr>
          <w:noProof/>
        </w:rPr>
        <w:t>Debt finance issues for new businesses</w:t>
      </w:r>
      <w:r>
        <w:rPr>
          <w:noProof/>
        </w:rPr>
        <w:tab/>
        <w:t>152</w:t>
      </w:r>
    </w:p>
    <w:p w14:paraId="3735346A" w14:textId="77777777" w:rsidR="00031564" w:rsidRPr="00A143A3" w:rsidRDefault="00031564" w:rsidP="00A143A3">
      <w:pPr>
        <w:pStyle w:val="TOC2"/>
        <w:tabs>
          <w:tab w:val="left" w:pos="1320"/>
        </w:tabs>
        <w:ind w:left="1134" w:hanging="624"/>
        <w:rPr>
          <w:noProof/>
        </w:rPr>
      </w:pPr>
      <w:r>
        <w:rPr>
          <w:noProof/>
        </w:rPr>
        <w:t>7.3</w:t>
      </w:r>
      <w:r w:rsidRPr="00A143A3">
        <w:rPr>
          <w:noProof/>
        </w:rPr>
        <w:tab/>
      </w:r>
      <w:r>
        <w:rPr>
          <w:noProof/>
        </w:rPr>
        <w:t>Options for improving access to debt finance</w:t>
      </w:r>
      <w:r>
        <w:rPr>
          <w:noProof/>
        </w:rPr>
        <w:tab/>
        <w:t>164</w:t>
      </w:r>
    </w:p>
    <w:p w14:paraId="0F288D2B" w14:textId="77777777" w:rsidR="00031564" w:rsidRPr="00A143A3" w:rsidRDefault="00031564" w:rsidP="00A143A3">
      <w:pPr>
        <w:pStyle w:val="TOC2"/>
        <w:tabs>
          <w:tab w:val="left" w:pos="1320"/>
        </w:tabs>
        <w:ind w:left="1134" w:hanging="624"/>
        <w:rPr>
          <w:noProof/>
        </w:rPr>
      </w:pPr>
      <w:r>
        <w:rPr>
          <w:noProof/>
        </w:rPr>
        <w:t>7.4</w:t>
      </w:r>
      <w:r w:rsidRPr="00A143A3">
        <w:rPr>
          <w:noProof/>
        </w:rPr>
        <w:tab/>
      </w:r>
      <w:r>
        <w:rPr>
          <w:noProof/>
        </w:rPr>
        <w:t>In summary</w:t>
      </w:r>
      <w:r>
        <w:rPr>
          <w:noProof/>
        </w:rPr>
        <w:tab/>
        <w:t>173</w:t>
      </w:r>
    </w:p>
    <w:p w14:paraId="21BC691D"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New business models, the digital economy and regulation</w:t>
      </w:r>
      <w:r>
        <w:rPr>
          <w:noProof/>
        </w:rPr>
        <w:tab/>
        <w:t>175</w:t>
      </w:r>
    </w:p>
    <w:p w14:paraId="541943BE" w14:textId="77777777" w:rsidR="00031564" w:rsidRPr="00A143A3" w:rsidRDefault="00031564" w:rsidP="00A143A3">
      <w:pPr>
        <w:pStyle w:val="TOC2"/>
        <w:tabs>
          <w:tab w:val="left" w:pos="1320"/>
        </w:tabs>
        <w:ind w:left="1134" w:hanging="624"/>
        <w:rPr>
          <w:noProof/>
        </w:rPr>
      </w:pPr>
      <w:r>
        <w:rPr>
          <w:noProof/>
        </w:rPr>
        <w:t>8.1</w:t>
      </w:r>
      <w:r w:rsidRPr="00A143A3">
        <w:rPr>
          <w:noProof/>
        </w:rPr>
        <w:tab/>
      </w:r>
      <w:r>
        <w:rPr>
          <w:noProof/>
        </w:rPr>
        <w:t>Rapid changes in the way businesses operate</w:t>
      </w:r>
      <w:r>
        <w:rPr>
          <w:noProof/>
        </w:rPr>
        <w:tab/>
        <w:t>176</w:t>
      </w:r>
    </w:p>
    <w:p w14:paraId="6848B16E" w14:textId="77777777" w:rsidR="00031564" w:rsidRPr="00A143A3" w:rsidRDefault="00031564" w:rsidP="00A143A3">
      <w:pPr>
        <w:pStyle w:val="TOC2"/>
        <w:tabs>
          <w:tab w:val="left" w:pos="1320"/>
        </w:tabs>
        <w:ind w:left="1134" w:hanging="624"/>
        <w:rPr>
          <w:noProof/>
        </w:rPr>
      </w:pPr>
      <w:r>
        <w:rPr>
          <w:noProof/>
        </w:rPr>
        <w:t>8.2</w:t>
      </w:r>
      <w:r w:rsidRPr="00A143A3">
        <w:rPr>
          <w:noProof/>
        </w:rPr>
        <w:tab/>
      </w:r>
      <w:r>
        <w:rPr>
          <w:noProof/>
        </w:rPr>
        <w:t>Digital business models present regulatory challenges</w:t>
      </w:r>
      <w:r>
        <w:rPr>
          <w:noProof/>
        </w:rPr>
        <w:tab/>
        <w:t>180</w:t>
      </w:r>
    </w:p>
    <w:p w14:paraId="47CBA7E5" w14:textId="77777777" w:rsidR="00031564" w:rsidRPr="00A143A3" w:rsidRDefault="00031564" w:rsidP="00A143A3">
      <w:pPr>
        <w:pStyle w:val="TOC2"/>
        <w:tabs>
          <w:tab w:val="left" w:pos="1320"/>
        </w:tabs>
        <w:ind w:left="1134" w:hanging="624"/>
        <w:rPr>
          <w:noProof/>
        </w:rPr>
      </w:pPr>
      <w:r>
        <w:rPr>
          <w:noProof/>
        </w:rPr>
        <w:t>8.3</w:t>
      </w:r>
      <w:r w:rsidRPr="00A143A3">
        <w:rPr>
          <w:noProof/>
        </w:rPr>
        <w:tab/>
      </w:r>
      <w:r>
        <w:rPr>
          <w:noProof/>
        </w:rPr>
        <w:t>Capturing the benefits of new business models</w:t>
      </w:r>
      <w:r>
        <w:rPr>
          <w:noProof/>
        </w:rPr>
        <w:tab/>
        <w:t>189</w:t>
      </w:r>
    </w:p>
    <w:p w14:paraId="6AF4DB59"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Payment systems regulation</w:t>
      </w:r>
      <w:r>
        <w:rPr>
          <w:noProof/>
        </w:rPr>
        <w:tab/>
        <w:t>195</w:t>
      </w:r>
    </w:p>
    <w:p w14:paraId="4E8FD965" w14:textId="77777777" w:rsidR="00031564" w:rsidRPr="00A143A3" w:rsidRDefault="00031564" w:rsidP="00A143A3">
      <w:pPr>
        <w:pStyle w:val="TOC2"/>
        <w:tabs>
          <w:tab w:val="left" w:pos="1320"/>
        </w:tabs>
        <w:ind w:left="1134" w:hanging="624"/>
        <w:rPr>
          <w:noProof/>
        </w:rPr>
      </w:pPr>
      <w:r>
        <w:rPr>
          <w:noProof/>
        </w:rPr>
        <w:t>9.1</w:t>
      </w:r>
      <w:r w:rsidRPr="00A143A3">
        <w:rPr>
          <w:noProof/>
        </w:rPr>
        <w:tab/>
      </w:r>
      <w:r>
        <w:rPr>
          <w:noProof/>
        </w:rPr>
        <w:t>Accommodating new business models in the existing payment systems</w:t>
      </w:r>
      <w:r>
        <w:rPr>
          <w:noProof/>
        </w:rPr>
        <w:tab/>
        <w:t>196</w:t>
      </w:r>
    </w:p>
    <w:p w14:paraId="7F93DF77" w14:textId="77777777" w:rsidR="00031564" w:rsidRPr="00A143A3" w:rsidRDefault="00031564" w:rsidP="00A143A3">
      <w:pPr>
        <w:pStyle w:val="TOC2"/>
        <w:tabs>
          <w:tab w:val="left" w:pos="1320"/>
        </w:tabs>
        <w:ind w:left="1134" w:hanging="624"/>
        <w:rPr>
          <w:noProof/>
        </w:rPr>
      </w:pPr>
      <w:r>
        <w:rPr>
          <w:noProof/>
        </w:rPr>
        <w:t>9.2</w:t>
      </w:r>
      <w:r w:rsidRPr="00A143A3">
        <w:rPr>
          <w:noProof/>
        </w:rPr>
        <w:tab/>
      </w:r>
      <w:r>
        <w:rPr>
          <w:noProof/>
        </w:rPr>
        <w:t>Access and competition in payment systems</w:t>
      </w:r>
      <w:r>
        <w:rPr>
          <w:noProof/>
        </w:rPr>
        <w:tab/>
        <w:t>201</w:t>
      </w:r>
    </w:p>
    <w:p w14:paraId="66F0C805" w14:textId="77777777" w:rsidR="00031564" w:rsidRPr="00A143A3" w:rsidRDefault="00031564" w:rsidP="00A143A3">
      <w:pPr>
        <w:pStyle w:val="TOC2"/>
        <w:tabs>
          <w:tab w:val="left" w:pos="1320"/>
        </w:tabs>
        <w:ind w:left="1134" w:hanging="624"/>
        <w:rPr>
          <w:noProof/>
        </w:rPr>
      </w:pPr>
      <w:r>
        <w:rPr>
          <w:noProof/>
        </w:rPr>
        <w:t>9.3</w:t>
      </w:r>
      <w:r w:rsidRPr="00A143A3">
        <w:rPr>
          <w:noProof/>
        </w:rPr>
        <w:tab/>
      </w:r>
      <w:r>
        <w:rPr>
          <w:noProof/>
        </w:rPr>
        <w:t>Digital currencies</w:t>
      </w:r>
      <w:r>
        <w:rPr>
          <w:noProof/>
        </w:rPr>
        <w:tab/>
        <w:t>206</w:t>
      </w:r>
    </w:p>
    <w:p w14:paraId="3E366852"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Other government and industry restrictions</w:t>
      </w:r>
      <w:r>
        <w:rPr>
          <w:noProof/>
        </w:rPr>
        <w:tab/>
        <w:t>213</w:t>
      </w:r>
    </w:p>
    <w:p w14:paraId="484CD8F9" w14:textId="77777777" w:rsidR="00031564" w:rsidRPr="00A143A3" w:rsidRDefault="00031564" w:rsidP="00A143A3">
      <w:pPr>
        <w:pStyle w:val="TOC2"/>
        <w:tabs>
          <w:tab w:val="left" w:pos="1320"/>
        </w:tabs>
        <w:ind w:left="1134" w:hanging="624"/>
        <w:rPr>
          <w:noProof/>
        </w:rPr>
      </w:pPr>
      <w:r>
        <w:rPr>
          <w:noProof/>
        </w:rPr>
        <w:t>10.1</w:t>
      </w:r>
      <w:r w:rsidRPr="00A143A3">
        <w:rPr>
          <w:noProof/>
        </w:rPr>
        <w:tab/>
      </w:r>
      <w:r>
        <w:rPr>
          <w:noProof/>
        </w:rPr>
        <w:t>Government restrictions on new entry</w:t>
      </w:r>
      <w:r>
        <w:rPr>
          <w:noProof/>
        </w:rPr>
        <w:tab/>
        <w:t>214</w:t>
      </w:r>
    </w:p>
    <w:p w14:paraId="472C915D" w14:textId="77777777" w:rsidR="00031564" w:rsidRPr="00A143A3" w:rsidRDefault="00031564" w:rsidP="00A143A3">
      <w:pPr>
        <w:pStyle w:val="TOC2"/>
        <w:tabs>
          <w:tab w:val="left" w:pos="1320"/>
        </w:tabs>
        <w:ind w:left="1134" w:hanging="624"/>
        <w:rPr>
          <w:noProof/>
        </w:rPr>
      </w:pPr>
      <w:r>
        <w:rPr>
          <w:noProof/>
        </w:rPr>
        <w:t>10.2</w:t>
      </w:r>
      <w:r w:rsidRPr="00A143A3">
        <w:rPr>
          <w:noProof/>
        </w:rPr>
        <w:tab/>
      </w:r>
      <w:r>
        <w:rPr>
          <w:noProof/>
        </w:rPr>
        <w:t>Business to business contracts</w:t>
      </w:r>
      <w:r>
        <w:rPr>
          <w:noProof/>
        </w:rPr>
        <w:tab/>
        <w:t>215</w:t>
      </w:r>
    </w:p>
    <w:p w14:paraId="13D16C83" w14:textId="77777777" w:rsidR="00031564" w:rsidRPr="00A143A3" w:rsidRDefault="00031564" w:rsidP="00A143A3">
      <w:pPr>
        <w:pStyle w:val="TOC2"/>
        <w:tabs>
          <w:tab w:val="left" w:pos="1320"/>
        </w:tabs>
        <w:ind w:left="1134" w:hanging="624"/>
        <w:rPr>
          <w:noProof/>
        </w:rPr>
      </w:pPr>
      <w:r>
        <w:rPr>
          <w:noProof/>
        </w:rPr>
        <w:t>10.3</w:t>
      </w:r>
      <w:r w:rsidRPr="00A143A3">
        <w:rPr>
          <w:noProof/>
        </w:rPr>
        <w:tab/>
      </w:r>
      <w:r>
        <w:rPr>
          <w:noProof/>
        </w:rPr>
        <w:t>Government procurement practices</w:t>
      </w:r>
      <w:r>
        <w:rPr>
          <w:noProof/>
        </w:rPr>
        <w:tab/>
        <w:t>220</w:t>
      </w:r>
    </w:p>
    <w:p w14:paraId="643C9B41" w14:textId="77777777" w:rsidR="00031564" w:rsidRPr="00A143A3" w:rsidRDefault="00031564" w:rsidP="00A143A3">
      <w:pPr>
        <w:pStyle w:val="TOC2"/>
        <w:tabs>
          <w:tab w:val="left" w:pos="1320"/>
        </w:tabs>
        <w:ind w:left="1134" w:hanging="624"/>
        <w:rPr>
          <w:noProof/>
        </w:rPr>
      </w:pPr>
      <w:r>
        <w:rPr>
          <w:noProof/>
        </w:rPr>
        <w:t>10.4</w:t>
      </w:r>
      <w:r w:rsidRPr="00A143A3">
        <w:rPr>
          <w:noProof/>
        </w:rPr>
        <w:tab/>
      </w:r>
      <w:r>
        <w:rPr>
          <w:noProof/>
        </w:rPr>
        <w:t>Land tenure arrangements</w:t>
      </w:r>
      <w:r>
        <w:rPr>
          <w:noProof/>
        </w:rPr>
        <w:tab/>
        <w:t>222</w:t>
      </w:r>
    </w:p>
    <w:p w14:paraId="041CF943" w14:textId="77777777" w:rsidR="00031564" w:rsidRPr="00A143A3" w:rsidRDefault="00031564" w:rsidP="00A143A3">
      <w:pPr>
        <w:pStyle w:val="TOC2"/>
        <w:tabs>
          <w:tab w:val="left" w:pos="1320"/>
        </w:tabs>
        <w:ind w:left="1134" w:hanging="624"/>
        <w:rPr>
          <w:noProof/>
        </w:rPr>
      </w:pPr>
      <w:r>
        <w:rPr>
          <w:noProof/>
        </w:rPr>
        <w:t>10.5</w:t>
      </w:r>
      <w:r w:rsidRPr="00A143A3">
        <w:rPr>
          <w:noProof/>
        </w:rPr>
        <w:tab/>
      </w:r>
      <w:r>
        <w:rPr>
          <w:noProof/>
        </w:rPr>
        <w:t>Foreign investment restrictions</w:t>
      </w:r>
      <w:r>
        <w:rPr>
          <w:noProof/>
        </w:rPr>
        <w:tab/>
        <w:t>223</w:t>
      </w:r>
    </w:p>
    <w:p w14:paraId="6693415A" w14:textId="77777777" w:rsidR="00031564" w:rsidRPr="00A143A3" w:rsidRDefault="00031564" w:rsidP="00A143A3">
      <w:pPr>
        <w:pStyle w:val="TOC2"/>
        <w:tabs>
          <w:tab w:val="left" w:pos="1320"/>
        </w:tabs>
        <w:ind w:left="1134" w:hanging="624"/>
        <w:rPr>
          <w:noProof/>
        </w:rPr>
      </w:pPr>
      <w:r>
        <w:rPr>
          <w:noProof/>
        </w:rPr>
        <w:t>10.6</w:t>
      </w:r>
      <w:r w:rsidRPr="00A143A3">
        <w:rPr>
          <w:noProof/>
        </w:rPr>
        <w:tab/>
      </w:r>
      <w:r>
        <w:rPr>
          <w:noProof/>
        </w:rPr>
        <w:t>Other potential barriers</w:t>
      </w:r>
      <w:r>
        <w:rPr>
          <w:noProof/>
        </w:rPr>
        <w:tab/>
        <w:t>227</w:t>
      </w:r>
    </w:p>
    <w:p w14:paraId="6C6D6A93" w14:textId="77777777" w:rsidR="00306641" w:rsidRDefault="00306641" w:rsidP="00031564">
      <w:pPr>
        <w:pStyle w:val="TOC1"/>
        <w:rPr>
          <w:noProof/>
        </w:rPr>
      </w:pPr>
    </w:p>
    <w:p w14:paraId="0ABC4CEF" w14:textId="77777777" w:rsidR="00306641" w:rsidRDefault="00306641" w:rsidP="00031564">
      <w:pPr>
        <w:pStyle w:val="TOC1"/>
        <w:rPr>
          <w:noProof/>
        </w:rPr>
      </w:pPr>
    </w:p>
    <w:p w14:paraId="3A3EF482"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lastRenderedPageBreak/>
        <w:t>11</w:t>
      </w:r>
      <w:r>
        <w:rPr>
          <w:rFonts w:asciiTheme="minorHAnsi" w:eastAsiaTheme="minorEastAsia" w:hAnsiTheme="minorHAnsi" w:cstheme="minorBidi"/>
          <w:b w:val="0"/>
          <w:noProof/>
          <w:sz w:val="22"/>
          <w:szCs w:val="22"/>
          <w:lang w:eastAsia="en-AU"/>
        </w:rPr>
        <w:tab/>
      </w:r>
      <w:r>
        <w:rPr>
          <w:noProof/>
        </w:rPr>
        <w:t>How governments assist businesses</w:t>
      </w:r>
      <w:r>
        <w:rPr>
          <w:noProof/>
        </w:rPr>
        <w:tab/>
        <w:t>231</w:t>
      </w:r>
    </w:p>
    <w:p w14:paraId="1C36FEC3" w14:textId="77777777" w:rsidR="00031564" w:rsidRPr="00A143A3" w:rsidRDefault="00031564" w:rsidP="00A143A3">
      <w:pPr>
        <w:pStyle w:val="TOC2"/>
        <w:tabs>
          <w:tab w:val="left" w:pos="1320"/>
        </w:tabs>
        <w:ind w:left="1134" w:hanging="624"/>
        <w:rPr>
          <w:noProof/>
        </w:rPr>
      </w:pPr>
      <w:r>
        <w:rPr>
          <w:noProof/>
        </w:rPr>
        <w:t>11.1</w:t>
      </w:r>
      <w:r w:rsidRPr="00A143A3">
        <w:rPr>
          <w:noProof/>
        </w:rPr>
        <w:tab/>
      </w:r>
      <w:r>
        <w:rPr>
          <w:noProof/>
        </w:rPr>
        <w:t>Types of government assistance</w:t>
      </w:r>
      <w:r>
        <w:rPr>
          <w:noProof/>
        </w:rPr>
        <w:tab/>
        <w:t>232</w:t>
      </w:r>
    </w:p>
    <w:p w14:paraId="04D84906" w14:textId="77777777" w:rsidR="00031564" w:rsidRPr="00A143A3" w:rsidRDefault="00031564" w:rsidP="00A143A3">
      <w:pPr>
        <w:pStyle w:val="TOC2"/>
        <w:tabs>
          <w:tab w:val="left" w:pos="1320"/>
        </w:tabs>
        <w:ind w:left="1134" w:hanging="624"/>
        <w:rPr>
          <w:noProof/>
        </w:rPr>
      </w:pPr>
      <w:r>
        <w:rPr>
          <w:noProof/>
        </w:rPr>
        <w:t>11.2</w:t>
      </w:r>
      <w:r w:rsidRPr="00A143A3">
        <w:rPr>
          <w:noProof/>
        </w:rPr>
        <w:tab/>
      </w:r>
      <w:r>
        <w:rPr>
          <w:noProof/>
        </w:rPr>
        <w:t>Rationales for government assistance</w:t>
      </w:r>
      <w:r>
        <w:rPr>
          <w:noProof/>
        </w:rPr>
        <w:tab/>
        <w:t>247</w:t>
      </w:r>
    </w:p>
    <w:p w14:paraId="787617E9"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Voluntary business exits</w:t>
      </w:r>
      <w:r>
        <w:rPr>
          <w:noProof/>
        </w:rPr>
        <w:tab/>
        <w:t>271</w:t>
      </w:r>
    </w:p>
    <w:p w14:paraId="65803057" w14:textId="77777777" w:rsidR="00031564" w:rsidRPr="00A143A3" w:rsidRDefault="00031564" w:rsidP="00A143A3">
      <w:pPr>
        <w:pStyle w:val="TOC2"/>
        <w:tabs>
          <w:tab w:val="left" w:pos="1320"/>
        </w:tabs>
        <w:ind w:left="1134" w:hanging="624"/>
        <w:rPr>
          <w:noProof/>
        </w:rPr>
      </w:pPr>
      <w:r>
        <w:rPr>
          <w:noProof/>
        </w:rPr>
        <w:t>12.1</w:t>
      </w:r>
      <w:r w:rsidRPr="00A143A3">
        <w:rPr>
          <w:noProof/>
        </w:rPr>
        <w:tab/>
      </w:r>
      <w:r>
        <w:rPr>
          <w:noProof/>
        </w:rPr>
        <w:t>How and why do businesses exit?</w:t>
      </w:r>
      <w:r>
        <w:rPr>
          <w:noProof/>
        </w:rPr>
        <w:tab/>
        <w:t>272</w:t>
      </w:r>
    </w:p>
    <w:p w14:paraId="01CB6CA0" w14:textId="77777777" w:rsidR="00031564" w:rsidRPr="00A143A3" w:rsidRDefault="00031564" w:rsidP="00A143A3">
      <w:pPr>
        <w:pStyle w:val="TOC2"/>
        <w:tabs>
          <w:tab w:val="left" w:pos="1320"/>
        </w:tabs>
        <w:ind w:left="1134" w:hanging="624"/>
        <w:rPr>
          <w:noProof/>
        </w:rPr>
      </w:pPr>
      <w:r>
        <w:rPr>
          <w:noProof/>
        </w:rPr>
        <w:t>12.2</w:t>
      </w:r>
      <w:r w:rsidRPr="00A143A3">
        <w:rPr>
          <w:noProof/>
        </w:rPr>
        <w:tab/>
      </w:r>
      <w:r>
        <w:rPr>
          <w:noProof/>
        </w:rPr>
        <w:t>How many businesses exit without failing?</w:t>
      </w:r>
      <w:r>
        <w:rPr>
          <w:noProof/>
        </w:rPr>
        <w:tab/>
        <w:t>275</w:t>
      </w:r>
    </w:p>
    <w:p w14:paraId="7412E2A1" w14:textId="77777777" w:rsidR="00031564" w:rsidRPr="00A143A3" w:rsidRDefault="00031564" w:rsidP="00A143A3">
      <w:pPr>
        <w:pStyle w:val="TOC2"/>
        <w:tabs>
          <w:tab w:val="left" w:pos="1320"/>
        </w:tabs>
        <w:ind w:left="1134" w:hanging="624"/>
        <w:rPr>
          <w:noProof/>
        </w:rPr>
      </w:pPr>
      <w:r>
        <w:rPr>
          <w:noProof/>
        </w:rPr>
        <w:t>12.3</w:t>
      </w:r>
      <w:r w:rsidRPr="00A143A3">
        <w:rPr>
          <w:noProof/>
        </w:rPr>
        <w:tab/>
      </w:r>
      <w:r>
        <w:rPr>
          <w:noProof/>
        </w:rPr>
        <w:t>Business exit requirements</w:t>
      </w:r>
      <w:r>
        <w:rPr>
          <w:noProof/>
        </w:rPr>
        <w:tab/>
        <w:t>276</w:t>
      </w:r>
    </w:p>
    <w:p w14:paraId="138D36A6" w14:textId="77777777" w:rsidR="00031564" w:rsidRPr="00A143A3" w:rsidRDefault="00031564" w:rsidP="00A143A3">
      <w:pPr>
        <w:pStyle w:val="TOC2"/>
        <w:tabs>
          <w:tab w:val="left" w:pos="1320"/>
        </w:tabs>
        <w:ind w:left="1134" w:hanging="624"/>
        <w:rPr>
          <w:noProof/>
        </w:rPr>
      </w:pPr>
      <w:r>
        <w:rPr>
          <w:noProof/>
        </w:rPr>
        <w:t>12.4</w:t>
      </w:r>
      <w:r w:rsidRPr="00A143A3">
        <w:rPr>
          <w:noProof/>
        </w:rPr>
        <w:tab/>
      </w:r>
      <w:r>
        <w:rPr>
          <w:noProof/>
        </w:rPr>
        <w:t>Issues in voluntary exit</w:t>
      </w:r>
      <w:r>
        <w:rPr>
          <w:noProof/>
        </w:rPr>
        <w:tab/>
        <w:t>285</w:t>
      </w:r>
    </w:p>
    <w:p w14:paraId="2B7647F6"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Personal insolvency</w:t>
      </w:r>
      <w:r>
        <w:rPr>
          <w:noProof/>
        </w:rPr>
        <w:tab/>
        <w:t>299</w:t>
      </w:r>
    </w:p>
    <w:p w14:paraId="73B3710B" w14:textId="77777777" w:rsidR="00031564" w:rsidRPr="00A143A3" w:rsidRDefault="00031564" w:rsidP="00A143A3">
      <w:pPr>
        <w:pStyle w:val="TOC2"/>
        <w:tabs>
          <w:tab w:val="left" w:pos="1320"/>
        </w:tabs>
        <w:ind w:left="1134" w:hanging="624"/>
        <w:rPr>
          <w:noProof/>
        </w:rPr>
      </w:pPr>
      <w:r>
        <w:rPr>
          <w:noProof/>
        </w:rPr>
        <w:t>13.1</w:t>
      </w:r>
      <w:r w:rsidRPr="00A143A3">
        <w:rPr>
          <w:noProof/>
        </w:rPr>
        <w:tab/>
      </w:r>
      <w:r>
        <w:rPr>
          <w:noProof/>
        </w:rPr>
        <w:t>Characteristics and trends in personal insolvency</w:t>
      </w:r>
      <w:r>
        <w:rPr>
          <w:noProof/>
        </w:rPr>
        <w:tab/>
        <w:t>300</w:t>
      </w:r>
    </w:p>
    <w:p w14:paraId="4604BA8B" w14:textId="77777777" w:rsidR="00031564" w:rsidRPr="00A143A3" w:rsidRDefault="00031564" w:rsidP="00A143A3">
      <w:pPr>
        <w:pStyle w:val="TOC2"/>
        <w:tabs>
          <w:tab w:val="left" w:pos="1320"/>
        </w:tabs>
        <w:ind w:left="1134" w:hanging="624"/>
        <w:rPr>
          <w:noProof/>
        </w:rPr>
      </w:pPr>
      <w:r>
        <w:rPr>
          <w:noProof/>
        </w:rPr>
        <w:t>13.2</w:t>
      </w:r>
      <w:r w:rsidRPr="00A143A3">
        <w:rPr>
          <w:noProof/>
        </w:rPr>
        <w:tab/>
      </w:r>
      <w:r>
        <w:rPr>
          <w:noProof/>
        </w:rPr>
        <w:t>Legal framework for personal insolvency</w:t>
      </w:r>
      <w:r>
        <w:rPr>
          <w:noProof/>
        </w:rPr>
        <w:tab/>
        <w:t>305</w:t>
      </w:r>
    </w:p>
    <w:p w14:paraId="3E75309A" w14:textId="77777777" w:rsidR="00031564" w:rsidRDefault="00031564" w:rsidP="00A143A3">
      <w:pPr>
        <w:pStyle w:val="TOC2"/>
        <w:tabs>
          <w:tab w:val="left" w:pos="1320"/>
        </w:tabs>
        <w:ind w:left="1134" w:hanging="624"/>
        <w:rPr>
          <w:rFonts w:asciiTheme="minorHAnsi" w:eastAsiaTheme="minorEastAsia" w:hAnsiTheme="minorHAnsi" w:cstheme="minorBidi"/>
          <w:noProof/>
          <w:sz w:val="22"/>
          <w:szCs w:val="22"/>
          <w:lang w:eastAsia="en-AU"/>
        </w:rPr>
      </w:pPr>
      <w:r>
        <w:rPr>
          <w:noProof/>
        </w:rPr>
        <w:t>13.3</w:t>
      </w:r>
      <w:r w:rsidRPr="00A143A3">
        <w:rPr>
          <w:noProof/>
        </w:rPr>
        <w:tab/>
      </w:r>
      <w:r>
        <w:rPr>
          <w:noProof/>
        </w:rPr>
        <w:t>Issues in personal insolvency</w:t>
      </w:r>
      <w:r>
        <w:rPr>
          <w:noProof/>
        </w:rPr>
        <w:tab/>
        <w:t>312</w:t>
      </w:r>
    </w:p>
    <w:p w14:paraId="30D65013"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Corporate insolvency: frameworks</w:t>
      </w:r>
      <w:r>
        <w:rPr>
          <w:noProof/>
        </w:rPr>
        <w:tab/>
        <w:t>321</w:t>
      </w:r>
    </w:p>
    <w:p w14:paraId="28CAB15C" w14:textId="77777777" w:rsidR="00031564" w:rsidRPr="00A143A3" w:rsidRDefault="00031564" w:rsidP="00A143A3">
      <w:pPr>
        <w:pStyle w:val="TOC2"/>
        <w:tabs>
          <w:tab w:val="left" w:pos="1320"/>
        </w:tabs>
        <w:ind w:left="1134" w:hanging="624"/>
        <w:rPr>
          <w:noProof/>
        </w:rPr>
      </w:pPr>
      <w:r>
        <w:rPr>
          <w:noProof/>
        </w:rPr>
        <w:t>14.1</w:t>
      </w:r>
      <w:r w:rsidRPr="00A143A3">
        <w:rPr>
          <w:noProof/>
        </w:rPr>
        <w:tab/>
      </w:r>
      <w:r>
        <w:rPr>
          <w:noProof/>
        </w:rPr>
        <w:t>The economics of corporate insolvency</w:t>
      </w:r>
      <w:r>
        <w:rPr>
          <w:noProof/>
        </w:rPr>
        <w:tab/>
        <w:t>321</w:t>
      </w:r>
    </w:p>
    <w:p w14:paraId="0302E2B4" w14:textId="77777777" w:rsidR="00031564" w:rsidRPr="00A143A3" w:rsidRDefault="00031564" w:rsidP="00A143A3">
      <w:pPr>
        <w:pStyle w:val="TOC2"/>
        <w:tabs>
          <w:tab w:val="left" w:pos="1320"/>
        </w:tabs>
        <w:ind w:left="1134" w:hanging="624"/>
        <w:rPr>
          <w:noProof/>
        </w:rPr>
      </w:pPr>
      <w:r>
        <w:rPr>
          <w:noProof/>
        </w:rPr>
        <w:t>14.2</w:t>
      </w:r>
      <w:r w:rsidRPr="00A143A3">
        <w:rPr>
          <w:noProof/>
        </w:rPr>
        <w:tab/>
      </w:r>
      <w:r>
        <w:rPr>
          <w:noProof/>
        </w:rPr>
        <w:t>Restructuring processes in Australia</w:t>
      </w:r>
      <w:r>
        <w:rPr>
          <w:noProof/>
        </w:rPr>
        <w:tab/>
        <w:t>328</w:t>
      </w:r>
    </w:p>
    <w:p w14:paraId="20BFC36C" w14:textId="77777777" w:rsidR="00031564" w:rsidRPr="00A143A3" w:rsidRDefault="00031564" w:rsidP="00A143A3">
      <w:pPr>
        <w:pStyle w:val="TOC2"/>
        <w:tabs>
          <w:tab w:val="left" w:pos="1320"/>
        </w:tabs>
        <w:ind w:left="1134" w:hanging="624"/>
        <w:rPr>
          <w:noProof/>
        </w:rPr>
      </w:pPr>
      <w:r>
        <w:rPr>
          <w:noProof/>
        </w:rPr>
        <w:t>14.3</w:t>
      </w:r>
      <w:r w:rsidRPr="00A143A3">
        <w:rPr>
          <w:noProof/>
        </w:rPr>
        <w:tab/>
      </w:r>
      <w:r>
        <w:rPr>
          <w:noProof/>
        </w:rPr>
        <w:t>Winding up processes in Australia</w:t>
      </w:r>
      <w:r>
        <w:rPr>
          <w:noProof/>
        </w:rPr>
        <w:tab/>
        <w:t>332</w:t>
      </w:r>
    </w:p>
    <w:p w14:paraId="77B8CA45" w14:textId="77777777" w:rsidR="00031564" w:rsidRPr="00A143A3" w:rsidRDefault="00031564" w:rsidP="00A143A3">
      <w:pPr>
        <w:pStyle w:val="TOC2"/>
        <w:tabs>
          <w:tab w:val="left" w:pos="1320"/>
        </w:tabs>
        <w:ind w:left="1134" w:hanging="624"/>
        <w:rPr>
          <w:noProof/>
        </w:rPr>
      </w:pPr>
      <w:r>
        <w:rPr>
          <w:noProof/>
        </w:rPr>
        <w:t>14.4</w:t>
      </w:r>
      <w:r w:rsidRPr="00A143A3">
        <w:rPr>
          <w:noProof/>
        </w:rPr>
        <w:tab/>
      </w:r>
      <w:r>
        <w:rPr>
          <w:noProof/>
        </w:rPr>
        <w:t>Scope for reform of insolvency processes</w:t>
      </w:r>
      <w:r>
        <w:rPr>
          <w:noProof/>
        </w:rPr>
        <w:tab/>
        <w:t>335</w:t>
      </w:r>
    </w:p>
    <w:p w14:paraId="0734A737"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Corporate insolvency: reforms</w:t>
      </w:r>
      <w:r>
        <w:rPr>
          <w:noProof/>
        </w:rPr>
        <w:tab/>
        <w:t>345</w:t>
      </w:r>
    </w:p>
    <w:p w14:paraId="09FF9CE9" w14:textId="77777777" w:rsidR="00031564" w:rsidRPr="00A143A3" w:rsidRDefault="00031564" w:rsidP="00A143A3">
      <w:pPr>
        <w:pStyle w:val="TOC2"/>
        <w:tabs>
          <w:tab w:val="left" w:pos="1320"/>
        </w:tabs>
        <w:ind w:left="1134" w:hanging="624"/>
        <w:rPr>
          <w:noProof/>
        </w:rPr>
      </w:pPr>
      <w:r>
        <w:rPr>
          <w:noProof/>
        </w:rPr>
        <w:t>15.1</w:t>
      </w:r>
      <w:r w:rsidRPr="00A143A3">
        <w:rPr>
          <w:noProof/>
        </w:rPr>
        <w:tab/>
      </w:r>
      <w:r>
        <w:rPr>
          <w:noProof/>
        </w:rPr>
        <w:t>The timing of restructure</w:t>
      </w:r>
      <w:r>
        <w:rPr>
          <w:noProof/>
        </w:rPr>
        <w:tab/>
        <w:t>346</w:t>
      </w:r>
    </w:p>
    <w:p w14:paraId="2E334567" w14:textId="77777777" w:rsidR="00031564" w:rsidRPr="00A143A3" w:rsidRDefault="00031564" w:rsidP="00A143A3">
      <w:pPr>
        <w:pStyle w:val="TOC2"/>
        <w:tabs>
          <w:tab w:val="left" w:pos="1320"/>
        </w:tabs>
        <w:ind w:left="1134" w:hanging="624"/>
        <w:rPr>
          <w:noProof/>
        </w:rPr>
      </w:pPr>
      <w:r>
        <w:rPr>
          <w:noProof/>
        </w:rPr>
        <w:t>15.2</w:t>
      </w:r>
      <w:r w:rsidRPr="00A143A3">
        <w:rPr>
          <w:noProof/>
        </w:rPr>
        <w:tab/>
      </w:r>
      <w:r>
        <w:rPr>
          <w:noProof/>
        </w:rPr>
        <w:t>Facilitating restructure</w:t>
      </w:r>
      <w:r>
        <w:rPr>
          <w:noProof/>
        </w:rPr>
        <w:tab/>
        <w:t>356</w:t>
      </w:r>
    </w:p>
    <w:p w14:paraId="7FFA4114" w14:textId="77777777" w:rsidR="00031564" w:rsidRPr="00A143A3" w:rsidRDefault="00031564" w:rsidP="00A143A3">
      <w:pPr>
        <w:pStyle w:val="TOC2"/>
        <w:tabs>
          <w:tab w:val="left" w:pos="1320"/>
        </w:tabs>
        <w:ind w:left="1134" w:hanging="624"/>
        <w:rPr>
          <w:noProof/>
        </w:rPr>
      </w:pPr>
      <w:r>
        <w:rPr>
          <w:noProof/>
        </w:rPr>
        <w:t>15.3</w:t>
      </w:r>
      <w:r w:rsidRPr="00A143A3">
        <w:rPr>
          <w:noProof/>
        </w:rPr>
        <w:tab/>
      </w:r>
      <w:r>
        <w:rPr>
          <w:noProof/>
        </w:rPr>
        <w:t>Reforming the winding up process</w:t>
      </w:r>
      <w:r>
        <w:rPr>
          <w:noProof/>
        </w:rPr>
        <w:tab/>
        <w:t>361</w:t>
      </w:r>
    </w:p>
    <w:p w14:paraId="3E9F931A" w14:textId="77777777" w:rsidR="00031564" w:rsidRPr="00A143A3" w:rsidRDefault="00031564" w:rsidP="00A143A3">
      <w:pPr>
        <w:pStyle w:val="TOC2"/>
        <w:tabs>
          <w:tab w:val="left" w:pos="1320"/>
        </w:tabs>
        <w:ind w:left="1134" w:hanging="624"/>
        <w:rPr>
          <w:noProof/>
        </w:rPr>
      </w:pPr>
      <w:r>
        <w:rPr>
          <w:noProof/>
        </w:rPr>
        <w:t>15.4</w:t>
      </w:r>
      <w:r w:rsidRPr="00A143A3">
        <w:rPr>
          <w:noProof/>
        </w:rPr>
        <w:tab/>
      </w:r>
      <w:r>
        <w:rPr>
          <w:noProof/>
        </w:rPr>
        <w:t>Broader aspects of winding up</w:t>
      </w:r>
      <w:r>
        <w:rPr>
          <w:noProof/>
        </w:rPr>
        <w:tab/>
        <w:t>369</w:t>
      </w:r>
    </w:p>
    <w:p w14:paraId="0ADB296F" w14:textId="77777777" w:rsidR="00031564" w:rsidRPr="00A143A3" w:rsidRDefault="00031564" w:rsidP="00A143A3">
      <w:pPr>
        <w:pStyle w:val="TOC2"/>
        <w:tabs>
          <w:tab w:val="left" w:pos="1320"/>
        </w:tabs>
        <w:ind w:left="1134" w:hanging="624"/>
        <w:rPr>
          <w:noProof/>
        </w:rPr>
      </w:pPr>
      <w:r>
        <w:rPr>
          <w:noProof/>
        </w:rPr>
        <w:t>15.5</w:t>
      </w:r>
      <w:r w:rsidRPr="00A143A3">
        <w:rPr>
          <w:noProof/>
        </w:rPr>
        <w:tab/>
      </w:r>
      <w:r>
        <w:rPr>
          <w:noProof/>
        </w:rPr>
        <w:t>The Commission’s proposed reform framework</w:t>
      </w:r>
      <w:r>
        <w:rPr>
          <w:noProof/>
        </w:rPr>
        <w:tab/>
        <w:t>383</w:t>
      </w:r>
    </w:p>
    <w:p w14:paraId="14D14AC3"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Inquiry conduct and participants</w:t>
      </w:r>
      <w:r>
        <w:rPr>
          <w:noProof/>
        </w:rPr>
        <w:tab/>
        <w:t>387</w:t>
      </w:r>
    </w:p>
    <w:p w14:paraId="3C2DE099" w14:textId="77777777" w:rsidR="00031564" w:rsidRDefault="00031564" w:rsidP="00031564">
      <w:pPr>
        <w:pStyle w:val="TOC1"/>
        <w:ind w:right="709"/>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sidRPr="00031564">
        <w:rPr>
          <w:rFonts w:ascii="Arial Bold" w:hAnsi="Arial Bold"/>
          <w:noProof/>
          <w:spacing w:val="-4"/>
        </w:rPr>
        <w:t>Business stock, entry and exit data for Australia and overseas</w:t>
      </w:r>
      <w:r>
        <w:rPr>
          <w:noProof/>
        </w:rPr>
        <w:tab/>
        <w:t>391</w:t>
      </w:r>
    </w:p>
    <w:p w14:paraId="470E2B8B"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Business finance and foreign investment data</w:t>
      </w:r>
      <w:r>
        <w:rPr>
          <w:noProof/>
        </w:rPr>
        <w:tab/>
        <w:t>421</w:t>
      </w:r>
    </w:p>
    <w:p w14:paraId="05A944CC" w14:textId="77777777" w:rsidR="00031564" w:rsidRDefault="00031564" w:rsidP="00031564">
      <w:pPr>
        <w:pStyle w:val="TOC1"/>
        <w:rPr>
          <w:rFonts w:asciiTheme="minorHAnsi" w:eastAsiaTheme="minorEastAsia" w:hAnsiTheme="minorHAnsi" w:cstheme="minorBidi"/>
          <w:b w:val="0"/>
          <w:noProof/>
          <w:sz w:val="22"/>
          <w:szCs w:val="22"/>
          <w:lang w:eastAsia="en-AU"/>
        </w:rPr>
      </w:pPr>
      <w:r>
        <w:rPr>
          <w:noProof/>
        </w:rPr>
        <w:t>References</w:t>
      </w:r>
      <w:r>
        <w:rPr>
          <w:noProof/>
        </w:rPr>
        <w:tab/>
        <w:t>435</w:t>
      </w:r>
    </w:p>
    <w:p w14:paraId="49C0FCA8" w14:textId="77777777" w:rsidR="00031564" w:rsidRDefault="00031564" w:rsidP="00C014EE">
      <w:pPr>
        <w:pStyle w:val="BodyText"/>
      </w:pPr>
    </w:p>
    <w:p w14:paraId="0BA99BDD" w14:textId="77777777" w:rsidR="004D3F58" w:rsidRDefault="004D3F58">
      <w:pPr>
        <w:pStyle w:val="BodyText"/>
        <w:sectPr w:rsidR="004D3F58" w:rsidSect="007448F7">
          <w:headerReference w:type="even" r:id="rId32"/>
          <w:headerReference w:type="default" r:id="rId33"/>
          <w:footerReference w:type="even" r:id="rId34"/>
          <w:footerReference w:type="default" r:id="rId35"/>
          <w:headerReference w:type="first" r:id="rId36"/>
          <w:type w:val="oddPage"/>
          <w:pgSz w:w="11907" w:h="16840" w:code="9"/>
          <w:pgMar w:top="1985" w:right="1304" w:bottom="1247" w:left="1814" w:header="1701" w:footer="397" w:gutter="0"/>
          <w:pgNumType w:fmt="lowerRoman"/>
          <w:cols w:space="720"/>
        </w:sectPr>
      </w:pPr>
    </w:p>
    <w:p w14:paraId="04CD372B" w14:textId="77777777" w:rsidR="00735FEA" w:rsidRDefault="00735FEA" w:rsidP="00F7477E">
      <w:pPr>
        <w:pStyle w:val="Heading1"/>
      </w:pPr>
      <w:bookmarkStart w:id="5" w:name="Abbreviations"/>
      <w:bookmarkStart w:id="6" w:name="EndContents"/>
      <w:bookmarkStart w:id="7" w:name="RDnote"/>
      <w:bookmarkEnd w:id="5"/>
      <w:bookmarkEnd w:id="6"/>
      <w:bookmarkEnd w:id="7"/>
      <w:r>
        <w:lastRenderedPageBreak/>
        <w:t>Abbreviations and explanations</w:t>
      </w:r>
    </w:p>
    <w:p w14:paraId="4FCA23D8" w14:textId="77777777" w:rsidR="00735FEA" w:rsidRDefault="00735FEA" w:rsidP="00F7477E">
      <w:pPr>
        <w:pStyle w:val="Heading2NotTOC"/>
      </w:pPr>
      <w:r>
        <w:t>Abbrevia</w:t>
      </w:r>
      <w:r w:rsidRPr="00F85393">
        <w:t>t</w:t>
      </w:r>
      <w:r>
        <w:t>ions</w:t>
      </w:r>
    </w:p>
    <w:p w14:paraId="18CDEA4A" w14:textId="77777777" w:rsidR="00523CF7" w:rsidRDefault="00523CF7">
      <w:pPr>
        <w:pStyle w:val="Abbreviation"/>
      </w:pPr>
      <w:proofErr w:type="spellStart"/>
      <w:r>
        <w:t>ABA</w:t>
      </w:r>
      <w:proofErr w:type="spellEnd"/>
      <w:r>
        <w:tab/>
        <w:t>Australian Bankers’ Association</w:t>
      </w:r>
    </w:p>
    <w:p w14:paraId="2EA1E40A" w14:textId="77777777" w:rsidR="00523CF7" w:rsidRPr="00A862BC" w:rsidRDefault="00523CF7">
      <w:pPr>
        <w:pStyle w:val="Abbreviation"/>
      </w:pPr>
      <w:r>
        <w:t>ABN</w:t>
      </w:r>
      <w:r>
        <w:tab/>
      </w:r>
      <w:r w:rsidRPr="00A862BC">
        <w:t>Australian Business Number</w:t>
      </w:r>
    </w:p>
    <w:p w14:paraId="13B60E3B" w14:textId="77777777" w:rsidR="00523CF7" w:rsidRPr="00A862BC" w:rsidRDefault="00523CF7">
      <w:pPr>
        <w:pStyle w:val="Abbreviation"/>
      </w:pPr>
      <w:proofErr w:type="spellStart"/>
      <w:r w:rsidRPr="00A862BC">
        <w:t>ABR</w:t>
      </w:r>
      <w:proofErr w:type="spellEnd"/>
      <w:r w:rsidRPr="00A862BC">
        <w:tab/>
        <w:t>Australian Business Register</w:t>
      </w:r>
    </w:p>
    <w:p w14:paraId="4A4CA28F" w14:textId="77777777" w:rsidR="00523CF7" w:rsidRPr="00A862BC" w:rsidRDefault="00523CF7">
      <w:pPr>
        <w:pStyle w:val="Abbreviation"/>
      </w:pPr>
      <w:r w:rsidRPr="00A862BC">
        <w:t>ABS</w:t>
      </w:r>
      <w:r w:rsidRPr="00A862BC">
        <w:tab/>
        <w:t>Australian Bureau of Statistics</w:t>
      </w:r>
    </w:p>
    <w:p w14:paraId="79051978" w14:textId="77777777" w:rsidR="00523CF7" w:rsidRPr="00A862BC" w:rsidRDefault="00523CF7">
      <w:pPr>
        <w:pStyle w:val="Abbreviation"/>
      </w:pPr>
      <w:proofErr w:type="spellStart"/>
      <w:r w:rsidRPr="00A862BC">
        <w:t>ACCC</w:t>
      </w:r>
      <w:proofErr w:type="spellEnd"/>
      <w:r w:rsidRPr="00A862BC">
        <w:tab/>
        <w:t>Australian Competition and Consumer Commission</w:t>
      </w:r>
    </w:p>
    <w:p w14:paraId="53AF0269" w14:textId="77777777" w:rsidR="00523CF7" w:rsidRPr="00A862BC" w:rsidRDefault="00523CF7">
      <w:pPr>
        <w:pStyle w:val="Abbreviation"/>
      </w:pPr>
      <w:proofErr w:type="spellStart"/>
      <w:r w:rsidRPr="00A862BC">
        <w:t>ACCI</w:t>
      </w:r>
      <w:proofErr w:type="spellEnd"/>
      <w:r w:rsidRPr="00A862BC">
        <w:tab/>
        <w:t>Australian Chamber of Commerce and Industry</w:t>
      </w:r>
    </w:p>
    <w:p w14:paraId="7BFC4CAF" w14:textId="77777777" w:rsidR="00523CF7" w:rsidRDefault="00523CF7">
      <w:pPr>
        <w:pStyle w:val="Abbreviation"/>
      </w:pPr>
      <w:proofErr w:type="spellStart"/>
      <w:r w:rsidRPr="00A862BC">
        <w:t>ACN</w:t>
      </w:r>
      <w:proofErr w:type="spellEnd"/>
      <w:r w:rsidRPr="00A862BC">
        <w:tab/>
        <w:t>Australian Company Number</w:t>
      </w:r>
    </w:p>
    <w:p w14:paraId="1916CDE9" w14:textId="77777777" w:rsidR="00523CF7" w:rsidRDefault="00523CF7">
      <w:pPr>
        <w:pStyle w:val="Abbreviation"/>
      </w:pPr>
      <w:proofErr w:type="spellStart"/>
      <w:r>
        <w:t>ADI</w:t>
      </w:r>
      <w:proofErr w:type="spellEnd"/>
      <w:r w:rsidR="00602B25">
        <w:tab/>
      </w:r>
      <w:r w:rsidR="00BA04A3">
        <w:t>authorised deposit-taking i</w:t>
      </w:r>
      <w:r w:rsidR="00602B25">
        <w:t>nstitution</w:t>
      </w:r>
    </w:p>
    <w:p w14:paraId="1AE6328C" w14:textId="77777777" w:rsidR="00523CF7" w:rsidRDefault="00523CF7">
      <w:pPr>
        <w:pStyle w:val="Abbreviation"/>
      </w:pPr>
      <w:proofErr w:type="spellStart"/>
      <w:r>
        <w:t>AFSA</w:t>
      </w:r>
      <w:proofErr w:type="spellEnd"/>
      <w:r w:rsidR="00602B25">
        <w:tab/>
        <w:t>Australian Financial Security Authority</w:t>
      </w:r>
    </w:p>
    <w:p w14:paraId="0C2DE29B" w14:textId="77777777" w:rsidR="00523CF7" w:rsidRDefault="00523CF7">
      <w:pPr>
        <w:pStyle w:val="Abbreviation"/>
      </w:pPr>
      <w:r>
        <w:t>APRA</w:t>
      </w:r>
      <w:r w:rsidR="00602B25">
        <w:tab/>
        <w:t>Australian Prudential Regulation Authority</w:t>
      </w:r>
    </w:p>
    <w:p w14:paraId="575AFB32" w14:textId="77777777" w:rsidR="00523CF7" w:rsidRDefault="00523CF7">
      <w:pPr>
        <w:pStyle w:val="Abbreviation"/>
      </w:pPr>
      <w:proofErr w:type="spellStart"/>
      <w:r>
        <w:t>ARITA</w:t>
      </w:r>
      <w:proofErr w:type="spellEnd"/>
      <w:r w:rsidR="00602B25">
        <w:tab/>
        <w:t>Australian Restructuring Insolvency and Turnaround Association</w:t>
      </w:r>
    </w:p>
    <w:p w14:paraId="5863916B" w14:textId="77777777" w:rsidR="00523CF7" w:rsidRDefault="00523CF7">
      <w:pPr>
        <w:pStyle w:val="Abbreviation"/>
      </w:pPr>
      <w:proofErr w:type="spellStart"/>
      <w:r>
        <w:t>ASIC</w:t>
      </w:r>
      <w:proofErr w:type="spellEnd"/>
      <w:r w:rsidR="00602B25">
        <w:tab/>
        <w:t>Australian Securities and Investments Commission</w:t>
      </w:r>
    </w:p>
    <w:p w14:paraId="7ECE910E" w14:textId="77777777" w:rsidR="00523CF7" w:rsidRDefault="00523CF7">
      <w:pPr>
        <w:pStyle w:val="Abbreviation"/>
      </w:pPr>
      <w:proofErr w:type="spellStart"/>
      <w:r>
        <w:t>ASX</w:t>
      </w:r>
      <w:proofErr w:type="spellEnd"/>
      <w:r w:rsidR="00602B25">
        <w:tab/>
        <w:t>Australian Securities Exchange</w:t>
      </w:r>
    </w:p>
    <w:p w14:paraId="559FC876" w14:textId="77777777" w:rsidR="00523CF7" w:rsidRDefault="00523CF7">
      <w:pPr>
        <w:pStyle w:val="Abbreviation"/>
      </w:pPr>
      <w:proofErr w:type="spellStart"/>
      <w:r>
        <w:t>ATO</w:t>
      </w:r>
      <w:proofErr w:type="spellEnd"/>
      <w:r w:rsidR="00602B25">
        <w:tab/>
        <w:t>Australian Tax Office</w:t>
      </w:r>
    </w:p>
    <w:p w14:paraId="6DDA32CD" w14:textId="77777777" w:rsidR="00523CF7" w:rsidRPr="00CF04CB" w:rsidRDefault="00523CF7">
      <w:pPr>
        <w:pStyle w:val="Abbreviation"/>
      </w:pPr>
      <w:proofErr w:type="spellStart"/>
      <w:r>
        <w:t>AUSTRAC</w:t>
      </w:r>
      <w:proofErr w:type="spellEnd"/>
      <w:r w:rsidR="00602B25">
        <w:tab/>
        <w:t>Australian Transaction Rep</w:t>
      </w:r>
      <w:r w:rsidR="00602B25" w:rsidRPr="00CF04CB">
        <w:t>orts and Analysis Centre</w:t>
      </w:r>
    </w:p>
    <w:p w14:paraId="66DBDDCD" w14:textId="77777777" w:rsidR="00523CF7" w:rsidRDefault="00523CF7">
      <w:pPr>
        <w:pStyle w:val="Abbreviation"/>
      </w:pPr>
      <w:r w:rsidRPr="00CF04CB">
        <w:t>BAS</w:t>
      </w:r>
      <w:r w:rsidR="00602B25" w:rsidRPr="00CF04CB">
        <w:tab/>
      </w:r>
      <w:r w:rsidR="00CF04CB" w:rsidRPr="00CF04CB">
        <w:t>business activity s</w:t>
      </w:r>
      <w:r w:rsidR="00602B25" w:rsidRPr="00CF04CB">
        <w:t>tatement</w:t>
      </w:r>
    </w:p>
    <w:p w14:paraId="1BD900EE" w14:textId="77777777" w:rsidR="00523CF7" w:rsidRDefault="00523CF7">
      <w:pPr>
        <w:pStyle w:val="Abbreviation"/>
      </w:pPr>
      <w:proofErr w:type="spellStart"/>
      <w:r>
        <w:t>CAMAC</w:t>
      </w:r>
      <w:proofErr w:type="spellEnd"/>
      <w:r w:rsidR="00602B25">
        <w:tab/>
        <w:t>Corporations and Markets Advisory Committee</w:t>
      </w:r>
    </w:p>
    <w:p w14:paraId="6F055CCF" w14:textId="77777777" w:rsidR="00523CF7" w:rsidRDefault="00523CF7">
      <w:pPr>
        <w:pStyle w:val="Abbreviation"/>
      </w:pPr>
      <w:proofErr w:type="spellStart"/>
      <w:r>
        <w:t>CAUSEE</w:t>
      </w:r>
      <w:proofErr w:type="spellEnd"/>
      <w:r w:rsidR="004D4E4D">
        <w:tab/>
      </w:r>
      <w:r w:rsidR="004D4E4D" w:rsidRPr="004D4E4D">
        <w:t>Comprehensive Australian Study of Entrepreneurial Emergence</w:t>
      </w:r>
    </w:p>
    <w:p w14:paraId="3BC673CD" w14:textId="77777777" w:rsidR="00523CF7" w:rsidRDefault="00523CF7">
      <w:pPr>
        <w:pStyle w:val="Abbreviation"/>
      </w:pPr>
      <w:proofErr w:type="spellStart"/>
      <w:r>
        <w:t>CCIQ</w:t>
      </w:r>
      <w:proofErr w:type="spellEnd"/>
      <w:r w:rsidR="004D4E4D">
        <w:tab/>
        <w:t>Chamber of Commerce and Industry Queensland</w:t>
      </w:r>
    </w:p>
    <w:p w14:paraId="47554A07" w14:textId="77777777" w:rsidR="00523CF7" w:rsidRDefault="00523CF7">
      <w:pPr>
        <w:pStyle w:val="Abbreviation"/>
      </w:pPr>
      <w:proofErr w:type="spellStart"/>
      <w:r>
        <w:t>CGT</w:t>
      </w:r>
      <w:proofErr w:type="spellEnd"/>
      <w:r w:rsidR="00991042">
        <w:tab/>
      </w:r>
      <w:r w:rsidR="00BA04A3">
        <w:t>capital gains t</w:t>
      </w:r>
      <w:r w:rsidR="00991042">
        <w:t>ax</w:t>
      </w:r>
    </w:p>
    <w:p w14:paraId="2E05BE1E" w14:textId="77777777" w:rsidR="00523CF7" w:rsidRDefault="00523CF7">
      <w:pPr>
        <w:pStyle w:val="Abbreviation"/>
      </w:pPr>
      <w:r>
        <w:t>COAG</w:t>
      </w:r>
      <w:r w:rsidR="00991042">
        <w:tab/>
        <w:t>Council of Australian Governments</w:t>
      </w:r>
    </w:p>
    <w:p w14:paraId="2D5B5AFE" w14:textId="77777777" w:rsidR="00523CF7" w:rsidRDefault="00523CF7">
      <w:pPr>
        <w:pStyle w:val="Abbreviation"/>
      </w:pPr>
      <w:proofErr w:type="spellStart"/>
      <w:r>
        <w:t>FSI</w:t>
      </w:r>
      <w:proofErr w:type="spellEnd"/>
      <w:r w:rsidR="00755DBC">
        <w:tab/>
      </w:r>
      <w:r w:rsidR="00755DBC" w:rsidRPr="00A862BC">
        <w:t>Financial System Inquiry</w:t>
      </w:r>
    </w:p>
    <w:p w14:paraId="24BE90CD" w14:textId="77777777" w:rsidR="00523CF7" w:rsidRDefault="00523CF7">
      <w:pPr>
        <w:pStyle w:val="Abbreviation"/>
      </w:pPr>
      <w:r>
        <w:t>GDP</w:t>
      </w:r>
      <w:r w:rsidR="00755DBC">
        <w:tab/>
      </w:r>
      <w:r w:rsidR="00BA04A3">
        <w:t>gross domestic p</w:t>
      </w:r>
      <w:r w:rsidR="00755DBC">
        <w:t>roduct</w:t>
      </w:r>
    </w:p>
    <w:p w14:paraId="3DC5C9BC" w14:textId="77777777" w:rsidR="00523CF7" w:rsidRDefault="00523CF7">
      <w:pPr>
        <w:pStyle w:val="Abbreviation"/>
      </w:pPr>
      <w:proofErr w:type="spellStart"/>
      <w:r>
        <w:t>GFC</w:t>
      </w:r>
      <w:proofErr w:type="spellEnd"/>
      <w:r w:rsidR="00755DBC">
        <w:tab/>
      </w:r>
      <w:r w:rsidR="00BA04A3">
        <w:t>global financial c</w:t>
      </w:r>
      <w:r w:rsidR="00755DBC">
        <w:t>risis</w:t>
      </w:r>
    </w:p>
    <w:p w14:paraId="67D91327" w14:textId="77777777" w:rsidR="00523CF7" w:rsidRDefault="00523CF7">
      <w:pPr>
        <w:pStyle w:val="Abbreviation"/>
      </w:pPr>
      <w:r>
        <w:t>GST</w:t>
      </w:r>
      <w:r w:rsidR="00755DBC">
        <w:tab/>
      </w:r>
      <w:r w:rsidR="00BA04A3">
        <w:t>goods and services t</w:t>
      </w:r>
      <w:r w:rsidR="00755DBC">
        <w:t>ax</w:t>
      </w:r>
    </w:p>
    <w:p w14:paraId="0DC0A18D" w14:textId="77777777" w:rsidR="00523CF7" w:rsidRDefault="00523CF7">
      <w:pPr>
        <w:pStyle w:val="Abbreviation"/>
      </w:pPr>
      <w:r>
        <w:t>IPO</w:t>
      </w:r>
      <w:r w:rsidR="00755DBC">
        <w:tab/>
      </w:r>
      <w:r w:rsidR="009A2C0A">
        <w:t>initial public o</w:t>
      </w:r>
      <w:r w:rsidR="00755DBC">
        <w:t>ffering</w:t>
      </w:r>
    </w:p>
    <w:p w14:paraId="320264A8" w14:textId="77777777" w:rsidR="00523CF7" w:rsidRDefault="00523CF7">
      <w:pPr>
        <w:pStyle w:val="Abbreviation"/>
      </w:pPr>
      <w:r>
        <w:lastRenderedPageBreak/>
        <w:t>OECD</w:t>
      </w:r>
      <w:r w:rsidR="00E35A26">
        <w:tab/>
        <w:t>Organisation for Economic Co-operation and Development</w:t>
      </w:r>
    </w:p>
    <w:p w14:paraId="20DC50FB" w14:textId="77777777" w:rsidR="00735FEA" w:rsidRDefault="00735FEA">
      <w:pPr>
        <w:pStyle w:val="Abbreviation"/>
      </w:pPr>
      <w:r>
        <w:t>PC</w:t>
      </w:r>
      <w:r>
        <w:tab/>
        <w:t>Productivity Commission</w:t>
      </w:r>
    </w:p>
    <w:p w14:paraId="3F1B7FC1" w14:textId="77777777" w:rsidR="00523CF7" w:rsidRDefault="00755DBC">
      <w:pPr>
        <w:pStyle w:val="Abbreviation"/>
      </w:pPr>
      <w:r>
        <w:t>RBA</w:t>
      </w:r>
      <w:r w:rsidR="00E35A26">
        <w:tab/>
        <w:t>Reserve Bank of Australia</w:t>
      </w:r>
    </w:p>
    <w:p w14:paraId="1D00EF66" w14:textId="77777777" w:rsidR="00523CF7" w:rsidRDefault="00523CF7">
      <w:pPr>
        <w:pStyle w:val="Abbreviation"/>
      </w:pPr>
      <w:proofErr w:type="spellStart"/>
      <w:r>
        <w:t>SME</w:t>
      </w:r>
      <w:proofErr w:type="spellEnd"/>
      <w:r w:rsidR="00E35A26">
        <w:tab/>
      </w:r>
      <w:r w:rsidR="0026333B" w:rsidRPr="0026333B">
        <w:t>s</w:t>
      </w:r>
      <w:r w:rsidR="00E35A26" w:rsidRPr="0026333B">
        <w:t>mall and medium-sized enterpris</w:t>
      </w:r>
      <w:r w:rsidR="0026333B" w:rsidRPr="0026333B">
        <w:t>e</w:t>
      </w:r>
    </w:p>
    <w:p w14:paraId="47ECDF31" w14:textId="77777777" w:rsidR="00523CF7" w:rsidRDefault="00523CF7">
      <w:pPr>
        <w:pStyle w:val="Abbreviation"/>
      </w:pPr>
      <w:proofErr w:type="spellStart"/>
      <w:r>
        <w:t>TFN</w:t>
      </w:r>
      <w:proofErr w:type="spellEnd"/>
      <w:r w:rsidR="00E35A26">
        <w:tab/>
      </w:r>
      <w:r w:rsidR="009A2C0A">
        <w:t>tax file n</w:t>
      </w:r>
      <w:r w:rsidR="00E35A26">
        <w:t>umber</w:t>
      </w:r>
    </w:p>
    <w:p w14:paraId="653B2B0C" w14:textId="77777777" w:rsidR="00735FEA" w:rsidRDefault="00735FEA" w:rsidP="00893072">
      <w:pPr>
        <w:pStyle w:val="Heading2NotTOC"/>
        <w:tabs>
          <w:tab w:val="left" w:pos="2410"/>
        </w:tabs>
      </w:pPr>
      <w:r>
        <w:t>Explanations</w:t>
      </w:r>
    </w:p>
    <w:tbl>
      <w:tblPr>
        <w:tblW w:w="0" w:type="auto"/>
        <w:tblCellMar>
          <w:left w:w="0" w:type="dxa"/>
          <w:right w:w="0" w:type="dxa"/>
        </w:tblCellMar>
        <w:tblLook w:val="0000" w:firstRow="0" w:lastRow="0" w:firstColumn="0" w:lastColumn="0" w:noHBand="0" w:noVBand="0"/>
      </w:tblPr>
      <w:tblGrid>
        <w:gridCol w:w="2268"/>
        <w:gridCol w:w="6521"/>
      </w:tblGrid>
      <w:tr w:rsidR="00735FEA" w14:paraId="7E7948D8" w14:textId="77777777" w:rsidTr="007F52F6">
        <w:tc>
          <w:tcPr>
            <w:tcW w:w="2268" w:type="dxa"/>
          </w:tcPr>
          <w:p w14:paraId="29EF59CE" w14:textId="77777777" w:rsidR="00735FEA" w:rsidRDefault="00735FEA">
            <w:pPr>
              <w:pStyle w:val="BodyText"/>
              <w:spacing w:before="120"/>
              <w:ind w:right="6"/>
            </w:pPr>
            <w:r>
              <w:t>Billion</w:t>
            </w:r>
          </w:p>
        </w:tc>
        <w:tc>
          <w:tcPr>
            <w:tcW w:w="6521" w:type="dxa"/>
          </w:tcPr>
          <w:p w14:paraId="5E5503A2" w14:textId="77777777" w:rsidR="00735FEA" w:rsidRDefault="00735FEA" w:rsidP="007F52F6">
            <w:pPr>
              <w:pStyle w:val="BodyText"/>
              <w:tabs>
                <w:tab w:val="left" w:pos="142"/>
              </w:tabs>
              <w:spacing w:before="120"/>
              <w:ind w:left="113"/>
            </w:pPr>
            <w:r>
              <w:t>The convention used for a billion is a thousand million (10</w:t>
            </w:r>
            <w:r>
              <w:rPr>
                <w:position w:val="6"/>
                <w:sz w:val="22"/>
              </w:rPr>
              <w:t>9</w:t>
            </w:r>
            <w:r>
              <w:t>).</w:t>
            </w:r>
          </w:p>
        </w:tc>
      </w:tr>
    </w:tbl>
    <w:p w14:paraId="0DEC955C" w14:textId="77777777" w:rsidR="000A5E12" w:rsidRDefault="000A5E12" w:rsidP="00743A27">
      <w:pPr>
        <w:pStyle w:val="BodyText"/>
        <w:rPr>
          <w:rFonts w:ascii="Arial" w:hAnsi="Arial" w:cs="Arial"/>
          <w:i/>
        </w:rPr>
      </w:pPr>
      <w:bookmarkStart w:id="8" w:name="Glossary"/>
      <w:bookmarkEnd w:id="8"/>
    </w:p>
    <w:sectPr w:rsidR="000A5E12" w:rsidSect="00585B3F">
      <w:headerReference w:type="even" r:id="rId37"/>
      <w:headerReference w:type="default" r:id="rId38"/>
      <w:footerReference w:type="even" r:id="rId39"/>
      <w:footerReference w:type="default" r:id="rId40"/>
      <w:headerReference w:type="first" r:id="rId41"/>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B3A5E6" w14:textId="77777777" w:rsidR="00EF5206" w:rsidRDefault="00EF5206">
      <w:r>
        <w:separator/>
      </w:r>
    </w:p>
    <w:p w14:paraId="29F060E4" w14:textId="77777777" w:rsidR="00EF5206" w:rsidRDefault="00EF5206"/>
    <w:p w14:paraId="05C1D9BB" w14:textId="77777777" w:rsidR="00EF5206" w:rsidRDefault="00EF5206"/>
  </w:endnote>
  <w:endnote w:type="continuationSeparator" w:id="0">
    <w:p w14:paraId="0F4FF21A" w14:textId="77777777" w:rsidR="00EF5206" w:rsidRDefault="00EF5206">
      <w:r>
        <w:continuationSeparator/>
      </w:r>
    </w:p>
    <w:p w14:paraId="09078D6A" w14:textId="77777777" w:rsidR="00EF5206" w:rsidRDefault="00EF5206"/>
    <w:p w14:paraId="01C8D74E" w14:textId="77777777" w:rsidR="00EF5206" w:rsidRDefault="00EF5206"/>
  </w:endnote>
  <w:endnote w:type="continuationNotice" w:id="1">
    <w:p w14:paraId="27DB069A" w14:textId="77777777" w:rsidR="00EF5206" w:rsidRDefault="00EF52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754D7" w14:textId="77777777" w:rsidR="00F22898" w:rsidRDefault="00F22898">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21E39" w14:paraId="2E83AC2F" w14:textId="77777777" w:rsidTr="00D21E39">
      <w:trPr>
        <w:trHeight w:hRule="exact" w:val="567"/>
      </w:trPr>
      <w:tc>
        <w:tcPr>
          <w:tcW w:w="510" w:type="dxa"/>
        </w:tcPr>
        <w:p w14:paraId="451DD4BA" w14:textId="77777777" w:rsidR="00D21E39" w:rsidRPr="007448F7" w:rsidRDefault="00D21E39" w:rsidP="00D21E39">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22898">
            <w:rPr>
              <w:rStyle w:val="PageNumber"/>
              <w:caps w:val="0"/>
              <w:noProof/>
            </w:rPr>
            <w:t>x</w:t>
          </w:r>
          <w:r w:rsidRPr="007448F7">
            <w:rPr>
              <w:rStyle w:val="PageNumber"/>
              <w:caps w:val="0"/>
            </w:rPr>
            <w:fldChar w:fldCharType="end"/>
          </w:r>
        </w:p>
      </w:tc>
      <w:tc>
        <w:tcPr>
          <w:tcW w:w="7767" w:type="dxa"/>
        </w:tcPr>
        <w:p w14:paraId="2476B984" w14:textId="77777777" w:rsidR="00B8425B" w:rsidRDefault="00B8425B" w:rsidP="00B8425B">
          <w:pPr>
            <w:pStyle w:val="Footer"/>
          </w:pPr>
          <w:r>
            <w:t>BUSINESS SET-UP, TRANSFER AND CLOSURE</w:t>
          </w:r>
        </w:p>
        <w:p w14:paraId="79B7BD8A" w14:textId="77777777" w:rsidR="00D21E39" w:rsidRPr="0013739A" w:rsidRDefault="00B8425B" w:rsidP="00B8425B">
          <w:pPr>
            <w:pStyle w:val="Footer"/>
            <w:rPr>
              <w:rFonts w:cs="Arial"/>
            </w:rPr>
          </w:pPr>
          <w:r>
            <w:rPr>
              <w:color w:val="808080"/>
            </w:rPr>
            <w:t>DRAFT REPORT</w:t>
          </w:r>
        </w:p>
      </w:tc>
      <w:tc>
        <w:tcPr>
          <w:tcW w:w="510" w:type="dxa"/>
        </w:tcPr>
        <w:p w14:paraId="18EF4701" w14:textId="77777777" w:rsidR="00D21E39" w:rsidRDefault="00D21E39" w:rsidP="00D21E39">
          <w:pPr>
            <w:pStyle w:val="Footer"/>
          </w:pPr>
        </w:p>
      </w:tc>
    </w:tr>
  </w:tbl>
  <w:p w14:paraId="0C71511B" w14:textId="77777777" w:rsidR="00D21E39" w:rsidRDefault="00D21E39" w:rsidP="00D21E39">
    <w:pPr>
      <w:pStyle w:val="FooterEnd"/>
    </w:pPr>
  </w:p>
  <w:p w14:paraId="72413DF7" w14:textId="77777777" w:rsidR="00D21E39" w:rsidRDefault="00D21E39">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21E39" w14:paraId="6D3CAFB2" w14:textId="77777777" w:rsidTr="00D21E39">
      <w:trPr>
        <w:trHeight w:hRule="exact" w:val="567"/>
      </w:trPr>
      <w:tc>
        <w:tcPr>
          <w:tcW w:w="510" w:type="dxa"/>
        </w:tcPr>
        <w:p w14:paraId="4912D563" w14:textId="77777777" w:rsidR="00D21E39" w:rsidRDefault="00D21E39">
          <w:pPr>
            <w:pStyle w:val="Footer"/>
            <w:ind w:right="360" w:firstLine="360"/>
          </w:pPr>
        </w:p>
      </w:tc>
      <w:tc>
        <w:tcPr>
          <w:tcW w:w="7767" w:type="dxa"/>
        </w:tcPr>
        <w:p w14:paraId="729110E0" w14:textId="77777777" w:rsidR="00B8425B" w:rsidRDefault="00B8425B" w:rsidP="00B8425B">
          <w:pPr>
            <w:pStyle w:val="Footer"/>
            <w:jc w:val="right"/>
          </w:pPr>
          <w:r w:rsidRPr="00B8425B">
            <w:rPr>
              <w:bCs/>
              <w:noProof/>
              <w:lang w:val="en-US"/>
            </w:rPr>
            <w:t>Abbreviations and explanations</w:t>
          </w:r>
          <w:r>
            <w:t xml:space="preserve"> </w:t>
          </w:r>
        </w:p>
        <w:p w14:paraId="42416061" w14:textId="77777777" w:rsidR="00D21E39" w:rsidRPr="00340511" w:rsidRDefault="00B8425B" w:rsidP="00B8425B">
          <w:pPr>
            <w:pStyle w:val="Footer"/>
            <w:jc w:val="right"/>
            <w:rPr>
              <w:rFonts w:cs="Arial"/>
            </w:rPr>
          </w:pPr>
          <w:r>
            <w:rPr>
              <w:color w:val="808080"/>
            </w:rPr>
            <w:t>DRAFT REPORT</w:t>
          </w:r>
        </w:p>
      </w:tc>
      <w:tc>
        <w:tcPr>
          <w:tcW w:w="510" w:type="dxa"/>
        </w:tcPr>
        <w:p w14:paraId="611B3E94" w14:textId="77777777" w:rsidR="00D21E39" w:rsidRPr="00A24443" w:rsidRDefault="00D21E3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22898">
            <w:rPr>
              <w:rStyle w:val="PageNumber"/>
              <w:caps w:val="0"/>
              <w:noProof/>
            </w:rPr>
            <w:t>xi</w:t>
          </w:r>
          <w:r w:rsidRPr="00A24443">
            <w:rPr>
              <w:rStyle w:val="PageNumber"/>
              <w:caps w:val="0"/>
            </w:rPr>
            <w:fldChar w:fldCharType="end"/>
          </w:r>
        </w:p>
      </w:tc>
    </w:tr>
  </w:tbl>
  <w:p w14:paraId="4C2D2A23" w14:textId="77777777" w:rsidR="00D21E39" w:rsidRDefault="00D21E39">
    <w:pPr>
      <w:pStyle w:val="FooterEnd"/>
    </w:pPr>
  </w:p>
  <w:p w14:paraId="7BB65EE5" w14:textId="77777777" w:rsidR="00D21E39" w:rsidRDefault="00D21E39"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7AA93" w14:textId="77777777" w:rsidR="00F22898" w:rsidRDefault="00F228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459BE7" w14:textId="77777777" w:rsidR="00F22898" w:rsidRDefault="00F2289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21E39" w14:paraId="6CC78051" w14:textId="77777777" w:rsidTr="00D21E39">
      <w:trPr>
        <w:trHeight w:hRule="exact" w:val="567"/>
      </w:trPr>
      <w:tc>
        <w:tcPr>
          <w:tcW w:w="510" w:type="dxa"/>
        </w:tcPr>
        <w:p w14:paraId="425440D4" w14:textId="77777777" w:rsidR="00D21E39" w:rsidRDefault="00D21E39" w:rsidP="00D21E39">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F1151">
            <w:rPr>
              <w:rStyle w:val="PageNumber"/>
              <w:noProof/>
            </w:rPr>
            <w:t>ii</w:t>
          </w:r>
          <w:r>
            <w:rPr>
              <w:rStyle w:val="PageNumber"/>
            </w:rPr>
            <w:fldChar w:fldCharType="end"/>
          </w:r>
        </w:p>
      </w:tc>
      <w:tc>
        <w:tcPr>
          <w:tcW w:w="7767" w:type="dxa"/>
        </w:tcPr>
        <w:p w14:paraId="3547D7AA" w14:textId="77777777" w:rsidR="00D21E39" w:rsidRPr="0013739A" w:rsidRDefault="00D21E39" w:rsidP="00D21E39">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A143A3">
            <w:rPr>
              <w:rFonts w:cs="Arial"/>
            </w:rPr>
            <w:t>Business Set-up, Transfer and Closure</w:t>
          </w:r>
          <w:r w:rsidRPr="00BA5B14">
            <w:rPr>
              <w:rFonts w:cs="Arial"/>
            </w:rPr>
            <w:fldChar w:fldCharType="end"/>
          </w:r>
        </w:p>
      </w:tc>
      <w:tc>
        <w:tcPr>
          <w:tcW w:w="510" w:type="dxa"/>
        </w:tcPr>
        <w:p w14:paraId="202955A6" w14:textId="77777777" w:rsidR="00D21E39" w:rsidRDefault="00D21E39" w:rsidP="00D21E39">
          <w:pPr>
            <w:pStyle w:val="Footer"/>
          </w:pPr>
        </w:p>
      </w:tc>
    </w:tr>
  </w:tbl>
  <w:p w14:paraId="3C929A6A" w14:textId="77777777" w:rsidR="00D21E39" w:rsidRDefault="00D21E39" w:rsidP="00D21E39">
    <w:pPr>
      <w:pStyle w:val="FooterEnd"/>
    </w:pPr>
  </w:p>
  <w:p w14:paraId="5F3A9911" w14:textId="77777777" w:rsidR="00D21E39" w:rsidRDefault="00D21E3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21E39" w14:paraId="1B6E3313" w14:textId="77777777" w:rsidTr="00D21E39">
      <w:trPr>
        <w:trHeight w:hRule="exact" w:val="567"/>
      </w:trPr>
      <w:tc>
        <w:tcPr>
          <w:tcW w:w="510" w:type="dxa"/>
        </w:tcPr>
        <w:p w14:paraId="68E8ACCD" w14:textId="77777777" w:rsidR="00D21E39" w:rsidRDefault="00D21E39">
          <w:pPr>
            <w:pStyle w:val="Footer"/>
            <w:ind w:right="360" w:firstLine="360"/>
          </w:pPr>
        </w:p>
      </w:tc>
      <w:tc>
        <w:tcPr>
          <w:tcW w:w="7767" w:type="dxa"/>
        </w:tcPr>
        <w:p w14:paraId="413A31C1" w14:textId="77777777" w:rsidR="00B8425B" w:rsidRDefault="00B8425B" w:rsidP="00B8425B">
          <w:pPr>
            <w:pStyle w:val="Footer"/>
            <w:jc w:val="right"/>
          </w:pPr>
          <w:r w:rsidRPr="00B8425B">
            <w:rPr>
              <w:bCs/>
              <w:noProof/>
              <w:lang w:val="en-US"/>
            </w:rPr>
            <w:t>Opportunity for further</w:t>
          </w:r>
          <w:r>
            <w:rPr>
              <w:noProof/>
            </w:rPr>
            <w:t xml:space="preserve"> comment</w:t>
          </w:r>
          <w:r>
            <w:t xml:space="preserve"> </w:t>
          </w:r>
        </w:p>
        <w:p w14:paraId="70938790" w14:textId="77777777" w:rsidR="00D21E39" w:rsidRPr="00C24C8B" w:rsidRDefault="00B8425B" w:rsidP="00B8425B">
          <w:pPr>
            <w:pStyle w:val="Footer"/>
            <w:jc w:val="right"/>
            <w:rPr>
              <w:rFonts w:cs="Arial"/>
            </w:rPr>
          </w:pPr>
          <w:r>
            <w:rPr>
              <w:color w:val="808080"/>
            </w:rPr>
            <w:t>DRAFT REPORT</w:t>
          </w:r>
          <w:r w:rsidR="00D21E39" w:rsidRPr="00C24C8B">
            <w:rPr>
              <w:rFonts w:cs="Arial"/>
            </w:rPr>
            <w:t xml:space="preserve"> </w:t>
          </w:r>
        </w:p>
      </w:tc>
      <w:tc>
        <w:tcPr>
          <w:tcW w:w="510" w:type="dxa"/>
        </w:tcPr>
        <w:p w14:paraId="66C47FF8" w14:textId="77777777" w:rsidR="00D21E39" w:rsidRPr="00C24C8B" w:rsidRDefault="00D21E39">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F22898">
            <w:rPr>
              <w:rStyle w:val="PageNumber"/>
              <w:caps w:val="0"/>
              <w:noProof/>
            </w:rPr>
            <w:t>iii</w:t>
          </w:r>
          <w:r w:rsidRPr="00C24C8B">
            <w:rPr>
              <w:rStyle w:val="PageNumber"/>
              <w:caps w:val="0"/>
            </w:rPr>
            <w:fldChar w:fldCharType="end"/>
          </w:r>
        </w:p>
      </w:tc>
    </w:tr>
  </w:tbl>
  <w:p w14:paraId="6DAA1B8B" w14:textId="77777777" w:rsidR="00D21E39" w:rsidRDefault="00D21E39">
    <w:pPr>
      <w:pStyle w:val="FooterEnd"/>
    </w:pPr>
  </w:p>
  <w:p w14:paraId="31EF93D1" w14:textId="77777777" w:rsidR="00D21E39" w:rsidRDefault="00D21E39">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21E39" w14:paraId="1D5FC0FA" w14:textId="77777777" w:rsidTr="00D21E39">
      <w:trPr>
        <w:trHeight w:hRule="exact" w:val="567"/>
      </w:trPr>
      <w:tc>
        <w:tcPr>
          <w:tcW w:w="510" w:type="dxa"/>
        </w:tcPr>
        <w:p w14:paraId="7D6813AA" w14:textId="77777777" w:rsidR="00D21E39" w:rsidRPr="00752FFF" w:rsidRDefault="00D21E39" w:rsidP="00D21E39">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F22898">
            <w:rPr>
              <w:rStyle w:val="PageNumber"/>
              <w:caps w:val="0"/>
              <w:noProof/>
            </w:rPr>
            <w:t>iv</w:t>
          </w:r>
          <w:r w:rsidRPr="00752FFF">
            <w:rPr>
              <w:rStyle w:val="PageNumber"/>
              <w:caps w:val="0"/>
            </w:rPr>
            <w:fldChar w:fldCharType="end"/>
          </w:r>
        </w:p>
      </w:tc>
      <w:tc>
        <w:tcPr>
          <w:tcW w:w="7767" w:type="dxa"/>
        </w:tcPr>
        <w:p w14:paraId="1CC75559" w14:textId="77777777" w:rsidR="00B8425B" w:rsidRDefault="00B8425B" w:rsidP="00B8425B">
          <w:pPr>
            <w:pStyle w:val="Footer"/>
          </w:pPr>
          <w:r>
            <w:t>BUSINESS SET-UP, TRANSFER AND CLOSURE</w:t>
          </w:r>
        </w:p>
        <w:p w14:paraId="26220316" w14:textId="77777777" w:rsidR="00D21E39" w:rsidRPr="0013739A" w:rsidRDefault="00B8425B" w:rsidP="00B8425B">
          <w:pPr>
            <w:pStyle w:val="Footer"/>
            <w:rPr>
              <w:rFonts w:cs="Arial"/>
            </w:rPr>
          </w:pPr>
          <w:r>
            <w:rPr>
              <w:color w:val="808080"/>
            </w:rPr>
            <w:t>DRAFT REPORT</w:t>
          </w:r>
        </w:p>
      </w:tc>
      <w:tc>
        <w:tcPr>
          <w:tcW w:w="510" w:type="dxa"/>
        </w:tcPr>
        <w:p w14:paraId="01DD2EF9" w14:textId="77777777" w:rsidR="00D21E39" w:rsidRDefault="00D21E39" w:rsidP="00D21E39">
          <w:pPr>
            <w:pStyle w:val="Footer"/>
          </w:pPr>
        </w:p>
      </w:tc>
    </w:tr>
  </w:tbl>
  <w:p w14:paraId="7D7B0B57" w14:textId="77777777" w:rsidR="00D21E39" w:rsidRDefault="00D21E39" w:rsidP="00D21E39">
    <w:pPr>
      <w:pStyle w:val="FooterEnd"/>
    </w:pPr>
  </w:p>
  <w:p w14:paraId="746EF540" w14:textId="77777777" w:rsidR="00D21E39" w:rsidRDefault="00D21E39">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21E39" w14:paraId="53D9E376" w14:textId="77777777" w:rsidTr="00D21E39">
      <w:trPr>
        <w:trHeight w:hRule="exact" w:val="567"/>
      </w:trPr>
      <w:tc>
        <w:tcPr>
          <w:tcW w:w="510" w:type="dxa"/>
        </w:tcPr>
        <w:p w14:paraId="6A2A5503" w14:textId="77777777" w:rsidR="00D21E39" w:rsidRDefault="00D21E39">
          <w:pPr>
            <w:pStyle w:val="Footer"/>
            <w:ind w:right="360" w:firstLine="360"/>
          </w:pPr>
        </w:p>
      </w:tc>
      <w:tc>
        <w:tcPr>
          <w:tcW w:w="7767" w:type="dxa"/>
        </w:tcPr>
        <w:p w14:paraId="750C3A97" w14:textId="77777777" w:rsidR="00B8425B" w:rsidRDefault="00B8425B" w:rsidP="00B8425B">
          <w:pPr>
            <w:pStyle w:val="Footer"/>
            <w:jc w:val="right"/>
          </w:pPr>
          <w:r w:rsidRPr="00B8425B">
            <w:rPr>
              <w:bCs/>
              <w:noProof/>
              <w:lang w:val="en-US"/>
            </w:rPr>
            <w:t>Terms of reference</w:t>
          </w:r>
          <w:r>
            <w:t xml:space="preserve"> </w:t>
          </w:r>
        </w:p>
        <w:p w14:paraId="71309F46" w14:textId="77777777" w:rsidR="00D21E39" w:rsidRPr="00752FFF" w:rsidRDefault="00B8425B" w:rsidP="00B8425B">
          <w:pPr>
            <w:pStyle w:val="Footer"/>
            <w:jc w:val="right"/>
            <w:rPr>
              <w:rFonts w:cs="Arial"/>
            </w:rPr>
          </w:pPr>
          <w:r>
            <w:rPr>
              <w:color w:val="808080"/>
            </w:rPr>
            <w:t>DRAFT REPORT</w:t>
          </w:r>
        </w:p>
      </w:tc>
      <w:tc>
        <w:tcPr>
          <w:tcW w:w="510" w:type="dxa"/>
        </w:tcPr>
        <w:p w14:paraId="715B3A56" w14:textId="77777777" w:rsidR="00D21E39" w:rsidRPr="00A24443" w:rsidRDefault="00D21E3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22898">
            <w:rPr>
              <w:rStyle w:val="PageNumber"/>
              <w:caps w:val="0"/>
              <w:noProof/>
            </w:rPr>
            <w:t>v</w:t>
          </w:r>
          <w:r w:rsidRPr="00A24443">
            <w:rPr>
              <w:rStyle w:val="PageNumber"/>
              <w:caps w:val="0"/>
            </w:rPr>
            <w:fldChar w:fldCharType="end"/>
          </w:r>
        </w:p>
      </w:tc>
    </w:tr>
  </w:tbl>
  <w:p w14:paraId="68F80732" w14:textId="77777777" w:rsidR="00D21E39" w:rsidRDefault="00D21E39">
    <w:pPr>
      <w:pStyle w:val="FooterEnd"/>
    </w:pPr>
  </w:p>
  <w:p w14:paraId="0E39077F" w14:textId="77777777" w:rsidR="00D21E39" w:rsidRPr="00D01645" w:rsidRDefault="00D21E39" w:rsidP="00D21E39">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21E39" w14:paraId="1A43E57E" w14:textId="77777777" w:rsidTr="00D21E39">
      <w:trPr>
        <w:trHeight w:hRule="exact" w:val="567"/>
      </w:trPr>
      <w:tc>
        <w:tcPr>
          <w:tcW w:w="510" w:type="dxa"/>
        </w:tcPr>
        <w:p w14:paraId="4C156504" w14:textId="77777777" w:rsidR="00D21E39" w:rsidRPr="00A24443" w:rsidRDefault="00D21E39" w:rsidP="00D21E39">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22898">
            <w:rPr>
              <w:rStyle w:val="PageNumber"/>
              <w:caps w:val="0"/>
              <w:noProof/>
            </w:rPr>
            <w:t>viii</w:t>
          </w:r>
          <w:r w:rsidRPr="00A24443">
            <w:rPr>
              <w:rStyle w:val="PageNumber"/>
              <w:caps w:val="0"/>
            </w:rPr>
            <w:fldChar w:fldCharType="end"/>
          </w:r>
        </w:p>
      </w:tc>
      <w:tc>
        <w:tcPr>
          <w:tcW w:w="7767" w:type="dxa"/>
        </w:tcPr>
        <w:p w14:paraId="6BD13A9E" w14:textId="77777777" w:rsidR="00B8425B" w:rsidRDefault="00B8425B" w:rsidP="00B8425B">
          <w:pPr>
            <w:pStyle w:val="Footer"/>
          </w:pPr>
          <w:r>
            <w:t>BUSINESS SET-UP, TRANSFER AND CLOSURE</w:t>
          </w:r>
        </w:p>
        <w:p w14:paraId="54C2BC61" w14:textId="77777777" w:rsidR="00D21E39" w:rsidRPr="0013739A" w:rsidRDefault="00B8425B" w:rsidP="00B8425B">
          <w:pPr>
            <w:pStyle w:val="Footer"/>
            <w:rPr>
              <w:rFonts w:cs="Arial"/>
            </w:rPr>
          </w:pPr>
          <w:r>
            <w:rPr>
              <w:color w:val="808080"/>
            </w:rPr>
            <w:t>DRAFT REPORT</w:t>
          </w:r>
        </w:p>
      </w:tc>
      <w:tc>
        <w:tcPr>
          <w:tcW w:w="510" w:type="dxa"/>
        </w:tcPr>
        <w:p w14:paraId="4DC1AE2D" w14:textId="77777777" w:rsidR="00D21E39" w:rsidRDefault="00D21E39" w:rsidP="00D21E39">
          <w:pPr>
            <w:pStyle w:val="Footer"/>
          </w:pPr>
        </w:p>
      </w:tc>
    </w:tr>
  </w:tbl>
  <w:p w14:paraId="39C7D0E4" w14:textId="77777777" w:rsidR="00D21E39" w:rsidRDefault="00D21E39" w:rsidP="00D21E39">
    <w:pPr>
      <w:pStyle w:val="FooterEnd"/>
    </w:pPr>
  </w:p>
  <w:p w14:paraId="41A5848F" w14:textId="77777777" w:rsidR="00D21E39" w:rsidRDefault="00D21E39">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21E39" w14:paraId="40331BBD" w14:textId="77777777" w:rsidTr="00D21E39">
      <w:trPr>
        <w:trHeight w:hRule="exact" w:val="567"/>
      </w:trPr>
      <w:tc>
        <w:tcPr>
          <w:tcW w:w="510" w:type="dxa"/>
        </w:tcPr>
        <w:p w14:paraId="450A97A5" w14:textId="77777777" w:rsidR="00D21E39" w:rsidRDefault="00D21E39">
          <w:pPr>
            <w:pStyle w:val="Footer"/>
            <w:ind w:right="360" w:firstLine="360"/>
          </w:pPr>
        </w:p>
      </w:tc>
      <w:tc>
        <w:tcPr>
          <w:tcW w:w="7767" w:type="dxa"/>
        </w:tcPr>
        <w:p w14:paraId="42685F58" w14:textId="77777777" w:rsidR="00B8425B" w:rsidRDefault="00B8425B" w:rsidP="00B8425B">
          <w:pPr>
            <w:pStyle w:val="Footer"/>
            <w:jc w:val="right"/>
          </w:pPr>
          <w:r w:rsidRPr="00B8425B">
            <w:rPr>
              <w:bCs/>
              <w:noProof/>
            </w:rPr>
            <w:t>Contents</w:t>
          </w:r>
          <w:r w:rsidR="00D21E39">
            <w:rPr>
              <w:rFonts w:cs="Arial"/>
            </w:rPr>
            <w:t xml:space="preserve"> </w:t>
          </w:r>
        </w:p>
        <w:p w14:paraId="391E9AF8" w14:textId="77777777" w:rsidR="00D21E39" w:rsidRPr="00BA5B14" w:rsidRDefault="00B8425B" w:rsidP="00B8425B">
          <w:pPr>
            <w:pStyle w:val="Footer"/>
            <w:jc w:val="right"/>
            <w:rPr>
              <w:rFonts w:cs="Arial"/>
            </w:rPr>
          </w:pPr>
          <w:r>
            <w:rPr>
              <w:color w:val="808080"/>
            </w:rPr>
            <w:t>DRAFT REPORT</w:t>
          </w:r>
        </w:p>
      </w:tc>
      <w:tc>
        <w:tcPr>
          <w:tcW w:w="510" w:type="dxa"/>
        </w:tcPr>
        <w:p w14:paraId="662BFA6D" w14:textId="77777777" w:rsidR="00D21E39" w:rsidRPr="007448F7" w:rsidRDefault="00D21E39">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22898">
            <w:rPr>
              <w:rStyle w:val="PageNumber"/>
              <w:caps w:val="0"/>
              <w:noProof/>
            </w:rPr>
            <w:t>ix</w:t>
          </w:r>
          <w:r w:rsidRPr="007448F7">
            <w:rPr>
              <w:rStyle w:val="PageNumber"/>
              <w:caps w:val="0"/>
            </w:rPr>
            <w:fldChar w:fldCharType="end"/>
          </w:r>
        </w:p>
      </w:tc>
    </w:tr>
  </w:tbl>
  <w:p w14:paraId="03BBE9F8" w14:textId="77777777" w:rsidR="00D21E39" w:rsidRDefault="00D21E39">
    <w:pPr>
      <w:pStyle w:val="FooterEnd"/>
    </w:pPr>
  </w:p>
  <w:p w14:paraId="5B0B8D6F" w14:textId="77777777" w:rsidR="00D21E39" w:rsidRDefault="00D21E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A0E97" w14:textId="77777777" w:rsidR="00EF5206" w:rsidRDefault="00EF5206">
      <w:r>
        <w:separator/>
      </w:r>
    </w:p>
    <w:p w14:paraId="0A8EA9A6" w14:textId="77777777" w:rsidR="00EF5206" w:rsidRDefault="00EF5206"/>
    <w:p w14:paraId="1E0F0346" w14:textId="77777777" w:rsidR="00EF5206" w:rsidRDefault="00EF5206"/>
  </w:footnote>
  <w:footnote w:type="continuationSeparator" w:id="0">
    <w:p w14:paraId="50FB7299" w14:textId="77777777" w:rsidR="00EF5206" w:rsidRDefault="00EF5206">
      <w:r>
        <w:continuationSeparator/>
      </w:r>
    </w:p>
    <w:p w14:paraId="596833E4" w14:textId="77777777" w:rsidR="00EF5206" w:rsidRDefault="00EF5206"/>
    <w:p w14:paraId="0D9BA9A4" w14:textId="77777777" w:rsidR="00EF5206" w:rsidRDefault="00EF5206"/>
  </w:footnote>
  <w:footnote w:type="continuationNotice" w:id="1">
    <w:p w14:paraId="34ACE967" w14:textId="77777777" w:rsidR="00EF5206" w:rsidRDefault="00EF520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3A8FA" w14:textId="55DE3E72" w:rsidR="00F22898" w:rsidRDefault="00F22898">
    <w:pPr>
      <w:pStyle w:val="Header"/>
    </w:pPr>
    <w:r>
      <w:rPr>
        <w:color w:val="FF0000"/>
        <w:sz w:val="14"/>
        <w:szCs w:val="14"/>
      </w:rPr>
      <w:t>draft report: For final outcomes of this project refer to the inquiry report.</w:t>
    </w:r>
    <w:r>
      <w:rPr>
        <w:noProof/>
      </w:rPr>
      <w:pict w14:anchorId="5CB7A3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85" o:spid="_x0000_s23554"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21E39" w14:paraId="34B4BE37" w14:textId="77777777">
      <w:tc>
        <w:tcPr>
          <w:tcW w:w="2155" w:type="dxa"/>
          <w:tcBorders>
            <w:top w:val="single" w:sz="24" w:space="0" w:color="auto"/>
          </w:tcBorders>
        </w:tcPr>
        <w:p w14:paraId="2AC8F66A" w14:textId="586B73C5" w:rsidR="00D21E39" w:rsidRDefault="00F22898">
          <w:pPr>
            <w:pStyle w:val="Header"/>
          </w:pPr>
          <w:r>
            <w:rPr>
              <w:noProof/>
            </w:rPr>
            <w:pict w14:anchorId="20D64D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94" o:spid="_x0000_s23563"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7AA2055D" w14:textId="7B56B220" w:rsidR="00D21E39" w:rsidRDefault="00F22898">
          <w:pPr>
            <w:pStyle w:val="Header"/>
          </w:pPr>
          <w:r>
            <w:rPr>
              <w:color w:val="FF0000"/>
              <w:sz w:val="14"/>
              <w:szCs w:val="14"/>
            </w:rPr>
            <w:t>draft report: For final outcomes of this project refer to the inquiry report.</w:t>
          </w:r>
        </w:p>
      </w:tc>
    </w:tr>
  </w:tbl>
  <w:p w14:paraId="14F2205F" w14:textId="77777777" w:rsidR="00D21E39" w:rsidRDefault="00D21E39">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21E39" w14:paraId="589ABFB0" w14:textId="77777777" w:rsidTr="005C68FE">
      <w:tc>
        <w:tcPr>
          <w:tcW w:w="6634" w:type="dxa"/>
          <w:tcBorders>
            <w:top w:val="single" w:sz="6" w:space="0" w:color="auto"/>
          </w:tcBorders>
        </w:tcPr>
        <w:p w14:paraId="06FA110B" w14:textId="5CF9EF1A" w:rsidR="00D21E39" w:rsidRDefault="00F22898" w:rsidP="005C68FE">
          <w:pPr>
            <w:pStyle w:val="HeaderOdd"/>
          </w:pPr>
          <w:r>
            <w:rPr>
              <w:color w:val="FF0000"/>
              <w:sz w:val="14"/>
              <w:szCs w:val="14"/>
            </w:rPr>
            <w:t>draft report: For final outcomes of this project refer to the inquiry report.</w:t>
          </w:r>
          <w:r>
            <w:rPr>
              <w:noProof/>
            </w:rPr>
            <w:pict w14:anchorId="698445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95" o:spid="_x0000_s23564"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26C8799" w14:textId="77777777" w:rsidR="00D21E39" w:rsidRDefault="00D21E39" w:rsidP="005C68FE">
          <w:pPr>
            <w:pStyle w:val="HeaderOdd"/>
          </w:pPr>
        </w:p>
      </w:tc>
    </w:tr>
  </w:tbl>
  <w:p w14:paraId="43B8AB3D" w14:textId="77777777" w:rsidR="00D21E39" w:rsidRPr="005C68FE" w:rsidRDefault="00D21E39" w:rsidP="005C68FE">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4A56E" w14:textId="57B18B5D" w:rsidR="00F22898" w:rsidRDefault="00F22898">
    <w:pPr>
      <w:pStyle w:val="Header"/>
    </w:pPr>
    <w:r>
      <w:rPr>
        <w:noProof/>
      </w:rPr>
      <w:pict w14:anchorId="50FEBD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93" o:spid="_x0000_s23562"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21E39" w14:paraId="229CA266" w14:textId="77777777" w:rsidTr="005C68FE">
      <w:tc>
        <w:tcPr>
          <w:tcW w:w="2155" w:type="dxa"/>
          <w:tcBorders>
            <w:top w:val="single" w:sz="24" w:space="0" w:color="auto"/>
          </w:tcBorders>
        </w:tcPr>
        <w:p w14:paraId="0C13D5A8" w14:textId="6A9477CC" w:rsidR="00D21E39" w:rsidRDefault="00F22898" w:rsidP="005C68FE">
          <w:pPr>
            <w:pStyle w:val="HeaderEven"/>
          </w:pPr>
          <w:r>
            <w:rPr>
              <w:noProof/>
            </w:rPr>
            <w:pict w14:anchorId="0DE022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97" o:spid="_x0000_s23566"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6FF845DA" w14:textId="47FC753A" w:rsidR="00D21E39" w:rsidRDefault="00F22898" w:rsidP="005C68FE">
          <w:pPr>
            <w:pStyle w:val="HeaderEven"/>
          </w:pPr>
          <w:r>
            <w:rPr>
              <w:color w:val="FF0000"/>
              <w:sz w:val="14"/>
              <w:szCs w:val="14"/>
            </w:rPr>
            <w:t>draft report: For final outcomes of this project refer to the inquiry report.</w:t>
          </w:r>
        </w:p>
      </w:tc>
    </w:tr>
  </w:tbl>
  <w:p w14:paraId="6E0EF39A" w14:textId="77777777" w:rsidR="00D21E39" w:rsidRDefault="00D21E39" w:rsidP="00D732FE">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21E39" w14:paraId="538896E6" w14:textId="77777777">
      <w:tc>
        <w:tcPr>
          <w:tcW w:w="6634" w:type="dxa"/>
          <w:tcBorders>
            <w:top w:val="single" w:sz="6" w:space="0" w:color="auto"/>
          </w:tcBorders>
        </w:tcPr>
        <w:p w14:paraId="0E0DE33C" w14:textId="3B2A18CC" w:rsidR="00D21E39" w:rsidRDefault="00F22898">
          <w:pPr>
            <w:pStyle w:val="HeaderOdd"/>
          </w:pPr>
          <w:r>
            <w:rPr>
              <w:color w:val="FF0000"/>
              <w:sz w:val="14"/>
              <w:szCs w:val="14"/>
            </w:rPr>
            <w:t>draft report: For final outcomes of this project refer to the inquiry report.</w:t>
          </w:r>
          <w:bookmarkStart w:id="9" w:name="_GoBack"/>
          <w:bookmarkEnd w:id="9"/>
          <w:r>
            <w:rPr>
              <w:noProof/>
            </w:rPr>
            <w:pict w14:anchorId="587024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98" o:spid="_x0000_s23567"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5D33AEE" w14:textId="77777777" w:rsidR="00D21E39" w:rsidRDefault="00D21E39">
          <w:pPr>
            <w:pStyle w:val="HeaderOdd"/>
          </w:pPr>
        </w:p>
      </w:tc>
    </w:tr>
  </w:tbl>
  <w:p w14:paraId="3A11D89C" w14:textId="77777777" w:rsidR="00D21E39" w:rsidRDefault="00D21E39"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B0DDA" w14:textId="04D32011" w:rsidR="00F22898" w:rsidRDefault="00F22898">
    <w:pPr>
      <w:pStyle w:val="Header"/>
    </w:pPr>
    <w:r>
      <w:rPr>
        <w:noProof/>
      </w:rPr>
      <w:pict w14:anchorId="5351D1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96" o:spid="_x0000_s23565"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0BAAA" w14:textId="60A3DDCA" w:rsidR="00F22898" w:rsidRDefault="00F22898">
    <w:pPr>
      <w:pStyle w:val="Header"/>
    </w:pPr>
    <w:r>
      <w:rPr>
        <w:noProof/>
      </w:rPr>
      <w:pict w14:anchorId="7E06A9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86" o:spid="_x0000_s23555"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DC01D" w14:textId="75E82034" w:rsidR="00F22898" w:rsidRDefault="00F22898">
    <w:pPr>
      <w:pStyle w:val="Header"/>
    </w:pPr>
    <w:r>
      <w:rPr>
        <w:noProof/>
      </w:rPr>
      <w:pict w14:anchorId="1AB6E7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84" o:spid="_x0000_s23553"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21E39" w14:paraId="2C0B7E40" w14:textId="77777777">
      <w:tc>
        <w:tcPr>
          <w:tcW w:w="2155" w:type="dxa"/>
          <w:tcBorders>
            <w:top w:val="single" w:sz="24" w:space="0" w:color="auto"/>
          </w:tcBorders>
        </w:tcPr>
        <w:p w14:paraId="413C88B0" w14:textId="4ADC2CF8" w:rsidR="00D21E39" w:rsidRDefault="00F22898">
          <w:pPr>
            <w:pStyle w:val="Header"/>
          </w:pPr>
          <w:r>
            <w:rPr>
              <w:noProof/>
            </w:rPr>
            <w:pict w14:anchorId="0328AF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88" o:spid="_x0000_s23557"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4A54A35A" w14:textId="77777777" w:rsidR="00D21E39" w:rsidRDefault="00D21E39">
          <w:pPr>
            <w:pStyle w:val="Header"/>
          </w:pPr>
        </w:p>
      </w:tc>
    </w:tr>
  </w:tbl>
  <w:p w14:paraId="4FF72CD3" w14:textId="77777777" w:rsidR="00D21E39" w:rsidRDefault="00D21E3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21E39" w14:paraId="6A9F47EC" w14:textId="77777777" w:rsidTr="005C68FE">
      <w:tc>
        <w:tcPr>
          <w:tcW w:w="6634" w:type="dxa"/>
          <w:tcBorders>
            <w:top w:val="single" w:sz="6" w:space="0" w:color="auto"/>
          </w:tcBorders>
        </w:tcPr>
        <w:p w14:paraId="2C151DEA" w14:textId="4A0E7B9F" w:rsidR="00D21E39" w:rsidRDefault="00F22898" w:rsidP="005C68FE">
          <w:pPr>
            <w:pStyle w:val="HeaderOdd"/>
          </w:pPr>
          <w:r>
            <w:rPr>
              <w:color w:val="FF0000"/>
              <w:sz w:val="14"/>
              <w:szCs w:val="14"/>
            </w:rPr>
            <w:t>draft report: For final outcomes of this project refer to the inquiry report.</w:t>
          </w:r>
          <w:r>
            <w:rPr>
              <w:noProof/>
            </w:rPr>
            <w:pict w14:anchorId="4649C7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89" o:spid="_x0000_s23558"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41295B45" w14:textId="77777777" w:rsidR="00D21E39" w:rsidRDefault="00D21E39" w:rsidP="005C68FE">
          <w:pPr>
            <w:pStyle w:val="HeaderOdd"/>
          </w:pPr>
        </w:p>
      </w:tc>
    </w:tr>
  </w:tbl>
  <w:p w14:paraId="7B970B1D" w14:textId="77777777" w:rsidR="00D21E39" w:rsidRPr="005C68FE" w:rsidRDefault="00D21E39"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6BA0B" w14:textId="67D9C10B" w:rsidR="00F22898" w:rsidRDefault="00F22898">
    <w:pPr>
      <w:pStyle w:val="Header"/>
    </w:pPr>
    <w:r>
      <w:rPr>
        <w:noProof/>
      </w:rPr>
      <w:pict w14:anchorId="23C216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87" o:spid="_x0000_s23556"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21E39" w14:paraId="6DCFEECF" w14:textId="77777777">
      <w:tc>
        <w:tcPr>
          <w:tcW w:w="2155" w:type="dxa"/>
          <w:tcBorders>
            <w:top w:val="single" w:sz="24" w:space="0" w:color="auto"/>
          </w:tcBorders>
        </w:tcPr>
        <w:p w14:paraId="46176A78" w14:textId="406FD96D" w:rsidR="00D21E39" w:rsidRDefault="00F22898">
          <w:pPr>
            <w:pStyle w:val="Header"/>
          </w:pPr>
          <w:r>
            <w:rPr>
              <w:noProof/>
            </w:rPr>
            <w:pict w14:anchorId="2691BF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91" o:spid="_x0000_s23560"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14:paraId="0B5C4501" w14:textId="28A9654B" w:rsidR="00D21E39" w:rsidRDefault="00F22898">
          <w:pPr>
            <w:pStyle w:val="Header"/>
          </w:pPr>
          <w:r>
            <w:rPr>
              <w:color w:val="FF0000"/>
              <w:sz w:val="14"/>
              <w:szCs w:val="14"/>
            </w:rPr>
            <w:t>draft report: For final outcomes of this project refer to the inquiry report.</w:t>
          </w:r>
        </w:p>
      </w:tc>
    </w:tr>
  </w:tbl>
  <w:p w14:paraId="5D0964EC" w14:textId="77777777" w:rsidR="00D21E39" w:rsidRDefault="00D21E39">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21E39" w14:paraId="6CE86C4A" w14:textId="77777777">
      <w:tc>
        <w:tcPr>
          <w:tcW w:w="6634" w:type="dxa"/>
          <w:tcBorders>
            <w:top w:val="single" w:sz="6" w:space="0" w:color="auto"/>
          </w:tcBorders>
        </w:tcPr>
        <w:p w14:paraId="3CB9446B" w14:textId="059FC29F" w:rsidR="00D21E39" w:rsidRDefault="00F22898" w:rsidP="00D21E39">
          <w:pPr>
            <w:pStyle w:val="HeaderOdd"/>
          </w:pPr>
          <w:r>
            <w:rPr>
              <w:color w:val="FF0000"/>
              <w:sz w:val="14"/>
              <w:szCs w:val="14"/>
            </w:rPr>
            <w:t>draft report: For final outcomes of this project refer to the inquiry report.</w:t>
          </w:r>
          <w:r>
            <w:rPr>
              <w:noProof/>
            </w:rPr>
            <w:pict w14:anchorId="4D09E1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92" o:spid="_x0000_s23561"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14:paraId="2A8289AD" w14:textId="77777777" w:rsidR="00D21E39" w:rsidRDefault="00D21E39" w:rsidP="00D21E39">
          <w:pPr>
            <w:pStyle w:val="HeaderOdd"/>
          </w:pPr>
        </w:p>
      </w:tc>
    </w:tr>
  </w:tbl>
  <w:p w14:paraId="2B8F46CC" w14:textId="77777777" w:rsidR="00D21E39" w:rsidRDefault="00D21E39" w:rsidP="00D21E39">
    <w:pPr>
      <w:pStyle w:val="HeaderEnd"/>
    </w:pPr>
  </w:p>
  <w:p w14:paraId="329BD9F3" w14:textId="77777777" w:rsidR="00D21E39" w:rsidRPr="00D01645" w:rsidRDefault="00D21E39" w:rsidP="00D21E39">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C79C7C" w14:textId="3E3CAA46" w:rsidR="00F22898" w:rsidRDefault="00F22898">
    <w:pPr>
      <w:pStyle w:val="Header"/>
    </w:pPr>
    <w:r>
      <w:rPr>
        <w:noProof/>
      </w:rPr>
      <w:pict w14:anchorId="302CB5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311890" o:spid="_x0000_s23559"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3568"/>
    <o:shapelayout v:ext="edit">
      <o:idmap v:ext="edit" data="23"/>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672"/>
    <w:rsid w:val="00006803"/>
    <w:rsid w:val="00017AFC"/>
    <w:rsid w:val="00025878"/>
    <w:rsid w:val="00026B38"/>
    <w:rsid w:val="00031564"/>
    <w:rsid w:val="00044241"/>
    <w:rsid w:val="000502D3"/>
    <w:rsid w:val="00052CB2"/>
    <w:rsid w:val="000623BF"/>
    <w:rsid w:val="000779EB"/>
    <w:rsid w:val="00095EEA"/>
    <w:rsid w:val="00097C15"/>
    <w:rsid w:val="000A0A0E"/>
    <w:rsid w:val="000A5E12"/>
    <w:rsid w:val="000B07D6"/>
    <w:rsid w:val="000B416E"/>
    <w:rsid w:val="000F185F"/>
    <w:rsid w:val="000F2F5F"/>
    <w:rsid w:val="00106041"/>
    <w:rsid w:val="0010611E"/>
    <w:rsid w:val="00117280"/>
    <w:rsid w:val="00122FE9"/>
    <w:rsid w:val="001240E9"/>
    <w:rsid w:val="00131572"/>
    <w:rsid w:val="00131D4F"/>
    <w:rsid w:val="0013399B"/>
    <w:rsid w:val="00174F3B"/>
    <w:rsid w:val="00180515"/>
    <w:rsid w:val="00181F4B"/>
    <w:rsid w:val="0018325A"/>
    <w:rsid w:val="00190919"/>
    <w:rsid w:val="00196FB3"/>
    <w:rsid w:val="001A5071"/>
    <w:rsid w:val="001B4E73"/>
    <w:rsid w:val="001B7170"/>
    <w:rsid w:val="001B7F1E"/>
    <w:rsid w:val="001D4B1F"/>
    <w:rsid w:val="001D6629"/>
    <w:rsid w:val="001E3390"/>
    <w:rsid w:val="001F2270"/>
    <w:rsid w:val="00203B40"/>
    <w:rsid w:val="00205A82"/>
    <w:rsid w:val="00211BEE"/>
    <w:rsid w:val="002179C6"/>
    <w:rsid w:val="00261607"/>
    <w:rsid w:val="0026333B"/>
    <w:rsid w:val="00263DD1"/>
    <w:rsid w:val="00264D3B"/>
    <w:rsid w:val="00265685"/>
    <w:rsid w:val="00271B0C"/>
    <w:rsid w:val="00281D5F"/>
    <w:rsid w:val="002923AD"/>
    <w:rsid w:val="00296592"/>
    <w:rsid w:val="002A0A4B"/>
    <w:rsid w:val="002A499E"/>
    <w:rsid w:val="002B636E"/>
    <w:rsid w:val="002B64D6"/>
    <w:rsid w:val="002C12F5"/>
    <w:rsid w:val="002D6FCE"/>
    <w:rsid w:val="00306641"/>
    <w:rsid w:val="00340511"/>
    <w:rsid w:val="003553A7"/>
    <w:rsid w:val="0038647D"/>
    <w:rsid w:val="00393A49"/>
    <w:rsid w:val="003B41E0"/>
    <w:rsid w:val="003C0D93"/>
    <w:rsid w:val="003C3D73"/>
    <w:rsid w:val="003D624D"/>
    <w:rsid w:val="003E7802"/>
    <w:rsid w:val="004028DA"/>
    <w:rsid w:val="0042007A"/>
    <w:rsid w:val="00433C81"/>
    <w:rsid w:val="00446D6B"/>
    <w:rsid w:val="00457B3F"/>
    <w:rsid w:val="00463022"/>
    <w:rsid w:val="00481CF0"/>
    <w:rsid w:val="004A76A3"/>
    <w:rsid w:val="004B492A"/>
    <w:rsid w:val="004C0B0C"/>
    <w:rsid w:val="004D3F58"/>
    <w:rsid w:val="004D4E4D"/>
    <w:rsid w:val="004E52E2"/>
    <w:rsid w:val="004E6BB4"/>
    <w:rsid w:val="004E7D3C"/>
    <w:rsid w:val="00515D43"/>
    <w:rsid w:val="00523CF7"/>
    <w:rsid w:val="0052544D"/>
    <w:rsid w:val="00526B19"/>
    <w:rsid w:val="00551FB8"/>
    <w:rsid w:val="005537F6"/>
    <w:rsid w:val="00560F43"/>
    <w:rsid w:val="005654D0"/>
    <w:rsid w:val="00585B3F"/>
    <w:rsid w:val="005B17AB"/>
    <w:rsid w:val="005C68FE"/>
    <w:rsid w:val="005F7D30"/>
    <w:rsid w:val="00602523"/>
    <w:rsid w:val="00602B25"/>
    <w:rsid w:val="006040CB"/>
    <w:rsid w:val="00604351"/>
    <w:rsid w:val="00607D8A"/>
    <w:rsid w:val="0061590F"/>
    <w:rsid w:val="00627FA0"/>
    <w:rsid w:val="00636497"/>
    <w:rsid w:val="00641AE2"/>
    <w:rsid w:val="0064456A"/>
    <w:rsid w:val="00650DDA"/>
    <w:rsid w:val="0065126A"/>
    <w:rsid w:val="00653FA6"/>
    <w:rsid w:val="00674C40"/>
    <w:rsid w:val="0067557D"/>
    <w:rsid w:val="006802D4"/>
    <w:rsid w:val="00683849"/>
    <w:rsid w:val="00691AB5"/>
    <w:rsid w:val="006A75A0"/>
    <w:rsid w:val="006E05D4"/>
    <w:rsid w:val="006E1E6B"/>
    <w:rsid w:val="006F0EAC"/>
    <w:rsid w:val="006F1151"/>
    <w:rsid w:val="006F6A85"/>
    <w:rsid w:val="0070328D"/>
    <w:rsid w:val="00713A02"/>
    <w:rsid w:val="00731F96"/>
    <w:rsid w:val="00734127"/>
    <w:rsid w:val="00735FEA"/>
    <w:rsid w:val="00743460"/>
    <w:rsid w:val="00743A27"/>
    <w:rsid w:val="007448F7"/>
    <w:rsid w:val="00753DC6"/>
    <w:rsid w:val="0075578C"/>
    <w:rsid w:val="00755DBC"/>
    <w:rsid w:val="00766DFB"/>
    <w:rsid w:val="007734B5"/>
    <w:rsid w:val="007809B8"/>
    <w:rsid w:val="007813A6"/>
    <w:rsid w:val="007F52F6"/>
    <w:rsid w:val="00805FD7"/>
    <w:rsid w:val="00806E54"/>
    <w:rsid w:val="008206EE"/>
    <w:rsid w:val="008214B1"/>
    <w:rsid w:val="008273A9"/>
    <w:rsid w:val="00836ED7"/>
    <w:rsid w:val="0084355E"/>
    <w:rsid w:val="008453AC"/>
    <w:rsid w:val="00852D06"/>
    <w:rsid w:val="00860D09"/>
    <w:rsid w:val="00862044"/>
    <w:rsid w:val="00880BF7"/>
    <w:rsid w:val="0089269F"/>
    <w:rsid w:val="00893072"/>
    <w:rsid w:val="008A2133"/>
    <w:rsid w:val="008A3857"/>
    <w:rsid w:val="008A728F"/>
    <w:rsid w:val="008B2205"/>
    <w:rsid w:val="008C08EF"/>
    <w:rsid w:val="008C305F"/>
    <w:rsid w:val="008C3AD2"/>
    <w:rsid w:val="008C7C3D"/>
    <w:rsid w:val="008D1343"/>
    <w:rsid w:val="008D6F66"/>
    <w:rsid w:val="008E1BEA"/>
    <w:rsid w:val="008E242D"/>
    <w:rsid w:val="008E43D2"/>
    <w:rsid w:val="008E5248"/>
    <w:rsid w:val="008F04C9"/>
    <w:rsid w:val="008F7C50"/>
    <w:rsid w:val="008F7DB7"/>
    <w:rsid w:val="009064D3"/>
    <w:rsid w:val="00915300"/>
    <w:rsid w:val="00933B0C"/>
    <w:rsid w:val="00935676"/>
    <w:rsid w:val="0098401D"/>
    <w:rsid w:val="00991042"/>
    <w:rsid w:val="009A2C0A"/>
    <w:rsid w:val="009A789F"/>
    <w:rsid w:val="009B12EF"/>
    <w:rsid w:val="009B48F7"/>
    <w:rsid w:val="009B6185"/>
    <w:rsid w:val="009C6C6D"/>
    <w:rsid w:val="009E1E78"/>
    <w:rsid w:val="00A143A3"/>
    <w:rsid w:val="00A1597D"/>
    <w:rsid w:val="00A46989"/>
    <w:rsid w:val="00A469AA"/>
    <w:rsid w:val="00A540A7"/>
    <w:rsid w:val="00A71CE9"/>
    <w:rsid w:val="00A72A19"/>
    <w:rsid w:val="00A75A30"/>
    <w:rsid w:val="00A862BC"/>
    <w:rsid w:val="00A93C82"/>
    <w:rsid w:val="00A97672"/>
    <w:rsid w:val="00AB2A48"/>
    <w:rsid w:val="00AC3236"/>
    <w:rsid w:val="00AD4874"/>
    <w:rsid w:val="00AE1F8A"/>
    <w:rsid w:val="00B036B2"/>
    <w:rsid w:val="00B04D19"/>
    <w:rsid w:val="00B153C3"/>
    <w:rsid w:val="00B22087"/>
    <w:rsid w:val="00B722F2"/>
    <w:rsid w:val="00B80355"/>
    <w:rsid w:val="00B8425B"/>
    <w:rsid w:val="00B87BDB"/>
    <w:rsid w:val="00B90958"/>
    <w:rsid w:val="00B95339"/>
    <w:rsid w:val="00BA04A3"/>
    <w:rsid w:val="00BA0B81"/>
    <w:rsid w:val="00BB334E"/>
    <w:rsid w:val="00BB5DCF"/>
    <w:rsid w:val="00BC2476"/>
    <w:rsid w:val="00BF59EA"/>
    <w:rsid w:val="00BF79CD"/>
    <w:rsid w:val="00C014EE"/>
    <w:rsid w:val="00C058AB"/>
    <w:rsid w:val="00C0721B"/>
    <w:rsid w:val="00C34C8C"/>
    <w:rsid w:val="00C50792"/>
    <w:rsid w:val="00C51371"/>
    <w:rsid w:val="00C55A45"/>
    <w:rsid w:val="00C73AE4"/>
    <w:rsid w:val="00C904D9"/>
    <w:rsid w:val="00C94C06"/>
    <w:rsid w:val="00CA48BF"/>
    <w:rsid w:val="00CB3ACC"/>
    <w:rsid w:val="00CB4745"/>
    <w:rsid w:val="00CD2163"/>
    <w:rsid w:val="00CD4FE7"/>
    <w:rsid w:val="00CD5E6B"/>
    <w:rsid w:val="00CE4FBC"/>
    <w:rsid w:val="00CE5D96"/>
    <w:rsid w:val="00CE7344"/>
    <w:rsid w:val="00CF04CB"/>
    <w:rsid w:val="00CF26EE"/>
    <w:rsid w:val="00D0205A"/>
    <w:rsid w:val="00D21E39"/>
    <w:rsid w:val="00D310F0"/>
    <w:rsid w:val="00D37AC2"/>
    <w:rsid w:val="00D500A9"/>
    <w:rsid w:val="00D61180"/>
    <w:rsid w:val="00D64121"/>
    <w:rsid w:val="00D64ADA"/>
    <w:rsid w:val="00D64DC5"/>
    <w:rsid w:val="00D67119"/>
    <w:rsid w:val="00D732FE"/>
    <w:rsid w:val="00D74E25"/>
    <w:rsid w:val="00D772E9"/>
    <w:rsid w:val="00D82E10"/>
    <w:rsid w:val="00D94152"/>
    <w:rsid w:val="00D969AE"/>
    <w:rsid w:val="00DA31AB"/>
    <w:rsid w:val="00DA3281"/>
    <w:rsid w:val="00DA6D3E"/>
    <w:rsid w:val="00DA6D57"/>
    <w:rsid w:val="00DC02E8"/>
    <w:rsid w:val="00DC75C7"/>
    <w:rsid w:val="00DC78D3"/>
    <w:rsid w:val="00DD1077"/>
    <w:rsid w:val="00DF00FE"/>
    <w:rsid w:val="00DF4592"/>
    <w:rsid w:val="00E15FDC"/>
    <w:rsid w:val="00E2651B"/>
    <w:rsid w:val="00E30DDB"/>
    <w:rsid w:val="00E35A26"/>
    <w:rsid w:val="00E51781"/>
    <w:rsid w:val="00E6632E"/>
    <w:rsid w:val="00E90CF2"/>
    <w:rsid w:val="00EC38C1"/>
    <w:rsid w:val="00EC628B"/>
    <w:rsid w:val="00ED0F61"/>
    <w:rsid w:val="00EE3F6D"/>
    <w:rsid w:val="00EE73E1"/>
    <w:rsid w:val="00EF5206"/>
    <w:rsid w:val="00EF68E2"/>
    <w:rsid w:val="00F048E7"/>
    <w:rsid w:val="00F12107"/>
    <w:rsid w:val="00F13165"/>
    <w:rsid w:val="00F17BB6"/>
    <w:rsid w:val="00F22898"/>
    <w:rsid w:val="00F40FF1"/>
    <w:rsid w:val="00F4234E"/>
    <w:rsid w:val="00F61429"/>
    <w:rsid w:val="00F7477E"/>
    <w:rsid w:val="00F85393"/>
    <w:rsid w:val="00FA4A24"/>
    <w:rsid w:val="00FB5A5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68"/>
    <o:shapelayout v:ext="edit">
      <o:idmap v:ext="edit" data="1"/>
    </o:shapelayout>
  </w:shapeDefaults>
  <w:decimalSymbol w:val="."/>
  <w:listSeparator w:val=","/>
  <w14:docId w14:val="67D42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976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97672"/>
    <w:rPr>
      <w:kern w:val="28"/>
      <w:sz w:val="52"/>
      <w:lang w:eastAsia="en-US"/>
    </w:rPr>
  </w:style>
  <w:style w:type="character" w:customStyle="1" w:styleId="Heading3Char">
    <w:name w:val="Heading 3 Char"/>
    <w:basedOn w:val="DefaultParagraphFont"/>
    <w:link w:val="Heading3"/>
    <w:rsid w:val="00A97672"/>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976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97672"/>
    <w:rPr>
      <w:kern w:val="28"/>
      <w:sz w:val="52"/>
      <w:lang w:eastAsia="en-US"/>
    </w:rPr>
  </w:style>
  <w:style w:type="character" w:customStyle="1" w:styleId="Heading3Char">
    <w:name w:val="Heading 3 Char"/>
    <w:basedOn w:val="DefaultParagraphFont"/>
    <w:link w:val="Heading3"/>
    <w:rsid w:val="00A97672"/>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header" Target="header6.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8.xml"/><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6.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header" Target="header13.xml"/><Relationship Id="rId40" Type="http://schemas.openxmlformats.org/officeDocument/2006/relationships/footer" Target="footer1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settings" Target="settings.xml"/><Relationship Id="rId19" Type="http://schemas.openxmlformats.org/officeDocument/2006/relationships/footer" Target="footer2.xml"/><Relationship Id="rId31" Type="http://schemas.openxmlformats.org/officeDocument/2006/relationships/header" Target="header9.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raft Report" ma:contentTypeID="0x01010066EDC8E18BFE9C418F00295EA55D44EA00BA3B488308C3EB48A95A5109EDB0030600940D660FDE8E234BAD4E4D0890B413FD" ma:contentTypeVersion="0" ma:contentTypeDescription="" ma:contentTypeScope="" ma:versionID="537cc73db38499e2219f88ae43ebf675">
  <xsd:schema xmlns:xsd="http://www.w3.org/2001/XMLSchema" xmlns:xs="http://www.w3.org/2001/XMLSchema" xmlns:p="http://schemas.microsoft.com/office/2006/metadata/properties" targetNamespace="http://schemas.microsoft.com/office/2006/metadata/properties" ma:root="true" ma:fieldsID="35d2ceaebb5480c207606bbce77fe6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customXsn xmlns="http://schemas.microsoft.com/office/2006/metadata/customXsn">
  <xsnLocation/>
  <cached>True</cached>
  <openByDefault>False</openByDefault>
  <xsnScope/>
</customXs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76AF47B-2FD8-4852-8DC4-D6493E6B15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182C740-F75D-4691-BAF5-14E5B32DB13A}">
  <ds:schemaRefs>
    <ds:schemaRef ds:uri="http://schemas.microsoft.com/office/2006/metadata/customXsn"/>
  </ds:schemaRefs>
</ds:datastoreItem>
</file>

<file path=customXml/itemProps3.xml><?xml version="1.0" encoding="utf-8"?>
<ds:datastoreItem xmlns:ds="http://schemas.openxmlformats.org/officeDocument/2006/customXml" ds:itemID="{3436EF8D-80EA-4C68-BAC6-691A7AE1A259}">
  <ds:schemaRefs>
    <ds:schemaRef ds:uri="http://www.w3.org/XML/1998/namespace"/>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DA4CAEA9-DBFC-4E9F-A388-9FE11460BA0D}">
  <ds:schemaRefs>
    <ds:schemaRef ds:uri="http://schemas.microsoft.com/sharepoint/events"/>
  </ds:schemaRefs>
</ds:datastoreItem>
</file>

<file path=customXml/itemProps5.xml><?xml version="1.0" encoding="utf-8"?>
<ds:datastoreItem xmlns:ds="http://schemas.openxmlformats.org/officeDocument/2006/customXml" ds:itemID="{928228C2-1C77-4EE3-9999-ABB5D9DF9E6D}">
  <ds:schemaRefs>
    <ds:schemaRef ds:uri="http://schemas.microsoft.com/sharepoint/v3/contenttype/forms"/>
  </ds:schemaRefs>
</ds:datastoreItem>
</file>

<file path=customXml/itemProps6.xml><?xml version="1.0" encoding="utf-8"?>
<ds:datastoreItem xmlns:ds="http://schemas.openxmlformats.org/officeDocument/2006/customXml" ds:itemID="{570C4701-2E17-43E1-9D0A-1598F5FC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11</Pages>
  <Words>1639</Words>
  <Characters>9348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Business Set-up, Transfer and Closure</vt:lpstr>
    </vt:vector>
  </TitlesOfParts>
  <Company>Productivity Commission</Company>
  <LinksUpToDate>false</LinksUpToDate>
  <CharactersWithSpaces>10966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Set-up, Transfer and Closure</dc:title>
  <dc:creator>Productivity Commission</dc:creator>
  <cp:lastModifiedBy>Productivity Commission</cp:lastModifiedBy>
  <cp:revision>2</cp:revision>
  <cp:lastPrinted>2009-07-15T23:41:00Z</cp:lastPrinted>
  <dcterms:created xsi:type="dcterms:W3CDTF">2016-06-29T05:17:00Z</dcterms:created>
  <dcterms:modified xsi:type="dcterms:W3CDTF">2016-06-29T05:17:00Z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0x01010066EDC8E18BFE9C418F00295EA55D44EA00BA3B488308C3EB48A95A5109EDB0030600940D660FDE8E234BAD4E4D0890B413FD</vt:lpwstr>
  </property>
  <property fmtid="{D5CDD505-2E9C-101B-9397-08002B2CF9AE}" pid="3" name="RecordPoint_WorkflowType">
    <vt:lpwstr>ActiveSubmitStub</vt:lpwstr>
  </property>
  <property fmtid="{D5CDD505-2E9C-101B-9397-08002B2CF9AE}" pid="4" name="RecordPoint_ActiveItemSiteId">
    <vt:lpwstr>{5750d626-0aa0-474c-a55f-8063909d4906}</vt:lpwstr>
  </property>
  <property fmtid="{D5CDD505-2E9C-101B-9397-08002B2CF9AE}" pid="5" name="RecordPoint_ActiveItemListId">
    <vt:lpwstr>{2e9c25a5-ebed-43bf-8f12-710576002e73}</vt:lpwstr>
  </property>
  <property fmtid="{D5CDD505-2E9C-101B-9397-08002B2CF9AE}" pid="6" name="RecordPoint_ActiveItemUniqueId">
    <vt:lpwstr>{4fc8364b-dcae-429f-a6e6-de43e2971a9d}</vt:lpwstr>
  </property>
  <property fmtid="{D5CDD505-2E9C-101B-9397-08002B2CF9AE}" pid="7" name="RecordPoint_ActiveItemWebId">
    <vt:lpwstr>{7f4cf430-939c-4e86-a306-e6be23f89472}</vt:lpwstr>
  </property>
  <property fmtid="{D5CDD505-2E9C-101B-9397-08002B2CF9AE}" pid="8" name="IconOverlay">
    <vt:lpwstr/>
  </property>
  <property fmtid="{D5CDD505-2E9C-101B-9397-08002B2CF9AE}" pid="9" name="RecordPoint_RecordNumberSubmitted">
    <vt:lpwstr>R0000013889</vt:lpwstr>
  </property>
  <property fmtid="{D5CDD505-2E9C-101B-9397-08002B2CF9AE}" pid="10" name="RecordPoint_SubmissionCompleted">
    <vt:lpwstr>2015-05-14T14:34:18.7541102+10:00</vt:lpwstr>
  </property>
  <property fmtid="{D5CDD505-2E9C-101B-9397-08002B2CF9AE}" pid="11" name="RecordPoint_SubmissionDate">
    <vt:lpwstr/>
  </property>
  <property fmtid="{D5CDD505-2E9C-101B-9397-08002B2CF9AE}" pid="12" name="RecordPoint_ActiveItemMoved">
    <vt:lpwstr/>
  </property>
  <property fmtid="{D5CDD505-2E9C-101B-9397-08002B2CF9AE}" pid="13" name="RecordPoint_RecordFormat">
    <vt:lpwstr/>
  </property>
</Properties>
</file>