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BE91F4" w14:textId="77777777" w:rsidR="00DB125A" w:rsidRPr="00DB125A" w:rsidRDefault="00DB125A" w:rsidP="00CD5E6B">
      <w:pPr>
        <w:pStyle w:val="BodyText"/>
        <w:rPr>
          <w:rStyle w:val="Heading1Char"/>
          <w:color w:val="FFFFFF" w:themeColor="background1"/>
          <w:sz w:val="16"/>
          <w:szCs w:val="16"/>
        </w:rPr>
      </w:pPr>
      <w:r w:rsidRPr="00DB125A">
        <w:rPr>
          <w:rStyle w:val="Heading1Char"/>
          <w:noProof/>
          <w:color w:val="FFFFFF" w:themeColor="background1"/>
          <w:sz w:val="16"/>
          <w:szCs w:val="16"/>
          <w:lang w:eastAsia="en-AU"/>
        </w:rPr>
        <w:drawing>
          <wp:anchor distT="0" distB="0" distL="114300" distR="114300" simplePos="0" relativeHeight="251658240" behindDoc="0" locked="0" layoutInCell="1" allowOverlap="1" wp14:anchorId="3934994A" wp14:editId="2D84349F">
            <wp:simplePos x="1152525" y="981075"/>
            <wp:positionH relativeFrom="page">
              <wp:align>center</wp:align>
            </wp:positionH>
            <wp:positionV relativeFrom="page">
              <wp:align>center</wp:align>
            </wp:positionV>
            <wp:extent cx="7563600" cy="10742400"/>
            <wp:effectExtent l="0" t="0" r="0" b="1905"/>
            <wp:wrapNone/>
            <wp:docPr id="5" name="Picture 5" descr="Business Set-up, Transfer and Closure&#10;Productivity Commission Inquiry Report&#10;No. 75, 30 September 201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bcover-business-setup.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563600" cy="10742400"/>
                    </a:xfrm>
                    <a:prstGeom prst="rect">
                      <a:avLst/>
                    </a:prstGeom>
                  </pic:spPr>
                </pic:pic>
              </a:graphicData>
            </a:graphic>
            <wp14:sizeRelH relativeFrom="margin">
              <wp14:pctWidth>0</wp14:pctWidth>
            </wp14:sizeRelH>
            <wp14:sizeRelV relativeFrom="margin">
              <wp14:pctHeight>0</wp14:pctHeight>
            </wp14:sizeRelV>
          </wp:anchor>
        </w:drawing>
      </w:r>
      <w:r w:rsidRPr="00DB125A">
        <w:rPr>
          <w:rStyle w:val="Heading1Char"/>
          <w:color w:val="FFFFFF" w:themeColor="background1"/>
          <w:sz w:val="16"/>
          <w:szCs w:val="16"/>
        </w:rPr>
        <w:t>Business</w:t>
      </w:r>
      <w:r w:rsidRPr="00DB125A">
        <w:rPr>
          <w:color w:val="FFFFFF" w:themeColor="background1"/>
          <w:sz w:val="16"/>
          <w:szCs w:val="16"/>
        </w:rPr>
        <w:t xml:space="preserve"> </w:t>
      </w:r>
      <w:r w:rsidRPr="00DB125A">
        <w:rPr>
          <w:rStyle w:val="Heading1Char"/>
          <w:color w:val="FFFFFF" w:themeColor="background1"/>
          <w:sz w:val="16"/>
          <w:szCs w:val="16"/>
        </w:rPr>
        <w:t>Set-up, Transfer and Closure</w:t>
      </w:r>
    </w:p>
    <w:p w14:paraId="28F3DF8B" w14:textId="05F73394" w:rsidR="00DB125A" w:rsidRPr="00DB125A" w:rsidRDefault="00DB125A" w:rsidP="00CD5E6B">
      <w:pPr>
        <w:pStyle w:val="BodyText"/>
        <w:rPr>
          <w:rStyle w:val="Heading1Char"/>
          <w:color w:val="FFFFFF" w:themeColor="background1"/>
          <w:sz w:val="16"/>
          <w:szCs w:val="16"/>
        </w:rPr>
      </w:pPr>
      <w:r w:rsidRPr="00DB125A">
        <w:rPr>
          <w:rStyle w:val="Heading1Char"/>
          <w:color w:val="FFFFFF" w:themeColor="background1"/>
          <w:sz w:val="16"/>
          <w:szCs w:val="16"/>
        </w:rPr>
        <w:t>Productivity Commission Inquiry Report</w:t>
      </w:r>
    </w:p>
    <w:p w14:paraId="2ED39490" w14:textId="77827161" w:rsidR="00DB125A" w:rsidRPr="00DB125A" w:rsidRDefault="00DB125A" w:rsidP="00CD5E6B">
      <w:pPr>
        <w:pStyle w:val="BodyText"/>
        <w:rPr>
          <w:color w:val="FFFFFF" w:themeColor="background1"/>
          <w:sz w:val="16"/>
          <w:szCs w:val="16"/>
        </w:rPr>
      </w:pPr>
      <w:r w:rsidRPr="00DB125A">
        <w:rPr>
          <w:rStyle w:val="Heading1Char"/>
          <w:color w:val="FFFFFF" w:themeColor="background1"/>
          <w:sz w:val="16"/>
          <w:szCs w:val="16"/>
        </w:rPr>
        <w:t>No. 75, 30 September 2015</w:t>
      </w:r>
    </w:p>
    <w:p w14:paraId="7480818B" w14:textId="77777777" w:rsidR="00DB125A" w:rsidRDefault="00DB125A" w:rsidP="00CD5E6B">
      <w:pPr>
        <w:pStyle w:val="BodyText"/>
      </w:pPr>
    </w:p>
    <w:p w14:paraId="20FE3AD2" w14:textId="71F238F8" w:rsidR="00B04D19" w:rsidRDefault="00B04D19" w:rsidP="00CD5E6B">
      <w:pPr>
        <w:pStyle w:val="BodyText"/>
        <w:rPr>
          <w:b/>
          <w:szCs w:val="26"/>
        </w:rPr>
      </w:pPr>
      <w:r>
        <w:br w:type="page"/>
      </w:r>
    </w:p>
    <w:p w14:paraId="54235451" w14:textId="77777777"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w:t>
      </w:r>
      <w:r w:rsidR="000779EB">
        <w:t>5</w:t>
      </w:r>
    </w:p>
    <w:p w14:paraId="6A6692F2" w14:textId="752F9C50" w:rsidR="00146615" w:rsidRPr="007809B8" w:rsidRDefault="00146615">
      <w:pPr>
        <w:pStyle w:val="BodyText"/>
        <w:tabs>
          <w:tab w:val="left" w:pos="851"/>
        </w:tabs>
        <w:spacing w:before="200" w:after="120"/>
        <w:jc w:val="left"/>
        <w:rPr>
          <w:b/>
        </w:rPr>
      </w:pPr>
      <w:bookmarkStart w:id="0" w:name="ISSN"/>
      <w:bookmarkEnd w:id="0"/>
      <w:r>
        <w:rPr>
          <w:b/>
        </w:rPr>
        <w:t>ISSN</w:t>
      </w:r>
      <w:r>
        <w:rPr>
          <w:b/>
        </w:rPr>
        <w:tab/>
      </w:r>
      <w:r w:rsidR="007D4D26" w:rsidRPr="007D4D26">
        <w:rPr>
          <w:b/>
        </w:rPr>
        <w:t>1447-1329 (</w:t>
      </w:r>
      <w:r w:rsidR="00571702">
        <w:rPr>
          <w:b/>
        </w:rPr>
        <w:t>P</w:t>
      </w:r>
      <w:r w:rsidR="007D4D26" w:rsidRPr="007D4D26">
        <w:rPr>
          <w:b/>
        </w:rPr>
        <w:t>rint)</w:t>
      </w:r>
      <w:r w:rsidR="007D4D26">
        <w:rPr>
          <w:color w:val="44546A"/>
        </w:rPr>
        <w:br/>
      </w:r>
      <w:r w:rsidR="007D4D26">
        <w:rPr>
          <w:b/>
        </w:rPr>
        <w:t>ISSN</w:t>
      </w:r>
      <w:r w:rsidR="007D4D26">
        <w:rPr>
          <w:b/>
        </w:rPr>
        <w:tab/>
      </w:r>
      <w:r w:rsidR="00571702">
        <w:rPr>
          <w:b/>
        </w:rPr>
        <w:t>1447-1337 (O</w:t>
      </w:r>
      <w:r w:rsidR="007D4D26" w:rsidRPr="007D4D26">
        <w:rPr>
          <w:b/>
        </w:rPr>
        <w:t>nline)</w:t>
      </w:r>
      <w:r>
        <w:rPr>
          <w:b/>
        </w:rPr>
        <w:br/>
        <w:t>ISBN</w:t>
      </w:r>
      <w:r>
        <w:rPr>
          <w:b/>
        </w:rPr>
        <w:tab/>
      </w:r>
      <w:r w:rsidR="00571702" w:rsidRPr="007D4D26">
        <w:rPr>
          <w:b/>
        </w:rPr>
        <w:t>978-1-74037-559-7 (P</w:t>
      </w:r>
      <w:r w:rsidR="00571702">
        <w:rPr>
          <w:b/>
        </w:rPr>
        <w:t>rint</w:t>
      </w:r>
      <w:r w:rsidR="00571702" w:rsidRPr="007D4D26">
        <w:t>)</w:t>
      </w:r>
      <w:r w:rsidR="00571702">
        <w:rPr>
          <w:b/>
        </w:rPr>
        <w:t xml:space="preserve"> </w:t>
      </w:r>
      <w:r>
        <w:rPr>
          <w:b/>
        </w:rPr>
        <w:br/>
        <w:t>ISBN</w:t>
      </w:r>
      <w:r>
        <w:rPr>
          <w:b/>
        </w:rPr>
        <w:tab/>
      </w:r>
      <w:r w:rsidR="00571702" w:rsidRPr="007D4D26">
        <w:rPr>
          <w:b/>
        </w:rPr>
        <w:t>978-1-74037-558-0</w:t>
      </w:r>
      <w:r w:rsidR="00571702">
        <w:rPr>
          <w:b/>
        </w:rPr>
        <w:t xml:space="preserve"> (PDF)</w:t>
      </w:r>
    </w:p>
    <w:p w14:paraId="7C2040DA" w14:textId="77777777" w:rsidR="008A3857" w:rsidRDefault="008A3857" w:rsidP="008E242D">
      <w:pPr>
        <w:pStyle w:val="BodyText"/>
        <w:spacing w:after="120"/>
      </w:pPr>
      <w:r w:rsidRPr="00862D8F">
        <w:rPr>
          <w:noProof/>
          <w:sz w:val="22"/>
          <w:szCs w:val="22"/>
        </w:rPr>
        <w:drawing>
          <wp:inline distT="0" distB="0" distL="0" distR="0" wp14:anchorId="229D4199" wp14:editId="05EA4FD2">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14:paraId="7C64DD75" w14:textId="77777777" w:rsidR="008A3857" w:rsidRPr="008A3857" w:rsidRDefault="008A3857" w:rsidP="00BA0B81">
      <w:pPr>
        <w:pStyle w:val="Copyrightbodytext"/>
      </w:pPr>
      <w:r w:rsidRPr="008A3857">
        <w:t xml:space="preserve">Except for the Commonwealth Coat of Arms and content supplied by third parties, this copyright work is licensed under a Creative Commons Attribution 3.0 Australia licence. To view a copy of this licence, visit </w:t>
      </w:r>
      <w:hyperlink r:id="rId16" w:history="1">
        <w:hyperlink r:id="rId17" w:history="1">
          <w:r w:rsidRPr="00805FD7">
            <w:t>http://creativecommons.org/licenses/by/3.0/au</w:t>
          </w:r>
        </w:hyperlink>
      </w:hyperlink>
      <w:r w:rsidRPr="008A3857">
        <w:rPr>
          <w:sz w:val="24"/>
          <w:szCs w:val="24"/>
        </w:rPr>
        <w:t>.</w:t>
      </w:r>
      <w:r w:rsidRPr="008A3857">
        <w:t xml:space="preserve"> In essence, you are free to copy, communicate and adapt the work, as long as you attribute the work to the Productivity Commission (but not in any way that suggests the Commission endorses you or your use) and abide by the other licence terms.</w:t>
      </w:r>
    </w:p>
    <w:p w14:paraId="4490D1DB" w14:textId="77777777" w:rsidR="008A3857" w:rsidRPr="008A3857" w:rsidRDefault="008A3857" w:rsidP="008A3857">
      <w:pPr>
        <w:pStyle w:val="Copyrightsubtitle"/>
      </w:pPr>
      <w:r w:rsidRPr="008A3857">
        <w:t>Use of the Commonwealth Coat of Arms</w:t>
      </w:r>
    </w:p>
    <w:p w14:paraId="02CF9E3F" w14:textId="77777777" w:rsidR="008A3857" w:rsidRPr="008A3857" w:rsidRDefault="008A3857" w:rsidP="00BA0B81">
      <w:pPr>
        <w:pStyle w:val="Copyrightbodytext"/>
      </w:pPr>
      <w:r w:rsidRPr="008A3857">
        <w:t>For terms of use of the Coat of Arms visit the ‘</w:t>
      </w:r>
      <w:hyperlink r:id="rId18" w:history="1">
        <w:r w:rsidRPr="00805FD7">
          <w:t>It’s an Honour</w:t>
        </w:r>
      </w:hyperlink>
      <w:r w:rsidRPr="008A3857">
        <w:t>’ website</w:t>
      </w:r>
      <w:r w:rsidR="00122FE9" w:rsidRPr="00BA0B81">
        <w:t>:</w:t>
      </w:r>
      <w:r w:rsidRPr="00BA0B81">
        <w:t xml:space="preserve"> </w:t>
      </w:r>
      <w:hyperlink r:id="rId19" w:history="1">
        <w:r w:rsidR="00BA0B81" w:rsidRPr="00805FD7">
          <w:t>http://</w:t>
        </w:r>
        <w:proofErr w:type="spellStart"/>
        <w:r w:rsidR="00BA0B81" w:rsidRPr="00805FD7">
          <w:t>www.itsanhonour.gov.au</w:t>
        </w:r>
        <w:proofErr w:type="spellEnd"/>
      </w:hyperlink>
    </w:p>
    <w:p w14:paraId="71F688A3" w14:textId="77777777" w:rsidR="008A3857" w:rsidRPr="008A3857" w:rsidRDefault="008A3857" w:rsidP="008A3857">
      <w:pPr>
        <w:pStyle w:val="Copyrightsubtitle"/>
      </w:pPr>
      <w:r w:rsidRPr="008A3857">
        <w:t>Third party copyright</w:t>
      </w:r>
    </w:p>
    <w:p w14:paraId="19E4C670" w14:textId="77777777" w:rsidR="008A3857" w:rsidRPr="008A3857" w:rsidRDefault="008A3857" w:rsidP="00BA0B81">
      <w:pPr>
        <w:pStyle w:val="Copyrightbodytext"/>
      </w:pPr>
      <w:r w:rsidRPr="008A3857">
        <w:t>Wherever a third party holds copyright in this material, the copyright remains with that party. Their permission may be required to use the material, please contact them directly.</w:t>
      </w:r>
    </w:p>
    <w:p w14:paraId="789D6C68" w14:textId="77777777" w:rsidR="008A3857" w:rsidRPr="008A3857" w:rsidRDefault="008A3857" w:rsidP="008A3857">
      <w:pPr>
        <w:pStyle w:val="Copyrightsubtitle"/>
      </w:pPr>
      <w:r w:rsidRPr="008A3857">
        <w:t>Attribution</w:t>
      </w:r>
    </w:p>
    <w:p w14:paraId="4A54DB0D" w14:textId="77777777" w:rsidR="0028360E" w:rsidRDefault="008A3857" w:rsidP="00BA0B81">
      <w:pPr>
        <w:pStyle w:val="Copyrightbodytext"/>
      </w:pPr>
      <w:r w:rsidRPr="008A3857">
        <w:t>This work should be attributed as follows</w:t>
      </w:r>
      <w:r w:rsidR="0028360E">
        <w:t>:</w:t>
      </w:r>
      <w:r w:rsidRPr="008A3857">
        <w:t xml:space="preserve"> </w:t>
      </w:r>
    </w:p>
    <w:p w14:paraId="34645292" w14:textId="77777777" w:rsidR="008A3857" w:rsidRPr="008A3857" w:rsidRDefault="008A3857" w:rsidP="007D4D26">
      <w:pPr>
        <w:pStyle w:val="Copyrightbodytext"/>
        <w:spacing w:before="0"/>
      </w:pPr>
      <w:r w:rsidRPr="008E242D">
        <w:rPr>
          <w:i/>
        </w:rPr>
        <w:t xml:space="preserve">Source: Productivity Commission, </w:t>
      </w:r>
      <w:r w:rsidR="00146615">
        <w:rPr>
          <w:i/>
        </w:rPr>
        <w:t>Business Set-up, Transfer and Closure</w:t>
      </w:r>
      <w:r w:rsidRPr="008A3857">
        <w:t>.</w:t>
      </w:r>
    </w:p>
    <w:p w14:paraId="07C08482" w14:textId="77777777" w:rsidR="0028360E" w:rsidRDefault="008A3857" w:rsidP="00BA0B81">
      <w:pPr>
        <w:pStyle w:val="Copyrightbodytext"/>
        <w:spacing w:before="120"/>
      </w:pPr>
      <w:r w:rsidRPr="008A3857">
        <w:t>If you have adapted, modified or transformed this work in anyway, please use the following</w:t>
      </w:r>
      <w:r w:rsidR="0028360E">
        <w:t>:</w:t>
      </w:r>
      <w:r w:rsidRPr="008A3857">
        <w:t xml:space="preserve"> </w:t>
      </w:r>
    </w:p>
    <w:p w14:paraId="7FA81E0E" w14:textId="77777777" w:rsidR="008A3857" w:rsidRPr="008A3857" w:rsidRDefault="008A3857" w:rsidP="007D4D26">
      <w:pPr>
        <w:pStyle w:val="Copyrightbodytext"/>
        <w:spacing w:before="0"/>
      </w:pPr>
      <w:r w:rsidRPr="008E242D">
        <w:rPr>
          <w:i/>
        </w:rPr>
        <w:t>Source: based on Productivity Commission</w:t>
      </w:r>
      <w:r w:rsidR="00122FE9">
        <w:rPr>
          <w:i/>
        </w:rPr>
        <w:t xml:space="preserve"> </w:t>
      </w:r>
      <w:r w:rsidRPr="008E242D">
        <w:rPr>
          <w:i/>
        </w:rPr>
        <w:t>data</w:t>
      </w:r>
      <w:r w:rsidR="008E242D" w:rsidRPr="008E242D">
        <w:rPr>
          <w:i/>
        </w:rPr>
        <w:t xml:space="preserve">, </w:t>
      </w:r>
      <w:r w:rsidR="00146615">
        <w:rPr>
          <w:i/>
        </w:rPr>
        <w:t>Business Set-up, Transfer and Closure</w:t>
      </w:r>
      <w:r w:rsidRPr="008A3857">
        <w:t>.</w:t>
      </w:r>
    </w:p>
    <w:p w14:paraId="6F95ED14" w14:textId="77777777"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14:paraId="65B50AFB" w14:textId="77777777" w:rsidR="008A3857" w:rsidRPr="008A3857" w:rsidRDefault="00146615" w:rsidP="008A3857">
      <w:pPr>
        <w:pStyle w:val="Copyrightbodytext"/>
      </w:pPr>
      <w:r>
        <w:t xml:space="preserve">Productivity Commission 2015, </w:t>
      </w:r>
      <w:r>
        <w:rPr>
          <w:i/>
        </w:rPr>
        <w:t>Business Set-up, Transfer and Closure</w:t>
      </w:r>
      <w:r>
        <w:t xml:space="preserve">, Final </w:t>
      </w:r>
      <w:r w:rsidRPr="007D4D26">
        <w:t xml:space="preserve">Report </w:t>
      </w:r>
      <w:r w:rsidR="007D4D26" w:rsidRPr="007D4D26">
        <w:t>75,</w:t>
      </w:r>
      <w:r w:rsidRPr="007D4D26">
        <w:t xml:space="preserve"> </w:t>
      </w:r>
      <w:r>
        <w:t>Canberra</w:t>
      </w:r>
      <w:r w:rsidR="007D4D26">
        <w:t>.</w:t>
      </w:r>
    </w:p>
    <w:p w14:paraId="6D731C9E" w14:textId="77777777" w:rsidR="008A3857" w:rsidRPr="008A3857" w:rsidRDefault="008A3857" w:rsidP="008A3857">
      <w:pPr>
        <w:pStyle w:val="Copyrightsubtitle"/>
      </w:pPr>
      <w:bookmarkStart w:id="1" w:name="JEL"/>
      <w:bookmarkEnd w:id="1"/>
      <w:r w:rsidRPr="008A3857">
        <w:t>Publications enquiries</w:t>
      </w:r>
    </w:p>
    <w:p w14:paraId="741DC6A4" w14:textId="77777777" w:rsidR="00E30DDB" w:rsidRDefault="008A3857" w:rsidP="00EC38C1">
      <w:pPr>
        <w:pStyle w:val="Copyrightbodytext"/>
      </w:pPr>
      <w:r w:rsidRPr="008A3857">
        <w:t xml:space="preserve">Media and Publications, </w:t>
      </w:r>
      <w:r w:rsidR="00EC38C1">
        <w:rPr>
          <w:szCs w:val="24"/>
        </w:rPr>
        <w:t>phone:</w:t>
      </w:r>
      <w:r w:rsidR="00EC38C1" w:rsidRPr="00BB5DCF">
        <w:rPr>
          <w:szCs w:val="24"/>
        </w:rPr>
        <w:t xml:space="preserve"> (03) 9653 2244 or email: </w:t>
      </w:r>
      <w:proofErr w:type="spellStart"/>
      <w:r w:rsidR="00EC38C1" w:rsidRPr="00BB5DCF">
        <w:rPr>
          <w:szCs w:val="24"/>
        </w:rPr>
        <w:t>maps@pc.gov.au</w:t>
      </w:r>
      <w:proofErr w:type="spellEnd"/>
    </w:p>
    <w:p w14:paraId="355A7B56" w14:textId="77777777" w:rsidR="008A3857" w:rsidRDefault="008A3857" w:rsidP="008A385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A3857" w14:paraId="3C48682E" w14:textId="77777777" w:rsidTr="00F539EF">
        <w:tc>
          <w:tcPr>
            <w:tcW w:w="8771" w:type="dxa"/>
            <w:tcBorders>
              <w:top w:val="single" w:sz="6" w:space="0" w:color="78A22F"/>
              <w:left w:val="nil"/>
              <w:bottom w:val="nil"/>
              <w:right w:val="nil"/>
            </w:tcBorders>
            <w:shd w:val="clear" w:color="auto" w:fill="F2F2F2" w:themeFill="background1" w:themeFillShade="F2"/>
          </w:tcPr>
          <w:p w14:paraId="6B3A7286" w14:textId="77777777" w:rsidR="008A3857" w:rsidRPr="008A3857" w:rsidRDefault="008A3857" w:rsidP="00F539EF">
            <w:pPr>
              <w:pStyle w:val="BoxTitle"/>
              <w:rPr>
                <w:sz w:val="22"/>
                <w:szCs w:val="22"/>
              </w:rPr>
            </w:pPr>
            <w:r w:rsidRPr="008A3857">
              <w:rPr>
                <w:sz w:val="22"/>
                <w:szCs w:val="22"/>
              </w:rPr>
              <w:t>The Productivity Commission</w:t>
            </w:r>
          </w:p>
        </w:tc>
      </w:tr>
      <w:tr w:rsidR="008A3857" w14:paraId="2771EA67" w14:textId="77777777" w:rsidTr="00F539EF">
        <w:trPr>
          <w:cantSplit/>
        </w:trPr>
        <w:tc>
          <w:tcPr>
            <w:tcW w:w="8771" w:type="dxa"/>
            <w:tcBorders>
              <w:top w:val="nil"/>
              <w:left w:val="nil"/>
              <w:bottom w:val="nil"/>
              <w:right w:val="nil"/>
            </w:tcBorders>
            <w:shd w:val="clear" w:color="auto" w:fill="F2F2F2" w:themeFill="background1" w:themeFillShade="F2"/>
          </w:tcPr>
          <w:p w14:paraId="40D17CF6" w14:textId="77777777" w:rsidR="008A3857" w:rsidRDefault="008A3857" w:rsidP="00F539EF">
            <w:pPr>
              <w:pStyle w:val="Box"/>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14:paraId="3FB3B173" w14:textId="77777777" w:rsidR="008A3857" w:rsidRDefault="008A3857" w:rsidP="00F539EF">
            <w:pPr>
              <w:pStyle w:val="Box"/>
            </w:pPr>
            <w:r w:rsidRPr="00BB5DCF">
              <w:t>The Commission’s independence is underpinned by an Act of Parliament. Its processes and outputs are open to public scrutiny and are driven by concern for the wellbeing of the community as a whole.</w:t>
            </w:r>
          </w:p>
          <w:p w14:paraId="6BAB5893" w14:textId="77777777" w:rsidR="008A3857" w:rsidRDefault="008A3857" w:rsidP="00EC38C1">
            <w:pPr>
              <w:pStyle w:val="Box"/>
            </w:pPr>
            <w:r w:rsidRPr="00BB5DCF">
              <w:rPr>
                <w:szCs w:val="24"/>
              </w:rPr>
              <w:t>Further information on the Productivity Commission can be obtained from the Commission’s website (</w:t>
            </w:r>
            <w:hyperlink r:id="rId20" w:history="1">
              <w:r w:rsidRPr="00805FD7">
                <w:t>www.pc.gov.au</w:t>
              </w:r>
            </w:hyperlink>
            <w:r w:rsidRPr="00BB5DCF">
              <w:rPr>
                <w:szCs w:val="24"/>
              </w:rPr>
              <w:t>)</w:t>
            </w:r>
            <w:r w:rsidR="00EC38C1">
              <w:rPr>
                <w:szCs w:val="24"/>
              </w:rPr>
              <w:t>.</w:t>
            </w:r>
          </w:p>
        </w:tc>
      </w:tr>
      <w:tr w:rsidR="008A3857" w14:paraId="4BD99D84" w14:textId="77777777" w:rsidTr="00F539EF">
        <w:trPr>
          <w:cantSplit/>
        </w:trPr>
        <w:tc>
          <w:tcPr>
            <w:tcW w:w="8771" w:type="dxa"/>
            <w:tcBorders>
              <w:top w:val="nil"/>
              <w:left w:val="nil"/>
              <w:bottom w:val="single" w:sz="6" w:space="0" w:color="78A22F"/>
              <w:right w:val="nil"/>
            </w:tcBorders>
            <w:shd w:val="clear" w:color="auto" w:fill="F2F2F2" w:themeFill="background1" w:themeFillShade="F2"/>
          </w:tcPr>
          <w:p w14:paraId="583A3394" w14:textId="77777777" w:rsidR="008A3857" w:rsidRDefault="008A3857" w:rsidP="00F539EF">
            <w:pPr>
              <w:pStyle w:val="Box"/>
              <w:spacing w:before="0" w:line="120" w:lineRule="exact"/>
            </w:pPr>
          </w:p>
        </w:tc>
      </w:tr>
    </w:tbl>
    <w:p w14:paraId="767CA83E" w14:textId="77777777" w:rsidR="00146615" w:rsidRDefault="00146615" w:rsidP="00146615">
      <w:pPr>
        <w:pStyle w:val="BodyText"/>
      </w:pPr>
      <w:bookmarkStart w:id="2" w:name="cov"/>
      <w:bookmarkEnd w:id="2"/>
      <w:r>
        <w:br w:type="page"/>
      </w:r>
    </w:p>
    <w:tbl>
      <w:tblPr>
        <w:tblW w:w="9073" w:type="dxa"/>
        <w:tblInd w:w="-34" w:type="dxa"/>
        <w:tblLayout w:type="fixed"/>
        <w:tblLook w:val="0000" w:firstRow="0" w:lastRow="0" w:firstColumn="0" w:lastColumn="0" w:noHBand="0" w:noVBand="0"/>
      </w:tblPr>
      <w:tblGrid>
        <w:gridCol w:w="2434"/>
        <w:gridCol w:w="1824"/>
        <w:gridCol w:w="1696"/>
        <w:gridCol w:w="3119"/>
      </w:tblGrid>
      <w:tr w:rsidR="00146615" w14:paraId="6A56D0E1" w14:textId="77777777" w:rsidTr="00F539EF">
        <w:trPr>
          <w:cantSplit/>
          <w:trHeight w:hRule="exact" w:val="996"/>
        </w:trPr>
        <w:tc>
          <w:tcPr>
            <w:tcW w:w="2434" w:type="dxa"/>
          </w:tcPr>
          <w:p w14:paraId="274F43D1" w14:textId="77777777" w:rsidR="00146615" w:rsidRPr="00205C77" w:rsidRDefault="00146615">
            <w:pPr>
              <w:pStyle w:val="PCAddress"/>
              <w:ind w:left="709"/>
              <w:rPr>
                <w:rFonts w:ascii="Goudy Old Style" w:hAnsi="Goudy Old Style"/>
                <w:b/>
                <w:i/>
              </w:rPr>
            </w:pPr>
          </w:p>
        </w:tc>
        <w:tc>
          <w:tcPr>
            <w:tcW w:w="1824" w:type="dxa"/>
          </w:tcPr>
          <w:p w14:paraId="26E974FB" w14:textId="77777777" w:rsidR="00146615" w:rsidRPr="00205C77" w:rsidRDefault="00146615">
            <w:pPr>
              <w:pStyle w:val="PCAddress"/>
              <w:ind w:left="709"/>
              <w:rPr>
                <w:rFonts w:ascii="Goudy Old Style" w:hAnsi="Goudy Old Style"/>
                <w:b/>
                <w:i/>
              </w:rPr>
            </w:pPr>
          </w:p>
        </w:tc>
        <w:tc>
          <w:tcPr>
            <w:tcW w:w="4815" w:type="dxa"/>
            <w:gridSpan w:val="2"/>
          </w:tcPr>
          <w:p w14:paraId="653982AB" w14:textId="77777777" w:rsidR="00146615" w:rsidRPr="00205C77" w:rsidRDefault="00146615" w:rsidP="00F539EF">
            <w:pPr>
              <w:pStyle w:val="PCAddress"/>
              <w:ind w:left="709" w:right="176"/>
              <w:jc w:val="right"/>
              <w:rPr>
                <w:rFonts w:ascii="Goudy Old Style" w:hAnsi="Goudy Old Style"/>
                <w:b/>
                <w:i/>
              </w:rPr>
            </w:pPr>
            <w:r w:rsidRPr="00205C77">
              <w:rPr>
                <w:rFonts w:ascii="Goudy Old Style" w:hAnsi="Goudy Old Style"/>
                <w:noProof/>
                <w:sz w:val="20"/>
              </w:rPr>
              <w:drawing>
                <wp:inline distT="0" distB="0" distL="0" distR="0" wp14:anchorId="0904D879" wp14:editId="19F161BE">
                  <wp:extent cx="2057400" cy="600075"/>
                  <wp:effectExtent l="0" t="0" r="0" b="9525"/>
                  <wp:docPr id="1" name="Picture 1" descr="PC_i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C_inline"/>
                          <pic:cNvPicPr>
                            <a:picLocks noChangeAspect="1" noChangeArrowheads="1"/>
                          </pic:cNvPicPr>
                        </pic:nvPicPr>
                        <pic:blipFill>
                          <a:blip r:embed="rId21" cstate="print">
                            <a:extLst>
                              <a:ext uri="{28A0092B-C50C-407E-A947-70E740481C1C}">
                                <a14:useLocalDpi xmlns:a14="http://schemas.microsoft.com/office/drawing/2010/main" val="0"/>
                              </a:ext>
                            </a:extLst>
                          </a:blip>
                          <a:srcRect r="2438"/>
                          <a:stretch>
                            <a:fillRect/>
                          </a:stretch>
                        </pic:blipFill>
                        <pic:spPr bwMode="auto">
                          <a:xfrm>
                            <a:off x="0" y="0"/>
                            <a:ext cx="2057400" cy="600075"/>
                          </a:xfrm>
                          <a:prstGeom prst="rect">
                            <a:avLst/>
                          </a:prstGeom>
                          <a:noFill/>
                          <a:ln>
                            <a:noFill/>
                          </a:ln>
                        </pic:spPr>
                      </pic:pic>
                    </a:graphicData>
                  </a:graphic>
                </wp:inline>
              </w:drawing>
            </w:r>
          </w:p>
        </w:tc>
      </w:tr>
      <w:tr w:rsidR="00146615" w14:paraId="2FD2C5ED" w14:textId="77777777" w:rsidTr="00F539EF">
        <w:trPr>
          <w:cantSplit/>
          <w:trHeight w:hRule="exact" w:val="2793"/>
        </w:trPr>
        <w:tc>
          <w:tcPr>
            <w:tcW w:w="5954" w:type="dxa"/>
            <w:gridSpan w:val="3"/>
            <w:vAlign w:val="bottom"/>
          </w:tcPr>
          <w:p w14:paraId="1F98441F" w14:textId="45CBEF54" w:rsidR="00146615" w:rsidRPr="00E61DA2" w:rsidRDefault="005B40BA" w:rsidP="00560735">
            <w:pPr>
              <w:pStyle w:val="LetterDate"/>
              <w:ind w:left="0"/>
            </w:pPr>
            <w:r>
              <w:t>30</w:t>
            </w:r>
            <w:r w:rsidR="00146615">
              <w:t xml:space="preserve"> September</w:t>
            </w:r>
            <w:r w:rsidR="007D1B41">
              <w:t xml:space="preserve"> 2015</w:t>
            </w:r>
          </w:p>
        </w:tc>
        <w:tc>
          <w:tcPr>
            <w:tcW w:w="3119" w:type="dxa"/>
            <w:vAlign w:val="center"/>
          </w:tcPr>
          <w:p w14:paraId="2F7A20D2" w14:textId="77777777" w:rsidR="00146615" w:rsidRPr="00205C77" w:rsidRDefault="007D1B41">
            <w:pPr>
              <w:pStyle w:val="PCAddress"/>
              <w:ind w:left="709"/>
              <w:rPr>
                <w:rFonts w:ascii="Goudy Old Style" w:hAnsi="Goudy Old Style"/>
                <w:b/>
                <w:i/>
              </w:rPr>
            </w:pPr>
            <w:r>
              <w:rPr>
                <w:rFonts w:ascii="Goudy Old Style" w:hAnsi="Goudy Old Style"/>
                <w:b/>
                <w:i/>
              </w:rPr>
              <w:t>Canberra</w:t>
            </w:r>
            <w:r w:rsidR="00146615" w:rsidRPr="00205C77">
              <w:rPr>
                <w:rFonts w:ascii="Goudy Old Style" w:hAnsi="Goudy Old Style"/>
                <w:b/>
                <w:i/>
              </w:rPr>
              <w:t xml:space="preserve"> Office</w:t>
            </w:r>
          </w:p>
          <w:p w14:paraId="7B49DDAB" w14:textId="77777777" w:rsidR="00146615" w:rsidRPr="00205C77" w:rsidRDefault="007D1B41">
            <w:pPr>
              <w:pStyle w:val="PCAddress"/>
              <w:spacing w:after="0"/>
              <w:ind w:left="709"/>
              <w:rPr>
                <w:rFonts w:ascii="Goudy Old Style" w:hAnsi="Goudy Old Style"/>
              </w:rPr>
            </w:pPr>
            <w:r>
              <w:rPr>
                <w:rFonts w:ascii="Goudy Old Style" w:hAnsi="Goudy Old Style"/>
              </w:rPr>
              <w:t xml:space="preserve">Level </w:t>
            </w:r>
            <w:r w:rsidR="00146615" w:rsidRPr="00205C77">
              <w:rPr>
                <w:rFonts w:ascii="Goudy Old Style" w:hAnsi="Goudy Old Style"/>
              </w:rPr>
              <w:t xml:space="preserve">2, </w:t>
            </w:r>
            <w:r>
              <w:rPr>
                <w:rFonts w:ascii="Goudy Old Style" w:hAnsi="Goudy Old Style"/>
              </w:rPr>
              <w:t>15 Moore Street</w:t>
            </w:r>
          </w:p>
          <w:p w14:paraId="5BC9F0F7" w14:textId="77777777" w:rsidR="00146615" w:rsidRPr="00205C77" w:rsidRDefault="007D1B41">
            <w:pPr>
              <w:pStyle w:val="PCAddress"/>
              <w:ind w:left="709"/>
              <w:rPr>
                <w:rFonts w:ascii="Goudy Old Style" w:hAnsi="Goudy Old Style"/>
              </w:rPr>
            </w:pPr>
            <w:r>
              <w:rPr>
                <w:rFonts w:ascii="Goudy Old Style" w:hAnsi="Goudy Old Style"/>
              </w:rPr>
              <w:t>Canberra</w:t>
            </w:r>
            <w:r w:rsidR="00146615" w:rsidRPr="00205C77">
              <w:rPr>
                <w:rFonts w:ascii="Goudy Old Style" w:hAnsi="Goudy Old Style"/>
              </w:rPr>
              <w:t xml:space="preserve">  </w:t>
            </w:r>
            <w:r>
              <w:rPr>
                <w:rFonts w:ascii="Goudy Old Style" w:hAnsi="Goudy Old Style"/>
              </w:rPr>
              <w:t>ACT</w:t>
            </w:r>
            <w:r w:rsidR="00146615" w:rsidRPr="00205C77">
              <w:rPr>
                <w:rFonts w:ascii="Goudy Old Style" w:hAnsi="Goudy Old Style"/>
              </w:rPr>
              <w:t xml:space="preserve">  </w:t>
            </w:r>
            <w:r>
              <w:rPr>
                <w:rFonts w:ascii="Goudy Old Style" w:hAnsi="Goudy Old Style"/>
              </w:rPr>
              <w:t>2600</w:t>
            </w:r>
          </w:p>
          <w:p w14:paraId="6D2E19B5" w14:textId="77777777" w:rsidR="00146615" w:rsidRPr="00205C77" w:rsidRDefault="007D1B41">
            <w:pPr>
              <w:pStyle w:val="PCAddress"/>
              <w:spacing w:after="0"/>
              <w:ind w:left="709"/>
              <w:rPr>
                <w:rFonts w:ascii="Goudy Old Style" w:hAnsi="Goudy Old Style"/>
              </w:rPr>
            </w:pPr>
            <w:r>
              <w:rPr>
                <w:rFonts w:ascii="Goudy Old Style" w:hAnsi="Goudy Old Style"/>
              </w:rPr>
              <w:t>GPO Box 1428</w:t>
            </w:r>
          </w:p>
          <w:p w14:paraId="1C9D16C3" w14:textId="77777777" w:rsidR="00146615" w:rsidRPr="00205C77" w:rsidRDefault="007D1B41">
            <w:pPr>
              <w:pStyle w:val="PCAddress"/>
              <w:ind w:left="709"/>
              <w:rPr>
                <w:rFonts w:ascii="Goudy Old Style" w:hAnsi="Goudy Old Style"/>
              </w:rPr>
            </w:pPr>
            <w:r>
              <w:rPr>
                <w:rFonts w:ascii="Goudy Old Style" w:hAnsi="Goudy Old Style"/>
              </w:rPr>
              <w:t>Canberra</w:t>
            </w:r>
            <w:r w:rsidR="00146615" w:rsidRPr="00205C77">
              <w:rPr>
                <w:rFonts w:ascii="Goudy Old Style" w:hAnsi="Goudy Old Style"/>
              </w:rPr>
              <w:t xml:space="preserve">  </w:t>
            </w:r>
            <w:r>
              <w:rPr>
                <w:rFonts w:ascii="Goudy Old Style" w:hAnsi="Goudy Old Style"/>
              </w:rPr>
              <w:t>ACT</w:t>
            </w:r>
            <w:r w:rsidR="00146615" w:rsidRPr="00205C77">
              <w:rPr>
                <w:rFonts w:ascii="Goudy Old Style" w:hAnsi="Goudy Old Style"/>
              </w:rPr>
              <w:t xml:space="preserve">  </w:t>
            </w:r>
            <w:r>
              <w:rPr>
                <w:rFonts w:ascii="Goudy Old Style" w:hAnsi="Goudy Old Style"/>
              </w:rPr>
              <w:t>2601</w:t>
            </w:r>
          </w:p>
          <w:p w14:paraId="517F00CB" w14:textId="77777777" w:rsidR="00146615" w:rsidRPr="00205C77" w:rsidRDefault="00146615">
            <w:pPr>
              <w:pStyle w:val="PCAddress"/>
              <w:spacing w:after="0"/>
              <w:ind w:left="709"/>
              <w:rPr>
                <w:rFonts w:ascii="Goudy Old Style" w:hAnsi="Goudy Old Style"/>
              </w:rPr>
            </w:pPr>
            <w:r w:rsidRPr="00205C77">
              <w:rPr>
                <w:rFonts w:ascii="Goudy Old Style" w:hAnsi="Goudy Old Style"/>
              </w:rPr>
              <w:t>Telephone</w:t>
            </w:r>
            <w:r w:rsidRPr="00205C77">
              <w:rPr>
                <w:rFonts w:ascii="Goudy Old Style" w:hAnsi="Goudy Old Style"/>
              </w:rPr>
              <w:tab/>
              <w:t>0</w:t>
            </w:r>
            <w:r w:rsidR="007D1B41">
              <w:rPr>
                <w:rFonts w:ascii="Goudy Old Style" w:hAnsi="Goudy Old Style"/>
              </w:rPr>
              <w:t>2</w:t>
            </w:r>
            <w:r w:rsidRPr="00205C77">
              <w:rPr>
                <w:rFonts w:ascii="Goudy Old Style" w:hAnsi="Goudy Old Style"/>
              </w:rPr>
              <w:t xml:space="preserve"> </w:t>
            </w:r>
            <w:r w:rsidR="007D1B41">
              <w:rPr>
                <w:rFonts w:ascii="Goudy Old Style" w:hAnsi="Goudy Old Style"/>
              </w:rPr>
              <w:t>6240 3200</w:t>
            </w:r>
          </w:p>
          <w:p w14:paraId="104E504E" w14:textId="77777777" w:rsidR="00146615" w:rsidRPr="00205C77" w:rsidRDefault="00146615">
            <w:pPr>
              <w:pStyle w:val="PCAddress"/>
              <w:ind w:left="709"/>
              <w:rPr>
                <w:rFonts w:ascii="Goudy Old Style" w:hAnsi="Goudy Old Style"/>
              </w:rPr>
            </w:pPr>
            <w:r w:rsidRPr="00205C77">
              <w:rPr>
                <w:rFonts w:ascii="Goudy Old Style" w:hAnsi="Goudy Old Style"/>
              </w:rPr>
              <w:t>Facsimile</w:t>
            </w:r>
            <w:r w:rsidRPr="00205C77">
              <w:rPr>
                <w:rFonts w:ascii="Goudy Old Style" w:hAnsi="Goudy Old Style"/>
              </w:rPr>
              <w:tab/>
            </w:r>
            <w:r w:rsidR="007D1B41">
              <w:rPr>
                <w:rFonts w:ascii="Goudy Old Style" w:hAnsi="Goudy Old Style"/>
              </w:rPr>
              <w:t>02 6240 3399</w:t>
            </w:r>
          </w:p>
          <w:p w14:paraId="276B6AAC" w14:textId="77777777" w:rsidR="00146615" w:rsidRPr="00205C77" w:rsidRDefault="007D1B41">
            <w:pPr>
              <w:pStyle w:val="PCAddress"/>
              <w:ind w:left="709"/>
              <w:rPr>
                <w:rFonts w:ascii="Goudy Old Style" w:hAnsi="Goudy Old Style"/>
                <w:b/>
                <w:i/>
              </w:rPr>
            </w:pPr>
            <w:r>
              <w:rPr>
                <w:rFonts w:ascii="Goudy Old Style" w:hAnsi="Goudy Old Style"/>
                <w:b/>
                <w:i/>
              </w:rPr>
              <w:t>Melbourne</w:t>
            </w:r>
            <w:r w:rsidR="00146615" w:rsidRPr="00205C77">
              <w:rPr>
                <w:rFonts w:ascii="Goudy Old Style" w:hAnsi="Goudy Old Style"/>
                <w:b/>
                <w:i/>
              </w:rPr>
              <w:t xml:space="preserve"> Office</w:t>
            </w:r>
          </w:p>
          <w:p w14:paraId="5EE81403" w14:textId="77777777" w:rsidR="00146615" w:rsidRPr="00205C77" w:rsidRDefault="00146615">
            <w:pPr>
              <w:pStyle w:val="PCAddress"/>
              <w:ind w:left="709"/>
              <w:rPr>
                <w:rFonts w:ascii="Goudy Old Style" w:hAnsi="Goudy Old Style"/>
              </w:rPr>
            </w:pPr>
            <w:r w:rsidRPr="00205C77">
              <w:rPr>
                <w:rFonts w:ascii="Goudy Old Style" w:hAnsi="Goudy Old Style"/>
              </w:rPr>
              <w:t>Telephone</w:t>
            </w:r>
            <w:r w:rsidRPr="00205C77">
              <w:rPr>
                <w:rFonts w:ascii="Goudy Old Style" w:hAnsi="Goudy Old Style"/>
              </w:rPr>
              <w:tab/>
            </w:r>
            <w:r w:rsidR="007D1B41">
              <w:rPr>
                <w:rFonts w:ascii="Goudy Old Style" w:hAnsi="Goudy Old Style"/>
              </w:rPr>
              <w:t>03 9653 2100</w:t>
            </w:r>
          </w:p>
          <w:p w14:paraId="08549487" w14:textId="77777777" w:rsidR="00146615" w:rsidRPr="00205C77" w:rsidRDefault="00146615" w:rsidP="00F539EF">
            <w:pPr>
              <w:pStyle w:val="PCAddress"/>
              <w:ind w:left="709"/>
              <w:rPr>
                <w:rFonts w:ascii="Goudy Old Style" w:hAnsi="Goudy Old Style"/>
              </w:rPr>
            </w:pPr>
            <w:r w:rsidRPr="00205C77">
              <w:rPr>
                <w:rFonts w:ascii="Goudy Old Style" w:hAnsi="Goudy Old Style"/>
              </w:rPr>
              <w:t>www.pc.gov.au</w:t>
            </w:r>
          </w:p>
        </w:tc>
      </w:tr>
    </w:tbl>
    <w:p w14:paraId="43FFE87E" w14:textId="77777777" w:rsidR="00146615" w:rsidRPr="00C76C25" w:rsidRDefault="00146615" w:rsidP="00F539EF">
      <w:pPr>
        <w:pStyle w:val="LetterAddress"/>
      </w:pPr>
    </w:p>
    <w:p w14:paraId="4B8709FB" w14:textId="77777777" w:rsidR="00146615" w:rsidRDefault="00146615" w:rsidP="00F539EF">
      <w:pPr>
        <w:pStyle w:val="LetterAddress"/>
      </w:pPr>
      <w:r>
        <w:t xml:space="preserve">The </w:t>
      </w:r>
      <w:r w:rsidR="005B294C" w:rsidRPr="005B294C">
        <w:t>Hon Scott Morrison MP</w:t>
      </w:r>
    </w:p>
    <w:p w14:paraId="1696C4B8" w14:textId="77777777" w:rsidR="00146615" w:rsidRDefault="00146615" w:rsidP="00F539EF">
      <w:pPr>
        <w:pStyle w:val="LetterAddress"/>
      </w:pPr>
      <w:r>
        <w:t>Treasurer</w:t>
      </w:r>
    </w:p>
    <w:p w14:paraId="310574DA" w14:textId="77777777" w:rsidR="00146615" w:rsidRDefault="00146615" w:rsidP="00F539EF">
      <w:pPr>
        <w:pStyle w:val="LetterAddress"/>
      </w:pPr>
      <w:r>
        <w:t>Parliament House</w:t>
      </w:r>
    </w:p>
    <w:p w14:paraId="396096E7" w14:textId="77777777" w:rsidR="00146615" w:rsidRDefault="00146615" w:rsidP="00F539EF">
      <w:pPr>
        <w:pStyle w:val="LetterAddress"/>
      </w:pPr>
      <w:r>
        <w:t>CANBERRA ACT 2600</w:t>
      </w:r>
    </w:p>
    <w:p w14:paraId="4989EF3D" w14:textId="77777777" w:rsidR="00317E3C" w:rsidRDefault="00317E3C" w:rsidP="00F539EF">
      <w:pPr>
        <w:pStyle w:val="Salutation"/>
      </w:pPr>
    </w:p>
    <w:p w14:paraId="4BABD066" w14:textId="77777777" w:rsidR="00317E3C" w:rsidRDefault="00317E3C" w:rsidP="00F539EF">
      <w:pPr>
        <w:pStyle w:val="Salutation"/>
      </w:pPr>
    </w:p>
    <w:p w14:paraId="1966BFB6" w14:textId="77777777" w:rsidR="00146615" w:rsidRPr="00C76C25" w:rsidRDefault="00146615" w:rsidP="00F539EF">
      <w:pPr>
        <w:pStyle w:val="Salutation"/>
      </w:pPr>
      <w:r w:rsidRPr="00C76C25">
        <w:t>Dear Treasurer</w:t>
      </w:r>
    </w:p>
    <w:p w14:paraId="15D556C0" w14:textId="77777777" w:rsidR="00146615" w:rsidRPr="0027513F" w:rsidRDefault="00146615" w:rsidP="00F539EF">
      <w:pPr>
        <w:pStyle w:val="BodyText"/>
      </w:pPr>
      <w:r w:rsidRPr="0027513F">
        <w:t xml:space="preserve">In accordance with Section 11 of the </w:t>
      </w:r>
      <w:r w:rsidRPr="00692889">
        <w:rPr>
          <w:i/>
        </w:rPr>
        <w:t>Productivity Commission Act 1998</w:t>
      </w:r>
      <w:r w:rsidRPr="0027513F">
        <w:t xml:space="preserve">, we have pleasure in submitting to you the Commission’s final report into </w:t>
      </w:r>
      <w:r>
        <w:rPr>
          <w:i/>
        </w:rPr>
        <w:t>Business Set-up, Transfer and Closure</w:t>
      </w:r>
      <w:r w:rsidRPr="0027513F">
        <w:t>.</w:t>
      </w:r>
    </w:p>
    <w:p w14:paraId="346DCEFB" w14:textId="77777777" w:rsidR="00146615" w:rsidRDefault="00146615" w:rsidP="008B7615">
      <w:pPr>
        <w:pStyle w:val="Signoff"/>
      </w:pPr>
      <w:r w:rsidRPr="00C76C25">
        <w:t>Yours sincerely</w:t>
      </w:r>
      <w:r w:rsidR="005B40BA" w:rsidRPr="005B40BA">
        <w:rPr>
          <w:snapToGrid w:val="0"/>
          <w:color w:val="000000"/>
          <w:w w:val="0"/>
          <w:sz w:val="0"/>
          <w:szCs w:val="0"/>
          <w:u w:color="000000"/>
          <w:bdr w:val="none" w:sz="0" w:space="0" w:color="000000"/>
          <w:shd w:val="clear" w:color="000000" w:fill="000000"/>
          <w:lang w:val="x-none" w:eastAsia="x-none" w:bidi="x-none"/>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41"/>
        <w:gridCol w:w="1345"/>
        <w:gridCol w:w="4219"/>
      </w:tblGrid>
      <w:tr w:rsidR="008B7615" w14:paraId="65C47002" w14:textId="77777777" w:rsidTr="008B7615">
        <w:trPr>
          <w:trHeight w:val="1814"/>
        </w:trPr>
        <w:tc>
          <w:tcPr>
            <w:tcW w:w="3441" w:type="dxa"/>
            <w:vAlign w:val="bottom"/>
          </w:tcPr>
          <w:p w14:paraId="73AA34BE" w14:textId="77777777" w:rsidR="008B7615" w:rsidRDefault="008B7615" w:rsidP="008B7615">
            <w:pPr>
              <w:pStyle w:val="BodyText"/>
              <w:jc w:val="left"/>
              <w:rPr>
                <w:szCs w:val="25"/>
              </w:rPr>
            </w:pPr>
            <w:r>
              <w:rPr>
                <w:noProof/>
              </w:rPr>
              <w:drawing>
                <wp:inline distT="0" distB="0" distL="0" distR="0" wp14:anchorId="5C3F69F3" wp14:editId="250E288F">
                  <wp:extent cx="1952625" cy="1114425"/>
                  <wp:effectExtent l="0" t="0" r="0" b="9525"/>
                  <wp:docPr id="4" name="Picture 4" descr="Warren Mundy's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bell\AppData\Local\Microsoft\Windows\Temporary Internet Files\Content.Outlook\R5GAVLV0\WM signature (2).png"/>
                          <pic:cNvPicPr>
                            <a:picLocks noChangeAspect="1" noChangeArrowheads="1"/>
                          </pic:cNvPicPr>
                        </pic:nvPicPr>
                        <pic:blipFill rotWithShape="1">
                          <a:blip r:embed="rId22" cstate="print">
                            <a:extLst>
                              <a:ext uri="{28A0092B-C50C-407E-A947-70E740481C1C}">
                                <a14:useLocalDpi xmlns:a14="http://schemas.microsoft.com/office/drawing/2010/main" val="0"/>
                              </a:ext>
                            </a:extLst>
                          </a:blip>
                          <a:srcRect l="30035" b="8440"/>
                          <a:stretch/>
                        </pic:blipFill>
                        <pic:spPr bwMode="auto">
                          <a:xfrm>
                            <a:off x="0" y="0"/>
                            <a:ext cx="1952049" cy="111409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5564" w:type="dxa"/>
            <w:gridSpan w:val="2"/>
            <w:vAlign w:val="bottom"/>
          </w:tcPr>
          <w:p w14:paraId="63B65AC0" w14:textId="77777777" w:rsidR="008B7615" w:rsidRDefault="008B7615" w:rsidP="008B7615">
            <w:pPr>
              <w:pStyle w:val="BodyText"/>
              <w:jc w:val="center"/>
              <w:rPr>
                <w:szCs w:val="25"/>
              </w:rPr>
            </w:pPr>
            <w:r>
              <w:rPr>
                <w:noProof/>
              </w:rPr>
              <w:drawing>
                <wp:inline distT="0" distB="0" distL="0" distR="0" wp14:anchorId="60A85DB7" wp14:editId="3D868573">
                  <wp:extent cx="2314575" cy="1000125"/>
                  <wp:effectExtent l="0" t="0" r="0" b="0"/>
                  <wp:docPr id="3" name="Picture 3" descr="Melinda Cilento's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bell\AppData\Local\Microsoft\Windows\Temporary Internet Files\Content.Outlook\R5GAVLV0\MC signature (2).png"/>
                          <pic:cNvPicPr>
                            <a:picLocks noChangeAspect="1" noChangeArrowheads="1"/>
                          </pic:cNvPicPr>
                        </pic:nvPicPr>
                        <pic:blipFill rotWithShape="1">
                          <a:blip r:embed="rId23" cstate="print">
                            <a:extLst>
                              <a:ext uri="{28A0092B-C50C-407E-A947-70E740481C1C}">
                                <a14:useLocalDpi xmlns:a14="http://schemas.microsoft.com/office/drawing/2010/main" val="0"/>
                              </a:ext>
                            </a:extLst>
                          </a:blip>
                          <a:srcRect l="17065" b="17831"/>
                          <a:stretch/>
                        </pic:blipFill>
                        <pic:spPr bwMode="auto">
                          <a:xfrm>
                            <a:off x="0" y="0"/>
                            <a:ext cx="2313891" cy="999829"/>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146615" w14:paraId="08A56EB4" w14:textId="77777777" w:rsidTr="008B7615">
        <w:trPr>
          <w:trHeight w:val="737"/>
        </w:trPr>
        <w:tc>
          <w:tcPr>
            <w:tcW w:w="3441" w:type="dxa"/>
          </w:tcPr>
          <w:p w14:paraId="3C09EB06" w14:textId="77777777" w:rsidR="00146615" w:rsidRPr="0027513F" w:rsidRDefault="00146615" w:rsidP="008B7615">
            <w:pPr>
              <w:pStyle w:val="BodyText"/>
              <w:spacing w:before="0"/>
              <w:rPr>
                <w:szCs w:val="25"/>
              </w:rPr>
            </w:pPr>
            <w:r>
              <w:rPr>
                <w:szCs w:val="25"/>
              </w:rPr>
              <w:t>Dr Warren Mundy</w:t>
            </w:r>
          </w:p>
          <w:p w14:paraId="638A070A" w14:textId="77777777" w:rsidR="00146615" w:rsidRPr="0027513F" w:rsidRDefault="00146615" w:rsidP="008B7615">
            <w:pPr>
              <w:pStyle w:val="LetterAddress"/>
              <w:rPr>
                <w:szCs w:val="25"/>
              </w:rPr>
            </w:pPr>
            <w:r w:rsidRPr="0027513F">
              <w:rPr>
                <w:szCs w:val="25"/>
              </w:rPr>
              <w:t>Presiding Commissioner</w:t>
            </w:r>
          </w:p>
        </w:tc>
        <w:tc>
          <w:tcPr>
            <w:tcW w:w="1345" w:type="dxa"/>
          </w:tcPr>
          <w:p w14:paraId="413CFDDF" w14:textId="77777777" w:rsidR="00146615" w:rsidRPr="0027513F" w:rsidRDefault="00146615" w:rsidP="008B7615">
            <w:pPr>
              <w:pStyle w:val="LetterAddress"/>
              <w:rPr>
                <w:szCs w:val="25"/>
              </w:rPr>
            </w:pPr>
          </w:p>
        </w:tc>
        <w:tc>
          <w:tcPr>
            <w:tcW w:w="4219" w:type="dxa"/>
          </w:tcPr>
          <w:p w14:paraId="5BE43BC9" w14:textId="77777777" w:rsidR="00146615" w:rsidRPr="0027513F" w:rsidRDefault="00146615" w:rsidP="008B7615">
            <w:pPr>
              <w:pStyle w:val="BodyText"/>
              <w:spacing w:before="0"/>
              <w:rPr>
                <w:szCs w:val="25"/>
              </w:rPr>
            </w:pPr>
            <w:r>
              <w:rPr>
                <w:szCs w:val="25"/>
              </w:rPr>
              <w:t>Melinda Cilento</w:t>
            </w:r>
          </w:p>
          <w:p w14:paraId="5DD67DD0" w14:textId="77777777" w:rsidR="00146615" w:rsidRPr="0027513F" w:rsidRDefault="00146615" w:rsidP="008B7615">
            <w:pPr>
              <w:pStyle w:val="LetterAddress"/>
              <w:rPr>
                <w:szCs w:val="25"/>
              </w:rPr>
            </w:pPr>
            <w:r w:rsidRPr="0027513F">
              <w:rPr>
                <w:szCs w:val="25"/>
              </w:rPr>
              <w:t>Commissioner</w:t>
            </w:r>
          </w:p>
        </w:tc>
      </w:tr>
    </w:tbl>
    <w:p w14:paraId="4D94B692" w14:textId="77777777" w:rsidR="00146615" w:rsidRDefault="00146615"/>
    <w:p w14:paraId="5D2CEE4E" w14:textId="77777777" w:rsidR="00735FEA" w:rsidRDefault="00735FEA">
      <w:pPr>
        <w:pStyle w:val="BodyText"/>
        <w:sectPr w:rsidR="00735FEA" w:rsidSect="00122FE9">
          <w:footerReference w:type="even" r:id="rId24"/>
          <w:type w:val="oddPage"/>
          <w:pgSz w:w="11907" w:h="16840" w:code="9"/>
          <w:pgMar w:top="1304" w:right="1304" w:bottom="567" w:left="1814" w:header="1701" w:footer="397" w:gutter="0"/>
          <w:pgNumType w:fmt="lowerRoman" w:start="1"/>
          <w:cols w:space="720"/>
          <w:titlePg/>
        </w:sectPr>
      </w:pPr>
    </w:p>
    <w:p w14:paraId="01B23F45" w14:textId="77777777" w:rsidR="00146615" w:rsidRDefault="00146615" w:rsidP="00F539EF">
      <w:pPr>
        <w:pStyle w:val="Heading1"/>
      </w:pPr>
      <w:bookmarkStart w:id="3" w:name="_Toc429467362"/>
      <w:r>
        <w:lastRenderedPageBreak/>
        <w:t>Terms of reference</w:t>
      </w:r>
      <w:bookmarkEnd w:id="3"/>
    </w:p>
    <w:p w14:paraId="2E31D9FD" w14:textId="77777777" w:rsidR="00146615" w:rsidRDefault="00146615" w:rsidP="00146615">
      <w:pPr>
        <w:pStyle w:val="BodyText"/>
      </w:pPr>
      <w:r w:rsidRPr="00AF2983">
        <w:t xml:space="preserve">I, Joseph Benedict Hockey, Treasurer, pursuant to Parts 2 and 3 of the </w:t>
      </w:r>
      <w:r w:rsidRPr="00AF2983">
        <w:rPr>
          <w:i/>
          <w:iCs/>
        </w:rPr>
        <w:t>Productivity Commission Act 1998</w:t>
      </w:r>
      <w:r w:rsidRPr="00AF2983">
        <w:t xml:space="preserve">, hereby request that the Productivity Commission (Commission) undertake an inquiry into barriers to business entries and exits and identify options for reducing these barriers where appropriate, in order to drive efficiency and economic growth in the Australian economy. </w:t>
      </w:r>
    </w:p>
    <w:p w14:paraId="498480ED" w14:textId="77777777" w:rsidR="00146615" w:rsidRPr="00AF2983" w:rsidRDefault="00146615" w:rsidP="00146615">
      <w:pPr>
        <w:pStyle w:val="Heading3"/>
      </w:pPr>
      <w:r w:rsidRPr="00AF2983">
        <w:t xml:space="preserve">Background </w:t>
      </w:r>
    </w:p>
    <w:p w14:paraId="7B52CF8C" w14:textId="77777777" w:rsidR="00146615" w:rsidRPr="00AF2983" w:rsidRDefault="00146615" w:rsidP="00146615">
      <w:pPr>
        <w:pStyle w:val="BodyText"/>
      </w:pPr>
      <w:r w:rsidRPr="00AF2983">
        <w:t xml:space="preserve">Firm entry and exit plays an important role in fostering innovation, competition, and thereby driving productivity and economic growth. Competition from new firms, or even the threat of potential entry, forces existing firms to be more efficient. The exit of inefficient firms can provide for greater allocative efficiency as their former resources can be put to higher value uses. </w:t>
      </w:r>
    </w:p>
    <w:p w14:paraId="32F12AB1" w14:textId="77777777" w:rsidR="00146615" w:rsidRPr="00AF2983" w:rsidRDefault="00146615" w:rsidP="00146615">
      <w:pPr>
        <w:pStyle w:val="BodyText"/>
      </w:pPr>
      <w:r w:rsidRPr="00AF2983">
        <w:t xml:space="preserve">Certain barriers to entry and exit have the potential to hinder the efficient operation of markets, with negative consequences for economic growth. Barriers to entry and exit can be a function of market structure, government regulation, industry specific sunk costs or geography. Cultural appetite for risk is also an important determinant of the level of business entry and exit in an economy. </w:t>
      </w:r>
    </w:p>
    <w:p w14:paraId="68FF934D" w14:textId="77777777" w:rsidR="00146615" w:rsidRPr="00AF2983" w:rsidRDefault="00146615" w:rsidP="00146615">
      <w:pPr>
        <w:pStyle w:val="BodyText"/>
      </w:pPr>
      <w:r w:rsidRPr="00AF2983">
        <w:t xml:space="preserve">Business insolvency also results in losses to equity and debt holders, and to employees. Different approaches to managing insolvency can affect the efficient provision of finance and labour. </w:t>
      </w:r>
    </w:p>
    <w:p w14:paraId="2FC2EA5C" w14:textId="77777777" w:rsidR="00146615" w:rsidRPr="00AF2983" w:rsidRDefault="00146615" w:rsidP="00146615">
      <w:pPr>
        <w:pStyle w:val="Heading3"/>
      </w:pPr>
      <w:r>
        <w:t>Scope of the Inquiry</w:t>
      </w:r>
    </w:p>
    <w:p w14:paraId="63A588C9" w14:textId="77777777" w:rsidR="00146615" w:rsidRPr="00AF2983" w:rsidRDefault="00146615" w:rsidP="00146615">
      <w:pPr>
        <w:pStyle w:val="BodyText"/>
      </w:pPr>
      <w:r w:rsidRPr="00AF2983">
        <w:t xml:space="preserve">The Commission is to conduct a broad ranging investigation into barriers to business entries and exits and how or where it might be efficiency-enhancing to reduce such barriers. In undertaking this inquiry, the Commission is to investigate, analyse and propose recommendations on the following: </w:t>
      </w:r>
    </w:p>
    <w:p w14:paraId="607D7E27" w14:textId="77777777" w:rsidR="00146615" w:rsidRPr="00AF2983" w:rsidRDefault="00146615" w:rsidP="00146615">
      <w:pPr>
        <w:pStyle w:val="ListNumber"/>
        <w:numPr>
          <w:ilvl w:val="0"/>
          <w:numId w:val="25"/>
        </w:numPr>
      </w:pPr>
      <w:r w:rsidRPr="00AF2983">
        <w:t xml:space="preserve">The nature and scale/extent of barriers to entry and exit that currently exist for firms and their impact on economic performance. </w:t>
      </w:r>
    </w:p>
    <w:p w14:paraId="495D9707" w14:textId="77777777" w:rsidR="00146615" w:rsidRPr="00AF2983" w:rsidRDefault="00146615" w:rsidP="00146615">
      <w:pPr>
        <w:pStyle w:val="ListNumber2"/>
        <w:numPr>
          <w:ilvl w:val="1"/>
          <w:numId w:val="25"/>
        </w:numPr>
      </w:pPr>
      <w:r w:rsidRPr="00AF2983">
        <w:t xml:space="preserve">Consideration could also be given to the variance in entry and exit rates, for example, between industries, locations, or firm size. </w:t>
      </w:r>
    </w:p>
    <w:p w14:paraId="2677C0DC" w14:textId="77777777" w:rsidR="00146615" w:rsidRPr="00AF2983" w:rsidRDefault="00146615" w:rsidP="00146615">
      <w:pPr>
        <w:pStyle w:val="ListNumber"/>
        <w:numPr>
          <w:ilvl w:val="0"/>
          <w:numId w:val="25"/>
        </w:numPr>
      </w:pPr>
      <w:r w:rsidRPr="00AF2983">
        <w:lastRenderedPageBreak/>
        <w:t xml:space="preserve">Identify appropriate options for reducing these entry and exit barriers, including, but not limited to, advice on the potential impacts of: </w:t>
      </w:r>
    </w:p>
    <w:p w14:paraId="5B2E7F2D" w14:textId="77777777" w:rsidR="00146615" w:rsidRPr="00AF2983" w:rsidRDefault="00146615" w:rsidP="00146615">
      <w:pPr>
        <w:pStyle w:val="ListNumber2"/>
        <w:numPr>
          <w:ilvl w:val="1"/>
          <w:numId w:val="25"/>
        </w:numPr>
      </w:pPr>
      <w:r w:rsidRPr="00AF2983">
        <w:t xml:space="preserve">The regulation of product and service markets; </w:t>
      </w:r>
    </w:p>
    <w:p w14:paraId="21D1D796" w14:textId="77777777" w:rsidR="00146615" w:rsidRPr="00AF2983" w:rsidRDefault="00146615" w:rsidP="00146615">
      <w:pPr>
        <w:pStyle w:val="ListNumber2"/>
        <w:numPr>
          <w:ilvl w:val="1"/>
          <w:numId w:val="25"/>
        </w:numPr>
      </w:pPr>
      <w:r w:rsidRPr="00AF2983">
        <w:t xml:space="preserve">Transfers and subsidies to businesses, including import barriers; </w:t>
      </w:r>
    </w:p>
    <w:p w14:paraId="0A486119" w14:textId="77777777" w:rsidR="00146615" w:rsidRPr="00AF2983" w:rsidRDefault="00146615" w:rsidP="00146615">
      <w:pPr>
        <w:pStyle w:val="ListNumber2"/>
        <w:numPr>
          <w:ilvl w:val="1"/>
          <w:numId w:val="25"/>
        </w:numPr>
      </w:pPr>
      <w:r w:rsidRPr="00AF2983">
        <w:t xml:space="preserve">Regulations affecting the ease of starting, operationalising or closing a business; </w:t>
      </w:r>
    </w:p>
    <w:p w14:paraId="15C1BA20" w14:textId="77777777" w:rsidR="00146615" w:rsidRPr="00AF2983" w:rsidRDefault="00146615" w:rsidP="00146615">
      <w:pPr>
        <w:pStyle w:val="ListNumber2"/>
        <w:numPr>
          <w:ilvl w:val="1"/>
          <w:numId w:val="25"/>
        </w:numPr>
      </w:pPr>
      <w:r w:rsidRPr="00AF2983">
        <w:t xml:space="preserve">Time spent on and cost of complying or dealing with government regulation, licensing and bureaucracy; and </w:t>
      </w:r>
    </w:p>
    <w:p w14:paraId="440E2063" w14:textId="77777777" w:rsidR="00146615" w:rsidRPr="00AF2983" w:rsidRDefault="00146615" w:rsidP="00146615">
      <w:pPr>
        <w:pStyle w:val="ListNumber2"/>
        <w:numPr>
          <w:ilvl w:val="1"/>
          <w:numId w:val="25"/>
        </w:numPr>
      </w:pPr>
      <w:r w:rsidRPr="00AF2983">
        <w:t xml:space="preserve">The personal/corporate insolvency regimes on business exits. </w:t>
      </w:r>
    </w:p>
    <w:p w14:paraId="6CFD49BB" w14:textId="77777777" w:rsidR="00146615" w:rsidRPr="00AF2983" w:rsidRDefault="00146615" w:rsidP="00146615">
      <w:pPr>
        <w:pStyle w:val="Heading3"/>
      </w:pPr>
      <w:r w:rsidRPr="00AF2983">
        <w:t xml:space="preserve">Process </w:t>
      </w:r>
    </w:p>
    <w:p w14:paraId="4C028DFC" w14:textId="77777777" w:rsidR="00146615" w:rsidRDefault="00146615" w:rsidP="00146615">
      <w:pPr>
        <w:pStyle w:val="BodyText"/>
      </w:pPr>
      <w:r w:rsidRPr="00AF2983">
        <w:t xml:space="preserve">The Commission is to undertake an appropriate public consultation process, inviting public submissions and releasing a draft report to the public. A final report should be provided to the Government within nine months of receipt of the reference. </w:t>
      </w:r>
    </w:p>
    <w:p w14:paraId="190DCA8D" w14:textId="77777777" w:rsidR="00146615" w:rsidRDefault="00146615" w:rsidP="00146615">
      <w:pPr>
        <w:pStyle w:val="BodyText"/>
        <w:spacing w:before="960"/>
        <w:jc w:val="left"/>
      </w:pPr>
      <w:r w:rsidRPr="00AF2983">
        <w:t>J.B. HOCKEY</w:t>
      </w:r>
      <w:r>
        <w:br/>
        <w:t>Treasurer</w:t>
      </w:r>
    </w:p>
    <w:p w14:paraId="32835E71" w14:textId="25EB4D25" w:rsidR="00522AB5" w:rsidRDefault="00146615" w:rsidP="00F539EF">
      <w:pPr>
        <w:pStyle w:val="BodyText"/>
      </w:pPr>
      <w:r>
        <w:t>[20 November 2014]</w:t>
      </w:r>
    </w:p>
    <w:p w14:paraId="547D3E38" w14:textId="257F3240" w:rsidR="00146615" w:rsidRDefault="004E358C" w:rsidP="004E358C">
      <w:pPr>
        <w:pStyle w:val="Heading2NotTOC"/>
        <w:spacing w:before="120"/>
      </w:pPr>
      <w:r>
        <w:lastRenderedPageBreak/>
        <w:t>Letter of extension</w:t>
      </w:r>
    </w:p>
    <w:p w14:paraId="63C8D783" w14:textId="77777777" w:rsidR="00F539EF" w:rsidRDefault="00F539EF" w:rsidP="00F539EF">
      <w:pPr>
        <w:pStyle w:val="BodyText"/>
      </w:pPr>
      <w:r>
        <w:rPr>
          <w:noProof/>
        </w:rPr>
        <w:drawing>
          <wp:inline distT="0" distB="0" distL="0" distR="0" wp14:anchorId="0B50FC6A" wp14:editId="19033222">
            <wp:extent cx="5538158" cy="7671410"/>
            <wp:effectExtent l="0" t="0" r="5715" b="6350"/>
            <wp:docPr id="6" name="Picture 6" descr="Letter of transmit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538607" cy="7672032"/>
                    </a:xfrm>
                    <a:prstGeom prst="rect">
                      <a:avLst/>
                    </a:prstGeom>
                    <a:noFill/>
                    <a:ln>
                      <a:noFill/>
                    </a:ln>
                  </pic:spPr>
                </pic:pic>
              </a:graphicData>
            </a:graphic>
          </wp:inline>
        </w:drawing>
      </w:r>
      <w:bookmarkStart w:id="4" w:name="_GoBack"/>
      <w:bookmarkEnd w:id="4"/>
    </w:p>
    <w:p w14:paraId="2B00AF62" w14:textId="77777777" w:rsidR="00F539EF" w:rsidRDefault="00F539EF">
      <w:pPr>
        <w:pStyle w:val="Heading2NotTOC"/>
      </w:pPr>
      <w:r>
        <w:lastRenderedPageBreak/>
        <w:t>Disclosure of interests</w:t>
      </w:r>
    </w:p>
    <w:p w14:paraId="54550091" w14:textId="77777777" w:rsidR="00F539EF" w:rsidRDefault="00F539EF">
      <w:pPr>
        <w:pStyle w:val="BodyText"/>
      </w:pPr>
      <w:r>
        <w:t xml:space="preserve">The </w:t>
      </w:r>
      <w:r w:rsidRPr="000A26A1">
        <w:rPr>
          <w:i/>
        </w:rPr>
        <w:t>Productivity Commission Act 1998</w:t>
      </w:r>
      <w:r>
        <w:t xml:space="preserve"> specifies that where Commissioners have or acquire interests, pecuniary or otherwise, that could conflict with the proper performance of their functions during an inquiry they must disclose the interests.</w:t>
      </w:r>
    </w:p>
    <w:p w14:paraId="5C039CD5" w14:textId="77777777" w:rsidR="00BB0218" w:rsidRPr="00BB0218" w:rsidRDefault="00BB0218" w:rsidP="00BB0218">
      <w:pPr>
        <w:pStyle w:val="BodyText"/>
      </w:pPr>
      <w:r w:rsidRPr="00BB0218">
        <w:t>Dr Warren Mundy has advised he is a Fellow of the Australian Institute of Company Directors and the Chair of a Subject Advisory Committee for a course that is part of the Governance Institute of Australia’s Diploma of</w:t>
      </w:r>
      <w:r w:rsidR="00B11A69">
        <w:t xml:space="preserve"> Applied Corporate Governance. </w:t>
      </w:r>
      <w:r w:rsidRPr="00BB0218">
        <w:t>He played no role in the preparation of the submissions made by these</w:t>
      </w:r>
      <w:r w:rsidR="00B11A69">
        <w:t xml:space="preserve"> organisation to this Inquiry. </w:t>
      </w:r>
      <w:r w:rsidRPr="00BB0218">
        <w:t>He is also the director of a number of private companies, none of which participated in any way in this Inquiry.</w:t>
      </w:r>
    </w:p>
    <w:p w14:paraId="11A46F46" w14:textId="77777777" w:rsidR="00BB0218" w:rsidRDefault="00BB0218" w:rsidP="00BB0218">
      <w:pPr>
        <w:pStyle w:val="BodyText"/>
      </w:pPr>
      <w:r w:rsidRPr="00BB0218">
        <w:t xml:space="preserve">Ms Melinda Cilento has advised </w:t>
      </w:r>
      <w:r w:rsidR="00B11A69">
        <w:t>s</w:t>
      </w:r>
      <w:r w:rsidRPr="00BB0218">
        <w:t xml:space="preserve">he is a </w:t>
      </w:r>
      <w:r w:rsidR="00B11A69">
        <w:t>graduate</w:t>
      </w:r>
      <w:r w:rsidRPr="00BB0218">
        <w:t xml:space="preserve"> of the Australian Institute of Company Directors</w:t>
      </w:r>
      <w:r w:rsidR="00B11A69">
        <w:t>.</w:t>
      </w:r>
      <w:r w:rsidRPr="00BB0218">
        <w:t xml:space="preserve"> She played no role in th</w:t>
      </w:r>
      <w:r w:rsidR="00B11A69">
        <w:t>e preparation of the submission</w:t>
      </w:r>
      <w:r w:rsidRPr="00BB0218">
        <w:t xml:space="preserve"> made by that</w:t>
      </w:r>
      <w:r w:rsidR="00B11A69">
        <w:t xml:space="preserve"> organisation to this Inquiry. </w:t>
      </w:r>
      <w:r w:rsidRPr="00BB0218">
        <w:t>She is also the director of a number of public and private companies, none of which participated in any way in this Inquiry.</w:t>
      </w:r>
    </w:p>
    <w:p w14:paraId="24C329D0" w14:textId="77777777" w:rsidR="0050326F" w:rsidRDefault="0050326F" w:rsidP="008206EE">
      <w:pPr>
        <w:pStyle w:val="Heading1NotTOC"/>
        <w:sectPr w:rsidR="0050326F" w:rsidSect="00522AB5">
          <w:headerReference w:type="even" r:id="rId26"/>
          <w:headerReference w:type="default" r:id="rId27"/>
          <w:footerReference w:type="even" r:id="rId28"/>
          <w:footerReference w:type="default" r:id="rId29"/>
          <w:type w:val="evenPage"/>
          <w:pgSz w:w="11907" w:h="16840" w:code="9"/>
          <w:pgMar w:top="1985" w:right="1304" w:bottom="1247" w:left="1814" w:header="1701" w:footer="397" w:gutter="0"/>
          <w:pgNumType w:fmt="lowerRoman"/>
          <w:cols w:space="720"/>
        </w:sectPr>
      </w:pPr>
    </w:p>
    <w:p w14:paraId="423F0C7F" w14:textId="6B9741C6" w:rsidR="00883826" w:rsidRDefault="00735FEA" w:rsidP="008206EE">
      <w:pPr>
        <w:pStyle w:val="Heading1NotTOC"/>
        <w:rPr>
          <w:noProof/>
        </w:rPr>
      </w:pPr>
      <w:r w:rsidRPr="00B153C3">
        <w:lastRenderedPageBreak/>
        <w:t>Contents</w:t>
      </w:r>
      <w:bookmarkStart w:id="5" w:name="InsertContents"/>
      <w:bookmarkEnd w:id="5"/>
    </w:p>
    <w:p w14:paraId="07CF45C6" w14:textId="69361875" w:rsidR="00883826" w:rsidRDefault="00883826">
      <w:pPr>
        <w:pStyle w:val="TOC1"/>
        <w:rPr>
          <w:rFonts w:asciiTheme="minorHAnsi" w:eastAsiaTheme="minorEastAsia" w:hAnsiTheme="minorHAnsi" w:cstheme="minorBidi"/>
          <w:b w:val="0"/>
          <w:noProof/>
          <w:sz w:val="22"/>
          <w:szCs w:val="22"/>
          <w:lang w:eastAsia="en-AU"/>
        </w:rPr>
      </w:pPr>
      <w:r>
        <w:rPr>
          <w:noProof/>
        </w:rPr>
        <w:t>Terms of reference</w:t>
      </w:r>
      <w:r>
        <w:rPr>
          <w:noProof/>
        </w:rPr>
        <w:tab/>
      </w:r>
      <w:r w:rsidR="00560735">
        <w:rPr>
          <w:noProof/>
        </w:rPr>
        <w:t>i</w:t>
      </w:r>
      <w:r w:rsidR="001856C7">
        <w:rPr>
          <w:noProof/>
        </w:rPr>
        <w:t>v</w:t>
      </w:r>
    </w:p>
    <w:p w14:paraId="35B4640B" w14:textId="6CE5154F" w:rsidR="00883826" w:rsidRDefault="00883826">
      <w:pPr>
        <w:pStyle w:val="TOC1"/>
        <w:rPr>
          <w:noProof/>
        </w:rPr>
      </w:pPr>
      <w:r>
        <w:rPr>
          <w:noProof/>
        </w:rPr>
        <w:t>Letter of extension</w:t>
      </w:r>
      <w:r>
        <w:rPr>
          <w:noProof/>
        </w:rPr>
        <w:tab/>
      </w:r>
      <w:r w:rsidR="00560735">
        <w:rPr>
          <w:noProof/>
        </w:rPr>
        <w:t>vi</w:t>
      </w:r>
    </w:p>
    <w:p w14:paraId="646ECCCA" w14:textId="2B6F6339" w:rsidR="00883826" w:rsidRDefault="00883826">
      <w:pPr>
        <w:pStyle w:val="TOC1"/>
        <w:rPr>
          <w:noProof/>
        </w:rPr>
      </w:pPr>
      <w:r>
        <w:rPr>
          <w:noProof/>
        </w:rPr>
        <w:t>Disclosure of interests</w:t>
      </w:r>
      <w:r>
        <w:rPr>
          <w:noProof/>
        </w:rPr>
        <w:tab/>
      </w:r>
      <w:r w:rsidR="00630123">
        <w:rPr>
          <w:noProof/>
        </w:rPr>
        <w:t>vii</w:t>
      </w:r>
    </w:p>
    <w:p w14:paraId="09B35693" w14:textId="0AF9D013" w:rsidR="00883826" w:rsidRDefault="00883826">
      <w:pPr>
        <w:pStyle w:val="TOC1"/>
        <w:rPr>
          <w:rFonts w:asciiTheme="minorHAnsi" w:eastAsiaTheme="minorEastAsia" w:hAnsiTheme="minorHAnsi" w:cstheme="minorBidi"/>
          <w:b w:val="0"/>
          <w:noProof/>
          <w:sz w:val="22"/>
          <w:szCs w:val="22"/>
          <w:lang w:eastAsia="en-AU"/>
        </w:rPr>
      </w:pPr>
      <w:r>
        <w:rPr>
          <w:noProof/>
        </w:rPr>
        <w:t>Acknowledgments</w:t>
      </w:r>
      <w:r>
        <w:rPr>
          <w:noProof/>
        </w:rPr>
        <w:tab/>
      </w:r>
      <w:r w:rsidR="001856C7">
        <w:rPr>
          <w:noProof/>
        </w:rPr>
        <w:t>xi</w:t>
      </w:r>
      <w:r w:rsidR="00300558">
        <w:rPr>
          <w:noProof/>
        </w:rPr>
        <w:t>i</w:t>
      </w:r>
    </w:p>
    <w:p w14:paraId="400CFC2D" w14:textId="18522798" w:rsidR="00883826" w:rsidRDefault="00883826">
      <w:pPr>
        <w:pStyle w:val="TOC1"/>
        <w:rPr>
          <w:rFonts w:asciiTheme="minorHAnsi" w:eastAsiaTheme="minorEastAsia" w:hAnsiTheme="minorHAnsi" w:cstheme="minorBidi"/>
          <w:b w:val="0"/>
          <w:noProof/>
          <w:sz w:val="22"/>
          <w:szCs w:val="22"/>
          <w:lang w:eastAsia="en-AU"/>
        </w:rPr>
      </w:pPr>
      <w:r>
        <w:rPr>
          <w:noProof/>
        </w:rPr>
        <w:t>Abbreviations and explanations</w:t>
      </w:r>
      <w:r>
        <w:rPr>
          <w:noProof/>
        </w:rPr>
        <w:tab/>
      </w:r>
      <w:r w:rsidR="00300558">
        <w:rPr>
          <w:noProof/>
        </w:rPr>
        <w:t>xiii</w:t>
      </w:r>
    </w:p>
    <w:p w14:paraId="4D331BB8" w14:textId="68658FCB" w:rsidR="00883826" w:rsidRDefault="00883826">
      <w:pPr>
        <w:pStyle w:val="TOC1"/>
        <w:rPr>
          <w:rFonts w:asciiTheme="minorHAnsi" w:eastAsiaTheme="minorEastAsia" w:hAnsiTheme="minorHAnsi" w:cstheme="minorBidi"/>
          <w:b w:val="0"/>
          <w:noProof/>
          <w:sz w:val="22"/>
          <w:szCs w:val="22"/>
          <w:lang w:eastAsia="en-AU"/>
        </w:rPr>
      </w:pPr>
      <w:r>
        <w:rPr>
          <w:noProof/>
        </w:rPr>
        <w:t>Key points</w:t>
      </w:r>
      <w:r>
        <w:rPr>
          <w:noProof/>
        </w:rPr>
        <w:tab/>
      </w:r>
      <w:r w:rsidR="00D74435">
        <w:rPr>
          <w:noProof/>
        </w:rPr>
        <w:t>2</w:t>
      </w:r>
    </w:p>
    <w:p w14:paraId="3CBB45B9" w14:textId="77777777" w:rsidR="00883826" w:rsidRDefault="00883826">
      <w:pPr>
        <w:pStyle w:val="TOC1"/>
        <w:rPr>
          <w:rFonts w:asciiTheme="minorHAnsi" w:eastAsiaTheme="minorEastAsia" w:hAnsiTheme="minorHAnsi" w:cstheme="minorBidi"/>
          <w:b w:val="0"/>
          <w:noProof/>
          <w:sz w:val="22"/>
          <w:szCs w:val="22"/>
          <w:lang w:eastAsia="en-AU"/>
        </w:rPr>
      </w:pPr>
      <w:r>
        <w:rPr>
          <w:noProof/>
        </w:rPr>
        <w:t>Overview</w:t>
      </w:r>
      <w:r>
        <w:rPr>
          <w:noProof/>
        </w:rPr>
        <w:tab/>
        <w:t>3</w:t>
      </w:r>
    </w:p>
    <w:p w14:paraId="6A490950" w14:textId="4C49F0C3" w:rsidR="00883826" w:rsidRDefault="009D1BBF">
      <w:pPr>
        <w:pStyle w:val="TOC1"/>
        <w:rPr>
          <w:rFonts w:asciiTheme="minorHAnsi" w:eastAsiaTheme="minorEastAsia" w:hAnsiTheme="minorHAnsi" w:cstheme="minorBidi"/>
          <w:b w:val="0"/>
          <w:noProof/>
          <w:sz w:val="22"/>
          <w:szCs w:val="22"/>
          <w:lang w:eastAsia="en-AU"/>
        </w:rPr>
      </w:pPr>
      <w:r>
        <w:rPr>
          <w:noProof/>
        </w:rPr>
        <w:t>R</w:t>
      </w:r>
      <w:r w:rsidR="00883826">
        <w:rPr>
          <w:noProof/>
        </w:rPr>
        <w:t>ecommendations</w:t>
      </w:r>
      <w:r>
        <w:rPr>
          <w:noProof/>
        </w:rPr>
        <w:t xml:space="preserve"> and findings</w:t>
      </w:r>
      <w:r w:rsidR="00883826">
        <w:rPr>
          <w:noProof/>
        </w:rPr>
        <w:tab/>
      </w:r>
      <w:r w:rsidR="000E2B46">
        <w:rPr>
          <w:noProof/>
        </w:rPr>
        <w:t>30</w:t>
      </w:r>
    </w:p>
    <w:p w14:paraId="0EF73B00" w14:textId="28A4455F" w:rsidR="00883826" w:rsidRDefault="00883826">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Context of the inquiry</w:t>
      </w:r>
      <w:r>
        <w:rPr>
          <w:noProof/>
        </w:rPr>
        <w:tab/>
      </w:r>
      <w:r w:rsidR="000E2B46">
        <w:rPr>
          <w:noProof/>
        </w:rPr>
        <w:t>43</w:t>
      </w:r>
    </w:p>
    <w:p w14:paraId="3D9F28EC" w14:textId="378E0E5F" w:rsidR="00883826" w:rsidRDefault="00883826" w:rsidP="00883826">
      <w:pPr>
        <w:pStyle w:val="TOC2"/>
        <w:tabs>
          <w:tab w:val="left" w:pos="1190"/>
        </w:tabs>
        <w:ind w:left="1134" w:hanging="624"/>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Pr>
          <w:noProof/>
        </w:rPr>
        <w:t>Inquiry background</w:t>
      </w:r>
      <w:r>
        <w:rPr>
          <w:noProof/>
        </w:rPr>
        <w:tab/>
      </w:r>
      <w:r w:rsidR="000E2B46">
        <w:rPr>
          <w:noProof/>
        </w:rPr>
        <w:t>43</w:t>
      </w:r>
    </w:p>
    <w:p w14:paraId="1DF1A8DF" w14:textId="1442547A" w:rsidR="00883826" w:rsidRDefault="00883826" w:rsidP="00883826">
      <w:pPr>
        <w:pStyle w:val="TOC2"/>
        <w:tabs>
          <w:tab w:val="left" w:pos="1190"/>
        </w:tabs>
        <w:ind w:left="1134" w:hanging="624"/>
        <w:rPr>
          <w:rFonts w:asciiTheme="minorHAnsi" w:eastAsiaTheme="minorEastAsia" w:hAnsiTheme="minorHAnsi" w:cstheme="minorBidi"/>
          <w:noProof/>
          <w:sz w:val="22"/>
          <w:szCs w:val="22"/>
          <w:lang w:eastAsia="en-AU"/>
        </w:rPr>
      </w:pPr>
      <w:r>
        <w:rPr>
          <w:noProof/>
        </w:rPr>
        <w:t>1.2</w:t>
      </w:r>
      <w:r>
        <w:rPr>
          <w:rFonts w:asciiTheme="minorHAnsi" w:eastAsiaTheme="minorEastAsia" w:hAnsiTheme="minorHAnsi" w:cstheme="minorBidi"/>
          <w:noProof/>
          <w:sz w:val="22"/>
          <w:szCs w:val="22"/>
          <w:lang w:eastAsia="en-AU"/>
        </w:rPr>
        <w:tab/>
      </w:r>
      <w:r>
        <w:rPr>
          <w:noProof/>
        </w:rPr>
        <w:t>Inquiry scope</w:t>
      </w:r>
      <w:r>
        <w:rPr>
          <w:noProof/>
        </w:rPr>
        <w:tab/>
      </w:r>
      <w:r w:rsidR="000E2B46">
        <w:rPr>
          <w:noProof/>
        </w:rPr>
        <w:t>43</w:t>
      </w:r>
    </w:p>
    <w:p w14:paraId="5AE84342" w14:textId="23A342D6" w:rsidR="00883826" w:rsidRDefault="00883826" w:rsidP="00883826">
      <w:pPr>
        <w:pStyle w:val="TOC2"/>
        <w:tabs>
          <w:tab w:val="left" w:pos="1190"/>
        </w:tabs>
        <w:ind w:left="1134" w:hanging="624"/>
        <w:rPr>
          <w:rFonts w:asciiTheme="minorHAnsi" w:eastAsiaTheme="minorEastAsia" w:hAnsiTheme="minorHAnsi" w:cstheme="minorBidi"/>
          <w:noProof/>
          <w:sz w:val="22"/>
          <w:szCs w:val="22"/>
          <w:lang w:eastAsia="en-AU"/>
        </w:rPr>
      </w:pPr>
      <w:r>
        <w:rPr>
          <w:noProof/>
        </w:rPr>
        <w:t>1.3</w:t>
      </w:r>
      <w:r>
        <w:rPr>
          <w:rFonts w:asciiTheme="minorHAnsi" w:eastAsiaTheme="minorEastAsia" w:hAnsiTheme="minorHAnsi" w:cstheme="minorBidi"/>
          <w:noProof/>
          <w:sz w:val="22"/>
          <w:szCs w:val="22"/>
          <w:lang w:eastAsia="en-AU"/>
        </w:rPr>
        <w:tab/>
      </w:r>
      <w:r>
        <w:rPr>
          <w:noProof/>
        </w:rPr>
        <w:t>Why are business set</w:t>
      </w:r>
      <w:r>
        <w:rPr>
          <w:noProof/>
        </w:rPr>
        <w:noBreakHyphen/>
        <w:t>ups, transfers and closures important?</w:t>
      </w:r>
      <w:r>
        <w:rPr>
          <w:noProof/>
        </w:rPr>
        <w:tab/>
      </w:r>
      <w:r w:rsidR="000E2B46">
        <w:rPr>
          <w:noProof/>
        </w:rPr>
        <w:t>46</w:t>
      </w:r>
    </w:p>
    <w:p w14:paraId="1B69296C" w14:textId="2F1D982F" w:rsidR="00883826" w:rsidRDefault="00883826" w:rsidP="00883826">
      <w:pPr>
        <w:pStyle w:val="TOC2"/>
        <w:tabs>
          <w:tab w:val="left" w:pos="1190"/>
        </w:tabs>
        <w:ind w:left="1134" w:hanging="624"/>
        <w:rPr>
          <w:rFonts w:asciiTheme="minorHAnsi" w:eastAsiaTheme="minorEastAsia" w:hAnsiTheme="minorHAnsi" w:cstheme="minorBidi"/>
          <w:noProof/>
          <w:sz w:val="22"/>
          <w:szCs w:val="22"/>
          <w:lang w:eastAsia="en-AU"/>
        </w:rPr>
      </w:pPr>
      <w:r>
        <w:rPr>
          <w:noProof/>
        </w:rPr>
        <w:t>1.4</w:t>
      </w:r>
      <w:r>
        <w:rPr>
          <w:rFonts w:asciiTheme="minorHAnsi" w:eastAsiaTheme="minorEastAsia" w:hAnsiTheme="minorHAnsi" w:cstheme="minorBidi"/>
          <w:noProof/>
          <w:sz w:val="22"/>
          <w:szCs w:val="22"/>
          <w:lang w:eastAsia="en-AU"/>
        </w:rPr>
        <w:tab/>
      </w:r>
      <w:r>
        <w:rPr>
          <w:noProof/>
        </w:rPr>
        <w:t xml:space="preserve">Other </w:t>
      </w:r>
      <w:r w:rsidR="000E2B46">
        <w:rPr>
          <w:noProof/>
        </w:rPr>
        <w:t>reviews and work of relevance</w:t>
      </w:r>
      <w:r w:rsidR="000E2B46">
        <w:rPr>
          <w:noProof/>
        </w:rPr>
        <w:tab/>
        <w:t>50</w:t>
      </w:r>
    </w:p>
    <w:p w14:paraId="2C66E409" w14:textId="419DCEED" w:rsidR="00883826" w:rsidRDefault="00883826" w:rsidP="00883826">
      <w:pPr>
        <w:pStyle w:val="TOC2"/>
        <w:tabs>
          <w:tab w:val="left" w:pos="1190"/>
        </w:tabs>
        <w:ind w:left="1134" w:hanging="624"/>
        <w:rPr>
          <w:rFonts w:asciiTheme="minorHAnsi" w:eastAsiaTheme="minorEastAsia" w:hAnsiTheme="minorHAnsi" w:cstheme="minorBidi"/>
          <w:noProof/>
          <w:sz w:val="22"/>
          <w:szCs w:val="22"/>
          <w:lang w:eastAsia="en-AU"/>
        </w:rPr>
      </w:pPr>
      <w:r>
        <w:rPr>
          <w:noProof/>
        </w:rPr>
        <w:t>1.5</w:t>
      </w:r>
      <w:r>
        <w:rPr>
          <w:rFonts w:asciiTheme="minorHAnsi" w:eastAsiaTheme="minorEastAsia" w:hAnsiTheme="minorHAnsi" w:cstheme="minorBidi"/>
          <w:noProof/>
          <w:sz w:val="22"/>
          <w:szCs w:val="22"/>
          <w:lang w:eastAsia="en-AU"/>
        </w:rPr>
        <w:tab/>
      </w:r>
      <w:r>
        <w:rPr>
          <w:noProof/>
        </w:rPr>
        <w:t>Guide to the inquiry report</w:t>
      </w:r>
      <w:r>
        <w:rPr>
          <w:noProof/>
        </w:rPr>
        <w:tab/>
      </w:r>
      <w:r w:rsidR="000E2B46">
        <w:rPr>
          <w:noProof/>
        </w:rPr>
        <w:t>52</w:t>
      </w:r>
    </w:p>
    <w:p w14:paraId="0246F1E8" w14:textId="3F282E07" w:rsidR="00883826" w:rsidRDefault="00883826">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Understanding business set</w:t>
      </w:r>
      <w:r w:rsidRPr="00C616D7">
        <w:rPr>
          <w:rFonts w:ascii="MS Mincho" w:eastAsia="MS Mincho" w:hAnsi="MS Mincho" w:cs="MS Mincho"/>
          <w:noProof/>
        </w:rPr>
        <w:t>‑</w:t>
      </w:r>
      <w:r>
        <w:rPr>
          <w:noProof/>
        </w:rPr>
        <w:t>ups, transfers and closures</w:t>
      </w:r>
      <w:r>
        <w:rPr>
          <w:noProof/>
        </w:rPr>
        <w:tab/>
      </w:r>
      <w:r w:rsidR="000E2B46">
        <w:rPr>
          <w:noProof/>
        </w:rPr>
        <w:t>53</w:t>
      </w:r>
    </w:p>
    <w:p w14:paraId="76BB1371" w14:textId="0D43891D" w:rsidR="00883826" w:rsidRDefault="00883826" w:rsidP="00883826">
      <w:pPr>
        <w:pStyle w:val="TOC2"/>
        <w:tabs>
          <w:tab w:val="left" w:pos="1190"/>
        </w:tabs>
        <w:ind w:left="1134" w:hanging="624"/>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Pr>
          <w:noProof/>
        </w:rPr>
        <w:t>Recent trends in business set</w:t>
      </w:r>
      <w:r>
        <w:rPr>
          <w:noProof/>
        </w:rPr>
        <w:noBreakHyphen/>
        <w:t>up, transfer and closure</w:t>
      </w:r>
      <w:r>
        <w:rPr>
          <w:noProof/>
        </w:rPr>
        <w:tab/>
      </w:r>
      <w:r w:rsidR="000E2B46">
        <w:rPr>
          <w:noProof/>
        </w:rPr>
        <w:t>54</w:t>
      </w:r>
    </w:p>
    <w:p w14:paraId="01E5BECF" w14:textId="4B8365ED" w:rsidR="00883826" w:rsidRDefault="00883826" w:rsidP="00883826">
      <w:pPr>
        <w:pStyle w:val="TOC2"/>
        <w:tabs>
          <w:tab w:val="left" w:pos="1190"/>
        </w:tabs>
        <w:ind w:left="1134" w:hanging="624"/>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Pr>
          <w:noProof/>
        </w:rPr>
        <w:t>Few businesses are innovative and have high growth potential</w:t>
      </w:r>
      <w:r>
        <w:rPr>
          <w:noProof/>
        </w:rPr>
        <w:tab/>
      </w:r>
      <w:r w:rsidR="000E2B46">
        <w:rPr>
          <w:noProof/>
        </w:rPr>
        <w:t>62</w:t>
      </w:r>
    </w:p>
    <w:p w14:paraId="65D5ACB1" w14:textId="2824671F" w:rsidR="00883826" w:rsidRDefault="00883826" w:rsidP="00883826">
      <w:pPr>
        <w:pStyle w:val="TOC2"/>
        <w:tabs>
          <w:tab w:val="left" w:pos="1190"/>
        </w:tabs>
        <w:ind w:left="1134" w:hanging="624"/>
        <w:rPr>
          <w:rFonts w:asciiTheme="minorHAnsi" w:eastAsiaTheme="minorEastAsia" w:hAnsiTheme="minorHAnsi" w:cstheme="minorBidi"/>
          <w:noProof/>
          <w:sz w:val="22"/>
          <w:szCs w:val="22"/>
          <w:lang w:eastAsia="en-AU"/>
        </w:rPr>
      </w:pPr>
      <w:r>
        <w:rPr>
          <w:noProof/>
        </w:rPr>
        <w:t>2.3</w:t>
      </w:r>
      <w:r>
        <w:rPr>
          <w:rFonts w:asciiTheme="minorHAnsi" w:eastAsiaTheme="minorEastAsia" w:hAnsiTheme="minorHAnsi" w:cstheme="minorBidi"/>
          <w:noProof/>
          <w:sz w:val="22"/>
          <w:szCs w:val="22"/>
          <w:lang w:eastAsia="en-AU"/>
        </w:rPr>
        <w:tab/>
      </w:r>
      <w:r>
        <w:rPr>
          <w:noProof/>
        </w:rPr>
        <w:t>Who owns and operates Australia’s businesses</w:t>
      </w:r>
      <w:r>
        <w:rPr>
          <w:noProof/>
        </w:rPr>
        <w:tab/>
      </w:r>
      <w:r w:rsidR="000E2B46">
        <w:rPr>
          <w:noProof/>
        </w:rPr>
        <w:t>68</w:t>
      </w:r>
    </w:p>
    <w:p w14:paraId="514EE38F" w14:textId="7202F3A2" w:rsidR="00883826" w:rsidRDefault="00883826" w:rsidP="00883826">
      <w:pPr>
        <w:pStyle w:val="TOC2"/>
        <w:tabs>
          <w:tab w:val="left" w:pos="1190"/>
        </w:tabs>
        <w:ind w:left="1134" w:hanging="624"/>
        <w:rPr>
          <w:rFonts w:asciiTheme="minorHAnsi" w:eastAsiaTheme="minorEastAsia" w:hAnsiTheme="minorHAnsi" w:cstheme="minorBidi"/>
          <w:noProof/>
          <w:sz w:val="22"/>
          <w:szCs w:val="22"/>
          <w:lang w:eastAsia="en-AU"/>
        </w:rPr>
      </w:pPr>
      <w:r>
        <w:rPr>
          <w:noProof/>
        </w:rPr>
        <w:t>2.4</w:t>
      </w:r>
      <w:r>
        <w:rPr>
          <w:rFonts w:asciiTheme="minorHAnsi" w:eastAsiaTheme="minorEastAsia" w:hAnsiTheme="minorHAnsi" w:cstheme="minorBidi"/>
          <w:noProof/>
          <w:sz w:val="22"/>
          <w:szCs w:val="22"/>
          <w:lang w:eastAsia="en-AU"/>
        </w:rPr>
        <w:tab/>
      </w:r>
      <w:r>
        <w:rPr>
          <w:noProof/>
        </w:rPr>
        <w:t>What drives business set</w:t>
      </w:r>
      <w:r>
        <w:rPr>
          <w:noProof/>
        </w:rPr>
        <w:noBreakHyphen/>
        <w:t>up, transfer and closure?</w:t>
      </w:r>
      <w:r>
        <w:rPr>
          <w:noProof/>
        </w:rPr>
        <w:tab/>
      </w:r>
      <w:r w:rsidR="000E2B46">
        <w:rPr>
          <w:noProof/>
        </w:rPr>
        <w:t>71</w:t>
      </w:r>
    </w:p>
    <w:p w14:paraId="5A7CCCF3" w14:textId="77777777" w:rsidR="00883826" w:rsidRDefault="00883826">
      <w:pPr>
        <w:rPr>
          <w:rFonts w:ascii="Arial" w:hAnsi="Arial"/>
          <w:b/>
          <w:noProof/>
          <w:szCs w:val="26"/>
        </w:rPr>
      </w:pPr>
      <w:r>
        <w:rPr>
          <w:noProof/>
        </w:rPr>
        <w:br w:type="page"/>
      </w:r>
    </w:p>
    <w:p w14:paraId="00CF649E" w14:textId="248BE005" w:rsidR="00883826" w:rsidRDefault="00883826">
      <w:pPr>
        <w:pStyle w:val="TOC1"/>
        <w:rPr>
          <w:rFonts w:asciiTheme="minorHAnsi" w:eastAsiaTheme="minorEastAsia" w:hAnsiTheme="minorHAnsi" w:cstheme="minorBidi"/>
          <w:b w:val="0"/>
          <w:noProof/>
          <w:sz w:val="22"/>
          <w:szCs w:val="22"/>
          <w:lang w:eastAsia="en-AU"/>
        </w:rPr>
      </w:pPr>
      <w:r>
        <w:rPr>
          <w:noProof/>
        </w:rPr>
        <w:lastRenderedPageBreak/>
        <w:t>3</w:t>
      </w:r>
      <w:r>
        <w:rPr>
          <w:rFonts w:asciiTheme="minorHAnsi" w:eastAsiaTheme="minorEastAsia" w:hAnsiTheme="minorHAnsi" w:cstheme="minorBidi"/>
          <w:b w:val="0"/>
          <w:noProof/>
          <w:sz w:val="22"/>
          <w:szCs w:val="22"/>
          <w:lang w:eastAsia="en-AU"/>
        </w:rPr>
        <w:tab/>
      </w:r>
      <w:r>
        <w:rPr>
          <w:noProof/>
        </w:rPr>
        <w:t>Setting up a business</w:t>
      </w:r>
      <w:r>
        <w:rPr>
          <w:noProof/>
        </w:rPr>
        <w:tab/>
      </w:r>
      <w:r w:rsidR="000E2B46">
        <w:rPr>
          <w:noProof/>
        </w:rPr>
        <w:t>7</w:t>
      </w:r>
      <w:r w:rsidR="0027575A">
        <w:rPr>
          <w:noProof/>
        </w:rPr>
        <w:t>7</w:t>
      </w:r>
    </w:p>
    <w:p w14:paraId="2F53A8D0" w14:textId="3EEBD6F1" w:rsidR="00883826" w:rsidRDefault="00883826" w:rsidP="00883826">
      <w:pPr>
        <w:pStyle w:val="TOC2"/>
        <w:tabs>
          <w:tab w:val="left" w:pos="1190"/>
        </w:tabs>
        <w:ind w:left="1134" w:hanging="624"/>
        <w:rPr>
          <w:rFonts w:asciiTheme="minorHAnsi" w:eastAsiaTheme="minorEastAsia" w:hAnsiTheme="minorHAnsi" w:cstheme="minorBidi"/>
          <w:noProof/>
          <w:sz w:val="22"/>
          <w:szCs w:val="22"/>
          <w:lang w:eastAsia="en-AU"/>
        </w:rPr>
      </w:pPr>
      <w:r>
        <w:rPr>
          <w:noProof/>
        </w:rPr>
        <w:t>3.1</w:t>
      </w:r>
      <w:r>
        <w:rPr>
          <w:rFonts w:asciiTheme="minorHAnsi" w:eastAsiaTheme="minorEastAsia" w:hAnsiTheme="minorHAnsi" w:cstheme="minorBidi"/>
          <w:noProof/>
          <w:sz w:val="22"/>
          <w:szCs w:val="22"/>
          <w:lang w:eastAsia="en-AU"/>
        </w:rPr>
        <w:tab/>
      </w:r>
      <w:r>
        <w:rPr>
          <w:noProof/>
        </w:rPr>
        <w:t>Generic requirements for setting up a business</w:t>
      </w:r>
      <w:r>
        <w:rPr>
          <w:noProof/>
        </w:rPr>
        <w:tab/>
      </w:r>
      <w:r w:rsidR="000E2B46">
        <w:rPr>
          <w:noProof/>
        </w:rPr>
        <w:t>7</w:t>
      </w:r>
      <w:r w:rsidR="0027575A">
        <w:rPr>
          <w:noProof/>
        </w:rPr>
        <w:t>8</w:t>
      </w:r>
    </w:p>
    <w:p w14:paraId="377FFBDF" w14:textId="309ED668" w:rsidR="00883826" w:rsidRDefault="00883826" w:rsidP="00883826">
      <w:pPr>
        <w:pStyle w:val="TOC2"/>
        <w:tabs>
          <w:tab w:val="left" w:pos="1190"/>
        </w:tabs>
        <w:ind w:left="1134" w:hanging="624"/>
        <w:rPr>
          <w:rFonts w:asciiTheme="minorHAnsi" w:eastAsiaTheme="minorEastAsia" w:hAnsiTheme="minorHAnsi" w:cstheme="minorBidi"/>
          <w:noProof/>
          <w:sz w:val="22"/>
          <w:szCs w:val="22"/>
          <w:lang w:eastAsia="en-AU"/>
        </w:rPr>
      </w:pPr>
      <w:r>
        <w:rPr>
          <w:noProof/>
        </w:rPr>
        <w:t>3.2</w:t>
      </w:r>
      <w:r>
        <w:rPr>
          <w:rFonts w:asciiTheme="minorHAnsi" w:eastAsiaTheme="minorEastAsia" w:hAnsiTheme="minorHAnsi" w:cstheme="minorBidi"/>
          <w:noProof/>
          <w:sz w:val="22"/>
          <w:szCs w:val="22"/>
          <w:lang w:eastAsia="en-AU"/>
        </w:rPr>
        <w:tab/>
      </w:r>
      <w:r>
        <w:rPr>
          <w:noProof/>
        </w:rPr>
        <w:t>Requirements applying to specific business activities</w:t>
      </w:r>
      <w:r>
        <w:rPr>
          <w:noProof/>
        </w:rPr>
        <w:tab/>
      </w:r>
      <w:r w:rsidR="000E2B46">
        <w:rPr>
          <w:noProof/>
        </w:rPr>
        <w:t>9</w:t>
      </w:r>
      <w:r w:rsidR="0027575A">
        <w:rPr>
          <w:noProof/>
        </w:rPr>
        <w:t>5</w:t>
      </w:r>
    </w:p>
    <w:p w14:paraId="43EE63DB" w14:textId="6DE8B821" w:rsidR="00883826" w:rsidRDefault="00883826" w:rsidP="00883826">
      <w:pPr>
        <w:pStyle w:val="TOC2"/>
        <w:tabs>
          <w:tab w:val="left" w:pos="1190"/>
        </w:tabs>
        <w:ind w:left="1134" w:hanging="624"/>
        <w:rPr>
          <w:rFonts w:asciiTheme="minorHAnsi" w:eastAsiaTheme="minorEastAsia" w:hAnsiTheme="minorHAnsi" w:cstheme="minorBidi"/>
          <w:noProof/>
          <w:sz w:val="22"/>
          <w:szCs w:val="22"/>
          <w:lang w:eastAsia="en-AU"/>
        </w:rPr>
      </w:pPr>
      <w:r>
        <w:rPr>
          <w:noProof/>
        </w:rPr>
        <w:t>3.3</w:t>
      </w:r>
      <w:r>
        <w:rPr>
          <w:rFonts w:asciiTheme="minorHAnsi" w:eastAsiaTheme="minorEastAsia" w:hAnsiTheme="minorHAnsi" w:cstheme="minorBidi"/>
          <w:noProof/>
          <w:sz w:val="22"/>
          <w:szCs w:val="22"/>
          <w:lang w:eastAsia="en-AU"/>
        </w:rPr>
        <w:tab/>
      </w:r>
      <w:r>
        <w:rPr>
          <w:noProof/>
        </w:rPr>
        <w:t>Ongoing and cumulative compliance burdens</w:t>
      </w:r>
      <w:r>
        <w:rPr>
          <w:noProof/>
        </w:rPr>
        <w:tab/>
      </w:r>
      <w:r w:rsidR="000E2B46">
        <w:rPr>
          <w:noProof/>
        </w:rPr>
        <w:t>10</w:t>
      </w:r>
      <w:r w:rsidR="0027575A">
        <w:rPr>
          <w:noProof/>
        </w:rPr>
        <w:t>1</w:t>
      </w:r>
    </w:p>
    <w:p w14:paraId="2B798F84" w14:textId="5EA1B338" w:rsidR="00883826" w:rsidRDefault="00883826">
      <w:pPr>
        <w:pStyle w:val="TOC1"/>
        <w:rPr>
          <w:rFonts w:asciiTheme="minorHAnsi" w:eastAsiaTheme="minorEastAsia" w:hAnsiTheme="minorHAnsi" w:cstheme="minorBidi"/>
          <w:b w:val="0"/>
          <w:noProof/>
          <w:sz w:val="22"/>
          <w:szCs w:val="22"/>
          <w:lang w:eastAsia="en-AU"/>
        </w:rPr>
      </w:pPr>
      <w:r>
        <w:rPr>
          <w:noProof/>
        </w:rPr>
        <w:t>4</w:t>
      </w:r>
      <w:r>
        <w:rPr>
          <w:rFonts w:asciiTheme="minorHAnsi" w:eastAsiaTheme="minorEastAsia" w:hAnsiTheme="minorHAnsi" w:cstheme="minorBidi"/>
          <w:b w:val="0"/>
          <w:noProof/>
          <w:sz w:val="22"/>
          <w:szCs w:val="22"/>
          <w:lang w:eastAsia="en-AU"/>
        </w:rPr>
        <w:tab/>
      </w:r>
      <w:r>
        <w:rPr>
          <w:noProof/>
        </w:rPr>
        <w:t xml:space="preserve">Restrictions on </w:t>
      </w:r>
      <w:r w:rsidR="000E2B46">
        <w:rPr>
          <w:noProof/>
        </w:rPr>
        <w:t>b</w:t>
      </w:r>
      <w:r>
        <w:rPr>
          <w:noProof/>
        </w:rPr>
        <w:t>usiness</w:t>
      </w:r>
      <w:r>
        <w:rPr>
          <w:noProof/>
        </w:rPr>
        <w:tab/>
      </w:r>
      <w:r w:rsidR="000E2B46">
        <w:rPr>
          <w:noProof/>
        </w:rPr>
        <w:t>10</w:t>
      </w:r>
      <w:r w:rsidR="0027575A">
        <w:rPr>
          <w:noProof/>
        </w:rPr>
        <w:t>5</w:t>
      </w:r>
    </w:p>
    <w:p w14:paraId="71839550" w14:textId="7E1A22E6" w:rsidR="00883826" w:rsidRDefault="00883826" w:rsidP="00883826">
      <w:pPr>
        <w:pStyle w:val="TOC2"/>
        <w:tabs>
          <w:tab w:val="left" w:pos="1190"/>
        </w:tabs>
        <w:ind w:left="1134" w:hanging="624"/>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r>
      <w:r>
        <w:rPr>
          <w:noProof/>
        </w:rPr>
        <w:t>Business-to-business contracts</w:t>
      </w:r>
      <w:r>
        <w:rPr>
          <w:noProof/>
        </w:rPr>
        <w:tab/>
      </w:r>
      <w:r w:rsidR="000E2B46">
        <w:rPr>
          <w:noProof/>
        </w:rPr>
        <w:t>10</w:t>
      </w:r>
      <w:r w:rsidR="0027575A">
        <w:rPr>
          <w:noProof/>
        </w:rPr>
        <w:t>6</w:t>
      </w:r>
    </w:p>
    <w:p w14:paraId="60042083" w14:textId="52E52CD8" w:rsidR="00883826" w:rsidRDefault="00883826" w:rsidP="00883826">
      <w:pPr>
        <w:pStyle w:val="TOC2"/>
        <w:tabs>
          <w:tab w:val="left" w:pos="1190"/>
        </w:tabs>
        <w:ind w:left="1134" w:hanging="624"/>
        <w:rPr>
          <w:rFonts w:asciiTheme="minorHAnsi" w:eastAsiaTheme="minorEastAsia" w:hAnsiTheme="minorHAnsi" w:cstheme="minorBidi"/>
          <w:noProof/>
          <w:sz w:val="22"/>
          <w:szCs w:val="22"/>
          <w:lang w:eastAsia="en-AU"/>
        </w:rPr>
      </w:pPr>
      <w:r>
        <w:rPr>
          <w:noProof/>
        </w:rPr>
        <w:t>4.2</w:t>
      </w:r>
      <w:r>
        <w:rPr>
          <w:rFonts w:asciiTheme="minorHAnsi" w:eastAsiaTheme="minorEastAsia" w:hAnsiTheme="minorHAnsi" w:cstheme="minorBidi"/>
          <w:noProof/>
          <w:sz w:val="22"/>
          <w:szCs w:val="22"/>
          <w:lang w:eastAsia="en-AU"/>
        </w:rPr>
        <w:tab/>
      </w:r>
      <w:r>
        <w:rPr>
          <w:noProof/>
        </w:rPr>
        <w:t>Land tenure arrangements</w:t>
      </w:r>
      <w:r>
        <w:rPr>
          <w:noProof/>
        </w:rPr>
        <w:tab/>
      </w:r>
      <w:r w:rsidR="000E2B46">
        <w:rPr>
          <w:noProof/>
        </w:rPr>
        <w:t>1</w:t>
      </w:r>
      <w:r w:rsidR="0027575A">
        <w:rPr>
          <w:noProof/>
        </w:rPr>
        <w:t>11</w:t>
      </w:r>
    </w:p>
    <w:p w14:paraId="19602493" w14:textId="4E1BD708" w:rsidR="00883826" w:rsidRDefault="00883826" w:rsidP="00883826">
      <w:pPr>
        <w:pStyle w:val="TOC2"/>
        <w:tabs>
          <w:tab w:val="left" w:pos="1190"/>
        </w:tabs>
        <w:ind w:left="1134" w:hanging="624"/>
        <w:rPr>
          <w:rFonts w:asciiTheme="minorHAnsi" w:eastAsiaTheme="minorEastAsia" w:hAnsiTheme="minorHAnsi" w:cstheme="minorBidi"/>
          <w:noProof/>
          <w:sz w:val="22"/>
          <w:szCs w:val="22"/>
          <w:lang w:eastAsia="en-AU"/>
        </w:rPr>
      </w:pPr>
      <w:r>
        <w:rPr>
          <w:noProof/>
        </w:rPr>
        <w:t>4.3</w:t>
      </w:r>
      <w:r>
        <w:rPr>
          <w:rFonts w:asciiTheme="minorHAnsi" w:eastAsiaTheme="minorEastAsia" w:hAnsiTheme="minorHAnsi" w:cstheme="minorBidi"/>
          <w:noProof/>
          <w:sz w:val="22"/>
          <w:szCs w:val="22"/>
          <w:lang w:eastAsia="en-AU"/>
        </w:rPr>
        <w:tab/>
      </w:r>
      <w:r>
        <w:rPr>
          <w:noProof/>
        </w:rPr>
        <w:t>Foreign investment restrictions</w:t>
      </w:r>
      <w:r>
        <w:rPr>
          <w:noProof/>
        </w:rPr>
        <w:tab/>
      </w:r>
      <w:r w:rsidR="000E2B46">
        <w:rPr>
          <w:noProof/>
        </w:rPr>
        <w:t>11</w:t>
      </w:r>
      <w:r w:rsidR="0027575A">
        <w:rPr>
          <w:noProof/>
        </w:rPr>
        <w:t>3</w:t>
      </w:r>
    </w:p>
    <w:p w14:paraId="1867CCDC" w14:textId="624F85B4" w:rsidR="00883826" w:rsidRDefault="00883826" w:rsidP="00883826">
      <w:pPr>
        <w:pStyle w:val="TOC2"/>
        <w:tabs>
          <w:tab w:val="left" w:pos="1190"/>
        </w:tabs>
        <w:ind w:left="1134" w:hanging="624"/>
        <w:rPr>
          <w:rFonts w:asciiTheme="minorHAnsi" w:eastAsiaTheme="minorEastAsia" w:hAnsiTheme="minorHAnsi" w:cstheme="minorBidi"/>
          <w:noProof/>
          <w:sz w:val="22"/>
          <w:szCs w:val="22"/>
          <w:lang w:eastAsia="en-AU"/>
        </w:rPr>
      </w:pPr>
      <w:r>
        <w:rPr>
          <w:noProof/>
        </w:rPr>
        <w:t>4.4</w:t>
      </w:r>
      <w:r>
        <w:rPr>
          <w:rFonts w:asciiTheme="minorHAnsi" w:eastAsiaTheme="minorEastAsia" w:hAnsiTheme="minorHAnsi" w:cstheme="minorBidi"/>
          <w:noProof/>
          <w:sz w:val="22"/>
          <w:szCs w:val="22"/>
          <w:lang w:eastAsia="en-AU"/>
        </w:rPr>
        <w:tab/>
      </w:r>
      <w:r>
        <w:rPr>
          <w:noProof/>
        </w:rPr>
        <w:t>Other potential barriers</w:t>
      </w:r>
      <w:r>
        <w:rPr>
          <w:noProof/>
        </w:rPr>
        <w:tab/>
      </w:r>
      <w:r w:rsidR="00E516C5">
        <w:rPr>
          <w:noProof/>
        </w:rPr>
        <w:t>11</w:t>
      </w:r>
      <w:r w:rsidR="0027575A">
        <w:rPr>
          <w:noProof/>
        </w:rPr>
        <w:t>6</w:t>
      </w:r>
    </w:p>
    <w:p w14:paraId="612AC2E6" w14:textId="4FB491B1" w:rsidR="00883826" w:rsidRDefault="00883826">
      <w:pPr>
        <w:pStyle w:val="TOC1"/>
        <w:rPr>
          <w:rFonts w:asciiTheme="minorHAnsi" w:eastAsiaTheme="minorEastAsia" w:hAnsiTheme="minorHAnsi" w:cstheme="minorBidi"/>
          <w:b w:val="0"/>
          <w:noProof/>
          <w:sz w:val="22"/>
          <w:szCs w:val="22"/>
          <w:lang w:eastAsia="en-AU"/>
        </w:rPr>
      </w:pPr>
      <w:r>
        <w:rPr>
          <w:noProof/>
        </w:rPr>
        <w:t>5</w:t>
      </w:r>
      <w:r>
        <w:rPr>
          <w:rFonts w:asciiTheme="minorHAnsi" w:eastAsiaTheme="minorEastAsia" w:hAnsiTheme="minorHAnsi" w:cstheme="minorBidi"/>
          <w:b w:val="0"/>
          <w:noProof/>
          <w:sz w:val="22"/>
          <w:szCs w:val="22"/>
          <w:lang w:eastAsia="en-AU"/>
        </w:rPr>
        <w:tab/>
      </w:r>
      <w:r>
        <w:rPr>
          <w:noProof/>
        </w:rPr>
        <w:t>Access to finance for new businesses</w:t>
      </w:r>
      <w:r>
        <w:rPr>
          <w:noProof/>
        </w:rPr>
        <w:tab/>
      </w:r>
      <w:r w:rsidR="00E516C5">
        <w:rPr>
          <w:noProof/>
        </w:rPr>
        <w:t>11</w:t>
      </w:r>
      <w:r w:rsidR="0027575A">
        <w:rPr>
          <w:noProof/>
        </w:rPr>
        <w:t>9</w:t>
      </w:r>
    </w:p>
    <w:p w14:paraId="4083ED7D" w14:textId="544FABF2" w:rsidR="00883826" w:rsidRDefault="00883826" w:rsidP="00883826">
      <w:pPr>
        <w:pStyle w:val="TOC2"/>
        <w:tabs>
          <w:tab w:val="left" w:pos="1190"/>
        </w:tabs>
        <w:ind w:left="1134" w:hanging="624"/>
        <w:rPr>
          <w:rFonts w:asciiTheme="minorHAnsi" w:eastAsiaTheme="minorEastAsia" w:hAnsiTheme="minorHAnsi" w:cstheme="minorBidi"/>
          <w:noProof/>
          <w:sz w:val="22"/>
          <w:szCs w:val="22"/>
          <w:lang w:eastAsia="en-AU"/>
        </w:rPr>
      </w:pPr>
      <w:r>
        <w:rPr>
          <w:noProof/>
        </w:rPr>
        <w:t>5.1</w:t>
      </w:r>
      <w:r>
        <w:rPr>
          <w:rFonts w:asciiTheme="minorHAnsi" w:eastAsiaTheme="minorEastAsia" w:hAnsiTheme="minorHAnsi" w:cstheme="minorBidi"/>
          <w:noProof/>
          <w:sz w:val="22"/>
          <w:szCs w:val="22"/>
          <w:lang w:eastAsia="en-AU"/>
        </w:rPr>
        <w:tab/>
      </w:r>
      <w:r>
        <w:rPr>
          <w:noProof/>
        </w:rPr>
        <w:t>Is there evidence that access to finance is an issue?</w:t>
      </w:r>
      <w:r>
        <w:rPr>
          <w:noProof/>
        </w:rPr>
        <w:tab/>
      </w:r>
      <w:r w:rsidR="00E516C5">
        <w:rPr>
          <w:noProof/>
        </w:rPr>
        <w:t>1</w:t>
      </w:r>
      <w:r w:rsidR="0027575A">
        <w:rPr>
          <w:noProof/>
        </w:rPr>
        <w:t>20</w:t>
      </w:r>
    </w:p>
    <w:p w14:paraId="203A9886" w14:textId="5F916FF2" w:rsidR="00883826" w:rsidRDefault="00883826" w:rsidP="00883826">
      <w:pPr>
        <w:pStyle w:val="TOC2"/>
        <w:tabs>
          <w:tab w:val="left" w:pos="1190"/>
        </w:tabs>
        <w:ind w:left="1134" w:hanging="624"/>
        <w:rPr>
          <w:rFonts w:asciiTheme="minorHAnsi" w:eastAsiaTheme="minorEastAsia" w:hAnsiTheme="minorHAnsi" w:cstheme="minorBidi"/>
          <w:noProof/>
          <w:sz w:val="22"/>
          <w:szCs w:val="22"/>
          <w:lang w:eastAsia="en-AU"/>
        </w:rPr>
      </w:pPr>
      <w:r>
        <w:rPr>
          <w:noProof/>
        </w:rPr>
        <w:t>5.2</w:t>
      </w:r>
      <w:r>
        <w:rPr>
          <w:rFonts w:asciiTheme="minorHAnsi" w:eastAsiaTheme="minorEastAsia" w:hAnsiTheme="minorHAnsi" w:cstheme="minorBidi"/>
          <w:noProof/>
          <w:sz w:val="22"/>
          <w:szCs w:val="22"/>
          <w:lang w:eastAsia="en-AU"/>
        </w:rPr>
        <w:tab/>
      </w:r>
      <w:r>
        <w:rPr>
          <w:noProof/>
        </w:rPr>
        <w:t>Types and sources of business finance</w:t>
      </w:r>
      <w:r>
        <w:rPr>
          <w:noProof/>
        </w:rPr>
        <w:tab/>
      </w:r>
      <w:r w:rsidR="00E516C5">
        <w:rPr>
          <w:noProof/>
        </w:rPr>
        <w:t>12</w:t>
      </w:r>
      <w:r w:rsidR="0027575A">
        <w:rPr>
          <w:noProof/>
        </w:rPr>
        <w:t>7</w:t>
      </w:r>
    </w:p>
    <w:p w14:paraId="02FA046E" w14:textId="32155E4E" w:rsidR="00883826" w:rsidRDefault="00883826" w:rsidP="00883826">
      <w:pPr>
        <w:pStyle w:val="TOC2"/>
        <w:tabs>
          <w:tab w:val="left" w:pos="1190"/>
        </w:tabs>
        <w:ind w:left="1134" w:hanging="624"/>
        <w:rPr>
          <w:rFonts w:asciiTheme="minorHAnsi" w:eastAsiaTheme="minorEastAsia" w:hAnsiTheme="minorHAnsi" w:cstheme="minorBidi"/>
          <w:noProof/>
          <w:sz w:val="22"/>
          <w:szCs w:val="22"/>
          <w:lang w:eastAsia="en-AU"/>
        </w:rPr>
      </w:pPr>
      <w:r>
        <w:rPr>
          <w:noProof/>
        </w:rPr>
        <w:t>5.3</w:t>
      </w:r>
      <w:r>
        <w:rPr>
          <w:rFonts w:asciiTheme="minorHAnsi" w:eastAsiaTheme="minorEastAsia" w:hAnsiTheme="minorHAnsi" w:cstheme="minorBidi"/>
          <w:noProof/>
          <w:sz w:val="22"/>
          <w:szCs w:val="22"/>
          <w:lang w:eastAsia="en-AU"/>
        </w:rPr>
        <w:tab/>
      </w:r>
      <w:r>
        <w:rPr>
          <w:noProof/>
        </w:rPr>
        <w:t>Why might new businesses find it difficult to access finance?</w:t>
      </w:r>
      <w:r>
        <w:rPr>
          <w:noProof/>
        </w:rPr>
        <w:tab/>
      </w:r>
      <w:r w:rsidR="00E516C5">
        <w:rPr>
          <w:noProof/>
        </w:rPr>
        <w:t>13</w:t>
      </w:r>
      <w:r w:rsidR="0027575A">
        <w:rPr>
          <w:noProof/>
        </w:rPr>
        <w:t>2</w:t>
      </w:r>
    </w:p>
    <w:p w14:paraId="4C88A8D5" w14:textId="73CA3488" w:rsidR="00883826" w:rsidRDefault="00883826" w:rsidP="00883826">
      <w:pPr>
        <w:pStyle w:val="TOC2"/>
        <w:tabs>
          <w:tab w:val="left" w:pos="1190"/>
        </w:tabs>
        <w:ind w:left="1134" w:hanging="624"/>
        <w:rPr>
          <w:rFonts w:asciiTheme="minorHAnsi" w:eastAsiaTheme="minorEastAsia" w:hAnsiTheme="minorHAnsi" w:cstheme="minorBidi"/>
          <w:noProof/>
          <w:sz w:val="22"/>
          <w:szCs w:val="22"/>
          <w:lang w:eastAsia="en-AU"/>
        </w:rPr>
      </w:pPr>
      <w:r>
        <w:rPr>
          <w:noProof/>
        </w:rPr>
        <w:t>5.4</w:t>
      </w:r>
      <w:r>
        <w:rPr>
          <w:rFonts w:asciiTheme="minorHAnsi" w:eastAsiaTheme="minorEastAsia" w:hAnsiTheme="minorHAnsi" w:cstheme="minorBidi"/>
          <w:noProof/>
          <w:sz w:val="22"/>
          <w:szCs w:val="22"/>
          <w:lang w:eastAsia="en-AU"/>
        </w:rPr>
        <w:tab/>
      </w:r>
      <w:r>
        <w:rPr>
          <w:noProof/>
        </w:rPr>
        <w:t>Government involvement in new business finance</w:t>
      </w:r>
      <w:r>
        <w:rPr>
          <w:noProof/>
        </w:rPr>
        <w:tab/>
      </w:r>
      <w:r w:rsidR="00E516C5">
        <w:rPr>
          <w:noProof/>
        </w:rPr>
        <w:t>13</w:t>
      </w:r>
      <w:r w:rsidR="0027575A">
        <w:rPr>
          <w:noProof/>
        </w:rPr>
        <w:t>4</w:t>
      </w:r>
    </w:p>
    <w:p w14:paraId="31C1C80D" w14:textId="071C1A34" w:rsidR="00883826" w:rsidRDefault="00883826" w:rsidP="00883826">
      <w:pPr>
        <w:pStyle w:val="TOC2"/>
        <w:tabs>
          <w:tab w:val="left" w:pos="1190"/>
        </w:tabs>
        <w:ind w:left="1134" w:hanging="624"/>
        <w:rPr>
          <w:rFonts w:asciiTheme="minorHAnsi" w:eastAsiaTheme="minorEastAsia" w:hAnsiTheme="minorHAnsi" w:cstheme="minorBidi"/>
          <w:noProof/>
          <w:sz w:val="22"/>
          <w:szCs w:val="22"/>
          <w:lang w:eastAsia="en-AU"/>
        </w:rPr>
      </w:pPr>
      <w:r>
        <w:rPr>
          <w:noProof/>
        </w:rPr>
        <w:t>5.5</w:t>
      </w:r>
      <w:r>
        <w:rPr>
          <w:rFonts w:asciiTheme="minorHAnsi" w:eastAsiaTheme="minorEastAsia" w:hAnsiTheme="minorHAnsi" w:cstheme="minorBidi"/>
          <w:noProof/>
          <w:sz w:val="22"/>
          <w:szCs w:val="22"/>
          <w:lang w:eastAsia="en-AU"/>
        </w:rPr>
        <w:tab/>
      </w:r>
      <w:r>
        <w:rPr>
          <w:noProof/>
        </w:rPr>
        <w:t>What conclusions can be drawn on access to finance?</w:t>
      </w:r>
      <w:r>
        <w:rPr>
          <w:noProof/>
        </w:rPr>
        <w:tab/>
      </w:r>
      <w:r w:rsidR="00E516C5">
        <w:rPr>
          <w:noProof/>
        </w:rPr>
        <w:t>13</w:t>
      </w:r>
      <w:r w:rsidR="0027575A">
        <w:rPr>
          <w:noProof/>
        </w:rPr>
        <w:t>6</w:t>
      </w:r>
    </w:p>
    <w:p w14:paraId="72246EF0" w14:textId="460ABC46" w:rsidR="00883826" w:rsidRDefault="00883826">
      <w:pPr>
        <w:pStyle w:val="TOC1"/>
        <w:rPr>
          <w:rFonts w:asciiTheme="minorHAnsi" w:eastAsiaTheme="minorEastAsia" w:hAnsiTheme="minorHAnsi" w:cstheme="minorBidi"/>
          <w:b w:val="0"/>
          <w:noProof/>
          <w:sz w:val="22"/>
          <w:szCs w:val="22"/>
          <w:lang w:eastAsia="en-AU"/>
        </w:rPr>
      </w:pPr>
      <w:r>
        <w:rPr>
          <w:noProof/>
        </w:rPr>
        <w:t>6</w:t>
      </w:r>
      <w:r>
        <w:rPr>
          <w:rFonts w:asciiTheme="minorHAnsi" w:eastAsiaTheme="minorEastAsia" w:hAnsiTheme="minorHAnsi" w:cstheme="minorBidi"/>
          <w:b w:val="0"/>
          <w:noProof/>
          <w:sz w:val="22"/>
          <w:szCs w:val="22"/>
          <w:lang w:eastAsia="en-AU"/>
        </w:rPr>
        <w:tab/>
      </w:r>
      <w:r>
        <w:rPr>
          <w:noProof/>
        </w:rPr>
        <w:t>Equity finance</w:t>
      </w:r>
      <w:r>
        <w:rPr>
          <w:noProof/>
        </w:rPr>
        <w:tab/>
      </w:r>
      <w:r w:rsidR="00E516C5">
        <w:rPr>
          <w:noProof/>
        </w:rPr>
        <w:t>13</w:t>
      </w:r>
      <w:r w:rsidR="0027575A">
        <w:rPr>
          <w:noProof/>
        </w:rPr>
        <w:t>7</w:t>
      </w:r>
    </w:p>
    <w:p w14:paraId="7AC0F3AE" w14:textId="165EF05B" w:rsidR="00883826" w:rsidRDefault="00883826" w:rsidP="00883826">
      <w:pPr>
        <w:pStyle w:val="TOC2"/>
        <w:tabs>
          <w:tab w:val="left" w:pos="1190"/>
        </w:tabs>
        <w:ind w:left="1134" w:hanging="624"/>
        <w:rPr>
          <w:rFonts w:asciiTheme="minorHAnsi" w:eastAsiaTheme="minorEastAsia" w:hAnsiTheme="minorHAnsi" w:cstheme="minorBidi"/>
          <w:noProof/>
          <w:sz w:val="22"/>
          <w:szCs w:val="22"/>
          <w:lang w:eastAsia="en-AU"/>
        </w:rPr>
      </w:pPr>
      <w:r>
        <w:rPr>
          <w:noProof/>
        </w:rPr>
        <w:t>6.1</w:t>
      </w:r>
      <w:r>
        <w:rPr>
          <w:rFonts w:asciiTheme="minorHAnsi" w:eastAsiaTheme="minorEastAsia" w:hAnsiTheme="minorHAnsi" w:cstheme="minorBidi"/>
          <w:noProof/>
          <w:sz w:val="22"/>
          <w:szCs w:val="22"/>
          <w:lang w:eastAsia="en-AU"/>
        </w:rPr>
        <w:tab/>
      </w:r>
      <w:r>
        <w:rPr>
          <w:noProof/>
        </w:rPr>
        <w:t>The role of equity finance</w:t>
      </w:r>
      <w:r>
        <w:rPr>
          <w:noProof/>
        </w:rPr>
        <w:tab/>
      </w:r>
      <w:r w:rsidR="00E516C5">
        <w:rPr>
          <w:noProof/>
        </w:rPr>
        <w:t>13</w:t>
      </w:r>
      <w:r w:rsidR="0027575A">
        <w:rPr>
          <w:noProof/>
        </w:rPr>
        <w:t>8</w:t>
      </w:r>
    </w:p>
    <w:p w14:paraId="57515C36" w14:textId="2411CB3A" w:rsidR="00883826" w:rsidRDefault="00883826" w:rsidP="00883826">
      <w:pPr>
        <w:pStyle w:val="TOC2"/>
        <w:tabs>
          <w:tab w:val="left" w:pos="1190"/>
        </w:tabs>
        <w:ind w:left="1134" w:hanging="624"/>
        <w:rPr>
          <w:rFonts w:asciiTheme="minorHAnsi" w:eastAsiaTheme="minorEastAsia" w:hAnsiTheme="minorHAnsi" w:cstheme="minorBidi"/>
          <w:noProof/>
          <w:sz w:val="22"/>
          <w:szCs w:val="22"/>
          <w:lang w:eastAsia="en-AU"/>
        </w:rPr>
      </w:pPr>
      <w:r>
        <w:rPr>
          <w:noProof/>
        </w:rPr>
        <w:t>6.2</w:t>
      </w:r>
      <w:r>
        <w:rPr>
          <w:rFonts w:asciiTheme="minorHAnsi" w:eastAsiaTheme="minorEastAsia" w:hAnsiTheme="minorHAnsi" w:cstheme="minorBidi"/>
          <w:noProof/>
          <w:sz w:val="22"/>
          <w:szCs w:val="22"/>
          <w:lang w:eastAsia="en-AU"/>
        </w:rPr>
        <w:tab/>
      </w:r>
      <w:r>
        <w:rPr>
          <w:noProof/>
        </w:rPr>
        <w:t>Crowd-sourced equity funding: what is the right regulatory framework?</w:t>
      </w:r>
      <w:r>
        <w:rPr>
          <w:noProof/>
        </w:rPr>
        <w:tab/>
      </w:r>
      <w:r w:rsidR="00E516C5">
        <w:rPr>
          <w:noProof/>
        </w:rPr>
        <w:t>14</w:t>
      </w:r>
      <w:r w:rsidR="0027575A">
        <w:rPr>
          <w:noProof/>
        </w:rPr>
        <w:t>3</w:t>
      </w:r>
    </w:p>
    <w:p w14:paraId="674B6326" w14:textId="7DE85CB7" w:rsidR="00883826" w:rsidRDefault="00883826" w:rsidP="00883826">
      <w:pPr>
        <w:pStyle w:val="TOC2"/>
        <w:tabs>
          <w:tab w:val="left" w:pos="1190"/>
        </w:tabs>
        <w:ind w:left="1134" w:hanging="624"/>
        <w:rPr>
          <w:rFonts w:asciiTheme="minorHAnsi" w:eastAsiaTheme="minorEastAsia" w:hAnsiTheme="minorHAnsi" w:cstheme="minorBidi"/>
          <w:noProof/>
          <w:sz w:val="22"/>
          <w:szCs w:val="22"/>
          <w:lang w:eastAsia="en-AU"/>
        </w:rPr>
      </w:pPr>
      <w:r>
        <w:rPr>
          <w:noProof/>
        </w:rPr>
        <w:t>6.3</w:t>
      </w:r>
      <w:r>
        <w:rPr>
          <w:rFonts w:asciiTheme="minorHAnsi" w:eastAsiaTheme="minorEastAsia" w:hAnsiTheme="minorHAnsi" w:cstheme="minorBidi"/>
          <w:noProof/>
          <w:sz w:val="22"/>
          <w:szCs w:val="22"/>
          <w:lang w:eastAsia="en-AU"/>
        </w:rPr>
        <w:tab/>
      </w:r>
      <w:r>
        <w:rPr>
          <w:noProof/>
        </w:rPr>
        <w:t>Employee share schemes: new arrangements for access</w:t>
      </w:r>
      <w:r>
        <w:rPr>
          <w:noProof/>
        </w:rPr>
        <w:tab/>
      </w:r>
      <w:r w:rsidR="00E516C5">
        <w:rPr>
          <w:noProof/>
        </w:rPr>
        <w:t>1</w:t>
      </w:r>
      <w:r w:rsidR="0027575A">
        <w:rPr>
          <w:noProof/>
        </w:rPr>
        <w:t>50</w:t>
      </w:r>
    </w:p>
    <w:p w14:paraId="52279959" w14:textId="0251D94F" w:rsidR="00883826" w:rsidRDefault="00883826" w:rsidP="00883826">
      <w:pPr>
        <w:pStyle w:val="TOC2"/>
        <w:tabs>
          <w:tab w:val="left" w:pos="1190"/>
        </w:tabs>
        <w:ind w:left="1134" w:hanging="624"/>
        <w:rPr>
          <w:rFonts w:asciiTheme="minorHAnsi" w:eastAsiaTheme="minorEastAsia" w:hAnsiTheme="minorHAnsi" w:cstheme="minorBidi"/>
          <w:noProof/>
          <w:sz w:val="22"/>
          <w:szCs w:val="22"/>
          <w:lang w:eastAsia="en-AU"/>
        </w:rPr>
      </w:pPr>
      <w:r>
        <w:rPr>
          <w:noProof/>
        </w:rPr>
        <w:t>6.4</w:t>
      </w:r>
      <w:r>
        <w:rPr>
          <w:rFonts w:asciiTheme="minorHAnsi" w:eastAsiaTheme="minorEastAsia" w:hAnsiTheme="minorHAnsi" w:cstheme="minorBidi"/>
          <w:noProof/>
          <w:sz w:val="22"/>
          <w:szCs w:val="22"/>
          <w:lang w:eastAsia="en-AU"/>
        </w:rPr>
        <w:tab/>
      </w:r>
      <w:r>
        <w:rPr>
          <w:noProof/>
        </w:rPr>
        <w:t>Company listing: are the costs prohibitive?</w:t>
      </w:r>
      <w:r>
        <w:rPr>
          <w:noProof/>
        </w:rPr>
        <w:tab/>
      </w:r>
      <w:r w:rsidR="00E516C5">
        <w:rPr>
          <w:noProof/>
        </w:rPr>
        <w:t>15</w:t>
      </w:r>
      <w:r w:rsidR="0027575A">
        <w:rPr>
          <w:noProof/>
        </w:rPr>
        <w:t>4</w:t>
      </w:r>
    </w:p>
    <w:p w14:paraId="5432BE6D" w14:textId="5826F496" w:rsidR="00883826" w:rsidRDefault="00883826" w:rsidP="00883826">
      <w:pPr>
        <w:pStyle w:val="TOC2"/>
        <w:tabs>
          <w:tab w:val="left" w:pos="1190"/>
        </w:tabs>
        <w:ind w:left="1134" w:hanging="624"/>
        <w:rPr>
          <w:rFonts w:asciiTheme="minorHAnsi" w:eastAsiaTheme="minorEastAsia" w:hAnsiTheme="minorHAnsi" w:cstheme="minorBidi"/>
          <w:noProof/>
          <w:sz w:val="22"/>
          <w:szCs w:val="22"/>
          <w:lang w:eastAsia="en-AU"/>
        </w:rPr>
      </w:pPr>
      <w:r>
        <w:rPr>
          <w:noProof/>
        </w:rPr>
        <w:t>6.5</w:t>
      </w:r>
      <w:r>
        <w:rPr>
          <w:rFonts w:asciiTheme="minorHAnsi" w:eastAsiaTheme="minorEastAsia" w:hAnsiTheme="minorHAnsi" w:cstheme="minorBidi"/>
          <w:noProof/>
          <w:sz w:val="22"/>
          <w:szCs w:val="22"/>
          <w:lang w:eastAsia="en-AU"/>
        </w:rPr>
        <w:tab/>
      </w:r>
      <w:r>
        <w:rPr>
          <w:noProof/>
        </w:rPr>
        <w:t>Venture capital: how accessible is it?</w:t>
      </w:r>
      <w:r>
        <w:rPr>
          <w:noProof/>
        </w:rPr>
        <w:tab/>
      </w:r>
      <w:r w:rsidR="00E516C5">
        <w:rPr>
          <w:noProof/>
        </w:rPr>
        <w:t>15</w:t>
      </w:r>
      <w:r w:rsidR="0027575A">
        <w:rPr>
          <w:noProof/>
        </w:rPr>
        <w:t>7</w:t>
      </w:r>
    </w:p>
    <w:p w14:paraId="39C0464C" w14:textId="05D36362" w:rsidR="00883826" w:rsidRDefault="00883826">
      <w:pPr>
        <w:pStyle w:val="TOC1"/>
        <w:rPr>
          <w:rFonts w:asciiTheme="minorHAnsi" w:eastAsiaTheme="minorEastAsia" w:hAnsiTheme="minorHAnsi" w:cstheme="minorBidi"/>
          <w:b w:val="0"/>
          <w:noProof/>
          <w:sz w:val="22"/>
          <w:szCs w:val="22"/>
          <w:lang w:eastAsia="en-AU"/>
        </w:rPr>
      </w:pPr>
      <w:r>
        <w:rPr>
          <w:noProof/>
        </w:rPr>
        <w:t>7</w:t>
      </w:r>
      <w:r>
        <w:rPr>
          <w:rFonts w:asciiTheme="minorHAnsi" w:eastAsiaTheme="minorEastAsia" w:hAnsiTheme="minorHAnsi" w:cstheme="minorBidi"/>
          <w:b w:val="0"/>
          <w:noProof/>
          <w:sz w:val="22"/>
          <w:szCs w:val="22"/>
          <w:lang w:eastAsia="en-AU"/>
        </w:rPr>
        <w:tab/>
      </w:r>
      <w:r>
        <w:rPr>
          <w:noProof/>
        </w:rPr>
        <w:t>Debt finance</w:t>
      </w:r>
      <w:r>
        <w:rPr>
          <w:noProof/>
        </w:rPr>
        <w:tab/>
        <w:t>1</w:t>
      </w:r>
      <w:r w:rsidR="00E516C5">
        <w:rPr>
          <w:noProof/>
        </w:rPr>
        <w:t>7</w:t>
      </w:r>
      <w:r w:rsidR="0027575A">
        <w:rPr>
          <w:noProof/>
        </w:rPr>
        <w:t>7</w:t>
      </w:r>
    </w:p>
    <w:p w14:paraId="20559E43" w14:textId="043EC4ED" w:rsidR="00883826" w:rsidRDefault="00883826" w:rsidP="00883826">
      <w:pPr>
        <w:pStyle w:val="TOC2"/>
        <w:tabs>
          <w:tab w:val="left" w:pos="1190"/>
        </w:tabs>
        <w:ind w:left="1134" w:hanging="624"/>
        <w:rPr>
          <w:rFonts w:asciiTheme="minorHAnsi" w:eastAsiaTheme="minorEastAsia" w:hAnsiTheme="minorHAnsi" w:cstheme="minorBidi"/>
          <w:noProof/>
          <w:sz w:val="22"/>
          <w:szCs w:val="22"/>
          <w:lang w:eastAsia="en-AU"/>
        </w:rPr>
      </w:pPr>
      <w:r>
        <w:rPr>
          <w:noProof/>
        </w:rPr>
        <w:t>7.1</w:t>
      </w:r>
      <w:r>
        <w:rPr>
          <w:rFonts w:asciiTheme="minorHAnsi" w:eastAsiaTheme="minorEastAsia" w:hAnsiTheme="minorHAnsi" w:cstheme="minorBidi"/>
          <w:noProof/>
          <w:sz w:val="22"/>
          <w:szCs w:val="22"/>
          <w:lang w:eastAsia="en-AU"/>
        </w:rPr>
        <w:tab/>
      </w:r>
      <w:r>
        <w:rPr>
          <w:noProof/>
        </w:rPr>
        <w:t>The use of debt finance by new businesses</w:t>
      </w:r>
      <w:r>
        <w:rPr>
          <w:noProof/>
        </w:rPr>
        <w:tab/>
      </w:r>
      <w:r w:rsidR="00E516C5">
        <w:rPr>
          <w:noProof/>
        </w:rPr>
        <w:t>17</w:t>
      </w:r>
      <w:r w:rsidR="0027575A">
        <w:rPr>
          <w:noProof/>
        </w:rPr>
        <w:t>8</w:t>
      </w:r>
    </w:p>
    <w:p w14:paraId="0FA54337" w14:textId="29BD1F5E" w:rsidR="00883826" w:rsidRDefault="00883826" w:rsidP="00883826">
      <w:pPr>
        <w:pStyle w:val="TOC2"/>
        <w:tabs>
          <w:tab w:val="left" w:pos="1190"/>
        </w:tabs>
        <w:ind w:left="1134" w:hanging="624"/>
        <w:rPr>
          <w:rFonts w:asciiTheme="minorHAnsi" w:eastAsiaTheme="minorEastAsia" w:hAnsiTheme="minorHAnsi" w:cstheme="minorBidi"/>
          <w:noProof/>
          <w:sz w:val="22"/>
          <w:szCs w:val="22"/>
          <w:lang w:eastAsia="en-AU"/>
        </w:rPr>
      </w:pPr>
      <w:r>
        <w:rPr>
          <w:noProof/>
        </w:rPr>
        <w:t>7.2</w:t>
      </w:r>
      <w:r>
        <w:rPr>
          <w:rFonts w:asciiTheme="minorHAnsi" w:eastAsiaTheme="minorEastAsia" w:hAnsiTheme="minorHAnsi" w:cstheme="minorBidi"/>
          <w:noProof/>
          <w:sz w:val="22"/>
          <w:szCs w:val="22"/>
          <w:lang w:eastAsia="en-AU"/>
        </w:rPr>
        <w:tab/>
      </w:r>
      <w:r>
        <w:rPr>
          <w:noProof/>
        </w:rPr>
        <w:t>Debt finance issues for new businesses</w:t>
      </w:r>
      <w:r>
        <w:rPr>
          <w:noProof/>
        </w:rPr>
        <w:tab/>
      </w:r>
      <w:r w:rsidR="00E516C5">
        <w:rPr>
          <w:noProof/>
        </w:rPr>
        <w:t>1</w:t>
      </w:r>
      <w:r w:rsidR="0027575A">
        <w:rPr>
          <w:noProof/>
        </w:rPr>
        <w:t>80</w:t>
      </w:r>
    </w:p>
    <w:p w14:paraId="52104469" w14:textId="75A895B0" w:rsidR="00883826" w:rsidRDefault="00883826" w:rsidP="00883826">
      <w:pPr>
        <w:pStyle w:val="TOC2"/>
        <w:tabs>
          <w:tab w:val="left" w:pos="1190"/>
        </w:tabs>
        <w:ind w:left="1134" w:hanging="624"/>
        <w:rPr>
          <w:rFonts w:asciiTheme="minorHAnsi" w:eastAsiaTheme="minorEastAsia" w:hAnsiTheme="minorHAnsi" w:cstheme="minorBidi"/>
          <w:noProof/>
          <w:sz w:val="22"/>
          <w:szCs w:val="22"/>
          <w:lang w:eastAsia="en-AU"/>
        </w:rPr>
      </w:pPr>
      <w:r>
        <w:rPr>
          <w:noProof/>
        </w:rPr>
        <w:t>7.3</w:t>
      </w:r>
      <w:r>
        <w:rPr>
          <w:rFonts w:asciiTheme="minorHAnsi" w:eastAsiaTheme="minorEastAsia" w:hAnsiTheme="minorHAnsi" w:cstheme="minorBidi"/>
          <w:noProof/>
          <w:sz w:val="22"/>
          <w:szCs w:val="22"/>
          <w:lang w:eastAsia="en-AU"/>
        </w:rPr>
        <w:tab/>
      </w:r>
      <w:r>
        <w:rPr>
          <w:noProof/>
        </w:rPr>
        <w:t>Options for improving access to debt finance</w:t>
      </w:r>
      <w:r>
        <w:rPr>
          <w:noProof/>
        </w:rPr>
        <w:tab/>
      </w:r>
      <w:r w:rsidR="00E516C5">
        <w:rPr>
          <w:noProof/>
        </w:rPr>
        <w:t>19</w:t>
      </w:r>
      <w:r w:rsidR="0027575A">
        <w:rPr>
          <w:noProof/>
        </w:rPr>
        <w:t>4</w:t>
      </w:r>
    </w:p>
    <w:p w14:paraId="5F8C7BA4" w14:textId="29D525EC" w:rsidR="00883826" w:rsidRDefault="00883826">
      <w:pPr>
        <w:pStyle w:val="TOC1"/>
        <w:rPr>
          <w:rFonts w:asciiTheme="minorHAnsi" w:eastAsiaTheme="minorEastAsia" w:hAnsiTheme="minorHAnsi" w:cstheme="minorBidi"/>
          <w:b w:val="0"/>
          <w:noProof/>
          <w:sz w:val="22"/>
          <w:szCs w:val="22"/>
          <w:lang w:eastAsia="en-AU"/>
        </w:rPr>
      </w:pPr>
      <w:r>
        <w:rPr>
          <w:noProof/>
        </w:rPr>
        <w:t>8</w:t>
      </w:r>
      <w:r>
        <w:rPr>
          <w:rFonts w:asciiTheme="minorHAnsi" w:eastAsiaTheme="minorEastAsia" w:hAnsiTheme="minorHAnsi" w:cstheme="minorBidi"/>
          <w:b w:val="0"/>
          <w:noProof/>
          <w:sz w:val="22"/>
          <w:szCs w:val="22"/>
          <w:lang w:eastAsia="en-AU"/>
        </w:rPr>
        <w:tab/>
      </w:r>
      <w:r>
        <w:rPr>
          <w:noProof/>
        </w:rPr>
        <w:t>New business models, the digital economy and regulation</w:t>
      </w:r>
      <w:r>
        <w:rPr>
          <w:noProof/>
        </w:rPr>
        <w:tab/>
      </w:r>
      <w:r w:rsidR="00E516C5">
        <w:rPr>
          <w:noProof/>
        </w:rPr>
        <w:t>20</w:t>
      </w:r>
      <w:r w:rsidR="0027575A">
        <w:rPr>
          <w:noProof/>
        </w:rPr>
        <w:t>5</w:t>
      </w:r>
    </w:p>
    <w:p w14:paraId="2B7022F0" w14:textId="7613F175" w:rsidR="00883826" w:rsidRDefault="00883826" w:rsidP="00883826">
      <w:pPr>
        <w:pStyle w:val="TOC2"/>
        <w:tabs>
          <w:tab w:val="left" w:pos="1190"/>
        </w:tabs>
        <w:ind w:left="1134" w:hanging="624"/>
        <w:rPr>
          <w:rFonts w:asciiTheme="minorHAnsi" w:eastAsiaTheme="minorEastAsia" w:hAnsiTheme="minorHAnsi" w:cstheme="minorBidi"/>
          <w:noProof/>
          <w:sz w:val="22"/>
          <w:szCs w:val="22"/>
          <w:lang w:eastAsia="en-AU"/>
        </w:rPr>
      </w:pPr>
      <w:r>
        <w:rPr>
          <w:noProof/>
        </w:rPr>
        <w:t>8.1</w:t>
      </w:r>
      <w:r>
        <w:rPr>
          <w:rFonts w:asciiTheme="minorHAnsi" w:eastAsiaTheme="minorEastAsia" w:hAnsiTheme="minorHAnsi" w:cstheme="minorBidi"/>
          <w:noProof/>
          <w:sz w:val="22"/>
          <w:szCs w:val="22"/>
          <w:lang w:eastAsia="en-AU"/>
        </w:rPr>
        <w:tab/>
      </w:r>
      <w:r>
        <w:rPr>
          <w:noProof/>
        </w:rPr>
        <w:t>Rapid changes in the way businesses operate</w:t>
      </w:r>
      <w:r>
        <w:rPr>
          <w:noProof/>
        </w:rPr>
        <w:tab/>
      </w:r>
      <w:r w:rsidR="00E516C5">
        <w:rPr>
          <w:noProof/>
        </w:rPr>
        <w:t>20</w:t>
      </w:r>
      <w:r w:rsidR="0027575A">
        <w:rPr>
          <w:noProof/>
        </w:rPr>
        <w:t>6</w:t>
      </w:r>
    </w:p>
    <w:p w14:paraId="07F91B4C" w14:textId="57BFB050" w:rsidR="00883826" w:rsidRDefault="00883826" w:rsidP="00883826">
      <w:pPr>
        <w:pStyle w:val="TOC2"/>
        <w:tabs>
          <w:tab w:val="left" w:pos="1190"/>
        </w:tabs>
        <w:ind w:left="1134" w:hanging="624"/>
        <w:rPr>
          <w:rFonts w:asciiTheme="minorHAnsi" w:eastAsiaTheme="minorEastAsia" w:hAnsiTheme="minorHAnsi" w:cstheme="minorBidi"/>
          <w:noProof/>
          <w:sz w:val="22"/>
          <w:szCs w:val="22"/>
          <w:lang w:eastAsia="en-AU"/>
        </w:rPr>
      </w:pPr>
      <w:r>
        <w:rPr>
          <w:noProof/>
        </w:rPr>
        <w:t>8.2</w:t>
      </w:r>
      <w:r>
        <w:rPr>
          <w:rFonts w:asciiTheme="minorHAnsi" w:eastAsiaTheme="minorEastAsia" w:hAnsiTheme="minorHAnsi" w:cstheme="minorBidi"/>
          <w:noProof/>
          <w:sz w:val="22"/>
          <w:szCs w:val="22"/>
          <w:lang w:eastAsia="en-AU"/>
        </w:rPr>
        <w:tab/>
      </w:r>
      <w:r>
        <w:rPr>
          <w:noProof/>
        </w:rPr>
        <w:t>Regulatory challenges of digital business models</w:t>
      </w:r>
      <w:r>
        <w:rPr>
          <w:noProof/>
        </w:rPr>
        <w:tab/>
      </w:r>
      <w:r w:rsidR="00E516C5">
        <w:rPr>
          <w:noProof/>
        </w:rPr>
        <w:t>2</w:t>
      </w:r>
      <w:r w:rsidR="0027575A">
        <w:rPr>
          <w:noProof/>
        </w:rPr>
        <w:t>10</w:t>
      </w:r>
    </w:p>
    <w:p w14:paraId="7A98D85F" w14:textId="6066FB30" w:rsidR="00883826" w:rsidRDefault="00883826" w:rsidP="00883826">
      <w:pPr>
        <w:pStyle w:val="TOC2"/>
        <w:tabs>
          <w:tab w:val="left" w:pos="1190"/>
        </w:tabs>
        <w:ind w:left="1134" w:hanging="624"/>
        <w:rPr>
          <w:rFonts w:asciiTheme="minorHAnsi" w:eastAsiaTheme="minorEastAsia" w:hAnsiTheme="minorHAnsi" w:cstheme="minorBidi"/>
          <w:noProof/>
          <w:sz w:val="22"/>
          <w:szCs w:val="22"/>
          <w:lang w:eastAsia="en-AU"/>
        </w:rPr>
      </w:pPr>
      <w:r>
        <w:rPr>
          <w:noProof/>
        </w:rPr>
        <w:t>8.3</w:t>
      </w:r>
      <w:r>
        <w:rPr>
          <w:rFonts w:asciiTheme="minorHAnsi" w:eastAsiaTheme="minorEastAsia" w:hAnsiTheme="minorHAnsi" w:cstheme="minorBidi"/>
          <w:noProof/>
          <w:sz w:val="22"/>
          <w:szCs w:val="22"/>
          <w:lang w:eastAsia="en-AU"/>
        </w:rPr>
        <w:tab/>
      </w:r>
      <w:r>
        <w:rPr>
          <w:noProof/>
        </w:rPr>
        <w:t>Capturing the benefits of new business models</w:t>
      </w:r>
      <w:r>
        <w:rPr>
          <w:noProof/>
        </w:rPr>
        <w:tab/>
      </w:r>
      <w:r w:rsidR="00E516C5">
        <w:rPr>
          <w:noProof/>
        </w:rPr>
        <w:t>22</w:t>
      </w:r>
      <w:r w:rsidR="0027575A">
        <w:rPr>
          <w:noProof/>
        </w:rPr>
        <w:t>2</w:t>
      </w:r>
    </w:p>
    <w:p w14:paraId="54B1A354" w14:textId="642841F9" w:rsidR="00883826" w:rsidRDefault="00883826">
      <w:pPr>
        <w:pStyle w:val="TOC1"/>
        <w:rPr>
          <w:rFonts w:asciiTheme="minorHAnsi" w:eastAsiaTheme="minorEastAsia" w:hAnsiTheme="minorHAnsi" w:cstheme="minorBidi"/>
          <w:b w:val="0"/>
          <w:noProof/>
          <w:sz w:val="22"/>
          <w:szCs w:val="22"/>
          <w:lang w:eastAsia="en-AU"/>
        </w:rPr>
      </w:pPr>
      <w:r>
        <w:rPr>
          <w:noProof/>
        </w:rPr>
        <w:lastRenderedPageBreak/>
        <w:t>9</w:t>
      </w:r>
      <w:r>
        <w:rPr>
          <w:rFonts w:asciiTheme="minorHAnsi" w:eastAsiaTheme="minorEastAsia" w:hAnsiTheme="minorHAnsi" w:cstheme="minorBidi"/>
          <w:b w:val="0"/>
          <w:noProof/>
          <w:sz w:val="22"/>
          <w:szCs w:val="22"/>
          <w:lang w:eastAsia="en-AU"/>
        </w:rPr>
        <w:tab/>
      </w:r>
      <w:r>
        <w:rPr>
          <w:noProof/>
        </w:rPr>
        <w:t>Payment systems regulation</w:t>
      </w:r>
      <w:r>
        <w:rPr>
          <w:noProof/>
        </w:rPr>
        <w:tab/>
      </w:r>
      <w:r w:rsidR="00E516C5">
        <w:rPr>
          <w:noProof/>
        </w:rPr>
        <w:t>22</w:t>
      </w:r>
      <w:r w:rsidR="0027575A">
        <w:rPr>
          <w:noProof/>
        </w:rPr>
        <w:t>9</w:t>
      </w:r>
    </w:p>
    <w:p w14:paraId="3DD3C03B" w14:textId="12114C43" w:rsidR="00883826" w:rsidRDefault="00883826" w:rsidP="00883826">
      <w:pPr>
        <w:pStyle w:val="TOC2"/>
        <w:tabs>
          <w:tab w:val="left" w:pos="1190"/>
        </w:tabs>
        <w:ind w:left="1134" w:hanging="624"/>
        <w:rPr>
          <w:rFonts w:asciiTheme="minorHAnsi" w:eastAsiaTheme="minorEastAsia" w:hAnsiTheme="minorHAnsi" w:cstheme="minorBidi"/>
          <w:noProof/>
          <w:sz w:val="22"/>
          <w:szCs w:val="22"/>
          <w:lang w:eastAsia="en-AU"/>
        </w:rPr>
      </w:pPr>
      <w:r>
        <w:rPr>
          <w:noProof/>
        </w:rPr>
        <w:t>9.1</w:t>
      </w:r>
      <w:r>
        <w:rPr>
          <w:rFonts w:asciiTheme="minorHAnsi" w:eastAsiaTheme="minorEastAsia" w:hAnsiTheme="minorHAnsi" w:cstheme="minorBidi"/>
          <w:noProof/>
          <w:sz w:val="22"/>
          <w:szCs w:val="22"/>
          <w:lang w:eastAsia="en-AU"/>
        </w:rPr>
        <w:tab/>
      </w:r>
      <w:r>
        <w:rPr>
          <w:noProof/>
        </w:rPr>
        <w:t>Accommodating new business models in the existing payment systems</w:t>
      </w:r>
      <w:r>
        <w:rPr>
          <w:noProof/>
        </w:rPr>
        <w:tab/>
        <w:t>2</w:t>
      </w:r>
      <w:r w:rsidR="0027575A">
        <w:rPr>
          <w:noProof/>
        </w:rPr>
        <w:t>30</w:t>
      </w:r>
    </w:p>
    <w:p w14:paraId="7F8274CA" w14:textId="7DE2396D" w:rsidR="00883826" w:rsidRDefault="00883826" w:rsidP="00883826">
      <w:pPr>
        <w:pStyle w:val="TOC2"/>
        <w:tabs>
          <w:tab w:val="left" w:pos="1190"/>
        </w:tabs>
        <w:ind w:left="1134" w:hanging="624"/>
        <w:rPr>
          <w:rFonts w:asciiTheme="minorHAnsi" w:eastAsiaTheme="minorEastAsia" w:hAnsiTheme="minorHAnsi" w:cstheme="minorBidi"/>
          <w:noProof/>
          <w:sz w:val="22"/>
          <w:szCs w:val="22"/>
          <w:lang w:eastAsia="en-AU"/>
        </w:rPr>
      </w:pPr>
      <w:r>
        <w:rPr>
          <w:noProof/>
        </w:rPr>
        <w:t>9.2</w:t>
      </w:r>
      <w:r>
        <w:rPr>
          <w:rFonts w:asciiTheme="minorHAnsi" w:eastAsiaTheme="minorEastAsia" w:hAnsiTheme="minorHAnsi" w:cstheme="minorBidi"/>
          <w:noProof/>
          <w:sz w:val="22"/>
          <w:szCs w:val="22"/>
          <w:lang w:eastAsia="en-AU"/>
        </w:rPr>
        <w:tab/>
      </w:r>
      <w:r>
        <w:rPr>
          <w:noProof/>
        </w:rPr>
        <w:t>Access and competition in payment systems</w:t>
      </w:r>
      <w:r>
        <w:rPr>
          <w:noProof/>
        </w:rPr>
        <w:tab/>
      </w:r>
      <w:r w:rsidR="00E516C5">
        <w:rPr>
          <w:noProof/>
        </w:rPr>
        <w:t>23</w:t>
      </w:r>
      <w:r w:rsidR="0027575A">
        <w:rPr>
          <w:noProof/>
        </w:rPr>
        <w:t>4</w:t>
      </w:r>
    </w:p>
    <w:p w14:paraId="4AC77606" w14:textId="2D765809" w:rsidR="00883826" w:rsidRDefault="00883826" w:rsidP="00883826">
      <w:pPr>
        <w:pStyle w:val="TOC2"/>
        <w:tabs>
          <w:tab w:val="left" w:pos="1190"/>
        </w:tabs>
        <w:ind w:left="1134" w:hanging="624"/>
        <w:rPr>
          <w:rFonts w:asciiTheme="minorHAnsi" w:eastAsiaTheme="minorEastAsia" w:hAnsiTheme="minorHAnsi" w:cstheme="minorBidi"/>
          <w:noProof/>
          <w:sz w:val="22"/>
          <w:szCs w:val="22"/>
          <w:lang w:eastAsia="en-AU"/>
        </w:rPr>
      </w:pPr>
      <w:r>
        <w:rPr>
          <w:noProof/>
        </w:rPr>
        <w:t>9.3</w:t>
      </w:r>
      <w:r>
        <w:rPr>
          <w:rFonts w:asciiTheme="minorHAnsi" w:eastAsiaTheme="minorEastAsia" w:hAnsiTheme="minorHAnsi" w:cstheme="minorBidi"/>
          <w:noProof/>
          <w:sz w:val="22"/>
          <w:szCs w:val="22"/>
          <w:lang w:eastAsia="en-AU"/>
        </w:rPr>
        <w:tab/>
      </w:r>
      <w:r>
        <w:rPr>
          <w:noProof/>
        </w:rPr>
        <w:t>Digital currencies</w:t>
      </w:r>
      <w:r>
        <w:rPr>
          <w:noProof/>
        </w:rPr>
        <w:tab/>
      </w:r>
      <w:r w:rsidR="00E516C5">
        <w:rPr>
          <w:noProof/>
        </w:rPr>
        <w:t>2</w:t>
      </w:r>
      <w:r w:rsidR="0027575A">
        <w:rPr>
          <w:noProof/>
        </w:rPr>
        <w:t>40</w:t>
      </w:r>
    </w:p>
    <w:p w14:paraId="61079BC5" w14:textId="40982669" w:rsidR="00883826" w:rsidRDefault="00883826">
      <w:pPr>
        <w:pStyle w:val="TOC1"/>
        <w:rPr>
          <w:rFonts w:asciiTheme="minorHAnsi" w:eastAsiaTheme="minorEastAsia" w:hAnsiTheme="minorHAnsi" w:cstheme="minorBidi"/>
          <w:b w:val="0"/>
          <w:noProof/>
          <w:sz w:val="22"/>
          <w:szCs w:val="22"/>
          <w:lang w:eastAsia="en-AU"/>
        </w:rPr>
      </w:pPr>
      <w:r>
        <w:rPr>
          <w:noProof/>
        </w:rPr>
        <w:t>10</w:t>
      </w:r>
      <w:r>
        <w:rPr>
          <w:rFonts w:asciiTheme="minorHAnsi" w:eastAsiaTheme="minorEastAsia" w:hAnsiTheme="minorHAnsi" w:cstheme="minorBidi"/>
          <w:b w:val="0"/>
          <w:noProof/>
          <w:sz w:val="22"/>
          <w:szCs w:val="22"/>
          <w:lang w:eastAsia="en-AU"/>
        </w:rPr>
        <w:tab/>
      </w:r>
      <w:r>
        <w:rPr>
          <w:noProof/>
        </w:rPr>
        <w:t>Supporting entrepreneurial ecosystems</w:t>
      </w:r>
      <w:r>
        <w:rPr>
          <w:noProof/>
        </w:rPr>
        <w:tab/>
      </w:r>
      <w:r w:rsidR="00E516C5">
        <w:rPr>
          <w:noProof/>
        </w:rPr>
        <w:t>24</w:t>
      </w:r>
      <w:r w:rsidR="0027575A">
        <w:rPr>
          <w:noProof/>
        </w:rPr>
        <w:t>9</w:t>
      </w:r>
    </w:p>
    <w:p w14:paraId="7BEFBB5D" w14:textId="2912A6A2" w:rsidR="00883826" w:rsidRDefault="00883826" w:rsidP="00883826">
      <w:pPr>
        <w:pStyle w:val="TOC2"/>
        <w:tabs>
          <w:tab w:val="left" w:pos="1320"/>
        </w:tabs>
        <w:ind w:left="1134" w:hanging="624"/>
        <w:rPr>
          <w:rFonts w:asciiTheme="minorHAnsi" w:eastAsiaTheme="minorEastAsia" w:hAnsiTheme="minorHAnsi" w:cstheme="minorBidi"/>
          <w:noProof/>
          <w:sz w:val="22"/>
          <w:szCs w:val="22"/>
          <w:lang w:eastAsia="en-AU"/>
        </w:rPr>
      </w:pPr>
      <w:r>
        <w:rPr>
          <w:noProof/>
        </w:rPr>
        <w:t>10.1</w:t>
      </w:r>
      <w:r>
        <w:rPr>
          <w:rFonts w:asciiTheme="minorHAnsi" w:eastAsiaTheme="minorEastAsia" w:hAnsiTheme="minorHAnsi" w:cstheme="minorBidi"/>
          <w:noProof/>
          <w:sz w:val="22"/>
          <w:szCs w:val="22"/>
          <w:lang w:eastAsia="en-AU"/>
        </w:rPr>
        <w:tab/>
      </w:r>
      <w:r>
        <w:rPr>
          <w:noProof/>
        </w:rPr>
        <w:t>Government support for new business is wide</w:t>
      </w:r>
      <w:r>
        <w:rPr>
          <w:noProof/>
        </w:rPr>
        <w:noBreakHyphen/>
        <w:t>ranging</w:t>
      </w:r>
      <w:r>
        <w:rPr>
          <w:noProof/>
        </w:rPr>
        <w:tab/>
      </w:r>
      <w:r w:rsidR="00E516C5">
        <w:rPr>
          <w:noProof/>
        </w:rPr>
        <w:t>2</w:t>
      </w:r>
      <w:r w:rsidR="0027575A">
        <w:rPr>
          <w:noProof/>
        </w:rPr>
        <w:t>50</w:t>
      </w:r>
    </w:p>
    <w:p w14:paraId="36F3E715" w14:textId="5593F0A2" w:rsidR="00883826" w:rsidRDefault="00883826" w:rsidP="00883826">
      <w:pPr>
        <w:pStyle w:val="TOC2"/>
        <w:tabs>
          <w:tab w:val="left" w:pos="1320"/>
        </w:tabs>
        <w:ind w:left="1134" w:hanging="624"/>
        <w:rPr>
          <w:rFonts w:asciiTheme="minorHAnsi" w:eastAsiaTheme="minorEastAsia" w:hAnsiTheme="minorHAnsi" w:cstheme="minorBidi"/>
          <w:noProof/>
          <w:sz w:val="22"/>
          <w:szCs w:val="22"/>
          <w:lang w:eastAsia="en-AU"/>
        </w:rPr>
      </w:pPr>
      <w:r>
        <w:rPr>
          <w:noProof/>
        </w:rPr>
        <w:t>10.2</w:t>
      </w:r>
      <w:r>
        <w:rPr>
          <w:rFonts w:asciiTheme="minorHAnsi" w:eastAsiaTheme="minorEastAsia" w:hAnsiTheme="minorHAnsi" w:cstheme="minorBidi"/>
          <w:noProof/>
          <w:sz w:val="22"/>
          <w:szCs w:val="22"/>
          <w:lang w:eastAsia="en-AU"/>
        </w:rPr>
        <w:tab/>
      </w:r>
      <w:r>
        <w:rPr>
          <w:noProof/>
        </w:rPr>
        <w:t>What is the role of governments with respect to start</w:t>
      </w:r>
      <w:r>
        <w:rPr>
          <w:noProof/>
        </w:rPr>
        <w:noBreakHyphen/>
        <w:t>ups?</w:t>
      </w:r>
      <w:r>
        <w:rPr>
          <w:noProof/>
        </w:rPr>
        <w:tab/>
      </w:r>
      <w:r w:rsidR="00E516C5">
        <w:rPr>
          <w:noProof/>
        </w:rPr>
        <w:t>25</w:t>
      </w:r>
      <w:r w:rsidR="0027575A">
        <w:rPr>
          <w:noProof/>
        </w:rPr>
        <w:t>4</w:t>
      </w:r>
    </w:p>
    <w:p w14:paraId="45F4D3B1" w14:textId="08AF6005" w:rsidR="00883826" w:rsidRDefault="00883826" w:rsidP="00883826">
      <w:pPr>
        <w:pStyle w:val="TOC2"/>
        <w:tabs>
          <w:tab w:val="left" w:pos="1320"/>
        </w:tabs>
        <w:ind w:left="1134" w:hanging="624"/>
        <w:rPr>
          <w:rFonts w:asciiTheme="minorHAnsi" w:eastAsiaTheme="minorEastAsia" w:hAnsiTheme="minorHAnsi" w:cstheme="minorBidi"/>
          <w:noProof/>
          <w:sz w:val="22"/>
          <w:szCs w:val="22"/>
          <w:lang w:eastAsia="en-AU"/>
        </w:rPr>
      </w:pPr>
      <w:r>
        <w:rPr>
          <w:noProof/>
        </w:rPr>
        <w:t>10.3</w:t>
      </w:r>
      <w:r>
        <w:rPr>
          <w:rFonts w:asciiTheme="minorHAnsi" w:eastAsiaTheme="minorEastAsia" w:hAnsiTheme="minorHAnsi" w:cstheme="minorBidi"/>
          <w:noProof/>
          <w:sz w:val="22"/>
          <w:szCs w:val="22"/>
          <w:lang w:eastAsia="en-AU"/>
        </w:rPr>
        <w:tab/>
      </w:r>
      <w:r>
        <w:rPr>
          <w:noProof/>
        </w:rPr>
        <w:t xml:space="preserve">Specific barriers and </w:t>
      </w:r>
      <w:r w:rsidR="00D74435">
        <w:rPr>
          <w:noProof/>
        </w:rPr>
        <w:t>spillover opportunities</w:t>
      </w:r>
      <w:r>
        <w:rPr>
          <w:noProof/>
        </w:rPr>
        <w:tab/>
      </w:r>
      <w:r w:rsidR="00E516C5">
        <w:rPr>
          <w:noProof/>
        </w:rPr>
        <w:t>26</w:t>
      </w:r>
      <w:r w:rsidR="0027575A">
        <w:rPr>
          <w:noProof/>
        </w:rPr>
        <w:t>8</w:t>
      </w:r>
    </w:p>
    <w:p w14:paraId="5C69F694" w14:textId="7D6170BB" w:rsidR="00883826" w:rsidRDefault="00883826">
      <w:pPr>
        <w:pStyle w:val="TOC1"/>
        <w:rPr>
          <w:rFonts w:asciiTheme="minorHAnsi" w:eastAsiaTheme="minorEastAsia" w:hAnsiTheme="minorHAnsi" w:cstheme="minorBidi"/>
          <w:b w:val="0"/>
          <w:noProof/>
          <w:sz w:val="22"/>
          <w:szCs w:val="22"/>
          <w:lang w:eastAsia="en-AU"/>
        </w:rPr>
      </w:pPr>
      <w:r>
        <w:rPr>
          <w:noProof/>
        </w:rPr>
        <w:t>11</w:t>
      </w:r>
      <w:r>
        <w:rPr>
          <w:rFonts w:asciiTheme="minorHAnsi" w:eastAsiaTheme="minorEastAsia" w:hAnsiTheme="minorHAnsi" w:cstheme="minorBidi"/>
          <w:b w:val="0"/>
          <w:noProof/>
          <w:sz w:val="22"/>
          <w:szCs w:val="22"/>
          <w:lang w:eastAsia="en-AU"/>
        </w:rPr>
        <w:tab/>
      </w:r>
      <w:r>
        <w:rPr>
          <w:noProof/>
        </w:rPr>
        <w:t>Voluntary business exits</w:t>
      </w:r>
      <w:r>
        <w:rPr>
          <w:noProof/>
        </w:rPr>
        <w:tab/>
      </w:r>
      <w:r w:rsidR="00E516C5">
        <w:rPr>
          <w:noProof/>
        </w:rPr>
        <w:t>2</w:t>
      </w:r>
      <w:r w:rsidR="0027575A">
        <w:rPr>
          <w:noProof/>
        </w:rPr>
        <w:t>91</w:t>
      </w:r>
    </w:p>
    <w:p w14:paraId="68257E54" w14:textId="7DA73592" w:rsidR="00883826" w:rsidRDefault="00883826" w:rsidP="00883826">
      <w:pPr>
        <w:pStyle w:val="TOC2"/>
        <w:tabs>
          <w:tab w:val="left" w:pos="1320"/>
        </w:tabs>
        <w:ind w:left="1134" w:hanging="624"/>
        <w:rPr>
          <w:rFonts w:asciiTheme="minorHAnsi" w:eastAsiaTheme="minorEastAsia" w:hAnsiTheme="minorHAnsi" w:cstheme="minorBidi"/>
          <w:noProof/>
          <w:sz w:val="22"/>
          <w:szCs w:val="22"/>
          <w:lang w:eastAsia="en-AU"/>
        </w:rPr>
      </w:pPr>
      <w:r>
        <w:rPr>
          <w:noProof/>
        </w:rPr>
        <w:t>11.1</w:t>
      </w:r>
      <w:r>
        <w:rPr>
          <w:rFonts w:asciiTheme="minorHAnsi" w:eastAsiaTheme="minorEastAsia" w:hAnsiTheme="minorHAnsi" w:cstheme="minorBidi"/>
          <w:noProof/>
          <w:sz w:val="22"/>
          <w:szCs w:val="22"/>
          <w:lang w:eastAsia="en-AU"/>
        </w:rPr>
        <w:tab/>
      </w:r>
      <w:r>
        <w:rPr>
          <w:noProof/>
        </w:rPr>
        <w:t>How and why do businesses exit?</w:t>
      </w:r>
      <w:r>
        <w:rPr>
          <w:noProof/>
        </w:rPr>
        <w:tab/>
        <w:t>2</w:t>
      </w:r>
      <w:r w:rsidR="00E516C5">
        <w:rPr>
          <w:noProof/>
        </w:rPr>
        <w:t>9</w:t>
      </w:r>
      <w:r w:rsidR="0027575A">
        <w:rPr>
          <w:noProof/>
        </w:rPr>
        <w:t>2</w:t>
      </w:r>
    </w:p>
    <w:p w14:paraId="016C524F" w14:textId="1A1D16C2" w:rsidR="00883826" w:rsidRDefault="00883826" w:rsidP="00883826">
      <w:pPr>
        <w:pStyle w:val="TOC2"/>
        <w:tabs>
          <w:tab w:val="left" w:pos="1320"/>
        </w:tabs>
        <w:ind w:left="1134" w:hanging="624"/>
        <w:rPr>
          <w:rFonts w:asciiTheme="minorHAnsi" w:eastAsiaTheme="minorEastAsia" w:hAnsiTheme="minorHAnsi" w:cstheme="minorBidi"/>
          <w:noProof/>
          <w:sz w:val="22"/>
          <w:szCs w:val="22"/>
          <w:lang w:eastAsia="en-AU"/>
        </w:rPr>
      </w:pPr>
      <w:r>
        <w:rPr>
          <w:noProof/>
        </w:rPr>
        <w:t>11.2</w:t>
      </w:r>
      <w:r>
        <w:rPr>
          <w:rFonts w:asciiTheme="minorHAnsi" w:eastAsiaTheme="minorEastAsia" w:hAnsiTheme="minorHAnsi" w:cstheme="minorBidi"/>
          <w:noProof/>
          <w:sz w:val="22"/>
          <w:szCs w:val="22"/>
          <w:lang w:eastAsia="en-AU"/>
        </w:rPr>
        <w:tab/>
      </w:r>
      <w:r>
        <w:rPr>
          <w:noProof/>
        </w:rPr>
        <w:t>How many businesses exit without failing?</w:t>
      </w:r>
      <w:r>
        <w:rPr>
          <w:noProof/>
        </w:rPr>
        <w:tab/>
      </w:r>
      <w:r w:rsidR="00E516C5">
        <w:rPr>
          <w:noProof/>
        </w:rPr>
        <w:t>29</w:t>
      </w:r>
      <w:r w:rsidR="0027575A">
        <w:rPr>
          <w:noProof/>
        </w:rPr>
        <w:t>5</w:t>
      </w:r>
    </w:p>
    <w:p w14:paraId="339E427E" w14:textId="6EAC07B7" w:rsidR="00883826" w:rsidRDefault="00883826" w:rsidP="00883826">
      <w:pPr>
        <w:pStyle w:val="TOC2"/>
        <w:tabs>
          <w:tab w:val="left" w:pos="1320"/>
        </w:tabs>
        <w:ind w:left="1134" w:hanging="624"/>
        <w:rPr>
          <w:rFonts w:asciiTheme="minorHAnsi" w:eastAsiaTheme="minorEastAsia" w:hAnsiTheme="minorHAnsi" w:cstheme="minorBidi"/>
          <w:noProof/>
          <w:sz w:val="22"/>
          <w:szCs w:val="22"/>
          <w:lang w:eastAsia="en-AU"/>
        </w:rPr>
      </w:pPr>
      <w:r>
        <w:rPr>
          <w:noProof/>
        </w:rPr>
        <w:t>11.3</w:t>
      </w:r>
      <w:r>
        <w:rPr>
          <w:rFonts w:asciiTheme="minorHAnsi" w:eastAsiaTheme="minorEastAsia" w:hAnsiTheme="minorHAnsi" w:cstheme="minorBidi"/>
          <w:noProof/>
          <w:sz w:val="22"/>
          <w:szCs w:val="22"/>
          <w:lang w:eastAsia="en-AU"/>
        </w:rPr>
        <w:tab/>
      </w:r>
      <w:r>
        <w:rPr>
          <w:noProof/>
        </w:rPr>
        <w:t>Business exit requirements</w:t>
      </w:r>
      <w:r>
        <w:rPr>
          <w:noProof/>
        </w:rPr>
        <w:tab/>
      </w:r>
      <w:r w:rsidR="00E516C5">
        <w:rPr>
          <w:noProof/>
        </w:rPr>
        <w:t>29</w:t>
      </w:r>
      <w:r w:rsidR="0027575A">
        <w:rPr>
          <w:noProof/>
        </w:rPr>
        <w:t>6</w:t>
      </w:r>
    </w:p>
    <w:p w14:paraId="5969B28A" w14:textId="7C7DF81E" w:rsidR="00883826" w:rsidRDefault="00883826" w:rsidP="00883826">
      <w:pPr>
        <w:pStyle w:val="TOC2"/>
        <w:tabs>
          <w:tab w:val="left" w:pos="1320"/>
        </w:tabs>
        <w:ind w:left="1134" w:hanging="624"/>
        <w:rPr>
          <w:rFonts w:asciiTheme="minorHAnsi" w:eastAsiaTheme="minorEastAsia" w:hAnsiTheme="minorHAnsi" w:cstheme="minorBidi"/>
          <w:noProof/>
          <w:sz w:val="22"/>
          <w:szCs w:val="22"/>
          <w:lang w:eastAsia="en-AU"/>
        </w:rPr>
      </w:pPr>
      <w:r>
        <w:rPr>
          <w:noProof/>
        </w:rPr>
        <w:t>11.4</w:t>
      </w:r>
      <w:r>
        <w:rPr>
          <w:rFonts w:asciiTheme="minorHAnsi" w:eastAsiaTheme="minorEastAsia" w:hAnsiTheme="minorHAnsi" w:cstheme="minorBidi"/>
          <w:noProof/>
          <w:sz w:val="22"/>
          <w:szCs w:val="22"/>
          <w:lang w:eastAsia="en-AU"/>
        </w:rPr>
        <w:tab/>
      </w:r>
      <w:r>
        <w:rPr>
          <w:noProof/>
        </w:rPr>
        <w:t>Issues in voluntary exit</w:t>
      </w:r>
      <w:r>
        <w:rPr>
          <w:noProof/>
        </w:rPr>
        <w:tab/>
      </w:r>
      <w:r w:rsidR="00E516C5">
        <w:rPr>
          <w:noProof/>
        </w:rPr>
        <w:t>30</w:t>
      </w:r>
      <w:r w:rsidR="0027575A">
        <w:rPr>
          <w:noProof/>
        </w:rPr>
        <w:t>4</w:t>
      </w:r>
    </w:p>
    <w:p w14:paraId="46F34A83" w14:textId="507CF7C1" w:rsidR="00883826" w:rsidRDefault="00883826">
      <w:pPr>
        <w:pStyle w:val="TOC1"/>
        <w:rPr>
          <w:rFonts w:asciiTheme="minorHAnsi" w:eastAsiaTheme="minorEastAsia" w:hAnsiTheme="minorHAnsi" w:cstheme="minorBidi"/>
          <w:b w:val="0"/>
          <w:noProof/>
          <w:sz w:val="22"/>
          <w:szCs w:val="22"/>
          <w:lang w:eastAsia="en-AU"/>
        </w:rPr>
      </w:pPr>
      <w:r>
        <w:rPr>
          <w:noProof/>
        </w:rPr>
        <w:t>12</w:t>
      </w:r>
      <w:r>
        <w:rPr>
          <w:rFonts w:asciiTheme="minorHAnsi" w:eastAsiaTheme="minorEastAsia" w:hAnsiTheme="minorHAnsi" w:cstheme="minorBidi"/>
          <w:b w:val="0"/>
          <w:noProof/>
          <w:sz w:val="22"/>
          <w:szCs w:val="22"/>
          <w:lang w:eastAsia="en-AU"/>
        </w:rPr>
        <w:tab/>
      </w:r>
      <w:r>
        <w:rPr>
          <w:noProof/>
        </w:rPr>
        <w:t>Personal insolvency</w:t>
      </w:r>
      <w:r>
        <w:rPr>
          <w:noProof/>
        </w:rPr>
        <w:tab/>
      </w:r>
      <w:r w:rsidR="00E516C5">
        <w:rPr>
          <w:noProof/>
        </w:rPr>
        <w:t>31</w:t>
      </w:r>
      <w:r w:rsidR="0027575A">
        <w:rPr>
          <w:noProof/>
        </w:rPr>
        <w:t>9</w:t>
      </w:r>
    </w:p>
    <w:p w14:paraId="7E7E54CF" w14:textId="3558A7DA" w:rsidR="00883826" w:rsidRDefault="00883826" w:rsidP="00883826">
      <w:pPr>
        <w:pStyle w:val="TOC2"/>
        <w:tabs>
          <w:tab w:val="left" w:pos="1320"/>
        </w:tabs>
        <w:ind w:left="1134" w:hanging="624"/>
        <w:rPr>
          <w:rFonts w:asciiTheme="minorHAnsi" w:eastAsiaTheme="minorEastAsia" w:hAnsiTheme="minorHAnsi" w:cstheme="minorBidi"/>
          <w:noProof/>
          <w:sz w:val="22"/>
          <w:szCs w:val="22"/>
          <w:lang w:eastAsia="en-AU"/>
        </w:rPr>
      </w:pPr>
      <w:r>
        <w:rPr>
          <w:noProof/>
        </w:rPr>
        <w:t>12.1</w:t>
      </w:r>
      <w:r>
        <w:rPr>
          <w:rFonts w:asciiTheme="minorHAnsi" w:eastAsiaTheme="minorEastAsia" w:hAnsiTheme="minorHAnsi" w:cstheme="minorBidi"/>
          <w:noProof/>
          <w:sz w:val="22"/>
          <w:szCs w:val="22"/>
          <w:lang w:eastAsia="en-AU"/>
        </w:rPr>
        <w:tab/>
      </w:r>
      <w:r>
        <w:rPr>
          <w:noProof/>
        </w:rPr>
        <w:t>Characteristics and trends in personal insolvency</w:t>
      </w:r>
      <w:r>
        <w:rPr>
          <w:noProof/>
        </w:rPr>
        <w:tab/>
      </w:r>
      <w:r w:rsidR="00E516C5">
        <w:rPr>
          <w:noProof/>
        </w:rPr>
        <w:t>3</w:t>
      </w:r>
      <w:r w:rsidR="0027575A">
        <w:rPr>
          <w:noProof/>
        </w:rPr>
        <w:t>20</w:t>
      </w:r>
    </w:p>
    <w:p w14:paraId="4F888581" w14:textId="2787059F" w:rsidR="00883826" w:rsidRDefault="00883826" w:rsidP="00883826">
      <w:pPr>
        <w:pStyle w:val="TOC2"/>
        <w:tabs>
          <w:tab w:val="left" w:pos="1320"/>
        </w:tabs>
        <w:ind w:left="1134" w:hanging="624"/>
        <w:rPr>
          <w:rFonts w:asciiTheme="minorHAnsi" w:eastAsiaTheme="minorEastAsia" w:hAnsiTheme="minorHAnsi" w:cstheme="minorBidi"/>
          <w:noProof/>
          <w:sz w:val="22"/>
          <w:szCs w:val="22"/>
          <w:lang w:eastAsia="en-AU"/>
        </w:rPr>
      </w:pPr>
      <w:r>
        <w:rPr>
          <w:noProof/>
        </w:rPr>
        <w:t>12.2</w:t>
      </w:r>
      <w:r>
        <w:rPr>
          <w:rFonts w:asciiTheme="minorHAnsi" w:eastAsiaTheme="minorEastAsia" w:hAnsiTheme="minorHAnsi" w:cstheme="minorBidi"/>
          <w:noProof/>
          <w:sz w:val="22"/>
          <w:szCs w:val="22"/>
          <w:lang w:eastAsia="en-AU"/>
        </w:rPr>
        <w:tab/>
      </w:r>
      <w:r>
        <w:rPr>
          <w:noProof/>
        </w:rPr>
        <w:t>Legal framework for personal insolvency</w:t>
      </w:r>
      <w:r>
        <w:rPr>
          <w:noProof/>
        </w:rPr>
        <w:tab/>
      </w:r>
      <w:r w:rsidR="00E516C5">
        <w:rPr>
          <w:noProof/>
        </w:rPr>
        <w:t>32</w:t>
      </w:r>
      <w:r w:rsidR="0027575A">
        <w:rPr>
          <w:noProof/>
        </w:rPr>
        <w:t>5</w:t>
      </w:r>
    </w:p>
    <w:p w14:paraId="43768CE4" w14:textId="55D6E137" w:rsidR="00883826" w:rsidRDefault="00883826" w:rsidP="00883826">
      <w:pPr>
        <w:pStyle w:val="TOC2"/>
        <w:tabs>
          <w:tab w:val="left" w:pos="1320"/>
        </w:tabs>
        <w:ind w:left="1134" w:hanging="624"/>
        <w:rPr>
          <w:rFonts w:asciiTheme="minorHAnsi" w:eastAsiaTheme="minorEastAsia" w:hAnsiTheme="minorHAnsi" w:cstheme="minorBidi"/>
          <w:noProof/>
          <w:sz w:val="22"/>
          <w:szCs w:val="22"/>
          <w:lang w:eastAsia="en-AU"/>
        </w:rPr>
      </w:pPr>
      <w:r>
        <w:rPr>
          <w:noProof/>
        </w:rPr>
        <w:t>12.3</w:t>
      </w:r>
      <w:r>
        <w:rPr>
          <w:rFonts w:asciiTheme="minorHAnsi" w:eastAsiaTheme="minorEastAsia" w:hAnsiTheme="minorHAnsi" w:cstheme="minorBidi"/>
          <w:noProof/>
          <w:sz w:val="22"/>
          <w:szCs w:val="22"/>
          <w:lang w:eastAsia="en-AU"/>
        </w:rPr>
        <w:tab/>
      </w:r>
      <w:r>
        <w:rPr>
          <w:noProof/>
        </w:rPr>
        <w:t>Issues in personal insolvency</w:t>
      </w:r>
      <w:r>
        <w:rPr>
          <w:noProof/>
        </w:rPr>
        <w:tab/>
      </w:r>
      <w:r w:rsidR="00E516C5">
        <w:rPr>
          <w:noProof/>
        </w:rPr>
        <w:t>33</w:t>
      </w:r>
      <w:r w:rsidR="0027575A">
        <w:rPr>
          <w:noProof/>
        </w:rPr>
        <w:t>3</w:t>
      </w:r>
    </w:p>
    <w:p w14:paraId="3607D74D" w14:textId="62E6D277" w:rsidR="00883826" w:rsidRDefault="00883826">
      <w:pPr>
        <w:pStyle w:val="TOC1"/>
        <w:rPr>
          <w:rFonts w:asciiTheme="minorHAnsi" w:eastAsiaTheme="minorEastAsia" w:hAnsiTheme="minorHAnsi" w:cstheme="minorBidi"/>
          <w:b w:val="0"/>
          <w:noProof/>
          <w:sz w:val="22"/>
          <w:szCs w:val="22"/>
          <w:lang w:eastAsia="en-AU"/>
        </w:rPr>
      </w:pPr>
      <w:r>
        <w:rPr>
          <w:noProof/>
        </w:rPr>
        <w:t>13</w:t>
      </w:r>
      <w:r>
        <w:rPr>
          <w:rFonts w:asciiTheme="minorHAnsi" w:eastAsiaTheme="minorEastAsia" w:hAnsiTheme="minorHAnsi" w:cstheme="minorBidi"/>
          <w:b w:val="0"/>
          <w:noProof/>
          <w:sz w:val="22"/>
          <w:szCs w:val="22"/>
          <w:lang w:eastAsia="en-AU"/>
        </w:rPr>
        <w:tab/>
      </w:r>
      <w:r>
        <w:rPr>
          <w:noProof/>
        </w:rPr>
        <w:t>Corporate restructuring and insolvency: frameworks</w:t>
      </w:r>
      <w:r>
        <w:rPr>
          <w:noProof/>
        </w:rPr>
        <w:tab/>
      </w:r>
      <w:r w:rsidR="00E516C5">
        <w:rPr>
          <w:noProof/>
        </w:rPr>
        <w:t>34</w:t>
      </w:r>
      <w:r w:rsidR="0027575A">
        <w:rPr>
          <w:noProof/>
        </w:rPr>
        <w:t>5</w:t>
      </w:r>
    </w:p>
    <w:p w14:paraId="65DB81F5" w14:textId="3A18565F" w:rsidR="00883826" w:rsidRDefault="00883826" w:rsidP="00883826">
      <w:pPr>
        <w:pStyle w:val="TOC2"/>
        <w:tabs>
          <w:tab w:val="left" w:pos="1320"/>
        </w:tabs>
        <w:ind w:left="1134" w:hanging="624"/>
        <w:rPr>
          <w:rFonts w:asciiTheme="minorHAnsi" w:eastAsiaTheme="minorEastAsia" w:hAnsiTheme="minorHAnsi" w:cstheme="minorBidi"/>
          <w:noProof/>
          <w:sz w:val="22"/>
          <w:szCs w:val="22"/>
          <w:lang w:eastAsia="en-AU"/>
        </w:rPr>
      </w:pPr>
      <w:r>
        <w:rPr>
          <w:noProof/>
        </w:rPr>
        <w:t>13.1</w:t>
      </w:r>
      <w:r>
        <w:rPr>
          <w:rFonts w:asciiTheme="minorHAnsi" w:eastAsiaTheme="minorEastAsia" w:hAnsiTheme="minorHAnsi" w:cstheme="minorBidi"/>
          <w:noProof/>
          <w:sz w:val="22"/>
          <w:szCs w:val="22"/>
          <w:lang w:eastAsia="en-AU"/>
        </w:rPr>
        <w:tab/>
      </w:r>
      <w:r>
        <w:rPr>
          <w:noProof/>
        </w:rPr>
        <w:t>The economics of corporate insolvency</w:t>
      </w:r>
      <w:r>
        <w:rPr>
          <w:noProof/>
        </w:rPr>
        <w:tab/>
      </w:r>
      <w:r w:rsidR="00E516C5">
        <w:rPr>
          <w:noProof/>
        </w:rPr>
        <w:t>34</w:t>
      </w:r>
      <w:r w:rsidR="0027575A">
        <w:rPr>
          <w:noProof/>
        </w:rPr>
        <w:t>6</w:t>
      </w:r>
    </w:p>
    <w:p w14:paraId="31157DCE" w14:textId="1A8C78A9" w:rsidR="00883826" w:rsidRDefault="00883826" w:rsidP="00883826">
      <w:pPr>
        <w:pStyle w:val="TOC2"/>
        <w:tabs>
          <w:tab w:val="left" w:pos="1320"/>
        </w:tabs>
        <w:ind w:left="1134" w:hanging="624"/>
        <w:rPr>
          <w:rFonts w:asciiTheme="minorHAnsi" w:eastAsiaTheme="minorEastAsia" w:hAnsiTheme="minorHAnsi" w:cstheme="minorBidi"/>
          <w:noProof/>
          <w:sz w:val="22"/>
          <w:szCs w:val="22"/>
          <w:lang w:eastAsia="en-AU"/>
        </w:rPr>
      </w:pPr>
      <w:r>
        <w:rPr>
          <w:noProof/>
        </w:rPr>
        <w:t>13.2</w:t>
      </w:r>
      <w:r>
        <w:rPr>
          <w:rFonts w:asciiTheme="minorHAnsi" w:eastAsiaTheme="minorEastAsia" w:hAnsiTheme="minorHAnsi" w:cstheme="minorBidi"/>
          <w:noProof/>
          <w:sz w:val="22"/>
          <w:szCs w:val="22"/>
          <w:lang w:eastAsia="en-AU"/>
        </w:rPr>
        <w:tab/>
      </w:r>
      <w:r>
        <w:rPr>
          <w:noProof/>
        </w:rPr>
        <w:t>Restructuring processes in Australia</w:t>
      </w:r>
      <w:r>
        <w:rPr>
          <w:noProof/>
        </w:rPr>
        <w:tab/>
      </w:r>
      <w:r w:rsidR="00E516C5">
        <w:rPr>
          <w:noProof/>
        </w:rPr>
        <w:t>35</w:t>
      </w:r>
      <w:r w:rsidR="0027575A">
        <w:rPr>
          <w:noProof/>
        </w:rPr>
        <w:t>4</w:t>
      </w:r>
    </w:p>
    <w:p w14:paraId="20880D99" w14:textId="0C213006" w:rsidR="00883826" w:rsidRDefault="00883826" w:rsidP="00883826">
      <w:pPr>
        <w:pStyle w:val="TOC2"/>
        <w:tabs>
          <w:tab w:val="left" w:pos="1320"/>
        </w:tabs>
        <w:ind w:left="1134" w:hanging="624"/>
        <w:rPr>
          <w:rFonts w:asciiTheme="minorHAnsi" w:eastAsiaTheme="minorEastAsia" w:hAnsiTheme="minorHAnsi" w:cstheme="minorBidi"/>
          <w:noProof/>
          <w:sz w:val="22"/>
          <w:szCs w:val="22"/>
          <w:lang w:eastAsia="en-AU"/>
        </w:rPr>
      </w:pPr>
      <w:r>
        <w:rPr>
          <w:noProof/>
        </w:rPr>
        <w:t>13.3</w:t>
      </w:r>
      <w:r>
        <w:rPr>
          <w:rFonts w:asciiTheme="minorHAnsi" w:eastAsiaTheme="minorEastAsia" w:hAnsiTheme="minorHAnsi" w:cstheme="minorBidi"/>
          <w:noProof/>
          <w:sz w:val="22"/>
          <w:szCs w:val="22"/>
          <w:lang w:eastAsia="en-AU"/>
        </w:rPr>
        <w:tab/>
      </w:r>
      <w:r>
        <w:rPr>
          <w:noProof/>
        </w:rPr>
        <w:t>Winding up processes in Australia</w:t>
      </w:r>
      <w:r>
        <w:rPr>
          <w:noProof/>
        </w:rPr>
        <w:tab/>
      </w:r>
      <w:r w:rsidR="00E516C5">
        <w:rPr>
          <w:noProof/>
        </w:rPr>
        <w:t>35</w:t>
      </w:r>
      <w:r w:rsidR="0027575A">
        <w:rPr>
          <w:noProof/>
        </w:rPr>
        <w:t>9</w:t>
      </w:r>
    </w:p>
    <w:p w14:paraId="1E7E5E2E" w14:textId="3A918A55" w:rsidR="00883826" w:rsidRDefault="00883826" w:rsidP="00883826">
      <w:pPr>
        <w:pStyle w:val="TOC2"/>
        <w:tabs>
          <w:tab w:val="left" w:pos="1320"/>
        </w:tabs>
        <w:ind w:left="1134" w:hanging="624"/>
        <w:rPr>
          <w:rFonts w:asciiTheme="minorHAnsi" w:eastAsiaTheme="minorEastAsia" w:hAnsiTheme="minorHAnsi" w:cstheme="minorBidi"/>
          <w:noProof/>
          <w:sz w:val="22"/>
          <w:szCs w:val="22"/>
          <w:lang w:eastAsia="en-AU"/>
        </w:rPr>
      </w:pPr>
      <w:r>
        <w:rPr>
          <w:noProof/>
        </w:rPr>
        <w:t>13.4</w:t>
      </w:r>
      <w:r>
        <w:rPr>
          <w:rFonts w:asciiTheme="minorHAnsi" w:eastAsiaTheme="minorEastAsia" w:hAnsiTheme="minorHAnsi" w:cstheme="minorBidi"/>
          <w:noProof/>
          <w:sz w:val="22"/>
          <w:szCs w:val="22"/>
          <w:lang w:eastAsia="en-AU"/>
        </w:rPr>
        <w:tab/>
      </w:r>
      <w:r>
        <w:rPr>
          <w:noProof/>
        </w:rPr>
        <w:t>Scope for reform of insolvency processes</w:t>
      </w:r>
      <w:r>
        <w:rPr>
          <w:noProof/>
        </w:rPr>
        <w:tab/>
      </w:r>
      <w:r w:rsidR="00630123">
        <w:rPr>
          <w:noProof/>
        </w:rPr>
        <w:t>3</w:t>
      </w:r>
      <w:r w:rsidR="0027575A">
        <w:rPr>
          <w:noProof/>
        </w:rPr>
        <w:t>61</w:t>
      </w:r>
    </w:p>
    <w:p w14:paraId="70EFDC01" w14:textId="268B893F" w:rsidR="00883826" w:rsidRDefault="00883826">
      <w:pPr>
        <w:pStyle w:val="TOC1"/>
        <w:rPr>
          <w:rFonts w:asciiTheme="minorHAnsi" w:eastAsiaTheme="minorEastAsia" w:hAnsiTheme="minorHAnsi" w:cstheme="minorBidi"/>
          <w:b w:val="0"/>
          <w:noProof/>
          <w:sz w:val="22"/>
          <w:szCs w:val="22"/>
          <w:lang w:eastAsia="en-AU"/>
        </w:rPr>
      </w:pPr>
      <w:r>
        <w:rPr>
          <w:noProof/>
        </w:rPr>
        <w:t>14</w:t>
      </w:r>
      <w:r>
        <w:rPr>
          <w:rFonts w:asciiTheme="minorHAnsi" w:eastAsiaTheme="minorEastAsia" w:hAnsiTheme="minorHAnsi" w:cstheme="minorBidi"/>
          <w:b w:val="0"/>
          <w:noProof/>
          <w:sz w:val="22"/>
          <w:szCs w:val="22"/>
          <w:lang w:eastAsia="en-AU"/>
        </w:rPr>
        <w:tab/>
      </w:r>
      <w:r>
        <w:rPr>
          <w:noProof/>
        </w:rPr>
        <w:t xml:space="preserve">Corporate </w:t>
      </w:r>
      <w:r w:rsidR="00630123">
        <w:rPr>
          <w:noProof/>
        </w:rPr>
        <w:t>r</w:t>
      </w:r>
      <w:r>
        <w:rPr>
          <w:noProof/>
        </w:rPr>
        <w:t xml:space="preserve">estructuring </w:t>
      </w:r>
      <w:r w:rsidR="00630123">
        <w:rPr>
          <w:noProof/>
        </w:rPr>
        <w:t>r</w:t>
      </w:r>
      <w:r>
        <w:rPr>
          <w:noProof/>
        </w:rPr>
        <w:t>eforms</w:t>
      </w:r>
      <w:r>
        <w:rPr>
          <w:noProof/>
        </w:rPr>
        <w:tab/>
      </w:r>
      <w:r w:rsidR="00630123">
        <w:rPr>
          <w:noProof/>
        </w:rPr>
        <w:t>37</w:t>
      </w:r>
      <w:r w:rsidR="0027575A">
        <w:rPr>
          <w:noProof/>
        </w:rPr>
        <w:t>3</w:t>
      </w:r>
    </w:p>
    <w:p w14:paraId="3CD815A3" w14:textId="38F3589D" w:rsidR="00883826" w:rsidRDefault="00883826" w:rsidP="00883826">
      <w:pPr>
        <w:pStyle w:val="TOC2"/>
        <w:tabs>
          <w:tab w:val="left" w:pos="1320"/>
        </w:tabs>
        <w:ind w:left="1134" w:hanging="624"/>
        <w:rPr>
          <w:rFonts w:asciiTheme="minorHAnsi" w:eastAsiaTheme="minorEastAsia" w:hAnsiTheme="minorHAnsi" w:cstheme="minorBidi"/>
          <w:noProof/>
          <w:sz w:val="22"/>
          <w:szCs w:val="22"/>
          <w:lang w:eastAsia="en-AU"/>
        </w:rPr>
      </w:pPr>
      <w:r>
        <w:rPr>
          <w:noProof/>
        </w:rPr>
        <w:t>14.1</w:t>
      </w:r>
      <w:r>
        <w:rPr>
          <w:rFonts w:asciiTheme="minorHAnsi" w:eastAsiaTheme="minorEastAsia" w:hAnsiTheme="minorHAnsi" w:cstheme="minorBidi"/>
          <w:noProof/>
          <w:sz w:val="22"/>
          <w:szCs w:val="22"/>
          <w:lang w:eastAsia="en-AU"/>
        </w:rPr>
        <w:tab/>
      </w:r>
      <w:r>
        <w:rPr>
          <w:noProof/>
        </w:rPr>
        <w:t>The timing of restructure</w:t>
      </w:r>
      <w:r>
        <w:rPr>
          <w:noProof/>
        </w:rPr>
        <w:tab/>
      </w:r>
      <w:r w:rsidR="00630123">
        <w:rPr>
          <w:noProof/>
        </w:rPr>
        <w:t>37</w:t>
      </w:r>
      <w:r w:rsidR="0027575A">
        <w:rPr>
          <w:noProof/>
        </w:rPr>
        <w:t>4</w:t>
      </w:r>
    </w:p>
    <w:p w14:paraId="48C2F10C" w14:textId="5CAF7647" w:rsidR="00883826" w:rsidRDefault="00883826" w:rsidP="00883826">
      <w:pPr>
        <w:pStyle w:val="TOC2"/>
        <w:tabs>
          <w:tab w:val="left" w:pos="1320"/>
        </w:tabs>
        <w:ind w:left="1134" w:hanging="624"/>
        <w:rPr>
          <w:rFonts w:asciiTheme="minorHAnsi" w:eastAsiaTheme="minorEastAsia" w:hAnsiTheme="minorHAnsi" w:cstheme="minorBidi"/>
          <w:noProof/>
          <w:sz w:val="22"/>
          <w:szCs w:val="22"/>
          <w:lang w:eastAsia="en-AU"/>
        </w:rPr>
      </w:pPr>
      <w:r>
        <w:rPr>
          <w:noProof/>
        </w:rPr>
        <w:t>14.2</w:t>
      </w:r>
      <w:r>
        <w:rPr>
          <w:rFonts w:asciiTheme="minorHAnsi" w:eastAsiaTheme="minorEastAsia" w:hAnsiTheme="minorHAnsi" w:cstheme="minorBidi"/>
          <w:noProof/>
          <w:sz w:val="22"/>
          <w:szCs w:val="22"/>
          <w:lang w:eastAsia="en-AU"/>
        </w:rPr>
        <w:tab/>
      </w:r>
      <w:r>
        <w:rPr>
          <w:noProof/>
        </w:rPr>
        <w:t>Facilitating restructure</w:t>
      </w:r>
      <w:r>
        <w:rPr>
          <w:noProof/>
        </w:rPr>
        <w:tab/>
      </w:r>
      <w:r w:rsidR="00630123">
        <w:rPr>
          <w:noProof/>
        </w:rPr>
        <w:t>39</w:t>
      </w:r>
      <w:r w:rsidR="0027575A">
        <w:rPr>
          <w:noProof/>
        </w:rPr>
        <w:t>4</w:t>
      </w:r>
    </w:p>
    <w:p w14:paraId="79A6233C" w14:textId="5944BCB2" w:rsidR="00883826" w:rsidRDefault="00883826">
      <w:pPr>
        <w:pStyle w:val="TOC1"/>
        <w:rPr>
          <w:rFonts w:asciiTheme="minorHAnsi" w:eastAsiaTheme="minorEastAsia" w:hAnsiTheme="minorHAnsi" w:cstheme="minorBidi"/>
          <w:b w:val="0"/>
          <w:noProof/>
          <w:sz w:val="22"/>
          <w:szCs w:val="22"/>
          <w:lang w:eastAsia="en-AU"/>
        </w:rPr>
      </w:pPr>
      <w:r>
        <w:rPr>
          <w:noProof/>
        </w:rPr>
        <w:t>15</w:t>
      </w:r>
      <w:r>
        <w:rPr>
          <w:rFonts w:asciiTheme="minorHAnsi" w:eastAsiaTheme="minorEastAsia" w:hAnsiTheme="minorHAnsi" w:cstheme="minorBidi"/>
          <w:b w:val="0"/>
          <w:noProof/>
          <w:sz w:val="22"/>
          <w:szCs w:val="22"/>
          <w:lang w:eastAsia="en-AU"/>
        </w:rPr>
        <w:tab/>
      </w:r>
      <w:r>
        <w:rPr>
          <w:noProof/>
        </w:rPr>
        <w:t xml:space="preserve">Corporate </w:t>
      </w:r>
      <w:r w:rsidR="00630123">
        <w:rPr>
          <w:noProof/>
        </w:rPr>
        <w:t>i</w:t>
      </w:r>
      <w:r>
        <w:rPr>
          <w:noProof/>
        </w:rPr>
        <w:t xml:space="preserve">nsolvency </w:t>
      </w:r>
      <w:r w:rsidR="00630123">
        <w:rPr>
          <w:noProof/>
        </w:rPr>
        <w:t>r</w:t>
      </w:r>
      <w:r>
        <w:rPr>
          <w:noProof/>
        </w:rPr>
        <w:t>eforms</w:t>
      </w:r>
      <w:r>
        <w:rPr>
          <w:noProof/>
        </w:rPr>
        <w:tab/>
      </w:r>
      <w:r w:rsidR="00630123">
        <w:rPr>
          <w:noProof/>
        </w:rPr>
        <w:t>40</w:t>
      </w:r>
      <w:r w:rsidR="0027575A">
        <w:rPr>
          <w:noProof/>
        </w:rPr>
        <w:t>3</w:t>
      </w:r>
    </w:p>
    <w:p w14:paraId="75A2B8BE" w14:textId="3D4D6102" w:rsidR="00883826" w:rsidRDefault="00883826" w:rsidP="00883826">
      <w:pPr>
        <w:pStyle w:val="TOC2"/>
        <w:tabs>
          <w:tab w:val="left" w:pos="1320"/>
        </w:tabs>
        <w:ind w:left="1134" w:hanging="624"/>
        <w:rPr>
          <w:rFonts w:asciiTheme="minorHAnsi" w:eastAsiaTheme="minorEastAsia" w:hAnsiTheme="minorHAnsi" w:cstheme="minorBidi"/>
          <w:noProof/>
          <w:sz w:val="22"/>
          <w:szCs w:val="22"/>
          <w:lang w:eastAsia="en-AU"/>
        </w:rPr>
      </w:pPr>
      <w:r>
        <w:rPr>
          <w:noProof/>
        </w:rPr>
        <w:t>15.1</w:t>
      </w:r>
      <w:r>
        <w:rPr>
          <w:rFonts w:asciiTheme="minorHAnsi" w:eastAsiaTheme="minorEastAsia" w:hAnsiTheme="minorHAnsi" w:cstheme="minorBidi"/>
          <w:noProof/>
          <w:sz w:val="22"/>
          <w:szCs w:val="22"/>
          <w:lang w:eastAsia="en-AU"/>
        </w:rPr>
        <w:tab/>
      </w:r>
      <w:r>
        <w:rPr>
          <w:noProof/>
        </w:rPr>
        <w:t>Reforming the winding up process</w:t>
      </w:r>
      <w:r>
        <w:rPr>
          <w:noProof/>
        </w:rPr>
        <w:tab/>
      </w:r>
      <w:r w:rsidR="00630123">
        <w:rPr>
          <w:noProof/>
        </w:rPr>
        <w:t>40</w:t>
      </w:r>
      <w:r w:rsidR="0027575A">
        <w:rPr>
          <w:noProof/>
        </w:rPr>
        <w:t>4</w:t>
      </w:r>
    </w:p>
    <w:p w14:paraId="7E964C47" w14:textId="61E9CC0C" w:rsidR="00883826" w:rsidRDefault="00883826" w:rsidP="00883826">
      <w:pPr>
        <w:pStyle w:val="TOC2"/>
        <w:tabs>
          <w:tab w:val="left" w:pos="1320"/>
        </w:tabs>
        <w:ind w:left="1134" w:hanging="624"/>
        <w:rPr>
          <w:rFonts w:asciiTheme="minorHAnsi" w:eastAsiaTheme="minorEastAsia" w:hAnsiTheme="minorHAnsi" w:cstheme="minorBidi"/>
          <w:noProof/>
          <w:sz w:val="22"/>
          <w:szCs w:val="22"/>
          <w:lang w:eastAsia="en-AU"/>
        </w:rPr>
      </w:pPr>
      <w:r>
        <w:rPr>
          <w:noProof/>
        </w:rPr>
        <w:t>15.2</w:t>
      </w:r>
      <w:r>
        <w:rPr>
          <w:rFonts w:asciiTheme="minorHAnsi" w:eastAsiaTheme="minorEastAsia" w:hAnsiTheme="minorHAnsi" w:cstheme="minorBidi"/>
          <w:noProof/>
          <w:sz w:val="22"/>
          <w:szCs w:val="22"/>
          <w:lang w:eastAsia="en-AU"/>
        </w:rPr>
        <w:tab/>
      </w:r>
      <w:r>
        <w:rPr>
          <w:noProof/>
        </w:rPr>
        <w:t>Broader aspects of winding up</w:t>
      </w:r>
      <w:r>
        <w:rPr>
          <w:noProof/>
        </w:rPr>
        <w:tab/>
      </w:r>
      <w:r w:rsidR="00630123">
        <w:rPr>
          <w:noProof/>
        </w:rPr>
        <w:t>4</w:t>
      </w:r>
      <w:r>
        <w:rPr>
          <w:noProof/>
        </w:rPr>
        <w:t>1</w:t>
      </w:r>
      <w:r w:rsidR="0027575A">
        <w:rPr>
          <w:noProof/>
        </w:rPr>
        <w:t>7</w:t>
      </w:r>
    </w:p>
    <w:p w14:paraId="66F9385A" w14:textId="29FE3A22" w:rsidR="00883826" w:rsidRDefault="00883826" w:rsidP="00883826">
      <w:pPr>
        <w:pStyle w:val="TOC2"/>
        <w:tabs>
          <w:tab w:val="left" w:pos="1320"/>
        </w:tabs>
        <w:ind w:left="1134" w:hanging="624"/>
        <w:rPr>
          <w:rFonts w:asciiTheme="minorHAnsi" w:eastAsiaTheme="minorEastAsia" w:hAnsiTheme="minorHAnsi" w:cstheme="minorBidi"/>
          <w:noProof/>
          <w:sz w:val="22"/>
          <w:szCs w:val="22"/>
          <w:lang w:eastAsia="en-AU"/>
        </w:rPr>
      </w:pPr>
      <w:r>
        <w:rPr>
          <w:noProof/>
        </w:rPr>
        <w:t>15.3</w:t>
      </w:r>
      <w:r>
        <w:rPr>
          <w:rFonts w:asciiTheme="minorHAnsi" w:eastAsiaTheme="minorEastAsia" w:hAnsiTheme="minorHAnsi" w:cstheme="minorBidi"/>
          <w:noProof/>
          <w:sz w:val="22"/>
          <w:szCs w:val="22"/>
          <w:lang w:eastAsia="en-AU"/>
        </w:rPr>
        <w:tab/>
      </w:r>
      <w:r>
        <w:rPr>
          <w:noProof/>
        </w:rPr>
        <w:t>The Commission’s proposed reform framework</w:t>
      </w:r>
      <w:r>
        <w:rPr>
          <w:noProof/>
        </w:rPr>
        <w:tab/>
      </w:r>
      <w:r w:rsidR="00630123">
        <w:rPr>
          <w:noProof/>
        </w:rPr>
        <w:t>43</w:t>
      </w:r>
      <w:r w:rsidR="0027575A">
        <w:rPr>
          <w:noProof/>
        </w:rPr>
        <w:t>3</w:t>
      </w:r>
    </w:p>
    <w:p w14:paraId="44201CE9" w14:textId="77777777" w:rsidR="00B716FB" w:rsidRDefault="00B716FB">
      <w:pPr>
        <w:pStyle w:val="TOC1"/>
        <w:rPr>
          <w:noProof/>
        </w:rPr>
      </w:pPr>
    </w:p>
    <w:p w14:paraId="01F3B894" w14:textId="65B1D54B" w:rsidR="00883826" w:rsidRDefault="00883826">
      <w:pPr>
        <w:pStyle w:val="TOC1"/>
        <w:rPr>
          <w:rFonts w:asciiTheme="minorHAnsi" w:eastAsiaTheme="minorEastAsia" w:hAnsiTheme="minorHAnsi" w:cstheme="minorBidi"/>
          <w:b w:val="0"/>
          <w:noProof/>
          <w:sz w:val="22"/>
          <w:szCs w:val="22"/>
          <w:lang w:eastAsia="en-AU"/>
        </w:rPr>
      </w:pPr>
      <w:r>
        <w:rPr>
          <w:noProof/>
        </w:rPr>
        <w:lastRenderedPageBreak/>
        <w:t>A</w:t>
      </w:r>
      <w:r>
        <w:rPr>
          <w:rFonts w:asciiTheme="minorHAnsi" w:eastAsiaTheme="minorEastAsia" w:hAnsiTheme="minorHAnsi" w:cstheme="minorBidi"/>
          <w:b w:val="0"/>
          <w:noProof/>
          <w:sz w:val="22"/>
          <w:szCs w:val="22"/>
          <w:lang w:eastAsia="en-AU"/>
        </w:rPr>
        <w:tab/>
      </w:r>
      <w:r>
        <w:rPr>
          <w:noProof/>
        </w:rPr>
        <w:t>Inquiry conduct and participants</w:t>
      </w:r>
      <w:r>
        <w:rPr>
          <w:noProof/>
        </w:rPr>
        <w:tab/>
      </w:r>
      <w:r w:rsidR="00630123">
        <w:rPr>
          <w:noProof/>
        </w:rPr>
        <w:t>43</w:t>
      </w:r>
      <w:r w:rsidR="0027575A">
        <w:rPr>
          <w:noProof/>
        </w:rPr>
        <w:t>7</w:t>
      </w:r>
    </w:p>
    <w:p w14:paraId="28608FA0" w14:textId="59DB0A01" w:rsidR="001B7F1E" w:rsidRDefault="00883826" w:rsidP="0046716F">
      <w:pPr>
        <w:pStyle w:val="TOC1"/>
      </w:pPr>
      <w:r>
        <w:t>References</w:t>
      </w:r>
      <w:r>
        <w:tab/>
      </w:r>
      <w:r w:rsidR="00714041">
        <w:t>447</w:t>
      </w:r>
    </w:p>
    <w:p w14:paraId="751ABA8B" w14:textId="26827E94" w:rsidR="00714041" w:rsidRPr="00714041" w:rsidRDefault="00714041" w:rsidP="00714041">
      <w:pPr>
        <w:pStyle w:val="InformationRequestTitle"/>
        <w:keepNext w:val="0"/>
        <w:shd w:val="clear" w:color="auto" w:fill="D9D9D9" w:themeFill="background1" w:themeFillShade="D9"/>
        <w:rPr>
          <w:b/>
          <w:i w:val="0"/>
          <w:caps w:val="0"/>
        </w:rPr>
      </w:pPr>
      <w:r>
        <w:rPr>
          <w:b/>
          <w:i w:val="0"/>
        </w:rPr>
        <w:t>T</w:t>
      </w:r>
      <w:r>
        <w:rPr>
          <w:b/>
          <w:i w:val="0"/>
          <w:caps w:val="0"/>
        </w:rPr>
        <w:t xml:space="preserve">hese </w:t>
      </w:r>
      <w:r w:rsidR="00514699">
        <w:rPr>
          <w:b/>
          <w:i w:val="0"/>
          <w:caps w:val="0"/>
        </w:rPr>
        <w:t>appendixes are available from the Commission’s website (www.pc.gov.au)</w:t>
      </w:r>
    </w:p>
    <w:p w14:paraId="0E978D32" w14:textId="4A0CCEB6" w:rsidR="00714041" w:rsidRDefault="00714041" w:rsidP="00714041">
      <w:pPr>
        <w:pStyle w:val="TOC1"/>
        <w:rPr>
          <w:rFonts w:asciiTheme="minorHAnsi" w:eastAsiaTheme="minorEastAsia" w:hAnsiTheme="minorHAnsi" w:cstheme="minorBidi"/>
          <w:b w:val="0"/>
          <w:noProof/>
          <w:sz w:val="22"/>
          <w:szCs w:val="22"/>
          <w:lang w:eastAsia="en-AU"/>
        </w:rPr>
      </w:pPr>
      <w:r>
        <w:rPr>
          <w:noProof/>
        </w:rPr>
        <w:t>B</w:t>
      </w:r>
      <w:r>
        <w:rPr>
          <w:rFonts w:asciiTheme="minorHAnsi" w:eastAsiaTheme="minorEastAsia" w:hAnsiTheme="minorHAnsi" w:cstheme="minorBidi"/>
          <w:b w:val="0"/>
          <w:noProof/>
          <w:sz w:val="22"/>
          <w:szCs w:val="22"/>
          <w:lang w:eastAsia="en-AU"/>
        </w:rPr>
        <w:tab/>
      </w:r>
      <w:r>
        <w:rPr>
          <w:noProof/>
        </w:rPr>
        <w:t>Business stock, entry and exit data for Australia and overseas</w:t>
      </w:r>
      <w:r>
        <w:rPr>
          <w:noProof/>
        </w:rPr>
        <w:tab/>
      </w:r>
    </w:p>
    <w:p w14:paraId="671065D8" w14:textId="6862F894" w:rsidR="00714041" w:rsidRDefault="00714041" w:rsidP="00714041">
      <w:pPr>
        <w:pStyle w:val="TOC1"/>
        <w:rPr>
          <w:rFonts w:asciiTheme="minorHAnsi" w:eastAsiaTheme="minorEastAsia" w:hAnsiTheme="minorHAnsi" w:cstheme="minorBidi"/>
          <w:b w:val="0"/>
          <w:noProof/>
          <w:sz w:val="22"/>
          <w:szCs w:val="22"/>
          <w:lang w:eastAsia="en-AU"/>
        </w:rPr>
      </w:pPr>
      <w:r>
        <w:rPr>
          <w:noProof/>
        </w:rPr>
        <w:t>C</w:t>
      </w:r>
      <w:r>
        <w:rPr>
          <w:rFonts w:asciiTheme="minorHAnsi" w:eastAsiaTheme="minorEastAsia" w:hAnsiTheme="minorHAnsi" w:cstheme="minorBidi"/>
          <w:b w:val="0"/>
          <w:noProof/>
          <w:sz w:val="22"/>
          <w:szCs w:val="22"/>
          <w:lang w:eastAsia="en-AU"/>
        </w:rPr>
        <w:tab/>
      </w:r>
      <w:r>
        <w:rPr>
          <w:noProof/>
        </w:rPr>
        <w:t>Set-up requirements</w:t>
      </w:r>
      <w:r>
        <w:rPr>
          <w:noProof/>
        </w:rPr>
        <w:tab/>
      </w:r>
    </w:p>
    <w:p w14:paraId="7B1FEF86" w14:textId="37E72526" w:rsidR="00714041" w:rsidRDefault="00714041" w:rsidP="00714041">
      <w:pPr>
        <w:pStyle w:val="TOC1"/>
        <w:rPr>
          <w:rFonts w:asciiTheme="minorHAnsi" w:eastAsiaTheme="minorEastAsia" w:hAnsiTheme="minorHAnsi" w:cstheme="minorBidi"/>
          <w:b w:val="0"/>
          <w:noProof/>
          <w:sz w:val="22"/>
          <w:szCs w:val="22"/>
          <w:lang w:eastAsia="en-AU"/>
        </w:rPr>
      </w:pPr>
      <w:r>
        <w:rPr>
          <w:noProof/>
        </w:rPr>
        <w:t>D</w:t>
      </w:r>
      <w:r>
        <w:rPr>
          <w:rFonts w:asciiTheme="minorHAnsi" w:eastAsiaTheme="minorEastAsia" w:hAnsiTheme="minorHAnsi" w:cstheme="minorBidi"/>
          <w:b w:val="0"/>
          <w:noProof/>
          <w:sz w:val="22"/>
          <w:szCs w:val="22"/>
          <w:lang w:eastAsia="en-AU"/>
        </w:rPr>
        <w:tab/>
      </w:r>
      <w:r>
        <w:rPr>
          <w:noProof/>
        </w:rPr>
        <w:t>Business finance and foreign investment data</w:t>
      </w:r>
      <w:r>
        <w:rPr>
          <w:noProof/>
        </w:rPr>
        <w:tab/>
      </w:r>
    </w:p>
    <w:p w14:paraId="1334E2A4" w14:textId="39890569" w:rsidR="00714041" w:rsidRDefault="00714041" w:rsidP="00714041">
      <w:pPr>
        <w:pStyle w:val="TOC1"/>
        <w:rPr>
          <w:rFonts w:asciiTheme="minorHAnsi" w:eastAsiaTheme="minorEastAsia" w:hAnsiTheme="minorHAnsi" w:cstheme="minorBidi"/>
          <w:b w:val="0"/>
          <w:noProof/>
          <w:sz w:val="22"/>
          <w:szCs w:val="22"/>
          <w:lang w:eastAsia="en-AU"/>
        </w:rPr>
      </w:pPr>
      <w:r>
        <w:rPr>
          <w:noProof/>
        </w:rPr>
        <w:t>E</w:t>
      </w:r>
      <w:r>
        <w:rPr>
          <w:rFonts w:asciiTheme="minorHAnsi" w:eastAsiaTheme="minorEastAsia" w:hAnsiTheme="minorHAnsi" w:cstheme="minorBidi"/>
          <w:b w:val="0"/>
          <w:noProof/>
          <w:sz w:val="22"/>
          <w:szCs w:val="22"/>
          <w:lang w:eastAsia="en-AU"/>
        </w:rPr>
        <w:tab/>
      </w:r>
      <w:r>
        <w:rPr>
          <w:noProof/>
        </w:rPr>
        <w:t>Government support for business set-up</w:t>
      </w:r>
      <w:r>
        <w:rPr>
          <w:noProof/>
        </w:rPr>
        <w:tab/>
      </w:r>
    </w:p>
    <w:p w14:paraId="6EE763E6" w14:textId="58A1687B" w:rsidR="00714041" w:rsidRDefault="00714041" w:rsidP="00714041">
      <w:pPr>
        <w:pStyle w:val="TOC1"/>
        <w:rPr>
          <w:rFonts w:asciiTheme="minorHAnsi" w:eastAsiaTheme="minorEastAsia" w:hAnsiTheme="minorHAnsi" w:cstheme="minorBidi"/>
          <w:b w:val="0"/>
          <w:noProof/>
          <w:sz w:val="22"/>
          <w:szCs w:val="22"/>
          <w:lang w:eastAsia="en-AU"/>
        </w:rPr>
      </w:pPr>
      <w:r>
        <w:rPr>
          <w:noProof/>
        </w:rPr>
        <w:t>F</w:t>
      </w:r>
      <w:r>
        <w:rPr>
          <w:rFonts w:asciiTheme="minorHAnsi" w:eastAsiaTheme="minorEastAsia" w:hAnsiTheme="minorHAnsi" w:cstheme="minorBidi"/>
          <w:b w:val="0"/>
          <w:noProof/>
          <w:sz w:val="22"/>
          <w:szCs w:val="22"/>
          <w:lang w:eastAsia="en-AU"/>
        </w:rPr>
        <w:tab/>
      </w:r>
      <w:r>
        <w:rPr>
          <w:noProof/>
        </w:rPr>
        <w:t>Insolvency data</w:t>
      </w:r>
      <w:r>
        <w:rPr>
          <w:noProof/>
        </w:rPr>
        <w:tab/>
      </w:r>
    </w:p>
    <w:p w14:paraId="1B72A5C6" w14:textId="77777777" w:rsidR="007D1B41" w:rsidRPr="007D1B41" w:rsidRDefault="007D1B41" w:rsidP="007D1B41">
      <w:pPr>
        <w:pStyle w:val="BodyText"/>
        <w:rPr>
          <w:lang w:eastAsia="en-US"/>
        </w:rPr>
      </w:pPr>
    </w:p>
    <w:p w14:paraId="184E5CB2" w14:textId="77777777" w:rsidR="004E358C" w:rsidRDefault="004E358C">
      <w:pPr>
        <w:pStyle w:val="BodyText"/>
      </w:pPr>
    </w:p>
    <w:p w14:paraId="1146E23F" w14:textId="77777777" w:rsidR="004D3F58" w:rsidRDefault="004D3F58">
      <w:pPr>
        <w:pStyle w:val="BodyText"/>
        <w:sectPr w:rsidR="004D3F58" w:rsidSect="0050326F">
          <w:type w:val="evenPage"/>
          <w:pgSz w:w="11907" w:h="16840" w:code="9"/>
          <w:pgMar w:top="1985" w:right="1304" w:bottom="1247" w:left="1814" w:header="1701" w:footer="397" w:gutter="0"/>
          <w:pgNumType w:fmt="lowerRoman"/>
          <w:cols w:space="720"/>
        </w:sectPr>
      </w:pPr>
    </w:p>
    <w:p w14:paraId="67624C99" w14:textId="77777777" w:rsidR="007D1B41" w:rsidRDefault="007D1B41" w:rsidP="007D1B41">
      <w:pPr>
        <w:pStyle w:val="Heading1"/>
      </w:pPr>
      <w:bookmarkStart w:id="6" w:name="Abbreviations"/>
      <w:bookmarkStart w:id="7" w:name="EndContents"/>
      <w:bookmarkStart w:id="8" w:name="RDnote"/>
      <w:bookmarkStart w:id="9" w:name="_Toc429467363"/>
      <w:bookmarkEnd w:id="6"/>
      <w:bookmarkEnd w:id="7"/>
      <w:bookmarkEnd w:id="8"/>
      <w:r>
        <w:lastRenderedPageBreak/>
        <w:t>Acknowledgments</w:t>
      </w:r>
      <w:bookmarkEnd w:id="9"/>
    </w:p>
    <w:p w14:paraId="41216EE3" w14:textId="77777777" w:rsidR="007D1B41" w:rsidRDefault="000E6A23" w:rsidP="007D1B41">
      <w:pPr>
        <w:pStyle w:val="BodyText"/>
        <w:rPr>
          <w:lang w:eastAsia="en-US"/>
        </w:rPr>
      </w:pPr>
      <w:r>
        <w:rPr>
          <w:lang w:eastAsia="en-US"/>
        </w:rPr>
        <w:t>The Commissioners would like to express their appreciation to the staff who worked on the inquiry report and underlying analysis. The staff team was led by Rosalyn Bell and included Joanna Abhayaratna, Monika Binder, Mark Bryant, Bronwyn Fisher, Bill Henderson, Timothy Hewett, James Hunter, Andrew Irwin, Paulene McCalman</w:t>
      </w:r>
      <w:r w:rsidR="00D76012">
        <w:rPr>
          <w:lang w:eastAsia="en-US"/>
        </w:rPr>
        <w:t>, Daniel McDonald, Troy Podbury, other staff in the Canberra office,</w:t>
      </w:r>
      <w:r w:rsidR="00D76012" w:rsidRPr="00D76012">
        <w:rPr>
          <w:lang w:eastAsia="en-US"/>
        </w:rPr>
        <w:t xml:space="preserve"> </w:t>
      </w:r>
      <w:r w:rsidR="00D76012">
        <w:rPr>
          <w:lang w:eastAsia="en-US"/>
        </w:rPr>
        <w:t>and Dessy Bonita, a visiting researcher from the Indonesian Ministry of Finance, Fiscal Policy Office.</w:t>
      </w:r>
    </w:p>
    <w:p w14:paraId="3AA7C41F" w14:textId="77777777" w:rsidR="007D1B41" w:rsidRPr="00883E8C" w:rsidRDefault="007D1B41" w:rsidP="007D1B41">
      <w:pPr>
        <w:pStyle w:val="BodyText"/>
        <w:rPr>
          <w:lang w:eastAsia="en-US"/>
        </w:rPr>
      </w:pPr>
    </w:p>
    <w:p w14:paraId="511BA1F1" w14:textId="77777777" w:rsidR="007D1B41" w:rsidRDefault="007D1B41" w:rsidP="007D1B41">
      <w:pPr>
        <w:pStyle w:val="BodyText"/>
        <w:sectPr w:rsidR="007D1B41" w:rsidSect="00F539EF">
          <w:headerReference w:type="even" r:id="rId30"/>
          <w:headerReference w:type="default" r:id="rId31"/>
          <w:footerReference w:type="even" r:id="rId32"/>
          <w:footerReference w:type="default" r:id="rId33"/>
          <w:pgSz w:w="11906" w:h="16838" w:code="9"/>
          <w:pgMar w:top="1985" w:right="1304" w:bottom="1247" w:left="1814" w:header="1701" w:footer="397" w:gutter="0"/>
          <w:pgNumType w:fmt="lowerRoman"/>
          <w:cols w:space="708"/>
          <w:docGrid w:linePitch="360"/>
        </w:sectPr>
      </w:pPr>
    </w:p>
    <w:p w14:paraId="2C207BBC" w14:textId="77777777" w:rsidR="00735FEA" w:rsidRDefault="00735FEA" w:rsidP="00F7477E">
      <w:pPr>
        <w:pStyle w:val="Heading1"/>
      </w:pPr>
      <w:bookmarkStart w:id="10" w:name="_Toc429467364"/>
      <w:r>
        <w:lastRenderedPageBreak/>
        <w:t>Abbreviations and explanations</w:t>
      </w:r>
      <w:bookmarkEnd w:id="10"/>
    </w:p>
    <w:p w14:paraId="7537A553" w14:textId="77777777" w:rsidR="00735FEA" w:rsidRDefault="00735FEA" w:rsidP="00F7477E">
      <w:pPr>
        <w:pStyle w:val="Heading2NotTOC"/>
      </w:pPr>
      <w:r>
        <w:t>Abbrevia</w:t>
      </w:r>
      <w:r w:rsidRPr="00F85393">
        <w:t>t</w:t>
      </w:r>
      <w:r>
        <w:t>ions</w:t>
      </w:r>
    </w:p>
    <w:p w14:paraId="72CE4CAC" w14:textId="77777777" w:rsidR="00146615" w:rsidRDefault="00146615" w:rsidP="00146615">
      <w:pPr>
        <w:pStyle w:val="Abbreviation"/>
      </w:pPr>
      <w:proofErr w:type="spellStart"/>
      <w:r>
        <w:t>ABA</w:t>
      </w:r>
      <w:proofErr w:type="spellEnd"/>
      <w:r>
        <w:tab/>
        <w:t>Australian Bankers’ Association</w:t>
      </w:r>
    </w:p>
    <w:p w14:paraId="6F60557F" w14:textId="77777777" w:rsidR="00146615" w:rsidRPr="00A862BC" w:rsidRDefault="00146615" w:rsidP="00146615">
      <w:pPr>
        <w:pStyle w:val="Abbreviation"/>
      </w:pPr>
      <w:r>
        <w:t>ABN</w:t>
      </w:r>
      <w:r>
        <w:tab/>
      </w:r>
      <w:r w:rsidRPr="00A862BC">
        <w:t xml:space="preserve">Australian </w:t>
      </w:r>
      <w:r w:rsidR="00F1027B">
        <w:t>b</w:t>
      </w:r>
      <w:r w:rsidRPr="00A862BC">
        <w:t xml:space="preserve">usiness </w:t>
      </w:r>
      <w:r w:rsidR="00F1027B">
        <w:t>n</w:t>
      </w:r>
      <w:r w:rsidRPr="00A862BC">
        <w:t>umber</w:t>
      </w:r>
    </w:p>
    <w:p w14:paraId="5DBCE272" w14:textId="77777777" w:rsidR="00146615" w:rsidRPr="003D3A9F" w:rsidRDefault="00146615" w:rsidP="00146615">
      <w:pPr>
        <w:pStyle w:val="Abbreviation"/>
      </w:pPr>
      <w:proofErr w:type="spellStart"/>
      <w:r w:rsidRPr="003D3A9F">
        <w:t>ABR</w:t>
      </w:r>
      <w:proofErr w:type="spellEnd"/>
      <w:r w:rsidRPr="003D3A9F">
        <w:tab/>
        <w:t>Australian Business Register</w:t>
      </w:r>
    </w:p>
    <w:p w14:paraId="32480C40" w14:textId="77777777" w:rsidR="00146615" w:rsidRPr="003D3A9F" w:rsidRDefault="00146615" w:rsidP="00146615">
      <w:pPr>
        <w:pStyle w:val="Abbreviation"/>
      </w:pPr>
      <w:r w:rsidRPr="003D3A9F">
        <w:t>ABS</w:t>
      </w:r>
      <w:r w:rsidRPr="003D3A9F">
        <w:tab/>
        <w:t>Australian Bureau of Statistics</w:t>
      </w:r>
    </w:p>
    <w:p w14:paraId="110ACF1E" w14:textId="77777777" w:rsidR="00146615" w:rsidRPr="003D3A9F" w:rsidRDefault="00146615" w:rsidP="00146615">
      <w:pPr>
        <w:pStyle w:val="Abbreviation"/>
      </w:pPr>
      <w:proofErr w:type="spellStart"/>
      <w:r w:rsidRPr="003D3A9F">
        <w:t>ACCC</w:t>
      </w:r>
      <w:proofErr w:type="spellEnd"/>
      <w:r w:rsidRPr="003D3A9F">
        <w:tab/>
        <w:t>Australian Competition and Consumer Commission</w:t>
      </w:r>
    </w:p>
    <w:p w14:paraId="66B85989" w14:textId="77777777" w:rsidR="00146615" w:rsidRPr="003D3A9F" w:rsidRDefault="00146615" w:rsidP="00146615">
      <w:pPr>
        <w:pStyle w:val="Abbreviation"/>
      </w:pPr>
      <w:proofErr w:type="spellStart"/>
      <w:r w:rsidRPr="003D3A9F">
        <w:t>ACCI</w:t>
      </w:r>
      <w:proofErr w:type="spellEnd"/>
      <w:r w:rsidRPr="003D3A9F">
        <w:tab/>
        <w:t>Australian Chamber of Commerce and Industry</w:t>
      </w:r>
    </w:p>
    <w:p w14:paraId="494FB9FB" w14:textId="77777777" w:rsidR="00146615" w:rsidRPr="003D3A9F" w:rsidRDefault="00146615" w:rsidP="00146615">
      <w:pPr>
        <w:pStyle w:val="Abbreviation"/>
      </w:pPr>
      <w:proofErr w:type="spellStart"/>
      <w:r w:rsidRPr="003D3A9F">
        <w:t>ACN</w:t>
      </w:r>
      <w:proofErr w:type="spellEnd"/>
      <w:r w:rsidRPr="003D3A9F">
        <w:tab/>
        <w:t xml:space="preserve">Australian </w:t>
      </w:r>
      <w:r w:rsidR="00F1027B">
        <w:t>c</w:t>
      </w:r>
      <w:r w:rsidRPr="003D3A9F">
        <w:t xml:space="preserve">ompany </w:t>
      </w:r>
      <w:r w:rsidR="00F1027B">
        <w:t>n</w:t>
      </w:r>
      <w:r w:rsidRPr="003D3A9F">
        <w:t>umber</w:t>
      </w:r>
    </w:p>
    <w:p w14:paraId="129EAA87" w14:textId="77777777" w:rsidR="00146615" w:rsidRPr="003D3A9F" w:rsidRDefault="00146615" w:rsidP="00146615">
      <w:pPr>
        <w:pStyle w:val="Abbreviation"/>
      </w:pPr>
      <w:proofErr w:type="spellStart"/>
      <w:r w:rsidRPr="003D3A9F">
        <w:t>ADI</w:t>
      </w:r>
      <w:proofErr w:type="spellEnd"/>
      <w:r w:rsidRPr="003D3A9F">
        <w:tab/>
        <w:t>authorised deposit-taking institution</w:t>
      </w:r>
    </w:p>
    <w:p w14:paraId="6C00B670" w14:textId="77777777" w:rsidR="00E902C7" w:rsidRPr="003D3A9F" w:rsidRDefault="00146615" w:rsidP="00146615">
      <w:pPr>
        <w:pStyle w:val="Abbreviation"/>
      </w:pPr>
      <w:proofErr w:type="spellStart"/>
      <w:r w:rsidRPr="003D3A9F">
        <w:t>AFSA</w:t>
      </w:r>
      <w:proofErr w:type="spellEnd"/>
      <w:r w:rsidRPr="003D3A9F">
        <w:tab/>
        <w:t>Australian Financial Security Authority</w:t>
      </w:r>
    </w:p>
    <w:p w14:paraId="7263C5C5" w14:textId="77777777" w:rsidR="00E902C7" w:rsidRPr="003D3A9F" w:rsidRDefault="007D4D26" w:rsidP="00E902C7">
      <w:pPr>
        <w:pStyle w:val="Abbreviation"/>
        <w:tabs>
          <w:tab w:val="left" w:pos="2295"/>
        </w:tabs>
      </w:pPr>
      <w:proofErr w:type="spellStart"/>
      <w:r>
        <w:t>AICD</w:t>
      </w:r>
      <w:proofErr w:type="spellEnd"/>
      <w:r>
        <w:tab/>
      </w:r>
      <w:r>
        <w:tab/>
      </w:r>
      <w:r w:rsidR="00E902C7" w:rsidRPr="003D3A9F">
        <w:t>Australian</w:t>
      </w:r>
      <w:r>
        <w:t xml:space="preserve"> Institute of Company Directors</w:t>
      </w:r>
    </w:p>
    <w:p w14:paraId="78A703BC" w14:textId="77777777" w:rsidR="00146615" w:rsidRPr="003D3A9F" w:rsidRDefault="00146615" w:rsidP="00146615">
      <w:pPr>
        <w:pStyle w:val="Abbreviation"/>
      </w:pPr>
      <w:r w:rsidRPr="003D3A9F">
        <w:t>APRA</w:t>
      </w:r>
      <w:r w:rsidRPr="003D3A9F">
        <w:tab/>
        <w:t>Australian Prudential Regulation Authority</w:t>
      </w:r>
    </w:p>
    <w:p w14:paraId="3A47362A" w14:textId="77777777" w:rsidR="00146615" w:rsidRPr="003D3A9F" w:rsidRDefault="00146615" w:rsidP="00146615">
      <w:pPr>
        <w:pStyle w:val="Abbreviation"/>
      </w:pPr>
      <w:proofErr w:type="spellStart"/>
      <w:r w:rsidRPr="003D3A9F">
        <w:t>ARITA</w:t>
      </w:r>
      <w:proofErr w:type="spellEnd"/>
      <w:r w:rsidRPr="003D3A9F">
        <w:tab/>
        <w:t>Australian Restructuring Insolvency and Turnaround Association</w:t>
      </w:r>
    </w:p>
    <w:p w14:paraId="58F5AE44" w14:textId="77777777" w:rsidR="00146615" w:rsidRPr="003D3A9F" w:rsidRDefault="00146615" w:rsidP="00146615">
      <w:pPr>
        <w:pStyle w:val="Abbreviation"/>
      </w:pPr>
      <w:proofErr w:type="spellStart"/>
      <w:r w:rsidRPr="003D3A9F">
        <w:t>ASIC</w:t>
      </w:r>
      <w:proofErr w:type="spellEnd"/>
      <w:r w:rsidRPr="003D3A9F">
        <w:tab/>
        <w:t>Australian Securities and Investments Commission</w:t>
      </w:r>
    </w:p>
    <w:p w14:paraId="642B4BB4" w14:textId="77777777" w:rsidR="00146615" w:rsidRPr="003D3A9F" w:rsidRDefault="00146615" w:rsidP="00146615">
      <w:pPr>
        <w:pStyle w:val="Abbreviation"/>
      </w:pPr>
      <w:proofErr w:type="spellStart"/>
      <w:r w:rsidRPr="003D3A9F">
        <w:t>ASX</w:t>
      </w:r>
      <w:proofErr w:type="spellEnd"/>
      <w:r w:rsidRPr="003D3A9F">
        <w:tab/>
        <w:t>Australian Securities Exchange</w:t>
      </w:r>
    </w:p>
    <w:p w14:paraId="6C0432E5" w14:textId="77777777" w:rsidR="00146615" w:rsidRPr="003D3A9F" w:rsidRDefault="00146615" w:rsidP="00146615">
      <w:pPr>
        <w:pStyle w:val="Abbreviation"/>
      </w:pPr>
      <w:proofErr w:type="spellStart"/>
      <w:r w:rsidRPr="003D3A9F">
        <w:t>ATO</w:t>
      </w:r>
      <w:proofErr w:type="spellEnd"/>
      <w:r w:rsidRPr="003D3A9F">
        <w:tab/>
        <w:t>Australian Tax Office</w:t>
      </w:r>
    </w:p>
    <w:p w14:paraId="78217AB7" w14:textId="77777777" w:rsidR="00146615" w:rsidRPr="003D3A9F" w:rsidRDefault="00146615" w:rsidP="00146615">
      <w:pPr>
        <w:pStyle w:val="Abbreviation"/>
      </w:pPr>
      <w:proofErr w:type="spellStart"/>
      <w:r w:rsidRPr="003D3A9F">
        <w:t>AUSTRAC</w:t>
      </w:r>
      <w:proofErr w:type="spellEnd"/>
      <w:r w:rsidRPr="003D3A9F">
        <w:tab/>
        <w:t>Australian Transaction Reports and Analysis Centre</w:t>
      </w:r>
    </w:p>
    <w:p w14:paraId="376DC487" w14:textId="77777777" w:rsidR="00146615" w:rsidRPr="003D3A9F" w:rsidRDefault="00146615" w:rsidP="00146615">
      <w:pPr>
        <w:pStyle w:val="Abbreviation"/>
      </w:pPr>
      <w:r w:rsidRPr="003D3A9F">
        <w:t>BAS</w:t>
      </w:r>
      <w:r w:rsidRPr="003D3A9F">
        <w:tab/>
        <w:t>business activity statement</w:t>
      </w:r>
    </w:p>
    <w:p w14:paraId="0919473D" w14:textId="77777777" w:rsidR="00146615" w:rsidRPr="003D3A9F" w:rsidRDefault="00146615" w:rsidP="00146615">
      <w:pPr>
        <w:pStyle w:val="Abbreviation"/>
      </w:pPr>
      <w:proofErr w:type="spellStart"/>
      <w:r w:rsidRPr="003D3A9F">
        <w:t>CAMAC</w:t>
      </w:r>
      <w:proofErr w:type="spellEnd"/>
      <w:r w:rsidRPr="003D3A9F">
        <w:tab/>
        <w:t>Corporations and Markets Advisory Committee</w:t>
      </w:r>
    </w:p>
    <w:p w14:paraId="29CE9A9F" w14:textId="77777777" w:rsidR="00146615" w:rsidRPr="003D3A9F" w:rsidRDefault="00146615" w:rsidP="00146615">
      <w:pPr>
        <w:pStyle w:val="Abbreviation"/>
      </w:pPr>
      <w:proofErr w:type="spellStart"/>
      <w:r w:rsidRPr="003D3A9F">
        <w:t>CAUSEE</w:t>
      </w:r>
      <w:proofErr w:type="spellEnd"/>
      <w:r w:rsidRPr="003D3A9F">
        <w:tab/>
        <w:t>Comprehensive Australian Study of Entrepreneurial Emergence</w:t>
      </w:r>
    </w:p>
    <w:p w14:paraId="760E86B9" w14:textId="77777777" w:rsidR="00146615" w:rsidRPr="003D3A9F" w:rsidRDefault="00146615" w:rsidP="00146615">
      <w:pPr>
        <w:pStyle w:val="Abbreviation"/>
      </w:pPr>
      <w:proofErr w:type="spellStart"/>
      <w:r w:rsidRPr="003D3A9F">
        <w:t>CCIQ</w:t>
      </w:r>
      <w:proofErr w:type="spellEnd"/>
      <w:r w:rsidRPr="003D3A9F">
        <w:tab/>
        <w:t>Chamber of Commerce and Industry Queensland</w:t>
      </w:r>
    </w:p>
    <w:p w14:paraId="2653538E" w14:textId="77777777" w:rsidR="00146615" w:rsidRDefault="00146615" w:rsidP="00146615">
      <w:pPr>
        <w:pStyle w:val="Abbreviation"/>
      </w:pPr>
      <w:proofErr w:type="spellStart"/>
      <w:r w:rsidRPr="003D3A9F">
        <w:t>CGT</w:t>
      </w:r>
      <w:proofErr w:type="spellEnd"/>
      <w:r w:rsidRPr="003D3A9F">
        <w:tab/>
        <w:t>capital gains tax</w:t>
      </w:r>
    </w:p>
    <w:p w14:paraId="65B93B16" w14:textId="77777777" w:rsidR="00146615" w:rsidRDefault="00146615" w:rsidP="00146615">
      <w:pPr>
        <w:pStyle w:val="Abbreviation"/>
      </w:pPr>
      <w:r>
        <w:t>COAG</w:t>
      </w:r>
      <w:r>
        <w:tab/>
        <w:t>Council of Australian Governments</w:t>
      </w:r>
    </w:p>
    <w:p w14:paraId="0E1CA64B" w14:textId="77777777" w:rsidR="00E902C7" w:rsidRDefault="00E902C7" w:rsidP="00146615">
      <w:pPr>
        <w:pStyle w:val="Abbreviation"/>
      </w:pPr>
      <w:r>
        <w:t>CPA</w:t>
      </w:r>
      <w:r>
        <w:tab/>
        <w:t>Certified Practising Accountants</w:t>
      </w:r>
    </w:p>
    <w:p w14:paraId="7C2442EA" w14:textId="77777777" w:rsidR="00E902C7" w:rsidRDefault="00E902C7" w:rsidP="00146615">
      <w:pPr>
        <w:pStyle w:val="Abbreviation"/>
      </w:pPr>
      <w:r>
        <w:t>CSIRO</w:t>
      </w:r>
      <w:r>
        <w:tab/>
        <w:t>Commonwealth Scientific and Industrial Research Organisation</w:t>
      </w:r>
    </w:p>
    <w:p w14:paraId="162809A4" w14:textId="77777777" w:rsidR="00146615" w:rsidRDefault="00146615" w:rsidP="00146615">
      <w:pPr>
        <w:pStyle w:val="Abbreviation"/>
      </w:pPr>
      <w:proofErr w:type="spellStart"/>
      <w:r>
        <w:t>FSI</w:t>
      </w:r>
      <w:proofErr w:type="spellEnd"/>
      <w:r>
        <w:tab/>
      </w:r>
      <w:r w:rsidRPr="00A862BC">
        <w:t>Financial System Inquiry</w:t>
      </w:r>
    </w:p>
    <w:p w14:paraId="19068B02" w14:textId="77777777" w:rsidR="00146615" w:rsidRDefault="00146615" w:rsidP="00146615">
      <w:pPr>
        <w:pStyle w:val="Abbreviation"/>
      </w:pPr>
      <w:r>
        <w:t>GDP</w:t>
      </w:r>
      <w:r>
        <w:tab/>
        <w:t>gross domestic product</w:t>
      </w:r>
    </w:p>
    <w:p w14:paraId="2B0F8892" w14:textId="77777777" w:rsidR="00146615" w:rsidRDefault="00146615" w:rsidP="00146615">
      <w:pPr>
        <w:pStyle w:val="Abbreviation"/>
      </w:pPr>
      <w:proofErr w:type="spellStart"/>
      <w:r>
        <w:lastRenderedPageBreak/>
        <w:t>GFC</w:t>
      </w:r>
      <w:proofErr w:type="spellEnd"/>
      <w:r>
        <w:tab/>
        <w:t>global financial crisis</w:t>
      </w:r>
    </w:p>
    <w:p w14:paraId="0DF70F66" w14:textId="77777777" w:rsidR="00146615" w:rsidRDefault="00146615" w:rsidP="00146615">
      <w:pPr>
        <w:pStyle w:val="Abbreviation"/>
      </w:pPr>
      <w:r>
        <w:t>GST</w:t>
      </w:r>
      <w:r>
        <w:tab/>
        <w:t>goods and services tax</w:t>
      </w:r>
    </w:p>
    <w:p w14:paraId="5A168509" w14:textId="77777777" w:rsidR="00E902C7" w:rsidRDefault="00E902C7" w:rsidP="00146615">
      <w:pPr>
        <w:pStyle w:val="Abbreviation"/>
      </w:pPr>
      <w:r>
        <w:t>ICT</w:t>
      </w:r>
      <w:r>
        <w:tab/>
      </w:r>
      <w:r w:rsidR="007D4D26">
        <w:t>i</w:t>
      </w:r>
      <w:r>
        <w:t xml:space="preserve">nformation and </w:t>
      </w:r>
      <w:r w:rsidR="007D4D26">
        <w:t>c</w:t>
      </w:r>
      <w:r>
        <w:t xml:space="preserve">ommunications </w:t>
      </w:r>
      <w:r w:rsidR="007D4D26">
        <w:t>t</w:t>
      </w:r>
      <w:r>
        <w:t>echnology</w:t>
      </w:r>
    </w:p>
    <w:p w14:paraId="2CFA80F7" w14:textId="77777777" w:rsidR="00E902C7" w:rsidRDefault="00E902C7" w:rsidP="00146615">
      <w:pPr>
        <w:pStyle w:val="Abbreviation"/>
      </w:pPr>
      <w:r>
        <w:t>IP</w:t>
      </w:r>
      <w:r>
        <w:tab/>
      </w:r>
      <w:r w:rsidR="007D4D26">
        <w:t>i</w:t>
      </w:r>
      <w:r>
        <w:t xml:space="preserve">ntellectual </w:t>
      </w:r>
      <w:r w:rsidR="007D4D26">
        <w:t>p</w:t>
      </w:r>
      <w:r>
        <w:t>roperty</w:t>
      </w:r>
    </w:p>
    <w:p w14:paraId="21323D47" w14:textId="77777777" w:rsidR="00146615" w:rsidRDefault="00146615" w:rsidP="00146615">
      <w:pPr>
        <w:pStyle w:val="Abbreviation"/>
      </w:pPr>
      <w:r>
        <w:t>IPO</w:t>
      </w:r>
      <w:r>
        <w:tab/>
        <w:t>initial public offering</w:t>
      </w:r>
    </w:p>
    <w:p w14:paraId="1F659374" w14:textId="77777777" w:rsidR="00E902C7" w:rsidRDefault="00E902C7" w:rsidP="00146615">
      <w:pPr>
        <w:pStyle w:val="Abbreviation"/>
      </w:pPr>
      <w:r>
        <w:t>MIT</w:t>
      </w:r>
      <w:r>
        <w:tab/>
        <w:t xml:space="preserve">Massachusetts Institute of Technology </w:t>
      </w:r>
    </w:p>
    <w:p w14:paraId="16D687A2" w14:textId="77777777" w:rsidR="00E902C7" w:rsidRDefault="00E902C7" w:rsidP="00146615">
      <w:pPr>
        <w:pStyle w:val="Abbreviation"/>
      </w:pPr>
      <w:r>
        <w:t>NAB</w:t>
      </w:r>
      <w:r>
        <w:tab/>
        <w:t>National Australia Bank</w:t>
      </w:r>
    </w:p>
    <w:p w14:paraId="3F1E180F" w14:textId="77777777" w:rsidR="00146615" w:rsidRDefault="00146615" w:rsidP="00146615">
      <w:pPr>
        <w:pStyle w:val="Abbreviation"/>
      </w:pPr>
      <w:r>
        <w:t>OECD</w:t>
      </w:r>
      <w:r>
        <w:tab/>
        <w:t>Organisation for Economic Co-operation and Development</w:t>
      </w:r>
    </w:p>
    <w:p w14:paraId="008DD8DC" w14:textId="77777777" w:rsidR="00146615" w:rsidRDefault="00146615" w:rsidP="00146615">
      <w:pPr>
        <w:pStyle w:val="Abbreviation"/>
      </w:pPr>
      <w:r>
        <w:t>PC</w:t>
      </w:r>
      <w:r>
        <w:tab/>
        <w:t>Productivity Commission</w:t>
      </w:r>
    </w:p>
    <w:p w14:paraId="5CC5287E" w14:textId="77777777" w:rsidR="00146615" w:rsidRDefault="00146615" w:rsidP="00146615">
      <w:pPr>
        <w:pStyle w:val="Abbreviation"/>
      </w:pPr>
      <w:r>
        <w:t>RBA</w:t>
      </w:r>
      <w:r>
        <w:tab/>
        <w:t>Reserve Bank of Australia</w:t>
      </w:r>
    </w:p>
    <w:p w14:paraId="12AF48F0" w14:textId="77777777" w:rsidR="00146615" w:rsidRDefault="00146615" w:rsidP="00146615">
      <w:pPr>
        <w:pStyle w:val="Abbreviation"/>
      </w:pPr>
      <w:proofErr w:type="spellStart"/>
      <w:r>
        <w:t>SME</w:t>
      </w:r>
      <w:proofErr w:type="spellEnd"/>
      <w:r>
        <w:tab/>
      </w:r>
      <w:r w:rsidRPr="0026333B">
        <w:t>small and medium-sized enterprise</w:t>
      </w:r>
    </w:p>
    <w:p w14:paraId="698DD1FD" w14:textId="77777777" w:rsidR="00E902C7" w:rsidRDefault="00E902C7" w:rsidP="00146615">
      <w:pPr>
        <w:pStyle w:val="Abbreviation"/>
      </w:pPr>
      <w:r>
        <w:t>STEM</w:t>
      </w:r>
      <w:r>
        <w:tab/>
      </w:r>
      <w:r w:rsidR="007D4D26">
        <w:t>s</w:t>
      </w:r>
      <w:r>
        <w:t xml:space="preserve">cience, </w:t>
      </w:r>
      <w:r w:rsidR="007D4D26">
        <w:t>t</w:t>
      </w:r>
      <w:r>
        <w:t xml:space="preserve">echnology, </w:t>
      </w:r>
      <w:r w:rsidR="007D4D26">
        <w:t>e</w:t>
      </w:r>
      <w:r>
        <w:t xml:space="preserve">ngineering and </w:t>
      </w:r>
      <w:r w:rsidR="007D4D26">
        <w:t>m</w:t>
      </w:r>
      <w:r>
        <w:t>athematics</w:t>
      </w:r>
    </w:p>
    <w:p w14:paraId="00BDB699" w14:textId="77777777" w:rsidR="00146615" w:rsidRDefault="00146615" w:rsidP="00146615">
      <w:pPr>
        <w:pStyle w:val="Abbreviation"/>
      </w:pPr>
      <w:proofErr w:type="spellStart"/>
      <w:r>
        <w:t>TFN</w:t>
      </w:r>
      <w:proofErr w:type="spellEnd"/>
      <w:r>
        <w:tab/>
        <w:t>tax file number</w:t>
      </w:r>
    </w:p>
    <w:p w14:paraId="0912BD57" w14:textId="77777777" w:rsidR="00E902C7" w:rsidRDefault="00E902C7" w:rsidP="00146615">
      <w:pPr>
        <w:pStyle w:val="Abbreviation"/>
      </w:pPr>
      <w:r>
        <w:t>VC</w:t>
      </w:r>
      <w:r>
        <w:tab/>
      </w:r>
      <w:r w:rsidR="007D4D26">
        <w:t>v</w:t>
      </w:r>
      <w:r>
        <w:t xml:space="preserve">enture </w:t>
      </w:r>
      <w:r w:rsidR="007D4D26">
        <w:t>c</w:t>
      </w:r>
      <w:r>
        <w:t>apital</w:t>
      </w:r>
    </w:p>
    <w:p w14:paraId="2EF65719" w14:textId="65FD1E14" w:rsidR="00735FEA" w:rsidRDefault="00735FEA" w:rsidP="00F7477E">
      <w:pPr>
        <w:pStyle w:val="Heading2NotTOC"/>
      </w:pPr>
      <w:r>
        <w:t>Explanations</w:t>
      </w:r>
    </w:p>
    <w:tbl>
      <w:tblPr>
        <w:tblW w:w="0" w:type="auto"/>
        <w:tblCellMar>
          <w:left w:w="0" w:type="dxa"/>
          <w:right w:w="0" w:type="dxa"/>
        </w:tblCellMar>
        <w:tblLook w:val="0000" w:firstRow="0" w:lastRow="0" w:firstColumn="0" w:lastColumn="0" w:noHBand="0" w:noVBand="0"/>
      </w:tblPr>
      <w:tblGrid>
        <w:gridCol w:w="2410"/>
        <w:gridCol w:w="6379"/>
      </w:tblGrid>
      <w:tr w:rsidR="00735FEA" w14:paraId="6BA677B5" w14:textId="77777777" w:rsidTr="000A5E12">
        <w:tc>
          <w:tcPr>
            <w:tcW w:w="2410" w:type="dxa"/>
          </w:tcPr>
          <w:p w14:paraId="3B782AAB" w14:textId="77777777" w:rsidR="00735FEA" w:rsidRDefault="00735FEA">
            <w:pPr>
              <w:pStyle w:val="BodyText"/>
              <w:spacing w:before="120"/>
              <w:ind w:right="6"/>
            </w:pPr>
            <w:r>
              <w:t>Billion</w:t>
            </w:r>
          </w:p>
        </w:tc>
        <w:tc>
          <w:tcPr>
            <w:tcW w:w="6379" w:type="dxa"/>
          </w:tcPr>
          <w:p w14:paraId="0C09B662" w14:textId="77777777" w:rsidR="00735FEA" w:rsidRDefault="00735FEA">
            <w:pPr>
              <w:pStyle w:val="BodyText"/>
              <w:spacing w:before="120"/>
              <w:ind w:left="227" w:right="6"/>
            </w:pPr>
            <w:r>
              <w:t>The convention used for a billion is a thousand million (10</w:t>
            </w:r>
            <w:r>
              <w:rPr>
                <w:position w:val="6"/>
                <w:sz w:val="22"/>
              </w:rPr>
              <w:t>9</w:t>
            </w:r>
            <w:r>
              <w:t>).</w:t>
            </w:r>
          </w:p>
        </w:tc>
      </w:tr>
    </w:tbl>
    <w:p w14:paraId="6C4B5E1A" w14:textId="77777777" w:rsidR="000A5E12" w:rsidRDefault="000A5E12" w:rsidP="00743A27">
      <w:pPr>
        <w:pStyle w:val="BodyText"/>
        <w:rPr>
          <w:rFonts w:ascii="Arial" w:hAnsi="Arial" w:cs="Arial"/>
          <w:i/>
        </w:rPr>
      </w:pPr>
      <w:bookmarkStart w:id="11" w:name="Glossary"/>
      <w:bookmarkEnd w:id="11"/>
    </w:p>
    <w:p w14:paraId="31158BB4" w14:textId="77777777" w:rsidR="00883826" w:rsidRPr="006B2567" w:rsidRDefault="00883826" w:rsidP="00743A27">
      <w:pPr>
        <w:pStyle w:val="BodyText"/>
        <w:rPr>
          <w:rStyle w:val="CommentReference"/>
          <w:vanish w:val="0"/>
        </w:rPr>
      </w:pPr>
    </w:p>
    <w:sectPr w:rsidR="00883826" w:rsidRPr="006B2567" w:rsidSect="00585B3F">
      <w:headerReference w:type="even" r:id="rId34"/>
      <w:headerReference w:type="default" r:id="rId35"/>
      <w:footerReference w:type="even" r:id="rId36"/>
      <w:footerReference w:type="default" r:id="rId37"/>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EE5AC9" w14:textId="77777777" w:rsidR="00630123" w:rsidRDefault="00630123">
      <w:r>
        <w:separator/>
      </w:r>
    </w:p>
    <w:p w14:paraId="391D8DF0" w14:textId="77777777" w:rsidR="00630123" w:rsidRDefault="00630123"/>
    <w:p w14:paraId="3DDAFD84" w14:textId="77777777" w:rsidR="00630123" w:rsidRDefault="00630123"/>
  </w:endnote>
  <w:endnote w:type="continuationSeparator" w:id="0">
    <w:p w14:paraId="4B8083A1" w14:textId="77777777" w:rsidR="00630123" w:rsidRDefault="00630123">
      <w:r>
        <w:continuationSeparator/>
      </w:r>
    </w:p>
    <w:p w14:paraId="1C4693E1" w14:textId="77777777" w:rsidR="00630123" w:rsidRDefault="00630123"/>
    <w:p w14:paraId="5AA3D0CA" w14:textId="77777777" w:rsidR="00630123" w:rsidRDefault="006301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oudy Old Style">
    <w:panose1 w:val="02020502050305020303"/>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765923" w14:textId="77777777" w:rsidR="00630123" w:rsidRDefault="00630123">
    <w:pPr>
      <w:pStyle w:val="Footer"/>
    </w:pPr>
  </w:p>
  <w:p w14:paraId="30465AD3" w14:textId="77777777" w:rsidR="00630123" w:rsidRDefault="0063012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30123" w14:paraId="6C229761" w14:textId="77777777" w:rsidTr="00F539EF">
      <w:trPr>
        <w:trHeight w:hRule="exact" w:val="567"/>
      </w:trPr>
      <w:tc>
        <w:tcPr>
          <w:tcW w:w="510" w:type="dxa"/>
        </w:tcPr>
        <w:p w14:paraId="4BB8DE09" w14:textId="77777777" w:rsidR="00630123" w:rsidRPr="00A24443" w:rsidRDefault="00630123" w:rsidP="00F539EF">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197C19">
            <w:rPr>
              <w:rStyle w:val="PageNumber"/>
              <w:caps w:val="0"/>
              <w:noProof/>
            </w:rPr>
            <w:t>iv</w:t>
          </w:r>
          <w:r w:rsidRPr="00A24443">
            <w:rPr>
              <w:rStyle w:val="PageNumber"/>
              <w:caps w:val="0"/>
            </w:rPr>
            <w:fldChar w:fldCharType="end"/>
          </w:r>
        </w:p>
      </w:tc>
      <w:tc>
        <w:tcPr>
          <w:tcW w:w="7767" w:type="dxa"/>
        </w:tcPr>
        <w:p w14:paraId="0E2AE5C6" w14:textId="77777777" w:rsidR="00630123" w:rsidRPr="0013739A" w:rsidRDefault="00630123" w:rsidP="00F539EF">
          <w:pPr>
            <w:pStyle w:val="Footer"/>
            <w:rPr>
              <w:rFonts w:cs="Arial"/>
            </w:rPr>
          </w:pPr>
          <w:r>
            <w:rPr>
              <w:rFonts w:cs="Arial"/>
            </w:rPr>
            <w:t>business set-up, transfer and closure</w:t>
          </w:r>
        </w:p>
      </w:tc>
      <w:tc>
        <w:tcPr>
          <w:tcW w:w="510" w:type="dxa"/>
        </w:tcPr>
        <w:p w14:paraId="1EBDA2FD" w14:textId="77777777" w:rsidR="00630123" w:rsidRDefault="00630123" w:rsidP="00F539EF">
          <w:pPr>
            <w:pStyle w:val="Footer"/>
          </w:pPr>
        </w:p>
      </w:tc>
    </w:tr>
  </w:tbl>
  <w:p w14:paraId="06164B6B" w14:textId="77777777" w:rsidR="00630123" w:rsidRDefault="00630123" w:rsidP="00F539EF">
    <w:pPr>
      <w:pStyle w:val="FooterEnd"/>
    </w:pPr>
  </w:p>
  <w:p w14:paraId="2057FFFF" w14:textId="77777777" w:rsidR="00630123" w:rsidRDefault="00630123">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30123" w14:paraId="51EDA07D" w14:textId="77777777" w:rsidTr="00F539EF">
      <w:trPr>
        <w:trHeight w:hRule="exact" w:val="567"/>
      </w:trPr>
      <w:tc>
        <w:tcPr>
          <w:tcW w:w="510" w:type="dxa"/>
        </w:tcPr>
        <w:p w14:paraId="28EE3FFA" w14:textId="77777777" w:rsidR="00630123" w:rsidRDefault="00630123">
          <w:pPr>
            <w:pStyle w:val="Footer"/>
            <w:ind w:right="360" w:firstLine="360"/>
          </w:pPr>
        </w:p>
      </w:tc>
      <w:tc>
        <w:tcPr>
          <w:tcW w:w="7767" w:type="dxa"/>
        </w:tcPr>
        <w:p w14:paraId="571918FC" w14:textId="77777777" w:rsidR="00630123" w:rsidRPr="00BA5B14" w:rsidRDefault="00630123" w:rsidP="007448F7">
          <w:pPr>
            <w:pStyle w:val="Footer"/>
            <w:jc w:val="right"/>
            <w:rPr>
              <w:rFonts w:cs="Arial"/>
            </w:rPr>
          </w:pPr>
          <w:r w:rsidRPr="008F7DB7">
            <w:rPr>
              <w:noProof/>
            </w:rPr>
            <w:fldChar w:fldCharType="begin"/>
          </w:r>
          <w:r w:rsidRPr="008F7DB7">
            <w:rPr>
              <w:noProof/>
            </w:rPr>
            <w:instrText xml:space="preserve"> STYLEREF "Heading 1 Not TOC" \* MERGEFORMAT </w:instrText>
          </w:r>
          <w:r w:rsidR="0048097E">
            <w:rPr>
              <w:noProof/>
            </w:rPr>
            <w:fldChar w:fldCharType="separate"/>
          </w:r>
          <w:r w:rsidR="0048097E">
            <w:rPr>
              <w:noProof/>
            </w:rPr>
            <w:t>Contents</w:t>
          </w:r>
          <w:r w:rsidRPr="008F7DB7">
            <w:rPr>
              <w:noProof/>
            </w:rPr>
            <w:fldChar w:fldCharType="end"/>
          </w:r>
          <w:r>
            <w:rPr>
              <w:rFonts w:cs="Arial"/>
            </w:rPr>
            <w:t xml:space="preserve"> </w:t>
          </w:r>
        </w:p>
      </w:tc>
      <w:tc>
        <w:tcPr>
          <w:tcW w:w="510" w:type="dxa"/>
        </w:tcPr>
        <w:p w14:paraId="78E05A1A" w14:textId="77777777" w:rsidR="00630123" w:rsidRPr="007448F7" w:rsidRDefault="00630123">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48097E">
            <w:rPr>
              <w:rStyle w:val="PageNumber"/>
              <w:caps w:val="0"/>
              <w:noProof/>
            </w:rPr>
            <w:t>xi</w:t>
          </w:r>
          <w:r w:rsidRPr="007448F7">
            <w:rPr>
              <w:rStyle w:val="PageNumber"/>
              <w:caps w:val="0"/>
            </w:rPr>
            <w:fldChar w:fldCharType="end"/>
          </w:r>
        </w:p>
      </w:tc>
    </w:tr>
  </w:tbl>
  <w:p w14:paraId="2432BDCB" w14:textId="77777777" w:rsidR="00630123" w:rsidRDefault="00630123">
    <w:pPr>
      <w:pStyle w:val="FooterEnd"/>
    </w:pPr>
  </w:p>
  <w:p w14:paraId="49A7DB2E" w14:textId="77777777" w:rsidR="00630123" w:rsidRDefault="00630123">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30123" w14:paraId="65DD4F0E" w14:textId="77777777" w:rsidTr="00F539EF">
      <w:trPr>
        <w:trHeight w:hRule="exact" w:val="567"/>
      </w:trPr>
      <w:tc>
        <w:tcPr>
          <w:tcW w:w="510" w:type="dxa"/>
        </w:tcPr>
        <w:p w14:paraId="4009C1DA" w14:textId="77777777" w:rsidR="00630123" w:rsidRPr="00A24443" w:rsidRDefault="00630123" w:rsidP="00F539EF">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48097E">
            <w:rPr>
              <w:rStyle w:val="PageNumber"/>
              <w:caps w:val="0"/>
              <w:noProof/>
            </w:rPr>
            <w:t>xii</w:t>
          </w:r>
          <w:r w:rsidRPr="00A24443">
            <w:rPr>
              <w:rStyle w:val="PageNumber"/>
              <w:caps w:val="0"/>
            </w:rPr>
            <w:fldChar w:fldCharType="end"/>
          </w:r>
        </w:p>
      </w:tc>
      <w:tc>
        <w:tcPr>
          <w:tcW w:w="7767" w:type="dxa"/>
        </w:tcPr>
        <w:p w14:paraId="515E943F" w14:textId="77777777" w:rsidR="00630123" w:rsidRPr="0013739A" w:rsidRDefault="00630123" w:rsidP="00F539EF">
          <w:pPr>
            <w:pStyle w:val="Footer"/>
            <w:rPr>
              <w:rFonts w:cs="Arial"/>
            </w:rPr>
          </w:pPr>
          <w:r>
            <w:rPr>
              <w:rFonts w:cs="Arial"/>
            </w:rPr>
            <w:t>business set-up, transfer and closure</w:t>
          </w:r>
        </w:p>
      </w:tc>
      <w:tc>
        <w:tcPr>
          <w:tcW w:w="510" w:type="dxa"/>
        </w:tcPr>
        <w:p w14:paraId="346A1CBD" w14:textId="77777777" w:rsidR="00630123" w:rsidRDefault="00630123" w:rsidP="00F539EF">
          <w:pPr>
            <w:pStyle w:val="Footer"/>
          </w:pPr>
        </w:p>
      </w:tc>
    </w:tr>
  </w:tbl>
  <w:p w14:paraId="762EC877" w14:textId="77777777" w:rsidR="00630123" w:rsidRDefault="00630123" w:rsidP="00F539EF">
    <w:pPr>
      <w:pStyle w:val="FooterEnd"/>
    </w:pPr>
  </w:p>
  <w:p w14:paraId="7BCD6B26" w14:textId="77777777" w:rsidR="00630123" w:rsidRDefault="00630123">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30123" w14:paraId="5B9DFB2A" w14:textId="77777777" w:rsidTr="00F539EF">
      <w:trPr>
        <w:trHeight w:hRule="exact" w:val="567"/>
      </w:trPr>
      <w:tc>
        <w:tcPr>
          <w:tcW w:w="510" w:type="dxa"/>
        </w:tcPr>
        <w:p w14:paraId="657DEEA6" w14:textId="77777777" w:rsidR="00630123" w:rsidRDefault="00630123">
          <w:pPr>
            <w:pStyle w:val="Footer"/>
            <w:ind w:right="360" w:firstLine="360"/>
          </w:pPr>
        </w:p>
      </w:tc>
      <w:tc>
        <w:tcPr>
          <w:tcW w:w="7767" w:type="dxa"/>
        </w:tcPr>
        <w:p w14:paraId="2B393F0E" w14:textId="77777777" w:rsidR="00630123" w:rsidRPr="00A90DAF" w:rsidRDefault="00630123" w:rsidP="00F539EF">
          <w:pPr>
            <w:pStyle w:val="Footer"/>
            <w:jc w:val="right"/>
            <w:rPr>
              <w:rFonts w:cs="Arial"/>
            </w:rPr>
          </w:pPr>
          <w:r w:rsidRPr="00A90DAF">
            <w:rPr>
              <w:noProof/>
            </w:rPr>
            <w:fldChar w:fldCharType="begin"/>
          </w:r>
          <w:r w:rsidRPr="00A90DAF">
            <w:rPr>
              <w:noProof/>
            </w:rPr>
            <w:instrText xml:space="preserve"> STYLEREF "Heading 1" \* MERGEFORMAT </w:instrText>
          </w:r>
          <w:r w:rsidRPr="00A90DAF">
            <w:rPr>
              <w:noProof/>
            </w:rPr>
            <w:fldChar w:fldCharType="separate"/>
          </w:r>
          <w:r w:rsidR="00250F35" w:rsidRPr="00250F35">
            <w:rPr>
              <w:bCs/>
              <w:noProof/>
              <w:lang w:val="en-US"/>
            </w:rPr>
            <w:t>Terms</w:t>
          </w:r>
          <w:r w:rsidR="00250F35">
            <w:rPr>
              <w:noProof/>
            </w:rPr>
            <w:t xml:space="preserve"> of reference</w:t>
          </w:r>
          <w:r w:rsidRPr="00A90DAF">
            <w:rPr>
              <w:noProof/>
            </w:rPr>
            <w:fldChar w:fldCharType="end"/>
          </w:r>
        </w:p>
      </w:tc>
      <w:tc>
        <w:tcPr>
          <w:tcW w:w="510" w:type="dxa"/>
        </w:tcPr>
        <w:p w14:paraId="4E34D360" w14:textId="77777777" w:rsidR="00630123" w:rsidRPr="00A24443" w:rsidRDefault="00630123">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50326F">
            <w:rPr>
              <w:rStyle w:val="PageNumber"/>
              <w:caps w:val="0"/>
              <w:noProof/>
            </w:rPr>
            <w:t>xiii</w:t>
          </w:r>
          <w:r w:rsidRPr="00A24443">
            <w:rPr>
              <w:rStyle w:val="PageNumber"/>
              <w:caps w:val="0"/>
            </w:rPr>
            <w:fldChar w:fldCharType="end"/>
          </w:r>
        </w:p>
      </w:tc>
    </w:tr>
  </w:tbl>
  <w:p w14:paraId="56B96CAC" w14:textId="77777777" w:rsidR="00630123" w:rsidRDefault="00630123">
    <w:pPr>
      <w:pStyle w:val="FooterEnd"/>
    </w:pPr>
  </w:p>
  <w:p w14:paraId="228AEA56" w14:textId="77777777" w:rsidR="00630123" w:rsidRDefault="00630123">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30123" w14:paraId="50AEBBB3" w14:textId="77777777" w:rsidTr="00F539EF">
      <w:trPr>
        <w:trHeight w:hRule="exact" w:val="567"/>
      </w:trPr>
      <w:tc>
        <w:tcPr>
          <w:tcW w:w="510" w:type="dxa"/>
        </w:tcPr>
        <w:p w14:paraId="145C2A6A" w14:textId="77777777" w:rsidR="00630123" w:rsidRPr="007448F7" w:rsidRDefault="00630123" w:rsidP="00F539EF">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197C19">
            <w:rPr>
              <w:rStyle w:val="PageNumber"/>
              <w:caps w:val="0"/>
              <w:noProof/>
            </w:rPr>
            <w:t>xiv</w:t>
          </w:r>
          <w:r w:rsidRPr="007448F7">
            <w:rPr>
              <w:rStyle w:val="PageNumber"/>
              <w:caps w:val="0"/>
            </w:rPr>
            <w:fldChar w:fldCharType="end"/>
          </w:r>
        </w:p>
      </w:tc>
      <w:tc>
        <w:tcPr>
          <w:tcW w:w="7767" w:type="dxa"/>
        </w:tcPr>
        <w:p w14:paraId="2ED3D6A3" w14:textId="77777777" w:rsidR="00630123" w:rsidRPr="0013739A" w:rsidRDefault="00630123" w:rsidP="00271B0C">
          <w:pPr>
            <w:pStyle w:val="Footer"/>
            <w:rPr>
              <w:rFonts w:cs="Arial"/>
            </w:rPr>
          </w:pPr>
          <w:r>
            <w:rPr>
              <w:rFonts w:cs="Arial"/>
            </w:rPr>
            <w:t>business set-up, transfer and closure</w:t>
          </w:r>
        </w:p>
      </w:tc>
      <w:tc>
        <w:tcPr>
          <w:tcW w:w="510" w:type="dxa"/>
        </w:tcPr>
        <w:p w14:paraId="0FDDF28D" w14:textId="77777777" w:rsidR="00630123" w:rsidRDefault="00630123" w:rsidP="00F539EF">
          <w:pPr>
            <w:pStyle w:val="Footer"/>
          </w:pPr>
        </w:p>
      </w:tc>
    </w:tr>
  </w:tbl>
  <w:p w14:paraId="5A63AFDF" w14:textId="77777777" w:rsidR="00630123" w:rsidRDefault="00630123" w:rsidP="00F539EF">
    <w:pPr>
      <w:pStyle w:val="FooterEnd"/>
    </w:pPr>
  </w:p>
  <w:p w14:paraId="3D5EE2CA" w14:textId="77777777" w:rsidR="00630123" w:rsidRDefault="00630123">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30123" w14:paraId="1D72740F" w14:textId="77777777" w:rsidTr="00F539EF">
      <w:trPr>
        <w:trHeight w:hRule="exact" w:val="567"/>
      </w:trPr>
      <w:tc>
        <w:tcPr>
          <w:tcW w:w="510" w:type="dxa"/>
        </w:tcPr>
        <w:p w14:paraId="3C765D13" w14:textId="77777777" w:rsidR="00630123" w:rsidRDefault="00630123">
          <w:pPr>
            <w:pStyle w:val="Footer"/>
            <w:ind w:right="360" w:firstLine="360"/>
          </w:pPr>
        </w:p>
      </w:tc>
      <w:tc>
        <w:tcPr>
          <w:tcW w:w="7767" w:type="dxa"/>
        </w:tcPr>
        <w:p w14:paraId="23DD808A" w14:textId="77777777" w:rsidR="00630123" w:rsidRPr="00340511" w:rsidRDefault="00630123" w:rsidP="00340511">
          <w:pPr>
            <w:pStyle w:val="Footer"/>
            <w:jc w:val="right"/>
            <w:rPr>
              <w:rFonts w:cs="Arial"/>
            </w:rPr>
          </w:pPr>
          <w:r w:rsidRPr="00340511">
            <w:rPr>
              <w:noProof/>
            </w:rPr>
            <w:fldChar w:fldCharType="begin"/>
          </w:r>
          <w:r w:rsidRPr="00340511">
            <w:rPr>
              <w:noProof/>
            </w:rPr>
            <w:instrText xml:space="preserve"> STYLEREF "Heading 1" \* MERGEFORMAT </w:instrText>
          </w:r>
          <w:r w:rsidRPr="00340511">
            <w:rPr>
              <w:noProof/>
            </w:rPr>
            <w:fldChar w:fldCharType="separate"/>
          </w:r>
          <w:r w:rsidR="00197C19" w:rsidRPr="00197C19">
            <w:rPr>
              <w:bCs/>
              <w:noProof/>
              <w:lang w:val="en-US"/>
            </w:rPr>
            <w:t>Abbreviations</w:t>
          </w:r>
          <w:r w:rsidR="00197C19">
            <w:rPr>
              <w:noProof/>
            </w:rPr>
            <w:t xml:space="preserve"> and explanations</w:t>
          </w:r>
          <w:r w:rsidRPr="00340511">
            <w:rPr>
              <w:noProof/>
            </w:rPr>
            <w:fldChar w:fldCharType="end"/>
          </w:r>
        </w:p>
      </w:tc>
      <w:tc>
        <w:tcPr>
          <w:tcW w:w="510" w:type="dxa"/>
        </w:tcPr>
        <w:p w14:paraId="0398F16C" w14:textId="77777777" w:rsidR="00630123" w:rsidRPr="00A24443" w:rsidRDefault="00630123">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197C19">
            <w:rPr>
              <w:rStyle w:val="PageNumber"/>
              <w:caps w:val="0"/>
              <w:noProof/>
            </w:rPr>
            <w:t>xiii</w:t>
          </w:r>
          <w:r w:rsidRPr="00A24443">
            <w:rPr>
              <w:rStyle w:val="PageNumber"/>
              <w:caps w:val="0"/>
            </w:rPr>
            <w:fldChar w:fldCharType="end"/>
          </w:r>
        </w:p>
      </w:tc>
    </w:tr>
  </w:tbl>
  <w:p w14:paraId="4ADB234A" w14:textId="77777777" w:rsidR="00630123" w:rsidRDefault="00630123">
    <w:pPr>
      <w:pStyle w:val="FooterEnd"/>
    </w:pPr>
  </w:p>
  <w:p w14:paraId="53E59E6E" w14:textId="77777777" w:rsidR="00630123" w:rsidRDefault="00630123"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B8D6AC" w14:textId="77777777" w:rsidR="00630123" w:rsidRDefault="00630123">
      <w:r>
        <w:separator/>
      </w:r>
    </w:p>
    <w:p w14:paraId="7F106271" w14:textId="77777777" w:rsidR="00630123" w:rsidRDefault="00630123"/>
    <w:p w14:paraId="329D80B6" w14:textId="77777777" w:rsidR="00630123" w:rsidRDefault="00630123"/>
  </w:footnote>
  <w:footnote w:type="continuationSeparator" w:id="0">
    <w:p w14:paraId="7301063E" w14:textId="77777777" w:rsidR="00630123" w:rsidRDefault="00630123">
      <w:r>
        <w:continuationSeparator/>
      </w:r>
    </w:p>
    <w:p w14:paraId="095964A6" w14:textId="77777777" w:rsidR="00630123" w:rsidRDefault="00630123"/>
    <w:p w14:paraId="4576EBFA" w14:textId="77777777" w:rsidR="00630123" w:rsidRDefault="0063012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630123" w14:paraId="05FDB95D" w14:textId="77777777">
      <w:tc>
        <w:tcPr>
          <w:tcW w:w="2155" w:type="dxa"/>
          <w:tcBorders>
            <w:top w:val="single" w:sz="24" w:space="0" w:color="auto"/>
          </w:tcBorders>
        </w:tcPr>
        <w:p w14:paraId="76821312" w14:textId="77777777" w:rsidR="00630123" w:rsidRDefault="00630123">
          <w:pPr>
            <w:pStyle w:val="Header"/>
          </w:pPr>
        </w:p>
      </w:tc>
      <w:tc>
        <w:tcPr>
          <w:tcW w:w="6634" w:type="dxa"/>
          <w:tcBorders>
            <w:top w:val="single" w:sz="6" w:space="0" w:color="auto"/>
          </w:tcBorders>
        </w:tcPr>
        <w:p w14:paraId="77229D69" w14:textId="77777777" w:rsidR="00630123" w:rsidRDefault="00630123">
          <w:pPr>
            <w:pStyle w:val="Header"/>
          </w:pPr>
        </w:p>
      </w:tc>
    </w:tr>
  </w:tbl>
  <w:p w14:paraId="71BCCDC5" w14:textId="77777777" w:rsidR="00630123" w:rsidRDefault="00630123">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30123" w14:paraId="4870EA9C" w14:textId="77777777" w:rsidTr="005C68FE">
      <w:tc>
        <w:tcPr>
          <w:tcW w:w="6634" w:type="dxa"/>
          <w:tcBorders>
            <w:top w:val="single" w:sz="6" w:space="0" w:color="auto"/>
          </w:tcBorders>
        </w:tcPr>
        <w:p w14:paraId="693EE7C9" w14:textId="77777777" w:rsidR="00630123" w:rsidRDefault="00630123" w:rsidP="005C68FE">
          <w:pPr>
            <w:pStyle w:val="HeaderOdd"/>
          </w:pPr>
        </w:p>
      </w:tc>
      <w:tc>
        <w:tcPr>
          <w:tcW w:w="2155" w:type="dxa"/>
          <w:tcBorders>
            <w:top w:val="single" w:sz="24" w:space="0" w:color="auto"/>
          </w:tcBorders>
        </w:tcPr>
        <w:p w14:paraId="2D4EF099" w14:textId="77777777" w:rsidR="00630123" w:rsidRDefault="00630123" w:rsidP="005C68FE">
          <w:pPr>
            <w:pStyle w:val="HeaderOdd"/>
          </w:pPr>
        </w:p>
      </w:tc>
    </w:tr>
  </w:tbl>
  <w:p w14:paraId="2EE53206" w14:textId="77777777" w:rsidR="00630123" w:rsidRPr="005C68FE" w:rsidRDefault="00630123" w:rsidP="005C68FE">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630123" w14:paraId="4C728C97" w14:textId="77777777">
      <w:tc>
        <w:tcPr>
          <w:tcW w:w="2155" w:type="dxa"/>
          <w:tcBorders>
            <w:top w:val="single" w:sz="24" w:space="0" w:color="auto"/>
          </w:tcBorders>
        </w:tcPr>
        <w:p w14:paraId="04807CF8" w14:textId="77777777" w:rsidR="00630123" w:rsidRDefault="00630123">
          <w:pPr>
            <w:pStyle w:val="HeaderEven"/>
          </w:pPr>
        </w:p>
      </w:tc>
      <w:tc>
        <w:tcPr>
          <w:tcW w:w="6634" w:type="dxa"/>
          <w:tcBorders>
            <w:top w:val="single" w:sz="6" w:space="0" w:color="auto"/>
          </w:tcBorders>
        </w:tcPr>
        <w:p w14:paraId="5046F003" w14:textId="77777777" w:rsidR="00630123" w:rsidRDefault="00630123">
          <w:pPr>
            <w:pStyle w:val="HeaderEven"/>
          </w:pPr>
        </w:p>
      </w:tc>
    </w:tr>
  </w:tbl>
  <w:p w14:paraId="61884D1A" w14:textId="77777777" w:rsidR="00630123" w:rsidRDefault="00630123">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30123" w14:paraId="2A5904CA" w14:textId="77777777">
      <w:tc>
        <w:tcPr>
          <w:tcW w:w="6634" w:type="dxa"/>
          <w:tcBorders>
            <w:top w:val="single" w:sz="6" w:space="0" w:color="auto"/>
          </w:tcBorders>
        </w:tcPr>
        <w:p w14:paraId="177B16A1" w14:textId="77777777" w:rsidR="00630123" w:rsidRDefault="00630123">
          <w:pPr>
            <w:pStyle w:val="HeaderOdd"/>
          </w:pPr>
        </w:p>
      </w:tc>
      <w:tc>
        <w:tcPr>
          <w:tcW w:w="2155" w:type="dxa"/>
          <w:tcBorders>
            <w:top w:val="single" w:sz="24" w:space="0" w:color="auto"/>
            <w:bottom w:val="nil"/>
          </w:tcBorders>
        </w:tcPr>
        <w:p w14:paraId="681FE31F" w14:textId="77777777" w:rsidR="00630123" w:rsidRDefault="00630123">
          <w:pPr>
            <w:pStyle w:val="HeaderOdd"/>
          </w:pPr>
        </w:p>
      </w:tc>
    </w:tr>
  </w:tbl>
  <w:p w14:paraId="34197BC5" w14:textId="77777777" w:rsidR="00630123" w:rsidRDefault="00630123">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630123" w14:paraId="05B4E577" w14:textId="77777777" w:rsidTr="005C68FE">
      <w:tc>
        <w:tcPr>
          <w:tcW w:w="2155" w:type="dxa"/>
          <w:tcBorders>
            <w:top w:val="single" w:sz="24" w:space="0" w:color="auto"/>
          </w:tcBorders>
        </w:tcPr>
        <w:p w14:paraId="07E12A99" w14:textId="77777777" w:rsidR="00630123" w:rsidRDefault="00630123" w:rsidP="005C68FE">
          <w:pPr>
            <w:pStyle w:val="HeaderEven"/>
          </w:pPr>
        </w:p>
      </w:tc>
      <w:tc>
        <w:tcPr>
          <w:tcW w:w="6634" w:type="dxa"/>
          <w:tcBorders>
            <w:top w:val="single" w:sz="6" w:space="0" w:color="auto"/>
          </w:tcBorders>
        </w:tcPr>
        <w:p w14:paraId="642BF723" w14:textId="77777777" w:rsidR="00630123" w:rsidRDefault="00630123" w:rsidP="005C68FE">
          <w:pPr>
            <w:pStyle w:val="HeaderEven"/>
          </w:pPr>
        </w:p>
      </w:tc>
    </w:tr>
  </w:tbl>
  <w:p w14:paraId="07D3C15A" w14:textId="77777777" w:rsidR="00630123" w:rsidRDefault="00630123" w:rsidP="00D732FE">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30123" w14:paraId="611C8E1A" w14:textId="77777777">
      <w:tc>
        <w:tcPr>
          <w:tcW w:w="6634" w:type="dxa"/>
          <w:tcBorders>
            <w:top w:val="single" w:sz="6" w:space="0" w:color="auto"/>
          </w:tcBorders>
        </w:tcPr>
        <w:p w14:paraId="52452DD5" w14:textId="77777777" w:rsidR="00630123" w:rsidRDefault="00630123">
          <w:pPr>
            <w:pStyle w:val="HeaderOdd"/>
          </w:pPr>
        </w:p>
      </w:tc>
      <w:tc>
        <w:tcPr>
          <w:tcW w:w="2155" w:type="dxa"/>
          <w:tcBorders>
            <w:top w:val="single" w:sz="24" w:space="0" w:color="auto"/>
          </w:tcBorders>
        </w:tcPr>
        <w:p w14:paraId="42FC38D1" w14:textId="77777777" w:rsidR="00630123" w:rsidRDefault="00630123">
          <w:pPr>
            <w:pStyle w:val="HeaderOdd"/>
          </w:pPr>
        </w:p>
      </w:tc>
    </w:tr>
  </w:tbl>
  <w:p w14:paraId="1F847608" w14:textId="77777777" w:rsidR="00630123" w:rsidRDefault="00630123"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2F1F7586"/>
    <w:multiLevelType w:val="hybridMultilevel"/>
    <w:tmpl w:val="C956622A"/>
    <w:lvl w:ilvl="0" w:tplc="8D90534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6B740744"/>
    <w:multiLevelType w:val="singleLevel"/>
    <w:tmpl w:val="B4744B66"/>
    <w:lvl w:ilvl="0">
      <w:start w:val="1"/>
      <w:numFmt w:val="decimal"/>
      <w:lvlText w:val="%1."/>
      <w:legacy w:legacy="1" w:legacySpace="0" w:legacyIndent="340"/>
      <w:lvlJc w:val="left"/>
      <w:pPr>
        <w:ind w:left="340" w:hanging="340"/>
      </w:pPr>
    </w:lvl>
  </w:abstractNum>
  <w:abstractNum w:abstractNumId="2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3"/>
  </w:num>
  <w:num w:numId="13">
    <w:abstractNumId w:val="16"/>
  </w:num>
  <w:num w:numId="14">
    <w:abstractNumId w:val="8"/>
  </w:num>
  <w:num w:numId="15">
    <w:abstractNumId w:val="24"/>
  </w:num>
  <w:num w:numId="16">
    <w:abstractNumId w:val="18"/>
  </w:num>
  <w:num w:numId="17">
    <w:abstractNumId w:val="7"/>
  </w:num>
  <w:num w:numId="18">
    <w:abstractNumId w:val="22"/>
  </w:num>
  <w:num w:numId="19">
    <w:abstractNumId w:val="20"/>
  </w:num>
  <w:num w:numId="20">
    <w:abstractNumId w:val="25"/>
  </w:num>
  <w:num w:numId="21">
    <w:abstractNumId w:val="13"/>
  </w:num>
  <w:num w:numId="22">
    <w:abstractNumId w:val="11"/>
  </w:num>
  <w:num w:numId="23">
    <w:abstractNumId w:val="19"/>
  </w:num>
  <w:num w:numId="24">
    <w:abstractNumId w:val="12"/>
  </w:num>
  <w:num w:numId="25">
    <w:abstractNumId w:val="10"/>
  </w:num>
  <w:num w:numId="26">
    <w:abstractNumId w:val="10"/>
  </w:num>
  <w:num w:numId="27">
    <w:abstractNumId w:val="10"/>
  </w:num>
  <w:num w:numId="28">
    <w:abstractNumId w:val="10"/>
  </w:num>
  <w:num w:numId="29">
    <w:abstractNumId w:val="15"/>
  </w:num>
  <w:num w:numId="30">
    <w:abstractNumId w:val="9"/>
  </w:num>
  <w:num w:numId="31">
    <w:abstractNumId w:val="18"/>
  </w:num>
  <w:num w:numId="32">
    <w:abstractNumId w:val="16"/>
  </w:num>
  <w:num w:numId="33">
    <w:abstractNumId w:val="8"/>
  </w:num>
  <w:num w:numId="34">
    <w:abstractNumId w:val="22"/>
  </w:num>
  <w:num w:numId="35">
    <w:abstractNumId w:val="21"/>
  </w:num>
  <w:num w:numId="36">
    <w:abstractNumId w:val="9"/>
  </w:num>
  <w:num w:numId="37">
    <w:abstractNumId w:val="9"/>
  </w:num>
  <w:num w:numId="38">
    <w:abstractNumId w:val="14"/>
  </w:num>
  <w:num w:numId="39">
    <w:abstractNumId w:val="24"/>
  </w:num>
  <w:num w:numId="40">
    <w:abstractNumId w:val="18"/>
  </w:num>
  <w:num w:numId="41">
    <w:abstractNumId w:val="17"/>
  </w:num>
  <w:num w:numId="42">
    <w:abstractNumId w:val="7"/>
  </w:num>
  <w:num w:numId="43">
    <w:abstractNumId w:val="10"/>
  </w:num>
  <w:num w:numId="44">
    <w:abstractNumId w:val="10"/>
  </w:num>
  <w:num w:numId="45">
    <w:abstractNumId w:val="10"/>
  </w:num>
  <w:num w:numId="46">
    <w:abstractNumId w:val="20"/>
  </w:num>
  <w:num w:numId="47">
    <w:abstractNumId w:val="25"/>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615"/>
    <w:rsid w:val="00017AFC"/>
    <w:rsid w:val="00025878"/>
    <w:rsid w:val="00026B38"/>
    <w:rsid w:val="000502D3"/>
    <w:rsid w:val="00052CB2"/>
    <w:rsid w:val="000623BF"/>
    <w:rsid w:val="00072257"/>
    <w:rsid w:val="000779EB"/>
    <w:rsid w:val="00095EEA"/>
    <w:rsid w:val="00097C15"/>
    <w:rsid w:val="000A0A0E"/>
    <w:rsid w:val="000A5E12"/>
    <w:rsid w:val="000B416E"/>
    <w:rsid w:val="000E2B46"/>
    <w:rsid w:val="000E6A23"/>
    <w:rsid w:val="000F185F"/>
    <w:rsid w:val="000F2F5F"/>
    <w:rsid w:val="00106041"/>
    <w:rsid w:val="0010611E"/>
    <w:rsid w:val="00122FE9"/>
    <w:rsid w:val="00131572"/>
    <w:rsid w:val="001319D4"/>
    <w:rsid w:val="00131D4F"/>
    <w:rsid w:val="0013399B"/>
    <w:rsid w:val="00146615"/>
    <w:rsid w:val="00180515"/>
    <w:rsid w:val="00181F4B"/>
    <w:rsid w:val="001856C7"/>
    <w:rsid w:val="00190919"/>
    <w:rsid w:val="00196FB3"/>
    <w:rsid w:val="00197C19"/>
    <w:rsid w:val="001A5071"/>
    <w:rsid w:val="001A7357"/>
    <w:rsid w:val="001B4E73"/>
    <w:rsid w:val="001B7F1E"/>
    <w:rsid w:val="001D4B1F"/>
    <w:rsid w:val="001D6629"/>
    <w:rsid w:val="001E3390"/>
    <w:rsid w:val="001F2270"/>
    <w:rsid w:val="00203B40"/>
    <w:rsid w:val="00205A82"/>
    <w:rsid w:val="00211BEE"/>
    <w:rsid w:val="002179C6"/>
    <w:rsid w:val="0022135A"/>
    <w:rsid w:val="00250F35"/>
    <w:rsid w:val="00261607"/>
    <w:rsid w:val="00263DD1"/>
    <w:rsid w:val="00264D3B"/>
    <w:rsid w:val="00265685"/>
    <w:rsid w:val="00271B0C"/>
    <w:rsid w:val="0027575A"/>
    <w:rsid w:val="00281D5F"/>
    <w:rsid w:val="0028360E"/>
    <w:rsid w:val="002923AD"/>
    <w:rsid w:val="00296592"/>
    <w:rsid w:val="002A0A4B"/>
    <w:rsid w:val="002A499E"/>
    <w:rsid w:val="002B636E"/>
    <w:rsid w:val="002B64D6"/>
    <w:rsid w:val="002C12F5"/>
    <w:rsid w:val="002D6FCE"/>
    <w:rsid w:val="00300558"/>
    <w:rsid w:val="00300EC6"/>
    <w:rsid w:val="00317E3C"/>
    <w:rsid w:val="00340511"/>
    <w:rsid w:val="0038647D"/>
    <w:rsid w:val="00393A49"/>
    <w:rsid w:val="003B41E0"/>
    <w:rsid w:val="003C3D73"/>
    <w:rsid w:val="003D3A9F"/>
    <w:rsid w:val="003D624D"/>
    <w:rsid w:val="003E7802"/>
    <w:rsid w:val="0042007A"/>
    <w:rsid w:val="00433C81"/>
    <w:rsid w:val="00446D6B"/>
    <w:rsid w:val="00457B3F"/>
    <w:rsid w:val="00463022"/>
    <w:rsid w:val="0046716F"/>
    <w:rsid w:val="0048097E"/>
    <w:rsid w:val="00481CF0"/>
    <w:rsid w:val="004B492A"/>
    <w:rsid w:val="004C0B0C"/>
    <w:rsid w:val="004D3F58"/>
    <w:rsid w:val="004E358C"/>
    <w:rsid w:val="004E52E2"/>
    <w:rsid w:val="004E6BB4"/>
    <w:rsid w:val="004E7D3C"/>
    <w:rsid w:val="00502908"/>
    <w:rsid w:val="0050326F"/>
    <w:rsid w:val="00514699"/>
    <w:rsid w:val="00515D43"/>
    <w:rsid w:val="00522AB5"/>
    <w:rsid w:val="0052544D"/>
    <w:rsid w:val="00526B19"/>
    <w:rsid w:val="005519AB"/>
    <w:rsid w:val="00551FB8"/>
    <w:rsid w:val="005537F6"/>
    <w:rsid w:val="00560735"/>
    <w:rsid w:val="00560F43"/>
    <w:rsid w:val="005654D0"/>
    <w:rsid w:val="00571702"/>
    <w:rsid w:val="00585B3F"/>
    <w:rsid w:val="005B17AB"/>
    <w:rsid w:val="005B294C"/>
    <w:rsid w:val="005B40BA"/>
    <w:rsid w:val="005C68FE"/>
    <w:rsid w:val="005F7D30"/>
    <w:rsid w:val="00602523"/>
    <w:rsid w:val="006040CB"/>
    <w:rsid w:val="00604351"/>
    <w:rsid w:val="00607D8A"/>
    <w:rsid w:val="006103E4"/>
    <w:rsid w:val="0061590F"/>
    <w:rsid w:val="00630123"/>
    <w:rsid w:val="00636497"/>
    <w:rsid w:val="00641AE2"/>
    <w:rsid w:val="0064456A"/>
    <w:rsid w:val="00650DDA"/>
    <w:rsid w:val="0065126A"/>
    <w:rsid w:val="00653FA6"/>
    <w:rsid w:val="0067557D"/>
    <w:rsid w:val="006802D4"/>
    <w:rsid w:val="00683849"/>
    <w:rsid w:val="00691AB5"/>
    <w:rsid w:val="006B2567"/>
    <w:rsid w:val="006C273E"/>
    <w:rsid w:val="006E1E6B"/>
    <w:rsid w:val="006F0EAC"/>
    <w:rsid w:val="006F6A85"/>
    <w:rsid w:val="0070328D"/>
    <w:rsid w:val="00714041"/>
    <w:rsid w:val="00731F96"/>
    <w:rsid w:val="00734127"/>
    <w:rsid w:val="00735FEA"/>
    <w:rsid w:val="00743460"/>
    <w:rsid w:val="00743A27"/>
    <w:rsid w:val="007448F7"/>
    <w:rsid w:val="00753DC6"/>
    <w:rsid w:val="0075578C"/>
    <w:rsid w:val="00756C43"/>
    <w:rsid w:val="00766DFB"/>
    <w:rsid w:val="007734B5"/>
    <w:rsid w:val="007809B8"/>
    <w:rsid w:val="007813A6"/>
    <w:rsid w:val="007D1B41"/>
    <w:rsid w:val="007D4D26"/>
    <w:rsid w:val="00805FD7"/>
    <w:rsid w:val="00806E54"/>
    <w:rsid w:val="008206EE"/>
    <w:rsid w:val="008214B1"/>
    <w:rsid w:val="008273A9"/>
    <w:rsid w:val="00836ED7"/>
    <w:rsid w:val="0084355E"/>
    <w:rsid w:val="008453AC"/>
    <w:rsid w:val="00860D09"/>
    <w:rsid w:val="00862044"/>
    <w:rsid w:val="00880BF7"/>
    <w:rsid w:val="00883826"/>
    <w:rsid w:val="0089269F"/>
    <w:rsid w:val="008A2133"/>
    <w:rsid w:val="008A3857"/>
    <w:rsid w:val="008B2205"/>
    <w:rsid w:val="008B7615"/>
    <w:rsid w:val="008C08EF"/>
    <w:rsid w:val="008C305F"/>
    <w:rsid w:val="008C3AD2"/>
    <w:rsid w:val="008C7C3D"/>
    <w:rsid w:val="008D6F66"/>
    <w:rsid w:val="008E1BEA"/>
    <w:rsid w:val="008E242D"/>
    <w:rsid w:val="008E43D2"/>
    <w:rsid w:val="008E5248"/>
    <w:rsid w:val="008F04C9"/>
    <w:rsid w:val="008F7C50"/>
    <w:rsid w:val="008F7DB7"/>
    <w:rsid w:val="009064D3"/>
    <w:rsid w:val="00915300"/>
    <w:rsid w:val="00933B0C"/>
    <w:rsid w:val="00935676"/>
    <w:rsid w:val="00941848"/>
    <w:rsid w:val="0098401D"/>
    <w:rsid w:val="009914CF"/>
    <w:rsid w:val="009A789F"/>
    <w:rsid w:val="009B12EF"/>
    <w:rsid w:val="009B48F7"/>
    <w:rsid w:val="009B6185"/>
    <w:rsid w:val="009C6C6D"/>
    <w:rsid w:val="009D1BBF"/>
    <w:rsid w:val="009E1E78"/>
    <w:rsid w:val="00A1597D"/>
    <w:rsid w:val="00A46989"/>
    <w:rsid w:val="00A469AA"/>
    <w:rsid w:val="00A71CE9"/>
    <w:rsid w:val="00A72A19"/>
    <w:rsid w:val="00A75A30"/>
    <w:rsid w:val="00A93C82"/>
    <w:rsid w:val="00AB2A48"/>
    <w:rsid w:val="00AC3236"/>
    <w:rsid w:val="00AD4874"/>
    <w:rsid w:val="00AE1F8A"/>
    <w:rsid w:val="00B036B2"/>
    <w:rsid w:val="00B04D19"/>
    <w:rsid w:val="00B11A69"/>
    <w:rsid w:val="00B153C3"/>
    <w:rsid w:val="00B22087"/>
    <w:rsid w:val="00B716FB"/>
    <w:rsid w:val="00B722F2"/>
    <w:rsid w:val="00B80355"/>
    <w:rsid w:val="00B90958"/>
    <w:rsid w:val="00B95339"/>
    <w:rsid w:val="00BA0B81"/>
    <w:rsid w:val="00BB0218"/>
    <w:rsid w:val="00BB334E"/>
    <w:rsid w:val="00BB5DCF"/>
    <w:rsid w:val="00BC2476"/>
    <w:rsid w:val="00BC785E"/>
    <w:rsid w:val="00BF59EA"/>
    <w:rsid w:val="00BF79CD"/>
    <w:rsid w:val="00C032F6"/>
    <w:rsid w:val="00C058AB"/>
    <w:rsid w:val="00C0721B"/>
    <w:rsid w:val="00C34C8C"/>
    <w:rsid w:val="00C50792"/>
    <w:rsid w:val="00C51371"/>
    <w:rsid w:val="00C55A45"/>
    <w:rsid w:val="00C904D9"/>
    <w:rsid w:val="00C94C06"/>
    <w:rsid w:val="00CA48BF"/>
    <w:rsid w:val="00CB3ACC"/>
    <w:rsid w:val="00CB4745"/>
    <w:rsid w:val="00CD2163"/>
    <w:rsid w:val="00CD4FE7"/>
    <w:rsid w:val="00CD5E6B"/>
    <w:rsid w:val="00CE4FBC"/>
    <w:rsid w:val="00CE5D96"/>
    <w:rsid w:val="00CE7344"/>
    <w:rsid w:val="00CF26EE"/>
    <w:rsid w:val="00D21BFD"/>
    <w:rsid w:val="00D310F0"/>
    <w:rsid w:val="00D37AC2"/>
    <w:rsid w:val="00D43312"/>
    <w:rsid w:val="00D500A9"/>
    <w:rsid w:val="00D61180"/>
    <w:rsid w:val="00D64121"/>
    <w:rsid w:val="00D67119"/>
    <w:rsid w:val="00D732FE"/>
    <w:rsid w:val="00D74435"/>
    <w:rsid w:val="00D74E25"/>
    <w:rsid w:val="00D76012"/>
    <w:rsid w:val="00D772E9"/>
    <w:rsid w:val="00D82E10"/>
    <w:rsid w:val="00D969AE"/>
    <w:rsid w:val="00DA318E"/>
    <w:rsid w:val="00DA31AB"/>
    <w:rsid w:val="00DA3281"/>
    <w:rsid w:val="00DA6D3E"/>
    <w:rsid w:val="00DB125A"/>
    <w:rsid w:val="00DC02E8"/>
    <w:rsid w:val="00DC75C7"/>
    <w:rsid w:val="00DC78D3"/>
    <w:rsid w:val="00DD1077"/>
    <w:rsid w:val="00DF00FE"/>
    <w:rsid w:val="00DF4592"/>
    <w:rsid w:val="00E15FDC"/>
    <w:rsid w:val="00E2651B"/>
    <w:rsid w:val="00E30DDB"/>
    <w:rsid w:val="00E516C5"/>
    <w:rsid w:val="00E53090"/>
    <w:rsid w:val="00E6632E"/>
    <w:rsid w:val="00E80FB8"/>
    <w:rsid w:val="00E902C7"/>
    <w:rsid w:val="00E90CF2"/>
    <w:rsid w:val="00EB4D4C"/>
    <w:rsid w:val="00EC38C1"/>
    <w:rsid w:val="00EC628B"/>
    <w:rsid w:val="00ED0F61"/>
    <w:rsid w:val="00ED39C7"/>
    <w:rsid w:val="00EE3F6D"/>
    <w:rsid w:val="00EE73E1"/>
    <w:rsid w:val="00F1027B"/>
    <w:rsid w:val="00F12107"/>
    <w:rsid w:val="00F13165"/>
    <w:rsid w:val="00F4234E"/>
    <w:rsid w:val="00F539EF"/>
    <w:rsid w:val="00F61429"/>
    <w:rsid w:val="00F7477E"/>
    <w:rsid w:val="00F85393"/>
    <w:rsid w:val="00FA4A24"/>
    <w:rsid w:val="00FA527B"/>
    <w:rsid w:val="00FC41B4"/>
    <w:rsid w:val="00FC5A6B"/>
    <w:rsid w:val="00FD4728"/>
    <w:rsid w:val="00FD741A"/>
    <w:rsid w:val="00FE702A"/>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7B055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header" w:uiPriority="9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link w:val="HeaderChar"/>
    <w:uiPriority w:val="99"/>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8B7615"/>
    <w:pPr>
      <w:spacing w:before="480" w:after="36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14661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146615"/>
    <w:rPr>
      <w:kern w:val="28"/>
      <w:sz w:val="52"/>
      <w:lang w:eastAsia="en-US"/>
    </w:rPr>
  </w:style>
  <w:style w:type="character" w:customStyle="1" w:styleId="Heading3Char">
    <w:name w:val="Heading 3 Char"/>
    <w:basedOn w:val="DefaultParagraphFont"/>
    <w:link w:val="Heading3"/>
    <w:rsid w:val="00146615"/>
    <w:rPr>
      <w:rFonts w:ascii="Arial" w:hAnsi="Arial"/>
      <w:b/>
      <w:sz w:val="26"/>
    </w:rPr>
  </w:style>
  <w:style w:type="character" w:customStyle="1" w:styleId="HeaderChar">
    <w:name w:val="Header Char"/>
    <w:basedOn w:val="DefaultParagraphFont"/>
    <w:link w:val="Header"/>
    <w:uiPriority w:val="99"/>
    <w:rsid w:val="00300EC6"/>
    <w:rPr>
      <w:rFonts w:ascii="Arial" w:hAnsi="Arial"/>
      <w:caps/>
      <w:sz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header" w:uiPriority="9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link w:val="HeaderChar"/>
    <w:uiPriority w:val="99"/>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8B7615"/>
    <w:pPr>
      <w:spacing w:before="480" w:after="36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14661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146615"/>
    <w:rPr>
      <w:kern w:val="28"/>
      <w:sz w:val="52"/>
      <w:lang w:eastAsia="en-US"/>
    </w:rPr>
  </w:style>
  <w:style w:type="character" w:customStyle="1" w:styleId="Heading3Char">
    <w:name w:val="Heading 3 Char"/>
    <w:basedOn w:val="DefaultParagraphFont"/>
    <w:link w:val="Heading3"/>
    <w:rsid w:val="00146615"/>
    <w:rPr>
      <w:rFonts w:ascii="Arial" w:hAnsi="Arial"/>
      <w:b/>
      <w:sz w:val="26"/>
    </w:rPr>
  </w:style>
  <w:style w:type="character" w:customStyle="1" w:styleId="HeaderChar">
    <w:name w:val="Header Char"/>
    <w:basedOn w:val="DefaultParagraphFont"/>
    <w:link w:val="Header"/>
    <w:uiPriority w:val="99"/>
    <w:rsid w:val="00300EC6"/>
    <w:rPr>
      <w:rFonts w:ascii="Arial" w:hAnsi="Arial"/>
      <w:caps/>
      <w:sz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140385212">
      <w:bodyDiv w:val="1"/>
      <w:marLeft w:val="0"/>
      <w:marRight w:val="0"/>
      <w:marTop w:val="0"/>
      <w:marBottom w:val="0"/>
      <w:divBdr>
        <w:top w:val="none" w:sz="0" w:space="0" w:color="auto"/>
        <w:left w:val="none" w:sz="0" w:space="0" w:color="auto"/>
        <w:bottom w:val="none" w:sz="0" w:space="0" w:color="auto"/>
        <w:right w:val="none" w:sz="0" w:space="0" w:color="auto"/>
      </w:divBdr>
    </w:div>
    <w:div w:id="276647466">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 w:id="1129280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yperlink" Target="http://www.itsanhonour.gov.au/coat-arms/index.cfm" TargetMode="External"/><Relationship Id="rId26" Type="http://schemas.openxmlformats.org/officeDocument/2006/relationships/header" Target="header1.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3.png"/><Relationship Id="rId34" Type="http://schemas.openxmlformats.org/officeDocument/2006/relationships/header" Target="header5.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yperlink" Target="http://creativecommons.org/licenses/by/3.0/au" TargetMode="External"/><Relationship Id="rId25" Type="http://schemas.openxmlformats.org/officeDocument/2006/relationships/image" Target="media/image6.emf"/><Relationship Id="rId33" Type="http://schemas.openxmlformats.org/officeDocument/2006/relationships/footer" Target="footer5.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creativecommons.org/licenses/by/3.0/au" TargetMode="External"/><Relationship Id="rId20" Type="http://schemas.openxmlformats.org/officeDocument/2006/relationships/hyperlink" Target="http://www.pc.gov.au/"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1.xml"/><Relationship Id="rId32" Type="http://schemas.openxmlformats.org/officeDocument/2006/relationships/footer" Target="footer4.xml"/><Relationship Id="rId37" Type="http://schemas.openxmlformats.org/officeDocument/2006/relationships/footer" Target="footer7.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image" Target="media/image5.png"/><Relationship Id="rId28" Type="http://schemas.openxmlformats.org/officeDocument/2006/relationships/footer" Target="footer2.xml"/><Relationship Id="rId36" Type="http://schemas.openxmlformats.org/officeDocument/2006/relationships/footer" Target="footer6.xml"/><Relationship Id="rId10" Type="http://schemas.openxmlformats.org/officeDocument/2006/relationships/settings" Target="settings.xml"/><Relationship Id="rId19" Type="http://schemas.openxmlformats.org/officeDocument/2006/relationships/hyperlink" Target="http://www.itsanhonour.gov.au" TargetMode="External"/><Relationship Id="rId31" Type="http://schemas.openxmlformats.org/officeDocument/2006/relationships/header" Target="header4.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png"/><Relationship Id="rId22" Type="http://schemas.openxmlformats.org/officeDocument/2006/relationships/image" Target="media/image4.png"/><Relationship Id="rId27" Type="http://schemas.openxmlformats.org/officeDocument/2006/relationships/header" Target="header2.xml"/><Relationship Id="rId30" Type="http://schemas.openxmlformats.org/officeDocument/2006/relationships/header" Target="header3.xml"/><Relationship Id="rId35"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Final Report" ma:contentTypeID="0x01010066EDC8E18BFE9C418F00295EA55D44EA00BC1898756A9F48459333297EB68257DD001CA3C23462E7A545A1B9212645A04511" ma:contentTypeVersion="0" ma:contentTypeDescription="" ma:contentTypeScope="" ma:versionID="2264f33b683a4247f35621fa89e09d5f">
  <xsd:schema xmlns:xsd="http://www.w3.org/2001/XMLSchema" xmlns:xs="http://www.w3.org/2001/XMLSchema" xmlns:p="http://schemas.microsoft.com/office/2006/metadata/properties" targetNamespace="http://schemas.microsoft.com/office/2006/metadata/properties" ma:root="true" ma:fieldsID="35d2ceaebb5480c207606bbce77fe67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3.xml><?xml version="1.0" encoding="utf-8"?>
<?mso-contentType ?>
<customXsn xmlns="http://schemas.microsoft.com/office/2006/metadata/customXsn">
  <xsnLocation/>
  <cached>True</cached>
  <openByDefault>False</openByDefault>
  <xsnScope/>
</customXs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255535D3-DD03-4B67-86AA-FDC1E56E56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D3CF637-6724-44C0-9063-116E831192D5}">
  <ds:schemaRefs>
    <ds:schemaRef ds:uri="http://schemas.microsoft.com/sharepoint/events"/>
  </ds:schemaRefs>
</ds:datastoreItem>
</file>

<file path=customXml/itemProps3.xml><?xml version="1.0" encoding="utf-8"?>
<ds:datastoreItem xmlns:ds="http://schemas.openxmlformats.org/officeDocument/2006/customXml" ds:itemID="{DBF97BD5-8C27-44BD-A433-D286418FBD82}">
  <ds:schemaRefs>
    <ds:schemaRef ds:uri="http://schemas.microsoft.com/office/2006/metadata/customXsn"/>
  </ds:schemaRefs>
</ds:datastoreItem>
</file>

<file path=customXml/itemProps4.xml><?xml version="1.0" encoding="utf-8"?>
<ds:datastoreItem xmlns:ds="http://schemas.openxmlformats.org/officeDocument/2006/customXml" ds:itemID="{B5833952-7A4A-43A3-B4FE-0BD9525FD0EC}">
  <ds:schemaRefs>
    <ds:schemaRef ds:uri="http://schemas.microsoft.com/sharepoint/v3/contenttype/forms"/>
  </ds:schemaRefs>
</ds:datastoreItem>
</file>

<file path=customXml/itemProps5.xml><?xml version="1.0" encoding="utf-8"?>
<ds:datastoreItem xmlns:ds="http://schemas.openxmlformats.org/officeDocument/2006/customXml" ds:itemID="{4D999BCD-59BA-4E67-89B3-28ACD40ED375}">
  <ds:schemaRefs>
    <ds:schemaRef ds:uri="http://schemas.openxmlformats.org/package/2006/metadata/core-properties"/>
    <ds:schemaRef ds:uri="http://schemas.microsoft.com/office/2006/metadata/properties"/>
    <ds:schemaRef ds:uri="http://purl.org/dc/dcmitype/"/>
    <ds:schemaRef ds:uri="http://purl.org/dc/terms/"/>
    <ds:schemaRef ds:uri="http://purl.org/dc/elements/1.1/"/>
    <ds:schemaRef ds:uri="http://schemas.microsoft.com/office/2006/documentManagement/types"/>
    <ds:schemaRef ds:uri="http://www.w3.org/XML/1998/namespace"/>
    <ds:schemaRef ds:uri="http://schemas.microsoft.com/office/infopath/2007/PartnerControls"/>
  </ds:schemaRefs>
</ds:datastoreItem>
</file>

<file path=customXml/itemProps6.xml><?xml version="1.0" encoding="utf-8"?>
<ds:datastoreItem xmlns:ds="http://schemas.openxmlformats.org/officeDocument/2006/customXml" ds:itemID="{3C486096-DC55-4213-A6E3-ED0A80242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prelims.dotm</Template>
  <TotalTime>0</TotalTime>
  <Pages>14</Pages>
  <Words>1884</Words>
  <Characters>11121</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Report title</vt:lpstr>
    </vt:vector>
  </TitlesOfParts>
  <Company>Productivity Commission</Company>
  <LinksUpToDate>false</LinksUpToDate>
  <CharactersWithSpaces>12980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title</dc:title>
  <dc:creator>Productivity Commission</dc:creator>
  <cp:lastModifiedBy>Productivity Commission</cp:lastModifiedBy>
  <cp:revision>2</cp:revision>
  <cp:lastPrinted>2015-10-07T05:01:00Z</cp:lastPrinted>
  <dcterms:created xsi:type="dcterms:W3CDTF">2015-12-02T22:47:00Z</dcterms:created>
  <dcterms:modified xsi:type="dcterms:W3CDTF">2015-12-02T22:47:00Z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0x01010066EDC8E18BFE9C418F00295EA55D44EA00BC1898756A9F48459333297EB68257DD001CA3C23462E7A545A1B9212645A04511</vt:lpwstr>
  </property>
  <property fmtid="{D5CDD505-2E9C-101B-9397-08002B2CF9AE}" pid="3" name="RecordPoint_ActiveItemUniqueId">
    <vt:lpwstr>{f32c5322-3989-42a0-bdb0-ce96b8761023}</vt:lpwstr>
  </property>
  <property fmtid="{D5CDD505-2E9C-101B-9397-08002B2CF9AE}" pid="4" name="RecordPoint_SubmissionCompleted">
    <vt:lpwstr/>
  </property>
  <property fmtid="{D5CDD505-2E9C-101B-9397-08002B2CF9AE}" pid="5" name="RecordPoint_WorkflowType">
    <vt:lpwstr>ActiveSubmitStub</vt:lpwstr>
  </property>
  <property fmtid="{D5CDD505-2E9C-101B-9397-08002B2CF9AE}" pid="6" name="RecordPoint_ActiveItemSiteId">
    <vt:lpwstr>{5750d626-0aa0-474c-a55f-8063909d4906}</vt:lpwstr>
  </property>
  <property fmtid="{D5CDD505-2E9C-101B-9397-08002B2CF9AE}" pid="7" name="RecordPoint_ActiveItemListId">
    <vt:lpwstr>{2e9c25a5-ebed-43bf-8f12-710576002e73}</vt:lpwstr>
  </property>
  <property fmtid="{D5CDD505-2E9C-101B-9397-08002B2CF9AE}" pid="8" name="RecordPoint_ActiveItemWebId">
    <vt:lpwstr>{7f4cf430-939c-4e86-a306-e6be23f89472}</vt:lpwstr>
  </property>
  <property fmtid="{D5CDD505-2E9C-101B-9397-08002B2CF9AE}" pid="9" name="RecordPoint_SubmissionDate">
    <vt:lpwstr/>
  </property>
  <property fmtid="{D5CDD505-2E9C-101B-9397-08002B2CF9AE}" pid="10" name="RecordPoint_RecordNumberSubmitted">
    <vt:lpwstr/>
  </property>
  <property fmtid="{D5CDD505-2E9C-101B-9397-08002B2CF9AE}" pid="11" name="RecordPoint_ActiveItemMoved">
    <vt:lpwstr/>
  </property>
  <property fmtid="{D5CDD505-2E9C-101B-9397-08002B2CF9AE}" pid="12" name="RecordPoint_RecordFormat">
    <vt:lpwstr/>
  </property>
</Properties>
</file>