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73D47" w14:textId="0E682C48" w:rsidR="007D620C" w:rsidRPr="00336444" w:rsidRDefault="007D620C" w:rsidP="007D620C">
      <w:pPr>
        <w:pStyle w:val="Heading1-Section-fullpage"/>
        <w:framePr w:wrap="around"/>
        <w:rPr>
          <w:color w:val="FFFFFF" w:themeColor="background1"/>
        </w:rPr>
      </w:pPr>
      <w:r w:rsidRPr="00336444">
        <w:rPr>
          <w:color w:val="FFFFFF" w:themeColor="background1"/>
        </w:rPr>
        <w:t xml:space="preserve">Supporting paper </w:t>
      </w:r>
      <w:r w:rsidR="00E17779" w:rsidRPr="00336444">
        <w:rPr>
          <w:color w:val="FFFFFF" w:themeColor="background1"/>
        </w:rPr>
        <w:t>2</w:t>
      </w:r>
      <w:r w:rsidRPr="00336444">
        <w:rPr>
          <w:color w:val="FFFFFF" w:themeColor="background1"/>
        </w:rPr>
        <w:t>:</w:t>
      </w:r>
    </w:p>
    <w:p w14:paraId="6D4DFCCC" w14:textId="2636D733" w:rsidR="00FD3FE4" w:rsidRPr="00336444" w:rsidRDefault="006E40AE" w:rsidP="007D620C">
      <w:pPr>
        <w:pStyle w:val="Heading1-Section-fullpage"/>
        <w:framePr w:wrap="around"/>
        <w:rPr>
          <w:color w:val="FFFFFF" w:themeColor="background1"/>
        </w:rPr>
      </w:pPr>
      <w:r w:rsidRPr="00336444">
        <w:rPr>
          <w:color w:val="FFFFFF" w:themeColor="background1"/>
        </w:rPr>
        <w:t>Costs and benefits of an entitlement</w:t>
      </w:r>
    </w:p>
    <w:p w14:paraId="46DE4FF2" w14:textId="64FA092C" w:rsidR="006E5AE1" w:rsidRDefault="006E40AE" w:rsidP="006E40AE">
      <w:pPr>
        <w:pStyle w:val="BodyText"/>
      </w:pPr>
      <w:r>
        <w:lastRenderedPageBreak/>
        <w:t>This supporting paper catalogues the costs and benefits o</w:t>
      </w:r>
      <w:r w:rsidR="003F3289">
        <w:t>f</w:t>
      </w:r>
      <w:r>
        <w:t xml:space="preserve"> </w:t>
      </w:r>
      <w:r w:rsidR="00F944AD">
        <w:t>the</w:t>
      </w:r>
      <w:r w:rsidR="009A6FA4">
        <w:t xml:space="preserve"> </w:t>
      </w:r>
      <w:r>
        <w:t xml:space="preserve">entitlement </w:t>
      </w:r>
      <w:r w:rsidR="007C52C6">
        <w:t xml:space="preserve">to extended </w:t>
      </w:r>
      <w:r>
        <w:t>unpaid carer leave</w:t>
      </w:r>
      <w:r w:rsidR="00F944AD">
        <w:t xml:space="preserve"> </w:t>
      </w:r>
      <w:r w:rsidR="007C52C6">
        <w:t xml:space="preserve">proposed </w:t>
      </w:r>
      <w:r w:rsidR="00F944AD">
        <w:t xml:space="preserve">in </w:t>
      </w:r>
      <w:r w:rsidR="009006FC">
        <w:t xml:space="preserve">position </w:t>
      </w:r>
      <w:r w:rsidR="00F944AD">
        <w:t>paper</w:t>
      </w:r>
      <w:r w:rsidR="003B3D2F">
        <w:t> </w:t>
      </w:r>
      <w:r w:rsidR="00C162E6">
        <w:t>(hereafter ‘the entitlement’)</w:t>
      </w:r>
      <w:r>
        <w:t>.</w:t>
      </w:r>
    </w:p>
    <w:p w14:paraId="76C222C5" w14:textId="794317C6" w:rsidR="00F75883" w:rsidDel="00F944AD" w:rsidRDefault="006E40AE" w:rsidP="006E40AE">
      <w:pPr>
        <w:pStyle w:val="BodyText"/>
      </w:pPr>
      <w:r w:rsidDel="00F944AD">
        <w:t>It looks at the costs and benefits to employees (</w:t>
      </w:r>
      <w:r w:rsidR="00345234">
        <w:t>section</w:t>
      </w:r>
      <w:r w:rsidR="00C921A7">
        <w:t> </w:t>
      </w:r>
      <w:r w:rsidR="00345234">
        <w:t>1</w:t>
      </w:r>
      <w:r w:rsidDel="00F944AD">
        <w:t>), care recipients</w:t>
      </w:r>
      <w:r w:rsidR="00345234">
        <w:t xml:space="preserve"> (section</w:t>
      </w:r>
      <w:r w:rsidR="00C921A7">
        <w:t> </w:t>
      </w:r>
      <w:r w:rsidR="00345234">
        <w:t>2)</w:t>
      </w:r>
      <w:r>
        <w:t>,</w:t>
      </w:r>
      <w:r w:rsidDel="00F944AD">
        <w:t xml:space="preserve"> employers </w:t>
      </w:r>
      <w:r w:rsidR="00345234">
        <w:t>(section</w:t>
      </w:r>
      <w:r w:rsidR="00C921A7">
        <w:t> </w:t>
      </w:r>
      <w:r w:rsidR="00345234">
        <w:t xml:space="preserve">3) </w:t>
      </w:r>
      <w:r w:rsidDel="00F944AD">
        <w:t>and taxpayers</w:t>
      </w:r>
      <w:r w:rsidR="00345234">
        <w:t xml:space="preserve"> (section</w:t>
      </w:r>
      <w:r w:rsidR="00C921A7">
        <w:t> </w:t>
      </w:r>
      <w:r w:rsidR="00345234">
        <w:t>4)</w:t>
      </w:r>
      <w:r>
        <w:t>.</w:t>
      </w:r>
      <w:r w:rsidDel="00F944AD">
        <w:t xml:space="preserve"> </w:t>
      </w:r>
      <w:r w:rsidR="00821C6E" w:rsidDel="00F944AD">
        <w:t xml:space="preserve">The paper also looks at </w:t>
      </w:r>
      <w:r w:rsidDel="00F944AD">
        <w:t xml:space="preserve">whether the </w:t>
      </w:r>
      <w:r w:rsidR="00345234">
        <w:t xml:space="preserve">overall </w:t>
      </w:r>
      <w:r w:rsidDel="00F944AD">
        <w:t xml:space="preserve">costs of an entitlement of unpaid carer leave are </w:t>
      </w:r>
      <w:r w:rsidR="00821C6E" w:rsidDel="00F944AD">
        <w:t xml:space="preserve">expected to </w:t>
      </w:r>
      <w:r w:rsidDel="00F944AD">
        <w:t>exceed the benefits</w:t>
      </w:r>
      <w:r w:rsidR="00821C6E" w:rsidDel="00F944AD">
        <w:t xml:space="preserve"> </w:t>
      </w:r>
      <w:r w:rsidR="007631A8" w:rsidDel="00F944AD">
        <w:t xml:space="preserve">and whether </w:t>
      </w:r>
      <w:r w:rsidR="003E10EC">
        <w:t>the</w:t>
      </w:r>
      <w:r w:rsidR="007631A8" w:rsidDel="00F944AD">
        <w:t xml:space="preserve"> entitlement is in the interest of the Australian </w:t>
      </w:r>
      <w:r w:rsidR="00821C6E" w:rsidDel="00F944AD">
        <w:t>community</w:t>
      </w:r>
      <w:r w:rsidR="0042101D">
        <w:t xml:space="preserve"> (section 5)</w:t>
      </w:r>
      <w:r w:rsidR="007631A8" w:rsidDel="00F944AD">
        <w:t xml:space="preserve">. </w:t>
      </w:r>
    </w:p>
    <w:p w14:paraId="353DBF46" w14:textId="1CAE4AB8" w:rsidR="006E40AE" w:rsidRDefault="00EE10F1" w:rsidP="006E40AE">
      <w:pPr>
        <w:pStyle w:val="BodyText"/>
      </w:pPr>
      <w:r>
        <w:t>The first four section</w:t>
      </w:r>
      <w:r w:rsidR="0087587B">
        <w:t>s</w:t>
      </w:r>
      <w:r>
        <w:t xml:space="preserve"> of t</w:t>
      </w:r>
      <w:r w:rsidR="00D94617">
        <w:t>h</w:t>
      </w:r>
      <w:r w:rsidR="009B0FDF">
        <w:t>e</w:t>
      </w:r>
      <w:r w:rsidR="00D94617">
        <w:t xml:space="preserve"> paper attribute</w:t>
      </w:r>
      <w:r w:rsidR="00277D62">
        <w:t xml:space="preserve"> </w:t>
      </w:r>
      <w:r w:rsidR="00DA503A">
        <w:t xml:space="preserve">the </w:t>
      </w:r>
      <w:r w:rsidR="006E40AE">
        <w:t>cost</w:t>
      </w:r>
      <w:r w:rsidR="00DA503A">
        <w:t>s</w:t>
      </w:r>
      <w:r w:rsidR="006E40AE">
        <w:t xml:space="preserve"> and benefit</w:t>
      </w:r>
      <w:r w:rsidR="00DA503A">
        <w:t>s</w:t>
      </w:r>
      <w:r w:rsidR="00F20B35" w:rsidDel="00277D62">
        <w:t xml:space="preserve"> </w:t>
      </w:r>
      <w:r w:rsidR="006E40AE">
        <w:t xml:space="preserve">to who would </w:t>
      </w:r>
      <w:r w:rsidR="006E40AE" w:rsidRPr="009F7BF8">
        <w:rPr>
          <w:i/>
        </w:rPr>
        <w:t>nominally</w:t>
      </w:r>
      <w:r w:rsidR="006E40AE">
        <w:t xml:space="preserve"> incur</w:t>
      </w:r>
      <w:r w:rsidR="00277D62">
        <w:t xml:space="preserve"> </w:t>
      </w:r>
      <w:r w:rsidR="00083C31">
        <w:t>the</w:t>
      </w:r>
      <w:r w:rsidR="007B4D99">
        <w:t>m</w:t>
      </w:r>
      <w:r w:rsidR="006E40AE">
        <w:t xml:space="preserve">, </w:t>
      </w:r>
      <w:r w:rsidR="00FE1CC4">
        <w:t xml:space="preserve">which may not be </w:t>
      </w:r>
      <w:r w:rsidR="007945D4">
        <w:t>who</w:t>
      </w:r>
      <w:r w:rsidR="00FE1CC4">
        <w:t xml:space="preserve"> </w:t>
      </w:r>
      <w:r w:rsidR="00E5313D">
        <w:t xml:space="preserve">would </w:t>
      </w:r>
      <w:r w:rsidR="00FE1CC4" w:rsidRPr="009F7BF8">
        <w:rPr>
          <w:i/>
        </w:rPr>
        <w:t>ultimately</w:t>
      </w:r>
      <w:r w:rsidR="00FE1CC4">
        <w:t xml:space="preserve"> incur </w:t>
      </w:r>
      <w:r w:rsidR="00277D62">
        <w:t>it</w:t>
      </w:r>
      <w:r w:rsidR="00821C6E">
        <w:t xml:space="preserve">. </w:t>
      </w:r>
    </w:p>
    <w:p w14:paraId="0FADC061" w14:textId="1BCD1F8B" w:rsidR="00210A80" w:rsidRDefault="0087587B" w:rsidP="00210A80">
      <w:pPr>
        <w:pStyle w:val="BodyText"/>
      </w:pPr>
      <w:r>
        <w:t>Section</w:t>
      </w:r>
      <w:r w:rsidR="00C921A7">
        <w:t> </w:t>
      </w:r>
      <w:r>
        <w:t>6 discusses the distributional effects of the entitlement.</w:t>
      </w:r>
      <w:r w:rsidR="00A41B1A">
        <w:t xml:space="preserve"> </w:t>
      </w:r>
    </w:p>
    <w:p w14:paraId="16CA0968" w14:textId="031D21FE" w:rsidR="00394CCE" w:rsidRDefault="00394CCE" w:rsidP="00387A1B">
      <w:pPr>
        <w:pStyle w:val="Heading2-nonumber"/>
        <w:tabs>
          <w:tab w:val="left" w:pos="720"/>
          <w:tab w:val="left" w:pos="1440"/>
          <w:tab w:val="left" w:pos="2160"/>
          <w:tab w:val="left" w:pos="2880"/>
          <w:tab w:val="left" w:pos="3600"/>
          <w:tab w:val="left" w:pos="4320"/>
          <w:tab w:val="left" w:pos="5040"/>
          <w:tab w:val="left" w:pos="5760"/>
          <w:tab w:val="left" w:pos="6876"/>
        </w:tabs>
      </w:pPr>
      <w:r>
        <w:t>1.</w:t>
      </w:r>
      <w:r>
        <w:tab/>
        <w:t>Costs and benefits to employees</w:t>
      </w:r>
    </w:p>
    <w:p w14:paraId="6C084DD3" w14:textId="2643F516" w:rsidR="00640287" w:rsidRDefault="00640287" w:rsidP="00CA7F28">
      <w:pPr>
        <w:pStyle w:val="BodyText"/>
      </w:pPr>
      <w:r>
        <w:t>This section</w:t>
      </w:r>
      <w:r w:rsidR="00F82388">
        <w:t xml:space="preserve"> </w:t>
      </w:r>
      <w:r w:rsidR="0022558F">
        <w:t xml:space="preserve">looks at </w:t>
      </w:r>
      <w:r w:rsidR="006E15DA">
        <w:t>the costs and benefits of the entitlement to employees</w:t>
      </w:r>
      <w:r w:rsidR="0058558C">
        <w:t xml:space="preserve">. </w:t>
      </w:r>
      <w:r w:rsidR="001117BB">
        <w:t>It</w:t>
      </w:r>
      <w:r w:rsidR="00253F8B">
        <w:t xml:space="preserve"> describes how the entitlement would benefit different types of users and presents an upper</w:t>
      </w:r>
      <w:r w:rsidR="00762BAE">
        <w:noBreakHyphen/>
      </w:r>
      <w:r w:rsidR="00253F8B">
        <w:t>bound quantitative estimate of these benefits.</w:t>
      </w:r>
      <w:r w:rsidR="00633A2A">
        <w:t xml:space="preserve"> </w:t>
      </w:r>
      <w:r w:rsidR="00572616">
        <w:t>It then</w:t>
      </w:r>
      <w:r w:rsidR="00597351">
        <w:t xml:space="preserve"> </w:t>
      </w:r>
      <w:r w:rsidR="00720890">
        <w:t>discusses</w:t>
      </w:r>
      <w:r w:rsidR="00FA5484">
        <w:t xml:space="preserve"> </w:t>
      </w:r>
      <w:r w:rsidR="00A63779">
        <w:t xml:space="preserve">wider </w:t>
      </w:r>
      <w:r w:rsidR="00FA5484">
        <w:t>costs and benefits to em</w:t>
      </w:r>
      <w:r w:rsidR="00A63779">
        <w:t>ployees.</w:t>
      </w:r>
    </w:p>
    <w:p w14:paraId="467F4E18" w14:textId="33BCC618" w:rsidR="00394CCE" w:rsidRDefault="000C7AA0" w:rsidP="000C7AA0">
      <w:pPr>
        <w:pStyle w:val="Heading3"/>
      </w:pPr>
      <w:r>
        <w:t>Entitlement users</w:t>
      </w:r>
    </w:p>
    <w:p w14:paraId="2995915D" w14:textId="6C27DA51" w:rsidR="000E2F77" w:rsidRDefault="000E2F77" w:rsidP="00B1281B">
      <w:pPr>
        <w:pStyle w:val="BodyText"/>
      </w:pPr>
      <w:r>
        <w:t xml:space="preserve">The entitlement would benefit </w:t>
      </w:r>
      <w:r w:rsidR="008D5EFA">
        <w:t xml:space="preserve">those who </w:t>
      </w:r>
      <w:r w:rsidR="00E37D23">
        <w:t xml:space="preserve">would </w:t>
      </w:r>
      <w:r w:rsidR="008D5EFA">
        <w:t>use it</w:t>
      </w:r>
      <w:r w:rsidR="00480B16">
        <w:t>.</w:t>
      </w:r>
      <w:r w:rsidR="008D5EFA">
        <w:t xml:space="preserve"> (</w:t>
      </w:r>
      <w:r w:rsidR="00F85ABF">
        <w:t>Put simply: i</w:t>
      </w:r>
      <w:r w:rsidR="008D5EFA">
        <w:t>f</w:t>
      </w:r>
      <w:r w:rsidR="00480B16">
        <w:t xml:space="preserve"> it didn’t</w:t>
      </w:r>
      <w:r w:rsidR="008D5EFA">
        <w:t>, why would they use it</w:t>
      </w:r>
      <w:r w:rsidR="00480B16">
        <w:t>?</w:t>
      </w:r>
      <w:r w:rsidR="008D5EFA">
        <w:t>)</w:t>
      </w:r>
      <w:r w:rsidR="0098249E">
        <w:t xml:space="preserve"> </w:t>
      </w:r>
    </w:p>
    <w:p w14:paraId="4E38CB14" w14:textId="0484BA8D" w:rsidR="00B1281B" w:rsidDel="00525C33" w:rsidRDefault="00B1281B" w:rsidP="00B1281B">
      <w:pPr>
        <w:pStyle w:val="BodyText"/>
      </w:pPr>
      <w:r w:rsidDel="00525C33">
        <w:t xml:space="preserve">There are two factors to consider when </w:t>
      </w:r>
      <w:r w:rsidR="007A3BAC" w:rsidDel="00525C33">
        <w:t xml:space="preserve">thinking about </w:t>
      </w:r>
      <w:r w:rsidDel="00525C33">
        <w:t xml:space="preserve">the benefit of extended unpaid carer leave to </w:t>
      </w:r>
      <w:r w:rsidR="00D62F80">
        <w:t xml:space="preserve">the </w:t>
      </w:r>
      <w:r w:rsidDel="00525C33">
        <w:t xml:space="preserve">entitlement user. </w:t>
      </w:r>
    </w:p>
    <w:p w14:paraId="73D39807" w14:textId="3E8C7D5E" w:rsidR="00B1281B" w:rsidRPr="00EA4EE3" w:rsidRDefault="007722B2" w:rsidP="007D3307">
      <w:pPr>
        <w:pStyle w:val="ListNumber"/>
      </w:pPr>
      <w:r>
        <w:t>W</w:t>
      </w:r>
      <w:r w:rsidR="00B1281B">
        <w:t>hether</w:t>
      </w:r>
      <w:r w:rsidR="00E766AE" w:rsidRPr="00EA4EE3">
        <w:t>,</w:t>
      </w:r>
      <w:r w:rsidR="00B1281B" w:rsidRPr="00EA4EE3">
        <w:t xml:space="preserve"> </w:t>
      </w:r>
      <w:r w:rsidR="006D13B5" w:rsidRPr="00EA4EE3">
        <w:t xml:space="preserve">in the absence of </w:t>
      </w:r>
      <w:r w:rsidR="00E766AE" w:rsidRPr="00EA4EE3">
        <w:t xml:space="preserve">the </w:t>
      </w:r>
      <w:r w:rsidR="006D13B5" w:rsidRPr="00EA4EE3">
        <w:t xml:space="preserve">entitlement, </w:t>
      </w:r>
      <w:r w:rsidR="00854DF3" w:rsidRPr="00EA4EE3">
        <w:t xml:space="preserve">users would </w:t>
      </w:r>
      <w:r w:rsidR="0005115F" w:rsidRPr="00EA4EE3">
        <w:t xml:space="preserve">continue </w:t>
      </w:r>
      <w:r w:rsidR="00942D1B">
        <w:t xml:space="preserve">in paid work </w:t>
      </w:r>
      <w:r w:rsidR="0005115F" w:rsidRPr="00EA4EE3">
        <w:t>or quit their job.</w:t>
      </w:r>
      <w:r w:rsidR="005C31C5" w:rsidRPr="00BE59F4">
        <w:rPr>
          <w:rStyle w:val="FootnoteReference"/>
        </w:rPr>
        <w:footnoteReference w:id="2"/>
      </w:r>
    </w:p>
    <w:p w14:paraId="177C359D" w14:textId="5D544918" w:rsidR="00B1281B" w:rsidRDefault="003400B5" w:rsidP="007D3307">
      <w:pPr>
        <w:pStyle w:val="ListNumber"/>
      </w:pPr>
      <w:r w:rsidRPr="00EA4EE3">
        <w:t>Whether</w:t>
      </w:r>
      <w:r w:rsidR="00B1281B" w:rsidRPr="00EA4EE3" w:rsidDel="003400B5">
        <w:t xml:space="preserve"> </w:t>
      </w:r>
      <w:r w:rsidR="00B1281B" w:rsidRPr="00EA4EE3">
        <w:t>users</w:t>
      </w:r>
      <w:r w:rsidR="00B1281B" w:rsidRPr="00B67949">
        <w:t xml:space="preserve"> would exercise their right to</w:t>
      </w:r>
      <w:r w:rsidR="00B1281B">
        <w:t xml:space="preserve"> return to work.</w:t>
      </w:r>
    </w:p>
    <w:p w14:paraId="13217F43" w14:textId="5A3DDA7C" w:rsidR="00B1281B" w:rsidRDefault="00612E19" w:rsidP="00B1281B">
      <w:pPr>
        <w:pStyle w:val="BodyText"/>
      </w:pPr>
      <w:r>
        <w:t>A</w:t>
      </w:r>
      <w:r w:rsidR="00B1281B">
        <w:t>pplying these factors</w:t>
      </w:r>
      <w:r w:rsidR="0077462A">
        <w:t xml:space="preserve"> results in four </w:t>
      </w:r>
      <w:r w:rsidR="00B1281B">
        <w:t>groups of entitlement users (figure</w:t>
      </w:r>
      <w:r w:rsidR="00404A46">
        <w:t> </w:t>
      </w:r>
      <w:r w:rsidR="00B1281B">
        <w:t>1).</w:t>
      </w:r>
    </w:p>
    <w:p w14:paraId="0A8E1509" w14:textId="77777777" w:rsidR="00D62F80" w:rsidRDefault="00D62F80" w:rsidP="00D62F80">
      <w:pPr>
        <w:pStyle w:val="BodyText"/>
      </w:pPr>
      <w:r>
        <w:t>Group 1 (expected to make up just over 10 per cent of entitlement users) is made up</w:t>
      </w:r>
      <w:r w:rsidDel="00B74A6E">
        <w:t xml:space="preserve"> of </w:t>
      </w:r>
      <w:r>
        <w:t>people who would have quit their job in the absence of the entitlement and would exercise their right to return.</w:t>
      </w:r>
      <w:r w:rsidDel="009947F3">
        <w:t xml:space="preserve"> </w:t>
      </w:r>
      <w:r>
        <w:t xml:space="preserve">For these carers, an entitlement would mean a more seamless return to paid work. They would be saved the effort of searching for a new job, be insured against the risk of not being able to find another </w:t>
      </w:r>
      <w:proofErr w:type="gramStart"/>
      <w:r>
        <w:t>job, and</w:t>
      </w:r>
      <w:proofErr w:type="gramEnd"/>
      <w:r>
        <w:t xml:space="preserve"> prevented from taking an inferior job.</w:t>
      </w:r>
      <w:r w:rsidRPr="00BE59F4">
        <w:rPr>
          <w:rStyle w:val="FootnoteReference"/>
        </w:rPr>
        <w:footnoteReference w:id="3"/>
      </w:r>
      <w:r>
        <w:t xml:space="preserve"> </w:t>
      </w:r>
    </w:p>
    <w:p w14:paraId="07C9AE93" w14:textId="711CCF21" w:rsidR="00D62F80" w:rsidRDefault="00D62F80" w:rsidP="00D62F80">
      <w:pPr>
        <w:pStyle w:val="BodyText"/>
      </w:pPr>
      <w:r>
        <w:t xml:space="preserve">Group 2 (expected to make up almost 40 per cent of entitlement users) is made up of people who, like those in </w:t>
      </w:r>
      <w:r w:rsidR="0014405F">
        <w:t>g</w:t>
      </w:r>
      <w:r>
        <w:t xml:space="preserve">roup 1, would stop paid work regardless of whether the entitlement was available. But, unlike those in </w:t>
      </w:r>
      <w:r w:rsidR="0014405F">
        <w:t>g</w:t>
      </w:r>
      <w:r>
        <w:t>roup 1, they would not exercise their right to return. For carers who were uncertain about whether they were ready to give up work, the entitlement provides insurance that they can return to work seamlessly. For those who were not planning to return, they would have nothing to lose by taking extended unpaid carer leave rather than quitting their job, but the entitlement would be of little benefit to them.</w:t>
      </w:r>
    </w:p>
    <w:p w14:paraId="54C8DC13" w14:textId="5C906083" w:rsidR="0061614E" w:rsidRDefault="0061614E" w:rsidP="0061614E">
      <w:pPr>
        <w:pStyle w:val="FigureTableHeading"/>
      </w:pPr>
      <w:r>
        <w:lastRenderedPageBreak/>
        <w:t>Figure</w:t>
      </w:r>
      <w:r w:rsidR="007D60A9">
        <w:t> </w:t>
      </w:r>
      <w:fldSimple w:instr=" SEQ Figure \* ARABIC \s 1 ">
        <w:r w:rsidR="00634153">
          <w:rPr>
            <w:noProof/>
          </w:rPr>
          <w:t>1</w:t>
        </w:r>
      </w:fldSimple>
      <w:r>
        <w:rPr>
          <w:noProof/>
        </w:rPr>
        <w:t xml:space="preserve"> </w:t>
      </w:r>
      <w:r>
        <w:t xml:space="preserve">– The benefits of </w:t>
      </w:r>
      <w:r w:rsidR="00BA3EEB">
        <w:t xml:space="preserve">an </w:t>
      </w:r>
      <w:r>
        <w:t>entitlement would</w:t>
      </w:r>
      <w:r w:rsidDel="00F52F1F">
        <w:t xml:space="preserve"> </w:t>
      </w:r>
      <w:r>
        <w:t>vary by user type</w:t>
      </w:r>
    </w:p>
    <w:p w14:paraId="4740EFFA" w14:textId="4D7CB775" w:rsidR="0061614E" w:rsidRDefault="00D62F80" w:rsidP="0038169F">
      <w:pPr>
        <w:pStyle w:val="Source"/>
        <w:spacing w:after="120"/>
      </w:pPr>
      <w:r w:rsidRPr="007976A3">
        <w:rPr>
          <w:noProof/>
        </w:rPr>
        <w:drawing>
          <wp:inline distT="0" distB="0" distL="0" distR="0" wp14:anchorId="6AFE47E5" wp14:editId="212B3229">
            <wp:extent cx="6118860" cy="3870960"/>
            <wp:effectExtent l="0" t="0" r="0" b="0"/>
            <wp:docPr id="5" name="Picture 5" descr="A 2 x 2 chart highlighting four types of entitlement users: group 1 (would have quit paid work in the absence of an entitlement and would have exercised a right to return); group 2 (would have quit paid work in the absence of an entitlement but would not have exercised a return to work); group 3 (would have continued work in the absence of an entitlement and would have exercised the right to return to work); and group 4 (would have continued to work in the absence of an entitlement but would not have exercised the right to return to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2 x 2 chart highlighting four types of entitlement users: group 1 (would have quit paid work in the absence of an entitlement and would have exercised a right to return); group 2 (would have quit paid work in the absence of an entitlement but would not have exercised a return to work); group 3 (would have continued work in the absence of an entitlement and would have exercised the right to return to work); and group 4 (would have continued to work in the absence of an entitlement but would not have exercised the right to return to wo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8860" cy="3870960"/>
                    </a:xfrm>
                    <a:prstGeom prst="rect">
                      <a:avLst/>
                    </a:prstGeom>
                    <a:noFill/>
                    <a:ln>
                      <a:noFill/>
                    </a:ln>
                  </pic:spPr>
                </pic:pic>
              </a:graphicData>
            </a:graphic>
          </wp:inline>
        </w:drawing>
      </w:r>
    </w:p>
    <w:p w14:paraId="26A5089D" w14:textId="18F8F1CB" w:rsidR="0061614E" w:rsidRDefault="0061614E" w:rsidP="0061614E">
      <w:pPr>
        <w:pStyle w:val="Source"/>
      </w:pPr>
      <w:r w:rsidRPr="00696447">
        <w:t xml:space="preserve">Source: </w:t>
      </w:r>
      <w:r w:rsidR="006E1B00">
        <w:t>Productivity Commission</w:t>
      </w:r>
      <w:r w:rsidR="0022185D">
        <w:t xml:space="preserve"> estimates</w:t>
      </w:r>
      <w:r w:rsidR="00210A80">
        <w:t>.</w:t>
      </w:r>
    </w:p>
    <w:p w14:paraId="36DC7E44" w14:textId="12E5F1E0" w:rsidR="001D4AD7" w:rsidRPr="0038169F" w:rsidRDefault="0040565F" w:rsidP="001A668C">
      <w:pPr>
        <w:pStyle w:val="BodyText"/>
        <w:rPr>
          <w:spacing w:val="-4"/>
        </w:rPr>
      </w:pPr>
      <w:r w:rsidRPr="0038169F">
        <w:rPr>
          <w:spacing w:val="-4"/>
        </w:rPr>
        <w:t>Group 3</w:t>
      </w:r>
      <w:r w:rsidR="005F1B82" w:rsidRPr="0038169F">
        <w:rPr>
          <w:spacing w:val="-4"/>
        </w:rPr>
        <w:t xml:space="preserve"> (</w:t>
      </w:r>
      <w:r w:rsidRPr="0038169F">
        <w:rPr>
          <w:spacing w:val="-4"/>
        </w:rPr>
        <w:t>also expected to make up nearly half of all entitlement users</w:t>
      </w:r>
      <w:r w:rsidR="005F1B82" w:rsidRPr="0038169F">
        <w:rPr>
          <w:spacing w:val="-4"/>
        </w:rPr>
        <w:t xml:space="preserve">) </w:t>
      </w:r>
      <w:r w:rsidR="00E2172D" w:rsidRPr="0038169F">
        <w:rPr>
          <w:spacing w:val="-4"/>
        </w:rPr>
        <w:t xml:space="preserve">is made up of people </w:t>
      </w:r>
      <w:r w:rsidR="00E81B6F" w:rsidRPr="0038169F">
        <w:rPr>
          <w:spacing w:val="-4"/>
        </w:rPr>
        <w:t xml:space="preserve">who would continue working in the absence of </w:t>
      </w:r>
      <w:r w:rsidR="00B60ED5" w:rsidRPr="0038169F">
        <w:rPr>
          <w:spacing w:val="-4"/>
        </w:rPr>
        <w:t>the</w:t>
      </w:r>
      <w:r w:rsidR="00E81B6F" w:rsidRPr="0038169F">
        <w:rPr>
          <w:spacing w:val="-4"/>
        </w:rPr>
        <w:t xml:space="preserve"> entitlement</w:t>
      </w:r>
      <w:r w:rsidR="002103B6" w:rsidRPr="0038169F">
        <w:rPr>
          <w:spacing w:val="-4"/>
        </w:rPr>
        <w:t xml:space="preserve"> but would be </w:t>
      </w:r>
      <w:r w:rsidR="005F1B82" w:rsidRPr="0038169F">
        <w:rPr>
          <w:spacing w:val="-4"/>
        </w:rPr>
        <w:t>induce</w:t>
      </w:r>
      <w:r w:rsidR="00E81B6F" w:rsidRPr="0038169F">
        <w:rPr>
          <w:spacing w:val="-4"/>
        </w:rPr>
        <w:t xml:space="preserve">d to </w:t>
      </w:r>
      <w:r w:rsidR="005F1B82" w:rsidRPr="0038169F">
        <w:rPr>
          <w:spacing w:val="-4"/>
        </w:rPr>
        <w:t>temporarily cease paid work to provide more informal care</w:t>
      </w:r>
      <w:r w:rsidR="0095526F" w:rsidRPr="0038169F">
        <w:rPr>
          <w:spacing w:val="-4"/>
        </w:rPr>
        <w:t xml:space="preserve">. </w:t>
      </w:r>
      <w:r w:rsidR="00B30212" w:rsidRPr="0038169F">
        <w:rPr>
          <w:spacing w:val="-4"/>
        </w:rPr>
        <w:t xml:space="preserve">People in this group </w:t>
      </w:r>
      <w:r w:rsidR="00A92783" w:rsidRPr="0038169F">
        <w:rPr>
          <w:spacing w:val="-4"/>
        </w:rPr>
        <w:t>would</w:t>
      </w:r>
      <w:r w:rsidR="00533B96" w:rsidRPr="0038169F" w:rsidDel="00A92783">
        <w:rPr>
          <w:spacing w:val="-4"/>
        </w:rPr>
        <w:t xml:space="preserve"> </w:t>
      </w:r>
      <w:r w:rsidR="005F1B82" w:rsidRPr="0038169F">
        <w:rPr>
          <w:spacing w:val="-4"/>
        </w:rPr>
        <w:t>temporarily sacrifice their income and any non</w:t>
      </w:r>
      <w:r w:rsidR="00762BAE" w:rsidRPr="0038169F">
        <w:rPr>
          <w:spacing w:val="-4"/>
        </w:rPr>
        <w:noBreakHyphen/>
      </w:r>
      <w:r w:rsidR="005F1B82" w:rsidRPr="0038169F">
        <w:rPr>
          <w:spacing w:val="-4"/>
        </w:rPr>
        <w:t xml:space="preserve">pecuniary benefits from their job to provide </w:t>
      </w:r>
      <w:r w:rsidR="00A92783" w:rsidRPr="0038169F">
        <w:rPr>
          <w:spacing w:val="-4"/>
        </w:rPr>
        <w:t>full</w:t>
      </w:r>
      <w:r w:rsidR="00762BAE" w:rsidRPr="0038169F">
        <w:rPr>
          <w:spacing w:val="-4"/>
        </w:rPr>
        <w:noBreakHyphen/>
      </w:r>
      <w:r w:rsidR="00A92783" w:rsidRPr="0038169F">
        <w:rPr>
          <w:spacing w:val="-4"/>
        </w:rPr>
        <w:t xml:space="preserve">time </w:t>
      </w:r>
      <w:r w:rsidR="005F1B82" w:rsidRPr="0038169F">
        <w:rPr>
          <w:spacing w:val="-4"/>
        </w:rPr>
        <w:t>informal care to a household or family member.</w:t>
      </w:r>
      <w:r w:rsidR="00523712" w:rsidRPr="0038169F">
        <w:rPr>
          <w:spacing w:val="-4"/>
        </w:rPr>
        <w:t xml:space="preserve"> Depending on their circumstances, they may be able to access </w:t>
      </w:r>
      <w:r w:rsidR="00132C13" w:rsidRPr="0038169F">
        <w:rPr>
          <w:spacing w:val="-4"/>
        </w:rPr>
        <w:t>income support via the Carer Payment and/or Carer Allowance</w:t>
      </w:r>
      <w:r w:rsidR="00383DCC" w:rsidRPr="0038169F">
        <w:rPr>
          <w:spacing w:val="-4"/>
        </w:rPr>
        <w:t>.</w:t>
      </w:r>
      <w:r w:rsidR="005F1B82" w:rsidRPr="0038169F">
        <w:rPr>
          <w:spacing w:val="-4"/>
        </w:rPr>
        <w:t xml:space="preserve"> </w:t>
      </w:r>
    </w:p>
    <w:p w14:paraId="1F5F4FCD" w14:textId="56BEFF98" w:rsidR="005F1B82" w:rsidRPr="001A668C" w:rsidRDefault="00A70259" w:rsidP="001A668C">
      <w:pPr>
        <w:pStyle w:val="BodyText"/>
      </w:pPr>
      <w:r>
        <w:t xml:space="preserve">People in </w:t>
      </w:r>
      <w:r w:rsidR="006729D4">
        <w:t>t</w:t>
      </w:r>
      <w:r w:rsidR="004562E1">
        <w:t xml:space="preserve">his group would typically benefit from the entitlement because they </w:t>
      </w:r>
      <w:r w:rsidR="005F1B82">
        <w:t xml:space="preserve">would voluntarily </w:t>
      </w:r>
      <w:r w:rsidR="005F1B82" w:rsidRPr="005B619E">
        <w:t>cho</w:t>
      </w:r>
      <w:r w:rsidR="00EC42A7">
        <w:t>o</w:t>
      </w:r>
      <w:r w:rsidR="005F1B82" w:rsidRPr="005B619E">
        <w:t>s</w:t>
      </w:r>
      <w:r w:rsidR="00EC42A7">
        <w:t>e</w:t>
      </w:r>
      <w:r w:rsidR="005F1B82" w:rsidRPr="005B619E">
        <w:t xml:space="preserve"> </w:t>
      </w:r>
      <w:r w:rsidR="005F1B82">
        <w:t>to take leave</w:t>
      </w:r>
      <w:r w:rsidR="000D14CC">
        <w:t xml:space="preserve"> (noting that </w:t>
      </w:r>
      <w:r w:rsidR="00C7531D">
        <w:t xml:space="preserve">some may </w:t>
      </w:r>
      <w:r w:rsidR="00171087">
        <w:t xml:space="preserve">say </w:t>
      </w:r>
      <w:r w:rsidR="00C7531D">
        <w:t xml:space="preserve">the </w:t>
      </w:r>
      <w:r w:rsidR="005F1B82">
        <w:t xml:space="preserve">choice </w:t>
      </w:r>
      <w:r w:rsidR="00C41E09">
        <w:t xml:space="preserve">was </w:t>
      </w:r>
      <w:r w:rsidR="00052A79">
        <w:t xml:space="preserve">because </w:t>
      </w:r>
      <w:r w:rsidR="005F1B82">
        <w:t>of societal or familial expectations rather than personal desire</w:t>
      </w:r>
      <w:r w:rsidR="00052A79">
        <w:t>)</w:t>
      </w:r>
      <w:r w:rsidR="00070A46">
        <w:t xml:space="preserve">. </w:t>
      </w:r>
      <w:r w:rsidR="008F5AFD">
        <w:t>S</w:t>
      </w:r>
      <w:r w:rsidR="005F1B82">
        <w:t xml:space="preserve">ome participants expressed concern about the effects </w:t>
      </w:r>
      <w:r w:rsidR="00AA6BE6">
        <w:t xml:space="preserve">that the </w:t>
      </w:r>
      <w:r w:rsidR="005F1B82">
        <w:t>entitlemen</w:t>
      </w:r>
      <w:r w:rsidR="00A94F86">
        <w:t>t</w:t>
      </w:r>
      <w:r w:rsidR="00AA6BE6">
        <w:t xml:space="preserve"> would have on this group</w:t>
      </w:r>
      <w:r w:rsidR="0019648B">
        <w:t xml:space="preserve"> </w:t>
      </w:r>
      <w:r w:rsidR="005F1B82">
        <w:t>(Lived Experience Australia, sub. 1; Health Services Union, sub. 19; Australian Services Union Victorian and Tasmanian Branch, sub. 30). S</w:t>
      </w:r>
      <w:r w:rsidR="00FB2359">
        <w:t>ection</w:t>
      </w:r>
      <w:r w:rsidR="00C921A7">
        <w:t> </w:t>
      </w:r>
      <w:r w:rsidR="00D53AB7">
        <w:t>6</w:t>
      </w:r>
      <w:r w:rsidR="00FB2359">
        <w:t xml:space="preserve"> looks at</w:t>
      </w:r>
      <w:r w:rsidR="005F1B82">
        <w:t xml:space="preserve"> these issues in more detail. </w:t>
      </w:r>
    </w:p>
    <w:p w14:paraId="26852CAA" w14:textId="26DAC9B2" w:rsidR="005F1B82" w:rsidRPr="00EC21A2" w:rsidRDefault="00944A42" w:rsidP="005F1B82">
      <w:pPr>
        <w:pStyle w:val="BodyText"/>
      </w:pPr>
      <w:r>
        <w:t xml:space="preserve">People </w:t>
      </w:r>
      <w:r w:rsidR="004E14BF">
        <w:t xml:space="preserve">in group 3 </w:t>
      </w:r>
      <w:r w:rsidR="005F1B82">
        <w:t xml:space="preserve">would typically benefit less from the entitlement than </w:t>
      </w:r>
      <w:r w:rsidR="0028566C">
        <w:t xml:space="preserve">people </w:t>
      </w:r>
      <w:r w:rsidR="004E14BF">
        <w:t>in group </w:t>
      </w:r>
      <w:r w:rsidR="00D62F80">
        <w:t>1</w:t>
      </w:r>
      <w:r w:rsidR="005F1B82">
        <w:t xml:space="preserve">. The entitlement would </w:t>
      </w:r>
      <w:r w:rsidR="003D179B">
        <w:t>help people have</w:t>
      </w:r>
      <w:r w:rsidR="005F1B82">
        <w:t xml:space="preserve"> a more seamless return to the workforce than </w:t>
      </w:r>
      <w:r w:rsidR="005F1B82" w:rsidRPr="00F27E62">
        <w:t>if</w:t>
      </w:r>
      <w:r w:rsidR="005F1B82">
        <w:t xml:space="preserve"> they had otherwise quit their job to provide care, but in the absence of the entitlement they would not have quit their job to provide care (suggesting that they would prefer to continue</w:t>
      </w:r>
      <w:r w:rsidR="00D133B9">
        <w:t xml:space="preserve">, rather than quit, </w:t>
      </w:r>
      <w:r w:rsidR="00F9685C">
        <w:t xml:space="preserve">paid </w:t>
      </w:r>
      <w:r w:rsidR="005F1B82">
        <w:t>work).</w:t>
      </w:r>
    </w:p>
    <w:p w14:paraId="6D921D6E" w14:textId="6EAC5B65" w:rsidR="00D62F80" w:rsidRDefault="00D62F80" w:rsidP="00D62F80">
      <w:pPr>
        <w:pStyle w:val="BodyText"/>
      </w:pPr>
      <w:r>
        <w:t>To summarise, over half (almost two</w:t>
      </w:r>
      <w:r w:rsidR="00762BAE">
        <w:noBreakHyphen/>
      </w:r>
      <w:r>
        <w:t xml:space="preserve">thirds) of all entitlement users (from groups 1 and 3) would benefit by, </w:t>
      </w:r>
      <w:r w:rsidRPr="002F7D1D">
        <w:t>at most</w:t>
      </w:r>
      <w:r>
        <w:t>, the value they would place on a more seamless return to paid work. The remaining entitlement users comprising mostly of members from group 2, would benefit by much less.</w:t>
      </w:r>
    </w:p>
    <w:p w14:paraId="197FE8B1" w14:textId="4082F8D8" w:rsidR="00D62F80" w:rsidDel="001F62F2" w:rsidRDefault="00D62F80" w:rsidP="00D62F80">
      <w:pPr>
        <w:pStyle w:val="BodyText"/>
      </w:pPr>
      <w:r w:rsidDel="001F62F2">
        <w:t xml:space="preserve">This raises the question: </w:t>
      </w:r>
      <w:r w:rsidR="007F57B7">
        <w:t>h</w:t>
      </w:r>
      <w:r w:rsidRPr="00D96832" w:rsidDel="001F62F2">
        <w:t>ow much more seamless would this return to paid work be?</w:t>
      </w:r>
    </w:p>
    <w:p w14:paraId="5B0E9F26" w14:textId="03646685" w:rsidR="00D62F80" w:rsidRPr="00A569D7" w:rsidRDefault="00D62F80" w:rsidP="00D62F80">
      <w:pPr>
        <w:pStyle w:val="BodyText"/>
        <w:rPr>
          <w:spacing w:val="-4"/>
        </w:rPr>
      </w:pPr>
      <w:r w:rsidRPr="00A569D7">
        <w:rPr>
          <w:spacing w:val="-4"/>
        </w:rPr>
        <w:t xml:space="preserve">In the context of looking at the expected effects of the entitlement on paid work, supporting paper 1 looked at the extent to which the entitlement would facilitate a </w:t>
      </w:r>
      <w:proofErr w:type="gramStart"/>
      <w:r w:rsidRPr="00A569D7">
        <w:rPr>
          <w:spacing w:val="-4"/>
        </w:rPr>
        <w:t>return back</w:t>
      </w:r>
      <w:proofErr w:type="gramEnd"/>
      <w:r w:rsidRPr="00A569D7">
        <w:rPr>
          <w:spacing w:val="-4"/>
        </w:rPr>
        <w:t xml:space="preserve"> to work. To further understand how quickly carers </w:t>
      </w:r>
      <w:r w:rsidRPr="00A569D7">
        <w:rPr>
          <w:spacing w:val="-4"/>
        </w:rPr>
        <w:lastRenderedPageBreak/>
        <w:t>who have been out of work return to the labour force, the Commission analysed data from the Household Income and Labour Dynamics in Australia (HILDA) survey</w:t>
      </w:r>
      <w:r w:rsidR="002E3156" w:rsidRPr="00A569D7">
        <w:rPr>
          <w:rStyle w:val="FootnoteReference"/>
          <w:spacing w:val="-4"/>
        </w:rPr>
        <w:footnoteReference w:id="4"/>
      </w:r>
      <w:r w:rsidRPr="00A569D7">
        <w:rPr>
          <w:spacing w:val="-4"/>
        </w:rPr>
        <w:t xml:space="preserve"> to estimate how quickly people (with similar characteristics to entitlement users) would otherwise have returned to work in the absence of an entitlement. Between 2005 and 2020 (this period covers a diverse set of labour market conditions), 50 per cent (60 per cent) of people with similar characteristics to entitlement users (people who provided care to an older person and who had worked at some point in the preceding two years) who were out of the </w:t>
      </w:r>
      <w:r w:rsidRPr="00A569D7" w:rsidDel="002903F5">
        <w:rPr>
          <w:spacing w:val="-4"/>
        </w:rPr>
        <w:t>workforce</w:t>
      </w:r>
      <w:r w:rsidRPr="00A569D7" w:rsidDel="00126BAF">
        <w:rPr>
          <w:spacing w:val="-4"/>
        </w:rPr>
        <w:t xml:space="preserve"> </w:t>
      </w:r>
      <w:r w:rsidRPr="00A569D7">
        <w:rPr>
          <w:spacing w:val="-4"/>
        </w:rPr>
        <w:t>and who wanted a job, found a suitable job within one year (two years). The probability of finding work was higher 75 per cent (90 per cent) among only those who persistently searched for one. (It is however possible that some of those who stated that they no longer wanted to work had searched for work but become discouraged.)</w:t>
      </w:r>
    </w:p>
    <w:p w14:paraId="5AFC4E45" w14:textId="77777777" w:rsidR="00D62F80" w:rsidRDefault="00D62F80" w:rsidP="00D62F80">
      <w:pPr>
        <w:pStyle w:val="BodyText"/>
      </w:pPr>
      <w:r>
        <w:t>Those employees who returned to work did not necessarily return to the same job, at the same pay or weekly hours. But those who found jobs were typically no less satisfied with them.</w:t>
      </w:r>
      <w:r w:rsidDel="00F37D6E">
        <w:t xml:space="preserve"> </w:t>
      </w:r>
      <w:r>
        <w:t xml:space="preserve">The median employee who found a suitable job reported the same level of overall job satisfaction (on a scale from 1–10) as their previous job. Or put another way, about the same number of people ended up in a better job as ended up in a worse job (Productivity Commission estimate based on HILDA Release 20). </w:t>
      </w:r>
    </w:p>
    <w:p w14:paraId="1C538243" w14:textId="7C7E907F" w:rsidR="00D62F80" w:rsidRDefault="00D62F80" w:rsidP="00D62F80">
      <w:pPr>
        <w:pStyle w:val="BodyText"/>
      </w:pPr>
      <w:r>
        <w:t>We did not put a dollar value on the benefits of the entitlement to employees. To do so required</w:t>
      </w:r>
      <w:r w:rsidDel="00496095">
        <w:t xml:space="preserve"> </w:t>
      </w:r>
      <w:r>
        <w:t>making</w:t>
      </w:r>
      <w:r w:rsidDel="00C0031A">
        <w:t xml:space="preserve"> </w:t>
      </w:r>
      <w:r>
        <w:t>assumptions about entitlement users’ preferences about work, care, leisure and job search. However, one study that did so, estimated that an entitlement to two years of unpaid carer leave would have benefited the median user in the United States between 1994 and 2008 by $US 28 000 (or about 28 per cent per year of 2008 average annual full time weekly earnings (Productivity Commission estimate based on OECD </w:t>
      </w:r>
      <w:r w:rsidRPr="006D025B">
        <w:rPr>
          <w:rFonts w:ascii="Arial" w:hAnsi="Arial" w:cs="Arial"/>
        </w:rPr>
        <w:t>(2022)</w:t>
      </w:r>
      <w:r>
        <w:t>). We expect the benefit of the entitlement to be lower (but still positive), as some of the assumptions this study made are too strong (box 1). This estimate can be thought of as an upper</w:t>
      </w:r>
      <w:r w:rsidR="00C37465">
        <w:t>-</w:t>
      </w:r>
      <w:r>
        <w:t>bound estimate of the benefit of the entitlement to employees in Australia.</w:t>
      </w:r>
    </w:p>
    <w:p w14:paraId="4AB90BF9" w14:textId="73EBB8C4" w:rsidR="00D62F80" w:rsidRPr="00F82BD9" w:rsidRDefault="00D62F80" w:rsidP="00D62F80">
      <w:pPr>
        <w:pStyle w:val="NoSpacing"/>
        <w:keepNext/>
      </w:pPr>
    </w:p>
    <w:tbl>
      <w:tblPr>
        <w:tblStyle w:val="Boxtable"/>
        <w:tblW w:w="5000" w:type="pct"/>
        <w:tblLook w:val="04A0" w:firstRow="1" w:lastRow="0" w:firstColumn="1" w:lastColumn="0" w:noHBand="0" w:noVBand="1"/>
      </w:tblPr>
      <w:tblGrid>
        <w:gridCol w:w="9638"/>
      </w:tblGrid>
      <w:tr w:rsidR="00D62F80" w14:paraId="69F0B18F" w14:textId="77777777">
        <w:trPr>
          <w:tblHeader/>
        </w:trPr>
        <w:tc>
          <w:tcPr>
            <w:tcW w:w="9638" w:type="dxa"/>
            <w:tcMar>
              <w:top w:w="170" w:type="dxa"/>
              <w:left w:w="170" w:type="dxa"/>
              <w:bottom w:w="113" w:type="dxa"/>
              <w:right w:w="170" w:type="dxa"/>
            </w:tcMar>
            <w:hideMark/>
          </w:tcPr>
          <w:p w14:paraId="380D1BCF" w14:textId="33ECF402" w:rsidR="00D62F80" w:rsidRDefault="00D62F80">
            <w:pPr>
              <w:pStyle w:val="BoxHeading1"/>
            </w:pPr>
            <w:r>
              <w:t>Box</w:t>
            </w:r>
            <w:r w:rsidR="007D60A9">
              <w:t> </w:t>
            </w:r>
            <w:fldSimple w:instr=" SEQ Box \* ARABIC \s 1 ">
              <w:r w:rsidR="00634153">
                <w:rPr>
                  <w:noProof/>
                </w:rPr>
                <w:t>1</w:t>
              </w:r>
            </w:fldSimple>
            <w:r>
              <w:t xml:space="preserve"> – Estimating the benefit of an entitlement to users</w:t>
            </w:r>
          </w:p>
        </w:tc>
      </w:tr>
      <w:tr w:rsidR="00D62F80" w14:paraId="619FF547" w14:textId="77777777">
        <w:tc>
          <w:tcPr>
            <w:tcW w:w="9638" w:type="dxa"/>
            <w:tcMar>
              <w:top w:w="28" w:type="dxa"/>
              <w:left w:w="170" w:type="dxa"/>
              <w:bottom w:w="170" w:type="dxa"/>
              <w:right w:w="170" w:type="dxa"/>
            </w:tcMar>
            <w:hideMark/>
          </w:tcPr>
          <w:p w14:paraId="51D8A13A" w14:textId="113AA571" w:rsidR="00D62F80" w:rsidRDefault="00D62F80">
            <w:pPr>
              <w:pStyle w:val="BodyText"/>
            </w:pPr>
            <w:r>
              <w:t>Using a sophisticated model of work and care decisions of female informal carers between 1994 and 2008 in the United States, Skira </w:t>
            </w:r>
            <w:r w:rsidRPr="002C3FD6">
              <w:rPr>
                <w:rFonts w:ascii="Arial" w:hAnsi="Arial" w:cs="Arial"/>
              </w:rPr>
              <w:t>(2015)</w:t>
            </w:r>
            <w:r>
              <w:t xml:space="preserve"> estimated that a two</w:t>
            </w:r>
            <w:r w:rsidR="00762BAE">
              <w:noBreakHyphen/>
            </w:r>
            <w:r>
              <w:t>year unpaid carer leave entitlement</w:t>
            </w:r>
            <w:r w:rsidDel="0019097C">
              <w:t xml:space="preserve"> </w:t>
            </w:r>
            <w:r>
              <w:t xml:space="preserve">was valued by the median user at $US 28 000, or $US 14 000 each year for two years. </w:t>
            </w:r>
          </w:p>
          <w:p w14:paraId="7EAE0595" w14:textId="02754C09" w:rsidR="00D62F80" w:rsidRDefault="00D62F80">
            <w:pPr>
              <w:pStyle w:val="BodyText"/>
            </w:pPr>
            <w:r>
              <w:t xml:space="preserve">The model allowed each carer to have different preferences for work and </w:t>
            </w:r>
            <w:proofErr w:type="gramStart"/>
            <w:r>
              <w:t>care, and</w:t>
            </w:r>
            <w:proofErr w:type="gramEnd"/>
            <w:r>
              <w:t xml:space="preserve"> was calibrated by inferring these preferences (using econometric techniques) from past behaviour. The model was then altered to ‘allow’ all working carers to take two years of unpaid carer leave. The benefit of this leave to each user was measured as the lump sum payment that would make the carer indifferent between: (a) using the entitlement and receiving no lump sum payment and (b) not having an entitlement and instead receiving the lump sum payment. This method, known as willingness</w:t>
            </w:r>
            <w:r w:rsidR="00762BAE">
              <w:noBreakHyphen/>
            </w:r>
            <w:r>
              <w:t>to</w:t>
            </w:r>
            <w:r w:rsidR="00762BAE">
              <w:noBreakHyphen/>
            </w:r>
            <w:r>
              <w:t xml:space="preserve">accept, is often used to place a monetary value on things with no market price. </w:t>
            </w:r>
          </w:p>
          <w:p w14:paraId="75192B53" w14:textId="046AA834" w:rsidR="00D62F80" w:rsidRPr="00D17714" w:rsidRDefault="00D62F80">
            <w:pPr>
              <w:pStyle w:val="BodyText"/>
            </w:pPr>
            <w:r>
              <w:t xml:space="preserve">In practice, an entitlement to extended unpaid carer leave is likely to yield lower benefits to users than Skira’s estimate. People who step out of the labour force to care often do not return to work when their </w:t>
            </w:r>
            <w:r>
              <w:lastRenderedPageBreak/>
              <w:t>caring responsibilities are reduced or ended. They are much more likely to take early retirement than non</w:t>
            </w:r>
            <w:r w:rsidR="00762BAE">
              <w:noBreakHyphen/>
            </w:r>
            <w:r>
              <w:t xml:space="preserve">carers. There are two possible reasons: either it is difficult to find an acceptable new job; or the person finds that she or he prefers not </w:t>
            </w:r>
            <w:proofErr w:type="gramStart"/>
            <w:r>
              <w:t>working, or</w:t>
            </w:r>
            <w:proofErr w:type="gramEnd"/>
            <w:r>
              <w:t xml:space="preserve"> enjoys retirement. Some carers will fit into this first category, and others into the second. Skira rules the second explanation out. Therefore, if carers return to work in very low numbers, she concludes that it is difficult to find work. Based on that assumption, she estimates that carers have a probability of finding a job of 10 per cent over the next two years, whereas we found that over a half (almost two</w:t>
            </w:r>
            <w:r w:rsidR="00762BAE">
              <w:noBreakHyphen/>
            </w:r>
            <w:r>
              <w:t xml:space="preserve">thirds) of carers who wanted a job were able to find a suitable job. And we find that over a third of carers will choose not to return to work. </w:t>
            </w:r>
          </w:p>
        </w:tc>
      </w:tr>
      <w:tr w:rsidR="00D62F80" w14:paraId="7C06B83D" w14:textId="77777777">
        <w:trPr>
          <w:hidden/>
        </w:trPr>
        <w:tc>
          <w:tcPr>
            <w:tcW w:w="9638" w:type="dxa"/>
            <w:shd w:val="clear" w:color="auto" w:fill="auto"/>
            <w:tcMar>
              <w:top w:w="0" w:type="dxa"/>
              <w:left w:w="170" w:type="dxa"/>
              <w:bottom w:w="0" w:type="dxa"/>
              <w:right w:w="170" w:type="dxa"/>
            </w:tcMar>
          </w:tcPr>
          <w:p w14:paraId="509194CF" w14:textId="351C389B" w:rsidR="00D62F80" w:rsidRPr="00465191" w:rsidRDefault="00D62F80">
            <w:pPr>
              <w:pStyle w:val="BodyText"/>
              <w:spacing w:before="0" w:after="0" w:line="80" w:lineRule="atLeast"/>
              <w:rPr>
                <w:smallCaps/>
                <w:vanish/>
              </w:rPr>
            </w:pPr>
          </w:p>
        </w:tc>
      </w:tr>
    </w:tbl>
    <w:p w14:paraId="28D703B5" w14:textId="77777777" w:rsidR="00D62F80" w:rsidRDefault="00D62F80" w:rsidP="00D62F80">
      <w:pPr>
        <w:pStyle w:val="Heading3"/>
      </w:pPr>
      <w:r>
        <w:t>All employees</w:t>
      </w:r>
    </w:p>
    <w:p w14:paraId="5BB600DB" w14:textId="30A4FE46" w:rsidR="00D62F80" w:rsidRPr="00A569D7" w:rsidRDefault="00D62F80" w:rsidP="00D62F80">
      <w:pPr>
        <w:pStyle w:val="BodyText"/>
        <w:rPr>
          <w:spacing w:val="-4"/>
        </w:rPr>
      </w:pPr>
      <w:r w:rsidRPr="00A569D7">
        <w:rPr>
          <w:spacing w:val="-4"/>
        </w:rPr>
        <w:t>The entitlement could also affect employees who do not use it</w:t>
      </w:r>
      <w:r w:rsidRPr="00A569D7" w:rsidDel="006D0A34">
        <w:rPr>
          <w:spacing w:val="-4"/>
        </w:rPr>
        <w:t xml:space="preserve">. It could impose costs on </w:t>
      </w:r>
      <w:r w:rsidRPr="00A569D7">
        <w:rPr>
          <w:spacing w:val="-4"/>
        </w:rPr>
        <w:t>entitlement users’ co</w:t>
      </w:r>
      <w:r w:rsidR="00762BAE" w:rsidRPr="00A569D7">
        <w:rPr>
          <w:spacing w:val="-4"/>
        </w:rPr>
        <w:noBreakHyphen/>
      </w:r>
      <w:r w:rsidRPr="00A569D7">
        <w:rPr>
          <w:spacing w:val="-4"/>
        </w:rPr>
        <w:t xml:space="preserve">workers </w:t>
      </w:r>
      <w:r w:rsidRPr="00A569D7" w:rsidDel="00EF01D0">
        <w:rPr>
          <w:spacing w:val="-4"/>
        </w:rPr>
        <w:t>(including</w:t>
      </w:r>
      <w:r w:rsidRPr="00A569D7">
        <w:rPr>
          <w:spacing w:val="-4"/>
        </w:rPr>
        <w:t xml:space="preserve"> managers</w:t>
      </w:r>
      <w:r w:rsidRPr="00A569D7" w:rsidDel="00EF01D0">
        <w:rPr>
          <w:spacing w:val="-4"/>
        </w:rPr>
        <w:t>)</w:t>
      </w:r>
      <w:r w:rsidRPr="00A569D7">
        <w:rPr>
          <w:spacing w:val="-4"/>
        </w:rPr>
        <w:t>. For example, co</w:t>
      </w:r>
      <w:r w:rsidRPr="00A569D7">
        <w:rPr>
          <w:spacing w:val="-4"/>
        </w:rPr>
        <w:noBreakHyphen/>
        <w:t>workers could be required to work more intensively to cover for an entitlement user. Some employees, especially those paid a salary, might be required to work additional unremunerated hours. These costs are difficult</w:t>
      </w:r>
      <w:r w:rsidRPr="00A569D7" w:rsidDel="0058353C">
        <w:rPr>
          <w:spacing w:val="-4"/>
        </w:rPr>
        <w:t xml:space="preserve"> </w:t>
      </w:r>
      <w:r w:rsidRPr="00A569D7">
        <w:rPr>
          <w:spacing w:val="-4"/>
        </w:rPr>
        <w:t xml:space="preserve">to measure as administrative records do not usually capture actual hours of work </w:t>
      </w:r>
      <w:r w:rsidR="00AF2CA8" w:rsidRPr="00A569D7">
        <w:rPr>
          <w:spacing w:val="-4"/>
        </w:rPr>
        <w:t>or</w:t>
      </w:r>
      <w:r w:rsidRPr="00A569D7">
        <w:rPr>
          <w:spacing w:val="-4"/>
        </w:rPr>
        <w:t xml:space="preserve"> work intensity by salaried employees. One study did not find evidence that parental leave increased the number of days of sick leave taken by co</w:t>
      </w:r>
      <w:r w:rsidR="00762BAE" w:rsidRPr="00A569D7">
        <w:rPr>
          <w:spacing w:val="-4"/>
        </w:rPr>
        <w:noBreakHyphen/>
      </w:r>
      <w:r w:rsidRPr="00A569D7">
        <w:rPr>
          <w:spacing w:val="-4"/>
        </w:rPr>
        <w:t>workers, although the authors noted that the number of sick days is only a partial indicator of co</w:t>
      </w:r>
      <w:r w:rsidR="00762BAE" w:rsidRPr="00A569D7">
        <w:rPr>
          <w:spacing w:val="-4"/>
        </w:rPr>
        <w:noBreakHyphen/>
      </w:r>
      <w:r w:rsidRPr="00A569D7">
        <w:rPr>
          <w:spacing w:val="-4"/>
        </w:rPr>
        <w:t xml:space="preserve">worker wellbeing </w:t>
      </w:r>
      <w:r w:rsidRPr="00A569D7">
        <w:rPr>
          <w:rFonts w:cs="Arial"/>
          <w:spacing w:val="-4"/>
          <w:szCs w:val="24"/>
        </w:rPr>
        <w:t>(Brenøe et</w:t>
      </w:r>
      <w:r w:rsidR="00AF2CA8" w:rsidRPr="00A569D7">
        <w:rPr>
          <w:rFonts w:cs="Arial"/>
          <w:spacing w:val="-4"/>
          <w:szCs w:val="24"/>
        </w:rPr>
        <w:t> </w:t>
      </w:r>
      <w:r w:rsidRPr="00A569D7">
        <w:rPr>
          <w:rFonts w:cs="Arial"/>
          <w:spacing w:val="-4"/>
          <w:szCs w:val="24"/>
        </w:rPr>
        <w:t>al. 2020)</w:t>
      </w:r>
      <w:r w:rsidRPr="00A569D7">
        <w:rPr>
          <w:spacing w:val="-4"/>
        </w:rPr>
        <w:t>.</w:t>
      </w:r>
    </w:p>
    <w:p w14:paraId="704BC40C" w14:textId="77777777" w:rsidR="00D62F80" w:rsidRDefault="00D62F80" w:rsidP="00D62F80">
      <w:pPr>
        <w:pStyle w:val="Heading3"/>
      </w:pPr>
      <w:r>
        <w:t>Summing up</w:t>
      </w:r>
    </w:p>
    <w:p w14:paraId="1D6EC935" w14:textId="089A59A2" w:rsidR="002B3CD3" w:rsidRDefault="00D62F80" w:rsidP="00DF0A04">
      <w:pPr>
        <w:pStyle w:val="BodyText"/>
        <w:keepLines/>
      </w:pPr>
      <w:r w:rsidDel="00DE5BAF">
        <w:t>Employees</w:t>
      </w:r>
      <w:r>
        <w:t xml:space="preserve"> </w:t>
      </w:r>
      <w:r w:rsidDel="00DE5BAF">
        <w:t xml:space="preserve">would </w:t>
      </w:r>
      <w:r>
        <w:t>benefit from the</w:t>
      </w:r>
      <w:r w:rsidDel="00F02A72">
        <w:t xml:space="preserve"> entitlement</w:t>
      </w:r>
      <w:r>
        <w:t xml:space="preserve">. The benefit would come from it facilitating </w:t>
      </w:r>
      <w:r w:rsidDel="00AA7790">
        <w:t>an</w:t>
      </w:r>
      <w:r>
        <w:t xml:space="preserve"> easier return to paid work (and the peace of mind this entails)</w:t>
      </w:r>
      <w:r w:rsidDel="00D12BF5">
        <w:t>.</w:t>
      </w:r>
      <w:r w:rsidR="00062399" w:rsidDel="00D12BF5">
        <w:t xml:space="preserve"> </w:t>
      </w:r>
      <w:r w:rsidR="003F18DA">
        <w:t>W</w:t>
      </w:r>
      <w:r w:rsidR="00AA7790" w:rsidDel="000C30EC">
        <w:t>e expect that</w:t>
      </w:r>
      <w:r w:rsidR="00DF0A04" w:rsidDel="000C30EC">
        <w:t xml:space="preserve"> </w:t>
      </w:r>
      <w:r w:rsidR="00062399" w:rsidDel="000C30EC">
        <w:t xml:space="preserve">about </w:t>
      </w:r>
      <w:r w:rsidR="004E7DEF" w:rsidDel="000C30EC">
        <w:t xml:space="preserve">two thirds </w:t>
      </w:r>
      <w:r w:rsidR="00062399">
        <w:t xml:space="preserve">of all </w:t>
      </w:r>
      <w:r w:rsidR="004F14B2">
        <w:t xml:space="preserve">entitlement users would </w:t>
      </w:r>
      <w:proofErr w:type="gramStart"/>
      <w:r w:rsidR="004F14B2" w:rsidDel="00720F67">
        <w:t>actually exercise</w:t>
      </w:r>
      <w:proofErr w:type="gramEnd"/>
      <w:r w:rsidR="004F14B2">
        <w:t xml:space="preserve"> their right to return to work</w:t>
      </w:r>
      <w:r w:rsidR="00DF0A04">
        <w:t xml:space="preserve">. </w:t>
      </w:r>
      <w:r w:rsidR="002B3CD3" w:rsidDel="00720F67">
        <w:t xml:space="preserve">And </w:t>
      </w:r>
      <w:r w:rsidR="002B3CD3">
        <w:t xml:space="preserve">most of </w:t>
      </w:r>
      <w:r w:rsidR="006236B1">
        <w:t>those</w:t>
      </w:r>
      <w:r w:rsidR="005A37ED">
        <w:t xml:space="preserve"> </w:t>
      </w:r>
      <w:r w:rsidR="002B3CD3">
        <w:t>who would exercise their right to return would not have left paid work to provide care in the absence of the entitlement</w:t>
      </w:r>
      <w:r w:rsidR="004050AE">
        <w:t xml:space="preserve">. </w:t>
      </w:r>
    </w:p>
    <w:p w14:paraId="39341B21" w14:textId="21C71365" w:rsidR="00F36A56" w:rsidRDefault="00F36A56" w:rsidP="00F36A56">
      <w:pPr>
        <w:pStyle w:val="Heading2-nonumber"/>
      </w:pPr>
      <w:r>
        <w:t>2.</w:t>
      </w:r>
      <w:r>
        <w:tab/>
        <w:t>Costs and benefits to care recipients</w:t>
      </w:r>
    </w:p>
    <w:p w14:paraId="06778788" w14:textId="543C54AA" w:rsidR="00EB5502" w:rsidRPr="00A569D7" w:rsidRDefault="00045CCC" w:rsidP="00AE5166">
      <w:pPr>
        <w:pStyle w:val="BodyText"/>
        <w:rPr>
          <w:spacing w:val="-2"/>
        </w:rPr>
      </w:pPr>
      <w:r w:rsidRPr="00A569D7">
        <w:rPr>
          <w:spacing w:val="-2"/>
        </w:rPr>
        <w:t>The r</w:t>
      </w:r>
      <w:r w:rsidR="00035D10" w:rsidRPr="00A569D7">
        <w:rPr>
          <w:spacing w:val="-2"/>
        </w:rPr>
        <w:t xml:space="preserve">ecipients of the care provided by </w:t>
      </w:r>
      <w:r w:rsidR="00DA16C6" w:rsidRPr="00A569D7">
        <w:rPr>
          <w:spacing w:val="-2"/>
        </w:rPr>
        <w:t>entitleme</w:t>
      </w:r>
      <w:r w:rsidR="0027349D" w:rsidRPr="00A569D7">
        <w:rPr>
          <w:spacing w:val="-2"/>
        </w:rPr>
        <w:t xml:space="preserve">nt users </w:t>
      </w:r>
      <w:r w:rsidR="00867703" w:rsidRPr="00A569D7">
        <w:rPr>
          <w:spacing w:val="-2"/>
        </w:rPr>
        <w:t xml:space="preserve">who would otherwise have remained in paid work </w:t>
      </w:r>
      <w:r w:rsidR="00B22DBD" w:rsidRPr="00A569D7">
        <w:rPr>
          <w:spacing w:val="-2"/>
        </w:rPr>
        <w:t>would benefit from the entitlement</w:t>
      </w:r>
      <w:r w:rsidR="00EB5502" w:rsidRPr="00A569D7">
        <w:rPr>
          <w:spacing w:val="-2"/>
        </w:rPr>
        <w:t>.</w:t>
      </w:r>
      <w:r w:rsidRPr="00A569D7">
        <w:rPr>
          <w:spacing w:val="-2"/>
        </w:rPr>
        <w:t xml:space="preserve"> </w:t>
      </w:r>
      <w:r w:rsidR="0007136C" w:rsidRPr="00A569D7">
        <w:rPr>
          <w:spacing w:val="-2"/>
        </w:rPr>
        <w:t>However, r</w:t>
      </w:r>
      <w:r w:rsidR="00EB5502" w:rsidRPr="00A569D7">
        <w:rPr>
          <w:spacing w:val="-2"/>
        </w:rPr>
        <w:t xml:space="preserve">ecipients of the care provided by entitlement users who would otherwise have ceased paid work would not </w:t>
      </w:r>
      <w:proofErr w:type="gramStart"/>
      <w:r w:rsidR="00EB5502" w:rsidRPr="00A569D7">
        <w:rPr>
          <w:spacing w:val="-2"/>
        </w:rPr>
        <w:t>benefit</w:t>
      </w:r>
      <w:r w:rsidR="00D62F80" w:rsidRPr="00A569D7">
        <w:rPr>
          <w:spacing w:val="-2"/>
        </w:rPr>
        <w:t>:</w:t>
      </w:r>
      <w:proofErr w:type="gramEnd"/>
      <w:r w:rsidR="00D62F80" w:rsidRPr="00A569D7">
        <w:rPr>
          <w:spacing w:val="-2"/>
        </w:rPr>
        <w:t xml:space="preserve"> moreover, </w:t>
      </w:r>
      <w:r w:rsidR="00B677CA" w:rsidRPr="00A569D7">
        <w:rPr>
          <w:spacing w:val="-2"/>
        </w:rPr>
        <w:t>25</w:t>
      </w:r>
      <w:r w:rsidR="00D62F80" w:rsidRPr="00A569D7">
        <w:rPr>
          <w:spacing w:val="-2"/>
        </w:rPr>
        <w:t xml:space="preserve"> </w:t>
      </w:r>
      <w:r w:rsidR="00B677CA" w:rsidRPr="00A569D7">
        <w:rPr>
          <w:spacing w:val="-2"/>
        </w:rPr>
        <w:t>per</w:t>
      </w:r>
      <w:r w:rsidR="00D62F80" w:rsidRPr="00A569D7">
        <w:rPr>
          <w:spacing w:val="-2"/>
        </w:rPr>
        <w:t xml:space="preserve"> </w:t>
      </w:r>
      <w:r w:rsidR="00B677CA" w:rsidRPr="00A569D7">
        <w:rPr>
          <w:spacing w:val="-2"/>
        </w:rPr>
        <w:t xml:space="preserve">cent of </w:t>
      </w:r>
      <w:r w:rsidR="00D62F80" w:rsidRPr="00A569D7">
        <w:rPr>
          <w:spacing w:val="-2"/>
        </w:rPr>
        <w:t xml:space="preserve">these recipients </w:t>
      </w:r>
      <w:r w:rsidR="00B677CA" w:rsidRPr="00A569D7">
        <w:rPr>
          <w:spacing w:val="-2"/>
        </w:rPr>
        <w:t>might be made worse off</w:t>
      </w:r>
      <w:r w:rsidR="00D62F80" w:rsidRPr="00A569D7">
        <w:rPr>
          <w:spacing w:val="-2"/>
        </w:rPr>
        <w:t xml:space="preserve"> because their carers</w:t>
      </w:r>
      <w:r w:rsidR="00ED341C" w:rsidRPr="00A569D7">
        <w:rPr>
          <w:spacing w:val="-2"/>
        </w:rPr>
        <w:t xml:space="preserve"> would otherwise </w:t>
      </w:r>
      <w:r w:rsidR="00D62F80" w:rsidRPr="00A569D7">
        <w:rPr>
          <w:spacing w:val="-2"/>
        </w:rPr>
        <w:t xml:space="preserve">not </w:t>
      </w:r>
      <w:r w:rsidR="00063957" w:rsidRPr="00A569D7">
        <w:rPr>
          <w:spacing w:val="-2"/>
        </w:rPr>
        <w:t xml:space="preserve">have </w:t>
      </w:r>
      <w:r w:rsidR="00D62F80" w:rsidRPr="00A569D7">
        <w:rPr>
          <w:spacing w:val="-2"/>
        </w:rPr>
        <w:t>returned to work were it not for the entitlement</w:t>
      </w:r>
      <w:r w:rsidR="00ED341C" w:rsidRPr="00A569D7">
        <w:rPr>
          <w:spacing w:val="-2"/>
        </w:rPr>
        <w:t>.</w:t>
      </w:r>
    </w:p>
    <w:p w14:paraId="249BED2E" w14:textId="77777777" w:rsidR="008941AC" w:rsidRDefault="0039097E" w:rsidP="0039097E">
      <w:pPr>
        <w:pStyle w:val="BodyText"/>
      </w:pPr>
      <w:r>
        <w:t xml:space="preserve">There are </w:t>
      </w:r>
      <w:proofErr w:type="gramStart"/>
      <w:r w:rsidR="00C352F5">
        <w:t>a number of</w:t>
      </w:r>
      <w:proofErr w:type="gramEnd"/>
      <w:r w:rsidR="00C352F5">
        <w:t xml:space="preserve"> ways </w:t>
      </w:r>
      <w:r>
        <w:t xml:space="preserve">care recipients </w:t>
      </w:r>
      <w:r w:rsidR="00C352F5">
        <w:t>could b</w:t>
      </w:r>
      <w:r>
        <w:t xml:space="preserve">enefit from </w:t>
      </w:r>
      <w:r w:rsidR="008941AC">
        <w:t>more</w:t>
      </w:r>
      <w:r>
        <w:t xml:space="preserve"> informal care</w:t>
      </w:r>
      <w:r w:rsidR="008941AC">
        <w:t xml:space="preserve">. </w:t>
      </w:r>
    </w:p>
    <w:p w14:paraId="75B3B83C" w14:textId="6CD065E0" w:rsidR="008941AC" w:rsidRDefault="00D62F80" w:rsidP="008941AC">
      <w:pPr>
        <w:pStyle w:val="ListBullet"/>
      </w:pPr>
      <w:r>
        <w:t xml:space="preserve">Syse et al. </w:t>
      </w:r>
      <w:r w:rsidRPr="004F1789">
        <w:rPr>
          <w:rFonts w:ascii="Arial" w:hAnsi="Arial" w:cs="Arial"/>
        </w:rPr>
        <w:t>(2022)</w:t>
      </w:r>
      <w:r>
        <w:t xml:space="preserve"> found that increased resources available to informal carers, including access to work arrangements, improved the outcomes of care recipients — as evidenced in reduced mortality of care recipients. </w:t>
      </w:r>
    </w:p>
    <w:p w14:paraId="0353230C" w14:textId="61BE2A74" w:rsidR="00D62F80" w:rsidRDefault="00D62F80" w:rsidP="00D62F80">
      <w:pPr>
        <w:pStyle w:val="ListBullet"/>
      </w:pPr>
      <w:r>
        <w:t xml:space="preserve">Fan et al. </w:t>
      </w:r>
      <w:r w:rsidRPr="006773F4">
        <w:rPr>
          <w:rFonts w:ascii="Arial" w:hAnsi="Arial" w:cs="Arial"/>
        </w:rPr>
        <w:t>(2022)</w:t>
      </w:r>
      <w:r>
        <w:t xml:space="preserve"> observed that increased informal hours of care had the effect of improving the life satisfaction of older care recipients. </w:t>
      </w:r>
    </w:p>
    <w:p w14:paraId="27743FAE" w14:textId="246D5819" w:rsidR="00D62F80" w:rsidRDefault="00D62F80" w:rsidP="00D62F80">
      <w:pPr>
        <w:pStyle w:val="ListBullet"/>
      </w:pPr>
      <w:r>
        <w:t xml:space="preserve">And </w:t>
      </w:r>
      <w:proofErr w:type="spellStart"/>
      <w:r>
        <w:t>Pristavec</w:t>
      </w:r>
      <w:proofErr w:type="spellEnd"/>
      <w:r>
        <w:t xml:space="preserve"> and Luth </w:t>
      </w:r>
      <w:r w:rsidRPr="000830E8">
        <w:rPr>
          <w:rFonts w:ascii="Arial" w:hAnsi="Arial" w:cs="Arial"/>
        </w:rPr>
        <w:t>(2020)</w:t>
      </w:r>
      <w:r>
        <w:t xml:space="preserve"> found that increased carer resources (including those provided by improv</w:t>
      </w:r>
      <w:r w:rsidR="003F18DA">
        <w:t>e</w:t>
      </w:r>
      <w:r w:rsidR="00012328">
        <w:t>d</w:t>
      </w:r>
      <w:r>
        <w:t xml:space="preserve"> access to working arrangements) reduced the burden on carers and improved their life satisfaction, and as a result improved the life satisfaction and health outcomes of carer recipients. </w:t>
      </w:r>
    </w:p>
    <w:p w14:paraId="2FC13C0E" w14:textId="6703F49D" w:rsidR="0039097E" w:rsidRPr="00A569D7" w:rsidRDefault="0039097E" w:rsidP="0039097E">
      <w:pPr>
        <w:pStyle w:val="BodyText"/>
        <w:rPr>
          <w:spacing w:val="-2"/>
        </w:rPr>
      </w:pPr>
      <w:r w:rsidRPr="00A569D7">
        <w:rPr>
          <w:spacing w:val="-2"/>
        </w:rPr>
        <w:lastRenderedPageBreak/>
        <w:t>While there is a paucity of evidence that connects the effect of informal care with the health</w:t>
      </w:r>
      <w:r w:rsidR="00762BAE" w:rsidRPr="00A569D7">
        <w:rPr>
          <w:spacing w:val="-2"/>
        </w:rPr>
        <w:noBreakHyphen/>
      </w:r>
      <w:r w:rsidRPr="00A569D7">
        <w:rPr>
          <w:spacing w:val="-2"/>
        </w:rPr>
        <w:t>related quality of life measures of older persons (measures that allow objective measures of health and wellbeing), there are studies that have used contingent valuation techniques to estimate care recipients’ willingness</w:t>
      </w:r>
      <w:r w:rsidR="00762BAE" w:rsidRPr="00A569D7">
        <w:rPr>
          <w:spacing w:val="-2"/>
        </w:rPr>
        <w:noBreakHyphen/>
      </w:r>
      <w:r w:rsidRPr="00A569D7">
        <w:rPr>
          <w:spacing w:val="-2"/>
        </w:rPr>
        <w:t>to</w:t>
      </w:r>
      <w:r w:rsidR="00762BAE" w:rsidRPr="00A569D7">
        <w:rPr>
          <w:spacing w:val="-2"/>
        </w:rPr>
        <w:noBreakHyphen/>
      </w:r>
      <w:r w:rsidRPr="00A569D7">
        <w:rPr>
          <w:spacing w:val="-2"/>
        </w:rPr>
        <w:t>pay for an additional hour of informal care or their willingness</w:t>
      </w:r>
      <w:r w:rsidR="00762BAE" w:rsidRPr="00A569D7">
        <w:rPr>
          <w:spacing w:val="-2"/>
        </w:rPr>
        <w:noBreakHyphen/>
      </w:r>
      <w:r w:rsidRPr="00A569D7">
        <w:rPr>
          <w:spacing w:val="-2"/>
        </w:rPr>
        <w:t>to</w:t>
      </w:r>
      <w:r w:rsidR="00762BAE" w:rsidRPr="00A569D7">
        <w:rPr>
          <w:spacing w:val="-2"/>
        </w:rPr>
        <w:noBreakHyphen/>
      </w:r>
      <w:r w:rsidRPr="00A569D7">
        <w:rPr>
          <w:spacing w:val="-2"/>
        </w:rPr>
        <w:t>accept</w:t>
      </w:r>
      <w:r w:rsidRPr="00A569D7">
        <w:rPr>
          <w:i/>
          <w:iCs/>
          <w:spacing w:val="-2"/>
        </w:rPr>
        <w:t xml:space="preserve"> </w:t>
      </w:r>
      <w:r w:rsidRPr="00A569D7">
        <w:rPr>
          <w:spacing w:val="-2"/>
        </w:rPr>
        <w:t>compensation for losing an hour of informal care.</w:t>
      </w:r>
    </w:p>
    <w:p w14:paraId="32A04A7D" w14:textId="137C8950" w:rsidR="004030BD" w:rsidRDefault="004030BD" w:rsidP="004030BD">
      <w:pPr>
        <w:pStyle w:val="ListBullet"/>
      </w:pPr>
      <w:r w:rsidRPr="00435624">
        <w:t xml:space="preserve">Van den Berg, </w:t>
      </w:r>
      <w:proofErr w:type="spellStart"/>
      <w:r w:rsidRPr="00435624">
        <w:t>Bleichrodt</w:t>
      </w:r>
      <w:proofErr w:type="spellEnd"/>
      <w:r w:rsidRPr="00435624">
        <w:t xml:space="preserve"> and </w:t>
      </w:r>
      <w:proofErr w:type="spellStart"/>
      <w:r w:rsidRPr="00435624">
        <w:t>Eeckhoudt</w:t>
      </w:r>
      <w:proofErr w:type="spellEnd"/>
      <w:r>
        <w:t xml:space="preserve"> (2005) found that care recipients (with a mean age of 67 years) in the Netherlands in 2001 were willing to pay up to </w:t>
      </w:r>
      <w:r>
        <w:rPr>
          <w:rFonts w:cstheme="minorHAnsi"/>
        </w:rPr>
        <w:t>€</w:t>
      </w:r>
      <w:r>
        <w:t xml:space="preserve">6.72 for one additional hour of informal care, and to accept a minimum of </w:t>
      </w:r>
      <w:r>
        <w:rPr>
          <w:rFonts w:cstheme="minorHAnsi"/>
        </w:rPr>
        <w:t>€</w:t>
      </w:r>
      <w:r>
        <w:t>8.62 as compensation for receiving one less hour of informal care. In a separate study (published in the same paper), care recipients (mean age of 62 years)</w:t>
      </w:r>
      <w:r w:rsidRPr="00D171E1">
        <w:t xml:space="preserve"> </w:t>
      </w:r>
      <w:r>
        <w:t xml:space="preserve">in the Netherlands in 2001 with rheumatoid arthritis, were willing to pay up to </w:t>
      </w:r>
      <w:r>
        <w:rPr>
          <w:rFonts w:cstheme="minorHAnsi"/>
        </w:rPr>
        <w:t>€</w:t>
      </w:r>
      <w:r>
        <w:t xml:space="preserve">7.84 for one additional hour of informal care, and to accept a minimum of </w:t>
      </w:r>
      <w:r>
        <w:rPr>
          <w:rFonts w:cstheme="minorHAnsi"/>
        </w:rPr>
        <w:t>€</w:t>
      </w:r>
      <w:r>
        <w:t>8.22 to compensate for receiving one less hour of informal care.</w:t>
      </w:r>
    </w:p>
    <w:p w14:paraId="4A5660EC" w14:textId="1FEF4DA2" w:rsidR="004030BD" w:rsidRPr="00CC73CA" w:rsidRDefault="004030BD" w:rsidP="004030BD">
      <w:pPr>
        <w:pStyle w:val="ListBullet"/>
        <w:rPr>
          <w:rFonts w:ascii="Arial" w:hAnsi="Arial"/>
          <w:spacing w:val="-2"/>
        </w:rPr>
      </w:pPr>
      <w:r w:rsidRPr="00CC73CA">
        <w:rPr>
          <w:rFonts w:ascii="Arial" w:hAnsi="Arial" w:cs="Arial"/>
          <w:spacing w:val="-2"/>
          <w:szCs w:val="24"/>
        </w:rPr>
        <w:t>De Meijer et al. (2010)</w:t>
      </w:r>
      <w:r w:rsidRPr="00CC73CA">
        <w:rPr>
          <w:rFonts w:ascii="Arial" w:hAnsi="Arial"/>
          <w:spacing w:val="-2"/>
        </w:rPr>
        <w:t xml:space="preserve"> found that care recipients in the Netherlands in 2001 (with a mean age of 68</w:t>
      </w:r>
      <w:r w:rsidR="00CC73CA" w:rsidRPr="00CC73CA">
        <w:rPr>
          <w:rFonts w:ascii="Arial" w:hAnsi="Arial"/>
          <w:spacing w:val="-2"/>
        </w:rPr>
        <w:t> </w:t>
      </w:r>
      <w:r w:rsidRPr="00CC73CA">
        <w:rPr>
          <w:rFonts w:ascii="Arial" w:hAnsi="Arial"/>
          <w:spacing w:val="-2"/>
        </w:rPr>
        <w:t xml:space="preserve">years) were willing to pay up to </w:t>
      </w:r>
      <w:r w:rsidRPr="00CC73CA">
        <w:rPr>
          <w:rFonts w:ascii="Arial" w:hAnsi="Arial" w:cstheme="minorHAnsi"/>
          <w:spacing w:val="-2"/>
        </w:rPr>
        <w:t>€</w:t>
      </w:r>
      <w:r w:rsidRPr="00CC73CA">
        <w:rPr>
          <w:rFonts w:ascii="Arial" w:hAnsi="Arial"/>
          <w:spacing w:val="-2"/>
        </w:rPr>
        <w:t xml:space="preserve">6.85 for one additional hour of informal care, and to accept a minimum of </w:t>
      </w:r>
      <w:r w:rsidRPr="00CC73CA">
        <w:rPr>
          <w:rFonts w:ascii="Arial" w:hAnsi="Arial" w:cstheme="minorHAnsi"/>
          <w:spacing w:val="-2"/>
        </w:rPr>
        <w:t>€</w:t>
      </w:r>
      <w:r w:rsidRPr="00CC73CA">
        <w:rPr>
          <w:rFonts w:ascii="Arial" w:hAnsi="Arial"/>
          <w:spacing w:val="-2"/>
        </w:rPr>
        <w:t>8.88 to compensate for receiving one less hour of informal care. (The findings of the 2005</w:t>
      </w:r>
      <w:r w:rsidR="00CC73CA" w:rsidRPr="00CC73CA">
        <w:rPr>
          <w:rFonts w:ascii="Arial" w:hAnsi="Arial"/>
          <w:spacing w:val="-2"/>
        </w:rPr>
        <w:t> </w:t>
      </w:r>
      <w:r w:rsidRPr="00CC73CA">
        <w:rPr>
          <w:rFonts w:ascii="Arial" w:hAnsi="Arial"/>
          <w:spacing w:val="-2"/>
        </w:rPr>
        <w:t>study are drawn from a subset of the survey responses used for this study.)</w:t>
      </w:r>
    </w:p>
    <w:p w14:paraId="2782D894" w14:textId="04F71566" w:rsidR="00F33D9B" w:rsidRDefault="00D62F80" w:rsidP="00F33D9B">
      <w:pPr>
        <w:pStyle w:val="BodyText"/>
      </w:pPr>
      <w:r>
        <w:t>When translated to the Australian context</w:t>
      </w:r>
      <w:r>
        <w:rPr>
          <w:rStyle w:val="FootnoteReference"/>
        </w:rPr>
        <w:footnoteReference w:id="5"/>
      </w:r>
      <w:r>
        <w:t>, care recipients would have valued informal care at about $15–20 per hour in 2018</w:t>
      </w:r>
      <w:r>
        <w:rPr>
          <w:rStyle w:val="FootnoteReference"/>
        </w:rPr>
        <w:footnoteReference w:id="6"/>
      </w:r>
      <w:r>
        <w:t>.</w:t>
      </w:r>
      <w:r w:rsidR="00F33D9B">
        <w:t xml:space="preserve"> Assuming that </w:t>
      </w:r>
      <w:r w:rsidR="00236935">
        <w:t>group 3</w:t>
      </w:r>
      <w:r w:rsidR="00F33D9B">
        <w:t xml:space="preserve"> carers would provide on average upwards of 30 hours of care per week for a period 3 months or 13 weeks, the entitlement would contribute to an additional 390 hours per informal carer or 1.17 million hours of care</w:t>
      </w:r>
      <w:r w:rsidR="00236935">
        <w:t xml:space="preserve">. </w:t>
      </w:r>
    </w:p>
    <w:p w14:paraId="52607B24" w14:textId="77777777" w:rsidR="007A47F9" w:rsidRPr="00CC73CA" w:rsidRDefault="007A47F9" w:rsidP="007A47F9">
      <w:pPr>
        <w:pStyle w:val="BodyText"/>
        <w:rPr>
          <w:spacing w:val="-2"/>
        </w:rPr>
      </w:pPr>
      <w:r w:rsidRPr="00CC73CA">
        <w:rPr>
          <w:spacing w:val="-2"/>
        </w:rPr>
        <w:t>This suggests that the benefit to care recipients of entitlement users who would otherwise have remained in paid work of between $6000 and $7800, which is equivalent to between $3000 and $3900 for each entitlement user across all entitlement users. It is worth bearing in mind that this is quite a significant sum relative to the income and assets of some older care recipients, and so it could still be an important benefit to them.</w:t>
      </w:r>
    </w:p>
    <w:p w14:paraId="15A578A1" w14:textId="37910B96" w:rsidR="00D41BFA" w:rsidRDefault="00F36A56" w:rsidP="00D41BFA">
      <w:pPr>
        <w:pStyle w:val="Heading2-nonumber"/>
      </w:pPr>
      <w:r>
        <w:t>3.</w:t>
      </w:r>
      <w:r>
        <w:tab/>
        <w:t xml:space="preserve">Costs and benefits to </w:t>
      </w:r>
      <w:r w:rsidR="0092766E">
        <w:t>employers</w:t>
      </w:r>
    </w:p>
    <w:p w14:paraId="3B4D35B0" w14:textId="3AC38A6E" w:rsidR="009B7FFD" w:rsidRDefault="009B7FFD" w:rsidP="00D41BFA">
      <w:pPr>
        <w:pStyle w:val="BodyText"/>
      </w:pPr>
      <w:r>
        <w:t>The entitlement would impose costs on employers</w:t>
      </w:r>
      <w:r w:rsidR="00086091">
        <w:t>.</w:t>
      </w:r>
      <w:r w:rsidR="00E4671A">
        <w:t xml:space="preserve"> </w:t>
      </w:r>
      <w:r w:rsidR="004725B3">
        <w:t>E</w:t>
      </w:r>
      <w:r w:rsidR="00086091">
        <w:t xml:space="preserve">mployers would </w:t>
      </w:r>
      <w:r w:rsidR="003F1ED6">
        <w:t>incur one</w:t>
      </w:r>
      <w:r w:rsidR="00762BAE">
        <w:noBreakHyphen/>
      </w:r>
      <w:r w:rsidR="003F1ED6">
        <w:t xml:space="preserve">off costs from changing their </w:t>
      </w:r>
      <w:r w:rsidR="00D62F80">
        <w:t>human resources</w:t>
      </w:r>
      <w:r w:rsidR="003F1ED6">
        <w:t xml:space="preserve"> processes for granting leave</w:t>
      </w:r>
      <w:r w:rsidR="00D62F80">
        <w:t>.</w:t>
      </w:r>
      <w:r w:rsidR="00954D88">
        <w:t xml:space="preserve"> But </w:t>
      </w:r>
      <w:r w:rsidR="004725B3">
        <w:t xml:space="preserve">the </w:t>
      </w:r>
      <w:r w:rsidR="00954D88">
        <w:t>more substanti</w:t>
      </w:r>
      <w:r w:rsidR="00CF27C8">
        <w:t xml:space="preserve">al </w:t>
      </w:r>
      <w:r w:rsidR="00954D88">
        <w:t xml:space="preserve">ongoing costs would </w:t>
      </w:r>
      <w:r w:rsidR="004725B3">
        <w:t xml:space="preserve">be </w:t>
      </w:r>
      <w:r w:rsidR="00954D88">
        <w:t>from the</w:t>
      </w:r>
      <w:r w:rsidR="00580CF6">
        <w:t xml:space="preserve"> disruption caused by </w:t>
      </w:r>
      <w:r w:rsidR="00CF27C8">
        <w:t>the use of the entitlement itself.</w:t>
      </w:r>
    </w:p>
    <w:p w14:paraId="6A6847DE" w14:textId="0C61C400" w:rsidR="00D41BFA" w:rsidRDefault="00B23E3F" w:rsidP="00D41BFA">
      <w:pPr>
        <w:pStyle w:val="BodyText"/>
      </w:pPr>
      <w:r>
        <w:t xml:space="preserve">To understand these ongoing costs, consider the options available to an employer </w:t>
      </w:r>
      <w:r w:rsidR="00E67613">
        <w:t xml:space="preserve">if an employee informs them </w:t>
      </w:r>
      <w:r w:rsidR="00B16717">
        <w:t>that they will use the entitlement</w:t>
      </w:r>
      <w:r w:rsidR="00D41BFA">
        <w:t>.</w:t>
      </w:r>
      <w:r w:rsidR="00D41BFA" w:rsidRPr="00BE59F4">
        <w:rPr>
          <w:rStyle w:val="FootnoteReference"/>
        </w:rPr>
        <w:footnoteReference w:id="7"/>
      </w:r>
    </w:p>
    <w:p w14:paraId="3D9A0D9A" w14:textId="59D86BF1" w:rsidR="00D41BFA" w:rsidRPr="005766FD" w:rsidRDefault="00D41BFA" w:rsidP="00D41BFA">
      <w:pPr>
        <w:pStyle w:val="ListBullet"/>
        <w:rPr>
          <w:i/>
        </w:rPr>
      </w:pPr>
      <w:r>
        <w:t>They c</w:t>
      </w:r>
      <w:r w:rsidR="00100715">
        <w:t>ould</w:t>
      </w:r>
      <w:r w:rsidR="00AF6B0D">
        <w:t xml:space="preserve"> </w:t>
      </w:r>
      <w:r>
        <w:t xml:space="preserve">replace the </w:t>
      </w:r>
      <w:r w:rsidR="00A636FE">
        <w:t>entitlement user</w:t>
      </w:r>
      <w:r>
        <w:t xml:space="preserve">, either by hiring a new employee (possibly on a temporary basis) or </w:t>
      </w:r>
      <w:r w:rsidR="009E44EA">
        <w:t xml:space="preserve">getting </w:t>
      </w:r>
      <w:r>
        <w:t xml:space="preserve">existing employees </w:t>
      </w:r>
      <w:r w:rsidR="009E44EA">
        <w:t xml:space="preserve">to </w:t>
      </w:r>
      <w:r>
        <w:t xml:space="preserve">work </w:t>
      </w:r>
      <w:r w:rsidR="00F13DF5">
        <w:t xml:space="preserve">harder or for </w:t>
      </w:r>
      <w:r>
        <w:t xml:space="preserve">additional hours. Both options </w:t>
      </w:r>
      <w:r w:rsidR="00E758C8">
        <w:t>c</w:t>
      </w:r>
      <w:r>
        <w:t xml:space="preserve">ould be worse for the employer than if the </w:t>
      </w:r>
      <w:r w:rsidR="00A636FE">
        <w:t xml:space="preserve">entitlement user </w:t>
      </w:r>
      <w:r>
        <w:t xml:space="preserve">continued working. </w:t>
      </w:r>
      <w:r w:rsidR="006A2CBD">
        <w:t xml:space="preserve">Replacing </w:t>
      </w:r>
      <w:r w:rsidR="00E32DFB">
        <w:t xml:space="preserve">employees </w:t>
      </w:r>
      <w:r w:rsidR="006A2CBD">
        <w:t xml:space="preserve">involves </w:t>
      </w:r>
      <w:r>
        <w:t xml:space="preserve">hiring and training costs, and </w:t>
      </w:r>
      <w:r w:rsidR="00997DC2">
        <w:t xml:space="preserve">replacement </w:t>
      </w:r>
      <w:r w:rsidR="00E32DFB">
        <w:t>employees</w:t>
      </w:r>
      <w:r w:rsidR="00997DC2">
        <w:t xml:space="preserve"> </w:t>
      </w:r>
      <w:r>
        <w:t xml:space="preserve">could be less productive (at least in the short term) than the </w:t>
      </w:r>
      <w:r>
        <w:lastRenderedPageBreak/>
        <w:t xml:space="preserve">entitlement user because of disruption and inexperience. And getting existing staff to work additional hours might involve paying overtime and </w:t>
      </w:r>
      <w:r w:rsidR="00C712E1">
        <w:t>c</w:t>
      </w:r>
      <w:r w:rsidR="00A636FE">
        <w:t>ould</w:t>
      </w:r>
      <w:r w:rsidR="00C712E1">
        <w:t xml:space="preserve"> </w:t>
      </w:r>
      <w:r>
        <w:t>lead to burnout.</w:t>
      </w:r>
    </w:p>
    <w:p w14:paraId="5A08B3BF" w14:textId="66010017" w:rsidR="00D41BFA" w:rsidRPr="00335902" w:rsidRDefault="00D41BFA" w:rsidP="00D41BFA">
      <w:pPr>
        <w:pStyle w:val="ListBullet"/>
        <w:rPr>
          <w:i/>
          <w:iCs/>
        </w:rPr>
      </w:pPr>
      <w:r>
        <w:t xml:space="preserve">They </w:t>
      </w:r>
      <w:r w:rsidR="00976A37">
        <w:t>c</w:t>
      </w:r>
      <w:r w:rsidR="00A636FE">
        <w:t>ould</w:t>
      </w:r>
      <w:r w:rsidR="00706659">
        <w:t xml:space="preserve"> </w:t>
      </w:r>
      <w:r w:rsidR="00093076">
        <w:t>decide to</w:t>
      </w:r>
      <w:r w:rsidR="003C2DB8">
        <w:t xml:space="preserve"> not</w:t>
      </w:r>
      <w:r w:rsidR="00093076">
        <w:t xml:space="preserve"> </w:t>
      </w:r>
      <w:r>
        <w:t xml:space="preserve">replace the </w:t>
      </w:r>
      <w:r w:rsidR="00A636FE">
        <w:t xml:space="preserve">entitlement user </w:t>
      </w:r>
      <w:r>
        <w:t>and accept a saving in wages an</w:t>
      </w:r>
      <w:r w:rsidR="0042708A">
        <w:t>d</w:t>
      </w:r>
      <w:r>
        <w:t xml:space="preserve"> a reduction in output. This would also usually make the employer worse off than if the employee had continued working, because the value of employees’ output usually exceeds their wages (this is why they were employed in the first place).</w:t>
      </w:r>
    </w:p>
    <w:p w14:paraId="247AE643" w14:textId="77777777" w:rsidR="00B52C3D" w:rsidRDefault="00CE44A2" w:rsidP="00094508">
      <w:pPr>
        <w:pStyle w:val="NoSpacing"/>
        <w:keepNext/>
      </w:pPr>
      <w:r>
        <w:t xml:space="preserve">Experience with leave entitlements overseas suggests that employer responses </w:t>
      </w:r>
      <w:r w:rsidR="00DE32AF">
        <w:t xml:space="preserve">would </w:t>
      </w:r>
      <w:r>
        <w:t>vary with the industry, labour market, and characteristics of the employee taking leave (box 2).</w:t>
      </w:r>
      <w:r w:rsidR="00012F7B">
        <w:t xml:space="preserve"> </w:t>
      </w:r>
    </w:p>
    <w:p w14:paraId="4C4E74C6" w14:textId="20E553A7" w:rsidR="00D41BFA" w:rsidRDefault="00D41BFA" w:rsidP="00094508">
      <w:pPr>
        <w:pStyle w:val="NoSpacing"/>
        <w:keepNext/>
      </w:pPr>
    </w:p>
    <w:tbl>
      <w:tblPr>
        <w:tblStyle w:val="Boxtable"/>
        <w:tblW w:w="5000" w:type="pct"/>
        <w:tblLook w:val="04A0" w:firstRow="1" w:lastRow="0" w:firstColumn="1" w:lastColumn="0" w:noHBand="0" w:noVBand="1"/>
      </w:tblPr>
      <w:tblGrid>
        <w:gridCol w:w="9638"/>
      </w:tblGrid>
      <w:tr w:rsidR="00D62F80" w14:paraId="7C677EAD" w14:textId="77777777">
        <w:trPr>
          <w:tblHeader/>
        </w:trPr>
        <w:tc>
          <w:tcPr>
            <w:tcW w:w="9638" w:type="dxa"/>
            <w:tcMar>
              <w:top w:w="170" w:type="dxa"/>
              <w:left w:w="170" w:type="dxa"/>
              <w:bottom w:w="113" w:type="dxa"/>
              <w:right w:w="170" w:type="dxa"/>
            </w:tcMar>
            <w:hideMark/>
          </w:tcPr>
          <w:p w14:paraId="79563CCD" w14:textId="2F101C15" w:rsidR="00D62F80" w:rsidRDefault="00D62F80">
            <w:pPr>
              <w:pStyle w:val="BoxHeading1"/>
            </w:pPr>
            <w:bookmarkStart w:id="0" w:name="_Ref78902111"/>
            <w:r>
              <w:t>Box</w:t>
            </w:r>
            <w:r w:rsidR="007D60A9">
              <w:t> </w:t>
            </w:r>
            <w:fldSimple w:instr=" SEQ Box \* ARABIC \s 1 ">
              <w:r w:rsidR="00634153">
                <w:rPr>
                  <w:noProof/>
                </w:rPr>
                <w:t>2</w:t>
              </w:r>
            </w:fldSimple>
            <w:r>
              <w:t xml:space="preserve"> – </w:t>
            </w:r>
            <w:bookmarkEnd w:id="0"/>
            <w:r>
              <w:t>Employer responses to leave</w:t>
            </w:r>
            <w:r w:rsidR="00762BAE">
              <w:noBreakHyphen/>
            </w:r>
            <w:r>
              <w:t xml:space="preserve">taking vary </w:t>
            </w:r>
          </w:p>
        </w:tc>
      </w:tr>
      <w:tr w:rsidR="00D62F80" w14:paraId="132F143A" w14:textId="77777777">
        <w:tc>
          <w:tcPr>
            <w:tcW w:w="9638" w:type="dxa"/>
            <w:tcMar>
              <w:top w:w="28" w:type="dxa"/>
              <w:left w:w="170" w:type="dxa"/>
              <w:bottom w:w="170" w:type="dxa"/>
              <w:right w:w="170" w:type="dxa"/>
            </w:tcMar>
            <w:hideMark/>
          </w:tcPr>
          <w:p w14:paraId="2973BCF1" w14:textId="77777777" w:rsidR="00D62F80" w:rsidRPr="00AF3118" w:rsidRDefault="00D62F80">
            <w:pPr>
              <w:pStyle w:val="BodyText"/>
              <w:rPr>
                <w:i/>
                <w:iCs/>
              </w:rPr>
            </w:pPr>
            <w:r>
              <w:t>Studies of leave entitlements in other countries find that employer responses depend on some key employer and employee characteristics.</w:t>
            </w:r>
          </w:p>
          <w:p w14:paraId="58243A66" w14:textId="3C9A0E74" w:rsidR="00D62F80" w:rsidRDefault="00D62F80">
            <w:pPr>
              <w:pStyle w:val="ListBullet"/>
            </w:pPr>
            <w:r w:rsidRPr="00FE797F">
              <w:t xml:space="preserve">Employers are more likely to hire </w:t>
            </w:r>
            <w:r>
              <w:t>new staff if candidate hires have similar skillsets to that of the leave</w:t>
            </w:r>
            <w:r w:rsidR="00762BAE">
              <w:noBreakHyphen/>
            </w:r>
            <w:r>
              <w:t xml:space="preserve">taker </w:t>
            </w:r>
            <w:r w:rsidRPr="00441D72">
              <w:rPr>
                <w:rFonts w:ascii="Arial" w:hAnsi="Arial" w:cs="Arial"/>
                <w:szCs w:val="24"/>
              </w:rPr>
              <w:t>(Ginja, Karimi and Xiao 2023)</w:t>
            </w:r>
            <w:r>
              <w:t>, and if existing employees do not have similar skillsets to that of the leave</w:t>
            </w:r>
            <w:r w:rsidR="00762BAE">
              <w:noBreakHyphen/>
            </w:r>
            <w:r>
              <w:t xml:space="preserve">taker </w:t>
            </w:r>
            <w:r w:rsidRPr="00441D72">
              <w:rPr>
                <w:rFonts w:ascii="Arial" w:hAnsi="Arial" w:cs="Arial"/>
                <w:szCs w:val="24"/>
              </w:rPr>
              <w:t>(Brenøe et al. 2020; Ginja, Karimi and Xiao 2023)</w:t>
            </w:r>
            <w:r>
              <w:t>.</w:t>
            </w:r>
          </w:p>
          <w:p w14:paraId="00E13486" w14:textId="476EAB1B" w:rsidR="00D62F80" w:rsidRPr="00CC73CA" w:rsidRDefault="00D62F80">
            <w:pPr>
              <w:pStyle w:val="ListBullet"/>
              <w:rPr>
                <w:spacing w:val="-4"/>
              </w:rPr>
            </w:pPr>
            <w:r w:rsidRPr="00CC73CA">
              <w:rPr>
                <w:spacing w:val="-4"/>
              </w:rPr>
              <w:t>Employers make greater efforts to cover the leave</w:t>
            </w:r>
            <w:r w:rsidR="00762BAE" w:rsidRPr="00CC73CA">
              <w:rPr>
                <w:spacing w:val="-4"/>
              </w:rPr>
              <w:noBreakHyphen/>
            </w:r>
            <w:r w:rsidRPr="00CC73CA">
              <w:rPr>
                <w:spacing w:val="-4"/>
              </w:rPr>
              <w:t>taker’s absence in occupations where work cannot be delayed (</w:t>
            </w:r>
            <w:r w:rsidR="00404A46" w:rsidRPr="00CC73CA">
              <w:rPr>
                <w:spacing w:val="-4"/>
              </w:rPr>
              <w:t>for example,</w:t>
            </w:r>
            <w:r w:rsidRPr="00CC73CA">
              <w:rPr>
                <w:spacing w:val="-4"/>
              </w:rPr>
              <w:t xml:space="preserve"> people working in hospitals and for manufacturers) than in occupations where work can be delayed (</w:t>
            </w:r>
            <w:r w:rsidR="00404A46" w:rsidRPr="00CC73CA">
              <w:rPr>
                <w:spacing w:val="-4"/>
              </w:rPr>
              <w:t>such as</w:t>
            </w:r>
            <w:r w:rsidRPr="00CC73CA">
              <w:rPr>
                <w:spacing w:val="-4"/>
              </w:rPr>
              <w:t xml:space="preserve"> some research roles) </w:t>
            </w:r>
            <w:r w:rsidRPr="00CC73CA">
              <w:rPr>
                <w:rFonts w:cs="Arial"/>
                <w:spacing w:val="-4"/>
                <w:szCs w:val="24"/>
              </w:rPr>
              <w:t>(Bedard and Rossin</w:t>
            </w:r>
            <w:r w:rsidR="00762BAE" w:rsidRPr="00CC73CA">
              <w:rPr>
                <w:rFonts w:cs="Arial"/>
                <w:spacing w:val="-4"/>
                <w:szCs w:val="24"/>
              </w:rPr>
              <w:noBreakHyphen/>
            </w:r>
            <w:r w:rsidRPr="00CC73CA">
              <w:rPr>
                <w:rFonts w:cs="Arial"/>
                <w:spacing w:val="-4"/>
                <w:szCs w:val="24"/>
              </w:rPr>
              <w:t>Slater 2016)</w:t>
            </w:r>
            <w:r w:rsidRPr="00CC73CA">
              <w:rPr>
                <w:spacing w:val="-4"/>
              </w:rPr>
              <w:t>.</w:t>
            </w:r>
          </w:p>
          <w:p w14:paraId="5AA8A782" w14:textId="0B4C7DF4" w:rsidR="00D62F80" w:rsidRDefault="00D62F80">
            <w:pPr>
              <w:pStyle w:val="ListBullet"/>
            </w:pPr>
            <w:r>
              <w:t>In low</w:t>
            </w:r>
            <w:r w:rsidR="00762BAE">
              <w:noBreakHyphen/>
            </w:r>
            <w:r>
              <w:t>skill/high</w:t>
            </w:r>
            <w:r w:rsidR="00762BAE">
              <w:noBreakHyphen/>
            </w:r>
            <w:r>
              <w:t>turnover industries (</w:t>
            </w:r>
            <w:r w:rsidR="00404A46">
              <w:t>such as</w:t>
            </w:r>
            <w:r>
              <w:t xml:space="preserve"> some retail and agricultural jobs), leave</w:t>
            </w:r>
            <w:r w:rsidR="00762BAE">
              <w:noBreakHyphen/>
            </w:r>
            <w:r>
              <w:t xml:space="preserve">taking is typically managed by proportionate increases to permanent hires </w:t>
            </w:r>
            <w:r w:rsidRPr="00E14345">
              <w:rPr>
                <w:rFonts w:ascii="Arial" w:hAnsi="Arial" w:cs="Arial"/>
                <w:szCs w:val="24"/>
              </w:rPr>
              <w:t>(Bedard and Rossin</w:t>
            </w:r>
            <w:r w:rsidR="00762BAE">
              <w:rPr>
                <w:rFonts w:ascii="Arial" w:hAnsi="Arial" w:cs="Arial"/>
                <w:szCs w:val="24"/>
              </w:rPr>
              <w:noBreakHyphen/>
            </w:r>
            <w:r w:rsidRPr="00E14345">
              <w:rPr>
                <w:rFonts w:ascii="Arial" w:hAnsi="Arial" w:cs="Arial"/>
                <w:szCs w:val="24"/>
              </w:rPr>
              <w:t>Slater 2016)</w:t>
            </w:r>
            <w:r>
              <w:t>.</w:t>
            </w:r>
          </w:p>
        </w:tc>
      </w:tr>
      <w:tr w:rsidR="00D62F80" w14:paraId="5C2C3806" w14:textId="77777777">
        <w:trPr>
          <w:hidden/>
        </w:trPr>
        <w:tc>
          <w:tcPr>
            <w:tcW w:w="9638" w:type="dxa"/>
            <w:shd w:val="clear" w:color="auto" w:fill="auto"/>
            <w:tcMar>
              <w:top w:w="0" w:type="dxa"/>
              <w:left w:w="170" w:type="dxa"/>
              <w:bottom w:w="0" w:type="dxa"/>
              <w:right w:w="170" w:type="dxa"/>
            </w:tcMar>
          </w:tcPr>
          <w:p w14:paraId="1027A687" w14:textId="18C6FDC5" w:rsidR="00D62F80" w:rsidRPr="00465191" w:rsidRDefault="00D62F80">
            <w:pPr>
              <w:pStyle w:val="BodyText"/>
              <w:spacing w:before="0" w:after="0" w:line="80" w:lineRule="atLeast"/>
              <w:rPr>
                <w:smallCaps/>
                <w:vanish/>
              </w:rPr>
            </w:pPr>
          </w:p>
        </w:tc>
      </w:tr>
    </w:tbl>
    <w:p w14:paraId="638BF6C5" w14:textId="0E764A94" w:rsidR="00E43876" w:rsidRDefault="00D905F5" w:rsidP="00091E88">
      <w:pPr>
        <w:pStyle w:val="BodyText"/>
      </w:pPr>
      <w:r>
        <w:t xml:space="preserve">Another factor that would drive employer responses (and the associated costs) is their perception </w:t>
      </w:r>
      <w:r w:rsidR="00B52F13">
        <w:t xml:space="preserve">about </w:t>
      </w:r>
      <w:r>
        <w:t>whether the entitlement user is likely to exercise their right to return and their ability to manage the uncertainty surrounding this</w:t>
      </w:r>
      <w:r w:rsidR="0065547E">
        <w:t xml:space="preserve"> — n</w:t>
      </w:r>
      <w:r w:rsidR="00E43876">
        <w:t>oting</w:t>
      </w:r>
      <w:r>
        <w:t xml:space="preserve"> that we estimate that about </w:t>
      </w:r>
      <w:r w:rsidR="00BD5531">
        <w:t xml:space="preserve">one third </w:t>
      </w:r>
      <w:r>
        <w:t xml:space="preserve">of all entitlement users would not exercise their right to return (figure 1). </w:t>
      </w:r>
    </w:p>
    <w:p w14:paraId="40455D46" w14:textId="666069D4" w:rsidR="00DC1795" w:rsidRPr="00CC73CA" w:rsidRDefault="00271FA4" w:rsidP="00091E88">
      <w:pPr>
        <w:pStyle w:val="BodyText"/>
        <w:rPr>
          <w:spacing w:val="-4"/>
        </w:rPr>
      </w:pPr>
      <w:r w:rsidRPr="00CC73CA">
        <w:rPr>
          <w:spacing w:val="-4"/>
        </w:rPr>
        <w:t>Incorrectly</w:t>
      </w:r>
      <w:r w:rsidR="00D905F5" w:rsidRPr="00CC73CA" w:rsidDel="00271FA4">
        <w:rPr>
          <w:spacing w:val="-4"/>
        </w:rPr>
        <w:t xml:space="preserve"> </w:t>
      </w:r>
      <w:r w:rsidR="00D905F5" w:rsidRPr="00CC73CA">
        <w:rPr>
          <w:spacing w:val="-4"/>
        </w:rPr>
        <w:t xml:space="preserve">assuming an entitlement user will not return could be costly, because a new position would need to be found for them when they </w:t>
      </w:r>
      <w:r w:rsidR="00785611" w:rsidRPr="00CC73CA">
        <w:rPr>
          <w:spacing w:val="-4"/>
        </w:rPr>
        <w:t>return (</w:t>
      </w:r>
      <w:r w:rsidR="00D905F5" w:rsidRPr="00CC73CA">
        <w:rPr>
          <w:spacing w:val="-4"/>
        </w:rPr>
        <w:t>unexpectedly</w:t>
      </w:r>
      <w:r w:rsidR="00785611" w:rsidRPr="00CC73CA">
        <w:rPr>
          <w:spacing w:val="-4"/>
        </w:rPr>
        <w:t>)</w:t>
      </w:r>
      <w:r w:rsidR="00D905F5" w:rsidRPr="00CC73CA">
        <w:rPr>
          <w:spacing w:val="-4"/>
        </w:rPr>
        <w:t xml:space="preserve">. Likewise, </w:t>
      </w:r>
      <w:r w:rsidR="009F3205" w:rsidRPr="00CC73CA">
        <w:rPr>
          <w:spacing w:val="-4"/>
        </w:rPr>
        <w:t xml:space="preserve">incorrectly </w:t>
      </w:r>
      <w:r w:rsidR="00D905F5" w:rsidRPr="00CC73CA">
        <w:rPr>
          <w:spacing w:val="-4"/>
        </w:rPr>
        <w:t>assuming an entitlement user will return could be costly because the employer might find themselves short</w:t>
      </w:r>
      <w:r w:rsidR="00762BAE" w:rsidRPr="00CC73CA">
        <w:rPr>
          <w:spacing w:val="-4"/>
        </w:rPr>
        <w:noBreakHyphen/>
      </w:r>
      <w:r w:rsidR="00D905F5" w:rsidRPr="00CC73CA">
        <w:rPr>
          <w:spacing w:val="-4"/>
        </w:rPr>
        <w:t xml:space="preserve">staffed when they unexpectedly do not return. With experience, employers </w:t>
      </w:r>
      <w:r w:rsidR="006A10CF" w:rsidRPr="00CC73CA">
        <w:rPr>
          <w:spacing w:val="-4"/>
        </w:rPr>
        <w:t xml:space="preserve">are likely to </w:t>
      </w:r>
      <w:r w:rsidR="00D905F5" w:rsidRPr="00CC73CA">
        <w:rPr>
          <w:spacing w:val="-4"/>
        </w:rPr>
        <w:t>develop strategies</w:t>
      </w:r>
      <w:r w:rsidR="00BC316E" w:rsidRPr="00CC73CA">
        <w:rPr>
          <w:spacing w:val="-4"/>
        </w:rPr>
        <w:t>, such as keeping in contact with entitlement users while on leave,</w:t>
      </w:r>
      <w:r w:rsidR="00D905F5" w:rsidRPr="00CC73CA">
        <w:rPr>
          <w:spacing w:val="-4"/>
        </w:rPr>
        <w:t xml:space="preserve"> </w:t>
      </w:r>
      <w:r w:rsidR="00DC6685" w:rsidRPr="00CC73CA">
        <w:rPr>
          <w:spacing w:val="-4"/>
        </w:rPr>
        <w:t xml:space="preserve">to help them better </w:t>
      </w:r>
      <w:r w:rsidR="0047138E" w:rsidRPr="00CC73CA">
        <w:rPr>
          <w:spacing w:val="-4"/>
        </w:rPr>
        <w:t>g</w:t>
      </w:r>
      <w:r w:rsidR="004861C7" w:rsidRPr="00CC73CA">
        <w:rPr>
          <w:spacing w:val="-4"/>
        </w:rPr>
        <w:t xml:space="preserve">auge whether or not </w:t>
      </w:r>
      <w:r w:rsidR="00D905F5" w:rsidRPr="00CC73CA">
        <w:rPr>
          <w:spacing w:val="-4"/>
        </w:rPr>
        <w:t>entitlement user</w:t>
      </w:r>
      <w:r w:rsidR="004861C7" w:rsidRPr="00CC73CA">
        <w:rPr>
          <w:spacing w:val="-4"/>
        </w:rPr>
        <w:t>s</w:t>
      </w:r>
      <w:r w:rsidR="00D905F5" w:rsidRPr="00CC73CA">
        <w:rPr>
          <w:spacing w:val="-4"/>
        </w:rPr>
        <w:t xml:space="preserve"> will return</w:t>
      </w:r>
      <w:r w:rsidR="00081BF7" w:rsidRPr="00CC73CA">
        <w:rPr>
          <w:spacing w:val="-4"/>
        </w:rPr>
        <w:t xml:space="preserve"> to their jobs.</w:t>
      </w:r>
    </w:p>
    <w:p w14:paraId="1168D07E" w14:textId="7A2E6801" w:rsidR="00C5220E" w:rsidRDefault="00C5220E" w:rsidP="00091E88">
      <w:pPr>
        <w:pStyle w:val="BodyText"/>
      </w:pPr>
      <w:r>
        <w:t xml:space="preserve">That said, this </w:t>
      </w:r>
      <w:r w:rsidR="00B07365">
        <w:t xml:space="preserve">discussion </w:t>
      </w:r>
      <w:r>
        <w:t>overstates the costs that employers would b</w:t>
      </w:r>
      <w:r w:rsidR="002322EF">
        <w:t>ear</w:t>
      </w:r>
      <w:r>
        <w:t>, for several reasons:</w:t>
      </w:r>
    </w:p>
    <w:p w14:paraId="1C589344" w14:textId="1941469D" w:rsidR="00091E88" w:rsidRPr="00436471" w:rsidRDefault="00A97879" w:rsidP="00436471">
      <w:pPr>
        <w:pStyle w:val="ListBullet"/>
      </w:pPr>
      <w:r w:rsidRPr="00436471">
        <w:t xml:space="preserve">In about half of all cases (figure 1), the entitlement user would </w:t>
      </w:r>
      <w:r w:rsidR="00545F4B" w:rsidRPr="00436471">
        <w:t>instead quit their job if the entitlement was not available</w:t>
      </w:r>
      <w:r w:rsidR="000451CA" w:rsidRPr="00436471">
        <w:t xml:space="preserve"> to them. Their </w:t>
      </w:r>
      <w:r w:rsidR="00091E88" w:rsidRPr="00436471">
        <w:t xml:space="preserve">employer would still </w:t>
      </w:r>
      <w:r w:rsidR="000451CA" w:rsidRPr="00436471">
        <w:t>need to</w:t>
      </w:r>
      <w:r w:rsidR="00901C06" w:rsidRPr="00436471">
        <w:t xml:space="preserve"> either </w:t>
      </w:r>
      <w:r w:rsidR="00091E88" w:rsidRPr="00436471">
        <w:t xml:space="preserve">replace </w:t>
      </w:r>
      <w:r w:rsidR="00ED6802" w:rsidRPr="00436471">
        <w:t>them</w:t>
      </w:r>
      <w:r w:rsidR="00091E88" w:rsidRPr="00436471">
        <w:t xml:space="preserve"> or reduce output. The difference is that, in the absence of the entitlement, the employer would not need </w:t>
      </w:r>
      <w:r w:rsidR="005A62C6" w:rsidRPr="00436471">
        <w:t>to provide for a right to return to work</w:t>
      </w:r>
      <w:r w:rsidR="008153EB" w:rsidRPr="00436471">
        <w:t>. This would make it easier for the employer to replace them with a</w:t>
      </w:r>
      <w:r w:rsidR="008A7579" w:rsidRPr="00436471">
        <w:t xml:space="preserve"> permanent employee.</w:t>
      </w:r>
    </w:p>
    <w:p w14:paraId="0D166568" w14:textId="107AA5C6" w:rsidR="00091E88" w:rsidRDefault="00091E88" w:rsidP="005A4876">
      <w:pPr>
        <w:pStyle w:val="ListBullet"/>
      </w:pPr>
      <w:r w:rsidRPr="00436471">
        <w:t xml:space="preserve">Employers </w:t>
      </w:r>
      <w:r w:rsidR="00E7005D" w:rsidRPr="00436471">
        <w:t xml:space="preserve">could also </w:t>
      </w:r>
      <w:r w:rsidRPr="00436471">
        <w:t xml:space="preserve">benefit from </w:t>
      </w:r>
      <w:r w:rsidR="00436471">
        <w:t>the</w:t>
      </w:r>
      <w:r w:rsidR="00E7005D" w:rsidRPr="00436471">
        <w:t xml:space="preserve"> </w:t>
      </w:r>
      <w:r w:rsidRPr="00436471">
        <w:t>entitlement</w:t>
      </w:r>
      <w:r w:rsidR="00E7005D" w:rsidRPr="00436471">
        <w:t xml:space="preserve">. </w:t>
      </w:r>
      <w:r w:rsidRPr="00436471">
        <w:t xml:space="preserve">If valued employee who wanted to take leave </w:t>
      </w:r>
      <w:r w:rsidR="000F722D" w:rsidRPr="00436471">
        <w:t xml:space="preserve">to care </w:t>
      </w:r>
      <w:r w:rsidRPr="00436471">
        <w:t xml:space="preserve">would have otherwise quit their job, </w:t>
      </w:r>
      <w:r w:rsidR="00EA604C" w:rsidRPr="00436471">
        <w:t xml:space="preserve">access to </w:t>
      </w:r>
      <w:r w:rsidR="00436471">
        <w:t>the entitlement</w:t>
      </w:r>
      <w:r w:rsidRPr="00436471">
        <w:t xml:space="preserve"> might induce them to return</w:t>
      </w:r>
      <w:r w:rsidR="00612662" w:rsidRPr="00436471">
        <w:t xml:space="preserve">. </w:t>
      </w:r>
      <w:r w:rsidR="00436471">
        <w:t>These cases</w:t>
      </w:r>
      <w:r w:rsidR="008C0B18">
        <w:t xml:space="preserve"> would probably be rare, however, as we estimate that only about </w:t>
      </w:r>
      <w:r w:rsidR="001C224E">
        <w:t>one quarter</w:t>
      </w:r>
      <w:r w:rsidR="008C0B18">
        <w:t xml:space="preserve"> of entitlement users who would otherwise have quit their job would return to work (supporting paper </w:t>
      </w:r>
      <w:r w:rsidR="00D62F80">
        <w:t>1</w:t>
      </w:r>
      <w:r w:rsidR="008C0B18">
        <w:t>).</w:t>
      </w:r>
      <w:r w:rsidR="00523171">
        <w:t xml:space="preserve"> </w:t>
      </w:r>
      <w:r w:rsidR="001B0510">
        <w:t>And because</w:t>
      </w:r>
      <w:r w:rsidR="00523171">
        <w:t xml:space="preserve"> </w:t>
      </w:r>
      <w:r>
        <w:t xml:space="preserve">employers </w:t>
      </w:r>
      <w:r w:rsidR="006105E1">
        <w:t xml:space="preserve">can </w:t>
      </w:r>
      <w:r>
        <w:t>voluntarily grant</w:t>
      </w:r>
      <w:r w:rsidR="006105E1">
        <w:t xml:space="preserve"> </w:t>
      </w:r>
      <w:r>
        <w:t xml:space="preserve">extended unpaid carer leave (and </w:t>
      </w:r>
      <w:r w:rsidR="007F74EF">
        <w:t>can</w:t>
      </w:r>
      <w:r>
        <w:t xml:space="preserve"> publici</w:t>
      </w:r>
      <w:r w:rsidR="007F74EF">
        <w:t>se</w:t>
      </w:r>
      <w:r>
        <w:t xml:space="preserve"> this to current and prospective employees), </w:t>
      </w:r>
      <w:r w:rsidR="004153CA">
        <w:t xml:space="preserve">many probably </w:t>
      </w:r>
      <w:r w:rsidR="00C66F9F">
        <w:t xml:space="preserve">already </w:t>
      </w:r>
      <w:r w:rsidR="004153CA">
        <w:t>do so where there is clear mutual benefit</w:t>
      </w:r>
      <w:r w:rsidR="008225E0">
        <w:t>.</w:t>
      </w:r>
      <w:r w:rsidR="00C66F9F" w:rsidDel="00C66F9F">
        <w:t xml:space="preserve"> </w:t>
      </w:r>
    </w:p>
    <w:p w14:paraId="0C56C568" w14:textId="131BEE61" w:rsidR="00597723" w:rsidRPr="00F32F62" w:rsidRDefault="00424FC3" w:rsidP="00BB1935">
      <w:pPr>
        <w:pStyle w:val="Heading3"/>
        <w:rPr>
          <w:rStyle w:val="DraftingNoteChar"/>
          <w:color w:val="2D9AC2" w:themeColor="text2" w:themeShade="BF"/>
          <w:sz w:val="26"/>
          <w:szCs w:val="37"/>
          <w:u w:val="none"/>
        </w:rPr>
      </w:pPr>
      <w:r w:rsidRPr="00F32F62">
        <w:rPr>
          <w:rStyle w:val="DraftingNoteChar"/>
          <w:color w:val="2D9AC2" w:themeColor="text2" w:themeShade="BF"/>
          <w:sz w:val="26"/>
          <w:szCs w:val="37"/>
          <w:u w:val="none"/>
        </w:rPr>
        <w:lastRenderedPageBreak/>
        <w:t>Cost estimates</w:t>
      </w:r>
    </w:p>
    <w:p w14:paraId="54009FF8" w14:textId="77777777" w:rsidR="00FB1A5B" w:rsidRDefault="00145F45" w:rsidP="00BB1935">
      <w:pPr>
        <w:pStyle w:val="BodyText"/>
        <w:keepNext/>
      </w:pPr>
      <w:r>
        <w:t>The costs</w:t>
      </w:r>
      <w:r w:rsidR="001A4CE0">
        <w:t xml:space="preserve"> of the entitlement to employers </w:t>
      </w:r>
      <w:r w:rsidR="008A6AA3">
        <w:t xml:space="preserve">are difficult to estimate. </w:t>
      </w:r>
    </w:p>
    <w:p w14:paraId="28643033" w14:textId="77777777" w:rsidR="00D62F80" w:rsidRPr="00C94A14" w:rsidRDefault="00D62F80" w:rsidP="00D62F80">
      <w:pPr>
        <w:pStyle w:val="BodyText"/>
        <w:rPr>
          <w:spacing w:val="2"/>
        </w:rPr>
      </w:pPr>
      <w:r w:rsidRPr="00C94A14">
        <w:rPr>
          <w:spacing w:val="2"/>
        </w:rPr>
        <w:t>Building up an estimate of the costs from surveys about each component (such as the cost of placing a job advertisement) could be inaccurate and important factors (such as reductions in productivity) would likely be missed.</w:t>
      </w:r>
    </w:p>
    <w:p w14:paraId="47A33CED" w14:textId="429DBBF7" w:rsidR="006C5478" w:rsidRDefault="004046EA" w:rsidP="00A40462">
      <w:pPr>
        <w:pStyle w:val="BodyText"/>
      </w:pPr>
      <w:r>
        <w:t xml:space="preserve">In principle, a </w:t>
      </w:r>
      <w:r w:rsidR="00A24074">
        <w:t xml:space="preserve">better way </w:t>
      </w:r>
      <w:r w:rsidR="00AD5307">
        <w:t>is</w:t>
      </w:r>
      <w:r w:rsidR="00A24074">
        <w:t xml:space="preserve"> </w:t>
      </w:r>
      <w:r w:rsidR="006951D9">
        <w:t xml:space="preserve">to estimate the costs </w:t>
      </w:r>
      <w:r w:rsidR="00F24109">
        <w:t>of a similar entitlement</w:t>
      </w:r>
      <w:r w:rsidR="00B25556">
        <w:t xml:space="preserve"> </w:t>
      </w:r>
      <w:r w:rsidR="00E22B62">
        <w:t>in another country</w:t>
      </w:r>
      <w:r w:rsidR="004D5404">
        <w:t xml:space="preserve">, either by comparing </w:t>
      </w:r>
      <w:r w:rsidR="00622ADC">
        <w:t xml:space="preserve">the </w:t>
      </w:r>
      <w:r w:rsidR="00926499">
        <w:t xml:space="preserve">performance of </w:t>
      </w:r>
      <w:r w:rsidR="004D5404">
        <w:t xml:space="preserve">employers who were exposed to </w:t>
      </w:r>
      <w:r w:rsidR="00B35611">
        <w:t>leave</w:t>
      </w:r>
      <w:r w:rsidR="00762BAE">
        <w:noBreakHyphen/>
      </w:r>
      <w:r w:rsidR="00B35611">
        <w:t xml:space="preserve">taking to </w:t>
      </w:r>
      <w:r w:rsidR="00C20BDE">
        <w:t xml:space="preserve">those who were not or by </w:t>
      </w:r>
      <w:r w:rsidR="00975307">
        <w:t>examining the before–and–after effects of</w:t>
      </w:r>
      <w:r w:rsidR="001C1975">
        <w:t xml:space="preserve"> </w:t>
      </w:r>
      <w:r w:rsidR="00EA418D">
        <w:t>the introduction of the entitlement</w:t>
      </w:r>
      <w:r w:rsidR="001C1975">
        <w:t xml:space="preserve">. </w:t>
      </w:r>
      <w:r w:rsidR="008322B5">
        <w:t xml:space="preserve">Several studies </w:t>
      </w:r>
      <w:r w:rsidR="00ED1384">
        <w:t xml:space="preserve">have </w:t>
      </w:r>
      <w:r w:rsidR="005100E1">
        <w:t xml:space="preserve">estimated </w:t>
      </w:r>
      <w:r w:rsidR="00F156EE">
        <w:t xml:space="preserve">employer </w:t>
      </w:r>
      <w:r w:rsidR="005100E1">
        <w:t>costs</w:t>
      </w:r>
      <w:r w:rsidR="00ED1384">
        <w:t xml:space="preserve"> </w:t>
      </w:r>
      <w:r w:rsidR="00F40514">
        <w:t>of</w:t>
      </w:r>
      <w:r w:rsidR="00ED1384">
        <w:t xml:space="preserve"> parental leave entitlement</w:t>
      </w:r>
      <w:r w:rsidR="00310EEE">
        <w:t xml:space="preserve">s </w:t>
      </w:r>
      <w:r w:rsidR="00EE4926">
        <w:t>(paid leave, but taxpayer</w:t>
      </w:r>
      <w:r w:rsidR="00762BAE">
        <w:noBreakHyphen/>
      </w:r>
      <w:r w:rsidR="00EE4926">
        <w:t>funded so unpaid from the employer’s perspective)</w:t>
      </w:r>
      <w:r w:rsidR="009436A2">
        <w:t xml:space="preserve"> (table 1).</w:t>
      </w:r>
      <w:r w:rsidR="00D4132A">
        <w:t xml:space="preserve"> </w:t>
      </w:r>
    </w:p>
    <w:p w14:paraId="350B8547" w14:textId="77777777" w:rsidR="00620C3F" w:rsidRDefault="00620C3F" w:rsidP="00620C3F">
      <w:pPr>
        <w:pStyle w:val="BodyText"/>
      </w:pPr>
      <w:r>
        <w:t>This approach has some limitations — the entitlements in other countries are not identical to the entitlement proposed in this report and some studies do not measure all the relevant components of employer performance. But it is valuable evidence provided it is interpreted with these limitations in mind.</w:t>
      </w:r>
    </w:p>
    <w:p w14:paraId="1604BF33" w14:textId="253CB3E7" w:rsidR="00620C3F" w:rsidRPr="00A40462" w:rsidRDefault="00620C3F" w:rsidP="00620C3F">
      <w:pPr>
        <w:pStyle w:val="ListBullet"/>
        <w:rPr>
          <w:rFonts w:ascii="Arial (Body)" w:hAnsi="Arial (Body)"/>
          <w:color w:val="000000"/>
        </w:rPr>
      </w:pPr>
      <w:r>
        <w:t xml:space="preserve">Two studies found that unexpected (from the employer’s perspective) increases to of parental leave of 1–3 months’ duration imposed sizeable costs on employers. Ginja et al. </w:t>
      </w:r>
      <w:r w:rsidRPr="0007366E">
        <w:rPr>
          <w:rFonts w:ascii="Arial" w:hAnsi="Arial" w:cs="Arial"/>
        </w:rPr>
        <w:t>(2023)</w:t>
      </w:r>
      <w:r>
        <w:t xml:space="preserve"> found each leave taken increased wage costs by about 20 months of the salary of a full</w:t>
      </w:r>
      <w:r w:rsidR="00762BAE">
        <w:noBreakHyphen/>
      </w:r>
      <w:r>
        <w:t>time</w:t>
      </w:r>
      <w:r w:rsidR="00762BAE">
        <w:noBreakHyphen/>
      </w:r>
      <w:r>
        <w:t xml:space="preserve">equivalent employee, as employers typically replaced the leave taker with multiple employees (but with no apparent boost to output). This estimate of wage costs does not include related administrative costs, such as payments to recruitment firms. Gallen </w:t>
      </w:r>
      <w:r w:rsidRPr="00FC250A">
        <w:rPr>
          <w:rFonts w:ascii="Arial" w:hAnsi="Arial" w:cs="Arial"/>
        </w:rPr>
        <w:t>(2018)</w:t>
      </w:r>
      <w:r>
        <w:t xml:space="preserve"> found that firms with </w:t>
      </w:r>
      <w:r w:rsidRPr="00A40462">
        <w:rPr>
          <w:rFonts w:ascii="Arial (Body)" w:hAnsi="Arial (Body)"/>
          <w:color w:val="000000"/>
        </w:rPr>
        <w:t>at least one leave</w:t>
      </w:r>
      <w:r w:rsidR="002C22E3">
        <w:rPr>
          <w:rFonts w:ascii="Arial (Body)" w:hAnsi="Arial (Body)"/>
          <w:color w:val="000000"/>
        </w:rPr>
        <w:t xml:space="preserve"> </w:t>
      </w:r>
      <w:r w:rsidRPr="00A40462">
        <w:rPr>
          <w:rFonts w:ascii="Arial (Body)" w:hAnsi="Arial (Body)"/>
          <w:color w:val="000000"/>
        </w:rPr>
        <w:t>taker were 2</w:t>
      </w:r>
      <w:r w:rsidRPr="00A40462">
        <w:rPr>
          <w:rFonts w:ascii="Arial (Body)" w:hAnsi="Arial (Body)" w:hint="eastAsia"/>
          <w:color w:val="000000"/>
        </w:rPr>
        <w:t> </w:t>
      </w:r>
      <w:r w:rsidRPr="00A40462">
        <w:rPr>
          <w:rFonts w:ascii="Arial (Body)" w:hAnsi="Arial (Body)"/>
          <w:color w:val="000000"/>
        </w:rPr>
        <w:t>percentage points (7</w:t>
      </w:r>
      <w:r w:rsidRPr="00A40462">
        <w:rPr>
          <w:rFonts w:ascii="Arial (Body)" w:hAnsi="Arial (Body)" w:hint="eastAsia"/>
          <w:color w:val="000000"/>
        </w:rPr>
        <w:t> </w:t>
      </w:r>
      <w:r w:rsidRPr="00A40462">
        <w:rPr>
          <w:rFonts w:ascii="Arial (Body)" w:hAnsi="Arial (Body)"/>
          <w:color w:val="000000"/>
        </w:rPr>
        <w:t>per</w:t>
      </w:r>
      <w:r w:rsidRPr="00A40462">
        <w:rPr>
          <w:rFonts w:ascii="Arial (Body)" w:hAnsi="Arial (Body)" w:hint="eastAsia"/>
          <w:color w:val="000000"/>
        </w:rPr>
        <w:t> </w:t>
      </w:r>
      <w:r w:rsidRPr="00A40462">
        <w:rPr>
          <w:rFonts w:ascii="Arial (Body)" w:hAnsi="Arial (Body)"/>
          <w:color w:val="000000"/>
        </w:rPr>
        <w:t>cent) more likely to shut down in following 5</w:t>
      </w:r>
      <w:r w:rsidRPr="00A40462">
        <w:rPr>
          <w:rFonts w:ascii="Arial (Body)" w:hAnsi="Arial (Body)" w:hint="eastAsia"/>
          <w:color w:val="000000"/>
        </w:rPr>
        <w:t> </w:t>
      </w:r>
      <w:r w:rsidRPr="00A40462">
        <w:rPr>
          <w:rFonts w:ascii="Arial (Body)" w:hAnsi="Arial (Body)"/>
          <w:color w:val="000000"/>
        </w:rPr>
        <w:t xml:space="preserve">years. </w:t>
      </w:r>
      <w:r>
        <w:rPr>
          <w:rFonts w:ascii="Arial (Body)" w:hAnsi="Arial (Body)"/>
          <w:color w:val="000000"/>
        </w:rPr>
        <w:t xml:space="preserve">These studies are probably the most representative of the costs to employers of the entitlement. They capture leave taken at relatively short notice and for a duration </w:t>
      </w:r>
      <w:proofErr w:type="gramStart"/>
      <w:r>
        <w:rPr>
          <w:rFonts w:ascii="Arial (Body)" w:hAnsi="Arial (Body)"/>
          <w:color w:val="000000"/>
        </w:rPr>
        <w:t>similar to</w:t>
      </w:r>
      <w:proofErr w:type="gramEnd"/>
      <w:r>
        <w:rPr>
          <w:rFonts w:ascii="Arial (Body)" w:hAnsi="Arial (Body)"/>
          <w:color w:val="000000"/>
        </w:rPr>
        <w:t xml:space="preserve"> that expected for the entitlement.</w:t>
      </w:r>
      <w:r w:rsidRPr="00BE59F4">
        <w:rPr>
          <w:rStyle w:val="FootnoteReference"/>
        </w:rPr>
        <w:footnoteReference w:id="8"/>
      </w:r>
    </w:p>
    <w:p w14:paraId="4F27C92A" w14:textId="78726813" w:rsidR="00620C3F" w:rsidRPr="00FF08A5" w:rsidRDefault="00620C3F" w:rsidP="00620C3F">
      <w:pPr>
        <w:pStyle w:val="ListBullet"/>
      </w:pPr>
      <w:r>
        <w:t>Studies of the costs of parental leave itself (usually taken with much more notice and for a much longer duration, except in the United States) did not find any evidence of costs to employers. Only one study</w:t>
      </w:r>
      <w:r w:rsidR="00B7384C">
        <w:t xml:space="preserve"> </w:t>
      </w:r>
      <w:r w:rsidR="00B7384C" w:rsidRPr="00BA6350">
        <w:rPr>
          <w:rFonts w:cs="Times New Roman"/>
          <w:szCs w:val="24"/>
        </w:rPr>
        <w:t>(Brenøe et al. 2020)</w:t>
      </w:r>
      <w:r>
        <w:t xml:space="preserve"> measured profitability and survival, the best indicators </w:t>
      </w:r>
      <w:r w:rsidDel="000E49A0">
        <w:t>of</w:t>
      </w:r>
      <w:r>
        <w:t xml:space="preserve"> costs to employers. </w:t>
      </w:r>
      <w:r w:rsidR="00E732E8">
        <w:t>These results</w:t>
      </w:r>
      <w:r>
        <w:t xml:space="preserve"> of </w:t>
      </w:r>
      <w:r w:rsidR="00E732E8">
        <w:t>these studies on</w:t>
      </w:r>
      <w:r>
        <w:t xml:space="preserve"> wage bills are uninformative.</w:t>
      </w:r>
      <w:r w:rsidDel="00DC410F">
        <w:t xml:space="preserve"> </w:t>
      </w:r>
    </w:p>
    <w:p w14:paraId="3055911B" w14:textId="12E2FB52" w:rsidR="00620C3F" w:rsidRDefault="00620C3F" w:rsidP="00620C3F">
      <w:pPr>
        <w:pStyle w:val="BodyText"/>
        <w:rPr>
          <w:rFonts w:ascii="Arial" w:hAnsi="Arial" w:cs="Arial"/>
          <w:szCs w:val="24"/>
        </w:rPr>
      </w:pPr>
      <w:r>
        <w:t xml:space="preserve">While far from conclusive, this evidence suggests that the costs of extended unpaid carer leave for employers could be sizeable when they are unexpected and impose significant uncertainty on the employer, such as the Swedish reforms considered by Ginja et al. </w:t>
      </w:r>
      <w:r w:rsidRPr="005163FD">
        <w:t>(2023)</w:t>
      </w:r>
      <w:r>
        <w:t>.</w:t>
      </w:r>
    </w:p>
    <w:p w14:paraId="7A298004" w14:textId="7646E9A4" w:rsidR="00D62F80" w:rsidRPr="00CC73CA" w:rsidRDefault="00D62F80" w:rsidP="00D62F80">
      <w:pPr>
        <w:pStyle w:val="FigureTableHeading"/>
        <w:rPr>
          <w:spacing w:val="-4"/>
        </w:rPr>
      </w:pPr>
      <w:r w:rsidRPr="00CC73CA">
        <w:rPr>
          <w:spacing w:val="-4"/>
        </w:rPr>
        <w:t>Table</w:t>
      </w:r>
      <w:r w:rsidR="007D60A9" w:rsidRPr="00CC73CA">
        <w:rPr>
          <w:spacing w:val="-4"/>
        </w:rPr>
        <w:t> </w:t>
      </w:r>
      <w:r w:rsidR="00BB3079" w:rsidRPr="00CC73CA">
        <w:rPr>
          <w:spacing w:val="-4"/>
        </w:rPr>
        <w:fldChar w:fldCharType="begin"/>
      </w:r>
      <w:r w:rsidR="00BB3079" w:rsidRPr="00CC73CA">
        <w:rPr>
          <w:spacing w:val="-4"/>
        </w:rPr>
        <w:instrText xml:space="preserve"> SEQ Table \* ARABIC \s 1 </w:instrText>
      </w:r>
      <w:r w:rsidR="00BB3079" w:rsidRPr="00CC73CA">
        <w:rPr>
          <w:spacing w:val="-4"/>
        </w:rPr>
        <w:fldChar w:fldCharType="separate"/>
      </w:r>
      <w:r w:rsidR="00634153">
        <w:rPr>
          <w:noProof/>
          <w:spacing w:val="-4"/>
        </w:rPr>
        <w:t>1</w:t>
      </w:r>
      <w:r w:rsidR="00BB3079" w:rsidRPr="00CC73CA">
        <w:rPr>
          <w:noProof/>
          <w:spacing w:val="-4"/>
        </w:rPr>
        <w:fldChar w:fldCharType="end"/>
      </w:r>
      <w:r w:rsidRPr="00CC73CA">
        <w:rPr>
          <w:noProof/>
          <w:spacing w:val="-4"/>
        </w:rPr>
        <w:t xml:space="preserve"> – </w:t>
      </w:r>
      <w:r w:rsidRPr="00CC73CA">
        <w:rPr>
          <w:spacing w:val="-4"/>
        </w:rPr>
        <w:t>Studies of direct costs to employers of non</w:t>
      </w:r>
      <w:r w:rsidR="00762BAE" w:rsidRPr="00CC73CA">
        <w:rPr>
          <w:spacing w:val="-4"/>
        </w:rPr>
        <w:noBreakHyphen/>
      </w:r>
      <w:r w:rsidRPr="00CC73CA">
        <w:rPr>
          <w:spacing w:val="-4"/>
        </w:rPr>
        <w:t>employer</w:t>
      </w:r>
      <w:r w:rsidR="00762BAE" w:rsidRPr="00CC73CA">
        <w:rPr>
          <w:spacing w:val="-4"/>
        </w:rPr>
        <w:noBreakHyphen/>
      </w:r>
      <w:r w:rsidRPr="00CC73CA">
        <w:rPr>
          <w:spacing w:val="-4"/>
        </w:rPr>
        <w:t xml:space="preserve">funded leave entitlements </w:t>
      </w:r>
    </w:p>
    <w:tbl>
      <w:tblPr>
        <w:tblW w:w="9639"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982"/>
        <w:gridCol w:w="1277"/>
        <w:gridCol w:w="993"/>
        <w:gridCol w:w="1701"/>
        <w:gridCol w:w="1843"/>
        <w:gridCol w:w="1843"/>
      </w:tblGrid>
      <w:tr w:rsidR="00D62F80" w:rsidRPr="00030C67" w14:paraId="14FCF86B" w14:textId="77777777" w:rsidTr="002415BE">
        <w:trPr>
          <w:tblHeader/>
        </w:trPr>
        <w:tc>
          <w:tcPr>
            <w:tcW w:w="1983" w:type="dxa"/>
            <w:tcBorders>
              <w:bottom w:val="single" w:sz="4" w:space="0" w:color="B3B3B3"/>
            </w:tcBorders>
            <w:shd w:val="clear" w:color="000000" w:fill="auto"/>
            <w:vAlign w:val="bottom"/>
          </w:tcPr>
          <w:p w14:paraId="2521128A" w14:textId="77777777" w:rsidR="00D62F80" w:rsidRPr="00DF4694" w:rsidRDefault="00D62F80">
            <w:pPr>
              <w:pStyle w:val="TableHeading"/>
            </w:pPr>
            <w:r w:rsidRPr="00DF4694">
              <w:t>Study</w:t>
            </w:r>
          </w:p>
        </w:tc>
        <w:tc>
          <w:tcPr>
            <w:tcW w:w="1278" w:type="dxa"/>
            <w:tcBorders>
              <w:bottom w:val="single" w:sz="4" w:space="0" w:color="B3B3B3"/>
            </w:tcBorders>
            <w:shd w:val="clear" w:color="000000" w:fill="auto"/>
            <w:vAlign w:val="bottom"/>
          </w:tcPr>
          <w:p w14:paraId="00D0FFFE" w14:textId="77777777" w:rsidR="00D62F80" w:rsidRPr="0011747B" w:rsidRDefault="00D62F80">
            <w:pPr>
              <w:pStyle w:val="TableHeading"/>
            </w:pPr>
            <w:r w:rsidRPr="0011747B">
              <w:t>Details</w:t>
            </w:r>
          </w:p>
        </w:tc>
        <w:tc>
          <w:tcPr>
            <w:tcW w:w="991" w:type="dxa"/>
            <w:tcBorders>
              <w:bottom w:val="single" w:sz="4" w:space="0" w:color="B3B3B3"/>
            </w:tcBorders>
            <w:shd w:val="clear" w:color="000000" w:fill="auto"/>
            <w:vAlign w:val="bottom"/>
          </w:tcPr>
          <w:p w14:paraId="6CF96E2A" w14:textId="77777777" w:rsidR="00D62F80" w:rsidRPr="00DF4694" w:rsidRDefault="00D62F80">
            <w:pPr>
              <w:pStyle w:val="TableHeading"/>
            </w:pPr>
            <w:r>
              <w:t>Q</w:t>
            </w:r>
            <w:r w:rsidRPr="00DF4694">
              <w:t>uality</w:t>
            </w:r>
          </w:p>
        </w:tc>
        <w:tc>
          <w:tcPr>
            <w:tcW w:w="5387" w:type="dxa"/>
            <w:gridSpan w:val="3"/>
            <w:tcBorders>
              <w:bottom w:val="single" w:sz="4" w:space="0" w:color="B3B3B3"/>
            </w:tcBorders>
            <w:shd w:val="clear" w:color="000000" w:fill="auto"/>
          </w:tcPr>
          <w:p w14:paraId="3804389F" w14:textId="77777777" w:rsidR="00D62F80" w:rsidRPr="00DF4694" w:rsidRDefault="00D62F80">
            <w:pPr>
              <w:pStyle w:val="TableHeading"/>
            </w:pPr>
            <w:r w:rsidRPr="00DF4694">
              <w:t>Findings</w:t>
            </w:r>
          </w:p>
        </w:tc>
      </w:tr>
      <w:tr w:rsidR="00D62F80" w:rsidRPr="00030C67" w14:paraId="71EE9055" w14:textId="77777777" w:rsidTr="002415BE">
        <w:trPr>
          <w:tblHeader/>
        </w:trPr>
        <w:tc>
          <w:tcPr>
            <w:tcW w:w="1983" w:type="dxa"/>
            <w:tcBorders>
              <w:bottom w:val="single" w:sz="4" w:space="0" w:color="B3B3B3"/>
            </w:tcBorders>
            <w:shd w:val="clear" w:color="000000" w:fill="auto"/>
            <w:vAlign w:val="bottom"/>
          </w:tcPr>
          <w:p w14:paraId="47D2CD61" w14:textId="77777777" w:rsidR="00D62F80" w:rsidRPr="00DF4694" w:rsidRDefault="00D62F80">
            <w:pPr>
              <w:pStyle w:val="TableHeading"/>
            </w:pPr>
          </w:p>
        </w:tc>
        <w:tc>
          <w:tcPr>
            <w:tcW w:w="1276" w:type="dxa"/>
            <w:tcBorders>
              <w:bottom w:val="single" w:sz="4" w:space="0" w:color="B3B3B3"/>
            </w:tcBorders>
            <w:shd w:val="clear" w:color="000000" w:fill="auto"/>
            <w:vAlign w:val="bottom"/>
          </w:tcPr>
          <w:p w14:paraId="7D1DD807" w14:textId="77777777" w:rsidR="00D62F80" w:rsidRDefault="00D62F80">
            <w:pPr>
              <w:pStyle w:val="TableHeading"/>
              <w:rPr>
                <w:u w:val="double"/>
              </w:rPr>
            </w:pPr>
          </w:p>
        </w:tc>
        <w:tc>
          <w:tcPr>
            <w:tcW w:w="993" w:type="dxa"/>
            <w:tcBorders>
              <w:bottom w:val="single" w:sz="4" w:space="0" w:color="B3B3B3"/>
            </w:tcBorders>
            <w:shd w:val="clear" w:color="000000" w:fill="auto"/>
            <w:vAlign w:val="bottom"/>
          </w:tcPr>
          <w:p w14:paraId="7CF583EB" w14:textId="77777777" w:rsidR="00D62F80" w:rsidRDefault="00D62F80">
            <w:pPr>
              <w:pStyle w:val="TableHeading"/>
            </w:pPr>
          </w:p>
        </w:tc>
        <w:tc>
          <w:tcPr>
            <w:tcW w:w="1701" w:type="dxa"/>
            <w:tcBorders>
              <w:bottom w:val="single" w:sz="4" w:space="0" w:color="B3B3B3"/>
            </w:tcBorders>
            <w:shd w:val="clear" w:color="000000" w:fill="auto"/>
          </w:tcPr>
          <w:p w14:paraId="71D2C67A" w14:textId="77777777" w:rsidR="00D62F80" w:rsidRPr="00DF4694" w:rsidRDefault="00D62F80">
            <w:pPr>
              <w:pStyle w:val="TableHeading"/>
            </w:pPr>
            <w:r>
              <w:t>Wage costs</w:t>
            </w:r>
          </w:p>
        </w:tc>
        <w:tc>
          <w:tcPr>
            <w:tcW w:w="1843" w:type="dxa"/>
            <w:tcBorders>
              <w:bottom w:val="single" w:sz="4" w:space="0" w:color="B3B3B3"/>
            </w:tcBorders>
            <w:shd w:val="clear" w:color="000000" w:fill="auto"/>
          </w:tcPr>
          <w:p w14:paraId="3E153D1E" w14:textId="77777777" w:rsidR="00D62F80" w:rsidRPr="00DF4694" w:rsidRDefault="00D62F80">
            <w:pPr>
              <w:pStyle w:val="TableHeading"/>
            </w:pPr>
            <w:r>
              <w:t>Output</w:t>
            </w:r>
          </w:p>
        </w:tc>
        <w:tc>
          <w:tcPr>
            <w:tcW w:w="1843" w:type="dxa"/>
            <w:tcBorders>
              <w:bottom w:val="single" w:sz="4" w:space="0" w:color="B3B3B3"/>
            </w:tcBorders>
            <w:shd w:val="clear" w:color="000000" w:fill="auto"/>
          </w:tcPr>
          <w:p w14:paraId="4FD6790C" w14:textId="77777777" w:rsidR="00D62F80" w:rsidRPr="00DF4694" w:rsidRDefault="00D62F80">
            <w:pPr>
              <w:pStyle w:val="TableHeading"/>
            </w:pPr>
            <w:r>
              <w:t>Combined</w:t>
            </w:r>
          </w:p>
        </w:tc>
      </w:tr>
      <w:tr w:rsidR="00D62F80" w:rsidRPr="00030C67" w14:paraId="5D6CF6A6" w14:textId="77777777" w:rsidTr="002415BE">
        <w:tc>
          <w:tcPr>
            <w:tcW w:w="1983" w:type="dxa"/>
            <w:shd w:val="clear" w:color="000000" w:fill="F2F2F2"/>
          </w:tcPr>
          <w:p w14:paraId="6823F7F3" w14:textId="1F711092" w:rsidR="00D62F80" w:rsidRPr="006F58BA" w:rsidRDefault="00D62F80">
            <w:pPr>
              <w:pStyle w:val="TableHeading"/>
              <w:rPr>
                <w:rFonts w:ascii="Arial" w:hAnsi="Arial" w:cs="Arial"/>
                <w:szCs w:val="24"/>
              </w:rPr>
            </w:pPr>
            <w:r w:rsidRPr="00F1656B">
              <w:rPr>
                <w:rFonts w:ascii="Arial" w:hAnsi="Arial" w:cs="Arial"/>
                <w:szCs w:val="24"/>
              </w:rPr>
              <w:t>Ginja, Karimi and Xiao</w:t>
            </w:r>
            <w:r>
              <w:rPr>
                <w:rFonts w:ascii="Arial" w:hAnsi="Arial" w:cs="Arial"/>
                <w:szCs w:val="24"/>
              </w:rPr>
              <w:t> </w:t>
            </w:r>
            <w:r w:rsidRPr="00441D72">
              <w:rPr>
                <w:rFonts w:ascii="Arial" w:hAnsi="Arial" w:cs="Arial"/>
              </w:rPr>
              <w:t>(2023)</w:t>
            </w:r>
            <w:r>
              <w:rPr>
                <w:rFonts w:ascii="Arial" w:hAnsi="Arial" w:cs="Arial"/>
                <w:szCs w:val="24"/>
              </w:rPr>
              <w:t>; Sweden, 1989</w:t>
            </w:r>
          </w:p>
        </w:tc>
        <w:tc>
          <w:tcPr>
            <w:tcW w:w="1276" w:type="dxa"/>
            <w:shd w:val="clear" w:color="000000" w:fill="F2F2F2"/>
          </w:tcPr>
          <w:p w14:paraId="46EC14D8" w14:textId="77777777" w:rsidR="00D62F80" w:rsidRDefault="00D62F80">
            <w:pPr>
              <w:pStyle w:val="TableBody"/>
              <w:spacing w:before="45" w:after="45"/>
              <w:ind w:left="0" w:right="108"/>
              <w:rPr>
                <w:rFonts w:ascii="Arial (Body)" w:hAnsi="Arial (Body)"/>
                <w:color w:val="000000"/>
              </w:rPr>
            </w:pPr>
            <w:r>
              <w:rPr>
                <w:rFonts w:ascii="Arial (Body)" w:hAnsi="Arial (Body)"/>
                <w:color w:val="000000"/>
              </w:rPr>
              <w:t>Extension to existing parental leave; median length 2.5 months</w:t>
            </w:r>
          </w:p>
        </w:tc>
        <w:tc>
          <w:tcPr>
            <w:tcW w:w="993" w:type="dxa"/>
            <w:shd w:val="clear" w:color="000000" w:fill="F2F2F2"/>
          </w:tcPr>
          <w:p w14:paraId="69E88E10" w14:textId="77777777" w:rsidR="00D62F80" w:rsidRDefault="00D62F80">
            <w:pPr>
              <w:pStyle w:val="TableBody"/>
              <w:spacing w:before="45" w:after="45"/>
              <w:ind w:right="108"/>
              <w:rPr>
                <w:rFonts w:ascii="Arial (Body)" w:hAnsi="Arial (Body)"/>
                <w:color w:val="000000"/>
              </w:rPr>
            </w:pPr>
            <w:r>
              <w:rPr>
                <w:rFonts w:ascii="Arial (Body)" w:hAnsi="Arial (Body)"/>
                <w:color w:val="000000"/>
              </w:rPr>
              <w:t>High</w:t>
            </w:r>
          </w:p>
        </w:tc>
        <w:tc>
          <w:tcPr>
            <w:tcW w:w="1701" w:type="dxa"/>
            <w:shd w:val="clear" w:color="000000" w:fill="F2F2F2"/>
          </w:tcPr>
          <w:p w14:paraId="199EF5B9" w14:textId="77777777" w:rsidR="00D62F80" w:rsidRDefault="00D62F80">
            <w:pPr>
              <w:pStyle w:val="TableBody"/>
              <w:spacing w:before="45" w:after="45"/>
              <w:ind w:right="108"/>
              <w:rPr>
                <w:rFonts w:ascii="Arial (Body)" w:hAnsi="Arial (Body)"/>
                <w:color w:val="000000"/>
              </w:rPr>
            </w:pPr>
            <w:r>
              <w:rPr>
                <w:rFonts w:ascii="Arial (Body)" w:hAnsi="Arial (Body)"/>
                <w:color w:val="000000"/>
              </w:rPr>
              <w:t>Wage costs increased by equivalent of 20</w:t>
            </w:r>
            <w:r>
              <w:rPr>
                <w:rFonts w:ascii="Arial (Body)" w:hAnsi="Arial (Body)" w:hint="eastAsia"/>
                <w:color w:val="000000"/>
              </w:rPr>
              <w:t> </w:t>
            </w:r>
            <w:r>
              <w:rPr>
                <w:rFonts w:ascii="Arial (Body)" w:hAnsi="Arial (Body)"/>
                <w:color w:val="000000"/>
              </w:rPr>
              <w:t xml:space="preserve">months of a </w:t>
            </w:r>
            <w:proofErr w:type="gramStart"/>
            <w:r>
              <w:rPr>
                <w:rFonts w:ascii="Arial (Body)" w:hAnsi="Arial (Body)"/>
                <w:color w:val="000000"/>
              </w:rPr>
              <w:t>full time</w:t>
            </w:r>
            <w:proofErr w:type="gramEnd"/>
            <w:r>
              <w:rPr>
                <w:rFonts w:ascii="Arial (Body)" w:hAnsi="Arial (Body)"/>
                <w:color w:val="000000"/>
              </w:rPr>
              <w:t xml:space="preserve"> equivalent salary.</w:t>
            </w:r>
          </w:p>
        </w:tc>
        <w:tc>
          <w:tcPr>
            <w:tcW w:w="1843" w:type="dxa"/>
            <w:shd w:val="clear" w:color="000000" w:fill="F2F2F2"/>
          </w:tcPr>
          <w:p w14:paraId="024581FE" w14:textId="77777777" w:rsidR="00D62F80" w:rsidRDefault="00D62F80">
            <w:pPr>
              <w:pStyle w:val="TableBody"/>
              <w:spacing w:before="45" w:after="45"/>
              <w:ind w:right="108"/>
              <w:rPr>
                <w:rFonts w:ascii="Arial (Body)" w:hAnsi="Arial (Body)"/>
                <w:color w:val="000000"/>
              </w:rPr>
            </w:pPr>
            <w:r>
              <w:rPr>
                <w:rFonts w:ascii="Arial (Body)" w:hAnsi="Arial (Body)"/>
                <w:color w:val="000000"/>
              </w:rPr>
              <w:t>Suggestive evidence of decline to sales (measured only for manufacturing firms; 23</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of sample).</w:t>
            </w:r>
          </w:p>
        </w:tc>
        <w:tc>
          <w:tcPr>
            <w:tcW w:w="1843" w:type="dxa"/>
            <w:shd w:val="clear" w:color="000000" w:fill="F2F2F2"/>
          </w:tcPr>
          <w:p w14:paraId="3F98A133" w14:textId="77777777" w:rsidR="00D62F80" w:rsidRDefault="00D62F80">
            <w:pPr>
              <w:pStyle w:val="TableBody"/>
              <w:spacing w:before="45" w:after="45"/>
              <w:ind w:right="108"/>
              <w:rPr>
                <w:rFonts w:ascii="Arial (Body)" w:hAnsi="Arial (Body)"/>
                <w:color w:val="000000"/>
              </w:rPr>
            </w:pPr>
            <w:r>
              <w:rPr>
                <w:rFonts w:ascii="Arial (Body)" w:hAnsi="Arial (Body)"/>
                <w:color w:val="000000"/>
              </w:rPr>
              <w:t>Suggestive evidence of decline to value added (measured only for manufacturing firms; 23</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of sample).</w:t>
            </w:r>
          </w:p>
        </w:tc>
      </w:tr>
      <w:tr w:rsidR="00D62F80" w:rsidRPr="00030C67" w14:paraId="037F6F20" w14:textId="77777777" w:rsidTr="002415BE">
        <w:tc>
          <w:tcPr>
            <w:tcW w:w="1983" w:type="dxa"/>
            <w:shd w:val="clear" w:color="000000" w:fill="F2F2F2"/>
          </w:tcPr>
          <w:p w14:paraId="383F15F9" w14:textId="082173DB" w:rsidR="00D62F80" w:rsidRPr="00F1656B" w:rsidRDefault="00D62F80">
            <w:pPr>
              <w:pStyle w:val="TableHeading"/>
              <w:rPr>
                <w:rFonts w:ascii="Arial" w:hAnsi="Arial" w:cs="Arial"/>
                <w:szCs w:val="24"/>
              </w:rPr>
            </w:pPr>
            <w:r>
              <w:rPr>
                <w:rFonts w:ascii="Arial" w:hAnsi="Arial" w:cs="Arial"/>
                <w:szCs w:val="24"/>
              </w:rPr>
              <w:lastRenderedPageBreak/>
              <w:t>Gallen </w:t>
            </w:r>
            <w:r w:rsidRPr="00626C08">
              <w:rPr>
                <w:rFonts w:ascii="Arial" w:hAnsi="Arial" w:cs="Arial"/>
              </w:rPr>
              <w:t>(2018)</w:t>
            </w:r>
            <w:r>
              <w:rPr>
                <w:rFonts w:ascii="Arial" w:hAnsi="Arial" w:cs="Arial"/>
                <w:szCs w:val="24"/>
              </w:rPr>
              <w:t>; Denmark, 2002</w:t>
            </w:r>
          </w:p>
        </w:tc>
        <w:tc>
          <w:tcPr>
            <w:tcW w:w="1276" w:type="dxa"/>
            <w:shd w:val="clear" w:color="000000" w:fill="F2F2F2"/>
          </w:tcPr>
          <w:p w14:paraId="673AB8DD" w14:textId="77777777" w:rsidR="00D62F80" w:rsidRDefault="00D62F80">
            <w:pPr>
              <w:pStyle w:val="TableBody"/>
              <w:spacing w:before="45" w:after="45"/>
              <w:ind w:left="0" w:right="108"/>
              <w:rPr>
                <w:rFonts w:ascii="Arial (Body)" w:hAnsi="Arial (Body)"/>
                <w:color w:val="000000"/>
              </w:rPr>
            </w:pPr>
            <w:r>
              <w:rPr>
                <w:rFonts w:ascii="Arial (Body)" w:hAnsi="Arial (Body)"/>
                <w:color w:val="000000"/>
              </w:rPr>
              <w:t>Extension to existing parental leave; mean length 1 month</w:t>
            </w:r>
          </w:p>
        </w:tc>
        <w:tc>
          <w:tcPr>
            <w:tcW w:w="993" w:type="dxa"/>
            <w:shd w:val="clear" w:color="000000" w:fill="F2F2F2"/>
          </w:tcPr>
          <w:p w14:paraId="52D2D418" w14:textId="77777777" w:rsidR="00D62F80" w:rsidRDefault="00D62F80">
            <w:pPr>
              <w:pStyle w:val="TableBody"/>
              <w:spacing w:before="45" w:after="45"/>
              <w:ind w:right="108"/>
              <w:rPr>
                <w:rFonts w:ascii="Arial (Body)" w:hAnsi="Arial (Body)"/>
                <w:color w:val="000000"/>
              </w:rPr>
            </w:pPr>
            <w:r>
              <w:rPr>
                <w:rFonts w:ascii="Arial (Body)" w:hAnsi="Arial (Body)"/>
                <w:color w:val="000000"/>
              </w:rPr>
              <w:t>High</w:t>
            </w:r>
          </w:p>
        </w:tc>
        <w:tc>
          <w:tcPr>
            <w:tcW w:w="1701" w:type="dxa"/>
            <w:shd w:val="clear" w:color="000000" w:fill="F2F2F2"/>
          </w:tcPr>
          <w:p w14:paraId="7D1F8670" w14:textId="13CE3FF0" w:rsidR="00D62F80" w:rsidRDefault="00D62F80">
            <w:pPr>
              <w:pStyle w:val="TableBody"/>
              <w:spacing w:before="45" w:after="45"/>
              <w:ind w:right="108"/>
              <w:rPr>
                <w:rFonts w:ascii="Arial (Body)" w:hAnsi="Arial (Body)"/>
                <w:color w:val="000000"/>
              </w:rPr>
            </w:pPr>
            <w:r>
              <w:rPr>
                <w:rFonts w:ascii="Arial (Body)" w:hAnsi="Arial (Body)"/>
                <w:color w:val="000000"/>
              </w:rPr>
              <w:t>No measurable effect on co</w:t>
            </w:r>
            <w:r w:rsidR="00762BAE">
              <w:rPr>
                <w:rFonts w:ascii="Arial (Body)" w:hAnsi="Arial (Body)"/>
                <w:color w:val="000000"/>
              </w:rPr>
              <w:noBreakHyphen/>
            </w:r>
            <w:r>
              <w:rPr>
                <w:rFonts w:ascii="Arial (Body)" w:hAnsi="Arial (Body)"/>
                <w:color w:val="000000"/>
              </w:rPr>
              <w:t>worker wages. Wage costs not otherwise measured.</w:t>
            </w:r>
          </w:p>
        </w:tc>
        <w:tc>
          <w:tcPr>
            <w:tcW w:w="1843" w:type="dxa"/>
            <w:shd w:val="clear" w:color="000000" w:fill="F2F2F2"/>
          </w:tcPr>
          <w:p w14:paraId="3D758234" w14:textId="77777777" w:rsidR="00D62F80" w:rsidRDefault="00D62F80">
            <w:pPr>
              <w:pStyle w:val="TableBody"/>
              <w:spacing w:before="45" w:after="45"/>
              <w:ind w:right="108"/>
              <w:rPr>
                <w:rFonts w:ascii="Arial (Body)" w:hAnsi="Arial (Body)"/>
                <w:color w:val="000000"/>
              </w:rPr>
            </w:pPr>
            <w:r w:rsidDel="005D5E57">
              <w:rPr>
                <w:rFonts w:ascii="Arial (Body)" w:hAnsi="Arial (Body)" w:hint="eastAsia"/>
                <w:color w:val="000000"/>
              </w:rPr>
              <w:t>–</w:t>
            </w:r>
          </w:p>
        </w:tc>
        <w:tc>
          <w:tcPr>
            <w:tcW w:w="1843" w:type="dxa"/>
            <w:shd w:val="clear" w:color="000000" w:fill="F2F2F2"/>
          </w:tcPr>
          <w:p w14:paraId="6010E71F" w14:textId="76738C67" w:rsidR="00D62F80" w:rsidRDefault="00D62F80">
            <w:pPr>
              <w:pStyle w:val="TableBody"/>
              <w:spacing w:before="45" w:after="45"/>
              <w:ind w:right="108"/>
              <w:rPr>
                <w:rFonts w:ascii="Arial (Body)" w:hAnsi="Arial (Body)"/>
                <w:color w:val="000000"/>
              </w:rPr>
            </w:pPr>
            <w:r>
              <w:rPr>
                <w:rFonts w:ascii="Arial (Body)" w:hAnsi="Arial (Body)"/>
                <w:color w:val="000000"/>
              </w:rPr>
              <w:t>Firms with at least one leave</w:t>
            </w:r>
            <w:r w:rsidR="000F6695">
              <w:rPr>
                <w:rFonts w:ascii="Arial (Body)" w:hAnsi="Arial (Body)"/>
                <w:color w:val="000000"/>
              </w:rPr>
              <w:t xml:space="preserve"> </w:t>
            </w:r>
            <w:r>
              <w:rPr>
                <w:rFonts w:ascii="Arial (Body)" w:hAnsi="Arial (Body)"/>
                <w:color w:val="000000"/>
              </w:rPr>
              <w:t>taker were 2</w:t>
            </w:r>
            <w:r>
              <w:rPr>
                <w:rFonts w:ascii="Arial (Body)" w:hAnsi="Arial (Body)" w:hint="eastAsia"/>
                <w:color w:val="000000"/>
              </w:rPr>
              <w:t> </w:t>
            </w:r>
            <w:r>
              <w:rPr>
                <w:rFonts w:ascii="Arial (Body)" w:hAnsi="Arial (Body)"/>
                <w:color w:val="000000"/>
              </w:rPr>
              <w:t>percentage points (7</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 xml:space="preserve">cent) more likely to shut down in </w:t>
            </w:r>
            <w:r w:rsidR="00661E93">
              <w:rPr>
                <w:rFonts w:ascii="Arial (Body)" w:hAnsi="Arial (Body)"/>
                <w:color w:val="000000"/>
              </w:rPr>
              <w:t>the next</w:t>
            </w:r>
            <w:r>
              <w:rPr>
                <w:rFonts w:ascii="Arial (Body)" w:hAnsi="Arial (Body)"/>
                <w:color w:val="000000"/>
              </w:rPr>
              <w:t xml:space="preserve"> 5</w:t>
            </w:r>
            <w:r>
              <w:rPr>
                <w:rFonts w:ascii="Arial (Body)" w:hAnsi="Arial (Body)" w:hint="eastAsia"/>
                <w:color w:val="000000"/>
              </w:rPr>
              <w:t> </w:t>
            </w:r>
            <w:r>
              <w:rPr>
                <w:rFonts w:ascii="Arial (Body)" w:hAnsi="Arial (Body)"/>
                <w:color w:val="000000"/>
              </w:rPr>
              <w:t>years.</w:t>
            </w:r>
          </w:p>
        </w:tc>
      </w:tr>
      <w:tr w:rsidR="00D62F80" w:rsidRPr="00030C67" w14:paraId="2DC8FD2B" w14:textId="77777777" w:rsidTr="002415BE">
        <w:tc>
          <w:tcPr>
            <w:tcW w:w="1983" w:type="dxa"/>
            <w:shd w:val="clear" w:color="000000" w:fill="F2F2F2"/>
          </w:tcPr>
          <w:p w14:paraId="4AD6D074" w14:textId="49385BAE" w:rsidR="00D62F80" w:rsidRPr="00F1656B" w:rsidRDefault="00D62F80">
            <w:pPr>
              <w:pStyle w:val="TableHeading"/>
              <w:rPr>
                <w:rFonts w:ascii="Arial" w:hAnsi="Arial" w:cs="Arial"/>
                <w:szCs w:val="24"/>
              </w:rPr>
            </w:pPr>
            <w:r w:rsidRPr="005B1C46">
              <w:rPr>
                <w:rFonts w:ascii="Arial" w:hAnsi="Arial" w:cs="Arial"/>
                <w:szCs w:val="24"/>
              </w:rPr>
              <w:t>Brenøe et al.</w:t>
            </w:r>
            <w:r>
              <w:rPr>
                <w:rFonts w:ascii="Arial" w:hAnsi="Arial" w:cs="Arial"/>
                <w:szCs w:val="24"/>
              </w:rPr>
              <w:t> </w:t>
            </w:r>
            <w:r w:rsidRPr="008F661E">
              <w:rPr>
                <w:rFonts w:ascii="Arial" w:hAnsi="Arial" w:cs="Arial"/>
              </w:rPr>
              <w:t>(2020)</w:t>
            </w:r>
            <w:r>
              <w:rPr>
                <w:rFonts w:ascii="Arial" w:hAnsi="Arial" w:cs="Arial"/>
                <w:szCs w:val="24"/>
              </w:rPr>
              <w:t>; Denmark, 2001</w:t>
            </w:r>
            <w:r w:rsidR="00661E93">
              <w:rPr>
                <w:rFonts w:ascii="Arial" w:hAnsi="Arial" w:cs="Arial"/>
                <w:szCs w:val="24"/>
              </w:rPr>
              <w:t>–</w:t>
            </w:r>
            <w:r>
              <w:rPr>
                <w:rFonts w:ascii="Arial" w:hAnsi="Arial" w:cs="Arial"/>
                <w:szCs w:val="24"/>
              </w:rPr>
              <w:t>2013</w:t>
            </w:r>
          </w:p>
        </w:tc>
        <w:tc>
          <w:tcPr>
            <w:tcW w:w="1276" w:type="dxa"/>
            <w:shd w:val="clear" w:color="000000" w:fill="F2F2F2"/>
          </w:tcPr>
          <w:p w14:paraId="2E07C3F7" w14:textId="77777777" w:rsidR="00D62F80" w:rsidRDefault="00D62F80">
            <w:pPr>
              <w:pStyle w:val="TableBody"/>
              <w:spacing w:before="45" w:after="45"/>
              <w:ind w:left="0" w:right="108"/>
              <w:rPr>
                <w:rFonts w:ascii="Arial (Body)" w:hAnsi="Arial (Body)"/>
                <w:color w:val="000000"/>
              </w:rPr>
            </w:pPr>
            <w:r>
              <w:rPr>
                <w:rFonts w:ascii="Arial (Body)" w:hAnsi="Arial (Body)"/>
                <w:color w:val="000000"/>
              </w:rPr>
              <w:t>Parental leave, mean length 10</w:t>
            </w:r>
            <w:r>
              <w:rPr>
                <w:rFonts w:ascii="Arial (Body)" w:hAnsi="Arial (Body)" w:hint="eastAsia"/>
                <w:color w:val="000000"/>
              </w:rPr>
              <w:t> </w:t>
            </w:r>
            <w:r>
              <w:rPr>
                <w:rFonts w:ascii="Arial (Body)" w:hAnsi="Arial (Body)"/>
                <w:color w:val="000000"/>
              </w:rPr>
              <w:t>months.</w:t>
            </w:r>
          </w:p>
        </w:tc>
        <w:tc>
          <w:tcPr>
            <w:tcW w:w="993" w:type="dxa"/>
            <w:shd w:val="clear" w:color="000000" w:fill="F2F2F2"/>
          </w:tcPr>
          <w:p w14:paraId="7AF59BB1" w14:textId="77777777" w:rsidR="00D62F80" w:rsidRDefault="00D62F80">
            <w:pPr>
              <w:pStyle w:val="TableBody"/>
              <w:spacing w:before="45" w:after="45"/>
              <w:ind w:right="108"/>
              <w:rPr>
                <w:rFonts w:ascii="Arial (Body)" w:hAnsi="Arial (Body)"/>
                <w:color w:val="000000"/>
              </w:rPr>
            </w:pPr>
            <w:r>
              <w:rPr>
                <w:rFonts w:ascii="Arial (Body)" w:hAnsi="Arial (Body)"/>
                <w:color w:val="000000"/>
              </w:rPr>
              <w:t>High</w:t>
            </w:r>
          </w:p>
        </w:tc>
        <w:tc>
          <w:tcPr>
            <w:tcW w:w="1701" w:type="dxa"/>
            <w:shd w:val="clear" w:color="000000" w:fill="F2F2F2"/>
          </w:tcPr>
          <w:p w14:paraId="3B62C1A6" w14:textId="77777777" w:rsidR="00D62F80" w:rsidRDefault="00D62F80">
            <w:pPr>
              <w:pStyle w:val="TableBody"/>
              <w:spacing w:before="45" w:after="45"/>
              <w:ind w:right="108"/>
              <w:rPr>
                <w:rFonts w:ascii="Arial (Body)" w:hAnsi="Arial (Body)"/>
                <w:color w:val="000000"/>
              </w:rPr>
            </w:pPr>
            <w:r>
              <w:rPr>
                <w:rFonts w:ascii="Arial (Body)" w:hAnsi="Arial (Body)"/>
                <w:color w:val="000000"/>
              </w:rPr>
              <w:t>No measurable effects on wage costs.</w:t>
            </w:r>
          </w:p>
        </w:tc>
        <w:tc>
          <w:tcPr>
            <w:tcW w:w="1843" w:type="dxa"/>
            <w:shd w:val="clear" w:color="000000" w:fill="F2F2F2"/>
          </w:tcPr>
          <w:p w14:paraId="56ABC9F5" w14:textId="77777777" w:rsidR="00D62F80" w:rsidRDefault="00D62F80">
            <w:pPr>
              <w:pStyle w:val="TableBody"/>
              <w:spacing w:before="45" w:after="45"/>
              <w:ind w:right="108"/>
              <w:rPr>
                <w:rFonts w:ascii="Arial (Body)" w:hAnsi="Arial (Body)"/>
                <w:color w:val="000000"/>
              </w:rPr>
            </w:pPr>
            <w:r>
              <w:rPr>
                <w:rFonts w:ascii="Arial (Body)" w:hAnsi="Arial (Body)"/>
                <w:color w:val="000000"/>
              </w:rPr>
              <w:t>No measurable effects on output.</w:t>
            </w:r>
          </w:p>
        </w:tc>
        <w:tc>
          <w:tcPr>
            <w:tcW w:w="1843" w:type="dxa"/>
            <w:shd w:val="clear" w:color="000000" w:fill="F2F2F2"/>
          </w:tcPr>
          <w:p w14:paraId="176F8EE1" w14:textId="77777777" w:rsidR="00D62F80" w:rsidRDefault="00D62F80">
            <w:pPr>
              <w:pStyle w:val="TableBody"/>
              <w:spacing w:before="45" w:after="45"/>
              <w:ind w:right="108"/>
              <w:rPr>
                <w:rFonts w:ascii="Arial (Body)" w:hAnsi="Arial (Body)"/>
                <w:color w:val="000000"/>
              </w:rPr>
            </w:pPr>
            <w:r>
              <w:rPr>
                <w:rFonts w:ascii="Arial (Body)" w:hAnsi="Arial (Body)"/>
                <w:color w:val="000000"/>
              </w:rPr>
              <w:t>No measurable effects on profitability or survival.</w:t>
            </w:r>
          </w:p>
        </w:tc>
      </w:tr>
      <w:tr w:rsidR="00D62F80" w:rsidRPr="00030C67" w14:paraId="44017715" w14:textId="77777777" w:rsidTr="002415BE">
        <w:tc>
          <w:tcPr>
            <w:tcW w:w="1983" w:type="dxa"/>
            <w:shd w:val="clear" w:color="000000" w:fill="F2F2F2"/>
          </w:tcPr>
          <w:p w14:paraId="12A533A4" w14:textId="3CA71235" w:rsidR="00D62F80" w:rsidRDefault="00D62F80">
            <w:pPr>
              <w:pStyle w:val="TableHeading"/>
              <w:rPr>
                <w:rFonts w:ascii="Arial" w:hAnsi="Arial" w:cs="Arial"/>
                <w:szCs w:val="24"/>
              </w:rPr>
            </w:pPr>
            <w:r w:rsidRPr="00685750">
              <w:rPr>
                <w:rFonts w:ascii="Arial" w:hAnsi="Arial" w:cs="Arial"/>
                <w:szCs w:val="24"/>
              </w:rPr>
              <w:t>Bedard and Rossin</w:t>
            </w:r>
            <w:r w:rsidR="00762BAE">
              <w:rPr>
                <w:rFonts w:ascii="Arial" w:hAnsi="Arial" w:cs="Arial"/>
                <w:szCs w:val="24"/>
              </w:rPr>
              <w:noBreakHyphen/>
            </w:r>
            <w:r w:rsidRPr="00685750">
              <w:rPr>
                <w:rFonts w:ascii="Arial" w:hAnsi="Arial" w:cs="Arial"/>
                <w:szCs w:val="24"/>
              </w:rPr>
              <w:t>Slater</w:t>
            </w:r>
            <w:r>
              <w:rPr>
                <w:rFonts w:ascii="Arial" w:hAnsi="Arial" w:cs="Arial"/>
                <w:szCs w:val="24"/>
              </w:rPr>
              <w:t> </w:t>
            </w:r>
            <w:r w:rsidRPr="00B61FFC">
              <w:rPr>
                <w:rFonts w:ascii="Arial" w:hAnsi="Arial" w:cs="Arial"/>
              </w:rPr>
              <w:t>(2016)</w:t>
            </w:r>
            <w:r>
              <w:rPr>
                <w:rFonts w:ascii="Arial" w:hAnsi="Arial" w:cs="Arial"/>
                <w:szCs w:val="24"/>
              </w:rPr>
              <w:t>; California, 2004</w:t>
            </w:r>
            <w:r w:rsidR="00661E93">
              <w:rPr>
                <w:rFonts w:ascii="Arial" w:hAnsi="Arial" w:cs="Arial"/>
                <w:szCs w:val="24"/>
              </w:rPr>
              <w:t>–</w:t>
            </w:r>
            <w:r>
              <w:rPr>
                <w:rFonts w:ascii="Arial" w:hAnsi="Arial" w:cs="Arial"/>
                <w:szCs w:val="24"/>
              </w:rPr>
              <w:t>2014</w:t>
            </w:r>
          </w:p>
        </w:tc>
        <w:tc>
          <w:tcPr>
            <w:tcW w:w="1276" w:type="dxa"/>
            <w:shd w:val="clear" w:color="000000" w:fill="F2F2F2"/>
          </w:tcPr>
          <w:p w14:paraId="66BAC5F6" w14:textId="52D0EFAB" w:rsidR="00D62F80" w:rsidRDefault="00D62F80">
            <w:pPr>
              <w:pStyle w:val="TableBody"/>
              <w:spacing w:before="45" w:after="45"/>
              <w:ind w:left="0" w:right="108"/>
              <w:rPr>
                <w:rFonts w:ascii="Arial (Body)" w:hAnsi="Arial (Body)"/>
                <w:color w:val="000000"/>
              </w:rPr>
            </w:pPr>
            <w:r>
              <w:rPr>
                <w:rFonts w:ascii="Arial (Body)" w:hAnsi="Arial (Body)"/>
                <w:color w:val="000000"/>
              </w:rPr>
              <w:t>Mostly parental leave, mean length 4</w:t>
            </w:r>
            <w:r w:rsidR="00762BAE">
              <w:rPr>
                <w:rFonts w:ascii="Arial (Body)" w:hAnsi="Arial (Body)"/>
                <w:color w:val="000000"/>
              </w:rPr>
              <w:noBreakHyphen/>
            </w:r>
            <w:r>
              <w:rPr>
                <w:rFonts w:ascii="Arial (Body)" w:hAnsi="Arial (Body)"/>
                <w:color w:val="000000"/>
              </w:rPr>
              <w:t>12 weeks.</w:t>
            </w:r>
          </w:p>
        </w:tc>
        <w:tc>
          <w:tcPr>
            <w:tcW w:w="993" w:type="dxa"/>
            <w:shd w:val="clear" w:color="000000" w:fill="F2F2F2"/>
          </w:tcPr>
          <w:p w14:paraId="26494EBA" w14:textId="77777777" w:rsidR="00D62F80" w:rsidRDefault="00D62F80">
            <w:pPr>
              <w:pStyle w:val="TableBody"/>
              <w:spacing w:before="45" w:after="45"/>
              <w:ind w:right="108"/>
              <w:rPr>
                <w:rFonts w:ascii="Arial (Body)" w:hAnsi="Arial (Body)"/>
                <w:color w:val="000000"/>
              </w:rPr>
            </w:pPr>
            <w:r>
              <w:rPr>
                <w:rFonts w:ascii="Arial (Body)" w:hAnsi="Arial (Body)"/>
                <w:color w:val="000000"/>
              </w:rPr>
              <w:t>Moderate</w:t>
            </w:r>
          </w:p>
        </w:tc>
        <w:tc>
          <w:tcPr>
            <w:tcW w:w="1701" w:type="dxa"/>
            <w:shd w:val="clear" w:color="000000" w:fill="F2F2F2"/>
          </w:tcPr>
          <w:p w14:paraId="655DFFAC" w14:textId="77777777" w:rsidR="00D62F80" w:rsidRDefault="00D62F80">
            <w:pPr>
              <w:pStyle w:val="TableBody"/>
              <w:spacing w:before="45" w:after="45"/>
              <w:ind w:right="108"/>
              <w:rPr>
                <w:rFonts w:ascii="Arial (Body)" w:hAnsi="Arial (Body)"/>
                <w:color w:val="000000"/>
              </w:rPr>
            </w:pPr>
            <w:r>
              <w:rPr>
                <w:rFonts w:ascii="Arial (Body)" w:hAnsi="Arial (Body)"/>
                <w:color w:val="000000"/>
              </w:rPr>
              <w:t>Small decrease to wage costs.</w:t>
            </w:r>
          </w:p>
          <w:p w14:paraId="62265BF9" w14:textId="77777777" w:rsidR="00D62F80" w:rsidRDefault="00D62F80">
            <w:pPr>
              <w:pStyle w:val="TableBody"/>
              <w:spacing w:before="45" w:after="45"/>
              <w:ind w:left="0" w:right="108"/>
              <w:rPr>
                <w:rFonts w:ascii="Arial (Body)" w:hAnsi="Arial (Body)"/>
                <w:color w:val="000000"/>
              </w:rPr>
            </w:pPr>
          </w:p>
        </w:tc>
        <w:tc>
          <w:tcPr>
            <w:tcW w:w="1843" w:type="dxa"/>
            <w:shd w:val="clear" w:color="000000" w:fill="F2F2F2"/>
          </w:tcPr>
          <w:p w14:paraId="74A34E46" w14:textId="77777777" w:rsidR="00D62F80" w:rsidRDefault="00D62F80">
            <w:pPr>
              <w:pStyle w:val="TableBody"/>
              <w:spacing w:before="45" w:after="45"/>
              <w:ind w:right="108"/>
              <w:rPr>
                <w:rFonts w:ascii="Arial (Body)" w:hAnsi="Arial (Body)"/>
                <w:color w:val="000000"/>
              </w:rPr>
            </w:pPr>
            <w:r w:rsidDel="005D5E57">
              <w:rPr>
                <w:rFonts w:ascii="Arial (Body)" w:hAnsi="Arial (Body)" w:hint="eastAsia"/>
                <w:color w:val="000000"/>
              </w:rPr>
              <w:t>–</w:t>
            </w:r>
          </w:p>
        </w:tc>
        <w:tc>
          <w:tcPr>
            <w:tcW w:w="1843" w:type="dxa"/>
            <w:shd w:val="clear" w:color="000000" w:fill="F2F2F2"/>
          </w:tcPr>
          <w:p w14:paraId="37FEC612" w14:textId="77777777" w:rsidR="00D62F80" w:rsidRDefault="00D62F80">
            <w:pPr>
              <w:pStyle w:val="TableBody"/>
              <w:spacing w:before="45" w:after="45"/>
              <w:ind w:right="108"/>
              <w:rPr>
                <w:rFonts w:ascii="Arial (Body)" w:hAnsi="Arial (Body)"/>
                <w:color w:val="000000"/>
              </w:rPr>
            </w:pPr>
            <w:r w:rsidDel="005D5E57">
              <w:rPr>
                <w:rFonts w:ascii="Arial (Body)" w:hAnsi="Arial (Body)" w:hint="eastAsia"/>
                <w:color w:val="000000"/>
              </w:rPr>
              <w:t>–</w:t>
            </w:r>
          </w:p>
        </w:tc>
      </w:tr>
      <w:tr w:rsidR="00D62F80" w:rsidRPr="00030C67" w14:paraId="35A16DBF" w14:textId="77777777" w:rsidTr="002415BE">
        <w:tc>
          <w:tcPr>
            <w:tcW w:w="1983" w:type="dxa"/>
            <w:shd w:val="clear" w:color="000000" w:fill="F2F2F2"/>
          </w:tcPr>
          <w:p w14:paraId="0742329B" w14:textId="537BC9BC" w:rsidR="00D62F80" w:rsidRDefault="00D62F80">
            <w:pPr>
              <w:pStyle w:val="TableHeading"/>
              <w:rPr>
                <w:rFonts w:ascii="Arial" w:hAnsi="Arial" w:cs="Arial"/>
                <w:szCs w:val="24"/>
              </w:rPr>
            </w:pPr>
            <w:r w:rsidRPr="00CD3270">
              <w:rPr>
                <w:rFonts w:ascii="Arial" w:hAnsi="Arial" w:cs="Arial"/>
                <w:szCs w:val="24"/>
              </w:rPr>
              <w:t>Appelbaum and Milkman</w:t>
            </w:r>
            <w:r>
              <w:t xml:space="preserve"> </w:t>
            </w:r>
            <w:r w:rsidRPr="00D650AB">
              <w:rPr>
                <w:rFonts w:ascii="Arial" w:hAnsi="Arial" w:cs="Arial"/>
              </w:rPr>
              <w:t>(2011)</w:t>
            </w:r>
            <w:r>
              <w:t>; California, 2009</w:t>
            </w:r>
          </w:p>
        </w:tc>
        <w:tc>
          <w:tcPr>
            <w:tcW w:w="1276" w:type="dxa"/>
            <w:shd w:val="clear" w:color="000000" w:fill="F2F2F2"/>
          </w:tcPr>
          <w:p w14:paraId="119C0CD9" w14:textId="4497D6F0" w:rsidR="00D62F80" w:rsidRDefault="00D62F80">
            <w:pPr>
              <w:pStyle w:val="TableBody"/>
              <w:spacing w:before="45" w:after="45"/>
              <w:ind w:left="0" w:right="108"/>
              <w:rPr>
                <w:rFonts w:ascii="Arial (Body)" w:hAnsi="Arial (Body)"/>
                <w:color w:val="000000"/>
              </w:rPr>
            </w:pPr>
            <w:r>
              <w:rPr>
                <w:rFonts w:ascii="Arial (Body)" w:hAnsi="Arial (Body)"/>
                <w:color w:val="000000"/>
              </w:rPr>
              <w:t xml:space="preserve">As per </w:t>
            </w:r>
            <w:r w:rsidRPr="00685750">
              <w:rPr>
                <w:rFonts w:ascii="Arial" w:hAnsi="Arial" w:cs="Arial"/>
                <w:szCs w:val="24"/>
              </w:rPr>
              <w:t>Bedard and Rossin</w:t>
            </w:r>
            <w:r w:rsidR="00762BAE">
              <w:rPr>
                <w:rFonts w:ascii="Arial" w:hAnsi="Arial" w:cs="Arial"/>
                <w:szCs w:val="24"/>
              </w:rPr>
              <w:noBreakHyphen/>
            </w:r>
            <w:r w:rsidRPr="00685750">
              <w:rPr>
                <w:rFonts w:ascii="Arial" w:hAnsi="Arial" w:cs="Arial"/>
                <w:szCs w:val="24"/>
              </w:rPr>
              <w:t>Slater</w:t>
            </w:r>
            <w:r>
              <w:rPr>
                <w:rFonts w:ascii="Arial" w:hAnsi="Arial" w:cs="Arial"/>
                <w:szCs w:val="24"/>
              </w:rPr>
              <w:t> </w:t>
            </w:r>
            <w:r w:rsidRPr="00B61FFC">
              <w:rPr>
                <w:rFonts w:ascii="Arial" w:hAnsi="Arial" w:cs="Arial"/>
              </w:rPr>
              <w:t>(2016)</w:t>
            </w:r>
          </w:p>
        </w:tc>
        <w:tc>
          <w:tcPr>
            <w:tcW w:w="993" w:type="dxa"/>
            <w:shd w:val="clear" w:color="000000" w:fill="F2F2F2"/>
          </w:tcPr>
          <w:p w14:paraId="2AA59E93" w14:textId="77777777" w:rsidR="00D62F80" w:rsidRDefault="00D62F80">
            <w:pPr>
              <w:pStyle w:val="TableBody"/>
              <w:spacing w:before="45" w:after="45"/>
              <w:ind w:right="108"/>
              <w:rPr>
                <w:rFonts w:ascii="Arial (Body)" w:hAnsi="Arial (Body)"/>
                <w:color w:val="000000"/>
              </w:rPr>
            </w:pPr>
            <w:r>
              <w:rPr>
                <w:rFonts w:ascii="Arial (Body)" w:hAnsi="Arial (Body)"/>
                <w:color w:val="000000"/>
              </w:rPr>
              <w:t>Low</w:t>
            </w:r>
          </w:p>
        </w:tc>
        <w:tc>
          <w:tcPr>
            <w:tcW w:w="1701" w:type="dxa"/>
            <w:shd w:val="clear" w:color="000000" w:fill="F2F2F2"/>
          </w:tcPr>
          <w:p w14:paraId="2EC13AA8" w14:textId="77777777" w:rsidR="00D62F80" w:rsidRPr="000A2589" w:rsidRDefault="00D62F80">
            <w:pPr>
              <w:pStyle w:val="TableBody"/>
              <w:spacing w:before="45" w:after="45"/>
              <w:ind w:right="108"/>
              <w:rPr>
                <w:rFonts w:ascii="Arial (Body)" w:hAnsi="Arial (Body)"/>
                <w:color w:val="000000"/>
                <w:vertAlign w:val="superscript"/>
              </w:rPr>
            </w:pPr>
            <w:r w:rsidDel="005D5E57">
              <w:rPr>
                <w:rFonts w:ascii="Arial (Body)" w:hAnsi="Arial (Body)" w:hint="eastAsia"/>
                <w:color w:val="000000"/>
              </w:rPr>
              <w:t>–</w:t>
            </w:r>
            <w:r w:rsidRPr="005301C0">
              <w:rPr>
                <w:b/>
                <w:bCs/>
                <w:position w:val="6"/>
              </w:rPr>
              <w:t>a</w:t>
            </w:r>
          </w:p>
        </w:tc>
        <w:tc>
          <w:tcPr>
            <w:tcW w:w="1843" w:type="dxa"/>
            <w:shd w:val="clear" w:color="000000" w:fill="F2F2F2"/>
          </w:tcPr>
          <w:p w14:paraId="45F3FCEC" w14:textId="77777777" w:rsidR="00D62F80" w:rsidRDefault="00D62F80">
            <w:pPr>
              <w:pStyle w:val="TableBody"/>
              <w:spacing w:before="45" w:after="45"/>
              <w:ind w:right="108"/>
              <w:rPr>
                <w:rFonts w:ascii="Arial (Body)" w:hAnsi="Arial (Body)"/>
                <w:color w:val="000000"/>
              </w:rPr>
            </w:pPr>
            <w:r>
              <w:rPr>
                <w:rFonts w:ascii="Arial (Body)" w:hAnsi="Arial (Body)"/>
                <w:color w:val="000000"/>
              </w:rPr>
              <w:t>89</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of firms reported productivity not worse</w:t>
            </w:r>
          </w:p>
        </w:tc>
        <w:tc>
          <w:tcPr>
            <w:tcW w:w="1843" w:type="dxa"/>
            <w:shd w:val="clear" w:color="000000" w:fill="F2F2F2"/>
          </w:tcPr>
          <w:p w14:paraId="3C3AC4EC" w14:textId="77777777" w:rsidR="00D62F80" w:rsidRPr="00A60412" w:rsidRDefault="00D62F80">
            <w:pPr>
              <w:pStyle w:val="TableBody"/>
              <w:spacing w:before="45" w:after="45"/>
              <w:ind w:right="108"/>
              <w:rPr>
                <w:rFonts w:ascii="Arial (Body)" w:hAnsi="Arial (Body)"/>
                <w:color w:val="000000"/>
                <w:vertAlign w:val="superscript"/>
              </w:rPr>
            </w:pPr>
            <w:r w:rsidDel="005D5E57">
              <w:rPr>
                <w:rFonts w:ascii="Arial (Body)" w:hAnsi="Arial (Body)" w:hint="eastAsia"/>
                <w:color w:val="000000"/>
              </w:rPr>
              <w:t>–</w:t>
            </w:r>
            <w:r w:rsidRPr="005301C0">
              <w:rPr>
                <w:b/>
                <w:bCs/>
                <w:position w:val="6"/>
              </w:rPr>
              <w:t>a</w:t>
            </w:r>
          </w:p>
        </w:tc>
      </w:tr>
    </w:tbl>
    <w:p w14:paraId="0CFC1454" w14:textId="3CEFD9F3" w:rsidR="00D62F80" w:rsidRDefault="00D62F80" w:rsidP="00D62F80">
      <w:pPr>
        <w:pStyle w:val="Note"/>
      </w:pPr>
      <w:r w:rsidRPr="00C36914">
        <w:rPr>
          <w:b/>
          <w:bCs/>
        </w:rPr>
        <w:t>a</w:t>
      </w:r>
      <w:r w:rsidRPr="00C36914">
        <w:t xml:space="preserve"> </w:t>
      </w:r>
      <w:r>
        <w:t xml:space="preserve">Study included findings about wage costs and profitability, but these are not reported here </w:t>
      </w:r>
      <w:r w:rsidR="000F6695">
        <w:t>because</w:t>
      </w:r>
      <w:r>
        <w:t xml:space="preserve"> </w:t>
      </w:r>
      <w:r>
        <w:rPr>
          <w:rFonts w:ascii="Arial (Body)" w:hAnsi="Arial (Body)"/>
          <w:color w:val="000000"/>
        </w:rPr>
        <w:t>up to 60</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of employers used the program to substitute for employer</w:t>
      </w:r>
      <w:r w:rsidR="00762BAE">
        <w:rPr>
          <w:rFonts w:ascii="Arial (Body)" w:hAnsi="Arial (Body)"/>
          <w:color w:val="000000"/>
        </w:rPr>
        <w:noBreakHyphen/>
      </w:r>
      <w:r>
        <w:rPr>
          <w:rFonts w:ascii="Arial (Body)" w:hAnsi="Arial (Body)"/>
          <w:color w:val="000000"/>
        </w:rPr>
        <w:t>funded paid leave and benefits which may have substantially confounded the effects of leave</w:t>
      </w:r>
      <w:r w:rsidR="00762BAE">
        <w:rPr>
          <w:rFonts w:ascii="Arial (Body)" w:hAnsi="Arial (Body)"/>
          <w:color w:val="000000"/>
        </w:rPr>
        <w:noBreakHyphen/>
      </w:r>
      <w:r>
        <w:rPr>
          <w:rFonts w:ascii="Arial (Body)" w:hAnsi="Arial (Body)"/>
          <w:color w:val="000000"/>
        </w:rPr>
        <w:t>taking</w:t>
      </w:r>
      <w:r w:rsidDel="00500B2E">
        <w:rPr>
          <w:rFonts w:ascii="Arial (Body)" w:hAnsi="Arial (Body)"/>
          <w:color w:val="000000"/>
        </w:rPr>
        <w:t>.</w:t>
      </w:r>
    </w:p>
    <w:p w14:paraId="2DFF9E55" w14:textId="729CE0AB" w:rsidR="00C05BBD" w:rsidRDefault="00C05BBD" w:rsidP="00C05BBD">
      <w:pPr>
        <w:pStyle w:val="Heading3"/>
      </w:pPr>
      <w:r>
        <w:t>Summing up</w:t>
      </w:r>
    </w:p>
    <w:p w14:paraId="29DF8456" w14:textId="79259786" w:rsidR="00FE60AF" w:rsidRPr="009C650E" w:rsidRDefault="00E45768" w:rsidP="00FE60AF">
      <w:pPr>
        <w:pStyle w:val="BodyText"/>
        <w:keepLines/>
      </w:pPr>
      <w:r w:rsidRPr="009C650E">
        <w:t>The</w:t>
      </w:r>
      <w:r w:rsidR="00C05BBD" w:rsidRPr="009C650E">
        <w:t xml:space="preserve"> </w:t>
      </w:r>
      <w:r w:rsidR="00FE60AF" w:rsidRPr="009C650E">
        <w:t xml:space="preserve">entitlement would impose costs on employers. </w:t>
      </w:r>
      <w:r w:rsidR="00835723" w:rsidRPr="009C650E">
        <w:t xml:space="preserve">Employers would either replace employees on leave and incur additional wage, hiring and </w:t>
      </w:r>
      <w:r w:rsidR="00FE60AF" w:rsidRPr="009C650E">
        <w:t xml:space="preserve">training costs </w:t>
      </w:r>
      <w:r w:rsidR="00F407F5" w:rsidRPr="009C650E">
        <w:t xml:space="preserve">or not replace them and lose output. Disruption and replacements’ inexperience </w:t>
      </w:r>
      <w:r w:rsidR="00750903" w:rsidRPr="009C650E">
        <w:t xml:space="preserve">could also lead to decreased productivity, </w:t>
      </w:r>
      <w:r w:rsidR="00FE60AF" w:rsidRPr="009C650E">
        <w:t xml:space="preserve">at least temporarily. The costs would be lower for employers of entitlement users who would </w:t>
      </w:r>
      <w:r w:rsidR="002F4CC3" w:rsidRPr="009C650E">
        <w:t xml:space="preserve">instead </w:t>
      </w:r>
      <w:r w:rsidR="00FE60AF" w:rsidRPr="009C650E">
        <w:t>have quit their job</w:t>
      </w:r>
      <w:r w:rsidR="00B55B2E" w:rsidRPr="009C650E">
        <w:t xml:space="preserve"> if the entitlement were not available </w:t>
      </w:r>
      <w:r w:rsidR="00FE60AF" w:rsidRPr="009C650E">
        <w:t>(about half of all users), as they would still incur hiring and training costs replacing the employee in the absence of the entitlement.</w:t>
      </w:r>
    </w:p>
    <w:p w14:paraId="048258DA" w14:textId="615F95E4" w:rsidR="00FE60AF" w:rsidRDefault="00FE60AF" w:rsidP="00FE60AF">
      <w:pPr>
        <w:pStyle w:val="BodyText"/>
        <w:rPr>
          <w:rFonts w:ascii="Arial" w:hAnsi="Arial" w:cs="Arial"/>
          <w:szCs w:val="24"/>
        </w:rPr>
      </w:pPr>
      <w:r>
        <w:t xml:space="preserve">Evidence on these costs is patchy because employers respond in different ways and measures of profitability are usually incomplete. </w:t>
      </w:r>
      <w:r w:rsidR="009F0E7E">
        <w:t>The findings from s</w:t>
      </w:r>
      <w:r w:rsidR="009F0FA8">
        <w:t xml:space="preserve">tudies looking at the costs of </w:t>
      </w:r>
      <w:r>
        <w:t>parental leave entitlements overseas</w:t>
      </w:r>
      <w:r w:rsidR="009F0E7E">
        <w:t xml:space="preserve"> are mixed, </w:t>
      </w:r>
      <w:r>
        <w:t>but those that are more applicable to the present context find evidence of material costs for employers.</w:t>
      </w:r>
    </w:p>
    <w:p w14:paraId="0D4B9605" w14:textId="26092BE6" w:rsidR="002C22E3" w:rsidRDefault="002C22E3" w:rsidP="002C22E3">
      <w:pPr>
        <w:pStyle w:val="BodyText"/>
        <w:rPr>
          <w:rFonts w:ascii="Arial" w:hAnsi="Arial" w:cs="Arial"/>
          <w:szCs w:val="24"/>
        </w:rPr>
      </w:pPr>
      <w:r>
        <w:t>A further proviso is that the evidence summarised in table 1 is mostly relative to a counterfactual scenario of the leave taker continuing in their job, whereas we expect that about half of entitlement users would quit their job if the entitlement were not available (supporting paper 1).</w:t>
      </w:r>
      <w:r w:rsidRPr="0014405F">
        <w:rPr>
          <w:rStyle w:val="FootnoteReference"/>
        </w:rPr>
        <w:footnoteReference w:id="9"/>
      </w:r>
      <w:r>
        <w:t xml:space="preserve"> As such, on a per</w:t>
      </w:r>
      <w:r>
        <w:noBreakHyphen/>
        <w:t>entitlement</w:t>
      </w:r>
      <w:r>
        <w:noBreakHyphen/>
        <w:t xml:space="preserve">user basis, the </w:t>
      </w:r>
      <w:r>
        <w:lastRenderedPageBreak/>
        <w:t>costs to employers would be — on average — reduce</w:t>
      </w:r>
      <w:r w:rsidR="003F0C5B">
        <w:t>d</w:t>
      </w:r>
      <w:r>
        <w:t xml:space="preserve"> by half of the cost of hiring and training an additional ongoing employee (mostly upfront costs) to around 85 per cent of a full time employee’s annual pay for two years. In contrast, a literature survey by Manning </w:t>
      </w:r>
      <w:r w:rsidRPr="005D6AD3">
        <w:rPr>
          <w:rFonts w:ascii="Arial" w:hAnsi="Arial" w:cs="Arial"/>
          <w:szCs w:val="24"/>
        </w:rPr>
        <w:t>(2010, p. 62)</w:t>
      </w:r>
      <w:r>
        <w:t xml:space="preserve"> reported the cost of hiring and training an additional ongoing employee to be 3–13 per cent of annual pay</w:t>
      </w:r>
      <w:r>
        <w:rPr>
          <w:rFonts w:ascii="Arial" w:hAnsi="Arial" w:cs="Arial"/>
          <w:szCs w:val="24"/>
        </w:rPr>
        <w:t>.</w:t>
      </w:r>
    </w:p>
    <w:p w14:paraId="10225616" w14:textId="4E9CC0D7" w:rsidR="00030C66" w:rsidRDefault="00030C66" w:rsidP="00030C66">
      <w:pPr>
        <w:pStyle w:val="Heading2-nonumber"/>
      </w:pPr>
      <w:r>
        <w:t>4.</w:t>
      </w:r>
      <w:r>
        <w:tab/>
      </w:r>
      <w:r w:rsidR="00CB10CA">
        <w:t xml:space="preserve">Fiscal </w:t>
      </w:r>
      <w:r w:rsidR="00A81372">
        <w:t>effects</w:t>
      </w:r>
      <w:r w:rsidR="00CB10CA">
        <w:t xml:space="preserve"> (</w:t>
      </w:r>
      <w:r w:rsidR="00CB10CA" w:rsidDel="00EE6D89">
        <w:t xml:space="preserve">the </w:t>
      </w:r>
      <w:r w:rsidR="00CB10CA">
        <w:t>c</w:t>
      </w:r>
      <w:r>
        <w:t>osts and benefits to taxpayers</w:t>
      </w:r>
      <w:r w:rsidR="00CB10CA">
        <w:t>)</w:t>
      </w:r>
    </w:p>
    <w:p w14:paraId="4C6C1D75" w14:textId="5C7D0200" w:rsidR="00BC33FC" w:rsidRDefault="00DE39F0" w:rsidP="00BC33FC">
      <w:pPr>
        <w:pStyle w:val="BodyText"/>
      </w:pPr>
      <w:r>
        <w:t>The</w:t>
      </w:r>
      <w:r w:rsidR="000F0BF2" w:rsidDel="001D6C6F">
        <w:t xml:space="preserve"> entitlement to extended unpaid carer leave</w:t>
      </w:r>
      <w:r w:rsidR="000F0BF2">
        <w:t xml:space="preserve"> would also impose costs and benefits on taxpayers. </w:t>
      </w:r>
      <w:r w:rsidR="000C5CFF">
        <w:t>These impacts would differ between those who would, in the absence of the entitlement, remai</w:t>
      </w:r>
      <w:r w:rsidR="00B022E9">
        <w:t>n</w:t>
      </w:r>
      <w:r w:rsidR="000C5CFF">
        <w:t xml:space="preserve"> in paid work and those who would cease paid work (figure 2)</w:t>
      </w:r>
      <w:r w:rsidR="00BC33FC">
        <w:t>.</w:t>
      </w:r>
    </w:p>
    <w:p w14:paraId="372684E3" w14:textId="5C3ECD33" w:rsidR="00A622AF" w:rsidRDefault="00A622AF" w:rsidP="00A622AF">
      <w:pPr>
        <w:pStyle w:val="BodyText"/>
      </w:pPr>
      <w:r>
        <w:t>Entitlement users who would remain in paid work in the absence of the entitlemen</w:t>
      </w:r>
      <w:r w:rsidDel="004E2E1C">
        <w:t xml:space="preserve">t </w:t>
      </w:r>
      <w:r>
        <w:t>would temporarily cease paid work to provide more informal care. This would:</w:t>
      </w:r>
    </w:p>
    <w:p w14:paraId="5BC4B741" w14:textId="7A32C33B" w:rsidR="00A622AF" w:rsidRDefault="00A622AF" w:rsidP="00A622AF">
      <w:pPr>
        <w:pStyle w:val="ListBullet"/>
        <w:tabs>
          <w:tab w:val="num" w:pos="284"/>
        </w:tabs>
        <w:ind w:left="284" w:hanging="284"/>
      </w:pPr>
      <w:r>
        <w:t>reduce income tax receipts</w:t>
      </w:r>
      <w:r w:rsidR="008904CF">
        <w:t xml:space="preserve"> (a fiscal cost)</w:t>
      </w:r>
      <w:r>
        <w:t>, as they would undertake less paid work</w:t>
      </w:r>
    </w:p>
    <w:p w14:paraId="24B71AB2" w14:textId="0B8B16C4" w:rsidR="00A622AF" w:rsidRDefault="00A622AF" w:rsidP="00A622AF">
      <w:pPr>
        <w:pStyle w:val="ListBullet"/>
        <w:tabs>
          <w:tab w:val="num" w:pos="284"/>
        </w:tabs>
        <w:ind w:left="284" w:hanging="284"/>
      </w:pPr>
      <w:r>
        <w:t>increase social security spending</w:t>
      </w:r>
      <w:r w:rsidR="008904CF">
        <w:t xml:space="preserve"> (a fiscal cost)</w:t>
      </w:r>
      <w:r>
        <w:t>, as some would become eligible for the Carer Payment</w:t>
      </w:r>
    </w:p>
    <w:p w14:paraId="1F87EF97" w14:textId="27055152" w:rsidR="00A622AF" w:rsidRDefault="004C0754" w:rsidP="00A622AF">
      <w:pPr>
        <w:pStyle w:val="ListBullet"/>
        <w:tabs>
          <w:tab w:val="num" w:pos="284"/>
        </w:tabs>
        <w:ind w:left="284" w:hanging="284"/>
      </w:pPr>
      <w:r>
        <w:t>reduce</w:t>
      </w:r>
      <w:r w:rsidR="00A622AF">
        <w:t xml:space="preserve"> the pressure on subsidised formal aged care and health</w:t>
      </w:r>
      <w:r w:rsidR="00E613F5">
        <w:t xml:space="preserve"> </w:t>
      </w:r>
      <w:r w:rsidR="00A622AF">
        <w:t>care (a fiscal benefit), as informal care slightly substitutes for these services</w:t>
      </w:r>
      <w:r w:rsidR="002F4335">
        <w:t>.</w:t>
      </w:r>
    </w:p>
    <w:p w14:paraId="3CFF2DED" w14:textId="1BC1701E" w:rsidR="00A622AF" w:rsidRDefault="00A622AF" w:rsidP="00A622AF">
      <w:pPr>
        <w:pStyle w:val="BodyText"/>
      </w:pPr>
      <w:r>
        <w:t xml:space="preserve">And some entitlement users who would </w:t>
      </w:r>
      <w:r w:rsidR="00EE50B2">
        <w:t>quit their job</w:t>
      </w:r>
      <w:r>
        <w:t xml:space="preserve"> in the absence of the entitlement would exercise their right to return and return to work faster than they otherwise would (if at all). This would:</w:t>
      </w:r>
    </w:p>
    <w:p w14:paraId="2491AE2C" w14:textId="7195A6CF" w:rsidR="00A622AF" w:rsidRDefault="00A622AF" w:rsidP="00A622AF">
      <w:pPr>
        <w:pStyle w:val="ListBullet"/>
        <w:tabs>
          <w:tab w:val="num" w:pos="284"/>
        </w:tabs>
        <w:ind w:left="284" w:hanging="284"/>
      </w:pPr>
      <w:r>
        <w:t>increase income tax receipts</w:t>
      </w:r>
      <w:r w:rsidR="00495619">
        <w:t xml:space="preserve"> (a fiscal benefit)</w:t>
      </w:r>
      <w:r>
        <w:t>, as they would undertake more paid work</w:t>
      </w:r>
    </w:p>
    <w:p w14:paraId="03D395FF" w14:textId="2EFD10C2" w:rsidR="00A622AF" w:rsidRDefault="00A622AF" w:rsidP="00A622AF">
      <w:pPr>
        <w:pStyle w:val="ListBullet"/>
        <w:tabs>
          <w:tab w:val="num" w:pos="284"/>
        </w:tabs>
        <w:ind w:left="284" w:hanging="284"/>
      </w:pPr>
      <w:r>
        <w:t>reduce social security spending</w:t>
      </w:r>
      <w:r w:rsidR="00495619">
        <w:t xml:space="preserve"> (a fiscal benefit)</w:t>
      </w:r>
      <w:r>
        <w:t>, as they would spend less time on the Carer Payment</w:t>
      </w:r>
      <w:r w:rsidR="00D62F80" w:rsidRPr="00475148">
        <w:t xml:space="preserve">, </w:t>
      </w:r>
      <w:r w:rsidR="00D62F80" w:rsidRPr="00475148">
        <w:rPr>
          <w:rFonts w:eastAsia="Times New Roman"/>
        </w:rPr>
        <w:t>Carer Allowance,</w:t>
      </w:r>
      <w:r w:rsidRPr="00475148">
        <w:rPr>
          <w:rFonts w:eastAsia="Times New Roman"/>
        </w:rPr>
        <w:t xml:space="preserve"> </w:t>
      </w:r>
      <w:proofErr w:type="spellStart"/>
      <w:r>
        <w:t>JobSeeker</w:t>
      </w:r>
      <w:proofErr w:type="spellEnd"/>
      <w:r>
        <w:t xml:space="preserve"> payment</w:t>
      </w:r>
      <w:r w:rsidR="00D62F80" w:rsidRPr="00475148">
        <w:rPr>
          <w:rFonts w:eastAsia="Times New Roman"/>
        </w:rPr>
        <w:t xml:space="preserve"> and associated supplements</w:t>
      </w:r>
    </w:p>
    <w:p w14:paraId="5C020BAE" w14:textId="120D908E" w:rsidR="00646AFE" w:rsidRDefault="00646AFE" w:rsidP="00A622AF">
      <w:pPr>
        <w:pStyle w:val="ListBullet"/>
        <w:tabs>
          <w:tab w:val="num" w:pos="284"/>
        </w:tabs>
        <w:ind w:left="284" w:hanging="284"/>
      </w:pPr>
      <w:r>
        <w:t xml:space="preserve">possibly slightly increase the pressure on </w:t>
      </w:r>
      <w:r w:rsidR="001F6EFF">
        <w:t>subsidised formal aged care and health</w:t>
      </w:r>
      <w:r w:rsidR="00E613F5">
        <w:t xml:space="preserve"> </w:t>
      </w:r>
      <w:r w:rsidR="001F6EFF">
        <w:t>care</w:t>
      </w:r>
      <w:r w:rsidR="00495619">
        <w:t xml:space="preserve"> (a fiscal cost</w:t>
      </w:r>
      <w:r w:rsidR="005E225A">
        <w:t>), a</w:t>
      </w:r>
      <w:r w:rsidR="0064081F">
        <w:t xml:space="preserve">s some would be induced to reduce </w:t>
      </w:r>
      <w:r w:rsidR="00982404">
        <w:t xml:space="preserve">their caring load if they </w:t>
      </w:r>
      <w:r w:rsidR="00AF37B5">
        <w:t>had the option of returning to work.</w:t>
      </w:r>
      <w:r w:rsidR="002C64CA">
        <w:t xml:space="preserve"> </w:t>
      </w:r>
      <w:r w:rsidR="00385DA0">
        <w:t xml:space="preserve">This effect is more </w:t>
      </w:r>
      <w:proofErr w:type="gramStart"/>
      <w:r w:rsidR="00385DA0">
        <w:t>speculative</w:t>
      </w:r>
      <w:proofErr w:type="gramEnd"/>
      <w:r w:rsidR="00385DA0">
        <w:t xml:space="preserve"> and w</w:t>
      </w:r>
      <w:r w:rsidR="002C64CA">
        <w:t>e have not estimated</w:t>
      </w:r>
      <w:r w:rsidR="00385DA0">
        <w:t xml:space="preserve"> its size.</w:t>
      </w:r>
    </w:p>
    <w:p w14:paraId="02638E9D" w14:textId="38CA849B" w:rsidR="002E54D1" w:rsidRPr="00146382" w:rsidRDefault="002E54D1" w:rsidP="002E54D1">
      <w:pPr>
        <w:pStyle w:val="FigureTableHeading"/>
      </w:pPr>
      <w:r>
        <w:lastRenderedPageBreak/>
        <w:t>Figure</w:t>
      </w:r>
      <w:r w:rsidR="007D60A9">
        <w:t> </w:t>
      </w:r>
      <w:fldSimple w:instr=" SEQ Figure \* ARABIC \s 1 ">
        <w:r w:rsidR="00634153">
          <w:rPr>
            <w:noProof/>
          </w:rPr>
          <w:t>2</w:t>
        </w:r>
      </w:fldSimple>
      <w:r>
        <w:rPr>
          <w:noProof/>
        </w:rPr>
        <w:t xml:space="preserve"> </w:t>
      </w:r>
      <w:r>
        <w:t xml:space="preserve">– </w:t>
      </w:r>
      <w:r w:rsidR="00E343AF">
        <w:t xml:space="preserve">The </w:t>
      </w:r>
      <w:r w:rsidR="00FD20B3">
        <w:t xml:space="preserve">fiscal effects of </w:t>
      </w:r>
      <w:r w:rsidR="00E343AF">
        <w:t xml:space="preserve">an </w:t>
      </w:r>
      <w:r>
        <w:t>entitlement</w:t>
      </w:r>
    </w:p>
    <w:p w14:paraId="7B2E731D" w14:textId="77777777" w:rsidR="00D62F80" w:rsidRPr="00AE463C" w:rsidRDefault="00D62F80" w:rsidP="00D62F80">
      <w:pPr>
        <w:pStyle w:val="BodyText"/>
        <w:spacing w:after="240"/>
      </w:pPr>
      <w:r w:rsidRPr="00481A17">
        <w:rPr>
          <w:noProof/>
        </w:rPr>
        <w:drawing>
          <wp:inline distT="0" distB="0" distL="0" distR="0" wp14:anchorId="34F8F0BC" wp14:editId="4D382AD2">
            <wp:extent cx="6120000" cy="3123478"/>
            <wp:effectExtent l="0" t="0" r="0" b="1270"/>
            <wp:docPr id="45" name="Picture 45" descr="Flow chart of the 2 groups of entitlement users and the fiscal effects of their entitlement use.  &#10;&#10;The fiscal impacts of leave taking for those who would have otherwise remained in paid work are fewer income tax receipts, more social security payments and savings on health and aged care subsidies.  &#10;&#10;The fiscal impacts of leave taking for those who would have otherwise ceased paid work are more income tax receipts, fewer social security payments and a negligible effect on health care and aged care subsid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Flow chart of the 2 groups of entitlement users and the fiscal effects of their entitlement use.  &#10;&#10;The fiscal impacts of leave taking for those who would have otherwise remained in paid work are fewer income tax receipts, more social security payments and savings on health and aged care subsidies.  &#10;&#10;The fiscal impacts of leave taking for those who would have otherwise ceased paid work are more income tax receipts, fewer social security payments and a negligible effect on health care and aged care subsidie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000" cy="3123478"/>
                    </a:xfrm>
                    <a:prstGeom prst="rect">
                      <a:avLst/>
                    </a:prstGeom>
                    <a:noFill/>
                    <a:ln>
                      <a:noFill/>
                    </a:ln>
                  </pic:spPr>
                </pic:pic>
              </a:graphicData>
            </a:graphic>
          </wp:inline>
        </w:drawing>
      </w:r>
    </w:p>
    <w:p w14:paraId="40030B0F" w14:textId="1EAA5A1B" w:rsidR="00D62F80" w:rsidRDefault="00D62F80" w:rsidP="00D62F80">
      <w:pPr>
        <w:pStyle w:val="BodyText"/>
      </w:pPr>
      <w:r>
        <w:t>Using 2018</w:t>
      </w:r>
      <w:r w:rsidR="00762BAE">
        <w:noBreakHyphen/>
      </w:r>
      <w:r>
        <w:t>19 incomes, income tax scales, social security payment rates and aged care and healthcare subsidies,</w:t>
      </w:r>
      <w:r w:rsidRPr="00BE59F4">
        <w:rPr>
          <w:rStyle w:val="FootnoteReference"/>
        </w:rPr>
        <w:footnoteReference w:id="10"/>
      </w:r>
      <w:r>
        <w:t xml:space="preserve"> we estimated the size of each of these effects </w:t>
      </w:r>
      <w:proofErr w:type="gramStart"/>
      <w:r>
        <w:t>assuming that</w:t>
      </w:r>
      <w:proofErr w:type="gramEnd"/>
      <w:r>
        <w:t xml:space="preserve"> the entitlement had existed at that time (table 2).</w:t>
      </w:r>
      <w:r w:rsidRPr="00BE59F4">
        <w:rPr>
          <w:rStyle w:val="FootnoteReference"/>
        </w:rPr>
        <w:footnoteReference w:id="11"/>
      </w:r>
      <w:r>
        <w:t xml:space="preserve"> The calculations giving rise to these estimates are explained in detail, below.</w:t>
      </w:r>
    </w:p>
    <w:p w14:paraId="7A380140" w14:textId="293362E3" w:rsidR="00206277" w:rsidRDefault="00206277" w:rsidP="00206277">
      <w:pPr>
        <w:pStyle w:val="FigureTableHeading"/>
      </w:pPr>
      <w:r>
        <w:t>Table</w:t>
      </w:r>
      <w:r w:rsidR="007D60A9">
        <w:t> </w:t>
      </w:r>
      <w:fldSimple w:instr=" SEQ Table \* ARABIC \s 1 ">
        <w:r w:rsidR="00634153">
          <w:rPr>
            <w:noProof/>
          </w:rPr>
          <w:t>2</w:t>
        </w:r>
      </w:fldSimple>
      <w:r>
        <w:rPr>
          <w:noProof/>
        </w:rPr>
        <w:t xml:space="preserve"> – Components of </w:t>
      </w:r>
      <w:r>
        <w:t xml:space="preserve">fiscal </w:t>
      </w:r>
      <w:r w:rsidR="005127A4">
        <w:t xml:space="preserve">effect </w:t>
      </w:r>
      <w:r>
        <w:t>of an entitlement to extended unpaid carer leave</w:t>
      </w:r>
    </w:p>
    <w:p w14:paraId="5194DD39" w14:textId="6CE1B65C" w:rsidR="00206277" w:rsidRDefault="00206277" w:rsidP="00206277">
      <w:pPr>
        <w:pStyle w:val="FigureTableSubheading"/>
      </w:pPr>
      <w:r>
        <w:t>2018</w:t>
      </w:r>
      <w:r w:rsidR="00762BAE">
        <w:noBreakHyphen/>
      </w:r>
      <w:r>
        <w:t>19</w:t>
      </w:r>
    </w:p>
    <w:tbl>
      <w:tblPr>
        <w:tblW w:w="9637"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2694"/>
        <w:gridCol w:w="5526"/>
        <w:gridCol w:w="1417"/>
      </w:tblGrid>
      <w:tr w:rsidR="00D62F80" w:rsidRPr="00030C67" w14:paraId="2522C9FB" w14:textId="77777777" w:rsidTr="000F3A43">
        <w:trPr>
          <w:tblHeader/>
        </w:trPr>
        <w:tc>
          <w:tcPr>
            <w:tcW w:w="2694" w:type="dxa"/>
            <w:tcBorders>
              <w:bottom w:val="single" w:sz="4" w:space="0" w:color="B3B3B3"/>
            </w:tcBorders>
            <w:shd w:val="clear" w:color="000000" w:fill="auto"/>
            <w:vAlign w:val="bottom"/>
          </w:tcPr>
          <w:p w14:paraId="6BCF7437" w14:textId="77777777" w:rsidR="00D62F80" w:rsidRPr="00030C67" w:rsidRDefault="00D62F80">
            <w:pPr>
              <w:spacing w:before="45" w:after="45"/>
              <w:ind w:right="108"/>
              <w:rPr>
                <w:rFonts w:ascii="Arial (Body)" w:hAnsi="Arial (Body)"/>
                <w:color w:val="265A9A"/>
              </w:rPr>
            </w:pPr>
          </w:p>
        </w:tc>
        <w:tc>
          <w:tcPr>
            <w:tcW w:w="5526" w:type="dxa"/>
            <w:tcBorders>
              <w:bottom w:val="single" w:sz="4" w:space="0" w:color="B3B3B3"/>
            </w:tcBorders>
            <w:shd w:val="clear" w:color="000000" w:fill="auto"/>
            <w:vAlign w:val="bottom"/>
          </w:tcPr>
          <w:p w14:paraId="10AA615D" w14:textId="77777777" w:rsidR="00D62F80" w:rsidRPr="00030C67" w:rsidRDefault="00D62F80">
            <w:pPr>
              <w:pStyle w:val="TableHeading"/>
            </w:pPr>
            <w:r>
              <w:t>Component</w:t>
            </w:r>
          </w:p>
        </w:tc>
        <w:tc>
          <w:tcPr>
            <w:tcW w:w="1417" w:type="dxa"/>
            <w:tcBorders>
              <w:bottom w:val="single" w:sz="4" w:space="0" w:color="B3B3B3"/>
            </w:tcBorders>
            <w:shd w:val="clear" w:color="000000" w:fill="auto"/>
            <w:vAlign w:val="bottom"/>
          </w:tcPr>
          <w:p w14:paraId="7365D82A" w14:textId="77777777" w:rsidR="00D62F80" w:rsidRPr="00030C67" w:rsidRDefault="00D62F80">
            <w:pPr>
              <w:pStyle w:val="TableHeading"/>
              <w:jc w:val="right"/>
            </w:pPr>
            <w:r>
              <w:t>Estimate</w:t>
            </w:r>
          </w:p>
        </w:tc>
      </w:tr>
      <w:tr w:rsidR="00D62F80" w:rsidRPr="00030C67" w14:paraId="6F5C2D8A" w14:textId="77777777" w:rsidTr="000F3A43">
        <w:tc>
          <w:tcPr>
            <w:tcW w:w="2694" w:type="dxa"/>
            <w:vMerge w:val="restart"/>
            <w:tcBorders>
              <w:top w:val="single" w:sz="4" w:space="0" w:color="B3B3B3"/>
              <w:bottom w:val="nil"/>
            </w:tcBorders>
            <w:shd w:val="clear" w:color="auto" w:fill="auto"/>
          </w:tcPr>
          <w:p w14:paraId="42AB6C70" w14:textId="77777777" w:rsidR="00D62F80" w:rsidRPr="00030C67" w:rsidRDefault="00D62F80">
            <w:pPr>
              <w:pStyle w:val="TableHeading"/>
            </w:pPr>
            <w:r>
              <w:t>Entitlement users who would otherwise have continued in paid work</w:t>
            </w:r>
          </w:p>
        </w:tc>
        <w:tc>
          <w:tcPr>
            <w:tcW w:w="5526" w:type="dxa"/>
            <w:tcBorders>
              <w:top w:val="single" w:sz="4" w:space="0" w:color="B3B3B3"/>
              <w:bottom w:val="nil"/>
            </w:tcBorders>
            <w:shd w:val="clear" w:color="000000" w:fill="F2F2F2"/>
          </w:tcPr>
          <w:p w14:paraId="456BDEC0" w14:textId="77777777" w:rsidR="00D62F80" w:rsidRPr="00030C67" w:rsidRDefault="00D62F80">
            <w:pPr>
              <w:pStyle w:val="TableBody"/>
              <w:spacing w:before="45" w:after="45"/>
              <w:ind w:right="108"/>
              <w:rPr>
                <w:rFonts w:ascii="Arial (Body)" w:hAnsi="Arial (Body)"/>
                <w:color w:val="000000"/>
              </w:rPr>
            </w:pPr>
            <w:r>
              <w:rPr>
                <w:rFonts w:ascii="Arial (Body)" w:hAnsi="Arial (Body)"/>
                <w:color w:val="000000"/>
              </w:rPr>
              <w:t xml:space="preserve">Decreased income tax receipts </w:t>
            </w:r>
            <w:r w:rsidDel="00756F36">
              <w:rPr>
                <w:rFonts w:ascii="Arial (Body)" w:hAnsi="Arial (Body)"/>
                <w:color w:val="000000"/>
              </w:rPr>
              <w:t xml:space="preserve">per </w:t>
            </w:r>
            <w:r>
              <w:rPr>
                <w:rFonts w:ascii="Arial (Body)" w:hAnsi="Arial (Body)"/>
                <w:color w:val="000000"/>
              </w:rPr>
              <w:t>entitlement user who would otherwise have continued in paid work per year of leave taken</w:t>
            </w:r>
          </w:p>
        </w:tc>
        <w:tc>
          <w:tcPr>
            <w:tcW w:w="1417" w:type="dxa"/>
            <w:tcBorders>
              <w:top w:val="single" w:sz="4" w:space="0" w:color="B3B3B3"/>
              <w:bottom w:val="nil"/>
            </w:tcBorders>
            <w:shd w:val="clear" w:color="000000" w:fill="F2F2F2"/>
          </w:tcPr>
          <w:p w14:paraId="564D5253" w14:textId="512742A9" w:rsidR="00D62F80" w:rsidRPr="00030C67" w:rsidRDefault="00762BAE">
            <w:pPr>
              <w:pStyle w:val="TableBody"/>
              <w:spacing w:before="45" w:after="45"/>
              <w:ind w:right="108"/>
              <w:jc w:val="right"/>
              <w:rPr>
                <w:rFonts w:ascii="Arial (Body)" w:hAnsi="Arial (Body)"/>
                <w:color w:val="000000"/>
              </w:rPr>
            </w:pPr>
            <w:r>
              <w:rPr>
                <w:rFonts w:ascii="Arial (Body)" w:hAnsi="Arial (Body)"/>
                <w:color w:val="000000"/>
              </w:rPr>
              <w:noBreakHyphen/>
            </w:r>
            <w:r w:rsidR="00D62F80">
              <w:rPr>
                <w:rFonts w:ascii="Arial (Body)" w:hAnsi="Arial (Body)"/>
                <w:color w:val="000000"/>
              </w:rPr>
              <w:t>$18</w:t>
            </w:r>
            <w:r w:rsidR="00D62F80">
              <w:rPr>
                <w:rFonts w:ascii="Arial (Body)" w:hAnsi="Arial (Body)" w:hint="eastAsia"/>
                <w:color w:val="000000"/>
              </w:rPr>
              <w:t> </w:t>
            </w:r>
            <w:r w:rsidR="00D62F80">
              <w:rPr>
                <w:rFonts w:ascii="Arial (Body)" w:hAnsi="Arial (Body)"/>
                <w:color w:val="000000"/>
              </w:rPr>
              <w:t>000</w:t>
            </w:r>
          </w:p>
        </w:tc>
      </w:tr>
      <w:tr w:rsidR="00D62F80" w:rsidRPr="00030C67" w14:paraId="27D11DC9" w14:textId="77777777" w:rsidTr="000F3A43">
        <w:tc>
          <w:tcPr>
            <w:tcW w:w="2694" w:type="dxa"/>
            <w:vMerge/>
            <w:tcBorders>
              <w:bottom w:val="nil"/>
            </w:tcBorders>
            <w:shd w:val="clear" w:color="auto" w:fill="auto"/>
          </w:tcPr>
          <w:p w14:paraId="3E4BFCD8" w14:textId="77777777" w:rsidR="00D62F80" w:rsidRPr="00030C67" w:rsidRDefault="00D62F80">
            <w:pPr>
              <w:pStyle w:val="TableHeading"/>
            </w:pPr>
          </w:p>
        </w:tc>
        <w:tc>
          <w:tcPr>
            <w:tcW w:w="5526" w:type="dxa"/>
            <w:tcBorders>
              <w:top w:val="nil"/>
              <w:bottom w:val="nil"/>
            </w:tcBorders>
            <w:shd w:val="clear" w:color="000000" w:fill="auto"/>
          </w:tcPr>
          <w:p w14:paraId="042FD219" w14:textId="77777777" w:rsidR="00D62F80" w:rsidRPr="00030C67" w:rsidRDefault="00D62F80">
            <w:pPr>
              <w:pStyle w:val="TableBody"/>
              <w:spacing w:before="45" w:after="45"/>
              <w:ind w:right="108"/>
              <w:rPr>
                <w:rFonts w:ascii="Arial (Body)" w:hAnsi="Arial (Body)"/>
                <w:color w:val="000000"/>
              </w:rPr>
            </w:pPr>
            <w:r>
              <w:rPr>
                <w:rFonts w:ascii="Arial (Body)" w:hAnsi="Arial (Body)"/>
                <w:color w:val="000000"/>
              </w:rPr>
              <w:t xml:space="preserve">Increased social security payments per entitlement user who would otherwise have continued in paid work per year of leave </w:t>
            </w:r>
            <w:r w:rsidDel="005A05FA">
              <w:rPr>
                <w:rFonts w:ascii="Arial (Body)" w:hAnsi="Arial (Body)"/>
                <w:color w:val="000000"/>
              </w:rPr>
              <w:t>taken</w:t>
            </w:r>
          </w:p>
        </w:tc>
        <w:tc>
          <w:tcPr>
            <w:tcW w:w="1417" w:type="dxa"/>
            <w:tcBorders>
              <w:top w:val="nil"/>
              <w:bottom w:val="nil"/>
            </w:tcBorders>
            <w:shd w:val="clear" w:color="000000" w:fill="auto"/>
          </w:tcPr>
          <w:p w14:paraId="399BC493" w14:textId="13F57D0F" w:rsidR="00D62F80" w:rsidRPr="00030C67" w:rsidRDefault="00762BAE">
            <w:pPr>
              <w:pStyle w:val="TableBody"/>
              <w:spacing w:before="45" w:after="45"/>
              <w:ind w:right="108"/>
              <w:jc w:val="right"/>
              <w:rPr>
                <w:rFonts w:ascii="Arial (Body)" w:hAnsi="Arial (Body)"/>
                <w:color w:val="000000"/>
              </w:rPr>
            </w:pPr>
            <w:r>
              <w:rPr>
                <w:rFonts w:ascii="Arial (Body)" w:hAnsi="Arial (Body)"/>
                <w:color w:val="000000"/>
              </w:rPr>
              <w:noBreakHyphen/>
            </w:r>
            <w:r w:rsidR="00D62F80">
              <w:rPr>
                <w:rFonts w:ascii="Arial (Body)" w:hAnsi="Arial (Body)"/>
                <w:color w:val="000000"/>
              </w:rPr>
              <w:t>$6900</w:t>
            </w:r>
          </w:p>
        </w:tc>
      </w:tr>
      <w:tr w:rsidR="00D62F80" w:rsidRPr="00030C67" w14:paraId="4BF28061" w14:textId="77777777" w:rsidTr="000F3A43">
        <w:tc>
          <w:tcPr>
            <w:tcW w:w="2694" w:type="dxa"/>
            <w:vMerge/>
            <w:tcBorders>
              <w:bottom w:val="nil"/>
            </w:tcBorders>
            <w:shd w:val="clear" w:color="auto" w:fill="auto"/>
          </w:tcPr>
          <w:p w14:paraId="1C706E74" w14:textId="77777777" w:rsidR="00D62F80" w:rsidRPr="00030C67" w:rsidRDefault="00D62F80">
            <w:pPr>
              <w:pStyle w:val="TableHeading"/>
            </w:pPr>
          </w:p>
        </w:tc>
        <w:tc>
          <w:tcPr>
            <w:tcW w:w="5526" w:type="dxa"/>
            <w:shd w:val="clear" w:color="000000" w:fill="F2F2F2"/>
          </w:tcPr>
          <w:p w14:paraId="204A2817" w14:textId="77777777" w:rsidR="00D62F80" w:rsidRPr="00030C67" w:rsidRDefault="00D62F80">
            <w:pPr>
              <w:pStyle w:val="TableBody"/>
              <w:spacing w:before="45" w:after="45"/>
              <w:ind w:right="108"/>
              <w:rPr>
                <w:rFonts w:ascii="Arial (Body)" w:hAnsi="Arial (Body)"/>
                <w:color w:val="000000"/>
              </w:rPr>
            </w:pPr>
            <w:r>
              <w:rPr>
                <w:rFonts w:ascii="Arial (Body)" w:hAnsi="Arial (Body)"/>
                <w:color w:val="000000"/>
              </w:rPr>
              <w:t xml:space="preserve">Decreased aged care subsidies per entitlement user who would otherwise have continued in paid work per year of leave </w:t>
            </w:r>
            <w:r w:rsidDel="005A05FA">
              <w:rPr>
                <w:rFonts w:ascii="Arial (Body)" w:hAnsi="Arial (Body)"/>
                <w:color w:val="000000"/>
              </w:rPr>
              <w:t>taken</w:t>
            </w:r>
          </w:p>
        </w:tc>
        <w:tc>
          <w:tcPr>
            <w:tcW w:w="1417" w:type="dxa"/>
            <w:shd w:val="clear" w:color="000000" w:fill="F2F2F2"/>
          </w:tcPr>
          <w:p w14:paraId="57F0CCED" w14:textId="77777777" w:rsidR="00D62F80" w:rsidRPr="00030C67" w:rsidRDefault="00D62F80">
            <w:pPr>
              <w:pStyle w:val="TableBody"/>
              <w:spacing w:before="45" w:after="45"/>
              <w:ind w:right="108"/>
              <w:jc w:val="right"/>
              <w:rPr>
                <w:rFonts w:ascii="Arial (Body)" w:hAnsi="Arial (Body)"/>
                <w:color w:val="000000"/>
              </w:rPr>
            </w:pPr>
            <w:r>
              <w:rPr>
                <w:rFonts w:ascii="Arial (Body)" w:hAnsi="Arial (Body)"/>
                <w:color w:val="000000"/>
              </w:rPr>
              <w:t>$1700</w:t>
            </w:r>
          </w:p>
        </w:tc>
      </w:tr>
      <w:tr w:rsidR="00D62F80" w:rsidRPr="00030C67" w14:paraId="2061C55F" w14:textId="77777777" w:rsidTr="000F3A43">
        <w:tc>
          <w:tcPr>
            <w:tcW w:w="2694" w:type="dxa"/>
            <w:vMerge/>
            <w:tcBorders>
              <w:bottom w:val="nil"/>
            </w:tcBorders>
            <w:shd w:val="clear" w:color="auto" w:fill="auto"/>
          </w:tcPr>
          <w:p w14:paraId="3133F2BD" w14:textId="77777777" w:rsidR="00D62F80" w:rsidRPr="005C436D" w:rsidRDefault="00D62F80">
            <w:pPr>
              <w:pStyle w:val="TableHeading"/>
            </w:pPr>
          </w:p>
        </w:tc>
        <w:tc>
          <w:tcPr>
            <w:tcW w:w="5526" w:type="dxa"/>
            <w:shd w:val="clear" w:color="auto" w:fill="auto"/>
          </w:tcPr>
          <w:p w14:paraId="30F40CE9" w14:textId="77777777" w:rsidR="00D62F80" w:rsidRPr="005C436D" w:rsidRDefault="00D62F80">
            <w:pPr>
              <w:pStyle w:val="TableBody"/>
              <w:spacing w:before="45" w:after="45"/>
              <w:ind w:right="108"/>
              <w:rPr>
                <w:rFonts w:ascii="Arial (Body)" w:hAnsi="Arial (Body)"/>
                <w:color w:val="000000"/>
              </w:rPr>
            </w:pPr>
            <w:r w:rsidRPr="005C436D">
              <w:rPr>
                <w:rFonts w:ascii="Arial (Body)" w:hAnsi="Arial (Body)"/>
                <w:color w:val="000000"/>
              </w:rPr>
              <w:t xml:space="preserve">Decreased healthcare subsidies per entitlement user who would otherwise have continued in paid work per year of leave </w:t>
            </w:r>
            <w:r w:rsidRPr="005C436D" w:rsidDel="005A05FA">
              <w:rPr>
                <w:rFonts w:ascii="Arial (Body)" w:hAnsi="Arial (Body)"/>
                <w:color w:val="000000"/>
              </w:rPr>
              <w:t>taken</w:t>
            </w:r>
          </w:p>
        </w:tc>
        <w:tc>
          <w:tcPr>
            <w:tcW w:w="1417" w:type="dxa"/>
            <w:shd w:val="clear" w:color="auto" w:fill="auto"/>
          </w:tcPr>
          <w:p w14:paraId="1DA00EBA" w14:textId="77777777" w:rsidR="00D62F80" w:rsidRPr="005C436D" w:rsidRDefault="00D62F80">
            <w:pPr>
              <w:pStyle w:val="TableBody"/>
              <w:spacing w:before="45" w:after="45"/>
              <w:ind w:right="108"/>
              <w:jc w:val="right"/>
              <w:rPr>
                <w:rFonts w:ascii="Arial (Body)" w:hAnsi="Arial (Body)"/>
                <w:color w:val="000000"/>
              </w:rPr>
            </w:pPr>
            <w:r w:rsidRPr="005C436D">
              <w:rPr>
                <w:rFonts w:ascii="Arial (Body)" w:hAnsi="Arial (Body)"/>
                <w:color w:val="000000"/>
              </w:rPr>
              <w:t>$1000</w:t>
            </w:r>
          </w:p>
        </w:tc>
      </w:tr>
      <w:tr w:rsidR="00D62F80" w:rsidRPr="00030C67" w14:paraId="6C1126F9" w14:textId="77777777" w:rsidTr="000F3A43">
        <w:tc>
          <w:tcPr>
            <w:tcW w:w="2694" w:type="dxa"/>
            <w:vMerge w:val="restart"/>
            <w:tcBorders>
              <w:top w:val="nil"/>
            </w:tcBorders>
            <w:shd w:val="clear" w:color="000000" w:fill="F2F2F2"/>
          </w:tcPr>
          <w:p w14:paraId="61DD9225" w14:textId="77777777" w:rsidR="00D62F80" w:rsidRPr="00030C67" w:rsidRDefault="00D62F80">
            <w:pPr>
              <w:pStyle w:val="TableHeading"/>
            </w:pPr>
            <w:r>
              <w:t xml:space="preserve">Entitlement users who would otherwise have quit their job </w:t>
            </w:r>
          </w:p>
        </w:tc>
        <w:tc>
          <w:tcPr>
            <w:tcW w:w="5526" w:type="dxa"/>
            <w:shd w:val="clear" w:color="000000" w:fill="F2F2F2"/>
          </w:tcPr>
          <w:p w14:paraId="0C3C7DF8" w14:textId="77777777" w:rsidR="00D62F80" w:rsidRDefault="00D62F80">
            <w:pPr>
              <w:pStyle w:val="TableBody"/>
              <w:spacing w:before="45" w:after="45"/>
              <w:ind w:right="108"/>
              <w:rPr>
                <w:rFonts w:ascii="Arial (Body)" w:hAnsi="Arial (Body)"/>
                <w:color w:val="000000"/>
              </w:rPr>
            </w:pPr>
            <w:r>
              <w:rPr>
                <w:rFonts w:ascii="Arial (Body)" w:hAnsi="Arial (Body)"/>
                <w:color w:val="000000"/>
              </w:rPr>
              <w:t>Increased income tax receipts per entitlement user who would otherwise have quit their job</w:t>
            </w:r>
          </w:p>
        </w:tc>
        <w:tc>
          <w:tcPr>
            <w:tcW w:w="1417" w:type="dxa"/>
            <w:shd w:val="clear" w:color="000000" w:fill="F2F2F2"/>
          </w:tcPr>
          <w:p w14:paraId="07B9557C"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$1300</w:t>
            </w:r>
          </w:p>
        </w:tc>
      </w:tr>
      <w:tr w:rsidR="00D62F80" w:rsidRPr="00030C67" w14:paraId="646F848C" w14:textId="77777777" w:rsidTr="000F3A43">
        <w:tc>
          <w:tcPr>
            <w:tcW w:w="2694" w:type="dxa"/>
            <w:vMerge/>
            <w:shd w:val="clear" w:color="auto" w:fill="auto"/>
          </w:tcPr>
          <w:p w14:paraId="69110FBF" w14:textId="77777777" w:rsidR="00D62F80" w:rsidRPr="00030C67" w:rsidRDefault="00D62F80">
            <w:pPr>
              <w:pStyle w:val="TableHeading"/>
            </w:pPr>
          </w:p>
        </w:tc>
        <w:tc>
          <w:tcPr>
            <w:tcW w:w="5526" w:type="dxa"/>
            <w:shd w:val="clear" w:color="auto" w:fill="auto"/>
          </w:tcPr>
          <w:p w14:paraId="4E9604CD" w14:textId="77777777" w:rsidR="00D62F80" w:rsidRDefault="00D62F80">
            <w:pPr>
              <w:pStyle w:val="TableBody"/>
              <w:spacing w:before="45" w:after="45"/>
              <w:ind w:right="108"/>
              <w:rPr>
                <w:rFonts w:ascii="Arial (Body)" w:hAnsi="Arial (Body)"/>
                <w:color w:val="000000"/>
              </w:rPr>
            </w:pPr>
            <w:r>
              <w:rPr>
                <w:rFonts w:ascii="Arial (Body)" w:hAnsi="Arial (Body)"/>
                <w:color w:val="000000"/>
              </w:rPr>
              <w:t>Decreased income social security payments per entitlement user who would otherwise have quit their job</w:t>
            </w:r>
          </w:p>
        </w:tc>
        <w:tc>
          <w:tcPr>
            <w:tcW w:w="1417" w:type="dxa"/>
            <w:shd w:val="clear" w:color="auto" w:fill="auto"/>
          </w:tcPr>
          <w:p w14:paraId="6C431452"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$900</w:t>
            </w:r>
          </w:p>
        </w:tc>
      </w:tr>
    </w:tbl>
    <w:p w14:paraId="3858F72F" w14:textId="02F86282" w:rsidR="002A306E" w:rsidRDefault="00A17A6C" w:rsidP="002A306E">
      <w:pPr>
        <w:pStyle w:val="BodyText"/>
      </w:pPr>
      <w:r>
        <w:lastRenderedPageBreak/>
        <w:t xml:space="preserve">And using the </w:t>
      </w:r>
      <w:r w:rsidR="00206277">
        <w:t xml:space="preserve">estimates from table 2, </w:t>
      </w:r>
      <w:r w:rsidR="00890761">
        <w:t xml:space="preserve">we estimated </w:t>
      </w:r>
      <w:r w:rsidR="002C6BBF">
        <w:t>t</w:t>
      </w:r>
      <w:r w:rsidR="00206277">
        <w:t xml:space="preserve">he overall fiscal </w:t>
      </w:r>
      <w:r w:rsidR="005127A4">
        <w:t xml:space="preserve">effect </w:t>
      </w:r>
      <w:r w:rsidR="00206277">
        <w:t>under 1</w:t>
      </w:r>
      <w:r w:rsidR="001843A4">
        <w:t>2</w:t>
      </w:r>
      <w:r w:rsidR="00206277">
        <w:t xml:space="preserve"> </w:t>
      </w:r>
      <w:r w:rsidR="0050541F">
        <w:t xml:space="preserve">plausible sets of assumptions </w:t>
      </w:r>
      <w:r w:rsidR="00206277">
        <w:t>(</w:t>
      </w:r>
      <w:r w:rsidR="0050541F">
        <w:t>table 3</w:t>
      </w:r>
      <w:r w:rsidR="00206277">
        <w:t>).</w:t>
      </w:r>
      <w:r w:rsidR="00985073">
        <w:t xml:space="preserve"> </w:t>
      </w:r>
      <w:r w:rsidR="002A306E">
        <w:t>The assumptions relate to:</w:t>
      </w:r>
    </w:p>
    <w:p w14:paraId="749A6A27" w14:textId="5C10BA9A" w:rsidR="00E87C19" w:rsidRPr="005E2BD4" w:rsidRDefault="00971397" w:rsidP="00753854">
      <w:pPr>
        <w:pStyle w:val="ListBullet"/>
      </w:pPr>
      <w:r>
        <w:t>T</w:t>
      </w:r>
      <w:r w:rsidR="002A306E" w:rsidRPr="005E2BD4">
        <w:t xml:space="preserve">he average </w:t>
      </w:r>
      <w:r w:rsidR="00324BCB" w:rsidRPr="005E2BD4">
        <w:t xml:space="preserve">duration </w:t>
      </w:r>
      <w:r w:rsidR="002A306E" w:rsidRPr="005E2BD4">
        <w:t xml:space="preserve">of </w:t>
      </w:r>
      <w:r w:rsidR="00285F85" w:rsidRPr="005E2BD4">
        <w:t xml:space="preserve">the leave that would have been taken by </w:t>
      </w:r>
      <w:r w:rsidR="0036231F" w:rsidRPr="005E2BD4">
        <w:t xml:space="preserve">those who remained in paid work </w:t>
      </w:r>
      <w:r w:rsidR="009F5BD0" w:rsidRPr="005E2BD4">
        <w:t>but would have used the entitlement</w:t>
      </w:r>
      <w:r w:rsidR="00F44BCB" w:rsidRPr="005E2BD4">
        <w:t xml:space="preserve"> if it were available</w:t>
      </w:r>
      <w:r w:rsidR="00400466" w:rsidRPr="00753854">
        <w:t xml:space="preserve">. </w:t>
      </w:r>
      <w:r w:rsidR="0035786B" w:rsidRPr="00753854">
        <w:t xml:space="preserve">Experience </w:t>
      </w:r>
      <w:r w:rsidR="0035786B" w:rsidRPr="005E2BD4">
        <w:t>from</w:t>
      </w:r>
      <w:r w:rsidR="002A306E" w:rsidRPr="005E2BD4">
        <w:t xml:space="preserve"> countries with extended unpaid carer leave entitlements suggests 2–3 months</w:t>
      </w:r>
      <w:r w:rsidR="005570A4">
        <w:t>.</w:t>
      </w:r>
      <w:r w:rsidR="00186039" w:rsidRPr="005E2BD4">
        <w:t xml:space="preserve"> We have modelled </w:t>
      </w:r>
      <w:r w:rsidR="00952C1E" w:rsidRPr="005E2BD4">
        <w:t xml:space="preserve">the effect of a </w:t>
      </w:r>
      <w:proofErr w:type="gramStart"/>
      <w:r w:rsidR="00952C1E" w:rsidRPr="005E2BD4">
        <w:t>3 month</w:t>
      </w:r>
      <w:proofErr w:type="gramEnd"/>
      <w:r w:rsidR="00952C1E" w:rsidRPr="005E2BD4">
        <w:t xml:space="preserve"> average duration</w:t>
      </w:r>
      <w:r w:rsidR="003A092E" w:rsidRPr="005E2BD4">
        <w:t xml:space="preserve"> (</w:t>
      </w:r>
      <w:r w:rsidR="00E2544A" w:rsidRPr="005E2BD4">
        <w:t>an underestimate, as this is minimum allowed</w:t>
      </w:r>
      <w:r w:rsidR="003A092E" w:rsidRPr="005E2BD4">
        <w:t>)</w:t>
      </w:r>
      <w:r w:rsidR="00952C1E" w:rsidRPr="005E2BD4">
        <w:t xml:space="preserve"> and a 6 month average duration</w:t>
      </w:r>
      <w:r w:rsidR="003A092E" w:rsidRPr="005E2BD4">
        <w:t xml:space="preserve"> (probably an overestimate</w:t>
      </w:r>
      <w:r w:rsidR="00E2544A" w:rsidRPr="005E2BD4">
        <w:t>, given the evidence from abroad</w:t>
      </w:r>
      <w:r w:rsidR="003A092E" w:rsidRPr="005E2BD4">
        <w:t>).</w:t>
      </w:r>
    </w:p>
    <w:p w14:paraId="19938FE6" w14:textId="39777E8A" w:rsidR="002A306E" w:rsidRPr="005E2BD4" w:rsidRDefault="00971397" w:rsidP="00753854">
      <w:pPr>
        <w:pStyle w:val="ListBullet"/>
      </w:pPr>
      <w:r>
        <w:t>A</w:t>
      </w:r>
      <w:r w:rsidR="002F3E52" w:rsidRPr="005E2BD4">
        <w:t>mong</w:t>
      </w:r>
      <w:r w:rsidR="008E2F0A" w:rsidRPr="005E2BD4">
        <w:t xml:space="preserve"> </w:t>
      </w:r>
      <w:r w:rsidR="009F5ADA" w:rsidRPr="005E2BD4">
        <w:t>those who would have used the entitlement if it were available</w:t>
      </w:r>
      <w:r w:rsidR="002F3E52" w:rsidRPr="005E2BD4">
        <w:t xml:space="preserve">, the ratio of the number of </w:t>
      </w:r>
      <w:r w:rsidR="003E35B3" w:rsidRPr="005E2BD4">
        <w:t>people who continued in t</w:t>
      </w:r>
      <w:r w:rsidR="00991599" w:rsidRPr="005E2BD4">
        <w:t>heir job</w:t>
      </w:r>
      <w:r w:rsidR="003E35B3" w:rsidRPr="005E2BD4">
        <w:t xml:space="preserve"> to the number of people who quit their job</w:t>
      </w:r>
      <w:r w:rsidR="002A306E" w:rsidRPr="005E2BD4">
        <w:t xml:space="preserve">. Our central estimate is </w:t>
      </w:r>
      <w:r w:rsidR="002A306E" w:rsidRPr="005E2BD4" w:rsidDel="00991599">
        <w:t xml:space="preserve">that there would </w:t>
      </w:r>
      <w:r w:rsidR="00991599" w:rsidRPr="005E2BD4">
        <w:t xml:space="preserve">have been similar numbers of </w:t>
      </w:r>
      <w:r w:rsidR="00E11AC2" w:rsidRPr="005E2BD4">
        <w:t>each</w:t>
      </w:r>
      <w:r w:rsidR="003B13B2" w:rsidRPr="005E2BD4">
        <w:t>, but this is subject to substantial error</w:t>
      </w:r>
      <w:r w:rsidR="00A97641">
        <w:t>.</w:t>
      </w:r>
      <w:r w:rsidR="002A306E" w:rsidRPr="005E2BD4">
        <w:t xml:space="preserve"> </w:t>
      </w:r>
    </w:p>
    <w:p w14:paraId="5D1AB6EF" w14:textId="485385DD" w:rsidR="00B15120" w:rsidRDefault="00971397" w:rsidP="005E2BD4">
      <w:pPr>
        <w:pStyle w:val="ListBullet"/>
      </w:pPr>
      <w:r>
        <w:t>T</w:t>
      </w:r>
      <w:r w:rsidR="002A306E" w:rsidRPr="005E2BD4">
        <w:t xml:space="preserve">he average foregone income tax receipts </w:t>
      </w:r>
      <w:r w:rsidR="002A306E" w:rsidRPr="005E2BD4" w:rsidDel="00DA0468">
        <w:t xml:space="preserve">per </w:t>
      </w:r>
      <w:r w:rsidR="00DA0468" w:rsidRPr="00753854">
        <w:t>entitlement user who would otherwise have continued in paid work per year</w:t>
      </w:r>
      <w:r w:rsidR="00DA0468">
        <w:rPr>
          <w:rFonts w:ascii="Arial (Body)" w:hAnsi="Arial (Body)"/>
          <w:color w:val="000000"/>
        </w:rPr>
        <w:t xml:space="preserve"> of leave taken</w:t>
      </w:r>
      <w:r w:rsidR="005E2BD4">
        <w:rPr>
          <w:rFonts w:ascii="Arial (Body)" w:hAnsi="Arial (Body)"/>
          <w:color w:val="000000"/>
        </w:rPr>
        <w:t xml:space="preserve">. This is discussed </w:t>
      </w:r>
      <w:r w:rsidR="00CE4573">
        <w:rPr>
          <w:rFonts w:ascii="Arial (Body)" w:hAnsi="Arial (Body)"/>
          <w:color w:val="000000"/>
        </w:rPr>
        <w:t>further</w:t>
      </w:r>
      <w:r w:rsidR="005E2BD4">
        <w:rPr>
          <w:rFonts w:ascii="Arial (Body)" w:hAnsi="Arial (Body)"/>
          <w:color w:val="000000"/>
        </w:rPr>
        <w:t xml:space="preserve"> in the following section.</w:t>
      </w:r>
    </w:p>
    <w:p w14:paraId="45AB9A77" w14:textId="545B9BB7" w:rsidR="00206277" w:rsidRDefault="00206277" w:rsidP="00206277">
      <w:pPr>
        <w:pStyle w:val="BodyText"/>
      </w:pPr>
      <w:r>
        <w:t>The</w:t>
      </w:r>
      <w:r w:rsidR="00C237FB">
        <w:t xml:space="preserve"> overall</w:t>
      </w:r>
      <w:r>
        <w:t xml:space="preserve"> fiscal </w:t>
      </w:r>
      <w:r w:rsidR="00137998">
        <w:t xml:space="preserve">effect </w:t>
      </w:r>
      <w:r w:rsidR="00852F8A">
        <w:t xml:space="preserve">ranges </w:t>
      </w:r>
      <w:r w:rsidR="00AB6C26">
        <w:t>from</w:t>
      </w:r>
      <w:r w:rsidR="00852F8A">
        <w:t xml:space="preserve"> </w:t>
      </w:r>
      <w:r w:rsidR="00762BAE">
        <w:noBreakHyphen/>
      </w:r>
      <w:r w:rsidR="00852F8A">
        <w:t>$</w:t>
      </w:r>
      <w:r w:rsidR="00D62F80">
        <w:t>6600</w:t>
      </w:r>
      <w:r w:rsidR="00616347">
        <w:t xml:space="preserve"> </w:t>
      </w:r>
      <w:r w:rsidR="00AB6C26">
        <w:t>to</w:t>
      </w:r>
      <w:r w:rsidR="00616347">
        <w:t xml:space="preserve"> </w:t>
      </w:r>
      <w:r w:rsidR="00302E48">
        <w:t>$</w:t>
      </w:r>
      <w:r w:rsidR="00D62F80">
        <w:t>600</w:t>
      </w:r>
      <w:r w:rsidR="00302E48">
        <w:t xml:space="preserve"> per entitlement user</w:t>
      </w:r>
      <w:r w:rsidR="004D0E47">
        <w:t xml:space="preserve"> and </w:t>
      </w:r>
      <w:r w:rsidR="00B93AFE">
        <w:t xml:space="preserve">the fiscal effect </w:t>
      </w:r>
      <w:r w:rsidR="00137998" w:rsidDel="004D0E47">
        <w:t xml:space="preserve">was found to be </w:t>
      </w:r>
      <w:r>
        <w:t>negative in </w:t>
      </w:r>
      <w:r w:rsidR="00D62F80">
        <w:t>11</w:t>
      </w:r>
      <w:r w:rsidR="00DF4E6C">
        <w:t xml:space="preserve"> </w:t>
      </w:r>
      <w:r>
        <w:t>of </w:t>
      </w:r>
      <w:r w:rsidR="00B93AFE">
        <w:t xml:space="preserve">the </w:t>
      </w:r>
      <w:r>
        <w:t>1</w:t>
      </w:r>
      <w:r w:rsidR="004E4182">
        <w:t>2</w:t>
      </w:r>
      <w:r>
        <w:t xml:space="preserve"> cases. </w:t>
      </w:r>
      <w:r w:rsidR="00C91953">
        <w:t>And</w:t>
      </w:r>
      <w:r w:rsidR="005C1035">
        <w:t xml:space="preserve"> as highlighted throughout the following section, t</w:t>
      </w:r>
      <w:r w:rsidR="007770A1">
        <w:t xml:space="preserve">he estimates </w:t>
      </w:r>
      <w:r>
        <w:t xml:space="preserve">of the fiscal costs are </w:t>
      </w:r>
      <w:r w:rsidR="004B17D4">
        <w:t xml:space="preserve">generally </w:t>
      </w:r>
      <w:r>
        <w:t xml:space="preserve">more conservative than </w:t>
      </w:r>
      <w:r w:rsidR="005C1035">
        <w:t xml:space="preserve">the </w:t>
      </w:r>
      <w:r>
        <w:t xml:space="preserve">estimates of the fiscal benefits, which adds credence to the finding of a negative overall fiscal </w:t>
      </w:r>
      <w:r w:rsidR="003555DB">
        <w:t>effect</w:t>
      </w:r>
      <w:r>
        <w:t>.</w:t>
      </w:r>
    </w:p>
    <w:p w14:paraId="2BAC89DB" w14:textId="78C01E35" w:rsidR="0036049D" w:rsidRDefault="0036049D" w:rsidP="0036049D">
      <w:pPr>
        <w:pStyle w:val="FigureTableHeading"/>
      </w:pPr>
      <w:r>
        <w:t>Table</w:t>
      </w:r>
      <w:r w:rsidR="007D60A9">
        <w:t> </w:t>
      </w:r>
      <w:fldSimple w:instr=" SEQ Table \* ARABIC \s 1 ">
        <w:r w:rsidR="00634153">
          <w:rPr>
            <w:noProof/>
          </w:rPr>
          <w:t>3</w:t>
        </w:r>
      </w:fldSimple>
      <w:r>
        <w:rPr>
          <w:noProof/>
        </w:rPr>
        <w:t xml:space="preserve"> – F</w:t>
      </w:r>
      <w:r>
        <w:t>iscal effects of an entitlement to extended unpaid carer leave</w:t>
      </w:r>
    </w:p>
    <w:p w14:paraId="153166A9" w14:textId="54A2A108" w:rsidR="0036049D" w:rsidRDefault="0036049D" w:rsidP="0036049D">
      <w:pPr>
        <w:pStyle w:val="FigureTableSubheading"/>
      </w:pPr>
      <w:r>
        <w:t>2018</w:t>
      </w:r>
      <w:r w:rsidR="00762BAE">
        <w:noBreakHyphen/>
      </w:r>
      <w:r>
        <w:t>19</w:t>
      </w:r>
    </w:p>
    <w:tbl>
      <w:tblPr>
        <w:tblW w:w="9639"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276"/>
        <w:gridCol w:w="2268"/>
        <w:gridCol w:w="1913"/>
        <w:gridCol w:w="2091"/>
        <w:gridCol w:w="2091"/>
      </w:tblGrid>
      <w:tr w:rsidR="00D62F80" w:rsidRPr="00030C67" w14:paraId="1AA6812E" w14:textId="77777777" w:rsidTr="00971397">
        <w:trPr>
          <w:tblHeader/>
        </w:trPr>
        <w:tc>
          <w:tcPr>
            <w:tcW w:w="1276" w:type="dxa"/>
            <w:tcBorders>
              <w:bottom w:val="single" w:sz="4" w:space="0" w:color="B3B3B3"/>
            </w:tcBorders>
            <w:shd w:val="clear" w:color="auto" w:fill="auto"/>
            <w:vAlign w:val="bottom"/>
          </w:tcPr>
          <w:p w14:paraId="24A5F3A4" w14:textId="77777777" w:rsidR="00D62F80" w:rsidRPr="00030C67" w:rsidRDefault="00D62F80">
            <w:pPr>
              <w:spacing w:before="45" w:after="45"/>
              <w:ind w:right="108"/>
              <w:rPr>
                <w:rFonts w:ascii="Arial (Body)" w:hAnsi="Arial (Body)"/>
                <w:color w:val="265A9A"/>
              </w:rPr>
            </w:pPr>
          </w:p>
        </w:tc>
        <w:tc>
          <w:tcPr>
            <w:tcW w:w="2268" w:type="dxa"/>
            <w:tcBorders>
              <w:bottom w:val="single" w:sz="4" w:space="0" w:color="B3B3B3"/>
            </w:tcBorders>
            <w:shd w:val="clear" w:color="auto" w:fill="auto"/>
          </w:tcPr>
          <w:p w14:paraId="0D809B78" w14:textId="7FCF9453" w:rsidR="00D62F80" w:rsidRPr="00030C67" w:rsidRDefault="00D62F80" w:rsidP="00971397">
            <w:pPr>
              <w:pStyle w:val="TableHeading"/>
              <w:ind w:right="57"/>
              <w:jc w:val="right"/>
            </w:pPr>
            <w:r w:rsidDel="00895294">
              <w:t xml:space="preserve">Average leave </w:t>
            </w:r>
            <w:r w:rsidR="00EF0FA9">
              <w:br/>
            </w:r>
            <w:r w:rsidDel="00895294">
              <w:t xml:space="preserve">taken by </w:t>
            </w:r>
            <w:r>
              <w:t>those</w:t>
            </w:r>
            <w:r w:rsidDel="00895294">
              <w:t xml:space="preserve"> who </w:t>
            </w:r>
            <w:r w:rsidR="00EF0FA9">
              <w:br/>
            </w:r>
            <w:r w:rsidDel="00895294">
              <w:t xml:space="preserve">would otherwise have continued in paid </w:t>
            </w:r>
            <w:r>
              <w:t>work</w:t>
            </w:r>
            <w:r>
              <w:rPr>
                <w:position w:val="6"/>
              </w:rPr>
              <w:t>a</w:t>
            </w:r>
          </w:p>
        </w:tc>
        <w:tc>
          <w:tcPr>
            <w:tcW w:w="1913" w:type="dxa"/>
            <w:tcBorders>
              <w:bottom w:val="single" w:sz="4" w:space="0" w:color="B3B3B3"/>
            </w:tcBorders>
            <w:shd w:val="clear" w:color="auto" w:fill="auto"/>
          </w:tcPr>
          <w:p w14:paraId="19D9099C" w14:textId="77777777" w:rsidR="00D62F80" w:rsidRPr="00030C67" w:rsidRDefault="00D62F80">
            <w:pPr>
              <w:pStyle w:val="TableHeading"/>
              <w:jc w:val="right"/>
            </w:pPr>
            <w:r>
              <w:t xml:space="preserve">Number of </w:t>
            </w:r>
            <w:r>
              <w:br/>
              <w:t xml:space="preserve">continuing workers </w:t>
            </w:r>
            <w:r>
              <w:br/>
              <w:t>to job quitters</w:t>
            </w:r>
            <w:r>
              <w:rPr>
                <w:position w:val="6"/>
              </w:rPr>
              <w:t>b</w:t>
            </w:r>
          </w:p>
        </w:tc>
        <w:tc>
          <w:tcPr>
            <w:tcW w:w="2091" w:type="dxa"/>
            <w:tcBorders>
              <w:bottom w:val="single" w:sz="4" w:space="0" w:color="B3B3B3"/>
            </w:tcBorders>
            <w:shd w:val="clear" w:color="auto" w:fill="auto"/>
          </w:tcPr>
          <w:p w14:paraId="3652764C" w14:textId="77777777" w:rsidR="00D62F80" w:rsidRPr="00030C67" w:rsidRDefault="00D62F80">
            <w:pPr>
              <w:pStyle w:val="TableHeading"/>
              <w:jc w:val="right"/>
            </w:pPr>
            <w:r>
              <w:t>Average foregone income tax receipts per continuing worker</w:t>
            </w:r>
            <w:r w:rsidRPr="00EF0E02">
              <w:rPr>
                <w:position w:val="6"/>
              </w:rPr>
              <w:t>c</w:t>
            </w:r>
          </w:p>
        </w:tc>
        <w:tc>
          <w:tcPr>
            <w:tcW w:w="2091" w:type="dxa"/>
            <w:tcBorders>
              <w:bottom w:val="single" w:sz="4" w:space="0" w:color="B3B3B3"/>
            </w:tcBorders>
            <w:shd w:val="clear" w:color="auto" w:fill="auto"/>
          </w:tcPr>
          <w:p w14:paraId="1491062C" w14:textId="77777777" w:rsidR="00D62F80" w:rsidRDefault="00D62F80">
            <w:pPr>
              <w:pStyle w:val="TableHeading"/>
              <w:jc w:val="right"/>
            </w:pPr>
            <w:r>
              <w:t xml:space="preserve">Modelled fiscal </w:t>
            </w:r>
            <w:r>
              <w:br/>
              <w:t xml:space="preserve">impact per </w:t>
            </w:r>
            <w:r>
              <w:br/>
              <w:t>entitlement user</w:t>
            </w:r>
          </w:p>
        </w:tc>
      </w:tr>
      <w:tr w:rsidR="00D62F80" w:rsidRPr="00030C67" w14:paraId="750E31BB" w14:textId="77777777" w:rsidTr="00971397">
        <w:tc>
          <w:tcPr>
            <w:tcW w:w="1276" w:type="dxa"/>
            <w:tcBorders>
              <w:top w:val="nil"/>
              <w:bottom w:val="nil"/>
            </w:tcBorders>
            <w:shd w:val="clear" w:color="auto" w:fill="auto"/>
          </w:tcPr>
          <w:p w14:paraId="00B68839" w14:textId="77777777" w:rsidR="00D62F80" w:rsidRPr="00030C67" w:rsidRDefault="00D62F80">
            <w:pPr>
              <w:pStyle w:val="TableHeading"/>
            </w:pPr>
            <w:r>
              <w:t>Scenario 1</w:t>
            </w:r>
          </w:p>
        </w:tc>
        <w:tc>
          <w:tcPr>
            <w:tcW w:w="2268" w:type="dxa"/>
            <w:tcBorders>
              <w:top w:val="nil"/>
              <w:bottom w:val="nil"/>
            </w:tcBorders>
            <w:shd w:val="clear" w:color="auto" w:fill="auto"/>
            <w:vAlign w:val="bottom"/>
          </w:tcPr>
          <w:p w14:paraId="7594A342" w14:textId="77777777" w:rsidR="00D62F80" w:rsidRPr="00030C67" w:rsidRDefault="00D62F80">
            <w:pPr>
              <w:pStyle w:val="TableBody"/>
              <w:spacing w:before="45" w:after="45"/>
              <w:ind w:right="108"/>
              <w:jc w:val="right"/>
              <w:rPr>
                <w:rFonts w:ascii="Arial (Body)" w:hAnsi="Arial (Body)"/>
                <w:color w:val="000000"/>
              </w:rPr>
            </w:pPr>
            <w:r>
              <w:rPr>
                <w:rFonts w:ascii="Arial (Body)" w:hAnsi="Arial (Body)"/>
                <w:color w:val="000000"/>
              </w:rPr>
              <w:t>3</w:t>
            </w:r>
            <w:r>
              <w:rPr>
                <w:rFonts w:ascii="Arial (Body)" w:hAnsi="Arial (Body)" w:hint="eastAsia"/>
                <w:color w:val="000000"/>
              </w:rPr>
              <w:t> </w:t>
            </w:r>
            <w:r>
              <w:rPr>
                <w:rFonts w:ascii="Arial (Body)" w:hAnsi="Arial (Body)"/>
                <w:color w:val="000000"/>
              </w:rPr>
              <w:t>months</w:t>
            </w:r>
          </w:p>
        </w:tc>
        <w:tc>
          <w:tcPr>
            <w:tcW w:w="1913" w:type="dxa"/>
            <w:tcBorders>
              <w:top w:val="nil"/>
              <w:bottom w:val="nil"/>
            </w:tcBorders>
            <w:shd w:val="clear" w:color="auto" w:fill="auto"/>
            <w:vAlign w:val="bottom"/>
          </w:tcPr>
          <w:p w14:paraId="62480FCA"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0.5</w:t>
            </w:r>
          </w:p>
        </w:tc>
        <w:tc>
          <w:tcPr>
            <w:tcW w:w="2091" w:type="dxa"/>
            <w:tcBorders>
              <w:top w:val="nil"/>
              <w:bottom w:val="nil"/>
            </w:tcBorders>
            <w:shd w:val="clear" w:color="auto" w:fill="auto"/>
            <w:vAlign w:val="bottom"/>
          </w:tcPr>
          <w:p w14:paraId="0192A4A9" w14:textId="77777777" w:rsidR="00D62F80" w:rsidRPr="00030C67" w:rsidRDefault="00D62F80">
            <w:pPr>
              <w:pStyle w:val="TableBody"/>
              <w:spacing w:before="45" w:after="45"/>
              <w:ind w:right="108"/>
              <w:jc w:val="right"/>
              <w:rPr>
                <w:rFonts w:ascii="Arial (Body)" w:hAnsi="Arial (Body)"/>
                <w:color w:val="000000"/>
              </w:rPr>
            </w:pPr>
            <w:r w:rsidRPr="00D1092F">
              <w:rPr>
                <w:rFonts w:ascii="Arial (Body)" w:hAnsi="Arial (Body)"/>
                <w:color w:val="000000"/>
              </w:rPr>
              <w:t>$18</w:t>
            </w:r>
            <w:r w:rsidRPr="00D1092F">
              <w:rPr>
                <w:rFonts w:ascii="Arial (Body)" w:hAnsi="Arial (Body)" w:hint="eastAsia"/>
                <w:color w:val="000000"/>
              </w:rPr>
              <w:t> </w:t>
            </w:r>
            <w:r w:rsidRPr="00D1092F">
              <w:rPr>
                <w:rFonts w:ascii="Arial (Body)" w:hAnsi="Arial (Body)"/>
                <w:color w:val="000000"/>
              </w:rPr>
              <w:t>000</w:t>
            </w:r>
          </w:p>
        </w:tc>
        <w:tc>
          <w:tcPr>
            <w:tcW w:w="2091" w:type="dxa"/>
            <w:tcBorders>
              <w:top w:val="nil"/>
              <w:bottom w:val="nil"/>
            </w:tcBorders>
            <w:shd w:val="clear" w:color="auto" w:fill="auto"/>
            <w:vAlign w:val="bottom"/>
          </w:tcPr>
          <w:p w14:paraId="71C38690" w14:textId="782C1D6B" w:rsidR="00D62F80" w:rsidRDefault="00762BAE">
            <w:pPr>
              <w:pStyle w:val="TableBody"/>
              <w:spacing w:before="45" w:after="45"/>
              <w:ind w:right="57"/>
              <w:jc w:val="right"/>
              <w:rPr>
                <w:rFonts w:ascii="Arial (Body)" w:hAnsi="Arial (Body)"/>
                <w:color w:val="000000"/>
              </w:rPr>
            </w:pPr>
            <w:r>
              <w:noBreakHyphen/>
            </w:r>
            <w:r w:rsidR="00D62F80">
              <w:t>$400</w:t>
            </w:r>
          </w:p>
        </w:tc>
      </w:tr>
      <w:tr w:rsidR="00D62F80" w:rsidRPr="00030C67" w14:paraId="1939FE69" w14:textId="77777777" w:rsidTr="00971397">
        <w:tc>
          <w:tcPr>
            <w:tcW w:w="1276" w:type="dxa"/>
            <w:shd w:val="clear" w:color="auto" w:fill="auto"/>
          </w:tcPr>
          <w:p w14:paraId="3C96BC35" w14:textId="77777777" w:rsidR="00D62F80" w:rsidRPr="00030C67" w:rsidRDefault="00D62F80">
            <w:pPr>
              <w:pStyle w:val="TableHeading"/>
            </w:pPr>
            <w:r>
              <w:t>Scenario 2</w:t>
            </w:r>
          </w:p>
        </w:tc>
        <w:tc>
          <w:tcPr>
            <w:tcW w:w="2268" w:type="dxa"/>
            <w:shd w:val="clear" w:color="auto" w:fill="auto"/>
            <w:vAlign w:val="bottom"/>
          </w:tcPr>
          <w:p w14:paraId="7DBF1F08" w14:textId="77777777" w:rsidR="00D62F80" w:rsidRPr="00030C67" w:rsidRDefault="00D62F80">
            <w:pPr>
              <w:pStyle w:val="TableBody"/>
              <w:spacing w:before="45" w:after="45"/>
              <w:ind w:right="108"/>
              <w:jc w:val="right"/>
              <w:rPr>
                <w:rFonts w:ascii="Arial (Body)" w:hAnsi="Arial (Body)"/>
                <w:color w:val="000000"/>
              </w:rPr>
            </w:pPr>
            <w:r>
              <w:rPr>
                <w:rFonts w:ascii="Arial (Body)" w:hAnsi="Arial (Body)"/>
                <w:color w:val="000000"/>
              </w:rPr>
              <w:t>6</w:t>
            </w:r>
            <w:r>
              <w:rPr>
                <w:rFonts w:ascii="Arial (Body)" w:hAnsi="Arial (Body)" w:hint="eastAsia"/>
                <w:color w:val="000000"/>
              </w:rPr>
              <w:t> </w:t>
            </w:r>
            <w:r>
              <w:rPr>
                <w:rFonts w:ascii="Arial (Body)" w:hAnsi="Arial (Body)"/>
                <w:color w:val="000000"/>
              </w:rPr>
              <w:t>months</w:t>
            </w:r>
          </w:p>
        </w:tc>
        <w:tc>
          <w:tcPr>
            <w:tcW w:w="1913" w:type="dxa"/>
            <w:shd w:val="clear" w:color="auto" w:fill="auto"/>
            <w:vAlign w:val="bottom"/>
          </w:tcPr>
          <w:p w14:paraId="281677AF"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0.5</w:t>
            </w:r>
          </w:p>
        </w:tc>
        <w:tc>
          <w:tcPr>
            <w:tcW w:w="2091" w:type="dxa"/>
            <w:shd w:val="clear" w:color="auto" w:fill="auto"/>
            <w:vAlign w:val="bottom"/>
          </w:tcPr>
          <w:p w14:paraId="00FA3F22" w14:textId="77777777" w:rsidR="00D62F80" w:rsidRPr="00030C67" w:rsidRDefault="00D62F80">
            <w:pPr>
              <w:pStyle w:val="TableBody"/>
              <w:spacing w:before="45" w:after="45"/>
              <w:ind w:right="108"/>
              <w:jc w:val="right"/>
              <w:rPr>
                <w:rFonts w:ascii="Arial (Body)" w:hAnsi="Arial (Body)"/>
                <w:color w:val="000000"/>
              </w:rPr>
            </w:pPr>
            <w:r w:rsidRPr="00D1092F">
              <w:rPr>
                <w:rFonts w:ascii="Arial (Body)" w:hAnsi="Arial (Body)"/>
                <w:color w:val="000000"/>
              </w:rPr>
              <w:t>$18</w:t>
            </w:r>
            <w:r w:rsidRPr="00D1092F">
              <w:rPr>
                <w:rFonts w:ascii="Arial (Body)" w:hAnsi="Arial (Body)" w:hint="eastAsia"/>
                <w:color w:val="000000"/>
              </w:rPr>
              <w:t> </w:t>
            </w:r>
            <w:r w:rsidRPr="00D1092F">
              <w:rPr>
                <w:rFonts w:ascii="Arial (Body)" w:hAnsi="Arial (Body)"/>
                <w:color w:val="000000"/>
              </w:rPr>
              <w:t>000</w:t>
            </w:r>
          </w:p>
        </w:tc>
        <w:tc>
          <w:tcPr>
            <w:tcW w:w="2091" w:type="dxa"/>
            <w:shd w:val="clear" w:color="auto" w:fill="auto"/>
            <w:vAlign w:val="bottom"/>
          </w:tcPr>
          <w:p w14:paraId="1B54A491" w14:textId="542E66F1" w:rsidR="00D62F80" w:rsidRDefault="00762BAE">
            <w:pPr>
              <w:pStyle w:val="TableBody"/>
              <w:spacing w:before="45" w:after="45"/>
              <w:ind w:right="57"/>
              <w:jc w:val="right"/>
              <w:rPr>
                <w:rFonts w:ascii="Arial (Body)" w:hAnsi="Arial (Body)"/>
                <w:color w:val="000000"/>
              </w:rPr>
            </w:pPr>
            <w:r>
              <w:noBreakHyphen/>
            </w:r>
            <w:r w:rsidR="00D62F80" w:rsidRPr="00A344A8">
              <w:t>$</w:t>
            </w:r>
            <w:r w:rsidR="00D62F80">
              <w:t>2200</w:t>
            </w:r>
          </w:p>
        </w:tc>
      </w:tr>
      <w:tr w:rsidR="00D62F80" w:rsidRPr="00030C67" w14:paraId="1769ACB9" w14:textId="77777777" w:rsidTr="00971397">
        <w:tc>
          <w:tcPr>
            <w:tcW w:w="1276" w:type="dxa"/>
            <w:shd w:val="clear" w:color="auto" w:fill="auto"/>
          </w:tcPr>
          <w:p w14:paraId="60E1B5CE" w14:textId="77777777" w:rsidR="00D62F80" w:rsidRPr="00030C67" w:rsidRDefault="00D62F80">
            <w:pPr>
              <w:pStyle w:val="TableHeading"/>
            </w:pPr>
            <w:r>
              <w:t>Scenario 3</w:t>
            </w:r>
          </w:p>
        </w:tc>
        <w:tc>
          <w:tcPr>
            <w:tcW w:w="2268" w:type="dxa"/>
            <w:shd w:val="clear" w:color="auto" w:fill="auto"/>
            <w:vAlign w:val="bottom"/>
          </w:tcPr>
          <w:p w14:paraId="4E08961C"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3</w:t>
            </w:r>
            <w:r>
              <w:rPr>
                <w:rFonts w:ascii="Arial (Body)" w:hAnsi="Arial (Body)" w:hint="eastAsia"/>
                <w:color w:val="000000"/>
              </w:rPr>
              <w:t> </w:t>
            </w:r>
            <w:r>
              <w:rPr>
                <w:rFonts w:ascii="Arial (Body)" w:hAnsi="Arial (Body)"/>
                <w:color w:val="000000"/>
              </w:rPr>
              <w:t>months</w:t>
            </w:r>
          </w:p>
        </w:tc>
        <w:tc>
          <w:tcPr>
            <w:tcW w:w="1913" w:type="dxa"/>
            <w:shd w:val="clear" w:color="auto" w:fill="auto"/>
            <w:vAlign w:val="bottom"/>
          </w:tcPr>
          <w:p w14:paraId="3A73927A"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1.0</w:t>
            </w:r>
          </w:p>
        </w:tc>
        <w:tc>
          <w:tcPr>
            <w:tcW w:w="2091" w:type="dxa"/>
            <w:shd w:val="clear" w:color="auto" w:fill="auto"/>
            <w:vAlign w:val="bottom"/>
          </w:tcPr>
          <w:p w14:paraId="7EC73825" w14:textId="77777777" w:rsidR="00D62F80" w:rsidRDefault="00D62F80">
            <w:pPr>
              <w:pStyle w:val="TableBody"/>
              <w:spacing w:before="45" w:after="45"/>
              <w:ind w:right="108"/>
              <w:jc w:val="right"/>
              <w:rPr>
                <w:rFonts w:ascii="Arial (Body)" w:hAnsi="Arial (Body)"/>
                <w:color w:val="000000"/>
              </w:rPr>
            </w:pPr>
            <w:r w:rsidRPr="00D1092F">
              <w:rPr>
                <w:rFonts w:ascii="Arial (Body)" w:hAnsi="Arial (Body)"/>
                <w:color w:val="000000"/>
              </w:rPr>
              <w:t>$18</w:t>
            </w:r>
            <w:r w:rsidRPr="00D1092F">
              <w:rPr>
                <w:rFonts w:ascii="Arial (Body)" w:hAnsi="Arial (Body)" w:hint="eastAsia"/>
                <w:color w:val="000000"/>
              </w:rPr>
              <w:t> </w:t>
            </w:r>
            <w:r w:rsidRPr="00D1092F">
              <w:rPr>
                <w:rFonts w:ascii="Arial (Body)" w:hAnsi="Arial (Body)"/>
                <w:color w:val="000000"/>
              </w:rPr>
              <w:t>000</w:t>
            </w:r>
          </w:p>
        </w:tc>
        <w:tc>
          <w:tcPr>
            <w:tcW w:w="2091" w:type="dxa"/>
            <w:shd w:val="clear" w:color="auto" w:fill="auto"/>
            <w:vAlign w:val="bottom"/>
          </w:tcPr>
          <w:p w14:paraId="3BC1DDE0" w14:textId="330C8D5B" w:rsidR="00D62F80" w:rsidRDefault="00762BAE">
            <w:pPr>
              <w:pStyle w:val="TableBody"/>
              <w:spacing w:before="45" w:after="45"/>
              <w:ind w:right="57"/>
              <w:jc w:val="right"/>
              <w:rPr>
                <w:rFonts w:ascii="Arial (Body)" w:hAnsi="Arial (Body)"/>
                <w:color w:val="000000"/>
              </w:rPr>
            </w:pPr>
            <w:r>
              <w:noBreakHyphen/>
            </w:r>
            <w:r w:rsidR="00D62F80" w:rsidRPr="00A344A8">
              <w:t>$</w:t>
            </w:r>
            <w:r w:rsidR="00D62F80">
              <w:t>1600</w:t>
            </w:r>
          </w:p>
        </w:tc>
      </w:tr>
      <w:tr w:rsidR="00D62F80" w:rsidRPr="00030C67" w14:paraId="380A4252" w14:textId="77777777" w:rsidTr="00971397">
        <w:tc>
          <w:tcPr>
            <w:tcW w:w="1276" w:type="dxa"/>
            <w:shd w:val="clear" w:color="auto" w:fill="auto"/>
          </w:tcPr>
          <w:p w14:paraId="4C140096" w14:textId="77777777" w:rsidR="00D62F80" w:rsidRPr="00030C67" w:rsidRDefault="00D62F80">
            <w:pPr>
              <w:pStyle w:val="TableHeading"/>
            </w:pPr>
            <w:r>
              <w:t>Scenario 4</w:t>
            </w:r>
          </w:p>
        </w:tc>
        <w:tc>
          <w:tcPr>
            <w:tcW w:w="2268" w:type="dxa"/>
            <w:shd w:val="clear" w:color="auto" w:fill="auto"/>
            <w:vAlign w:val="bottom"/>
          </w:tcPr>
          <w:p w14:paraId="366749FE"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6</w:t>
            </w:r>
            <w:r>
              <w:rPr>
                <w:rFonts w:ascii="Arial (Body)" w:hAnsi="Arial (Body)" w:hint="eastAsia"/>
                <w:color w:val="000000"/>
              </w:rPr>
              <w:t> </w:t>
            </w:r>
            <w:r>
              <w:rPr>
                <w:rFonts w:ascii="Arial (Body)" w:hAnsi="Arial (Body)"/>
                <w:color w:val="000000"/>
              </w:rPr>
              <w:t>months</w:t>
            </w:r>
          </w:p>
        </w:tc>
        <w:tc>
          <w:tcPr>
            <w:tcW w:w="1913" w:type="dxa"/>
            <w:shd w:val="clear" w:color="auto" w:fill="auto"/>
            <w:vAlign w:val="bottom"/>
          </w:tcPr>
          <w:p w14:paraId="338E6466"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1.0</w:t>
            </w:r>
          </w:p>
        </w:tc>
        <w:tc>
          <w:tcPr>
            <w:tcW w:w="2091" w:type="dxa"/>
            <w:shd w:val="clear" w:color="auto" w:fill="auto"/>
            <w:vAlign w:val="bottom"/>
          </w:tcPr>
          <w:p w14:paraId="78AE6FB3" w14:textId="77777777" w:rsidR="00D62F80" w:rsidRDefault="00D62F80">
            <w:pPr>
              <w:pStyle w:val="TableBody"/>
              <w:spacing w:before="45" w:after="45"/>
              <w:ind w:right="108"/>
              <w:jc w:val="right"/>
              <w:rPr>
                <w:rFonts w:ascii="Arial (Body)" w:hAnsi="Arial (Body)"/>
                <w:color w:val="000000"/>
              </w:rPr>
            </w:pPr>
            <w:r w:rsidRPr="00D1092F">
              <w:rPr>
                <w:rFonts w:ascii="Arial (Body)" w:hAnsi="Arial (Body)"/>
                <w:color w:val="000000"/>
              </w:rPr>
              <w:t>$18</w:t>
            </w:r>
            <w:r w:rsidRPr="00D1092F">
              <w:rPr>
                <w:rFonts w:ascii="Arial (Body)" w:hAnsi="Arial (Body)" w:hint="eastAsia"/>
                <w:color w:val="000000"/>
              </w:rPr>
              <w:t> </w:t>
            </w:r>
            <w:r w:rsidRPr="00D1092F">
              <w:rPr>
                <w:rFonts w:ascii="Arial (Body)" w:hAnsi="Arial (Body)"/>
                <w:color w:val="000000"/>
              </w:rPr>
              <w:t>000</w:t>
            </w:r>
          </w:p>
        </w:tc>
        <w:tc>
          <w:tcPr>
            <w:tcW w:w="2091" w:type="dxa"/>
            <w:shd w:val="clear" w:color="auto" w:fill="auto"/>
            <w:vAlign w:val="bottom"/>
          </w:tcPr>
          <w:p w14:paraId="57000D47" w14:textId="6DA8B00B" w:rsidR="00D62F80" w:rsidRDefault="00762BAE">
            <w:pPr>
              <w:pStyle w:val="TableBody"/>
              <w:spacing w:before="45" w:after="45"/>
              <w:ind w:right="57"/>
              <w:jc w:val="right"/>
              <w:rPr>
                <w:rFonts w:ascii="Arial (Body)" w:hAnsi="Arial (Body)"/>
                <w:color w:val="000000"/>
              </w:rPr>
            </w:pPr>
            <w:r>
              <w:noBreakHyphen/>
            </w:r>
            <w:r w:rsidR="00D62F80" w:rsidRPr="00A344A8">
              <w:t>$</w:t>
            </w:r>
            <w:r w:rsidR="00D62F80">
              <w:t>4400</w:t>
            </w:r>
          </w:p>
        </w:tc>
      </w:tr>
      <w:tr w:rsidR="00D62F80" w:rsidRPr="00030C67" w14:paraId="5D97D041" w14:textId="77777777" w:rsidTr="00971397">
        <w:tc>
          <w:tcPr>
            <w:tcW w:w="1276" w:type="dxa"/>
            <w:shd w:val="clear" w:color="auto" w:fill="auto"/>
          </w:tcPr>
          <w:p w14:paraId="7C9F2258" w14:textId="77777777" w:rsidR="00D62F80" w:rsidRPr="00030C67" w:rsidRDefault="00D62F80">
            <w:pPr>
              <w:pStyle w:val="TableHeading"/>
            </w:pPr>
            <w:r>
              <w:t>Scenario 5</w:t>
            </w:r>
          </w:p>
        </w:tc>
        <w:tc>
          <w:tcPr>
            <w:tcW w:w="2268" w:type="dxa"/>
            <w:shd w:val="clear" w:color="auto" w:fill="auto"/>
            <w:vAlign w:val="bottom"/>
          </w:tcPr>
          <w:p w14:paraId="7FF59302"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3</w:t>
            </w:r>
            <w:r>
              <w:rPr>
                <w:rFonts w:ascii="Arial (Body)" w:hAnsi="Arial (Body)" w:hint="eastAsia"/>
                <w:color w:val="000000"/>
              </w:rPr>
              <w:t> </w:t>
            </w:r>
            <w:r>
              <w:rPr>
                <w:rFonts w:ascii="Arial (Body)" w:hAnsi="Arial (Body)"/>
                <w:color w:val="000000"/>
              </w:rPr>
              <w:t>months</w:t>
            </w:r>
          </w:p>
        </w:tc>
        <w:tc>
          <w:tcPr>
            <w:tcW w:w="1913" w:type="dxa"/>
            <w:shd w:val="clear" w:color="auto" w:fill="auto"/>
            <w:vAlign w:val="bottom"/>
          </w:tcPr>
          <w:p w14:paraId="0B15BC79"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2.0</w:t>
            </w:r>
          </w:p>
        </w:tc>
        <w:tc>
          <w:tcPr>
            <w:tcW w:w="2091" w:type="dxa"/>
            <w:shd w:val="clear" w:color="auto" w:fill="auto"/>
            <w:vAlign w:val="bottom"/>
          </w:tcPr>
          <w:p w14:paraId="5BEC3477" w14:textId="77777777" w:rsidR="00D62F80" w:rsidRDefault="00D62F80">
            <w:pPr>
              <w:pStyle w:val="TableBody"/>
              <w:spacing w:before="45" w:after="45"/>
              <w:ind w:right="108"/>
              <w:jc w:val="right"/>
              <w:rPr>
                <w:rFonts w:ascii="Arial (Body)" w:hAnsi="Arial (Body)"/>
                <w:color w:val="000000"/>
              </w:rPr>
            </w:pPr>
            <w:r w:rsidRPr="00D1092F">
              <w:rPr>
                <w:rFonts w:ascii="Arial (Body)" w:hAnsi="Arial (Body)"/>
                <w:color w:val="000000"/>
              </w:rPr>
              <w:t>$18</w:t>
            </w:r>
            <w:r w:rsidRPr="00D1092F">
              <w:rPr>
                <w:rFonts w:ascii="Arial (Body)" w:hAnsi="Arial (Body)" w:hint="eastAsia"/>
                <w:color w:val="000000"/>
              </w:rPr>
              <w:t> </w:t>
            </w:r>
            <w:r w:rsidRPr="00D1092F">
              <w:rPr>
                <w:rFonts w:ascii="Arial (Body)" w:hAnsi="Arial (Body)"/>
                <w:color w:val="000000"/>
              </w:rPr>
              <w:t>000</w:t>
            </w:r>
          </w:p>
        </w:tc>
        <w:tc>
          <w:tcPr>
            <w:tcW w:w="2091" w:type="dxa"/>
            <w:shd w:val="clear" w:color="auto" w:fill="auto"/>
            <w:vAlign w:val="bottom"/>
          </w:tcPr>
          <w:p w14:paraId="0FA59027" w14:textId="0E675FF9" w:rsidR="00D62F80" w:rsidRDefault="00762BAE">
            <w:pPr>
              <w:pStyle w:val="TableBody"/>
              <w:spacing w:before="45" w:after="45"/>
              <w:ind w:right="57"/>
              <w:jc w:val="right"/>
              <w:rPr>
                <w:rFonts w:ascii="Arial (Body)" w:hAnsi="Arial (Body)"/>
                <w:color w:val="000000"/>
              </w:rPr>
            </w:pPr>
            <w:r>
              <w:noBreakHyphen/>
            </w:r>
            <w:r w:rsidR="00D62F80" w:rsidRPr="00A344A8">
              <w:t>$</w:t>
            </w:r>
            <w:r w:rsidR="00D62F80">
              <w:t>2900</w:t>
            </w:r>
          </w:p>
        </w:tc>
      </w:tr>
      <w:tr w:rsidR="00D62F80" w:rsidRPr="00030C67" w14:paraId="36847408" w14:textId="77777777" w:rsidTr="00971397">
        <w:tc>
          <w:tcPr>
            <w:tcW w:w="1276" w:type="dxa"/>
            <w:shd w:val="clear" w:color="auto" w:fill="auto"/>
          </w:tcPr>
          <w:p w14:paraId="241D2E46" w14:textId="77777777" w:rsidR="00D62F80" w:rsidRPr="00030C67" w:rsidRDefault="00D62F80">
            <w:pPr>
              <w:pStyle w:val="TableHeading"/>
            </w:pPr>
            <w:r>
              <w:t>Scenario 6</w:t>
            </w:r>
          </w:p>
        </w:tc>
        <w:tc>
          <w:tcPr>
            <w:tcW w:w="2268" w:type="dxa"/>
            <w:shd w:val="clear" w:color="auto" w:fill="auto"/>
            <w:vAlign w:val="bottom"/>
          </w:tcPr>
          <w:p w14:paraId="0E84F30C"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6</w:t>
            </w:r>
            <w:r>
              <w:rPr>
                <w:rFonts w:ascii="Arial (Body)" w:hAnsi="Arial (Body)" w:hint="eastAsia"/>
                <w:color w:val="000000"/>
              </w:rPr>
              <w:t> </w:t>
            </w:r>
            <w:r>
              <w:rPr>
                <w:rFonts w:ascii="Arial (Body)" w:hAnsi="Arial (Body)"/>
                <w:color w:val="000000"/>
              </w:rPr>
              <w:t>months</w:t>
            </w:r>
          </w:p>
        </w:tc>
        <w:tc>
          <w:tcPr>
            <w:tcW w:w="1913" w:type="dxa"/>
            <w:shd w:val="clear" w:color="auto" w:fill="auto"/>
            <w:vAlign w:val="bottom"/>
          </w:tcPr>
          <w:p w14:paraId="1D6CCF01"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2.0</w:t>
            </w:r>
          </w:p>
        </w:tc>
        <w:tc>
          <w:tcPr>
            <w:tcW w:w="2091" w:type="dxa"/>
            <w:shd w:val="clear" w:color="auto" w:fill="auto"/>
            <w:vAlign w:val="bottom"/>
          </w:tcPr>
          <w:p w14:paraId="724E2351" w14:textId="77777777" w:rsidR="00D62F80" w:rsidRDefault="00D62F80">
            <w:pPr>
              <w:pStyle w:val="TableBody"/>
              <w:spacing w:before="45" w:after="45"/>
              <w:ind w:right="108"/>
              <w:jc w:val="right"/>
              <w:rPr>
                <w:rFonts w:ascii="Arial (Body)" w:hAnsi="Arial (Body)"/>
                <w:color w:val="000000"/>
              </w:rPr>
            </w:pPr>
            <w:r w:rsidRPr="00D1092F">
              <w:rPr>
                <w:rFonts w:ascii="Arial (Body)" w:hAnsi="Arial (Body)"/>
                <w:color w:val="000000"/>
              </w:rPr>
              <w:t>$18</w:t>
            </w:r>
            <w:r w:rsidRPr="00D1092F">
              <w:rPr>
                <w:rFonts w:ascii="Arial (Body)" w:hAnsi="Arial (Body)" w:hint="eastAsia"/>
                <w:color w:val="000000"/>
              </w:rPr>
              <w:t> </w:t>
            </w:r>
            <w:r w:rsidRPr="00D1092F">
              <w:rPr>
                <w:rFonts w:ascii="Arial (Body)" w:hAnsi="Arial (Body)"/>
                <w:color w:val="000000"/>
              </w:rPr>
              <w:t>000</w:t>
            </w:r>
          </w:p>
        </w:tc>
        <w:tc>
          <w:tcPr>
            <w:tcW w:w="2091" w:type="dxa"/>
            <w:shd w:val="clear" w:color="auto" w:fill="auto"/>
            <w:vAlign w:val="bottom"/>
          </w:tcPr>
          <w:p w14:paraId="3AADBEFB" w14:textId="68C16003" w:rsidR="00D62F80" w:rsidRPr="006B39BD" w:rsidRDefault="00762BAE">
            <w:pPr>
              <w:pStyle w:val="TableBody"/>
              <w:spacing w:before="45" w:after="45"/>
              <w:ind w:right="57"/>
              <w:jc w:val="right"/>
            </w:pPr>
            <w:r>
              <w:noBreakHyphen/>
            </w:r>
            <w:r w:rsidR="00D62F80">
              <w:t>$6600</w:t>
            </w:r>
          </w:p>
        </w:tc>
      </w:tr>
      <w:tr w:rsidR="00D62F80" w:rsidRPr="00030C67" w14:paraId="2EBC0B4C" w14:textId="77777777" w:rsidTr="00971397">
        <w:tc>
          <w:tcPr>
            <w:tcW w:w="1276" w:type="dxa"/>
            <w:shd w:val="clear" w:color="auto" w:fill="F2F2F2" w:themeFill="background1" w:themeFillShade="F2"/>
          </w:tcPr>
          <w:p w14:paraId="12643060" w14:textId="77777777" w:rsidR="00D62F80" w:rsidRDefault="00D62F80">
            <w:pPr>
              <w:pStyle w:val="TableHeading"/>
            </w:pPr>
            <w:r>
              <w:t>Scenario 7</w:t>
            </w:r>
          </w:p>
        </w:tc>
        <w:tc>
          <w:tcPr>
            <w:tcW w:w="2268" w:type="dxa"/>
            <w:shd w:val="clear" w:color="auto" w:fill="F2F2F2" w:themeFill="background1" w:themeFillShade="F2"/>
            <w:vAlign w:val="bottom"/>
          </w:tcPr>
          <w:p w14:paraId="28A081B5"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3</w:t>
            </w:r>
            <w:r>
              <w:rPr>
                <w:rFonts w:ascii="Arial (Body)" w:hAnsi="Arial (Body)" w:hint="eastAsia"/>
                <w:color w:val="000000"/>
              </w:rPr>
              <w:t> </w:t>
            </w:r>
            <w:r>
              <w:rPr>
                <w:rFonts w:ascii="Arial (Body)" w:hAnsi="Arial (Body)"/>
                <w:color w:val="000000"/>
              </w:rPr>
              <w:t>months</w:t>
            </w:r>
          </w:p>
        </w:tc>
        <w:tc>
          <w:tcPr>
            <w:tcW w:w="1913" w:type="dxa"/>
            <w:shd w:val="clear" w:color="auto" w:fill="F2F2F2" w:themeFill="background1" w:themeFillShade="F2"/>
            <w:vAlign w:val="bottom"/>
          </w:tcPr>
          <w:p w14:paraId="309CC463"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0.5</w:t>
            </w:r>
          </w:p>
        </w:tc>
        <w:tc>
          <w:tcPr>
            <w:tcW w:w="2091" w:type="dxa"/>
            <w:shd w:val="clear" w:color="auto" w:fill="F2F2F2" w:themeFill="background1" w:themeFillShade="F2"/>
            <w:vAlign w:val="bottom"/>
          </w:tcPr>
          <w:p w14:paraId="0926D652"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$7</w:t>
            </w:r>
            <w:r>
              <w:rPr>
                <w:rFonts w:ascii="Arial (Body)" w:hAnsi="Arial (Body)" w:hint="eastAsia"/>
                <w:color w:val="000000"/>
              </w:rPr>
              <w:t> </w:t>
            </w:r>
            <w:r>
              <w:rPr>
                <w:rFonts w:ascii="Arial (Body)" w:hAnsi="Arial (Body)"/>
                <w:color w:val="000000"/>
              </w:rPr>
              <w:t>000</w:t>
            </w:r>
          </w:p>
        </w:tc>
        <w:tc>
          <w:tcPr>
            <w:tcW w:w="2091" w:type="dxa"/>
            <w:tcBorders>
              <w:top w:val="nil"/>
              <w:left w:val="nil"/>
              <w:bottom w:val="nil"/>
              <w:right w:val="nil"/>
            </w:tcBorders>
            <w:shd w:val="clear" w:color="auto" w:fill="F2F2F2" w:themeFill="background1" w:themeFillShade="F2"/>
            <w:vAlign w:val="bottom"/>
          </w:tcPr>
          <w:p w14:paraId="31F8BECA" w14:textId="77777777" w:rsidR="00D62F80" w:rsidRPr="006B39BD" w:rsidRDefault="00D62F80">
            <w:pPr>
              <w:pStyle w:val="TableBody"/>
              <w:spacing w:before="45" w:after="45"/>
              <w:ind w:right="57"/>
              <w:jc w:val="right"/>
            </w:pPr>
            <w:r w:rsidRPr="00A344A8">
              <w:t>$</w:t>
            </w:r>
            <w:r>
              <w:t>600</w:t>
            </w:r>
          </w:p>
        </w:tc>
      </w:tr>
      <w:tr w:rsidR="00D62F80" w:rsidRPr="00030C67" w14:paraId="064E9594" w14:textId="77777777" w:rsidTr="00971397">
        <w:tc>
          <w:tcPr>
            <w:tcW w:w="1276" w:type="dxa"/>
            <w:shd w:val="clear" w:color="auto" w:fill="auto"/>
          </w:tcPr>
          <w:p w14:paraId="7F0A3A1F" w14:textId="77777777" w:rsidR="00D62F80" w:rsidRDefault="00D62F80">
            <w:pPr>
              <w:pStyle w:val="TableHeading"/>
            </w:pPr>
            <w:r>
              <w:t>Scenario 8</w:t>
            </w:r>
          </w:p>
        </w:tc>
        <w:tc>
          <w:tcPr>
            <w:tcW w:w="2268" w:type="dxa"/>
            <w:shd w:val="clear" w:color="auto" w:fill="auto"/>
            <w:vAlign w:val="bottom"/>
          </w:tcPr>
          <w:p w14:paraId="4664BD75"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6</w:t>
            </w:r>
            <w:r>
              <w:rPr>
                <w:rFonts w:ascii="Arial (Body)" w:hAnsi="Arial (Body)" w:hint="eastAsia"/>
                <w:color w:val="000000"/>
              </w:rPr>
              <w:t> </w:t>
            </w:r>
            <w:r>
              <w:rPr>
                <w:rFonts w:ascii="Arial (Body)" w:hAnsi="Arial (Body)"/>
                <w:color w:val="000000"/>
              </w:rPr>
              <w:t>months</w:t>
            </w:r>
          </w:p>
        </w:tc>
        <w:tc>
          <w:tcPr>
            <w:tcW w:w="1913" w:type="dxa"/>
            <w:shd w:val="clear" w:color="auto" w:fill="auto"/>
            <w:vAlign w:val="bottom"/>
          </w:tcPr>
          <w:p w14:paraId="21C517A2"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0.5</w:t>
            </w:r>
          </w:p>
        </w:tc>
        <w:tc>
          <w:tcPr>
            <w:tcW w:w="2091" w:type="dxa"/>
            <w:shd w:val="clear" w:color="auto" w:fill="auto"/>
            <w:vAlign w:val="bottom"/>
          </w:tcPr>
          <w:p w14:paraId="21286B6F"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$7</w:t>
            </w:r>
            <w:r>
              <w:rPr>
                <w:rFonts w:ascii="Arial (Body)" w:hAnsi="Arial (Body)" w:hint="eastAsia"/>
                <w:color w:val="000000"/>
              </w:rPr>
              <w:t> </w:t>
            </w:r>
            <w:r>
              <w:rPr>
                <w:rFonts w:ascii="Arial (Body)" w:hAnsi="Arial (Body)"/>
                <w:color w:val="000000"/>
              </w:rPr>
              <w:t>000</w:t>
            </w:r>
          </w:p>
        </w:tc>
        <w:tc>
          <w:tcPr>
            <w:tcW w:w="2091" w:type="dxa"/>
            <w:tcBorders>
              <w:top w:val="nil"/>
              <w:left w:val="nil"/>
              <w:bottom w:val="nil"/>
              <w:right w:val="nil"/>
            </w:tcBorders>
            <w:shd w:val="clear" w:color="auto" w:fill="auto"/>
            <w:vAlign w:val="bottom"/>
          </w:tcPr>
          <w:p w14:paraId="26AE430A" w14:textId="110EFDF0" w:rsidR="00D62F80" w:rsidRPr="006B39BD" w:rsidRDefault="00762BAE">
            <w:pPr>
              <w:pStyle w:val="TableBody"/>
              <w:spacing w:before="45" w:after="45"/>
              <w:ind w:right="57"/>
              <w:jc w:val="right"/>
            </w:pPr>
            <w:r>
              <w:noBreakHyphen/>
            </w:r>
            <w:r w:rsidR="00D62F80" w:rsidRPr="00A344A8">
              <w:t>$</w:t>
            </w:r>
            <w:r w:rsidR="00D62F80">
              <w:t>200</w:t>
            </w:r>
          </w:p>
        </w:tc>
      </w:tr>
      <w:tr w:rsidR="00D62F80" w:rsidRPr="00030C67" w14:paraId="39A81C9D" w14:textId="77777777" w:rsidTr="00971397">
        <w:tc>
          <w:tcPr>
            <w:tcW w:w="1276" w:type="dxa"/>
            <w:shd w:val="clear" w:color="auto" w:fill="auto"/>
          </w:tcPr>
          <w:p w14:paraId="0FCCF20F" w14:textId="77777777" w:rsidR="00D62F80" w:rsidRDefault="00D62F80">
            <w:pPr>
              <w:pStyle w:val="TableHeading"/>
            </w:pPr>
            <w:r>
              <w:t>Scenario 9</w:t>
            </w:r>
          </w:p>
        </w:tc>
        <w:tc>
          <w:tcPr>
            <w:tcW w:w="2268" w:type="dxa"/>
            <w:shd w:val="clear" w:color="auto" w:fill="auto"/>
            <w:vAlign w:val="bottom"/>
          </w:tcPr>
          <w:p w14:paraId="446EF221"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3</w:t>
            </w:r>
            <w:r>
              <w:rPr>
                <w:rFonts w:ascii="Arial (Body)" w:hAnsi="Arial (Body)" w:hint="eastAsia"/>
                <w:color w:val="000000"/>
              </w:rPr>
              <w:t> </w:t>
            </w:r>
            <w:r>
              <w:rPr>
                <w:rFonts w:ascii="Arial (Body)" w:hAnsi="Arial (Body)"/>
                <w:color w:val="000000"/>
              </w:rPr>
              <w:t>months</w:t>
            </w:r>
          </w:p>
        </w:tc>
        <w:tc>
          <w:tcPr>
            <w:tcW w:w="1913" w:type="dxa"/>
            <w:shd w:val="clear" w:color="auto" w:fill="auto"/>
            <w:vAlign w:val="bottom"/>
          </w:tcPr>
          <w:p w14:paraId="6F4BBD2B"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1.0</w:t>
            </w:r>
          </w:p>
        </w:tc>
        <w:tc>
          <w:tcPr>
            <w:tcW w:w="2091" w:type="dxa"/>
            <w:shd w:val="clear" w:color="auto" w:fill="auto"/>
            <w:vAlign w:val="bottom"/>
          </w:tcPr>
          <w:p w14:paraId="47A50B03"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$7</w:t>
            </w:r>
            <w:r>
              <w:rPr>
                <w:rFonts w:ascii="Arial (Body)" w:hAnsi="Arial (Body)" w:hint="eastAsia"/>
                <w:color w:val="000000"/>
              </w:rPr>
              <w:t> </w:t>
            </w:r>
            <w:r>
              <w:rPr>
                <w:rFonts w:ascii="Arial (Body)" w:hAnsi="Arial (Body)"/>
                <w:color w:val="000000"/>
              </w:rPr>
              <w:t>000</w:t>
            </w:r>
          </w:p>
        </w:tc>
        <w:tc>
          <w:tcPr>
            <w:tcW w:w="2091" w:type="dxa"/>
            <w:tcBorders>
              <w:top w:val="nil"/>
              <w:left w:val="nil"/>
              <w:bottom w:val="nil"/>
              <w:right w:val="nil"/>
            </w:tcBorders>
            <w:shd w:val="clear" w:color="auto" w:fill="auto"/>
            <w:vAlign w:val="bottom"/>
          </w:tcPr>
          <w:p w14:paraId="21A45D9D" w14:textId="7158077E" w:rsidR="00D62F80" w:rsidRPr="006B39BD" w:rsidRDefault="00762BAE">
            <w:pPr>
              <w:pStyle w:val="TableBody"/>
              <w:spacing w:before="45" w:after="45"/>
              <w:ind w:right="57"/>
              <w:jc w:val="right"/>
            </w:pPr>
            <w:r>
              <w:noBreakHyphen/>
            </w:r>
            <w:r w:rsidR="00D62F80" w:rsidRPr="00A344A8">
              <w:t>$</w:t>
            </w:r>
            <w:r w:rsidR="00D62F80">
              <w:t>200</w:t>
            </w:r>
          </w:p>
        </w:tc>
      </w:tr>
      <w:tr w:rsidR="00D62F80" w:rsidRPr="00030C67" w14:paraId="3684C21D" w14:textId="77777777" w:rsidTr="00971397">
        <w:tc>
          <w:tcPr>
            <w:tcW w:w="1276" w:type="dxa"/>
            <w:shd w:val="clear" w:color="auto" w:fill="auto"/>
          </w:tcPr>
          <w:p w14:paraId="015E7EF1" w14:textId="77777777" w:rsidR="00D62F80" w:rsidRDefault="00D62F80">
            <w:pPr>
              <w:pStyle w:val="TableHeading"/>
            </w:pPr>
            <w:r>
              <w:t>Scenario 10</w:t>
            </w:r>
          </w:p>
        </w:tc>
        <w:tc>
          <w:tcPr>
            <w:tcW w:w="2268" w:type="dxa"/>
            <w:shd w:val="clear" w:color="auto" w:fill="auto"/>
            <w:vAlign w:val="bottom"/>
          </w:tcPr>
          <w:p w14:paraId="2138971B"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6</w:t>
            </w:r>
            <w:r>
              <w:rPr>
                <w:rFonts w:ascii="Arial (Body)" w:hAnsi="Arial (Body)" w:hint="eastAsia"/>
                <w:color w:val="000000"/>
              </w:rPr>
              <w:t> </w:t>
            </w:r>
            <w:r>
              <w:rPr>
                <w:rFonts w:ascii="Arial (Body)" w:hAnsi="Arial (Body)"/>
                <w:color w:val="000000"/>
              </w:rPr>
              <w:t>months</w:t>
            </w:r>
          </w:p>
        </w:tc>
        <w:tc>
          <w:tcPr>
            <w:tcW w:w="1913" w:type="dxa"/>
            <w:shd w:val="clear" w:color="auto" w:fill="auto"/>
            <w:vAlign w:val="bottom"/>
          </w:tcPr>
          <w:p w14:paraId="13099917"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1.0</w:t>
            </w:r>
          </w:p>
        </w:tc>
        <w:tc>
          <w:tcPr>
            <w:tcW w:w="2091" w:type="dxa"/>
            <w:shd w:val="clear" w:color="auto" w:fill="auto"/>
            <w:vAlign w:val="bottom"/>
          </w:tcPr>
          <w:p w14:paraId="7242C1C2"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$7</w:t>
            </w:r>
            <w:r>
              <w:rPr>
                <w:rFonts w:ascii="Arial (Body)" w:hAnsi="Arial (Body)" w:hint="eastAsia"/>
                <w:color w:val="000000"/>
              </w:rPr>
              <w:t> </w:t>
            </w:r>
            <w:r>
              <w:rPr>
                <w:rFonts w:ascii="Arial (Body)" w:hAnsi="Arial (Body)"/>
                <w:color w:val="000000"/>
              </w:rPr>
              <w:t>000</w:t>
            </w:r>
          </w:p>
        </w:tc>
        <w:tc>
          <w:tcPr>
            <w:tcW w:w="2091" w:type="dxa"/>
            <w:tcBorders>
              <w:top w:val="nil"/>
              <w:left w:val="nil"/>
              <w:bottom w:val="nil"/>
              <w:right w:val="nil"/>
            </w:tcBorders>
            <w:shd w:val="clear" w:color="auto" w:fill="auto"/>
            <w:vAlign w:val="bottom"/>
          </w:tcPr>
          <w:p w14:paraId="06103318" w14:textId="6192F150" w:rsidR="00D62F80" w:rsidRPr="006B39BD" w:rsidRDefault="00762BAE">
            <w:pPr>
              <w:pStyle w:val="TableBody"/>
              <w:spacing w:before="45" w:after="45"/>
              <w:ind w:right="57"/>
              <w:jc w:val="right"/>
            </w:pPr>
            <w:r>
              <w:noBreakHyphen/>
            </w:r>
            <w:r w:rsidR="00D62F80" w:rsidRPr="00A344A8">
              <w:t>$</w:t>
            </w:r>
            <w:r w:rsidR="00D62F80">
              <w:t>1400</w:t>
            </w:r>
          </w:p>
        </w:tc>
      </w:tr>
      <w:tr w:rsidR="00D62F80" w:rsidRPr="00030C67" w14:paraId="5CE324E9" w14:textId="77777777" w:rsidTr="00971397">
        <w:tc>
          <w:tcPr>
            <w:tcW w:w="1276" w:type="dxa"/>
            <w:tcBorders>
              <w:bottom w:val="nil"/>
            </w:tcBorders>
            <w:shd w:val="clear" w:color="auto" w:fill="auto"/>
          </w:tcPr>
          <w:p w14:paraId="1E179453" w14:textId="77777777" w:rsidR="00D62F80" w:rsidRDefault="00D62F80">
            <w:pPr>
              <w:pStyle w:val="TableHeading"/>
            </w:pPr>
            <w:r>
              <w:t>Scenario 11</w:t>
            </w:r>
          </w:p>
        </w:tc>
        <w:tc>
          <w:tcPr>
            <w:tcW w:w="2268" w:type="dxa"/>
            <w:tcBorders>
              <w:bottom w:val="nil"/>
            </w:tcBorders>
            <w:shd w:val="clear" w:color="auto" w:fill="auto"/>
            <w:vAlign w:val="bottom"/>
          </w:tcPr>
          <w:p w14:paraId="09A1FA10"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3</w:t>
            </w:r>
            <w:r>
              <w:rPr>
                <w:rFonts w:ascii="Arial (Body)" w:hAnsi="Arial (Body)" w:hint="eastAsia"/>
                <w:color w:val="000000"/>
              </w:rPr>
              <w:t> </w:t>
            </w:r>
            <w:r>
              <w:rPr>
                <w:rFonts w:ascii="Arial (Body)" w:hAnsi="Arial (Body)"/>
                <w:color w:val="000000"/>
              </w:rPr>
              <w:t>months</w:t>
            </w:r>
          </w:p>
        </w:tc>
        <w:tc>
          <w:tcPr>
            <w:tcW w:w="1913" w:type="dxa"/>
            <w:tcBorders>
              <w:bottom w:val="nil"/>
            </w:tcBorders>
            <w:shd w:val="clear" w:color="auto" w:fill="auto"/>
            <w:vAlign w:val="bottom"/>
          </w:tcPr>
          <w:p w14:paraId="2602FD59"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2.0</w:t>
            </w:r>
          </w:p>
        </w:tc>
        <w:tc>
          <w:tcPr>
            <w:tcW w:w="2091" w:type="dxa"/>
            <w:tcBorders>
              <w:bottom w:val="nil"/>
            </w:tcBorders>
            <w:shd w:val="clear" w:color="auto" w:fill="auto"/>
            <w:vAlign w:val="bottom"/>
          </w:tcPr>
          <w:p w14:paraId="5BBE0863"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$7</w:t>
            </w:r>
            <w:r>
              <w:rPr>
                <w:rFonts w:ascii="Arial (Body)" w:hAnsi="Arial (Body)" w:hint="eastAsia"/>
                <w:color w:val="000000"/>
              </w:rPr>
              <w:t> </w:t>
            </w:r>
            <w:r>
              <w:rPr>
                <w:rFonts w:ascii="Arial (Body)" w:hAnsi="Arial (Body)"/>
                <w:color w:val="000000"/>
              </w:rPr>
              <w:t>000</w:t>
            </w:r>
          </w:p>
        </w:tc>
        <w:tc>
          <w:tcPr>
            <w:tcW w:w="2091" w:type="dxa"/>
            <w:tcBorders>
              <w:top w:val="nil"/>
              <w:left w:val="nil"/>
              <w:bottom w:val="nil"/>
              <w:right w:val="nil"/>
            </w:tcBorders>
            <w:shd w:val="clear" w:color="auto" w:fill="auto"/>
            <w:vAlign w:val="bottom"/>
          </w:tcPr>
          <w:p w14:paraId="24549BA1" w14:textId="0C36B038" w:rsidR="00D62F80" w:rsidRPr="006B39BD" w:rsidRDefault="00762BAE">
            <w:pPr>
              <w:pStyle w:val="TableBody"/>
              <w:spacing w:before="45" w:after="45"/>
              <w:ind w:right="57"/>
              <w:jc w:val="right"/>
            </w:pPr>
            <w:r>
              <w:noBreakHyphen/>
            </w:r>
            <w:r w:rsidR="00D62F80" w:rsidRPr="00A344A8">
              <w:t>$</w:t>
            </w:r>
            <w:r w:rsidR="00D62F80">
              <w:t>1000</w:t>
            </w:r>
          </w:p>
        </w:tc>
      </w:tr>
      <w:tr w:rsidR="00D62F80" w:rsidRPr="00030C67" w14:paraId="48D8A662" w14:textId="77777777" w:rsidTr="00971397">
        <w:tc>
          <w:tcPr>
            <w:tcW w:w="1276" w:type="dxa"/>
            <w:tcBorders>
              <w:bottom w:val="single" w:sz="4" w:space="0" w:color="BFBFBF" w:themeColor="background1" w:themeShade="BF"/>
            </w:tcBorders>
            <w:shd w:val="clear" w:color="auto" w:fill="auto"/>
          </w:tcPr>
          <w:p w14:paraId="110BEC0B" w14:textId="77777777" w:rsidR="00D62F80" w:rsidRDefault="00D62F80">
            <w:pPr>
              <w:pStyle w:val="TableHeading"/>
            </w:pPr>
            <w:r>
              <w:t>Scenario 12</w:t>
            </w:r>
          </w:p>
        </w:tc>
        <w:tc>
          <w:tcPr>
            <w:tcW w:w="2268" w:type="dxa"/>
            <w:tcBorders>
              <w:bottom w:val="single" w:sz="4" w:space="0" w:color="BFBFBF" w:themeColor="background1" w:themeShade="BF"/>
            </w:tcBorders>
            <w:shd w:val="clear" w:color="auto" w:fill="auto"/>
            <w:vAlign w:val="bottom"/>
          </w:tcPr>
          <w:p w14:paraId="116B1CF8"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6</w:t>
            </w:r>
            <w:r>
              <w:rPr>
                <w:rFonts w:ascii="Arial (Body)" w:hAnsi="Arial (Body)" w:hint="eastAsia"/>
                <w:color w:val="000000"/>
              </w:rPr>
              <w:t> </w:t>
            </w:r>
            <w:r>
              <w:rPr>
                <w:rFonts w:ascii="Arial (Body)" w:hAnsi="Arial (Body)"/>
                <w:color w:val="000000"/>
              </w:rPr>
              <w:t>months</w:t>
            </w:r>
          </w:p>
        </w:tc>
        <w:tc>
          <w:tcPr>
            <w:tcW w:w="1913" w:type="dxa"/>
            <w:tcBorders>
              <w:bottom w:val="single" w:sz="4" w:space="0" w:color="BFBFBF" w:themeColor="background1" w:themeShade="BF"/>
            </w:tcBorders>
            <w:shd w:val="clear" w:color="auto" w:fill="auto"/>
            <w:vAlign w:val="bottom"/>
          </w:tcPr>
          <w:p w14:paraId="554307B2"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2.0</w:t>
            </w:r>
          </w:p>
        </w:tc>
        <w:tc>
          <w:tcPr>
            <w:tcW w:w="2091" w:type="dxa"/>
            <w:tcBorders>
              <w:bottom w:val="single" w:sz="4" w:space="0" w:color="BFBFBF" w:themeColor="background1" w:themeShade="BF"/>
            </w:tcBorders>
            <w:shd w:val="clear" w:color="auto" w:fill="auto"/>
            <w:vAlign w:val="bottom"/>
          </w:tcPr>
          <w:p w14:paraId="078B1AF3" w14:textId="77777777" w:rsidR="00D62F80" w:rsidRDefault="00D62F80">
            <w:pPr>
              <w:pStyle w:val="TableBody"/>
              <w:spacing w:before="45" w:after="45"/>
              <w:ind w:right="108"/>
              <w:jc w:val="right"/>
              <w:rPr>
                <w:rFonts w:ascii="Arial (Body)" w:hAnsi="Arial (Body)"/>
                <w:color w:val="000000"/>
              </w:rPr>
            </w:pPr>
            <w:r>
              <w:rPr>
                <w:rFonts w:ascii="Arial (Body)" w:hAnsi="Arial (Body)"/>
                <w:color w:val="000000"/>
              </w:rPr>
              <w:t>$7</w:t>
            </w:r>
            <w:r>
              <w:rPr>
                <w:rFonts w:ascii="Arial (Body)" w:hAnsi="Arial (Body)" w:hint="eastAsia"/>
                <w:color w:val="000000"/>
              </w:rPr>
              <w:t> </w:t>
            </w:r>
            <w:r>
              <w:rPr>
                <w:rFonts w:ascii="Arial (Body)" w:hAnsi="Arial (Body)"/>
                <w:color w:val="000000"/>
              </w:rPr>
              <w:t>000</w:t>
            </w:r>
          </w:p>
        </w:tc>
        <w:tc>
          <w:tcPr>
            <w:tcW w:w="2091" w:type="dxa"/>
            <w:tcBorders>
              <w:top w:val="nil"/>
              <w:left w:val="nil"/>
              <w:bottom w:val="single" w:sz="4" w:space="0" w:color="BFBFBF" w:themeColor="background1" w:themeShade="BF"/>
              <w:right w:val="nil"/>
            </w:tcBorders>
            <w:shd w:val="clear" w:color="auto" w:fill="auto"/>
            <w:vAlign w:val="bottom"/>
          </w:tcPr>
          <w:p w14:paraId="7E95833D" w14:textId="5C72DA30" w:rsidR="00D62F80" w:rsidRPr="006B39BD" w:rsidRDefault="00762BAE">
            <w:pPr>
              <w:pStyle w:val="TableBody"/>
              <w:spacing w:before="45" w:after="45"/>
              <w:ind w:right="57"/>
              <w:jc w:val="right"/>
            </w:pPr>
            <w:r>
              <w:noBreakHyphen/>
            </w:r>
            <w:r w:rsidR="00D62F80" w:rsidRPr="00A344A8">
              <w:t>$</w:t>
            </w:r>
            <w:r w:rsidR="00D62F80">
              <w:t>2700</w:t>
            </w:r>
          </w:p>
        </w:tc>
      </w:tr>
    </w:tbl>
    <w:p w14:paraId="64B8454C" w14:textId="63EC3CAE" w:rsidR="00B11A7B" w:rsidRDefault="00B11A7B" w:rsidP="00EF0E02">
      <w:pPr>
        <w:pStyle w:val="Note"/>
      </w:pPr>
      <w:r w:rsidRPr="00EF0E02">
        <w:rPr>
          <w:b/>
          <w:bCs/>
        </w:rPr>
        <w:t>a</w:t>
      </w:r>
      <w:r w:rsidR="00EF0FA9">
        <w:rPr>
          <w:b/>
          <w:bCs/>
        </w:rPr>
        <w:t>.</w:t>
      </w:r>
      <w:r>
        <w:t xml:space="preserve"> </w:t>
      </w:r>
      <w:r w:rsidRPr="00B11A7B">
        <w:t>Average amount of leave taken by entitlement users who would otherwise have continued in paid work</w:t>
      </w:r>
      <w:r>
        <w:t xml:space="preserve">. </w:t>
      </w:r>
      <w:r w:rsidR="00EF0FA9">
        <w:rPr>
          <w:b/>
          <w:bCs/>
        </w:rPr>
        <w:t>b.</w:t>
      </w:r>
      <w:r>
        <w:t xml:space="preserve"> Number of entitlement users who otherwise </w:t>
      </w:r>
      <w:r w:rsidR="00125818">
        <w:t xml:space="preserve">would </w:t>
      </w:r>
      <w:r>
        <w:t xml:space="preserve">have continued in paid work per entitlement user who would have quit their job. </w:t>
      </w:r>
      <w:r w:rsidR="00BA07AE" w:rsidRPr="00EF0E02">
        <w:rPr>
          <w:b/>
          <w:bCs/>
        </w:rPr>
        <w:t>c</w:t>
      </w:r>
      <w:r w:rsidR="00EF0FA9">
        <w:rPr>
          <w:b/>
          <w:bCs/>
        </w:rPr>
        <w:t>.</w:t>
      </w:r>
      <w:r w:rsidR="00BA07AE">
        <w:t> Average foregone income tax receipts per entitlement user who would otherwise have continued in paid work per year of leave taken.</w:t>
      </w:r>
    </w:p>
    <w:p w14:paraId="0F7B9CCC" w14:textId="4F4F1533" w:rsidR="0036049D" w:rsidRDefault="0036049D" w:rsidP="0036049D">
      <w:pPr>
        <w:pStyle w:val="Source"/>
      </w:pPr>
      <w:r w:rsidRPr="00696447">
        <w:t xml:space="preserve">Source: </w:t>
      </w:r>
      <w:r w:rsidR="005F13D9">
        <w:t xml:space="preserve">Productivity </w:t>
      </w:r>
      <w:r>
        <w:t>C</w:t>
      </w:r>
      <w:r w:rsidR="00CA1C66">
        <w:t>ommission</w:t>
      </w:r>
      <w:r>
        <w:t xml:space="preserve"> estimates. </w:t>
      </w:r>
    </w:p>
    <w:p w14:paraId="3CE68B8C" w14:textId="58BD1B4C" w:rsidR="00A9216E" w:rsidRDefault="00A9216E" w:rsidP="00A9216E">
      <w:pPr>
        <w:pStyle w:val="BodyText"/>
      </w:pPr>
      <w:r>
        <w:t xml:space="preserve">The remainder of this section outlines the </w:t>
      </w:r>
      <w:r w:rsidR="0081385C">
        <w:t>basi</w:t>
      </w:r>
      <w:r w:rsidR="009E5B23">
        <w:t xml:space="preserve">s for the </w:t>
      </w:r>
      <w:r>
        <w:t>estimates summarised in table 2.</w:t>
      </w:r>
    </w:p>
    <w:p w14:paraId="7EAAA6EF" w14:textId="6701A36D" w:rsidR="0009353B" w:rsidRDefault="00634391" w:rsidP="0009353B">
      <w:pPr>
        <w:pStyle w:val="Heading3"/>
      </w:pPr>
      <w:r>
        <w:lastRenderedPageBreak/>
        <w:t>F</w:t>
      </w:r>
      <w:r w:rsidR="0009353B">
        <w:t xml:space="preserve">iscal </w:t>
      </w:r>
      <w:r w:rsidR="00F42B65">
        <w:t xml:space="preserve">effects of </w:t>
      </w:r>
      <w:r w:rsidR="0009353B">
        <w:t>leave taken by</w:t>
      </w:r>
      <w:r>
        <w:t xml:space="preserve"> entitlement users who would otherwise have continued in paid work</w:t>
      </w:r>
    </w:p>
    <w:p w14:paraId="73D32385" w14:textId="4C9BE242" w:rsidR="0009353B" w:rsidRDefault="00C973ED" w:rsidP="0009353B">
      <w:pPr>
        <w:pStyle w:val="Heading4"/>
      </w:pPr>
      <w:r>
        <w:t>Effect on</w:t>
      </w:r>
      <w:r w:rsidR="00904418">
        <w:t xml:space="preserve"> income </w:t>
      </w:r>
      <w:r w:rsidR="0009353B">
        <w:t>tax receipts</w:t>
      </w:r>
    </w:p>
    <w:p w14:paraId="27D9CBAD" w14:textId="29B00984" w:rsidR="00D01189" w:rsidRDefault="006C55F3" w:rsidP="006C55F3">
      <w:pPr>
        <w:pStyle w:val="BodyText"/>
      </w:pPr>
      <w:r>
        <w:t xml:space="preserve">Had </w:t>
      </w:r>
      <w:r w:rsidR="00DD7D18">
        <w:t xml:space="preserve">the proposed </w:t>
      </w:r>
      <w:r>
        <w:t xml:space="preserve">entitlement </w:t>
      </w:r>
      <w:r w:rsidR="002B5183">
        <w:t>be</w:t>
      </w:r>
      <w:r w:rsidR="00A35A02">
        <w:t>en</w:t>
      </w:r>
      <w:r>
        <w:t xml:space="preserve"> </w:t>
      </w:r>
      <w:r w:rsidR="003233C7">
        <w:t xml:space="preserve">in place </w:t>
      </w:r>
      <w:r>
        <w:t>in 2018</w:t>
      </w:r>
      <w:r w:rsidR="00762BAE">
        <w:noBreakHyphen/>
      </w:r>
      <w:r>
        <w:t xml:space="preserve">19, the </w:t>
      </w:r>
      <w:r w:rsidR="00BC2D8F">
        <w:t>leave</w:t>
      </w:r>
      <w:r w:rsidR="00FB0672">
        <w:t xml:space="preserve"> that would have been</w:t>
      </w:r>
      <w:r w:rsidR="00BC2D8F">
        <w:t xml:space="preserve"> </w:t>
      </w:r>
      <w:r w:rsidR="004066FA">
        <w:t xml:space="preserve">taken by </w:t>
      </w:r>
      <w:r w:rsidR="000569F2">
        <w:t xml:space="preserve">users </w:t>
      </w:r>
      <w:r w:rsidR="004066FA">
        <w:t>who continued in paid work</w:t>
      </w:r>
      <w:r>
        <w:t xml:space="preserve"> would have reduced income tax receipts </w:t>
      </w:r>
      <w:r w:rsidR="000618F0">
        <w:t>(</w:t>
      </w:r>
      <w:r w:rsidR="007822AA">
        <w:t xml:space="preserve">because </w:t>
      </w:r>
      <w:r w:rsidR="00900B6B">
        <w:t>there would be less</w:t>
      </w:r>
      <w:r w:rsidR="007822AA">
        <w:t xml:space="preserve"> </w:t>
      </w:r>
      <w:r>
        <w:t>paid work</w:t>
      </w:r>
      <w:r w:rsidR="00F07F78">
        <w:t>)</w:t>
      </w:r>
      <w:r>
        <w:t>.</w:t>
      </w:r>
    </w:p>
    <w:p w14:paraId="165C2378" w14:textId="7ABAD26D" w:rsidR="00DE694D" w:rsidRDefault="006C55F3" w:rsidP="006C55F3">
      <w:pPr>
        <w:pStyle w:val="BodyText"/>
      </w:pPr>
      <w:r>
        <w:t xml:space="preserve">We </w:t>
      </w:r>
      <w:r w:rsidR="00185100">
        <w:t>conservatively</w:t>
      </w:r>
      <w:r>
        <w:t xml:space="preserve"> </w:t>
      </w:r>
      <w:r w:rsidR="00307C9B">
        <w:t>estimated th</w:t>
      </w:r>
      <w:r w:rsidR="00B872EC">
        <w:t>e reduction in income tax receipts</w:t>
      </w:r>
      <w:r w:rsidR="00307C9B">
        <w:t xml:space="preserve"> to be</w:t>
      </w:r>
      <w:r w:rsidR="009801D0">
        <w:t xml:space="preserve"> </w:t>
      </w:r>
      <w:r>
        <w:t>85 per cent of</w:t>
      </w:r>
      <w:r w:rsidR="003064AA">
        <w:t xml:space="preserve"> the </w:t>
      </w:r>
      <w:r w:rsidR="00404888">
        <w:t xml:space="preserve">income </w:t>
      </w:r>
      <w:r w:rsidR="00307C9B">
        <w:t xml:space="preserve">tax </w:t>
      </w:r>
      <w:r w:rsidR="00D45D26">
        <w:t xml:space="preserve">paid </w:t>
      </w:r>
      <w:r w:rsidR="007064F7">
        <w:t>o</w:t>
      </w:r>
      <w:r w:rsidR="00D45D26">
        <w:t xml:space="preserve">n the income </w:t>
      </w:r>
      <w:proofErr w:type="gramStart"/>
      <w:r w:rsidR="00B872EC">
        <w:t xml:space="preserve">actually </w:t>
      </w:r>
      <w:r w:rsidR="00D45D26">
        <w:t>earned</w:t>
      </w:r>
      <w:proofErr w:type="gramEnd"/>
      <w:r w:rsidR="00D45D26">
        <w:t xml:space="preserve"> </w:t>
      </w:r>
      <w:r w:rsidR="00D2163D">
        <w:t>by those people while they would have been on leave</w:t>
      </w:r>
      <w:r w:rsidR="00185100">
        <w:t xml:space="preserve"> </w:t>
      </w:r>
      <w:r w:rsidR="00090B4C">
        <w:t>(box 3)</w:t>
      </w:r>
      <w:r w:rsidR="00BE1AE2">
        <w:t xml:space="preserve">. </w:t>
      </w:r>
    </w:p>
    <w:p w14:paraId="2244F3B0" w14:textId="614968F4" w:rsidR="006C55F3" w:rsidRDefault="006C55F3" w:rsidP="006C55F3">
      <w:pPr>
        <w:pStyle w:val="BodyText"/>
      </w:pPr>
      <w:r>
        <w:t xml:space="preserve">The average (mean) actual personal income tax paid by </w:t>
      </w:r>
      <w:r w:rsidR="00493A3E">
        <w:t xml:space="preserve">people in </w:t>
      </w:r>
      <w:r w:rsidR="00C5480D">
        <w:t xml:space="preserve">this group </w:t>
      </w:r>
      <w:r>
        <w:t>in 2018</w:t>
      </w:r>
      <w:r w:rsidR="00762BAE">
        <w:noBreakHyphen/>
      </w:r>
      <w:r>
        <w:t xml:space="preserve">19 was about $21 000, which suggests a </w:t>
      </w:r>
      <w:r w:rsidR="00E52169">
        <w:t>decrease</w:t>
      </w:r>
      <w:r>
        <w:t xml:space="preserve"> of about $18 000 per </w:t>
      </w:r>
      <w:r w:rsidR="00E52169">
        <w:t xml:space="preserve">person </w:t>
      </w:r>
      <w:r>
        <w:t>per year of leave taken.</w:t>
      </w:r>
      <w:r w:rsidRPr="00BE59F4">
        <w:rPr>
          <w:rStyle w:val="FootnoteReference"/>
        </w:rPr>
        <w:footnoteReference w:id="12"/>
      </w:r>
      <w:r>
        <w:t xml:space="preserve"> </w:t>
      </w:r>
      <w:r w:rsidR="006C11E4">
        <w:t xml:space="preserve">We also produced an alternative estimate based on the </w:t>
      </w:r>
      <w:r w:rsidR="006C11E4" w:rsidRPr="009948AE">
        <w:rPr>
          <w:i/>
          <w:iCs/>
        </w:rPr>
        <w:t>median</w:t>
      </w:r>
      <w:r w:rsidR="006C11E4">
        <w:t xml:space="preserve"> actual personal income tax paid by </w:t>
      </w:r>
      <w:r w:rsidR="0034665F">
        <w:t xml:space="preserve">members of this group in </w:t>
      </w:r>
      <w:r w:rsidR="006C11E4">
        <w:t>2018</w:t>
      </w:r>
      <w:r w:rsidR="00762BAE">
        <w:noBreakHyphen/>
      </w:r>
      <w:r w:rsidR="006C11E4">
        <w:t xml:space="preserve">19 (about $7 000) of $6 000. </w:t>
      </w:r>
      <w:r>
        <w:t xml:space="preserve">While the </w:t>
      </w:r>
      <w:r w:rsidR="00651C58">
        <w:t>mean</w:t>
      </w:r>
      <w:r>
        <w:t xml:space="preserve"> is the more relevant statistic, the distribution is highly </w:t>
      </w:r>
      <w:proofErr w:type="gramStart"/>
      <w:r>
        <w:t>skewed</w:t>
      </w:r>
      <w:proofErr w:type="gramEnd"/>
      <w:r>
        <w:t xml:space="preserve"> </w:t>
      </w:r>
      <w:r w:rsidR="00DA3432">
        <w:t>and the sample size is small</w:t>
      </w:r>
      <w:r w:rsidR="00016883">
        <w:t xml:space="preserve"> </w:t>
      </w:r>
      <w:r w:rsidR="00075678">
        <w:t xml:space="preserve">so the median </w:t>
      </w:r>
      <w:r w:rsidR="00A317E2">
        <w:t>is a more robust measure.</w:t>
      </w:r>
    </w:p>
    <w:p w14:paraId="2C419259" w14:textId="5EE0A628" w:rsidR="00835435" w:rsidRPr="00F82BD9" w:rsidRDefault="00835435" w:rsidP="00835435">
      <w:pPr>
        <w:pStyle w:val="NoSpacing"/>
      </w:pPr>
    </w:p>
    <w:tbl>
      <w:tblPr>
        <w:tblStyle w:val="Boxtable"/>
        <w:tblW w:w="5000" w:type="pct"/>
        <w:tblLook w:val="04A0" w:firstRow="1" w:lastRow="0" w:firstColumn="1" w:lastColumn="0" w:noHBand="0" w:noVBand="1"/>
      </w:tblPr>
      <w:tblGrid>
        <w:gridCol w:w="9638"/>
      </w:tblGrid>
      <w:tr w:rsidR="00D62F80" w14:paraId="7DD2B72A" w14:textId="77777777">
        <w:trPr>
          <w:tblHeader/>
        </w:trPr>
        <w:tc>
          <w:tcPr>
            <w:tcW w:w="9638" w:type="dxa"/>
            <w:tcMar>
              <w:top w:w="170" w:type="dxa"/>
              <w:left w:w="170" w:type="dxa"/>
              <w:bottom w:w="113" w:type="dxa"/>
              <w:right w:w="170" w:type="dxa"/>
            </w:tcMar>
            <w:hideMark/>
          </w:tcPr>
          <w:p w14:paraId="639247A0" w14:textId="41077D25" w:rsidR="00D62F80" w:rsidRDefault="00D62F80">
            <w:pPr>
              <w:pStyle w:val="BoxHeading1"/>
            </w:pPr>
            <w:r>
              <w:t>Box</w:t>
            </w:r>
            <w:r w:rsidR="007D60A9">
              <w:t> </w:t>
            </w:r>
            <w:fldSimple w:instr=" SEQ Box \* ARABIC \s 1 ">
              <w:r w:rsidR="00634153">
                <w:rPr>
                  <w:noProof/>
                </w:rPr>
                <w:t>3</w:t>
              </w:r>
            </w:fldSimple>
            <w:r>
              <w:t xml:space="preserve"> – Effect of leave taken by entitlement users who would otherwise </w:t>
            </w:r>
            <w:proofErr w:type="spellStart"/>
            <w:proofErr w:type="gramStart"/>
            <w:r>
              <w:t>continued</w:t>
            </w:r>
            <w:proofErr w:type="spellEnd"/>
            <w:proofErr w:type="gramEnd"/>
            <w:r>
              <w:t xml:space="preserve"> in paid work on income tax receipts</w:t>
            </w:r>
          </w:p>
        </w:tc>
      </w:tr>
      <w:tr w:rsidR="00D62F80" w14:paraId="67F0D800" w14:textId="77777777">
        <w:tc>
          <w:tcPr>
            <w:tcW w:w="9638" w:type="dxa"/>
            <w:tcMar>
              <w:top w:w="28" w:type="dxa"/>
              <w:left w:w="170" w:type="dxa"/>
              <w:bottom w:w="170" w:type="dxa"/>
              <w:right w:w="170" w:type="dxa"/>
            </w:tcMar>
            <w:hideMark/>
          </w:tcPr>
          <w:p w14:paraId="17C9B1A2" w14:textId="77777777" w:rsidR="00D62F80" w:rsidRDefault="00D62F80">
            <w:pPr>
              <w:pStyle w:val="BodyText"/>
            </w:pPr>
            <w:r>
              <w:t>What effect would leave taken by entitlement users who would otherwise continue in paid work have on income tax receipts? The answer depends on how employers respond.</w:t>
            </w:r>
          </w:p>
          <w:p w14:paraId="2FB05291" w14:textId="77777777" w:rsidR="00D62F80" w:rsidRPr="00137355" w:rsidRDefault="00D62F80">
            <w:pPr>
              <w:pStyle w:val="ListBullet"/>
            </w:pPr>
            <w:r w:rsidRPr="00137355">
              <w:t xml:space="preserve">If the entitlement user is not </w:t>
            </w:r>
            <w:proofErr w:type="gramStart"/>
            <w:r w:rsidRPr="00137355">
              <w:t>replaced, or</w:t>
            </w:r>
            <w:proofErr w:type="gramEnd"/>
            <w:r w:rsidRPr="00137355">
              <w:t xml:space="preserve"> is replaced by existing employees working additional hours without being remunerated, then there will be a reduction in economywide income tax receipts approximately equal to the reduction in income taxes paid by the entitlement user.</w:t>
            </w:r>
          </w:p>
          <w:p w14:paraId="1A5C5FCB" w14:textId="77777777" w:rsidR="00D62F80" w:rsidRPr="00137355" w:rsidRDefault="00D62F80">
            <w:pPr>
              <w:pStyle w:val="ListBullet"/>
            </w:pPr>
            <w:r w:rsidRPr="00137355">
              <w:t>If the entitlement user is replaced by a new employee</w:t>
            </w:r>
            <w:r>
              <w:t xml:space="preserve"> who is pulled away from other sectors of the economy, </w:t>
            </w:r>
            <w:r w:rsidRPr="00137355">
              <w:t>there will</w:t>
            </w:r>
            <w:r>
              <w:t xml:space="preserve"> </w:t>
            </w:r>
            <w:r w:rsidRPr="00137355">
              <w:t xml:space="preserve">be a reduction in economywide income tax receipts </w:t>
            </w:r>
            <w:r>
              <w:t>because the leave taking constitutes a temporary overall reduction in employment</w:t>
            </w:r>
            <w:r w:rsidRPr="00137355">
              <w:t>.</w:t>
            </w:r>
          </w:p>
          <w:p w14:paraId="64D39D6D" w14:textId="77777777" w:rsidR="00D62F80" w:rsidRPr="00137355" w:rsidRDefault="00D62F80">
            <w:pPr>
              <w:pStyle w:val="ListBullet"/>
            </w:pPr>
            <w:r w:rsidRPr="00137355">
              <w:t xml:space="preserve">If the employee is replaced existing employees working additional hours for which they are remunerated, there would be a negligible economywide effect on income tax receipts. </w:t>
            </w:r>
          </w:p>
          <w:p w14:paraId="254B3EA8" w14:textId="76734CAC" w:rsidR="00D62F80" w:rsidRPr="00945D6E" w:rsidRDefault="00D62F80">
            <w:pPr>
              <w:pStyle w:val="BodyText"/>
              <w:rPr>
                <w:rFonts w:ascii="Arial" w:hAnsi="Arial" w:cs="Arial"/>
                <w:szCs w:val="24"/>
                <w:vertAlign w:val="superscript"/>
              </w:rPr>
            </w:pPr>
            <w:r w:rsidRPr="00852DA2">
              <w:t>We have assumed that 15 per cent of the paid work that entitlement users would have undertaken while on leave would have been replaced by existing employees working additional remunerated hours. This is based on the</w:t>
            </w:r>
            <w:r>
              <w:t xml:space="preserve"> results of the studies of parental leave entitlements surveyed in section </w:t>
            </w:r>
            <w:proofErr w:type="gramStart"/>
            <w:r>
              <w:t>3, but</w:t>
            </w:r>
            <w:proofErr w:type="gramEnd"/>
            <w:r>
              <w:t xml:space="preserve"> is on the conservative side (meaning that the actual share is probably somewhat lower, leading to a larger decrease to income tax receipts than found here). </w:t>
            </w:r>
            <w:r>
              <w:rPr>
                <w:rFonts w:ascii="Arial" w:hAnsi="Arial" w:cs="Arial"/>
                <w:szCs w:val="24"/>
              </w:rPr>
              <w:t>Gallen </w:t>
            </w:r>
            <w:r w:rsidRPr="00626C08">
              <w:rPr>
                <w:rFonts w:ascii="Arial" w:hAnsi="Arial" w:cs="Arial"/>
              </w:rPr>
              <w:t>(2018)</w:t>
            </w:r>
            <w:r>
              <w:rPr>
                <w:rFonts w:ascii="Arial" w:hAnsi="Arial" w:cs="Arial"/>
                <w:szCs w:val="24"/>
              </w:rPr>
              <w:t xml:space="preserve"> found that </w:t>
            </w:r>
            <w:r>
              <w:t>existing employees worked very few additional (remunerated) hours in response to leave</w:t>
            </w:r>
            <w:r w:rsidR="00762BAE">
              <w:noBreakHyphen/>
            </w:r>
            <w:r>
              <w:t xml:space="preserve">taking, while </w:t>
            </w:r>
            <w:r w:rsidRPr="005B1C46">
              <w:rPr>
                <w:rFonts w:ascii="Arial" w:hAnsi="Arial" w:cs="Arial"/>
                <w:szCs w:val="24"/>
              </w:rPr>
              <w:t>Brenøe et al.</w:t>
            </w:r>
            <w:r>
              <w:rPr>
                <w:rFonts w:ascii="Arial" w:hAnsi="Arial" w:cs="Arial"/>
                <w:szCs w:val="24"/>
              </w:rPr>
              <w:t> </w:t>
            </w:r>
            <w:r w:rsidRPr="008F661E">
              <w:rPr>
                <w:rFonts w:ascii="Arial" w:hAnsi="Arial" w:cs="Arial"/>
              </w:rPr>
              <w:t>(2020)</w:t>
            </w:r>
            <w:r>
              <w:rPr>
                <w:rFonts w:ascii="Arial" w:hAnsi="Arial" w:cs="Arial"/>
                <w:szCs w:val="24"/>
              </w:rPr>
              <w:t xml:space="preserve"> found that they performed about 14 per cent of the additional paid </w:t>
            </w:r>
            <w:proofErr w:type="spellStart"/>
            <w:proofErr w:type="gramStart"/>
            <w:r>
              <w:rPr>
                <w:rFonts w:ascii="Arial" w:hAnsi="Arial" w:cs="Arial"/>
                <w:szCs w:val="24"/>
              </w:rPr>
              <w:t>work.</w:t>
            </w:r>
            <w:r w:rsidRPr="00204101">
              <w:rPr>
                <w:rFonts w:ascii="Arial" w:hAnsi="Arial" w:cs="Arial"/>
                <w:b/>
                <w:bCs/>
                <w:szCs w:val="24"/>
                <w:vertAlign w:val="superscript"/>
              </w:rPr>
              <w:t>a</w:t>
            </w:r>
            <w:proofErr w:type="spellEnd"/>
            <w:proofErr w:type="gramEnd"/>
          </w:p>
          <w:p w14:paraId="52AF87A0" w14:textId="77777777" w:rsidR="00D62F80" w:rsidRDefault="00D62F80">
            <w:pPr>
              <w:pStyle w:val="BodyText"/>
            </w:pPr>
            <w:r>
              <w:lastRenderedPageBreak/>
              <w:t>This means that about 85 per cent of the income taxes that would be paid by entitlement users continuing in paid work in the absence of the entitlement are foregone.</w:t>
            </w:r>
          </w:p>
          <w:p w14:paraId="32F2E1BD" w14:textId="77777777" w:rsidR="00D62F80" w:rsidRDefault="00D62F80">
            <w:pPr>
              <w:pStyle w:val="BodyText"/>
            </w:pPr>
            <w:r>
              <w:t>There are other reasons why this is a conservative estimate of the reduction to income taxes.</w:t>
            </w:r>
          </w:p>
          <w:p w14:paraId="2ACAD69E" w14:textId="77777777" w:rsidR="00D62F80" w:rsidRDefault="00D62F80">
            <w:pPr>
              <w:pStyle w:val="ListBullet"/>
            </w:pPr>
            <w:r>
              <w:t xml:space="preserve">It assumes that </w:t>
            </w:r>
            <w:proofErr w:type="gramStart"/>
            <w:r>
              <w:t>all of</w:t>
            </w:r>
            <w:proofErr w:type="gramEnd"/>
            <w:r>
              <w:t xml:space="preserve"> these entitlement users would exercise their right to return.</w:t>
            </w:r>
          </w:p>
          <w:p w14:paraId="429845C3" w14:textId="0B248435" w:rsidR="00D62F80" w:rsidRDefault="00D62F80">
            <w:pPr>
              <w:pStyle w:val="ListBullet"/>
            </w:pPr>
            <w:r>
              <w:t>It does not account for any entitlement</w:t>
            </w:r>
            <w:r w:rsidR="00762BAE">
              <w:noBreakHyphen/>
            </w:r>
            <w:r>
              <w:t xml:space="preserve">induced reductions to productivity, which would reduce profits and company income tax receipts. </w:t>
            </w:r>
          </w:p>
          <w:p w14:paraId="66B925ED" w14:textId="60FC76C1" w:rsidR="00D62F80" w:rsidRPr="0064130E" w:rsidRDefault="00D62F80">
            <w:pPr>
              <w:pStyle w:val="Note"/>
            </w:pPr>
            <w:r w:rsidRPr="0064130E">
              <w:rPr>
                <w:b/>
                <w:bCs/>
              </w:rPr>
              <w:t>a.</w:t>
            </w:r>
            <w:r w:rsidRPr="00874285">
              <w:t xml:space="preserve"> </w:t>
            </w:r>
            <w:r w:rsidRPr="00F1656B">
              <w:t>Ginja, Karimi and Xiao</w:t>
            </w:r>
            <w:r>
              <w:t> </w:t>
            </w:r>
            <w:r w:rsidRPr="00441D72">
              <w:rPr>
                <w:rFonts w:ascii="Arial" w:hAnsi="Arial" w:cs="Arial"/>
              </w:rPr>
              <w:t>(2023)</w:t>
            </w:r>
            <w:r>
              <w:t xml:space="preserve"> found that existing employees performed 33 per cent of the additional paid work, but this was in a context in which employers, on average, replaced entitlement users by more than one additional employee </w:t>
            </w:r>
            <w:r w:rsidRPr="009E223D">
              <w:rPr>
                <w:i/>
                <w:iCs/>
              </w:rPr>
              <w:t>and</w:t>
            </w:r>
            <w:r>
              <w:t xml:space="preserve"> by existing employees working additional remunerated hours (and with no evidence that output was subsequently higher than it would have been had entitlement user instead worked). The discussion in this box assumes that replacement is one–for–one in terms of hours worked and output. Generalising this to </w:t>
            </w:r>
            <w:r w:rsidRPr="00F1656B">
              <w:t>Ginja, Karimi and Xiao</w:t>
            </w:r>
            <w:r>
              <w:t>’s findings would suggest a larger reduction to economywide paid work on income tax receipts than modelled here.</w:t>
            </w:r>
          </w:p>
        </w:tc>
      </w:tr>
      <w:tr w:rsidR="00D62F80" w14:paraId="6F064414" w14:textId="77777777">
        <w:trPr>
          <w:hidden/>
        </w:trPr>
        <w:tc>
          <w:tcPr>
            <w:tcW w:w="9638" w:type="dxa"/>
            <w:shd w:val="clear" w:color="auto" w:fill="auto"/>
            <w:tcMar>
              <w:top w:w="0" w:type="dxa"/>
              <w:left w:w="170" w:type="dxa"/>
              <w:bottom w:w="0" w:type="dxa"/>
              <w:right w:w="170" w:type="dxa"/>
            </w:tcMar>
          </w:tcPr>
          <w:p w14:paraId="1D9B6F37" w14:textId="6B5336C7" w:rsidR="00D62F80" w:rsidRPr="00465191" w:rsidRDefault="00D62F80">
            <w:pPr>
              <w:pStyle w:val="BodyText"/>
              <w:spacing w:before="0" w:after="0" w:line="80" w:lineRule="atLeast"/>
              <w:rPr>
                <w:smallCaps/>
                <w:vanish/>
              </w:rPr>
            </w:pPr>
          </w:p>
        </w:tc>
      </w:tr>
    </w:tbl>
    <w:p w14:paraId="19826859" w14:textId="46620C92" w:rsidR="007276BC" w:rsidRDefault="003E6B96" w:rsidP="007276BC">
      <w:pPr>
        <w:pStyle w:val="Heading4"/>
      </w:pPr>
      <w:r>
        <w:t xml:space="preserve">Effect on </w:t>
      </w:r>
      <w:r w:rsidR="007276BC">
        <w:t>social security payments</w:t>
      </w:r>
    </w:p>
    <w:p w14:paraId="3AE9CEA9" w14:textId="5867EC53" w:rsidR="007276BC" w:rsidRDefault="00C0672C" w:rsidP="007276BC">
      <w:pPr>
        <w:pStyle w:val="BodyText"/>
      </w:pPr>
      <w:r>
        <w:t>The</w:t>
      </w:r>
      <w:r w:rsidR="00FB0672">
        <w:t xml:space="preserve"> leave that would have been taken by users who continued in paid work</w:t>
      </w:r>
      <w:r w:rsidR="00DA1D10">
        <w:t xml:space="preserve"> would have </w:t>
      </w:r>
      <w:r w:rsidR="00C0131B">
        <w:t>increased social security spending</w:t>
      </w:r>
      <w:r>
        <w:t>.</w:t>
      </w:r>
      <w:r w:rsidR="0033571F">
        <w:t xml:space="preserve"> </w:t>
      </w:r>
      <w:r w:rsidR="006F57BB">
        <w:t xml:space="preserve">As with </w:t>
      </w:r>
      <w:r w:rsidR="000775CD">
        <w:t xml:space="preserve">income tax receipts, we </w:t>
      </w:r>
      <w:r w:rsidR="007276BC">
        <w:t xml:space="preserve">assumed this </w:t>
      </w:r>
      <w:r w:rsidR="00A43EBB">
        <w:t xml:space="preserve">increase </w:t>
      </w:r>
      <w:r w:rsidR="007276BC">
        <w:t xml:space="preserve">to be the social security payments that </w:t>
      </w:r>
      <w:r w:rsidR="008B0464">
        <w:t>this group</w:t>
      </w:r>
      <w:r w:rsidR="007276BC">
        <w:t xml:space="preserve"> would have received </w:t>
      </w:r>
      <w:r w:rsidR="007276BC" w:rsidDel="008B0464">
        <w:t>for</w:t>
      </w:r>
      <w:r w:rsidR="007276BC">
        <w:t xml:space="preserve"> the period of their leave, scaled by 85 per cent</w:t>
      </w:r>
      <w:r w:rsidR="00D03815">
        <w:t xml:space="preserve"> (box 3)</w:t>
      </w:r>
      <w:r w:rsidR="007276BC">
        <w:t>.</w:t>
      </w:r>
    </w:p>
    <w:p w14:paraId="36AA094E" w14:textId="6CE025FA" w:rsidR="007276BC" w:rsidRDefault="007276BC" w:rsidP="007276BC">
      <w:pPr>
        <w:pStyle w:val="BodyText"/>
      </w:pPr>
      <w:r>
        <w:t xml:space="preserve">We assumed that one third of </w:t>
      </w:r>
      <w:r w:rsidR="00F066CA">
        <w:t xml:space="preserve">this group </w:t>
      </w:r>
      <w:r>
        <w:t>would have received the Carer Payment while on leave</w:t>
      </w:r>
      <w:r w:rsidR="00D85B4B">
        <w:t xml:space="preserve">. This is </w:t>
      </w:r>
      <w:r>
        <w:t xml:space="preserve">the share of </w:t>
      </w:r>
      <w:r w:rsidR="003B0048">
        <w:t>carers of older people</w:t>
      </w:r>
      <w:r>
        <w:t xml:space="preserve"> who received either the Carer Payment or Jobseeker Payment (known as the Newstart Allowance</w:t>
      </w:r>
      <w:r w:rsidR="000924E0">
        <w:t xml:space="preserve"> in 2018</w:t>
      </w:r>
      <w:r w:rsidR="00762BAE">
        <w:noBreakHyphen/>
      </w:r>
      <w:r w:rsidR="000924E0">
        <w:t>19</w:t>
      </w:r>
      <w:r>
        <w:t xml:space="preserve">) </w:t>
      </w:r>
      <w:r w:rsidR="00D62F80">
        <w:t xml:space="preserve">when interviewed </w:t>
      </w:r>
      <w:r w:rsidR="003B0048">
        <w:t xml:space="preserve">approximately </w:t>
      </w:r>
      <w:r>
        <w:t xml:space="preserve">6 months after </w:t>
      </w:r>
      <w:r w:rsidR="00B55BAD">
        <w:t>quitting work</w:t>
      </w:r>
      <w:r>
        <w:t xml:space="preserve"> (discussed later).</w:t>
      </w:r>
      <w:r w:rsidRPr="00BE59F4">
        <w:rPr>
          <w:rStyle w:val="FootnoteReference"/>
        </w:rPr>
        <w:footnoteReference w:id="13"/>
      </w:r>
      <w:r>
        <w:t xml:space="preserve"> In 2018</w:t>
      </w:r>
      <w:r w:rsidR="00762BAE">
        <w:noBreakHyphen/>
      </w:r>
      <w:r>
        <w:t xml:space="preserve">19, the Carer Payment </w:t>
      </w:r>
      <w:r w:rsidR="008622F0">
        <w:t xml:space="preserve">was </w:t>
      </w:r>
      <w:r>
        <w:t xml:space="preserve">about $22 000 per </w:t>
      </w:r>
      <w:r w:rsidR="00594015">
        <w:t>year</w:t>
      </w:r>
      <w:r w:rsidR="00D11DE8">
        <w:t xml:space="preserve">, </w:t>
      </w:r>
      <w:r w:rsidR="00D62F80">
        <w:t>and the Carer Allowance was $3300 per year,</w:t>
      </w:r>
      <w:r w:rsidR="00D62F80">
        <w:rPr>
          <w:rStyle w:val="FootnoteReference"/>
        </w:rPr>
        <w:footnoteReference w:id="14"/>
      </w:r>
      <w:r w:rsidR="00D62F80">
        <w:t xml:space="preserve"> </w:t>
      </w:r>
      <w:r w:rsidR="007B2554">
        <w:t>so the increase in social sec</w:t>
      </w:r>
      <w:r w:rsidR="001E66E1">
        <w:t>urity payments would have been approximately</w:t>
      </w:r>
      <w:r>
        <w:t xml:space="preserve"> $</w:t>
      </w:r>
      <w:r w:rsidR="00D62F80">
        <w:t>6900</w:t>
      </w:r>
      <w:r>
        <w:t xml:space="preserve"> per</w:t>
      </w:r>
      <w:r w:rsidR="001E66E1">
        <w:t xml:space="preserve"> person per year of leave taken</w:t>
      </w:r>
      <w:r>
        <w:t>.</w:t>
      </w:r>
    </w:p>
    <w:p w14:paraId="3433BBFF" w14:textId="4C027AA8" w:rsidR="007276BC" w:rsidRDefault="00A37964" w:rsidP="007276BC">
      <w:pPr>
        <w:pStyle w:val="Heading4"/>
      </w:pPr>
      <w:r>
        <w:t xml:space="preserve">Effect on </w:t>
      </w:r>
      <w:r w:rsidR="007276BC">
        <w:t>subsidies for aged care services</w:t>
      </w:r>
    </w:p>
    <w:p w14:paraId="3FBFE421" w14:textId="6AA8E3EE" w:rsidR="007276BC" w:rsidRDefault="00FA53DC" w:rsidP="0010282E">
      <w:pPr>
        <w:pStyle w:val="BodyText"/>
      </w:pPr>
      <w:r>
        <w:t>T</w:t>
      </w:r>
      <w:r w:rsidR="00C0672C">
        <w:t>he leave that would have been taken by users who continued in paid work would have</w:t>
      </w:r>
      <w:r w:rsidR="00CD5BE7">
        <w:t xml:space="preserve"> </w:t>
      </w:r>
      <w:r w:rsidR="00EA672C">
        <w:t>reduced their care recipients’ use of subsidised formal aged care services.</w:t>
      </w:r>
      <w:r w:rsidR="00445D92">
        <w:t xml:space="preserve"> Although the</w:t>
      </w:r>
      <w:r w:rsidR="003161F5" w:rsidDel="00AF5F42">
        <w:t xml:space="preserve"> </w:t>
      </w:r>
      <w:r w:rsidR="00AF5F42">
        <w:t xml:space="preserve">aged care </w:t>
      </w:r>
      <w:r w:rsidR="003161F5">
        <w:t xml:space="preserve">funding arrangements make it unlikely that </w:t>
      </w:r>
      <w:r w:rsidR="006A62F1">
        <w:t xml:space="preserve">an </w:t>
      </w:r>
      <w:r w:rsidR="003161F5">
        <w:t>entitlement would have</w:t>
      </w:r>
      <w:r w:rsidR="00AF5F42">
        <w:t xml:space="preserve"> had</w:t>
      </w:r>
      <w:r w:rsidR="003161F5">
        <w:t xml:space="preserve"> </w:t>
      </w:r>
      <w:r w:rsidR="003161F5" w:rsidRPr="002958F6">
        <w:rPr>
          <w:i/>
        </w:rPr>
        <w:t>any</w:t>
      </w:r>
      <w:r w:rsidR="003161F5">
        <w:t xml:space="preserve"> effect on total government spending on aged care</w:t>
      </w:r>
      <w:r w:rsidR="00445D92">
        <w:t>, this would (counterintuitively) still</w:t>
      </w:r>
      <w:r w:rsidR="00AF5F42">
        <w:t xml:space="preserve"> have</w:t>
      </w:r>
      <w:r w:rsidR="00445D92">
        <w:t xml:space="preserve"> amount</w:t>
      </w:r>
      <w:r w:rsidR="00AF5F42">
        <w:t>ed</w:t>
      </w:r>
      <w:r w:rsidR="00445D92">
        <w:t xml:space="preserve"> to a fiscal benefit</w:t>
      </w:r>
      <w:r w:rsidR="00AE2F6E">
        <w:t xml:space="preserve"> (</w:t>
      </w:r>
      <w:r w:rsidR="000B7240">
        <w:t>box 4)</w:t>
      </w:r>
      <w:r w:rsidR="00445D92">
        <w:t>.</w:t>
      </w:r>
    </w:p>
    <w:p w14:paraId="39A80446" w14:textId="4F8F6698" w:rsidR="00433F2E" w:rsidRPr="00F82BD9" w:rsidRDefault="00433F2E" w:rsidP="00D3434B">
      <w:pPr>
        <w:pStyle w:val="NoSpacing"/>
        <w:keepNext/>
      </w:pPr>
    </w:p>
    <w:tbl>
      <w:tblPr>
        <w:tblStyle w:val="Boxtable"/>
        <w:tblW w:w="5000" w:type="pct"/>
        <w:tblLook w:val="04A0" w:firstRow="1" w:lastRow="0" w:firstColumn="1" w:lastColumn="0" w:noHBand="0" w:noVBand="1"/>
      </w:tblPr>
      <w:tblGrid>
        <w:gridCol w:w="9638"/>
      </w:tblGrid>
      <w:tr w:rsidR="00D62F80" w14:paraId="03AFCD2D" w14:textId="77777777">
        <w:trPr>
          <w:tblHeader/>
        </w:trPr>
        <w:tc>
          <w:tcPr>
            <w:tcW w:w="9638" w:type="dxa"/>
            <w:tcMar>
              <w:top w:w="170" w:type="dxa"/>
              <w:left w:w="170" w:type="dxa"/>
              <w:bottom w:w="113" w:type="dxa"/>
              <w:right w:w="170" w:type="dxa"/>
            </w:tcMar>
            <w:hideMark/>
          </w:tcPr>
          <w:p w14:paraId="2D2BC84C" w14:textId="56645601" w:rsidR="00D62F80" w:rsidRDefault="00D62F80">
            <w:pPr>
              <w:pStyle w:val="BoxHeading1"/>
            </w:pPr>
            <w:r>
              <w:t>Box</w:t>
            </w:r>
            <w:r w:rsidR="007D60A9">
              <w:t> </w:t>
            </w:r>
            <w:r>
              <w:t>4 – Even with a fixed aged care budget, reducing use of subsidised aged care would yield fiscal benefits</w:t>
            </w:r>
          </w:p>
        </w:tc>
      </w:tr>
      <w:tr w:rsidR="00D62F80" w14:paraId="348F5308" w14:textId="77777777">
        <w:tc>
          <w:tcPr>
            <w:tcW w:w="9638" w:type="dxa"/>
            <w:tcMar>
              <w:top w:w="28" w:type="dxa"/>
              <w:left w:w="170" w:type="dxa"/>
              <w:bottom w:w="170" w:type="dxa"/>
              <w:right w:w="170" w:type="dxa"/>
            </w:tcMar>
            <w:hideMark/>
          </w:tcPr>
          <w:p w14:paraId="0A5EE85B" w14:textId="6E92E5C3" w:rsidR="00D62F80" w:rsidRDefault="00D62F80">
            <w:pPr>
              <w:pStyle w:val="BodyText"/>
            </w:pPr>
            <w:r>
              <w:t xml:space="preserve">Under the current funding arrangements for aged care services, subsidies would be unresponsive to the changes in demand for services that an entitlement could induce. This is because the number of people who can access the Home Care Packages Program and the Residential Aged Care Program grows in proportion to the number of people aged 70 and over, and the Commonwealth Home Support Program is funded via grants to service providers that do not vary with demand </w:t>
            </w:r>
            <w:r w:rsidRPr="0007366E">
              <w:rPr>
                <w:rFonts w:ascii="Arial" w:hAnsi="Arial" w:cs="Arial"/>
                <w:szCs w:val="24"/>
              </w:rPr>
              <w:t>(RCACQS 2021, p. 191)</w:t>
            </w:r>
            <w:r>
              <w:t>.</w:t>
            </w:r>
          </w:p>
          <w:p w14:paraId="76049697" w14:textId="3123467F" w:rsidR="00D62F80" w:rsidRDefault="00D62F80">
            <w:pPr>
              <w:pStyle w:val="BodyText"/>
            </w:pPr>
            <w:r>
              <w:t>What this means is that entitlement</w:t>
            </w:r>
            <w:r w:rsidR="00762BAE">
              <w:noBreakHyphen/>
            </w:r>
            <w:r>
              <w:t xml:space="preserve">induced reductions in the use of subsidised aged care services will result in more subsidised aged care services for other users. The benefit is not a saving but rather money to support other users of subsidised aged care. </w:t>
            </w:r>
          </w:p>
          <w:p w14:paraId="29120D27" w14:textId="1177DA5C" w:rsidR="00D62F80" w:rsidRDefault="00D62F80">
            <w:pPr>
              <w:pStyle w:val="BodyText"/>
            </w:pPr>
            <w:r>
              <w:t>Aged care funding arrangements could be changed so subsidies for formal aged care services are issued to any older person who meets the criteria (this is often called ‘demand</w:t>
            </w:r>
            <w:r w:rsidR="00762BAE">
              <w:noBreakHyphen/>
            </w:r>
            <w:r>
              <w:t>driven’, ‘uncapped’ or ‘entitlement</w:t>
            </w:r>
            <w:r w:rsidR="00762BAE">
              <w:noBreakHyphen/>
            </w:r>
            <w:r>
              <w:t>based’ funding). This was recommended by the Aged Care Royal Commission and the Australian Government accepted the recommendation in</w:t>
            </w:r>
            <w:r w:rsidR="00762BAE">
              <w:noBreakHyphen/>
            </w:r>
            <w:r>
              <w:t xml:space="preserve">principle </w:t>
            </w:r>
            <w:r w:rsidRPr="002603F2">
              <w:rPr>
                <w:rFonts w:ascii="Arial" w:hAnsi="Arial" w:cs="Arial"/>
                <w:szCs w:val="24"/>
              </w:rPr>
              <w:t>(Department of Health 2021)</w:t>
            </w:r>
            <w:r>
              <w:t>. Such a change would mean that any fiscal benefit would be realised as a saving.</w:t>
            </w:r>
          </w:p>
        </w:tc>
      </w:tr>
      <w:tr w:rsidR="00D62F80" w14:paraId="04E9AE70" w14:textId="77777777">
        <w:trPr>
          <w:hidden/>
        </w:trPr>
        <w:tc>
          <w:tcPr>
            <w:tcW w:w="9638" w:type="dxa"/>
            <w:shd w:val="clear" w:color="auto" w:fill="auto"/>
            <w:tcMar>
              <w:top w:w="0" w:type="dxa"/>
              <w:left w:w="170" w:type="dxa"/>
              <w:bottom w:w="0" w:type="dxa"/>
              <w:right w:w="170" w:type="dxa"/>
            </w:tcMar>
          </w:tcPr>
          <w:p w14:paraId="797126C8" w14:textId="4B5FAFCF" w:rsidR="00D62F80" w:rsidRPr="00465191" w:rsidRDefault="00D62F80">
            <w:pPr>
              <w:pStyle w:val="BodyText"/>
              <w:spacing w:before="0" w:after="0" w:line="80" w:lineRule="atLeast"/>
              <w:rPr>
                <w:smallCaps/>
                <w:vanish/>
              </w:rPr>
            </w:pPr>
          </w:p>
        </w:tc>
      </w:tr>
    </w:tbl>
    <w:p w14:paraId="4DAB5069" w14:textId="335FE6D1" w:rsidR="00433F2E" w:rsidRPr="00EF0FA9" w:rsidRDefault="00F6337B" w:rsidP="00433F2E">
      <w:pPr>
        <w:pStyle w:val="BodyText"/>
        <w:rPr>
          <w:spacing w:val="-2"/>
        </w:rPr>
      </w:pPr>
      <w:r w:rsidRPr="00EF0FA9">
        <w:rPr>
          <w:spacing w:val="-2"/>
        </w:rPr>
        <w:t xml:space="preserve">While there are no </w:t>
      </w:r>
      <w:r w:rsidR="005D27DA" w:rsidRPr="00EF0FA9">
        <w:rPr>
          <w:spacing w:val="-2"/>
        </w:rPr>
        <w:t>studies o</w:t>
      </w:r>
      <w:r w:rsidR="00D65E8B" w:rsidRPr="00EF0FA9">
        <w:rPr>
          <w:spacing w:val="-2"/>
        </w:rPr>
        <w:t>f</w:t>
      </w:r>
      <w:r w:rsidR="005D27DA" w:rsidRPr="00EF0FA9">
        <w:rPr>
          <w:spacing w:val="-2"/>
        </w:rPr>
        <w:t xml:space="preserve"> the effects of informal care receipt on formal aged care services</w:t>
      </w:r>
      <w:r w:rsidR="00D65E8B" w:rsidRPr="00EF0FA9">
        <w:rPr>
          <w:spacing w:val="-2"/>
        </w:rPr>
        <w:t xml:space="preserve"> in Australia</w:t>
      </w:r>
      <w:r w:rsidR="005D27DA" w:rsidRPr="00EF0FA9">
        <w:rPr>
          <w:spacing w:val="-2"/>
        </w:rPr>
        <w:t xml:space="preserve">, there are </w:t>
      </w:r>
      <w:proofErr w:type="gramStart"/>
      <w:r w:rsidR="005D27DA" w:rsidRPr="00EF0FA9">
        <w:rPr>
          <w:spacing w:val="-2"/>
        </w:rPr>
        <w:t>a number of</w:t>
      </w:r>
      <w:proofErr w:type="gramEnd"/>
      <w:r w:rsidR="005D27DA" w:rsidRPr="00EF0FA9">
        <w:rPr>
          <w:spacing w:val="-2"/>
        </w:rPr>
        <w:t xml:space="preserve"> </w:t>
      </w:r>
      <w:r w:rsidR="00D65E8B" w:rsidRPr="00EF0FA9">
        <w:rPr>
          <w:spacing w:val="-2"/>
        </w:rPr>
        <w:t>studies of these effects in Europe and the United States (table 4)</w:t>
      </w:r>
      <w:r w:rsidR="00B63323" w:rsidRPr="00EF0FA9">
        <w:rPr>
          <w:spacing w:val="-2"/>
        </w:rPr>
        <w:t>.</w:t>
      </w:r>
      <w:r w:rsidR="00433F2E" w:rsidRPr="00EF0FA9">
        <w:rPr>
          <w:rStyle w:val="FootnoteReference"/>
          <w:spacing w:val="-2"/>
        </w:rPr>
        <w:footnoteReference w:id="15"/>
      </w:r>
      <w:r w:rsidR="00433F2E" w:rsidRPr="00EF0FA9">
        <w:rPr>
          <w:spacing w:val="-2"/>
        </w:rPr>
        <w:t xml:space="preserve"> Nearly all </w:t>
      </w:r>
      <w:r w:rsidR="00D65E8B" w:rsidRPr="00EF0FA9">
        <w:rPr>
          <w:spacing w:val="-2"/>
        </w:rPr>
        <w:t>found</w:t>
      </w:r>
      <w:r w:rsidR="00B63323" w:rsidRPr="00EF0FA9">
        <w:rPr>
          <w:spacing w:val="-2"/>
        </w:rPr>
        <w:t xml:space="preserve"> that </w:t>
      </w:r>
      <w:r w:rsidR="00DA17E0" w:rsidRPr="00EF0FA9">
        <w:rPr>
          <w:spacing w:val="-2"/>
        </w:rPr>
        <w:t xml:space="preserve">receiving </w:t>
      </w:r>
      <w:r w:rsidR="00433F2E" w:rsidRPr="00EF0FA9">
        <w:rPr>
          <w:spacing w:val="-2"/>
        </w:rPr>
        <w:t>informal care reduce</w:t>
      </w:r>
      <w:r w:rsidR="00B63323" w:rsidRPr="00EF0FA9">
        <w:rPr>
          <w:spacing w:val="-2"/>
        </w:rPr>
        <w:t xml:space="preserve">s the </w:t>
      </w:r>
      <w:r w:rsidR="00433F2E" w:rsidRPr="00EF0FA9">
        <w:rPr>
          <w:spacing w:val="-2"/>
        </w:rPr>
        <w:t>use of formal aged care services (both home</w:t>
      </w:r>
      <w:r w:rsidR="00762BAE" w:rsidRPr="00EF0FA9">
        <w:rPr>
          <w:spacing w:val="-2"/>
        </w:rPr>
        <w:noBreakHyphen/>
      </w:r>
      <w:r w:rsidR="00433F2E" w:rsidRPr="00EF0FA9">
        <w:rPr>
          <w:spacing w:val="-2"/>
        </w:rPr>
        <w:t>based and residential care).</w:t>
      </w:r>
    </w:p>
    <w:p w14:paraId="6F3362A9" w14:textId="1F255F65" w:rsidR="00E53235" w:rsidRDefault="00E53235" w:rsidP="006212C4">
      <w:pPr>
        <w:pStyle w:val="FigureTableHeading"/>
        <w:keepNext w:val="0"/>
      </w:pPr>
      <w:r>
        <w:t>Table</w:t>
      </w:r>
      <w:r w:rsidR="007D60A9">
        <w:t> </w:t>
      </w:r>
      <w:fldSimple w:instr=" SEQ Table \* ARABIC \s 1 ">
        <w:r w:rsidR="00634153">
          <w:rPr>
            <w:noProof/>
          </w:rPr>
          <w:t>4</w:t>
        </w:r>
      </w:fldSimple>
      <w:r>
        <w:rPr>
          <w:noProof/>
        </w:rPr>
        <w:t xml:space="preserve"> – Studies of the </w:t>
      </w:r>
      <w:r>
        <w:t xml:space="preserve">effect of informal care on use of formal aged </w:t>
      </w:r>
      <w:proofErr w:type="spellStart"/>
      <w:r>
        <w:t>care</w:t>
      </w:r>
      <w:r w:rsidRPr="00EC0C27">
        <w:rPr>
          <w:vertAlign w:val="superscript"/>
        </w:rPr>
        <w:t>a</w:t>
      </w:r>
      <w:proofErr w:type="spellEnd"/>
    </w:p>
    <w:tbl>
      <w:tblPr>
        <w:tblW w:w="9638"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418"/>
        <w:gridCol w:w="1984"/>
        <w:gridCol w:w="3639"/>
        <w:gridCol w:w="2597"/>
      </w:tblGrid>
      <w:tr w:rsidR="00D62F80" w:rsidRPr="00030C67" w14:paraId="50197F9D" w14:textId="77777777">
        <w:trPr>
          <w:tblHeader/>
        </w:trPr>
        <w:tc>
          <w:tcPr>
            <w:tcW w:w="1418" w:type="dxa"/>
            <w:tcBorders>
              <w:bottom w:val="single" w:sz="4" w:space="0" w:color="B3B3B3"/>
            </w:tcBorders>
            <w:shd w:val="clear" w:color="000000" w:fill="auto"/>
            <w:vAlign w:val="bottom"/>
          </w:tcPr>
          <w:p w14:paraId="2E2C3A38" w14:textId="77777777" w:rsidR="00D62F80" w:rsidRPr="00017FE0" w:rsidRDefault="00D62F80" w:rsidP="00017FE0">
            <w:pPr>
              <w:pStyle w:val="TableHeading"/>
            </w:pPr>
            <w:r w:rsidRPr="00017FE0">
              <w:t>Study</w:t>
            </w:r>
          </w:p>
        </w:tc>
        <w:tc>
          <w:tcPr>
            <w:tcW w:w="1984" w:type="dxa"/>
            <w:tcBorders>
              <w:bottom w:val="single" w:sz="4" w:space="0" w:color="B3B3B3"/>
            </w:tcBorders>
            <w:shd w:val="clear" w:color="000000" w:fill="auto"/>
            <w:vAlign w:val="bottom"/>
          </w:tcPr>
          <w:p w14:paraId="71C2428B" w14:textId="77777777" w:rsidR="00D62F80" w:rsidRPr="00017FE0" w:rsidRDefault="00D62F80" w:rsidP="00017FE0">
            <w:pPr>
              <w:pStyle w:val="TableHeading"/>
            </w:pPr>
            <w:r w:rsidRPr="00017FE0">
              <w:t xml:space="preserve">Country and </w:t>
            </w:r>
            <w:r w:rsidRPr="00017FE0">
              <w:br/>
              <w:t>cohort of interest</w:t>
            </w:r>
          </w:p>
        </w:tc>
        <w:tc>
          <w:tcPr>
            <w:tcW w:w="3639" w:type="dxa"/>
            <w:tcBorders>
              <w:bottom w:val="single" w:sz="4" w:space="0" w:color="B3B3B3"/>
            </w:tcBorders>
            <w:shd w:val="clear" w:color="000000" w:fill="auto"/>
            <w:vAlign w:val="bottom"/>
          </w:tcPr>
          <w:p w14:paraId="447FC449" w14:textId="0CDF9E3A" w:rsidR="00D62F80" w:rsidRPr="00017FE0" w:rsidRDefault="00D62F80" w:rsidP="00017FE0">
            <w:pPr>
              <w:pStyle w:val="TableHeading"/>
            </w:pPr>
            <w:r w:rsidRPr="00017FE0">
              <w:t>Effect on home</w:t>
            </w:r>
            <w:r w:rsidR="00762BAE">
              <w:noBreakHyphen/>
            </w:r>
            <w:r w:rsidRPr="00017FE0">
              <w:t>based formal care</w:t>
            </w:r>
          </w:p>
        </w:tc>
        <w:tc>
          <w:tcPr>
            <w:tcW w:w="2597" w:type="dxa"/>
            <w:tcBorders>
              <w:bottom w:val="single" w:sz="4" w:space="0" w:color="B3B3B3"/>
            </w:tcBorders>
            <w:shd w:val="clear" w:color="000000" w:fill="auto"/>
            <w:vAlign w:val="bottom"/>
          </w:tcPr>
          <w:p w14:paraId="7499ECAC" w14:textId="77777777" w:rsidR="00D62F80" w:rsidRPr="00017FE0" w:rsidRDefault="00D62F80" w:rsidP="00017FE0">
            <w:pPr>
              <w:pStyle w:val="TableHeading"/>
            </w:pPr>
            <w:r w:rsidRPr="00017FE0">
              <w:t>Effect on residential care</w:t>
            </w:r>
          </w:p>
        </w:tc>
      </w:tr>
      <w:tr w:rsidR="00D62F80" w:rsidRPr="00030C67" w14:paraId="1600FD4D" w14:textId="77777777">
        <w:tc>
          <w:tcPr>
            <w:tcW w:w="1418" w:type="dxa"/>
            <w:tcBorders>
              <w:top w:val="single" w:sz="4" w:space="0" w:color="B3B3B3"/>
              <w:bottom w:val="nil"/>
            </w:tcBorders>
            <w:shd w:val="clear" w:color="000000" w:fill="F2F2F2"/>
          </w:tcPr>
          <w:p w14:paraId="7D41910F" w14:textId="3228266E" w:rsidR="00D62F80" w:rsidRPr="00030C67" w:rsidRDefault="00D62F80" w:rsidP="00EC57C4">
            <w:pPr>
              <w:pStyle w:val="TableHeading"/>
              <w:spacing w:before="46"/>
            </w:pPr>
            <w:r w:rsidRPr="00FB3998">
              <w:rPr>
                <w:rFonts w:ascii="Arial" w:hAnsi="Arial" w:cs="Arial"/>
                <w:szCs w:val="24"/>
              </w:rPr>
              <w:t>Lo Sasso and Johnson</w:t>
            </w:r>
            <w:r>
              <w:t xml:space="preserve"> </w:t>
            </w:r>
            <w:r w:rsidRPr="00FB3998">
              <w:rPr>
                <w:rFonts w:ascii="Arial" w:hAnsi="Arial" w:cs="Arial"/>
              </w:rPr>
              <w:t>(2002)</w:t>
            </w:r>
          </w:p>
        </w:tc>
        <w:tc>
          <w:tcPr>
            <w:tcW w:w="1984" w:type="dxa"/>
            <w:tcBorders>
              <w:top w:val="single" w:sz="4" w:space="0" w:color="B3B3B3"/>
              <w:bottom w:val="nil"/>
            </w:tcBorders>
            <w:shd w:val="clear" w:color="000000" w:fill="F2F2F2"/>
          </w:tcPr>
          <w:p w14:paraId="5766E349" w14:textId="77777777" w:rsidR="00D62F80" w:rsidRPr="00030C67" w:rsidRDefault="00D62F80" w:rsidP="000B7149">
            <w:pPr>
              <w:pStyle w:val="TableBody"/>
              <w:spacing w:before="46" w:after="45"/>
              <w:ind w:right="108"/>
              <w:rPr>
                <w:rFonts w:ascii="Arial (Body)" w:hAnsi="Arial (Body)"/>
                <w:color w:val="000000"/>
              </w:rPr>
            </w:pPr>
            <w:r>
              <w:rPr>
                <w:rFonts w:ascii="Arial (Body)" w:hAnsi="Arial (Body)"/>
                <w:color w:val="000000"/>
              </w:rPr>
              <w:t xml:space="preserve">United </w:t>
            </w:r>
            <w:proofErr w:type="gramStart"/>
            <w:r>
              <w:rPr>
                <w:rFonts w:ascii="Arial (Body)" w:hAnsi="Arial (Body)"/>
                <w:color w:val="000000"/>
              </w:rPr>
              <w:t>States;</w:t>
            </w:r>
            <w:proofErr w:type="gramEnd"/>
            <w:r>
              <w:rPr>
                <w:rFonts w:ascii="Arial (Body)" w:hAnsi="Arial (Body)"/>
                <w:color w:val="000000"/>
              </w:rPr>
              <w:t xml:space="preserve"> informal care provided to people aged 70 and older by their children, 1993</w:t>
            </w:r>
            <w:r>
              <w:rPr>
                <w:rFonts w:ascii="Arial (Body)" w:hAnsi="Arial (Body)" w:hint="eastAsia"/>
                <w:color w:val="000000"/>
              </w:rPr>
              <w:t>–</w:t>
            </w:r>
            <w:r>
              <w:rPr>
                <w:rFonts w:ascii="Arial (Body)" w:hAnsi="Arial (Body)" w:hint="eastAsia"/>
                <w:color w:val="000000"/>
              </w:rPr>
              <w:t>1</w:t>
            </w:r>
            <w:r>
              <w:rPr>
                <w:rFonts w:ascii="Arial (Body)" w:hAnsi="Arial (Body)"/>
                <w:color w:val="000000"/>
              </w:rPr>
              <w:t>995.</w:t>
            </w:r>
          </w:p>
        </w:tc>
        <w:tc>
          <w:tcPr>
            <w:tcW w:w="3639" w:type="dxa"/>
            <w:tcBorders>
              <w:top w:val="single" w:sz="4" w:space="0" w:color="B3B3B3"/>
              <w:bottom w:val="nil"/>
            </w:tcBorders>
            <w:shd w:val="clear" w:color="000000" w:fill="F2F2F2"/>
          </w:tcPr>
          <w:p w14:paraId="212A44A8" w14:textId="324BE1CD" w:rsidR="00D62F80" w:rsidRPr="00030C67" w:rsidRDefault="00762BAE" w:rsidP="000B7149">
            <w:pPr>
              <w:pStyle w:val="TableBody"/>
              <w:spacing w:before="46" w:after="45"/>
              <w:ind w:right="108"/>
              <w:rPr>
                <w:rFonts w:ascii="Arial (Body)" w:hAnsi="Arial (Body)"/>
                <w:color w:val="000000"/>
              </w:rPr>
            </w:pPr>
            <w:r>
              <w:rPr>
                <w:rFonts w:ascii="Arial (Body)" w:hAnsi="Arial (Body)"/>
                <w:color w:val="000000"/>
              </w:rPr>
              <w:noBreakHyphen/>
            </w:r>
          </w:p>
        </w:tc>
        <w:tc>
          <w:tcPr>
            <w:tcW w:w="2597" w:type="dxa"/>
            <w:tcBorders>
              <w:top w:val="single" w:sz="4" w:space="0" w:color="B3B3B3"/>
              <w:bottom w:val="nil"/>
            </w:tcBorders>
            <w:shd w:val="clear" w:color="000000" w:fill="F2F2F2"/>
          </w:tcPr>
          <w:p w14:paraId="6D98B267" w14:textId="77777777" w:rsidR="00D62F80" w:rsidRDefault="00D62F80" w:rsidP="000B7149">
            <w:pPr>
              <w:pStyle w:val="TableBody"/>
              <w:spacing w:before="46" w:after="45"/>
              <w:ind w:right="108"/>
              <w:rPr>
                <w:rFonts w:ascii="Arial (Body)" w:hAnsi="Arial (Body)"/>
                <w:color w:val="000000"/>
              </w:rPr>
            </w:pPr>
            <w:r>
              <w:rPr>
                <w:rFonts w:ascii="Arial (Body)" w:hAnsi="Arial (Body)"/>
                <w:color w:val="000000"/>
              </w:rPr>
              <w:t xml:space="preserve">Receiving informal care ‘all or most of the time’ reduced the probability of entering a nursing home in a </w:t>
            </w:r>
            <w:proofErr w:type="gramStart"/>
            <w:r>
              <w:rPr>
                <w:rFonts w:ascii="Arial (Body)" w:hAnsi="Arial (Body)"/>
                <w:color w:val="000000"/>
              </w:rPr>
              <w:t>two year</w:t>
            </w:r>
            <w:proofErr w:type="gramEnd"/>
            <w:r>
              <w:rPr>
                <w:rFonts w:ascii="Arial (Body)" w:hAnsi="Arial (Body)"/>
                <w:color w:val="000000"/>
              </w:rPr>
              <w:t xml:space="preserve"> period by 6</w:t>
            </w:r>
            <w:r>
              <w:rPr>
                <w:rFonts w:ascii="Arial (Body)" w:hAnsi="Arial (Body)" w:hint="eastAsia"/>
                <w:color w:val="000000"/>
              </w:rPr>
              <w:t> </w:t>
            </w:r>
            <w:r>
              <w:rPr>
                <w:rFonts w:ascii="Arial (Body)" w:hAnsi="Arial (Body)"/>
                <w:color w:val="000000"/>
              </w:rPr>
              <w:t xml:space="preserve">percentage points. </w:t>
            </w:r>
          </w:p>
        </w:tc>
      </w:tr>
      <w:tr w:rsidR="00D62F80" w:rsidRPr="00030C67" w14:paraId="6B5EC3AB" w14:textId="77777777">
        <w:tc>
          <w:tcPr>
            <w:tcW w:w="1418" w:type="dxa"/>
            <w:tcBorders>
              <w:top w:val="nil"/>
              <w:bottom w:val="nil"/>
            </w:tcBorders>
            <w:shd w:val="clear" w:color="000000" w:fill="auto"/>
          </w:tcPr>
          <w:p w14:paraId="3F022B65" w14:textId="317DBC82" w:rsidR="00D62F80" w:rsidRPr="00030C67" w:rsidRDefault="00D62F80" w:rsidP="00EC57C4">
            <w:pPr>
              <w:pStyle w:val="TableHeading"/>
              <w:spacing w:before="46"/>
            </w:pPr>
            <w:r w:rsidRPr="004464E9">
              <w:rPr>
                <w:rFonts w:ascii="Arial" w:hAnsi="Arial" w:cs="Arial"/>
                <w:szCs w:val="24"/>
              </w:rPr>
              <w:t xml:space="preserve">Van </w:t>
            </w:r>
            <w:proofErr w:type="spellStart"/>
            <w:r w:rsidRPr="004464E9">
              <w:rPr>
                <w:rFonts w:ascii="Arial" w:hAnsi="Arial" w:cs="Arial"/>
                <w:szCs w:val="24"/>
              </w:rPr>
              <w:t>Houtven</w:t>
            </w:r>
            <w:proofErr w:type="spellEnd"/>
            <w:r w:rsidRPr="004464E9">
              <w:rPr>
                <w:rFonts w:ascii="Arial" w:hAnsi="Arial" w:cs="Arial"/>
                <w:szCs w:val="24"/>
              </w:rPr>
              <w:t xml:space="preserve"> and Norton</w:t>
            </w:r>
            <w:r>
              <w:t xml:space="preserve"> </w:t>
            </w:r>
            <w:r w:rsidRPr="00871186">
              <w:rPr>
                <w:rFonts w:ascii="Arial" w:hAnsi="Arial" w:cs="Arial"/>
              </w:rPr>
              <w:t>(</w:t>
            </w:r>
            <w:proofErr w:type="gramStart"/>
            <w:r w:rsidRPr="00871186">
              <w:rPr>
                <w:rFonts w:ascii="Arial" w:hAnsi="Arial" w:cs="Arial"/>
              </w:rPr>
              <w:t>2004)</w:t>
            </w:r>
            <w:r>
              <w:rPr>
                <w:vertAlign w:val="superscript"/>
              </w:rPr>
              <w:t>b</w:t>
            </w:r>
            <w:proofErr w:type="gramEnd"/>
          </w:p>
        </w:tc>
        <w:tc>
          <w:tcPr>
            <w:tcW w:w="1984" w:type="dxa"/>
            <w:tcBorders>
              <w:top w:val="nil"/>
              <w:bottom w:val="nil"/>
            </w:tcBorders>
            <w:shd w:val="clear" w:color="000000" w:fill="auto"/>
          </w:tcPr>
          <w:p w14:paraId="514792EA" w14:textId="77777777" w:rsidR="00D62F80" w:rsidRPr="00030C67" w:rsidRDefault="00D62F80">
            <w:pPr>
              <w:pStyle w:val="TableBody"/>
              <w:spacing w:before="45" w:after="45"/>
              <w:ind w:right="108"/>
              <w:rPr>
                <w:rFonts w:ascii="Arial (Body)" w:hAnsi="Arial (Body)"/>
                <w:color w:val="000000"/>
              </w:rPr>
            </w:pPr>
            <w:r>
              <w:rPr>
                <w:rFonts w:ascii="Arial (Body)" w:hAnsi="Arial (Body)"/>
                <w:color w:val="000000"/>
              </w:rPr>
              <w:t xml:space="preserve">United </w:t>
            </w:r>
            <w:proofErr w:type="gramStart"/>
            <w:r>
              <w:rPr>
                <w:rFonts w:ascii="Arial (Body)" w:hAnsi="Arial (Body)"/>
                <w:color w:val="000000"/>
              </w:rPr>
              <w:t>States;</w:t>
            </w:r>
            <w:proofErr w:type="gramEnd"/>
            <w:r>
              <w:rPr>
                <w:rFonts w:ascii="Arial (Body)" w:hAnsi="Arial (Body)"/>
                <w:color w:val="000000"/>
              </w:rPr>
              <w:t xml:space="preserve"> informal care provided to people aged 70 and older by their children, 1995</w:t>
            </w:r>
            <w:r>
              <w:rPr>
                <w:rFonts w:ascii="Arial (Body)" w:hAnsi="Arial (Body)" w:hint="eastAsia"/>
                <w:color w:val="000000"/>
              </w:rPr>
              <w:t>–</w:t>
            </w:r>
            <w:r>
              <w:rPr>
                <w:rFonts w:ascii="Arial (Body)" w:hAnsi="Arial (Body)" w:hint="eastAsia"/>
                <w:color w:val="000000"/>
              </w:rPr>
              <w:t>1</w:t>
            </w:r>
            <w:r>
              <w:rPr>
                <w:rFonts w:ascii="Arial (Body)" w:hAnsi="Arial (Body)"/>
                <w:color w:val="000000"/>
              </w:rPr>
              <w:t>998.</w:t>
            </w:r>
          </w:p>
        </w:tc>
        <w:tc>
          <w:tcPr>
            <w:tcW w:w="3639" w:type="dxa"/>
            <w:tcBorders>
              <w:top w:val="nil"/>
              <w:bottom w:val="nil"/>
            </w:tcBorders>
            <w:shd w:val="clear" w:color="000000" w:fill="auto"/>
          </w:tcPr>
          <w:p w14:paraId="41DBF0F3" w14:textId="5343C1FE" w:rsidR="00D62F80" w:rsidRDefault="00D62F80">
            <w:pPr>
              <w:pStyle w:val="TableBody"/>
              <w:spacing w:before="45" w:after="45"/>
              <w:ind w:right="108"/>
              <w:rPr>
                <w:rFonts w:ascii="Arial (Body)" w:hAnsi="Arial (Body)"/>
                <w:color w:val="000000"/>
              </w:rPr>
            </w:pPr>
            <w:r>
              <w:rPr>
                <w:rFonts w:ascii="Arial (Body)" w:hAnsi="Arial (Body)"/>
                <w:color w:val="000000"/>
              </w:rPr>
              <w:t>On average, a 10</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increase in informal care hours led to a 0.87</w:t>
            </w:r>
            <w:r>
              <w:rPr>
                <w:rFonts w:ascii="Arial (Body)" w:hAnsi="Arial (Body)" w:hint="eastAsia"/>
                <w:color w:val="000000"/>
              </w:rPr>
              <w:t> </w:t>
            </w:r>
            <w:r>
              <w:rPr>
                <w:rFonts w:ascii="Arial (Body)" w:hAnsi="Arial (Body)"/>
                <w:color w:val="000000"/>
              </w:rPr>
              <w:t>percentage point decrease in the probability of using home</w:t>
            </w:r>
            <w:r w:rsidR="00762BAE">
              <w:rPr>
                <w:rFonts w:ascii="Arial (Body)" w:hAnsi="Arial (Body)"/>
                <w:color w:val="000000"/>
              </w:rPr>
              <w:noBreakHyphen/>
            </w:r>
            <w:r>
              <w:rPr>
                <w:rFonts w:ascii="Arial (Body)" w:hAnsi="Arial (Body)"/>
                <w:color w:val="000000"/>
              </w:rPr>
              <w:t>based care.</w:t>
            </w:r>
          </w:p>
          <w:p w14:paraId="2DB7813B" w14:textId="7126A7C1" w:rsidR="00D62F80" w:rsidRPr="00030C67" w:rsidRDefault="00D62F80">
            <w:pPr>
              <w:pStyle w:val="TableBody"/>
              <w:spacing w:before="45" w:after="45"/>
              <w:ind w:right="108"/>
              <w:rPr>
                <w:rFonts w:ascii="Arial (Body)" w:hAnsi="Arial (Body)"/>
                <w:color w:val="000000"/>
              </w:rPr>
            </w:pPr>
            <w:r>
              <w:rPr>
                <w:rFonts w:ascii="Arial (Body)" w:hAnsi="Arial (Body)"/>
                <w:color w:val="000000"/>
              </w:rPr>
              <w:t>An increase in informal care from 20 hours per month (0 hours per month) to 160 hours per month reduced the probability of using home</w:t>
            </w:r>
            <w:r w:rsidR="00762BAE">
              <w:rPr>
                <w:rFonts w:ascii="Arial (Body)" w:hAnsi="Arial (Body)"/>
                <w:color w:val="000000"/>
              </w:rPr>
              <w:noBreakHyphen/>
            </w:r>
            <w:r>
              <w:rPr>
                <w:rFonts w:ascii="Arial (Body)" w:hAnsi="Arial (Body)"/>
                <w:color w:val="000000"/>
              </w:rPr>
              <w:t>based care by 2</w:t>
            </w:r>
            <w:r>
              <w:rPr>
                <w:rFonts w:ascii="Arial (Body)" w:hAnsi="Arial (Body)" w:hint="eastAsia"/>
                <w:color w:val="000000"/>
              </w:rPr>
              <w:t> </w:t>
            </w:r>
            <w:r>
              <w:rPr>
                <w:rFonts w:ascii="Arial (Body)" w:hAnsi="Arial (Body)"/>
                <w:color w:val="000000"/>
              </w:rPr>
              <w:t>percentage points (6</w:t>
            </w:r>
            <w:r>
              <w:rPr>
                <w:rFonts w:ascii="Arial (Body)" w:hAnsi="Arial (Body)" w:hint="eastAsia"/>
                <w:color w:val="000000"/>
              </w:rPr>
              <w:t> </w:t>
            </w:r>
            <w:r>
              <w:rPr>
                <w:rFonts w:ascii="Arial (Body)" w:hAnsi="Arial (Body)"/>
                <w:color w:val="000000"/>
              </w:rPr>
              <w:t>percentage points).</w:t>
            </w:r>
          </w:p>
        </w:tc>
        <w:tc>
          <w:tcPr>
            <w:tcW w:w="2597" w:type="dxa"/>
            <w:tcBorders>
              <w:top w:val="nil"/>
              <w:bottom w:val="nil"/>
            </w:tcBorders>
            <w:shd w:val="clear" w:color="000000" w:fill="auto"/>
          </w:tcPr>
          <w:p w14:paraId="73E57DEF" w14:textId="77777777" w:rsidR="00D62F80" w:rsidRDefault="00D62F80">
            <w:pPr>
              <w:pStyle w:val="TableBody"/>
              <w:spacing w:before="45" w:after="45"/>
              <w:ind w:right="108"/>
              <w:rPr>
                <w:rFonts w:ascii="Arial (Body)" w:hAnsi="Arial (Body)"/>
                <w:color w:val="000000"/>
              </w:rPr>
            </w:pPr>
            <w:r>
              <w:rPr>
                <w:rFonts w:ascii="Arial (Body)" w:hAnsi="Arial (Body)"/>
                <w:color w:val="000000"/>
              </w:rPr>
              <w:t>On average, a 10</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increase in informal care hours reduced time spent in a nursing home by 1.9 days over two years.</w:t>
            </w:r>
          </w:p>
          <w:p w14:paraId="461D414B" w14:textId="77777777" w:rsidR="00D62F80" w:rsidRDefault="00D62F80">
            <w:pPr>
              <w:pStyle w:val="TableBody"/>
              <w:spacing w:before="45" w:after="45"/>
              <w:ind w:right="108"/>
              <w:rPr>
                <w:rFonts w:ascii="Arial (Body)" w:hAnsi="Arial (Body)"/>
                <w:color w:val="000000"/>
              </w:rPr>
            </w:pPr>
            <w:r>
              <w:rPr>
                <w:rFonts w:ascii="Arial (Body)" w:hAnsi="Arial (Body)"/>
                <w:color w:val="000000"/>
              </w:rPr>
              <w:t>An increase in informal care from 20 hours per month (0 hours per month) to 160 hours per month reduced time spent in a nursing home by 8</w:t>
            </w:r>
            <w:r>
              <w:rPr>
                <w:rFonts w:ascii="Arial (Body)" w:hAnsi="Arial (Body)" w:hint="eastAsia"/>
                <w:color w:val="000000"/>
              </w:rPr>
              <w:t> </w:t>
            </w:r>
            <w:r>
              <w:rPr>
                <w:rFonts w:ascii="Arial (Body)" w:hAnsi="Arial (Body)"/>
                <w:color w:val="000000"/>
              </w:rPr>
              <w:t xml:space="preserve">days </w:t>
            </w:r>
            <w:r>
              <w:rPr>
                <w:rFonts w:ascii="Arial (Body)" w:hAnsi="Arial (Body)"/>
                <w:color w:val="000000"/>
              </w:rPr>
              <w:lastRenderedPageBreak/>
              <w:t>over two years (24</w:t>
            </w:r>
            <w:r>
              <w:rPr>
                <w:rFonts w:ascii="Arial (Body)" w:hAnsi="Arial (Body)" w:hint="eastAsia"/>
                <w:color w:val="000000"/>
              </w:rPr>
              <w:t> </w:t>
            </w:r>
            <w:r>
              <w:rPr>
                <w:rFonts w:ascii="Arial (Body)" w:hAnsi="Arial (Body)"/>
                <w:color w:val="000000"/>
              </w:rPr>
              <w:t xml:space="preserve">days over two years). </w:t>
            </w:r>
          </w:p>
        </w:tc>
      </w:tr>
      <w:tr w:rsidR="00D62F80" w:rsidRPr="00030C67" w14:paraId="26F1920F" w14:textId="77777777">
        <w:tc>
          <w:tcPr>
            <w:tcW w:w="1418" w:type="dxa"/>
            <w:tcBorders>
              <w:top w:val="nil"/>
              <w:bottom w:val="nil"/>
            </w:tcBorders>
            <w:shd w:val="clear" w:color="auto" w:fill="F2F2F2" w:themeFill="background1" w:themeFillShade="F2"/>
          </w:tcPr>
          <w:p w14:paraId="2D8566C4" w14:textId="388E4983" w:rsidR="00D62F80" w:rsidRPr="004464E9" w:rsidRDefault="00D62F80" w:rsidP="000B7149">
            <w:pPr>
              <w:pStyle w:val="TableHeading"/>
              <w:spacing w:before="46"/>
              <w:rPr>
                <w:rFonts w:ascii="Arial" w:hAnsi="Arial" w:cs="Arial"/>
                <w:szCs w:val="24"/>
              </w:rPr>
            </w:pPr>
            <w:r w:rsidRPr="00E16220">
              <w:rPr>
                <w:rFonts w:ascii="Arial" w:hAnsi="Arial" w:cs="Arial"/>
                <w:szCs w:val="24"/>
              </w:rPr>
              <w:lastRenderedPageBreak/>
              <w:t>Charles and Sevak</w:t>
            </w:r>
            <w:r>
              <w:rPr>
                <w:rFonts w:ascii="Arial" w:hAnsi="Arial" w:cs="Arial"/>
                <w:szCs w:val="24"/>
              </w:rPr>
              <w:t xml:space="preserve"> </w:t>
            </w:r>
            <w:r w:rsidRPr="00A84536">
              <w:rPr>
                <w:rFonts w:ascii="Arial" w:hAnsi="Arial" w:cs="Arial"/>
              </w:rPr>
              <w:t>(2005)</w:t>
            </w:r>
          </w:p>
        </w:tc>
        <w:tc>
          <w:tcPr>
            <w:tcW w:w="1984" w:type="dxa"/>
            <w:tcBorders>
              <w:top w:val="nil"/>
              <w:bottom w:val="nil"/>
            </w:tcBorders>
            <w:shd w:val="clear" w:color="auto" w:fill="F2F2F2" w:themeFill="background1" w:themeFillShade="F2"/>
          </w:tcPr>
          <w:p w14:paraId="71C4398D" w14:textId="2AF19C55" w:rsidR="00D62F80" w:rsidRDefault="00D62F80">
            <w:pPr>
              <w:pStyle w:val="TableBody"/>
              <w:spacing w:before="45" w:after="45"/>
              <w:ind w:right="108"/>
              <w:rPr>
                <w:rFonts w:ascii="Arial (Body)" w:hAnsi="Arial (Body)"/>
                <w:color w:val="000000"/>
              </w:rPr>
            </w:pPr>
            <w:r>
              <w:rPr>
                <w:rFonts w:ascii="Arial (Body)" w:hAnsi="Arial (Body)"/>
                <w:color w:val="000000"/>
              </w:rPr>
              <w:t>United States, informal care provided to people aged 70 and older by their children, 1993</w:t>
            </w:r>
            <w:r w:rsidR="00762BAE">
              <w:rPr>
                <w:rFonts w:ascii="Arial (Body)" w:hAnsi="Arial (Body)"/>
                <w:color w:val="000000"/>
              </w:rPr>
              <w:noBreakHyphen/>
            </w:r>
            <w:r>
              <w:rPr>
                <w:rFonts w:ascii="Arial (Body)" w:hAnsi="Arial (Body)"/>
                <w:color w:val="000000"/>
              </w:rPr>
              <w:t>2000</w:t>
            </w:r>
          </w:p>
        </w:tc>
        <w:tc>
          <w:tcPr>
            <w:tcW w:w="3639" w:type="dxa"/>
            <w:tcBorders>
              <w:top w:val="nil"/>
              <w:bottom w:val="nil"/>
            </w:tcBorders>
            <w:shd w:val="clear" w:color="auto" w:fill="F2F2F2" w:themeFill="background1" w:themeFillShade="F2"/>
          </w:tcPr>
          <w:p w14:paraId="0FE0D9F3" w14:textId="77777777" w:rsidR="00D62F80" w:rsidRDefault="00D62F80">
            <w:pPr>
              <w:pStyle w:val="TableBody"/>
              <w:spacing w:before="45" w:after="45"/>
              <w:ind w:right="108"/>
              <w:rPr>
                <w:rFonts w:ascii="Arial (Body)" w:hAnsi="Arial (Body)"/>
                <w:color w:val="000000"/>
              </w:rPr>
            </w:pPr>
            <w:r>
              <w:rPr>
                <w:rFonts w:ascii="Arial (Body)" w:hAnsi="Arial (Body)" w:hint="eastAsia"/>
                <w:color w:val="000000"/>
              </w:rPr>
              <w:t>–</w:t>
            </w:r>
          </w:p>
        </w:tc>
        <w:tc>
          <w:tcPr>
            <w:tcW w:w="2597" w:type="dxa"/>
            <w:tcBorders>
              <w:top w:val="nil"/>
              <w:bottom w:val="nil"/>
            </w:tcBorders>
            <w:shd w:val="clear" w:color="auto" w:fill="F2F2F2" w:themeFill="background1" w:themeFillShade="F2"/>
          </w:tcPr>
          <w:p w14:paraId="4015FF57" w14:textId="77777777" w:rsidR="00D62F80" w:rsidRDefault="00D62F80">
            <w:pPr>
              <w:pStyle w:val="TableBody"/>
              <w:spacing w:before="45" w:after="45"/>
              <w:ind w:right="108"/>
              <w:rPr>
                <w:rFonts w:ascii="Arial (Body)" w:hAnsi="Arial (Body)"/>
                <w:color w:val="000000"/>
              </w:rPr>
            </w:pPr>
            <w:r>
              <w:rPr>
                <w:rFonts w:ascii="Arial (Body)" w:hAnsi="Arial (Body)"/>
                <w:color w:val="000000"/>
              </w:rPr>
              <w:t>Receiving informal care with an activity of daily living led to a 39</w:t>
            </w:r>
            <w:r>
              <w:rPr>
                <w:rFonts w:ascii="Arial (Body)" w:hAnsi="Arial (Body)" w:hint="eastAsia"/>
                <w:color w:val="000000"/>
              </w:rPr>
              <w:t>–</w:t>
            </w:r>
            <w:r>
              <w:rPr>
                <w:rFonts w:ascii="Arial (Body)" w:hAnsi="Arial (Body)"/>
                <w:color w:val="000000"/>
              </w:rPr>
              <w:t>49</w:t>
            </w:r>
            <w:r>
              <w:rPr>
                <w:rFonts w:ascii="Arial (Body)" w:hAnsi="Arial (Body)" w:hint="eastAsia"/>
                <w:color w:val="000000"/>
              </w:rPr>
              <w:t> </w:t>
            </w:r>
            <w:r>
              <w:rPr>
                <w:rFonts w:ascii="Arial (Body)" w:hAnsi="Arial (Body)"/>
                <w:color w:val="000000"/>
              </w:rPr>
              <w:t>percentage point decrease in the probability of entering a nursing home in the following seven years.</w:t>
            </w:r>
          </w:p>
        </w:tc>
      </w:tr>
      <w:tr w:rsidR="00D62F80" w:rsidRPr="00030C67" w14:paraId="7317A730" w14:textId="77777777">
        <w:tc>
          <w:tcPr>
            <w:tcW w:w="1418" w:type="dxa"/>
            <w:shd w:val="clear" w:color="auto" w:fill="auto"/>
          </w:tcPr>
          <w:p w14:paraId="1C7D210B" w14:textId="10CC8785" w:rsidR="00D62F80" w:rsidRPr="00030C67" w:rsidRDefault="00D62F80" w:rsidP="000B7149">
            <w:pPr>
              <w:pStyle w:val="TableHeading"/>
              <w:spacing w:before="46"/>
            </w:pPr>
            <w:r w:rsidRPr="00871186">
              <w:rPr>
                <w:rFonts w:ascii="Arial" w:hAnsi="Arial" w:cs="Arial"/>
                <w:szCs w:val="24"/>
              </w:rPr>
              <w:t>Bolin, Lindgren and Lundborg</w:t>
            </w:r>
            <w:r>
              <w:rPr>
                <w:rFonts w:ascii="Arial" w:hAnsi="Arial" w:cs="Arial"/>
                <w:szCs w:val="24"/>
              </w:rPr>
              <w:t xml:space="preserve"> </w:t>
            </w:r>
            <w:r w:rsidRPr="00273D65">
              <w:rPr>
                <w:rFonts w:ascii="Arial" w:hAnsi="Arial" w:cs="Arial"/>
              </w:rPr>
              <w:t>(2008)</w:t>
            </w:r>
          </w:p>
        </w:tc>
        <w:tc>
          <w:tcPr>
            <w:tcW w:w="1984" w:type="dxa"/>
            <w:shd w:val="clear" w:color="auto" w:fill="auto"/>
          </w:tcPr>
          <w:p w14:paraId="07696370" w14:textId="77777777" w:rsidR="00D62F80" w:rsidRPr="00030C67" w:rsidRDefault="00D62F80">
            <w:pPr>
              <w:pStyle w:val="TableBody"/>
              <w:spacing w:before="45" w:after="45"/>
              <w:ind w:right="108"/>
              <w:rPr>
                <w:rFonts w:ascii="Arial (Body)" w:hAnsi="Arial (Body)"/>
                <w:color w:val="000000"/>
              </w:rPr>
            </w:pPr>
            <w:r>
              <w:rPr>
                <w:rFonts w:ascii="Arial (Body)" w:hAnsi="Arial (Body)"/>
                <w:color w:val="000000"/>
              </w:rPr>
              <w:t>Eleven European countries; informal care provided to people aged 50 and older by their children, 2004.</w:t>
            </w:r>
          </w:p>
        </w:tc>
        <w:tc>
          <w:tcPr>
            <w:tcW w:w="3639" w:type="dxa"/>
            <w:shd w:val="clear" w:color="auto" w:fill="auto"/>
          </w:tcPr>
          <w:p w14:paraId="71187B41" w14:textId="37644EE2" w:rsidR="00D62F80" w:rsidRPr="00030C67" w:rsidRDefault="00D62F80">
            <w:pPr>
              <w:pStyle w:val="TableBody"/>
              <w:spacing w:before="45" w:after="45"/>
              <w:ind w:right="108"/>
              <w:rPr>
                <w:rFonts w:ascii="Arial (Body)" w:hAnsi="Arial (Body)"/>
                <w:color w:val="000000"/>
              </w:rPr>
            </w:pPr>
            <w:r>
              <w:rPr>
                <w:rFonts w:ascii="Arial (Body)" w:hAnsi="Arial (Body)"/>
                <w:color w:val="000000"/>
              </w:rPr>
              <w:t>On average, a 10</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increase in informal care hours led to a 0.6</w:t>
            </w:r>
            <w:r>
              <w:rPr>
                <w:rFonts w:ascii="Arial (Body)" w:hAnsi="Arial (Body)" w:hint="eastAsia"/>
                <w:color w:val="000000"/>
              </w:rPr>
              <w:t> </w:t>
            </w:r>
            <w:r>
              <w:rPr>
                <w:rFonts w:ascii="Arial (Body)" w:hAnsi="Arial (Body)"/>
                <w:color w:val="000000"/>
              </w:rPr>
              <w:t>percentage point decrease in the probability of using home</w:t>
            </w:r>
            <w:r w:rsidR="00762BAE">
              <w:rPr>
                <w:rFonts w:ascii="Arial (Body)" w:hAnsi="Arial (Body)"/>
                <w:color w:val="000000"/>
              </w:rPr>
              <w:noBreakHyphen/>
            </w:r>
            <w:r>
              <w:rPr>
                <w:rFonts w:ascii="Arial (Body)" w:hAnsi="Arial (Body)"/>
                <w:color w:val="000000"/>
              </w:rPr>
              <w:t>based care.</w:t>
            </w:r>
          </w:p>
        </w:tc>
        <w:tc>
          <w:tcPr>
            <w:tcW w:w="2597" w:type="dxa"/>
            <w:shd w:val="clear" w:color="auto" w:fill="auto"/>
          </w:tcPr>
          <w:p w14:paraId="533D55F6" w14:textId="77777777" w:rsidR="00D62F80" w:rsidRDefault="00D62F80">
            <w:pPr>
              <w:pStyle w:val="TableBody"/>
              <w:spacing w:before="45" w:after="45"/>
              <w:ind w:right="108"/>
              <w:rPr>
                <w:rFonts w:ascii="Arial (Body)" w:hAnsi="Arial (Body)"/>
                <w:color w:val="000000"/>
              </w:rPr>
            </w:pPr>
            <w:r>
              <w:rPr>
                <w:rFonts w:ascii="Arial (Body)" w:hAnsi="Arial (Body)" w:hint="eastAsia"/>
                <w:color w:val="000000"/>
              </w:rPr>
              <w:t>–</w:t>
            </w:r>
          </w:p>
        </w:tc>
      </w:tr>
      <w:tr w:rsidR="00D62F80" w:rsidRPr="00030C67" w14:paraId="2BC419A8" w14:textId="77777777" w:rsidTr="000F3A43">
        <w:trPr>
          <w:cantSplit/>
        </w:trPr>
        <w:tc>
          <w:tcPr>
            <w:tcW w:w="1418" w:type="dxa"/>
            <w:shd w:val="clear" w:color="auto" w:fill="F2F2F2" w:themeFill="background1" w:themeFillShade="F2"/>
          </w:tcPr>
          <w:p w14:paraId="6D75E10F" w14:textId="670845E9" w:rsidR="00D62F80" w:rsidRPr="00871186" w:rsidRDefault="00D62F80" w:rsidP="000B7149">
            <w:pPr>
              <w:pStyle w:val="TableHeading"/>
              <w:spacing w:before="46"/>
              <w:rPr>
                <w:rFonts w:ascii="Arial" w:hAnsi="Arial" w:cs="Arial"/>
                <w:szCs w:val="24"/>
              </w:rPr>
            </w:pPr>
            <w:proofErr w:type="spellStart"/>
            <w:r w:rsidRPr="002233F0">
              <w:rPr>
                <w:rFonts w:ascii="Arial" w:hAnsi="Arial" w:cs="Arial"/>
                <w:szCs w:val="24"/>
              </w:rPr>
              <w:t>Bonsang</w:t>
            </w:r>
            <w:proofErr w:type="spellEnd"/>
            <w:r>
              <w:rPr>
                <w:rFonts w:ascii="Arial" w:hAnsi="Arial" w:cs="Arial"/>
                <w:szCs w:val="24"/>
              </w:rPr>
              <w:t xml:space="preserve"> </w:t>
            </w:r>
            <w:r w:rsidRPr="00726BC2">
              <w:rPr>
                <w:rFonts w:ascii="Arial" w:hAnsi="Arial" w:cs="Arial"/>
              </w:rPr>
              <w:t>(2009)</w:t>
            </w:r>
          </w:p>
        </w:tc>
        <w:tc>
          <w:tcPr>
            <w:tcW w:w="1984" w:type="dxa"/>
            <w:shd w:val="clear" w:color="auto" w:fill="F2F2F2" w:themeFill="background1" w:themeFillShade="F2"/>
          </w:tcPr>
          <w:p w14:paraId="5E47E9C5" w14:textId="77777777" w:rsidR="00D62F80" w:rsidRDefault="00D62F80">
            <w:pPr>
              <w:pStyle w:val="TableBody"/>
              <w:spacing w:before="45" w:after="45"/>
              <w:ind w:right="108"/>
              <w:rPr>
                <w:rFonts w:ascii="Arial (Body)" w:hAnsi="Arial (Body)"/>
                <w:color w:val="000000"/>
              </w:rPr>
            </w:pPr>
            <w:r>
              <w:rPr>
                <w:rFonts w:ascii="Arial (Body)" w:hAnsi="Arial (Body)"/>
                <w:color w:val="000000"/>
              </w:rPr>
              <w:t>Twelve European countries; informal care provided to people aged 65 and older by their children, 2004.</w:t>
            </w:r>
          </w:p>
        </w:tc>
        <w:tc>
          <w:tcPr>
            <w:tcW w:w="3639" w:type="dxa"/>
            <w:shd w:val="clear" w:color="auto" w:fill="F2F2F2" w:themeFill="background1" w:themeFillShade="F2"/>
          </w:tcPr>
          <w:p w14:paraId="07E00502" w14:textId="77777777" w:rsidR="00D62F80" w:rsidRDefault="00D62F80">
            <w:pPr>
              <w:pStyle w:val="TableBody"/>
              <w:spacing w:before="45" w:after="45"/>
              <w:ind w:right="108"/>
              <w:rPr>
                <w:rFonts w:ascii="Arial (Body)" w:hAnsi="Arial (Body)"/>
                <w:color w:val="000000"/>
              </w:rPr>
            </w:pPr>
            <w:r>
              <w:rPr>
                <w:rFonts w:ascii="Arial (Body)" w:hAnsi="Arial (Body)"/>
                <w:color w:val="000000"/>
              </w:rPr>
              <w:t>On average, a 10</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increase in informal care hours led to a 6.8</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decrease in hours of domestic help among those who used domestic help and a 2</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increase in hours of nursing care among those who used nursing care.</w:t>
            </w:r>
          </w:p>
        </w:tc>
        <w:tc>
          <w:tcPr>
            <w:tcW w:w="2597" w:type="dxa"/>
            <w:shd w:val="clear" w:color="auto" w:fill="F2F2F2" w:themeFill="background1" w:themeFillShade="F2"/>
          </w:tcPr>
          <w:p w14:paraId="382CDA6B" w14:textId="77777777" w:rsidR="00D62F80" w:rsidRDefault="00D62F80">
            <w:pPr>
              <w:pStyle w:val="TableBody"/>
              <w:spacing w:before="45" w:after="45"/>
              <w:ind w:right="108"/>
              <w:rPr>
                <w:rFonts w:ascii="Arial (Body)" w:hAnsi="Arial (Body)"/>
                <w:color w:val="000000"/>
              </w:rPr>
            </w:pPr>
            <w:r>
              <w:rPr>
                <w:rFonts w:ascii="Arial (Body)" w:hAnsi="Arial (Body)" w:hint="eastAsia"/>
                <w:color w:val="000000"/>
              </w:rPr>
              <w:t>–</w:t>
            </w:r>
          </w:p>
        </w:tc>
      </w:tr>
      <w:tr w:rsidR="00D62F80" w:rsidRPr="00030C67" w14:paraId="48B47837" w14:textId="77777777">
        <w:tc>
          <w:tcPr>
            <w:tcW w:w="1418" w:type="dxa"/>
            <w:tcBorders>
              <w:bottom w:val="single" w:sz="4" w:space="0" w:color="B3B3B3"/>
            </w:tcBorders>
            <w:shd w:val="clear" w:color="auto" w:fill="auto"/>
          </w:tcPr>
          <w:p w14:paraId="1D191342" w14:textId="73E20EE9" w:rsidR="00D62F80" w:rsidRPr="002233F0" w:rsidRDefault="00D62F80" w:rsidP="000B7149">
            <w:pPr>
              <w:pStyle w:val="TableHeading"/>
              <w:spacing w:before="46"/>
              <w:rPr>
                <w:rFonts w:ascii="Arial" w:hAnsi="Arial" w:cs="Arial"/>
                <w:szCs w:val="24"/>
              </w:rPr>
            </w:pPr>
            <w:proofErr w:type="spellStart"/>
            <w:r w:rsidRPr="00436DDC">
              <w:rPr>
                <w:rFonts w:ascii="Arial" w:hAnsi="Arial" w:cs="Arial"/>
                <w:szCs w:val="24"/>
              </w:rPr>
              <w:t>Bergeot</w:t>
            </w:r>
            <w:proofErr w:type="spellEnd"/>
            <w:r w:rsidRPr="00436DDC">
              <w:rPr>
                <w:rFonts w:ascii="Arial" w:hAnsi="Arial" w:cs="Arial"/>
                <w:szCs w:val="24"/>
              </w:rPr>
              <w:t xml:space="preserve"> and </w:t>
            </w:r>
            <w:proofErr w:type="spellStart"/>
            <w:r w:rsidRPr="00436DDC">
              <w:rPr>
                <w:rFonts w:ascii="Arial" w:hAnsi="Arial" w:cs="Arial"/>
                <w:szCs w:val="24"/>
              </w:rPr>
              <w:t>Tenand</w:t>
            </w:r>
            <w:proofErr w:type="spellEnd"/>
            <w:r>
              <w:rPr>
                <w:rFonts w:ascii="Arial" w:hAnsi="Arial" w:cs="Arial"/>
                <w:szCs w:val="24"/>
              </w:rPr>
              <w:t xml:space="preserve"> </w:t>
            </w:r>
            <w:r w:rsidRPr="00FE1ABC">
              <w:rPr>
                <w:rFonts w:ascii="Arial" w:hAnsi="Arial" w:cs="Arial"/>
              </w:rPr>
              <w:t>(2021)</w:t>
            </w:r>
          </w:p>
        </w:tc>
        <w:tc>
          <w:tcPr>
            <w:tcW w:w="1984" w:type="dxa"/>
            <w:tcBorders>
              <w:bottom w:val="single" w:sz="4" w:space="0" w:color="B3B3B3"/>
            </w:tcBorders>
            <w:shd w:val="clear" w:color="auto" w:fill="auto"/>
          </w:tcPr>
          <w:p w14:paraId="66047A8E" w14:textId="77777777" w:rsidR="00D62F80" w:rsidRDefault="00D62F80">
            <w:pPr>
              <w:pStyle w:val="TableBody"/>
              <w:spacing w:before="45" w:after="45"/>
              <w:ind w:right="108"/>
              <w:rPr>
                <w:rFonts w:ascii="Arial (Body)" w:hAnsi="Arial (Body)"/>
                <w:color w:val="000000"/>
              </w:rPr>
            </w:pPr>
            <w:r>
              <w:rPr>
                <w:rFonts w:ascii="Arial (Body)" w:hAnsi="Arial (Body)"/>
                <w:color w:val="000000"/>
              </w:rPr>
              <w:t xml:space="preserve">The </w:t>
            </w:r>
            <w:proofErr w:type="gramStart"/>
            <w:r>
              <w:rPr>
                <w:rFonts w:ascii="Arial (Body)" w:hAnsi="Arial (Body)"/>
                <w:color w:val="000000"/>
              </w:rPr>
              <w:t>Netherlands;</w:t>
            </w:r>
            <w:proofErr w:type="gramEnd"/>
            <w:r>
              <w:rPr>
                <w:rFonts w:ascii="Arial (Body)" w:hAnsi="Arial (Body)"/>
                <w:color w:val="000000"/>
              </w:rPr>
              <w:t xml:space="preserve"> informal care provided to people aged 65 and older by their children, 2016</w:t>
            </w:r>
            <w:r w:rsidR="00042791" w:rsidRPr="009C15A7">
              <w:rPr>
                <w:rFonts w:ascii="Arial (Body)" w:hAnsi="Arial (Body)" w:hint="eastAsia"/>
              </w:rPr>
              <w:t>–</w:t>
            </w:r>
            <w:r>
              <w:rPr>
                <w:rFonts w:ascii="Arial (Body)" w:hAnsi="Arial (Body)" w:hint="eastAsia"/>
                <w:color w:val="000000"/>
              </w:rPr>
              <w:t>2</w:t>
            </w:r>
            <w:r>
              <w:rPr>
                <w:rFonts w:ascii="Arial (Body)" w:hAnsi="Arial (Body)"/>
                <w:color w:val="000000"/>
              </w:rPr>
              <w:t>019</w:t>
            </w:r>
          </w:p>
        </w:tc>
        <w:tc>
          <w:tcPr>
            <w:tcW w:w="3639" w:type="dxa"/>
            <w:tcBorders>
              <w:bottom w:val="single" w:sz="4" w:space="0" w:color="B3B3B3"/>
            </w:tcBorders>
            <w:shd w:val="clear" w:color="auto" w:fill="auto"/>
          </w:tcPr>
          <w:p w14:paraId="54DE8089" w14:textId="3945C282" w:rsidR="00D62F80" w:rsidRDefault="00D62F80">
            <w:pPr>
              <w:pStyle w:val="TableBody"/>
              <w:spacing w:before="45" w:after="45"/>
              <w:ind w:right="108"/>
              <w:rPr>
                <w:rFonts w:ascii="Arial (Body)" w:hAnsi="Arial (Body)"/>
                <w:color w:val="000000"/>
              </w:rPr>
            </w:pPr>
            <w:r>
              <w:rPr>
                <w:rFonts w:ascii="Arial (Body)" w:hAnsi="Arial (Body)"/>
                <w:color w:val="000000"/>
              </w:rPr>
              <w:t>Receiving informal care reduced the probab</w:t>
            </w:r>
            <w:r w:rsidR="0029793D">
              <w:rPr>
                <w:rFonts w:ascii="Arial (Body)" w:hAnsi="Arial (Body)"/>
                <w:color w:val="000000"/>
              </w:rPr>
              <w:t>i</w:t>
            </w:r>
            <w:r>
              <w:rPr>
                <w:rFonts w:ascii="Arial (Body)" w:hAnsi="Arial (Body)"/>
                <w:color w:val="000000"/>
              </w:rPr>
              <w:t>l</w:t>
            </w:r>
            <w:r w:rsidR="0029793D">
              <w:rPr>
                <w:rFonts w:ascii="Arial (Body)" w:hAnsi="Arial (Body)"/>
                <w:color w:val="000000"/>
              </w:rPr>
              <w:t>it</w:t>
            </w:r>
            <w:r>
              <w:rPr>
                <w:rFonts w:ascii="Arial (Body)" w:hAnsi="Arial (Body)"/>
                <w:color w:val="000000"/>
              </w:rPr>
              <w:t>y of using skilled home care in the following two years by 13</w:t>
            </w:r>
            <w:r>
              <w:rPr>
                <w:rFonts w:ascii="Arial (Body)" w:hAnsi="Arial (Body)" w:hint="eastAsia"/>
                <w:color w:val="000000"/>
              </w:rPr>
              <w:t> </w:t>
            </w:r>
            <w:r>
              <w:rPr>
                <w:rFonts w:ascii="Arial (Body)" w:hAnsi="Arial (Body)"/>
                <w:color w:val="000000"/>
              </w:rPr>
              <w:t>percentage points among people with severe limitations and 7</w:t>
            </w:r>
            <w:r>
              <w:rPr>
                <w:rFonts w:ascii="Arial (Body)" w:hAnsi="Arial (Body)" w:hint="eastAsia"/>
                <w:color w:val="000000"/>
              </w:rPr>
              <w:t> </w:t>
            </w:r>
            <w:r>
              <w:rPr>
                <w:rFonts w:ascii="Arial (Body)" w:hAnsi="Arial (Body)"/>
                <w:color w:val="000000"/>
              </w:rPr>
              <w:t>percentage points among people with mild limitations.</w:t>
            </w:r>
          </w:p>
          <w:p w14:paraId="76F5F7A2" w14:textId="065D948A" w:rsidR="00D62F80" w:rsidRDefault="00D62F80">
            <w:pPr>
              <w:pStyle w:val="TableBody"/>
              <w:spacing w:before="45" w:after="45"/>
              <w:ind w:right="108"/>
              <w:rPr>
                <w:rFonts w:ascii="Arial (Body)" w:hAnsi="Arial (Body)"/>
                <w:color w:val="000000"/>
              </w:rPr>
            </w:pPr>
            <w:r>
              <w:rPr>
                <w:rFonts w:ascii="Arial (Body)" w:hAnsi="Arial (Body)"/>
                <w:color w:val="000000"/>
              </w:rPr>
              <w:t xml:space="preserve">Receiving informal care reduced the </w:t>
            </w:r>
            <w:r w:rsidR="0029793D">
              <w:rPr>
                <w:rFonts w:ascii="Arial (Body)" w:hAnsi="Arial (Body)"/>
                <w:color w:val="000000"/>
              </w:rPr>
              <w:t xml:space="preserve">probability </w:t>
            </w:r>
            <w:r>
              <w:rPr>
                <w:rFonts w:ascii="Arial (Body)" w:hAnsi="Arial (Body)"/>
                <w:color w:val="000000"/>
              </w:rPr>
              <w:t>of using social care in the following two years by 6</w:t>
            </w:r>
            <w:r>
              <w:rPr>
                <w:rFonts w:ascii="Arial (Body)" w:hAnsi="Arial (Body)" w:hint="eastAsia"/>
                <w:color w:val="000000"/>
              </w:rPr>
              <w:t> </w:t>
            </w:r>
            <w:r>
              <w:rPr>
                <w:rFonts w:ascii="Arial (Body)" w:hAnsi="Arial (Body)"/>
                <w:color w:val="000000"/>
              </w:rPr>
              <w:t>percentage points among people with severe limitations and 3</w:t>
            </w:r>
            <w:r>
              <w:rPr>
                <w:rFonts w:ascii="Arial (Body)" w:hAnsi="Arial (Body)" w:hint="eastAsia"/>
                <w:color w:val="000000"/>
              </w:rPr>
              <w:t> </w:t>
            </w:r>
            <w:r>
              <w:rPr>
                <w:rFonts w:ascii="Arial (Body)" w:hAnsi="Arial (Body)"/>
                <w:color w:val="000000"/>
              </w:rPr>
              <w:t>percentage points among people with mild limitations.</w:t>
            </w:r>
          </w:p>
        </w:tc>
        <w:tc>
          <w:tcPr>
            <w:tcW w:w="2597" w:type="dxa"/>
            <w:tcBorders>
              <w:bottom w:val="single" w:sz="4" w:space="0" w:color="B3B3B3"/>
            </w:tcBorders>
            <w:shd w:val="clear" w:color="auto" w:fill="auto"/>
          </w:tcPr>
          <w:p w14:paraId="552A0952" w14:textId="77777777" w:rsidR="00D62F80" w:rsidRDefault="00D62F80">
            <w:pPr>
              <w:pStyle w:val="TableBody"/>
              <w:spacing w:before="45" w:after="45"/>
              <w:ind w:right="108"/>
              <w:rPr>
                <w:rFonts w:ascii="Arial (Body)" w:hAnsi="Arial (Body)"/>
                <w:color w:val="000000"/>
              </w:rPr>
            </w:pPr>
            <w:r>
              <w:rPr>
                <w:rFonts w:ascii="Arial (Body)" w:hAnsi="Arial (Body)"/>
                <w:color w:val="000000"/>
              </w:rPr>
              <w:t>Receiving informal care had a negligible effect on the probability of nursing home admission in the following three years.</w:t>
            </w:r>
          </w:p>
        </w:tc>
      </w:tr>
    </w:tbl>
    <w:p w14:paraId="4E749F43" w14:textId="4313A402" w:rsidR="00D62F80" w:rsidRDefault="00D62F80" w:rsidP="00D62F80">
      <w:pPr>
        <w:pStyle w:val="Note"/>
      </w:pPr>
      <w:r w:rsidRPr="00C36914">
        <w:rPr>
          <w:b/>
          <w:bCs/>
        </w:rPr>
        <w:t>a.</w:t>
      </w:r>
      <w:r w:rsidRPr="00C36914">
        <w:t xml:space="preserve"> </w:t>
      </w:r>
      <w:r>
        <w:t>There were 11 other studies that we looked at but did not include because they either focussed on a narrow cohort of care recipients (</w:t>
      </w:r>
      <w:r w:rsidR="0022422B">
        <w:t>for example,</w:t>
      </w:r>
      <w:r>
        <w:t xml:space="preserve"> only people receiving end</w:t>
      </w:r>
      <w:r w:rsidR="00762BAE">
        <w:noBreakHyphen/>
      </w:r>
      <w:r>
        <w:t>of</w:t>
      </w:r>
      <w:r w:rsidR="00762BAE">
        <w:noBreakHyphen/>
      </w:r>
      <w:r>
        <w:t>life care) or because their methodology did not adequately account for the endogeneity of informal care provision</w:t>
      </w:r>
      <w:r w:rsidRPr="00C36914">
        <w:t xml:space="preserve">. </w:t>
      </w:r>
      <w:r w:rsidRPr="00C36914">
        <w:rPr>
          <w:b/>
          <w:bCs/>
        </w:rPr>
        <w:t>b.</w:t>
      </w:r>
      <w:r>
        <w:t xml:space="preserve"> The effect of an increase in monthly informal care hours from 0</w:t>
      </w:r>
      <w:r w:rsidR="00DA17E0">
        <w:t> </w:t>
      </w:r>
      <w:r>
        <w:t>to 160 has been approximated from the claim that ‘</w:t>
      </w:r>
      <w:r w:rsidRPr="00285660">
        <w:t>increasing</w:t>
      </w:r>
      <w:r>
        <w:t xml:space="preserve"> [informal care]</w:t>
      </w:r>
      <w:r w:rsidRPr="00285660">
        <w:t xml:space="preserve"> hours per month from zero to </w:t>
      </w:r>
      <w:r>
        <w:t>[120 hours]</w:t>
      </w:r>
      <w:r w:rsidRPr="00285660">
        <w:t xml:space="preserve"> reduces</w:t>
      </w:r>
      <w:r>
        <w:t xml:space="preserve"> </w:t>
      </w:r>
      <w:r w:rsidRPr="00285660">
        <w:t xml:space="preserve">formal care nearly three times as much as going from 20 </w:t>
      </w:r>
      <w:r>
        <w:t>[hours]</w:t>
      </w:r>
      <w:r w:rsidRPr="00285660">
        <w:t xml:space="preserve"> per month to </w:t>
      </w:r>
      <w:r>
        <w:t xml:space="preserve">[120 hours]’ </w:t>
      </w:r>
      <w:r w:rsidRPr="00311B1A">
        <w:rPr>
          <w:rFonts w:ascii="Arial" w:hAnsi="Arial" w:cs="Arial"/>
          <w:szCs w:val="24"/>
        </w:rPr>
        <w:t xml:space="preserve">(Van </w:t>
      </w:r>
      <w:proofErr w:type="spellStart"/>
      <w:r w:rsidRPr="00311B1A">
        <w:rPr>
          <w:rFonts w:ascii="Arial" w:hAnsi="Arial" w:cs="Arial"/>
          <w:szCs w:val="24"/>
        </w:rPr>
        <w:t>Houtven</w:t>
      </w:r>
      <w:proofErr w:type="spellEnd"/>
      <w:r w:rsidRPr="00311B1A">
        <w:rPr>
          <w:rFonts w:ascii="Arial" w:hAnsi="Arial" w:cs="Arial"/>
          <w:szCs w:val="24"/>
        </w:rPr>
        <w:t xml:space="preserve"> and Norton 2004, p. 1177)</w:t>
      </w:r>
      <w:r w:rsidRPr="00285660">
        <w:t>.</w:t>
      </w:r>
    </w:p>
    <w:p w14:paraId="6B0E998A" w14:textId="11C621D2" w:rsidR="00446399" w:rsidRDefault="00446399" w:rsidP="00446399">
      <w:pPr>
        <w:pStyle w:val="BodyText"/>
      </w:pPr>
      <w:r>
        <w:t xml:space="preserve">Drawing on these studies, we estimated that — on average — each </w:t>
      </w:r>
      <w:r w:rsidR="006165AE">
        <w:t xml:space="preserve">leave that would have been taken by those who continued in paid work </w:t>
      </w:r>
      <w:r>
        <w:t xml:space="preserve">would </w:t>
      </w:r>
      <w:r w:rsidR="000407C5">
        <w:t xml:space="preserve">have </w:t>
      </w:r>
      <w:r>
        <w:t>reduce</w:t>
      </w:r>
      <w:r w:rsidR="00506758">
        <w:t>d</w:t>
      </w:r>
      <w:r>
        <w:t xml:space="preserve"> the time that </w:t>
      </w:r>
      <w:r w:rsidR="000407C5">
        <w:t xml:space="preserve">their </w:t>
      </w:r>
      <w:r>
        <w:t>care recipient spen</w:t>
      </w:r>
      <w:r w:rsidR="000407C5">
        <w:t>t</w:t>
      </w:r>
      <w:r>
        <w:t xml:space="preserve"> in residential aged care by </w:t>
      </w:r>
      <w:r w:rsidR="00337BEA">
        <w:t>3</w:t>
      </w:r>
      <w:r>
        <w:t xml:space="preserve">–12 nights </w:t>
      </w:r>
      <w:r w:rsidR="000407C5">
        <w:t>per</w:t>
      </w:r>
      <w:r>
        <w:t xml:space="preserve"> </w:t>
      </w:r>
      <w:r w:rsidR="00506758">
        <w:t xml:space="preserve">year </w:t>
      </w:r>
      <w:r>
        <w:t>of leave taken and the probability that their care recipient use</w:t>
      </w:r>
      <w:r w:rsidR="00506758">
        <w:t>d</w:t>
      </w:r>
      <w:r>
        <w:t xml:space="preserve"> home</w:t>
      </w:r>
      <w:r w:rsidR="00762BAE">
        <w:noBreakHyphen/>
      </w:r>
      <w:r>
        <w:t xml:space="preserve">based care (whether via Home Care Package Program or the Commonwealth Home Support Program) while </w:t>
      </w:r>
      <w:r w:rsidR="00F47FEA">
        <w:t>they were on leave</w:t>
      </w:r>
      <w:r>
        <w:t xml:space="preserve"> by 2 percentage points.</w:t>
      </w:r>
      <w:r w:rsidR="00BC04B3">
        <w:t xml:space="preserve"> Box 5 explains these estimates in more detail.</w:t>
      </w:r>
      <w:r>
        <w:t xml:space="preserve"> In </w:t>
      </w:r>
      <w:r>
        <w:lastRenderedPageBreak/>
        <w:t>2018</w:t>
      </w:r>
      <w:r w:rsidR="00762BAE">
        <w:noBreakHyphen/>
      </w:r>
      <w:r>
        <w:t>19, this would have meant a saving of $800–$2 300 of residential care subsidies and $100 of home</w:t>
      </w:r>
      <w:r w:rsidR="00762BAE">
        <w:noBreakHyphen/>
      </w:r>
      <w:r>
        <w:t>based care subsidies</w:t>
      </w:r>
      <w:r w:rsidR="008A12D0">
        <w:t xml:space="preserve"> — so about $1700</w:t>
      </w:r>
      <w:r w:rsidR="00CE1A08">
        <w:t xml:space="preserve"> per person</w:t>
      </w:r>
      <w:r>
        <w:t>.</w:t>
      </w:r>
      <w:r w:rsidRPr="00BE59F4">
        <w:rPr>
          <w:rStyle w:val="FootnoteReference"/>
        </w:rPr>
        <w:footnoteReference w:id="16"/>
      </w:r>
      <w:r w:rsidR="00F47FEA">
        <w:t xml:space="preserve"> </w:t>
      </w:r>
    </w:p>
    <w:p w14:paraId="0B0500B1" w14:textId="77777777" w:rsidR="00EC57C4" w:rsidRDefault="00446399" w:rsidP="00B52C3D">
      <w:pPr>
        <w:pStyle w:val="BodyText"/>
      </w:pPr>
      <w:r>
        <w:t xml:space="preserve">For shorter periods of leave (a few months), these </w:t>
      </w:r>
      <w:r w:rsidR="00090F3C">
        <w:t>are probably overestimates</w:t>
      </w:r>
      <w:r w:rsidR="00A93120">
        <w:t xml:space="preserve"> of the fiscal savings</w:t>
      </w:r>
      <w:r>
        <w:t xml:space="preserve">. </w:t>
      </w:r>
      <w:r w:rsidR="00D62F80">
        <w:t>There are substantial wait times for formal aged care — in 2018</w:t>
      </w:r>
      <w:r w:rsidR="00762BAE">
        <w:noBreakHyphen/>
      </w:r>
      <w:r w:rsidR="00D62F80">
        <w:t xml:space="preserve">19, the median elapsed time between receiving an assessment and entering aged care was 5 months for residential care, and 7–34 months for a Home Care Package depending on package level </w:t>
      </w:r>
      <w:r w:rsidR="00D62F80" w:rsidRPr="00C51403">
        <w:rPr>
          <w:rFonts w:ascii="Arial" w:hAnsi="Arial" w:cs="Arial"/>
          <w:szCs w:val="24"/>
        </w:rPr>
        <w:t>(SCRGSP 2020, table</w:t>
      </w:r>
      <w:r w:rsidR="007D60A9">
        <w:rPr>
          <w:rFonts w:ascii="Arial" w:hAnsi="Arial" w:cs="Arial"/>
          <w:szCs w:val="24"/>
        </w:rPr>
        <w:t> </w:t>
      </w:r>
      <w:r w:rsidR="00D62F80" w:rsidRPr="00C51403">
        <w:rPr>
          <w:rFonts w:ascii="Arial" w:hAnsi="Arial" w:cs="Arial"/>
          <w:szCs w:val="24"/>
        </w:rPr>
        <w:t>14A.26)</w:t>
      </w:r>
      <w:r w:rsidR="00D62F80">
        <w:t>.</w:t>
      </w:r>
      <w:r>
        <w:t xml:space="preserve"> If </w:t>
      </w:r>
      <w:r w:rsidR="000A31CC">
        <w:t>leave w</w:t>
      </w:r>
      <w:r w:rsidR="00F50608">
        <w:t>as</w:t>
      </w:r>
      <w:r w:rsidR="000A31CC">
        <w:t xml:space="preserve"> taken</w:t>
      </w:r>
      <w:r>
        <w:t xml:space="preserve"> to provide care during th</w:t>
      </w:r>
      <w:r w:rsidR="000A31CC">
        <w:t>is</w:t>
      </w:r>
      <w:r>
        <w:t xml:space="preserve"> waiting period, </w:t>
      </w:r>
      <w:r w:rsidR="000A31CC">
        <w:t>it would have</w:t>
      </w:r>
      <w:r>
        <w:t xml:space="preserve"> no direct effect on the care recipients’ use of formal aged care</w:t>
      </w:r>
      <w:r w:rsidR="00BE4A99">
        <w:t>, and so would not result in reduced subsidies for formal aged care.</w:t>
      </w:r>
      <w:r w:rsidR="003E493C">
        <w:t xml:space="preserve"> </w:t>
      </w:r>
      <w:r w:rsidR="00766564">
        <w:t xml:space="preserve">Put differently, the studies listed in table 4 capture the effects of </w:t>
      </w:r>
      <w:r w:rsidR="00766564" w:rsidRPr="004B61CE">
        <w:rPr>
          <w:i/>
        </w:rPr>
        <w:t>ongoing</w:t>
      </w:r>
      <w:r w:rsidR="00766564">
        <w:t xml:space="preserve"> informal care provision on </w:t>
      </w:r>
      <w:r w:rsidR="00D75D26">
        <w:t xml:space="preserve">formal care use, whereas our interest is in the effects of </w:t>
      </w:r>
      <w:r w:rsidR="004A0900">
        <w:t xml:space="preserve">the </w:t>
      </w:r>
      <w:r w:rsidR="004A0900" w:rsidRPr="004B61CE">
        <w:rPr>
          <w:i/>
        </w:rPr>
        <w:t>temporary</w:t>
      </w:r>
      <w:r w:rsidR="004A0900">
        <w:t xml:space="preserve"> informal care provision that </w:t>
      </w:r>
      <w:r w:rsidR="005F3FDE">
        <w:t>the entitlement would induce</w:t>
      </w:r>
      <w:r w:rsidR="006148BC">
        <w:t xml:space="preserve"> on formal care use.</w:t>
      </w:r>
      <w:r w:rsidR="006148BC" w:rsidRPr="00BE59F4">
        <w:rPr>
          <w:rStyle w:val="FootnoteReference"/>
        </w:rPr>
        <w:footnoteReference w:id="17"/>
      </w:r>
    </w:p>
    <w:p w14:paraId="7ABB6A98" w14:textId="500B437E" w:rsidR="00270B13" w:rsidRDefault="00270B13" w:rsidP="00EC57C4">
      <w:pPr>
        <w:pStyle w:val="NoSpacing"/>
      </w:pPr>
    </w:p>
    <w:tbl>
      <w:tblPr>
        <w:tblStyle w:val="Boxtable"/>
        <w:tblW w:w="5000" w:type="pct"/>
        <w:tblLook w:val="04A0" w:firstRow="1" w:lastRow="0" w:firstColumn="1" w:lastColumn="0" w:noHBand="0" w:noVBand="1"/>
      </w:tblPr>
      <w:tblGrid>
        <w:gridCol w:w="9638"/>
      </w:tblGrid>
      <w:tr w:rsidR="00D62F80" w14:paraId="1348B170" w14:textId="77777777">
        <w:trPr>
          <w:tblHeader/>
        </w:trPr>
        <w:tc>
          <w:tcPr>
            <w:tcW w:w="9638" w:type="dxa"/>
            <w:tcMar>
              <w:top w:w="170" w:type="dxa"/>
              <w:left w:w="170" w:type="dxa"/>
              <w:bottom w:w="113" w:type="dxa"/>
              <w:right w:w="170" w:type="dxa"/>
            </w:tcMar>
            <w:hideMark/>
          </w:tcPr>
          <w:p w14:paraId="02F53040" w14:textId="6F2B0CF4" w:rsidR="00D62F80" w:rsidRDefault="00D62F80">
            <w:pPr>
              <w:pStyle w:val="BoxHeading1"/>
            </w:pPr>
            <w:r>
              <w:t>Box</w:t>
            </w:r>
            <w:r w:rsidR="007D60A9">
              <w:t> </w:t>
            </w:r>
            <w:r>
              <w:t>5</w:t>
            </w:r>
            <w:r>
              <w:rPr>
                <w:b/>
                <w:bCs/>
                <w:noProof/>
                <w:lang w:val="en-US"/>
              </w:rPr>
              <w:t xml:space="preserve"> </w:t>
            </w:r>
            <w:r>
              <w:t>– Estimated effect of the entitlement on aged care subsidies — assumptions and detailed explanation</w:t>
            </w:r>
          </w:p>
        </w:tc>
      </w:tr>
      <w:tr w:rsidR="00D62F80" w14:paraId="68534616" w14:textId="77777777">
        <w:tc>
          <w:tcPr>
            <w:tcW w:w="9638" w:type="dxa"/>
            <w:tcMar>
              <w:top w:w="28" w:type="dxa"/>
              <w:left w:w="170" w:type="dxa"/>
              <w:bottom w:w="170" w:type="dxa"/>
              <w:right w:w="170" w:type="dxa"/>
            </w:tcMar>
            <w:hideMark/>
          </w:tcPr>
          <w:p w14:paraId="66CBD347" w14:textId="388D5349" w:rsidR="00D62F80" w:rsidRPr="00812530" w:rsidRDefault="00D62F80">
            <w:pPr>
              <w:pStyle w:val="BodyText"/>
              <w:rPr>
                <w:spacing w:val="-4"/>
              </w:rPr>
            </w:pPr>
            <w:r w:rsidRPr="00812530">
              <w:rPr>
                <w:spacing w:val="-4"/>
              </w:rPr>
              <w:t>We estimated that — on average — each leave that would have been taken by those who continued in paid work would have reduced the time that their care recipient spent in residential aged care by 3–12 days, or about one day per month of unpaid leave and the probability that their care recipient used home</w:t>
            </w:r>
            <w:r w:rsidR="00762BAE" w:rsidRPr="00812530">
              <w:rPr>
                <w:spacing w:val="-4"/>
              </w:rPr>
              <w:noBreakHyphen/>
            </w:r>
            <w:r w:rsidRPr="00812530">
              <w:rPr>
                <w:spacing w:val="-4"/>
              </w:rPr>
              <w:t>based care (whether via Home Care Package Program or the Commonwealth Home Support Program) while they were on leave by 2 percentage points.</w:t>
            </w:r>
          </w:p>
          <w:p w14:paraId="3475477A" w14:textId="264B58D6" w:rsidR="00D62F80" w:rsidRDefault="00D62F80">
            <w:pPr>
              <w:pStyle w:val="BodyText"/>
            </w:pPr>
            <w:r>
              <w:t xml:space="preserve">These estimates are drawn from </w:t>
            </w:r>
            <w:r w:rsidRPr="00FB3998">
              <w:rPr>
                <w:rFonts w:ascii="Arial" w:hAnsi="Arial" w:cs="Arial"/>
                <w:szCs w:val="24"/>
              </w:rPr>
              <w:t>Lo Sasso and Johnson</w:t>
            </w:r>
            <w:r>
              <w:t xml:space="preserve"> </w:t>
            </w:r>
            <w:r w:rsidRPr="00FB3998">
              <w:rPr>
                <w:rFonts w:ascii="Arial" w:hAnsi="Arial" w:cs="Arial"/>
              </w:rPr>
              <w:t>(2002)</w:t>
            </w:r>
            <w:r>
              <w:t xml:space="preserve"> and </w:t>
            </w:r>
            <w:r w:rsidRPr="004464E9">
              <w:rPr>
                <w:rFonts w:ascii="Arial" w:hAnsi="Arial" w:cs="Arial"/>
                <w:szCs w:val="24"/>
              </w:rPr>
              <w:t xml:space="preserve">Van </w:t>
            </w:r>
            <w:proofErr w:type="spellStart"/>
            <w:r w:rsidRPr="004464E9">
              <w:rPr>
                <w:rFonts w:ascii="Arial" w:hAnsi="Arial" w:cs="Arial"/>
                <w:szCs w:val="24"/>
              </w:rPr>
              <w:t>Houtven</w:t>
            </w:r>
            <w:proofErr w:type="spellEnd"/>
            <w:r w:rsidRPr="004464E9">
              <w:rPr>
                <w:rFonts w:ascii="Arial" w:hAnsi="Arial" w:cs="Arial"/>
                <w:szCs w:val="24"/>
              </w:rPr>
              <w:t xml:space="preserve"> and Norton</w:t>
            </w:r>
            <w:r>
              <w:rPr>
                <w:rFonts w:ascii="Arial" w:hAnsi="Arial" w:cs="Arial"/>
                <w:szCs w:val="24"/>
              </w:rPr>
              <w:t xml:space="preserve"> </w:t>
            </w:r>
            <w:r w:rsidRPr="00871186">
              <w:rPr>
                <w:rFonts w:ascii="Arial" w:hAnsi="Arial" w:cs="Arial"/>
              </w:rPr>
              <w:t>(2004)</w:t>
            </w:r>
            <w:r>
              <w:t xml:space="preserve">, because the other studies either use unsuitable measures of informal care receipt </w:t>
            </w:r>
            <w:r w:rsidRPr="008B0C07">
              <w:rPr>
                <w:rFonts w:ascii="Arial" w:hAnsi="Arial" w:cs="Arial"/>
                <w:szCs w:val="24"/>
              </w:rPr>
              <w:t>(</w:t>
            </w:r>
            <w:proofErr w:type="spellStart"/>
            <w:r w:rsidRPr="008B0C07">
              <w:rPr>
                <w:rFonts w:ascii="Arial" w:hAnsi="Arial" w:cs="Arial"/>
                <w:szCs w:val="24"/>
              </w:rPr>
              <w:t>Bergeot</w:t>
            </w:r>
            <w:proofErr w:type="spellEnd"/>
            <w:r w:rsidRPr="008B0C07">
              <w:rPr>
                <w:rFonts w:ascii="Arial" w:hAnsi="Arial" w:cs="Arial"/>
                <w:szCs w:val="24"/>
              </w:rPr>
              <w:t xml:space="preserve"> and </w:t>
            </w:r>
            <w:proofErr w:type="spellStart"/>
            <w:r w:rsidRPr="008B0C07">
              <w:rPr>
                <w:rFonts w:ascii="Arial" w:hAnsi="Arial" w:cs="Arial"/>
                <w:szCs w:val="24"/>
              </w:rPr>
              <w:t>Tenand</w:t>
            </w:r>
            <w:proofErr w:type="spellEnd"/>
            <w:r w:rsidRPr="008B0C07">
              <w:rPr>
                <w:rFonts w:ascii="Arial" w:hAnsi="Arial" w:cs="Arial"/>
                <w:szCs w:val="24"/>
              </w:rPr>
              <w:t> 2021; Charles and Sevak 2005)</w:t>
            </w:r>
            <w:r>
              <w:t xml:space="preserve"> or report only average marginal effects derived from a non</w:t>
            </w:r>
            <w:r w:rsidR="00762BAE">
              <w:noBreakHyphen/>
            </w:r>
            <w:r>
              <w:t xml:space="preserve">linear model, from which an effect size cannot be inferred </w:t>
            </w:r>
            <w:r w:rsidRPr="0097364C">
              <w:rPr>
                <w:rFonts w:ascii="Arial" w:hAnsi="Arial" w:cs="Arial"/>
                <w:szCs w:val="24"/>
              </w:rPr>
              <w:t xml:space="preserve">(Bolin, Lindgren and </w:t>
            </w:r>
            <w:proofErr w:type="spellStart"/>
            <w:r w:rsidRPr="0097364C">
              <w:rPr>
                <w:rFonts w:ascii="Arial" w:hAnsi="Arial" w:cs="Arial"/>
                <w:szCs w:val="24"/>
              </w:rPr>
              <w:t>Lundborg</w:t>
            </w:r>
            <w:proofErr w:type="spellEnd"/>
            <w:r w:rsidRPr="0097364C">
              <w:rPr>
                <w:rFonts w:ascii="Arial" w:hAnsi="Arial" w:cs="Arial"/>
                <w:szCs w:val="24"/>
              </w:rPr>
              <w:t xml:space="preserve"> 2008; </w:t>
            </w:r>
            <w:proofErr w:type="spellStart"/>
            <w:r w:rsidRPr="0097364C">
              <w:rPr>
                <w:rFonts w:ascii="Arial" w:hAnsi="Arial" w:cs="Arial"/>
                <w:szCs w:val="24"/>
              </w:rPr>
              <w:t>Bonsang</w:t>
            </w:r>
            <w:proofErr w:type="spellEnd"/>
            <w:r w:rsidRPr="0097364C">
              <w:rPr>
                <w:rFonts w:ascii="Arial" w:hAnsi="Arial" w:cs="Arial"/>
                <w:szCs w:val="24"/>
              </w:rPr>
              <w:t> 2009</w:t>
            </w:r>
            <w:proofErr w:type="gramStart"/>
            <w:r w:rsidRPr="0097364C">
              <w:rPr>
                <w:rFonts w:ascii="Arial" w:hAnsi="Arial" w:cs="Arial"/>
                <w:szCs w:val="24"/>
              </w:rPr>
              <w:t>)</w:t>
            </w:r>
            <w:r>
              <w:t>.</w:t>
            </w:r>
            <w:r w:rsidRPr="00EC57C4">
              <w:rPr>
                <w:b/>
                <w:bCs/>
                <w:position w:val="6"/>
                <w:vertAlign w:val="superscript"/>
              </w:rPr>
              <w:t>a</w:t>
            </w:r>
            <w:proofErr w:type="gramEnd"/>
          </w:p>
          <w:p w14:paraId="1243D064" w14:textId="77777777" w:rsidR="00D62F80" w:rsidRPr="00EB489B" w:rsidRDefault="00D62F80">
            <w:pPr>
              <w:pStyle w:val="BodyText"/>
            </w:pPr>
            <w:r>
              <w:t>There are several reasons why the results of these two studies translate reasonably well to the present context.</w:t>
            </w:r>
          </w:p>
          <w:p w14:paraId="4E9E413A" w14:textId="6148F8AC" w:rsidR="00D62F80" w:rsidRPr="00A36BBF" w:rsidRDefault="00D62F80">
            <w:pPr>
              <w:pStyle w:val="ListBullet"/>
            </w:pPr>
            <w:r w:rsidRPr="008343CC">
              <w:t xml:space="preserve">Van </w:t>
            </w:r>
            <w:proofErr w:type="spellStart"/>
            <w:r w:rsidRPr="00A36BBF">
              <w:t>Houtven</w:t>
            </w:r>
            <w:proofErr w:type="spellEnd"/>
            <w:r w:rsidRPr="00A36BBF">
              <w:t xml:space="preserve"> and Norton (2004) used their findings to undertake a similar exercise (they assessed the fiscal effects of working carers leaving the workforce to provide full time informal care). </w:t>
            </w:r>
          </w:p>
          <w:p w14:paraId="2839310D" w14:textId="2F0BAAFD" w:rsidR="00D62F80" w:rsidRPr="00A36BBF" w:rsidRDefault="00D62F80">
            <w:pPr>
              <w:pStyle w:val="ListBullet"/>
            </w:pPr>
            <w:r w:rsidRPr="00A36BBF">
              <w:t xml:space="preserve">The Australian subsidised residential aged care sector is similar to that of the United States in the 1990s by some key measures. Van </w:t>
            </w:r>
            <w:proofErr w:type="spellStart"/>
            <w:r w:rsidRPr="00A36BBF">
              <w:t>Houtven</w:t>
            </w:r>
            <w:proofErr w:type="spellEnd"/>
            <w:r w:rsidRPr="00A36BBF">
              <w:t xml:space="preserve"> and Norton (2004) report that 8.6 per cent of people in the United States aged 70 and over used residential aged care in a two</w:t>
            </w:r>
            <w:r w:rsidR="00762BAE">
              <w:noBreakHyphen/>
            </w:r>
            <w:r w:rsidRPr="00A36BBF">
              <w:t>year window, with an average stay of 289 days within that window and subsidies covering approximately 50 per cent of the cost. In Australia, 7.3 per cent of people aged 65 and over received residential aged care in 2018</w:t>
            </w:r>
            <w:r w:rsidR="00762BAE">
              <w:noBreakHyphen/>
            </w:r>
            <w:r w:rsidRPr="00A36BBF">
              <w:t>19 (SCRGSP 2020, table</w:t>
            </w:r>
            <w:r w:rsidR="007D60A9">
              <w:t> </w:t>
            </w:r>
            <w:r w:rsidRPr="00A36BBF">
              <w:t>14A.2), with an equivalent measure of average stay of 224 days</w:t>
            </w:r>
            <w:r w:rsidRPr="00EC57C4">
              <w:rPr>
                <w:b/>
                <w:bCs/>
                <w:position w:val="6"/>
                <w:vertAlign w:val="superscript"/>
              </w:rPr>
              <w:t>b</w:t>
            </w:r>
            <w:r w:rsidRPr="00A36BBF">
              <w:t xml:space="preserve"> and subsidies </w:t>
            </w:r>
            <w:r w:rsidRPr="00A36BBF">
              <w:lastRenderedPageBreak/>
              <w:t>covering 73 per cent of the cost (AIHW 2022). That said, there are some larger differences for home</w:t>
            </w:r>
            <w:r w:rsidR="00762BAE">
              <w:noBreakHyphen/>
            </w:r>
            <w:r w:rsidRPr="00A36BBF">
              <w:t xml:space="preserve">based care — Van </w:t>
            </w:r>
            <w:proofErr w:type="spellStart"/>
            <w:r w:rsidRPr="00A36BBF">
              <w:t>Houtven</w:t>
            </w:r>
            <w:proofErr w:type="spellEnd"/>
            <w:r w:rsidRPr="00A36BBF">
              <w:t xml:space="preserve"> and Norton (2004) report that only 8.3 per cent of their sample aged 70 and over received home</w:t>
            </w:r>
            <w:r w:rsidR="00762BAE">
              <w:noBreakHyphen/>
            </w:r>
            <w:r w:rsidRPr="00A36BBF">
              <w:t>based care in a two</w:t>
            </w:r>
            <w:r w:rsidR="00762BAE">
              <w:noBreakHyphen/>
            </w:r>
            <w:r w:rsidRPr="00A36BBF">
              <w:t>year window, whereas in Australia 3.7 per cent of people aged 65 and over received a Home Care Package in 2018</w:t>
            </w:r>
            <w:r w:rsidR="00762BAE">
              <w:noBreakHyphen/>
            </w:r>
            <w:r w:rsidRPr="00A36BBF">
              <w:t>19 and 20 per cent of people received support under the Commonwealth Home Support Program (SCRGSP 2020, table</w:t>
            </w:r>
            <w:r w:rsidR="007D60A9">
              <w:t> </w:t>
            </w:r>
            <w:r w:rsidRPr="00A36BBF">
              <w:t>14A.2).</w:t>
            </w:r>
          </w:p>
          <w:p w14:paraId="351B978A" w14:textId="415F853D" w:rsidR="00D62F80" w:rsidRPr="00A36BBF" w:rsidRDefault="00D62F80">
            <w:pPr>
              <w:pStyle w:val="ListBullet"/>
            </w:pPr>
            <w:r w:rsidRPr="00A36BBF">
              <w:t>The two studies report similar effect sizes to each other and to the studies of other countries (where comparison is possible). Lo Sasso and Johnson </w:t>
            </w:r>
            <w:r w:rsidRPr="005822BF">
              <w:t>(2002)</w:t>
            </w:r>
            <w:r w:rsidRPr="00A36BBF">
              <w:t xml:space="preserve"> implies that increasing informal care from 0 hours per month to 160 hours per month reduced time spent in residential care by about 22 days over two years, whereas Van </w:t>
            </w:r>
            <w:proofErr w:type="spellStart"/>
            <w:r w:rsidRPr="00A36BBF">
              <w:t>Houtven</w:t>
            </w:r>
            <w:proofErr w:type="spellEnd"/>
            <w:r w:rsidRPr="00A36BBF">
              <w:t xml:space="preserve"> and Norton found 24 days.</w:t>
            </w:r>
            <w:r w:rsidRPr="002777DE">
              <w:rPr>
                <w:b/>
                <w:bCs/>
                <w:position w:val="6"/>
              </w:rPr>
              <w:t>c</w:t>
            </w:r>
            <w:r w:rsidRPr="00A36BBF">
              <w:t xml:space="preserve"> And </w:t>
            </w:r>
            <w:r w:rsidRPr="005822BF">
              <w:t xml:space="preserve">Van </w:t>
            </w:r>
            <w:proofErr w:type="spellStart"/>
            <w:r w:rsidRPr="005822BF">
              <w:t>Houtven</w:t>
            </w:r>
            <w:proofErr w:type="spellEnd"/>
            <w:r w:rsidRPr="005822BF">
              <w:t xml:space="preserve"> and Norton (2004)</w:t>
            </w:r>
            <w:r w:rsidRPr="00A36BBF">
              <w:t xml:space="preserve"> report a similar average marginal effect for home</w:t>
            </w:r>
            <w:r w:rsidR="00762BAE">
              <w:noBreakHyphen/>
            </w:r>
            <w:r w:rsidRPr="00A36BBF">
              <w:t xml:space="preserve">based care (for the United States) as </w:t>
            </w:r>
            <w:r w:rsidRPr="005822BF">
              <w:t>Bolin, Lindgren and Lu</w:t>
            </w:r>
            <w:r w:rsidRPr="00A36BBF">
              <w:t>ndborg (2008) (for Europe).</w:t>
            </w:r>
          </w:p>
          <w:p w14:paraId="7E915E79" w14:textId="6A627841" w:rsidR="00D62F80" w:rsidRDefault="00D62F80">
            <w:pPr>
              <w:pStyle w:val="ListBullet"/>
            </w:pPr>
            <w:r w:rsidRPr="00A36BBF">
              <w:t>The effect on home</w:t>
            </w:r>
            <w:r w:rsidR="00762BAE">
              <w:noBreakHyphen/>
            </w:r>
            <w:r w:rsidRPr="00A36BBF">
              <w:t>based care at the intensive margin (the extent of use of home</w:t>
            </w:r>
            <w:r w:rsidR="00762BAE">
              <w:noBreakHyphen/>
            </w:r>
            <w:r w:rsidRPr="00A36BBF">
              <w:t>based care among those who used home</w:t>
            </w:r>
            <w:r w:rsidR="00762BAE">
              <w:noBreakHyphen/>
            </w:r>
            <w:r w:rsidRPr="00A36BBF">
              <w:t xml:space="preserve">based care) has been found to be positive for some types of care and negative for others </w:t>
            </w:r>
            <w:r w:rsidRPr="005822BF">
              <w:t>(</w:t>
            </w:r>
            <w:proofErr w:type="spellStart"/>
            <w:r w:rsidRPr="005822BF">
              <w:t>Bonsang</w:t>
            </w:r>
            <w:proofErr w:type="spellEnd"/>
            <w:r w:rsidRPr="005822BF">
              <w:t> 2009)</w:t>
            </w:r>
            <w:r w:rsidRPr="00A36BBF">
              <w:t xml:space="preserve">, which justifies assuming that the entitlement would </w:t>
            </w:r>
            <w:r w:rsidR="00CE1A08">
              <w:t>a</w:t>
            </w:r>
            <w:r w:rsidRPr="00A36BBF">
              <w:t>ffect the probability of home</w:t>
            </w:r>
            <w:r w:rsidR="00762BAE">
              <w:noBreakHyphen/>
            </w:r>
            <w:r w:rsidRPr="00A36BBF">
              <w:t>based</w:t>
            </w:r>
            <w:r>
              <w:t xml:space="preserve"> care being used but not the intensity of that care.</w:t>
            </w:r>
          </w:p>
          <w:p w14:paraId="29E243E4" w14:textId="10F8740D" w:rsidR="00D62F80" w:rsidRDefault="00D62F80">
            <w:pPr>
              <w:pStyle w:val="Note"/>
              <w:keepLines/>
            </w:pPr>
            <w:r w:rsidRPr="00180E66">
              <w:rPr>
                <w:b/>
                <w:bCs/>
              </w:rPr>
              <w:t>a.</w:t>
            </w:r>
            <w:r>
              <w:t xml:space="preserve"> To see why average marginal effects are unsuitable to estimating the effect of the entitlement on aged care subsidies, consider </w:t>
            </w:r>
            <w:r w:rsidRPr="004464E9">
              <w:rPr>
                <w:rFonts w:ascii="Arial" w:hAnsi="Arial" w:cs="Arial"/>
                <w:szCs w:val="24"/>
              </w:rPr>
              <w:t xml:space="preserve">Van </w:t>
            </w:r>
            <w:proofErr w:type="spellStart"/>
            <w:r w:rsidRPr="004464E9">
              <w:rPr>
                <w:rFonts w:ascii="Arial" w:hAnsi="Arial" w:cs="Arial"/>
                <w:szCs w:val="24"/>
              </w:rPr>
              <w:t>Houtven</w:t>
            </w:r>
            <w:proofErr w:type="spellEnd"/>
            <w:r w:rsidRPr="004464E9">
              <w:rPr>
                <w:rFonts w:ascii="Arial" w:hAnsi="Arial" w:cs="Arial"/>
                <w:szCs w:val="24"/>
              </w:rPr>
              <w:t xml:space="preserve"> and Norton</w:t>
            </w:r>
            <w:r>
              <w:rPr>
                <w:rFonts w:ascii="Arial" w:hAnsi="Arial" w:cs="Arial"/>
                <w:szCs w:val="24"/>
              </w:rPr>
              <w:t xml:space="preserve"> </w:t>
            </w:r>
            <w:r w:rsidRPr="00871186">
              <w:rPr>
                <w:rFonts w:ascii="Arial" w:hAnsi="Arial" w:cs="Arial"/>
              </w:rPr>
              <w:t>(2004)</w:t>
            </w:r>
            <w:r>
              <w:t xml:space="preserve"> which reports both the average marginal effect of a percentage change to hours of informal care supplied and the effect of increasing informal care hours from </w:t>
            </w:r>
            <w:r>
              <w:rPr>
                <w:rFonts w:ascii="Arial (Body)" w:hAnsi="Arial (Body)"/>
                <w:color w:val="000000"/>
              </w:rPr>
              <w:t>20</w:t>
            </w:r>
            <w:r>
              <w:rPr>
                <w:rFonts w:ascii="Arial (Body)" w:hAnsi="Arial (Body)" w:hint="eastAsia"/>
                <w:color w:val="000000"/>
              </w:rPr>
              <w:t> </w:t>
            </w:r>
            <w:r>
              <w:rPr>
                <w:rFonts w:ascii="Arial (Body)" w:hAnsi="Arial (Body)"/>
                <w:color w:val="000000"/>
              </w:rPr>
              <w:t>hours per month to</w:t>
            </w:r>
            <w:r>
              <w:rPr>
                <w:rFonts w:ascii="Arial (Body)" w:hAnsi="Arial (Body)" w:hint="eastAsia"/>
                <w:color w:val="000000"/>
              </w:rPr>
              <w:t> </w:t>
            </w:r>
            <w:r>
              <w:rPr>
                <w:rFonts w:ascii="Arial (Body)" w:hAnsi="Arial (Body)"/>
                <w:color w:val="000000"/>
              </w:rPr>
              <w:t>160 hours per month. Extrapolating from the average marginal effect would suggest that increasing informal care from 20 to 160 hours per month (a 700</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increase) would lead to an average reduction of residential aged care use of 133</w:t>
            </w:r>
            <w:r>
              <w:rPr>
                <w:rFonts w:ascii="Arial (Body)" w:hAnsi="Arial (Body)" w:hint="eastAsia"/>
                <w:color w:val="000000"/>
              </w:rPr>
              <w:t> </w:t>
            </w:r>
            <w:r>
              <w:rPr>
                <w:rFonts w:ascii="Arial (Body)" w:hAnsi="Arial (Body)"/>
                <w:color w:val="000000"/>
              </w:rPr>
              <w:t>days over two years, but the correct average reduction is only 8</w:t>
            </w:r>
            <w:r>
              <w:rPr>
                <w:rFonts w:ascii="Arial (Body)" w:hAnsi="Arial (Body)" w:hint="eastAsia"/>
                <w:color w:val="000000"/>
              </w:rPr>
              <w:t> </w:t>
            </w:r>
            <w:r>
              <w:rPr>
                <w:rFonts w:ascii="Arial (Body)" w:hAnsi="Arial (Body)"/>
                <w:color w:val="000000"/>
              </w:rPr>
              <w:t>days over two years.</w:t>
            </w:r>
            <w:r>
              <w:t xml:space="preserve"> </w:t>
            </w:r>
            <w:r w:rsidRPr="00180E66">
              <w:rPr>
                <w:b/>
                <w:bCs/>
              </w:rPr>
              <w:t>b.</w:t>
            </w:r>
            <w:r>
              <w:t xml:space="preserve"> This measure is the average length of stay among those who left residential care in 2018</w:t>
            </w:r>
            <w:r w:rsidR="00762BAE">
              <w:noBreakHyphen/>
            </w:r>
            <w:r>
              <w:t>19, with people whose stay was over 2 years in length set at 2 years exactly (Productivity Commission estimate based on AIHW </w:t>
            </w:r>
            <w:r w:rsidRPr="003F32F8">
              <w:rPr>
                <w:rFonts w:ascii="Arial" w:hAnsi="Arial" w:cs="Arial"/>
              </w:rPr>
              <w:t>(</w:t>
            </w:r>
            <w:proofErr w:type="spellStart"/>
            <w:r w:rsidRPr="003F32F8">
              <w:rPr>
                <w:rFonts w:ascii="Arial" w:hAnsi="Arial" w:cs="Arial"/>
              </w:rPr>
              <w:t>nd</w:t>
            </w:r>
            <w:proofErr w:type="spellEnd"/>
            <w:r w:rsidRPr="003F32F8">
              <w:rPr>
                <w:rFonts w:ascii="Arial" w:hAnsi="Arial" w:cs="Arial"/>
              </w:rPr>
              <w:t>)</w:t>
            </w:r>
            <w:r>
              <w:t xml:space="preserve">). </w:t>
            </w:r>
            <w:r w:rsidRPr="00154B7C">
              <w:rPr>
                <w:b/>
                <w:bCs/>
              </w:rPr>
              <w:t>c.</w:t>
            </w:r>
            <w:r>
              <w:t xml:space="preserve"> This assumes: 1) that receiving informal care ‘all or most of the time’ amounts to 160 hours of care per month; considered to be full time care by </w:t>
            </w:r>
            <w:r w:rsidRPr="004464E9">
              <w:rPr>
                <w:rFonts w:ascii="Arial" w:hAnsi="Arial" w:cs="Arial"/>
                <w:szCs w:val="24"/>
              </w:rPr>
              <w:t xml:space="preserve">Van </w:t>
            </w:r>
            <w:proofErr w:type="spellStart"/>
            <w:r w:rsidRPr="004464E9">
              <w:rPr>
                <w:rFonts w:ascii="Arial" w:hAnsi="Arial" w:cs="Arial"/>
                <w:szCs w:val="24"/>
              </w:rPr>
              <w:t>Houtven</w:t>
            </w:r>
            <w:proofErr w:type="spellEnd"/>
            <w:r w:rsidRPr="004464E9">
              <w:rPr>
                <w:rFonts w:ascii="Arial" w:hAnsi="Arial" w:cs="Arial"/>
                <w:szCs w:val="24"/>
              </w:rPr>
              <w:t xml:space="preserve"> and Norton</w:t>
            </w:r>
            <w:r>
              <w:rPr>
                <w:rFonts w:ascii="Arial" w:hAnsi="Arial" w:cs="Arial"/>
                <w:szCs w:val="24"/>
              </w:rPr>
              <w:t xml:space="preserve"> </w:t>
            </w:r>
            <w:r w:rsidRPr="00871186">
              <w:rPr>
                <w:rFonts w:ascii="Arial" w:hAnsi="Arial" w:cs="Arial"/>
              </w:rPr>
              <w:t>(2004)</w:t>
            </w:r>
            <w:r>
              <w:t>, and 2) that people who enter residential aged care remain there for at least two years.</w:t>
            </w:r>
          </w:p>
        </w:tc>
      </w:tr>
      <w:tr w:rsidR="00D62F80" w14:paraId="7652A49F" w14:textId="77777777">
        <w:trPr>
          <w:hidden/>
        </w:trPr>
        <w:tc>
          <w:tcPr>
            <w:tcW w:w="9638" w:type="dxa"/>
            <w:shd w:val="clear" w:color="auto" w:fill="auto"/>
            <w:tcMar>
              <w:top w:w="0" w:type="dxa"/>
              <w:left w:w="170" w:type="dxa"/>
              <w:bottom w:w="0" w:type="dxa"/>
              <w:right w:w="170" w:type="dxa"/>
            </w:tcMar>
          </w:tcPr>
          <w:p w14:paraId="5DB4A60A" w14:textId="44647874" w:rsidR="00D62F80" w:rsidRPr="00465191" w:rsidRDefault="00D62F80">
            <w:pPr>
              <w:pStyle w:val="BodyText"/>
              <w:spacing w:before="0" w:after="0" w:line="80" w:lineRule="atLeast"/>
              <w:rPr>
                <w:smallCaps/>
                <w:vanish/>
              </w:rPr>
            </w:pPr>
          </w:p>
        </w:tc>
      </w:tr>
    </w:tbl>
    <w:p w14:paraId="582689E2" w14:textId="6C990AA2" w:rsidR="00270B13" w:rsidRDefault="00AB52CB" w:rsidP="00270B13">
      <w:pPr>
        <w:pStyle w:val="Heading4"/>
      </w:pPr>
      <w:r>
        <w:t xml:space="preserve">Effects on </w:t>
      </w:r>
      <w:r w:rsidR="00270B13">
        <w:t>subsidies for health</w:t>
      </w:r>
      <w:r w:rsidR="00404220">
        <w:t xml:space="preserve"> </w:t>
      </w:r>
      <w:r w:rsidR="00270B13">
        <w:t>care</w:t>
      </w:r>
    </w:p>
    <w:p w14:paraId="421AE55D" w14:textId="251A8E65" w:rsidR="00647460" w:rsidRDefault="00FA53DC" w:rsidP="00DD1AA0">
      <w:pPr>
        <w:pStyle w:val="BodyText"/>
      </w:pPr>
      <w:r>
        <w:t xml:space="preserve">The leave that would have been taken by users who continued in paid work </w:t>
      </w:r>
      <w:r w:rsidR="002D43C9">
        <w:t xml:space="preserve">may have affected </w:t>
      </w:r>
      <w:r w:rsidR="00DD1AA0">
        <w:t xml:space="preserve">both </w:t>
      </w:r>
      <w:r w:rsidR="008E01F1">
        <w:t xml:space="preserve">their </w:t>
      </w:r>
      <w:r w:rsidR="00856F6A">
        <w:t xml:space="preserve">care recipients’ use of </w:t>
      </w:r>
      <w:r w:rsidR="00AD3035">
        <w:t>subsidised health</w:t>
      </w:r>
      <w:r w:rsidR="00E613F5">
        <w:t xml:space="preserve"> </w:t>
      </w:r>
      <w:r w:rsidR="00AD3035">
        <w:t xml:space="preserve">care and their </w:t>
      </w:r>
      <w:r w:rsidR="00D62F80">
        <w:t xml:space="preserve">own </w:t>
      </w:r>
      <w:r w:rsidR="00AD3035">
        <w:t>use of subsidised health</w:t>
      </w:r>
      <w:r w:rsidR="00E613F5">
        <w:t xml:space="preserve"> </w:t>
      </w:r>
      <w:r w:rsidR="00AD3035">
        <w:t>care.</w:t>
      </w:r>
      <w:r w:rsidR="00647460">
        <w:t xml:space="preserve"> This is an empirical question </w:t>
      </w:r>
      <w:r w:rsidR="008C0576">
        <w:t xml:space="preserve">because </w:t>
      </w:r>
      <w:r w:rsidR="00647460">
        <w:t>theory</w:t>
      </w:r>
      <w:r w:rsidR="008844F7">
        <w:t xml:space="preserve"> does not make clear the direction of the effect.</w:t>
      </w:r>
    </w:p>
    <w:p w14:paraId="08FFFE73" w14:textId="1683D16B" w:rsidR="00E92CEF" w:rsidRDefault="00E92CEF" w:rsidP="008844F7">
      <w:pPr>
        <w:pStyle w:val="ListBullet"/>
      </w:pPr>
      <w:r w:rsidRPr="00DA3120">
        <w:rPr>
          <w:i/>
        </w:rPr>
        <w:t>Care recipients</w:t>
      </w:r>
      <w:r>
        <w:t xml:space="preserve">: </w:t>
      </w:r>
      <w:r w:rsidR="000C697A">
        <w:t>T</w:t>
      </w:r>
      <w:r w:rsidR="0078534C">
        <w:t>he additional informal care might</w:t>
      </w:r>
      <w:r w:rsidR="00C654CC">
        <w:t xml:space="preserve"> have</w:t>
      </w:r>
      <w:r w:rsidR="0078534C">
        <w:t xml:space="preserve"> reduce</w:t>
      </w:r>
      <w:r w:rsidR="00C654CC">
        <w:t>d</w:t>
      </w:r>
      <w:r w:rsidR="0078534C">
        <w:t xml:space="preserve"> </w:t>
      </w:r>
      <w:r w:rsidR="00C701A5">
        <w:t xml:space="preserve">care recipients’ </w:t>
      </w:r>
      <w:r w:rsidR="0078534C">
        <w:t>need for health</w:t>
      </w:r>
      <w:r w:rsidR="008D4173">
        <w:t xml:space="preserve"> </w:t>
      </w:r>
      <w:r w:rsidR="0078534C">
        <w:t>care</w:t>
      </w:r>
      <w:r w:rsidR="003B7322">
        <w:t xml:space="preserve"> and the speed at which they could be discharged from hospital</w:t>
      </w:r>
      <w:r>
        <w:t>. However,</w:t>
      </w:r>
      <w:r w:rsidR="0078534C">
        <w:t xml:space="preserve"> </w:t>
      </w:r>
      <w:r w:rsidR="000E1CEF">
        <w:t>it might</w:t>
      </w:r>
      <w:r w:rsidR="003B7322">
        <w:t xml:space="preserve"> also</w:t>
      </w:r>
      <w:r w:rsidR="000E1CEF">
        <w:t xml:space="preserve"> have </w:t>
      </w:r>
      <w:r w:rsidR="002C6ACE">
        <w:t>facilitat</w:t>
      </w:r>
      <w:r w:rsidR="00C701A5">
        <w:t>ed</w:t>
      </w:r>
      <w:r w:rsidR="002C6ACE">
        <w:t xml:space="preserve"> better access to</w:t>
      </w:r>
      <w:r w:rsidR="004029D3">
        <w:t xml:space="preserve"> </w:t>
      </w:r>
      <w:r w:rsidR="004029D3" w:rsidRPr="007C390A">
        <w:t>health</w:t>
      </w:r>
      <w:r w:rsidR="00404220">
        <w:t xml:space="preserve"> </w:t>
      </w:r>
      <w:r w:rsidR="004029D3" w:rsidRPr="007C390A">
        <w:t>care</w:t>
      </w:r>
      <w:r w:rsidR="002C6ACE">
        <w:t>.</w:t>
      </w:r>
    </w:p>
    <w:p w14:paraId="02F0BF77" w14:textId="5EAC4DCC" w:rsidR="00D62F80" w:rsidRDefault="00D62F80" w:rsidP="00D62F80">
      <w:pPr>
        <w:pStyle w:val="ListBullet"/>
      </w:pPr>
      <w:r w:rsidRPr="00E92CEF">
        <w:rPr>
          <w:i/>
          <w:iCs/>
        </w:rPr>
        <w:t>Carers</w:t>
      </w:r>
      <w:r>
        <w:t>: There is evidence that informal carers have worse physical and mental health than non</w:t>
      </w:r>
      <w:r>
        <w:noBreakHyphen/>
        <w:t xml:space="preserve">carers with similar demographic characteristics </w:t>
      </w:r>
      <w:r w:rsidRPr="007C390A">
        <w:t>(</w:t>
      </w:r>
      <w:proofErr w:type="spellStart"/>
      <w:r w:rsidRPr="007C390A">
        <w:t>Pinquart</w:t>
      </w:r>
      <w:proofErr w:type="spellEnd"/>
      <w:r w:rsidRPr="007C390A">
        <w:t xml:space="preserve"> and </w:t>
      </w:r>
      <w:proofErr w:type="spellStart"/>
      <w:r w:rsidRPr="007C390A">
        <w:t>Sörensen</w:t>
      </w:r>
      <w:proofErr w:type="spellEnd"/>
      <w:r w:rsidRPr="007C390A">
        <w:t> 2003)</w:t>
      </w:r>
      <w:r>
        <w:t>, which might suggest a negative causal effect of informal care on mental and physical health and that more intensive caring would lead to greater health</w:t>
      </w:r>
      <w:r w:rsidR="008D4173">
        <w:t xml:space="preserve"> </w:t>
      </w:r>
      <w:r>
        <w:t>care use. However, the time away from paid work could also make providing informal care easier, improve physical and mental health</w:t>
      </w:r>
      <w:r w:rsidR="008D4173">
        <w:t xml:space="preserve"> </w:t>
      </w:r>
      <w:r>
        <w:t>and reduce health</w:t>
      </w:r>
      <w:r w:rsidR="008D4173">
        <w:t xml:space="preserve"> </w:t>
      </w:r>
      <w:r>
        <w:t>care use.</w:t>
      </w:r>
    </w:p>
    <w:p w14:paraId="68EDEDA7" w14:textId="77777777" w:rsidR="00D62F80" w:rsidRDefault="00D62F80" w:rsidP="00D62F80">
      <w:pPr>
        <w:pStyle w:val="Heading5"/>
      </w:pPr>
      <w:r>
        <w:t>Health care used by care recipients</w:t>
      </w:r>
    </w:p>
    <w:p w14:paraId="0AC30D12" w14:textId="34B08C22" w:rsidR="00D62F80" w:rsidRPr="00EC57C4" w:rsidRDefault="00D62F80" w:rsidP="00D62F80">
      <w:pPr>
        <w:pStyle w:val="BodyText"/>
        <w:rPr>
          <w:spacing w:val="-4"/>
        </w:rPr>
      </w:pPr>
      <w:r w:rsidRPr="00EC57C4">
        <w:rPr>
          <w:spacing w:val="-4"/>
        </w:rPr>
        <w:t>We have assumed that</w:t>
      </w:r>
      <w:r w:rsidRPr="00EC57C4" w:rsidDel="00AB6A2D">
        <w:rPr>
          <w:spacing w:val="-4"/>
        </w:rPr>
        <w:t xml:space="preserve"> </w:t>
      </w:r>
      <w:r w:rsidRPr="00EC57C4">
        <w:rPr>
          <w:spacing w:val="-4"/>
        </w:rPr>
        <w:t>the leave that would have been taken by those who continued in paid work would have slightly reduced the time care recipients spend in hospital. Studies from abroad have found</w:t>
      </w:r>
      <w:r w:rsidRPr="00EC57C4" w:rsidDel="000C5D6A">
        <w:rPr>
          <w:spacing w:val="-4"/>
        </w:rPr>
        <w:t xml:space="preserve"> </w:t>
      </w:r>
      <w:r w:rsidRPr="00EC57C4">
        <w:rPr>
          <w:spacing w:val="-4"/>
        </w:rPr>
        <w:t>that informal care has no or a negligibly small impact on the likelihood of care recipients being hospitalised (table </w:t>
      </w:r>
      <w:r w:rsidRPr="00EC57C4" w:rsidDel="00C03043">
        <w:rPr>
          <w:spacing w:val="-4"/>
        </w:rPr>
        <w:t>5</w:t>
      </w:r>
      <w:r w:rsidRPr="00EC57C4">
        <w:rPr>
          <w:spacing w:val="-4"/>
        </w:rPr>
        <w:t xml:space="preserve">). But there is some </w:t>
      </w:r>
      <w:r w:rsidRPr="00EC57C4">
        <w:rPr>
          <w:spacing w:val="-4"/>
        </w:rPr>
        <w:lastRenderedPageBreak/>
        <w:t xml:space="preserve">evidence that informal care reduces the time that care recipients spend in hospital by allowing for earlier discharge than would otherwise be possible. Weaver and Weaver (2014) found that, in Switzerland, living with an informal carer reduced annual time spent in hospital by those who went to hospital by 2 days, on average. However, </w:t>
      </w:r>
      <w:r w:rsidRPr="00EC57C4">
        <w:rPr>
          <w:rFonts w:cs="Arial"/>
          <w:spacing w:val="-4"/>
          <w:szCs w:val="24"/>
        </w:rPr>
        <w:t xml:space="preserve">Van </w:t>
      </w:r>
      <w:proofErr w:type="spellStart"/>
      <w:r w:rsidRPr="00EC57C4">
        <w:rPr>
          <w:rFonts w:cs="Arial"/>
          <w:spacing w:val="-4"/>
          <w:szCs w:val="24"/>
        </w:rPr>
        <w:t>Houtven</w:t>
      </w:r>
      <w:proofErr w:type="spellEnd"/>
      <w:r w:rsidRPr="00EC57C4">
        <w:rPr>
          <w:rFonts w:cs="Arial"/>
          <w:spacing w:val="-4"/>
          <w:szCs w:val="24"/>
        </w:rPr>
        <w:t xml:space="preserve"> and Norton</w:t>
      </w:r>
      <w:r w:rsidRPr="00EC57C4">
        <w:rPr>
          <w:spacing w:val="-4"/>
        </w:rPr>
        <w:t xml:space="preserve"> (2004) found a negligible effect in the United States, but this may reflect that the out–of–pocket costs of hospital care in the United States incentivise care recipients and their families to reduce time spent in hospital even when inadequate informal support is available. </w:t>
      </w:r>
    </w:p>
    <w:p w14:paraId="77D91725" w14:textId="67072C1D" w:rsidR="00D62F80" w:rsidRDefault="00D62F80" w:rsidP="00D62F80">
      <w:pPr>
        <w:pStyle w:val="BodyText"/>
      </w:pPr>
      <w:r>
        <w:t>Just as the previous section noted that the substantial wait times for formal aged care reduced the prospect that informal carer would reduce aged care subsidies, one might hypothesise that these wait times would increase the prospect of informal care reducing hospital care subsidies as older people waiting for residential aged care might be hospitalised instead. If true, a larger effect of informal care on hospital utilisation might be expected. But this seems unlikely to be the case. On average, people waiting for residential care spent about 3 per cent of their time in hospital in 2018</w:t>
      </w:r>
      <w:r w:rsidR="00762BAE">
        <w:noBreakHyphen/>
      </w:r>
      <w:r>
        <w:t>19 (about 5 days per person) — much more than the average person, but not enough to suggest widespread use of hospital care in lieu of residential care.</w:t>
      </w:r>
      <w:r w:rsidRPr="00BE59F4">
        <w:rPr>
          <w:rStyle w:val="FootnoteReference"/>
        </w:rPr>
        <w:footnoteReference w:id="18"/>
      </w:r>
    </w:p>
    <w:p w14:paraId="5E59DBB4" w14:textId="7639F29E" w:rsidR="00D62F80" w:rsidRDefault="00D62F80" w:rsidP="00D62F80">
      <w:pPr>
        <w:pStyle w:val="BodyText"/>
      </w:pPr>
      <w:r>
        <w:t xml:space="preserve">For these reasons, we have assumed the results of </w:t>
      </w:r>
      <w:r w:rsidRPr="00CB017E">
        <w:t>Weaver and Weaver</w:t>
      </w:r>
      <w:r>
        <w:t> </w:t>
      </w:r>
      <w:r w:rsidRPr="00CB017E">
        <w:t>(2014)</w:t>
      </w:r>
      <w:r>
        <w:t xml:space="preserve"> apply in the Australian context. As we expect that about half of the</w:t>
      </w:r>
      <w:r w:rsidDel="00677D13">
        <w:t xml:space="preserve"> </w:t>
      </w:r>
      <w:r>
        <w:t xml:space="preserve">recipients of the care provided by people who continued working but would have used the entitlement if it were available would be hospitalised </w:t>
      </w:r>
      <w:proofErr w:type="gramStart"/>
      <w:r>
        <w:t>in a given year</w:t>
      </w:r>
      <w:proofErr w:type="gramEnd"/>
      <w:r>
        <w:t>,</w:t>
      </w:r>
      <w:r w:rsidRPr="00BE59F4">
        <w:rPr>
          <w:rStyle w:val="FootnoteReference"/>
        </w:rPr>
        <w:footnoteReference w:id="19"/>
      </w:r>
      <w:r>
        <w:t xml:space="preserve"> this suggests an average reduction of time spent in hospital of about 1 day per carer per year of leave taken. This is equivalent to about $1000 per </w:t>
      </w:r>
      <w:r w:rsidDel="00E66479">
        <w:t>carer</w:t>
      </w:r>
      <w:r>
        <w:t xml:space="preserve"> per year of leave taken; the average cost of one day of care in a non</w:t>
      </w:r>
      <w:r w:rsidR="00762BAE">
        <w:noBreakHyphen/>
      </w:r>
      <w:r>
        <w:t>acute unit in a public hospital in 2018</w:t>
      </w:r>
      <w:r w:rsidR="00762BAE">
        <w:noBreakHyphen/>
      </w:r>
      <w:r>
        <w:t>19.</w:t>
      </w:r>
      <w:r w:rsidRPr="00BE59F4">
        <w:rPr>
          <w:rStyle w:val="FootnoteReference"/>
        </w:rPr>
        <w:footnoteReference w:id="20"/>
      </w:r>
    </w:p>
    <w:p w14:paraId="384E6C92" w14:textId="4BF87A97" w:rsidR="00D62F80" w:rsidRDefault="00D62F80" w:rsidP="00D62F80">
      <w:pPr>
        <w:pStyle w:val="BodyText"/>
      </w:pPr>
      <w:r>
        <w:t>Informal care appears not to have substantial effects on care recipients’ use of outpatient health</w:t>
      </w:r>
      <w:r w:rsidR="008D4173">
        <w:t xml:space="preserve"> </w:t>
      </w:r>
      <w:r>
        <w:t xml:space="preserve">care. One study found that informal care provision slightly increased the number of doctor visits made by care recipients </w:t>
      </w:r>
      <w:r w:rsidRPr="00E01FCD">
        <w:rPr>
          <w:rFonts w:ascii="Arial" w:hAnsi="Arial" w:cs="Arial"/>
          <w:szCs w:val="24"/>
        </w:rPr>
        <w:t>(Bolin, Lindgren and Lundborg 2008)</w:t>
      </w:r>
      <w:r>
        <w:t xml:space="preserve">, while another did not find evidence of an effect on doctor visits </w:t>
      </w:r>
      <w:r w:rsidRPr="00E01FCD">
        <w:rPr>
          <w:rFonts w:ascii="Arial" w:hAnsi="Arial" w:cs="Arial"/>
          <w:szCs w:val="24"/>
        </w:rPr>
        <w:t xml:space="preserve">(Van </w:t>
      </w:r>
      <w:proofErr w:type="spellStart"/>
      <w:r w:rsidRPr="00E01FCD">
        <w:rPr>
          <w:rFonts w:ascii="Arial" w:hAnsi="Arial" w:cs="Arial"/>
          <w:szCs w:val="24"/>
        </w:rPr>
        <w:t>Houtven</w:t>
      </w:r>
      <w:proofErr w:type="spellEnd"/>
      <w:r w:rsidRPr="00E01FCD">
        <w:rPr>
          <w:rFonts w:ascii="Arial" w:hAnsi="Arial" w:cs="Arial"/>
          <w:szCs w:val="24"/>
        </w:rPr>
        <w:t xml:space="preserve"> and Norton 2004)</w:t>
      </w:r>
      <w:r>
        <w:t xml:space="preserve">. And </w:t>
      </w:r>
      <w:r w:rsidRPr="004464E9">
        <w:rPr>
          <w:rFonts w:ascii="Arial" w:hAnsi="Arial" w:cs="Arial"/>
          <w:szCs w:val="24"/>
        </w:rPr>
        <w:t xml:space="preserve">Van </w:t>
      </w:r>
      <w:proofErr w:type="spellStart"/>
      <w:r w:rsidRPr="004464E9">
        <w:rPr>
          <w:rFonts w:ascii="Arial" w:hAnsi="Arial" w:cs="Arial"/>
          <w:szCs w:val="24"/>
        </w:rPr>
        <w:t>Houtven</w:t>
      </w:r>
      <w:proofErr w:type="spellEnd"/>
      <w:r w:rsidRPr="004464E9">
        <w:rPr>
          <w:rFonts w:ascii="Arial" w:hAnsi="Arial" w:cs="Arial"/>
          <w:szCs w:val="24"/>
        </w:rPr>
        <w:t xml:space="preserve"> and Norton</w:t>
      </w:r>
      <w:r>
        <w:rPr>
          <w:rFonts w:ascii="Arial" w:hAnsi="Arial" w:cs="Arial"/>
          <w:szCs w:val="24"/>
        </w:rPr>
        <w:t xml:space="preserve"> </w:t>
      </w:r>
      <w:r w:rsidRPr="00871186">
        <w:rPr>
          <w:rFonts w:ascii="Arial" w:hAnsi="Arial" w:cs="Arial"/>
        </w:rPr>
        <w:t>(2004)</w:t>
      </w:r>
      <w:r>
        <w:t xml:space="preserve"> found that informal care slightly decreased the probability of care recipients having outpatient surgery. As such, we assumed that the care provided by people who continued working but would have used the entitlement if it were available would have had no effect on the use of outpatient health</w:t>
      </w:r>
      <w:r w:rsidR="008D4173">
        <w:t xml:space="preserve"> </w:t>
      </w:r>
      <w:r>
        <w:t>care by the recipients of their care.</w:t>
      </w:r>
    </w:p>
    <w:p w14:paraId="33A7F142" w14:textId="5409A233" w:rsidR="00D62F80" w:rsidRDefault="00D62F80" w:rsidP="00D62F80">
      <w:pPr>
        <w:pStyle w:val="Heading5"/>
      </w:pPr>
      <w:r>
        <w:t>Health</w:t>
      </w:r>
      <w:r w:rsidR="000A3FEE">
        <w:t xml:space="preserve"> </w:t>
      </w:r>
      <w:r>
        <w:t>care used by entitlement users</w:t>
      </w:r>
    </w:p>
    <w:p w14:paraId="4CDF511C" w14:textId="12EBD9A8" w:rsidR="00D62F80" w:rsidRDefault="00D62F80" w:rsidP="00D62F80">
      <w:pPr>
        <w:pStyle w:val="BodyText"/>
      </w:pPr>
      <w:r>
        <w:t>We assumed that use of the entitlement by those who continued working would have had no effect on their use of health</w:t>
      </w:r>
      <w:r w:rsidR="008D4173">
        <w:t xml:space="preserve"> </w:t>
      </w:r>
      <w:r>
        <w:t>care, as studies find no clear evidence of this (table </w:t>
      </w:r>
      <w:r w:rsidDel="00062EDC">
        <w:t>5</w:t>
      </w:r>
      <w:r>
        <w:t xml:space="preserve">). One study did not find sufficient evidence of an effect of informal care provision on doctor visits </w:t>
      </w:r>
      <w:r w:rsidRPr="00A264C8">
        <w:rPr>
          <w:rFonts w:ascii="Arial" w:hAnsi="Arial" w:cs="Arial"/>
          <w:szCs w:val="24"/>
        </w:rPr>
        <w:t>(Bremer et al. 2015)</w:t>
      </w:r>
      <w:r>
        <w:t>, while another</w:t>
      </w:r>
      <w:r w:rsidDel="002F0DBC">
        <w:t xml:space="preserve"> </w:t>
      </w:r>
      <w:r>
        <w:t>found that carers had substantially higher health</w:t>
      </w:r>
      <w:r w:rsidR="000A3FEE">
        <w:t xml:space="preserve"> </w:t>
      </w:r>
      <w:r>
        <w:t>care use than non</w:t>
      </w:r>
      <w:r w:rsidR="00762BAE">
        <w:noBreakHyphen/>
      </w:r>
      <w:proofErr w:type="gramStart"/>
      <w:r>
        <w:t>carers</w:t>
      </w:r>
      <w:proofErr w:type="gramEnd"/>
      <w:r>
        <w:t xml:space="preserve"> but its authors do not interpret this to be a causal effect of informal care provision on health</w:t>
      </w:r>
      <w:r w:rsidR="008D4173">
        <w:t xml:space="preserve"> </w:t>
      </w:r>
      <w:r>
        <w:t xml:space="preserve">care use </w:t>
      </w:r>
      <w:r w:rsidRPr="009C7AAD">
        <w:rPr>
          <w:rFonts w:ascii="Arial" w:hAnsi="Arial" w:cs="Arial"/>
          <w:szCs w:val="24"/>
        </w:rPr>
        <w:t>(Chan et al. 2013)</w:t>
      </w:r>
      <w:r>
        <w:t xml:space="preserve">. The only study we are aware of that studied the effect of carer leave on carers’ physical and mental health did not find evidence of an effect </w:t>
      </w:r>
      <w:r w:rsidRPr="00173ED6">
        <w:rPr>
          <w:rFonts w:ascii="Arial" w:hAnsi="Arial" w:cs="Arial"/>
          <w:szCs w:val="24"/>
        </w:rPr>
        <w:t>(Gimm and Yang 2016)</w:t>
      </w:r>
      <w:r>
        <w:t>.</w:t>
      </w:r>
    </w:p>
    <w:p w14:paraId="2DF95000" w14:textId="2479A24A" w:rsidR="0078534C" w:rsidRDefault="0078534C" w:rsidP="0078534C">
      <w:pPr>
        <w:pStyle w:val="FigureTableHeading"/>
      </w:pPr>
      <w:r>
        <w:lastRenderedPageBreak/>
        <w:t>Table</w:t>
      </w:r>
      <w:r w:rsidR="007D60A9">
        <w:t> </w:t>
      </w:r>
      <w:fldSimple w:instr=" SEQ Table \* ARABIC \s 1 ">
        <w:r w:rsidR="00634153">
          <w:rPr>
            <w:noProof/>
          </w:rPr>
          <w:t>5</w:t>
        </w:r>
      </w:fldSimple>
      <w:r>
        <w:rPr>
          <w:noProof/>
        </w:rPr>
        <w:t xml:space="preserve"> – Studies </w:t>
      </w:r>
      <w:r w:rsidR="006B2D76">
        <w:rPr>
          <w:noProof/>
        </w:rPr>
        <w:t xml:space="preserve">looking at the </w:t>
      </w:r>
      <w:r>
        <w:t xml:space="preserve">effect of informal care on </w:t>
      </w:r>
      <w:r w:rsidR="00487684">
        <w:t xml:space="preserve">the </w:t>
      </w:r>
      <w:r>
        <w:t>use of health</w:t>
      </w:r>
      <w:r w:rsidR="008D4173">
        <w:t xml:space="preserve"> </w:t>
      </w:r>
      <w:r>
        <w:t>care</w:t>
      </w:r>
    </w:p>
    <w:tbl>
      <w:tblPr>
        <w:tblW w:w="9922"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417"/>
        <w:gridCol w:w="2835"/>
        <w:gridCol w:w="2835"/>
        <w:gridCol w:w="2835"/>
      </w:tblGrid>
      <w:tr w:rsidR="00D62F80" w:rsidRPr="00030C67" w14:paraId="12FC8D18" w14:textId="77777777">
        <w:trPr>
          <w:tblHeader/>
        </w:trPr>
        <w:tc>
          <w:tcPr>
            <w:tcW w:w="1417" w:type="dxa"/>
            <w:tcBorders>
              <w:bottom w:val="single" w:sz="4" w:space="0" w:color="B3B3B3"/>
            </w:tcBorders>
            <w:shd w:val="clear" w:color="000000" w:fill="auto"/>
          </w:tcPr>
          <w:p w14:paraId="544A4AB7" w14:textId="77777777" w:rsidR="00D62F80" w:rsidRPr="004427D2" w:rsidRDefault="00D62F80">
            <w:pPr>
              <w:pStyle w:val="TableHeading"/>
            </w:pPr>
            <w:r w:rsidRPr="004427D2">
              <w:t>Study</w:t>
            </w:r>
          </w:p>
        </w:tc>
        <w:tc>
          <w:tcPr>
            <w:tcW w:w="2835" w:type="dxa"/>
            <w:tcBorders>
              <w:bottom w:val="single" w:sz="4" w:space="0" w:color="B3B3B3"/>
            </w:tcBorders>
            <w:shd w:val="clear" w:color="000000" w:fill="auto"/>
          </w:tcPr>
          <w:p w14:paraId="41212553" w14:textId="77777777" w:rsidR="00D62F80" w:rsidRPr="004427D2" w:rsidRDefault="00D62F80">
            <w:pPr>
              <w:pStyle w:val="TableHeading"/>
            </w:pPr>
            <w:r w:rsidRPr="004427D2">
              <w:t>Country and cohort of interest</w:t>
            </w:r>
          </w:p>
        </w:tc>
        <w:tc>
          <w:tcPr>
            <w:tcW w:w="2835" w:type="dxa"/>
            <w:tcBorders>
              <w:bottom w:val="single" w:sz="4" w:space="0" w:color="B3B3B3"/>
            </w:tcBorders>
            <w:shd w:val="clear" w:color="000000" w:fill="auto"/>
          </w:tcPr>
          <w:p w14:paraId="2FA1A8A3" w14:textId="77777777" w:rsidR="00D62F80" w:rsidRPr="004427D2" w:rsidRDefault="00D62F80">
            <w:pPr>
              <w:pStyle w:val="TableHeading"/>
            </w:pPr>
            <w:r w:rsidRPr="004427D2">
              <w:t xml:space="preserve">Effect on </w:t>
            </w:r>
            <w:r>
              <w:t>outpatient care</w:t>
            </w:r>
          </w:p>
        </w:tc>
        <w:tc>
          <w:tcPr>
            <w:tcW w:w="2835" w:type="dxa"/>
            <w:tcBorders>
              <w:bottom w:val="single" w:sz="4" w:space="0" w:color="B3B3B3"/>
            </w:tcBorders>
            <w:shd w:val="clear" w:color="000000" w:fill="auto"/>
          </w:tcPr>
          <w:p w14:paraId="67CF33A1" w14:textId="77777777" w:rsidR="00D62F80" w:rsidRPr="004427D2" w:rsidRDefault="00D62F80">
            <w:pPr>
              <w:pStyle w:val="TableHeading"/>
            </w:pPr>
            <w:r w:rsidRPr="004427D2">
              <w:t xml:space="preserve">Effect on </w:t>
            </w:r>
            <w:r>
              <w:t>inpatient care</w:t>
            </w:r>
          </w:p>
        </w:tc>
      </w:tr>
      <w:tr w:rsidR="00D62F80" w:rsidRPr="00030C67" w14:paraId="6C6C0CA9" w14:textId="77777777">
        <w:tc>
          <w:tcPr>
            <w:tcW w:w="9922" w:type="dxa"/>
            <w:gridSpan w:val="4"/>
            <w:tcBorders>
              <w:top w:val="nil"/>
              <w:bottom w:val="nil"/>
            </w:tcBorders>
            <w:shd w:val="clear" w:color="000000" w:fill="auto"/>
          </w:tcPr>
          <w:p w14:paraId="7DBD90E1" w14:textId="77777777" w:rsidR="00D62F80" w:rsidRDefault="00D62F80">
            <w:pPr>
              <w:pStyle w:val="TableBody"/>
              <w:spacing w:before="45" w:after="45"/>
              <w:ind w:right="108"/>
              <w:rPr>
                <w:rFonts w:ascii="Arial (Body)" w:hAnsi="Arial (Body)"/>
                <w:color w:val="000000"/>
              </w:rPr>
            </w:pPr>
            <w:r w:rsidRPr="00E94ABA">
              <w:rPr>
                <w:rFonts w:ascii="Arial" w:hAnsi="Arial" w:cs="Arial"/>
                <w:b/>
                <w:bCs/>
                <w:color w:val="265A9A" w:themeColor="background2"/>
                <w:szCs w:val="24"/>
              </w:rPr>
              <w:t>Care recipients</w:t>
            </w:r>
          </w:p>
        </w:tc>
      </w:tr>
      <w:tr w:rsidR="00D62F80" w:rsidRPr="00030C67" w14:paraId="731E1979" w14:textId="77777777" w:rsidTr="00442AFB">
        <w:tc>
          <w:tcPr>
            <w:tcW w:w="1417" w:type="dxa"/>
            <w:tcBorders>
              <w:top w:val="nil"/>
              <w:bottom w:val="nil"/>
            </w:tcBorders>
            <w:shd w:val="clear" w:color="auto" w:fill="F2F2F2" w:themeFill="background1" w:themeFillShade="F2"/>
          </w:tcPr>
          <w:p w14:paraId="082E923B" w14:textId="586E6B11" w:rsidR="00D62F80" w:rsidRPr="00030C67" w:rsidRDefault="00D62F80">
            <w:pPr>
              <w:pStyle w:val="TableBody"/>
              <w:spacing w:before="45" w:after="45"/>
              <w:ind w:right="108"/>
              <w:rPr>
                <w:rFonts w:ascii="Arial (Body)" w:hAnsi="Arial (Body)"/>
                <w:color w:val="000000"/>
              </w:rPr>
            </w:pPr>
            <w:r w:rsidRPr="004464E9">
              <w:rPr>
                <w:rFonts w:ascii="Arial" w:hAnsi="Arial" w:cs="Arial"/>
                <w:szCs w:val="24"/>
              </w:rPr>
              <w:t xml:space="preserve">Van </w:t>
            </w:r>
            <w:proofErr w:type="spellStart"/>
            <w:r w:rsidRPr="004464E9">
              <w:rPr>
                <w:rFonts w:ascii="Arial" w:hAnsi="Arial" w:cs="Arial"/>
                <w:szCs w:val="24"/>
              </w:rPr>
              <w:t>Houtven</w:t>
            </w:r>
            <w:proofErr w:type="spellEnd"/>
            <w:r w:rsidRPr="004464E9">
              <w:rPr>
                <w:rFonts w:ascii="Arial" w:hAnsi="Arial" w:cs="Arial"/>
                <w:szCs w:val="24"/>
              </w:rPr>
              <w:t xml:space="preserve"> and Norton</w:t>
            </w:r>
            <w:r>
              <w:t xml:space="preserve"> </w:t>
            </w:r>
            <w:r w:rsidRPr="00871186">
              <w:rPr>
                <w:rFonts w:ascii="Arial" w:hAnsi="Arial" w:cs="Arial"/>
              </w:rPr>
              <w:t>(2004)</w:t>
            </w:r>
          </w:p>
        </w:tc>
        <w:tc>
          <w:tcPr>
            <w:tcW w:w="2835" w:type="dxa"/>
            <w:tcBorders>
              <w:top w:val="nil"/>
              <w:bottom w:val="nil"/>
            </w:tcBorders>
            <w:shd w:val="clear" w:color="auto" w:fill="F2F2F2" w:themeFill="background1" w:themeFillShade="F2"/>
          </w:tcPr>
          <w:p w14:paraId="7DAC8505" w14:textId="77777777" w:rsidR="00D62F80" w:rsidRPr="00030C67" w:rsidRDefault="00D62F80">
            <w:pPr>
              <w:pStyle w:val="TableBody"/>
              <w:spacing w:before="45" w:after="45"/>
              <w:ind w:right="108"/>
              <w:rPr>
                <w:rFonts w:ascii="Arial (Body)" w:hAnsi="Arial (Body)"/>
                <w:color w:val="000000"/>
              </w:rPr>
            </w:pPr>
            <w:r>
              <w:rPr>
                <w:rFonts w:ascii="Arial (Body)" w:hAnsi="Arial (Body)"/>
                <w:color w:val="000000"/>
              </w:rPr>
              <w:t xml:space="preserve">United </w:t>
            </w:r>
            <w:proofErr w:type="gramStart"/>
            <w:r>
              <w:rPr>
                <w:rFonts w:ascii="Arial (Body)" w:hAnsi="Arial (Body)"/>
                <w:color w:val="000000"/>
              </w:rPr>
              <w:t>States;</w:t>
            </w:r>
            <w:proofErr w:type="gramEnd"/>
            <w:r>
              <w:rPr>
                <w:rFonts w:ascii="Arial (Body)" w:hAnsi="Arial (Body)"/>
                <w:color w:val="000000"/>
              </w:rPr>
              <w:t xml:space="preserve"> informal care provided to people aged 70 and older by their children, 1995</w:t>
            </w:r>
            <w:r>
              <w:rPr>
                <w:rFonts w:ascii="Arial (Body)" w:hAnsi="Arial (Body)" w:hint="eastAsia"/>
                <w:color w:val="000000"/>
              </w:rPr>
              <w:t>–</w:t>
            </w:r>
            <w:r>
              <w:rPr>
                <w:rFonts w:ascii="Arial (Body)" w:hAnsi="Arial (Body)" w:hint="eastAsia"/>
                <w:color w:val="000000"/>
              </w:rPr>
              <w:t>1</w:t>
            </w:r>
            <w:r>
              <w:rPr>
                <w:rFonts w:ascii="Arial (Body)" w:hAnsi="Arial (Body)"/>
                <w:color w:val="000000"/>
              </w:rPr>
              <w:t>998.</w:t>
            </w:r>
          </w:p>
        </w:tc>
        <w:tc>
          <w:tcPr>
            <w:tcW w:w="2835" w:type="dxa"/>
            <w:tcBorders>
              <w:top w:val="nil"/>
              <w:bottom w:val="nil"/>
            </w:tcBorders>
            <w:shd w:val="clear" w:color="auto" w:fill="F2F2F2" w:themeFill="background1" w:themeFillShade="F2"/>
          </w:tcPr>
          <w:p w14:paraId="5E781BBB" w14:textId="77777777" w:rsidR="00D62F80" w:rsidRDefault="00D62F80">
            <w:pPr>
              <w:pStyle w:val="TableBody"/>
              <w:spacing w:before="45" w:after="45"/>
              <w:ind w:right="108"/>
              <w:rPr>
                <w:rFonts w:ascii="Arial (Body)" w:hAnsi="Arial (Body)"/>
                <w:color w:val="000000"/>
              </w:rPr>
            </w:pPr>
            <w:r>
              <w:rPr>
                <w:rFonts w:ascii="Arial (Body)" w:hAnsi="Arial (Body)"/>
                <w:color w:val="000000"/>
              </w:rPr>
              <w:t>On average, a 10</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increase in informal care hours led to a 0.16</w:t>
            </w:r>
            <w:r>
              <w:rPr>
                <w:rFonts w:ascii="Arial (Body)" w:hAnsi="Arial (Body)" w:hint="eastAsia"/>
                <w:color w:val="000000"/>
              </w:rPr>
              <w:t> </w:t>
            </w:r>
            <w:r>
              <w:rPr>
                <w:rFonts w:ascii="Arial (Body)" w:hAnsi="Arial (Body)"/>
                <w:color w:val="000000"/>
              </w:rPr>
              <w:t>percentage point decrease in the probability of having outpatient surgery</w:t>
            </w:r>
          </w:p>
          <w:p w14:paraId="40CCCC25" w14:textId="77777777" w:rsidR="00D62F80" w:rsidRDefault="00D62F80">
            <w:pPr>
              <w:pStyle w:val="TableBody"/>
              <w:spacing w:before="45" w:after="45"/>
              <w:ind w:right="108"/>
              <w:rPr>
                <w:rFonts w:ascii="Arial (Body)" w:hAnsi="Arial (Body)"/>
                <w:color w:val="000000"/>
              </w:rPr>
            </w:pPr>
            <w:r>
              <w:rPr>
                <w:rFonts w:ascii="Arial (Body)" w:hAnsi="Arial (Body)"/>
                <w:color w:val="000000"/>
              </w:rPr>
              <w:t>On average, a 10</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increase in informal care hours led to a 0.003 more doctor visits in two years (not statistically significant).</w:t>
            </w:r>
          </w:p>
        </w:tc>
        <w:tc>
          <w:tcPr>
            <w:tcW w:w="2835" w:type="dxa"/>
            <w:tcBorders>
              <w:top w:val="nil"/>
              <w:bottom w:val="nil"/>
            </w:tcBorders>
            <w:shd w:val="clear" w:color="auto" w:fill="F2F2F2" w:themeFill="background1" w:themeFillShade="F2"/>
          </w:tcPr>
          <w:p w14:paraId="0BC080E9" w14:textId="77777777" w:rsidR="00D62F80" w:rsidRDefault="00D62F80">
            <w:pPr>
              <w:pStyle w:val="TableBody"/>
              <w:spacing w:before="45" w:after="45"/>
              <w:ind w:right="108"/>
              <w:rPr>
                <w:rFonts w:ascii="Arial (Body)" w:hAnsi="Arial (Body)"/>
                <w:color w:val="000000"/>
              </w:rPr>
            </w:pPr>
            <w:r>
              <w:rPr>
                <w:rFonts w:ascii="Arial (Body)" w:hAnsi="Arial (Body)"/>
                <w:color w:val="000000"/>
              </w:rPr>
              <w:t>On average, a 10</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increase in informal care hours reduced time spent in hospital by 0.1 days over two years.</w:t>
            </w:r>
          </w:p>
        </w:tc>
      </w:tr>
      <w:tr w:rsidR="00D62F80" w:rsidRPr="00030C67" w14:paraId="5DAA6781" w14:textId="77777777" w:rsidTr="00442AFB">
        <w:tc>
          <w:tcPr>
            <w:tcW w:w="1417" w:type="dxa"/>
            <w:shd w:val="clear" w:color="auto" w:fill="auto"/>
          </w:tcPr>
          <w:p w14:paraId="64C424F3" w14:textId="7C41EBDB" w:rsidR="00D62F80" w:rsidRPr="00030C67" w:rsidRDefault="00D62F80">
            <w:pPr>
              <w:pStyle w:val="TableBody"/>
              <w:spacing w:before="45" w:after="45"/>
              <w:ind w:right="108"/>
              <w:rPr>
                <w:rFonts w:ascii="Arial (Body)" w:hAnsi="Arial (Body)"/>
                <w:color w:val="000000"/>
              </w:rPr>
            </w:pPr>
            <w:r w:rsidRPr="00871186">
              <w:rPr>
                <w:rFonts w:ascii="Arial" w:hAnsi="Arial" w:cs="Arial"/>
                <w:szCs w:val="24"/>
              </w:rPr>
              <w:t>Bolin, Lindgren and Lundborg</w:t>
            </w:r>
            <w:r>
              <w:rPr>
                <w:rFonts w:ascii="Arial" w:hAnsi="Arial" w:cs="Arial"/>
                <w:szCs w:val="24"/>
              </w:rPr>
              <w:t xml:space="preserve"> </w:t>
            </w:r>
            <w:r w:rsidRPr="00273D65">
              <w:rPr>
                <w:rFonts w:ascii="Arial" w:hAnsi="Arial" w:cs="Arial"/>
              </w:rPr>
              <w:t>(2008)</w:t>
            </w:r>
          </w:p>
        </w:tc>
        <w:tc>
          <w:tcPr>
            <w:tcW w:w="2835" w:type="dxa"/>
            <w:shd w:val="clear" w:color="auto" w:fill="auto"/>
          </w:tcPr>
          <w:p w14:paraId="53CA70FE" w14:textId="77777777" w:rsidR="00D62F80" w:rsidRPr="00030C67" w:rsidRDefault="00D62F80">
            <w:pPr>
              <w:pStyle w:val="TableBody"/>
              <w:spacing w:before="45" w:after="45"/>
              <w:ind w:right="108"/>
              <w:rPr>
                <w:rFonts w:ascii="Arial (Body)" w:hAnsi="Arial (Body)"/>
                <w:color w:val="000000"/>
              </w:rPr>
            </w:pPr>
            <w:r>
              <w:rPr>
                <w:rFonts w:ascii="Arial (Body)" w:hAnsi="Arial (Body)"/>
                <w:color w:val="000000"/>
              </w:rPr>
              <w:t>Eleven European countries; informal care provided to people aged 50 and older by their children, 2004.</w:t>
            </w:r>
          </w:p>
        </w:tc>
        <w:tc>
          <w:tcPr>
            <w:tcW w:w="2835" w:type="dxa"/>
            <w:shd w:val="clear" w:color="auto" w:fill="auto"/>
          </w:tcPr>
          <w:p w14:paraId="185D9DA3" w14:textId="77777777" w:rsidR="00D62F80" w:rsidRDefault="00D62F80">
            <w:pPr>
              <w:pStyle w:val="TableBody"/>
              <w:spacing w:before="45" w:after="45"/>
              <w:ind w:right="108"/>
              <w:rPr>
                <w:rFonts w:ascii="Arial (Body)" w:hAnsi="Arial (Body)"/>
                <w:color w:val="000000"/>
              </w:rPr>
            </w:pPr>
            <w:r>
              <w:rPr>
                <w:rFonts w:ascii="Arial (Body)" w:hAnsi="Arial (Body)"/>
                <w:color w:val="000000"/>
              </w:rPr>
              <w:t>On average, a 10</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increase in informal care hours led to a 0.3</w:t>
            </w:r>
            <w:r>
              <w:rPr>
                <w:rFonts w:ascii="Arial (Body)" w:hAnsi="Arial (Body)" w:hint="eastAsia"/>
                <w:color w:val="000000"/>
              </w:rPr>
              <w:t> </w:t>
            </w:r>
            <w:r>
              <w:rPr>
                <w:rFonts w:ascii="Arial (Body)" w:hAnsi="Arial (Body)"/>
                <w:color w:val="000000"/>
              </w:rPr>
              <w:t>per cent increase in doctor visits among those who visited the doctor.</w:t>
            </w:r>
          </w:p>
        </w:tc>
        <w:tc>
          <w:tcPr>
            <w:tcW w:w="2835" w:type="dxa"/>
            <w:shd w:val="clear" w:color="auto" w:fill="auto"/>
          </w:tcPr>
          <w:p w14:paraId="5A753621" w14:textId="77777777" w:rsidR="00D62F80" w:rsidRDefault="00D62F80">
            <w:pPr>
              <w:pStyle w:val="TableBody"/>
              <w:spacing w:before="45" w:after="45"/>
              <w:ind w:right="108"/>
              <w:rPr>
                <w:rFonts w:ascii="Arial (Body)" w:hAnsi="Arial (Body)"/>
                <w:color w:val="000000"/>
              </w:rPr>
            </w:pPr>
            <w:r>
              <w:rPr>
                <w:rFonts w:ascii="Arial (Body)" w:hAnsi="Arial (Body)"/>
                <w:color w:val="000000"/>
              </w:rPr>
              <w:t>On average, a 10</w:t>
            </w:r>
            <w:r>
              <w:rPr>
                <w:rFonts w:ascii="Arial (Body)" w:hAnsi="Arial (Body)" w:hint="eastAsia"/>
                <w:color w:val="000000"/>
              </w:rPr>
              <w:t> </w:t>
            </w:r>
            <w:r>
              <w:rPr>
                <w:rFonts w:ascii="Arial (Body)" w:hAnsi="Arial (Body)"/>
                <w:color w:val="000000"/>
              </w:rPr>
              <w:t>per</w:t>
            </w:r>
            <w:r>
              <w:rPr>
                <w:rFonts w:ascii="Arial (Body)" w:hAnsi="Arial (Body)" w:hint="eastAsia"/>
                <w:color w:val="000000"/>
              </w:rPr>
              <w:t> </w:t>
            </w:r>
            <w:r>
              <w:rPr>
                <w:rFonts w:ascii="Arial (Body)" w:hAnsi="Arial (Body)"/>
                <w:color w:val="000000"/>
              </w:rPr>
              <w:t>cent increase in informal care hours increased the probability of having an overnight stay in hospital in a year by 0.1</w:t>
            </w:r>
            <w:r>
              <w:rPr>
                <w:rFonts w:ascii="Arial (Body)" w:hAnsi="Arial (Body)" w:hint="eastAsia"/>
                <w:color w:val="000000"/>
              </w:rPr>
              <w:t> </w:t>
            </w:r>
            <w:r>
              <w:rPr>
                <w:rFonts w:ascii="Arial (Body)" w:hAnsi="Arial (Body)"/>
                <w:color w:val="000000"/>
              </w:rPr>
              <w:t>percentage points.</w:t>
            </w:r>
          </w:p>
        </w:tc>
      </w:tr>
      <w:tr w:rsidR="00D62F80" w:rsidRPr="00030C67" w14:paraId="141D37D3" w14:textId="77777777">
        <w:tc>
          <w:tcPr>
            <w:tcW w:w="1417" w:type="dxa"/>
            <w:shd w:val="clear" w:color="000000" w:fill="F2F2F2"/>
          </w:tcPr>
          <w:p w14:paraId="6D519FB2" w14:textId="39CB2B1F" w:rsidR="00D62F80" w:rsidRPr="00871186" w:rsidRDefault="00D62F80">
            <w:pPr>
              <w:pStyle w:val="TableBody"/>
              <w:spacing w:before="45" w:after="45"/>
              <w:ind w:right="108"/>
              <w:rPr>
                <w:rFonts w:ascii="Arial" w:hAnsi="Arial" w:cs="Arial"/>
                <w:szCs w:val="24"/>
              </w:rPr>
            </w:pPr>
            <w:r>
              <w:rPr>
                <w:rFonts w:ascii="Arial" w:hAnsi="Arial" w:cs="Arial"/>
                <w:szCs w:val="24"/>
              </w:rPr>
              <w:t>Weaver and Weaver</w:t>
            </w:r>
            <w:r>
              <w:rPr>
                <w:rFonts w:ascii="Arial" w:hAnsi="Arial" w:cs="Arial"/>
                <w:szCs w:val="24"/>
              </w:rPr>
              <w:br/>
            </w:r>
            <w:r w:rsidRPr="002E0E7F">
              <w:rPr>
                <w:rFonts w:ascii="Arial" w:hAnsi="Arial" w:cs="Arial"/>
              </w:rPr>
              <w:t>(2014)</w:t>
            </w:r>
          </w:p>
        </w:tc>
        <w:tc>
          <w:tcPr>
            <w:tcW w:w="2835" w:type="dxa"/>
            <w:shd w:val="clear" w:color="000000" w:fill="F2F2F2"/>
          </w:tcPr>
          <w:p w14:paraId="6F6855B7" w14:textId="7B11908A" w:rsidR="00D62F80" w:rsidRDefault="00D62F80">
            <w:pPr>
              <w:pStyle w:val="TableBody"/>
              <w:spacing w:before="45" w:after="45"/>
              <w:ind w:right="108"/>
              <w:rPr>
                <w:rFonts w:ascii="Arial (Body)" w:hAnsi="Arial (Body)"/>
                <w:color w:val="000000"/>
              </w:rPr>
            </w:pPr>
            <w:proofErr w:type="gramStart"/>
            <w:r>
              <w:rPr>
                <w:rFonts w:ascii="Arial (Body)" w:hAnsi="Arial (Body)"/>
                <w:color w:val="000000"/>
              </w:rPr>
              <w:t>Switzerland;</w:t>
            </w:r>
            <w:proofErr w:type="gramEnd"/>
            <w:r>
              <w:rPr>
                <w:rFonts w:ascii="Arial (Body)" w:hAnsi="Arial (Body)"/>
                <w:color w:val="000000"/>
              </w:rPr>
              <w:t xml:space="preserve"> informal care provided by a co</w:t>
            </w:r>
            <w:r w:rsidR="00762BAE">
              <w:rPr>
                <w:rFonts w:ascii="Arial (Body)" w:hAnsi="Arial (Body)"/>
                <w:color w:val="000000"/>
              </w:rPr>
              <w:noBreakHyphen/>
            </w:r>
            <w:r>
              <w:rPr>
                <w:rFonts w:ascii="Arial (Body)" w:hAnsi="Arial (Body)"/>
                <w:color w:val="000000"/>
              </w:rPr>
              <w:t>resident, 2004</w:t>
            </w:r>
            <w:r>
              <w:rPr>
                <w:rFonts w:ascii="Arial (Body)" w:hAnsi="Arial (Body)" w:hint="eastAsia"/>
                <w:color w:val="000000"/>
              </w:rPr>
              <w:t>–</w:t>
            </w:r>
            <w:r>
              <w:rPr>
                <w:rFonts w:ascii="Arial (Body)" w:hAnsi="Arial (Body)" w:hint="eastAsia"/>
                <w:color w:val="000000"/>
              </w:rPr>
              <w:t>2</w:t>
            </w:r>
            <w:r>
              <w:rPr>
                <w:rFonts w:ascii="Arial (Body)" w:hAnsi="Arial (Body)"/>
                <w:color w:val="000000"/>
              </w:rPr>
              <w:t>007.</w:t>
            </w:r>
          </w:p>
        </w:tc>
        <w:tc>
          <w:tcPr>
            <w:tcW w:w="2835" w:type="dxa"/>
            <w:shd w:val="clear" w:color="000000" w:fill="F2F2F2"/>
          </w:tcPr>
          <w:p w14:paraId="10AD369C" w14:textId="77777777" w:rsidR="00D62F80" w:rsidRDefault="00D62F80">
            <w:pPr>
              <w:pStyle w:val="TableBody"/>
              <w:spacing w:before="45" w:after="45"/>
              <w:ind w:right="108"/>
              <w:rPr>
                <w:rFonts w:ascii="Arial (Body)" w:hAnsi="Arial (Body)"/>
                <w:color w:val="000000"/>
              </w:rPr>
            </w:pPr>
            <w:r>
              <w:rPr>
                <w:rFonts w:ascii="Arial (Body)" w:hAnsi="Arial (Body)" w:hint="eastAsia"/>
                <w:color w:val="000000"/>
              </w:rPr>
              <w:t>–</w:t>
            </w:r>
          </w:p>
        </w:tc>
        <w:tc>
          <w:tcPr>
            <w:tcW w:w="2835" w:type="dxa"/>
            <w:shd w:val="clear" w:color="000000" w:fill="F2F2F2"/>
          </w:tcPr>
          <w:p w14:paraId="6014AC27" w14:textId="77777777" w:rsidR="00D62F80" w:rsidRDefault="00D62F80">
            <w:pPr>
              <w:pStyle w:val="TableBody"/>
              <w:spacing w:before="45" w:after="45"/>
              <w:ind w:right="108"/>
              <w:rPr>
                <w:rFonts w:ascii="Arial (Body)" w:hAnsi="Arial (Body)"/>
                <w:color w:val="000000"/>
              </w:rPr>
            </w:pPr>
            <w:r>
              <w:rPr>
                <w:rFonts w:ascii="Arial (Body)" w:hAnsi="Arial (Body)"/>
                <w:color w:val="000000"/>
              </w:rPr>
              <w:t>On average, living with an informal carer had no effect on probability of hospitalisation but reduced time spent in hospital among those who were hospitalised by 1.9</w:t>
            </w:r>
            <w:r>
              <w:rPr>
                <w:rFonts w:ascii="Arial (Body)" w:hAnsi="Arial (Body)" w:hint="eastAsia"/>
                <w:color w:val="000000"/>
              </w:rPr>
              <w:t> </w:t>
            </w:r>
            <w:r>
              <w:rPr>
                <w:rFonts w:ascii="Arial (Body)" w:hAnsi="Arial (Body)"/>
                <w:color w:val="000000"/>
              </w:rPr>
              <w:t>days per year.</w:t>
            </w:r>
          </w:p>
        </w:tc>
      </w:tr>
      <w:tr w:rsidR="00D62F80" w:rsidRPr="00030C67" w14:paraId="773B561E" w14:textId="77777777">
        <w:tc>
          <w:tcPr>
            <w:tcW w:w="9922" w:type="dxa"/>
            <w:gridSpan w:val="4"/>
            <w:tcBorders>
              <w:top w:val="nil"/>
              <w:bottom w:val="nil"/>
            </w:tcBorders>
            <w:shd w:val="clear" w:color="000000" w:fill="auto"/>
          </w:tcPr>
          <w:p w14:paraId="3FF36375" w14:textId="77777777" w:rsidR="00D62F80" w:rsidRDefault="00D62F80">
            <w:pPr>
              <w:pStyle w:val="TableBody"/>
              <w:spacing w:before="45" w:after="45"/>
              <w:ind w:right="108"/>
              <w:rPr>
                <w:rFonts w:ascii="Arial (Body)" w:hAnsi="Arial (Body)"/>
                <w:color w:val="000000"/>
              </w:rPr>
            </w:pPr>
            <w:r>
              <w:rPr>
                <w:rFonts w:ascii="Arial" w:hAnsi="Arial" w:cs="Arial"/>
                <w:b/>
                <w:bCs/>
                <w:color w:val="265A9A" w:themeColor="background2"/>
                <w:szCs w:val="24"/>
              </w:rPr>
              <w:t>Informal carers</w:t>
            </w:r>
          </w:p>
        </w:tc>
      </w:tr>
      <w:tr w:rsidR="00D62F80" w:rsidRPr="00030C67" w14:paraId="40D95EB3" w14:textId="77777777" w:rsidTr="00442AFB">
        <w:tc>
          <w:tcPr>
            <w:tcW w:w="1417" w:type="dxa"/>
            <w:shd w:val="clear" w:color="auto" w:fill="F2F2F2" w:themeFill="background1" w:themeFillShade="F2"/>
          </w:tcPr>
          <w:p w14:paraId="3A63BC34" w14:textId="0CCA87B7" w:rsidR="00D62F80" w:rsidRDefault="00D62F80">
            <w:pPr>
              <w:pStyle w:val="TableBody"/>
              <w:spacing w:before="45" w:after="45"/>
              <w:ind w:right="108"/>
              <w:rPr>
                <w:rFonts w:ascii="Arial (Body)" w:hAnsi="Arial (Body)"/>
                <w:color w:val="000000"/>
              </w:rPr>
            </w:pPr>
            <w:r w:rsidRPr="00C57829">
              <w:rPr>
                <w:rFonts w:ascii="Arial (Body)" w:hAnsi="Arial (Body)" w:cs="Times New Roman"/>
                <w:szCs w:val="24"/>
              </w:rPr>
              <w:t>Bremer et al.</w:t>
            </w:r>
            <w:r>
              <w:rPr>
                <w:rFonts w:ascii="Arial (Body)" w:hAnsi="Arial (Body)" w:cs="Times New Roman" w:hint="eastAsia"/>
                <w:szCs w:val="24"/>
              </w:rPr>
              <w:t> </w:t>
            </w:r>
            <w:r w:rsidRPr="00B560CC">
              <w:rPr>
                <w:rFonts w:ascii="Arial (Body)" w:hAnsi="Arial (Body)"/>
              </w:rPr>
              <w:t>(2015)</w:t>
            </w:r>
          </w:p>
        </w:tc>
        <w:tc>
          <w:tcPr>
            <w:tcW w:w="2835" w:type="dxa"/>
            <w:shd w:val="clear" w:color="auto" w:fill="F2F2F2" w:themeFill="background1" w:themeFillShade="F2"/>
          </w:tcPr>
          <w:p w14:paraId="1F37E1BF" w14:textId="77777777" w:rsidR="00D62F80" w:rsidRDefault="00D62F80">
            <w:pPr>
              <w:pStyle w:val="TableBody"/>
              <w:spacing w:before="45" w:after="45"/>
              <w:ind w:right="108"/>
              <w:rPr>
                <w:rFonts w:ascii="Arial (Body)" w:hAnsi="Arial (Body)"/>
                <w:color w:val="000000"/>
              </w:rPr>
            </w:pPr>
            <w:r>
              <w:rPr>
                <w:rFonts w:ascii="Arial (Body)" w:hAnsi="Arial (Body)"/>
                <w:color w:val="000000"/>
              </w:rPr>
              <w:t>Eight European countries; informal care provided to people with dementia.</w:t>
            </w:r>
          </w:p>
        </w:tc>
        <w:tc>
          <w:tcPr>
            <w:tcW w:w="2835" w:type="dxa"/>
            <w:shd w:val="clear" w:color="auto" w:fill="F2F2F2" w:themeFill="background1" w:themeFillShade="F2"/>
          </w:tcPr>
          <w:p w14:paraId="3DDC2179" w14:textId="77777777" w:rsidR="00D62F80" w:rsidRDefault="00D62F80">
            <w:pPr>
              <w:pStyle w:val="TableBody"/>
              <w:spacing w:before="45" w:after="45"/>
              <w:ind w:right="108"/>
              <w:rPr>
                <w:rFonts w:ascii="Arial (Body)" w:hAnsi="Arial (Body)"/>
                <w:color w:val="000000"/>
              </w:rPr>
            </w:pPr>
            <w:r>
              <w:rPr>
                <w:rFonts w:ascii="Arial (Body)" w:hAnsi="Arial (Body)"/>
                <w:color w:val="000000"/>
              </w:rPr>
              <w:t>On average, one extra hour of informal care provided per day increased the probability to an additional monthly doctor visit by 0.011</w:t>
            </w:r>
            <w:r>
              <w:rPr>
                <w:rFonts w:ascii="Arial (Body)" w:hAnsi="Arial (Body)" w:hint="eastAsia"/>
                <w:color w:val="000000"/>
              </w:rPr>
              <w:t> </w:t>
            </w:r>
            <w:r>
              <w:rPr>
                <w:rFonts w:ascii="Arial (Body)" w:hAnsi="Arial (Body)"/>
                <w:color w:val="000000"/>
              </w:rPr>
              <w:t>percentage points (not statistically significant).</w:t>
            </w:r>
          </w:p>
        </w:tc>
        <w:tc>
          <w:tcPr>
            <w:tcW w:w="2835" w:type="dxa"/>
            <w:shd w:val="clear" w:color="auto" w:fill="F2F2F2" w:themeFill="background1" w:themeFillShade="F2"/>
          </w:tcPr>
          <w:p w14:paraId="40FCE491" w14:textId="77777777" w:rsidR="00D62F80" w:rsidRDefault="00D62F80">
            <w:pPr>
              <w:pStyle w:val="TableBody"/>
              <w:spacing w:before="45" w:after="45"/>
              <w:ind w:right="108"/>
              <w:rPr>
                <w:rFonts w:ascii="Arial (Body)" w:hAnsi="Arial (Body)"/>
                <w:color w:val="000000"/>
              </w:rPr>
            </w:pPr>
            <w:r>
              <w:rPr>
                <w:rFonts w:ascii="Arial (Body)" w:hAnsi="Arial (Body)" w:hint="eastAsia"/>
                <w:color w:val="000000"/>
              </w:rPr>
              <w:t>–</w:t>
            </w:r>
          </w:p>
        </w:tc>
      </w:tr>
      <w:tr w:rsidR="00D62F80" w:rsidRPr="00030C67" w14:paraId="6D533E3E" w14:textId="77777777">
        <w:tc>
          <w:tcPr>
            <w:tcW w:w="1417" w:type="dxa"/>
            <w:shd w:val="clear" w:color="auto" w:fill="auto"/>
          </w:tcPr>
          <w:p w14:paraId="6E12D290" w14:textId="1466526F" w:rsidR="00D62F80" w:rsidRDefault="00D62F80">
            <w:pPr>
              <w:pStyle w:val="TableBody"/>
              <w:spacing w:before="45" w:after="45"/>
              <w:ind w:right="108"/>
              <w:rPr>
                <w:rFonts w:ascii="Arial (Body)" w:hAnsi="Arial (Body)"/>
                <w:color w:val="000000"/>
              </w:rPr>
            </w:pPr>
            <w:r w:rsidRPr="00B560CC">
              <w:rPr>
                <w:rFonts w:ascii="Arial (Body)" w:hAnsi="Arial (Body)" w:cs="Times New Roman"/>
                <w:szCs w:val="24"/>
              </w:rPr>
              <w:t>Chan et al.</w:t>
            </w:r>
            <w:r>
              <w:rPr>
                <w:rFonts w:ascii="Arial (Body)" w:hAnsi="Arial (Body)" w:cs="Times New Roman" w:hint="eastAsia"/>
                <w:szCs w:val="24"/>
              </w:rPr>
              <w:t> </w:t>
            </w:r>
            <w:r w:rsidRPr="006B16E0">
              <w:rPr>
                <w:rFonts w:ascii="Arial (Body)" w:hAnsi="Arial (Body)"/>
              </w:rPr>
              <w:t>(2013)</w:t>
            </w:r>
          </w:p>
        </w:tc>
        <w:tc>
          <w:tcPr>
            <w:tcW w:w="2835" w:type="dxa"/>
            <w:shd w:val="clear" w:color="auto" w:fill="auto"/>
          </w:tcPr>
          <w:p w14:paraId="6324E0D6" w14:textId="77777777" w:rsidR="00D62F80" w:rsidRDefault="00D62F80">
            <w:pPr>
              <w:pStyle w:val="TableBody"/>
              <w:spacing w:before="45" w:after="45"/>
              <w:ind w:right="108"/>
              <w:rPr>
                <w:rFonts w:ascii="Arial (Body)" w:hAnsi="Arial (Body)"/>
                <w:color w:val="000000"/>
              </w:rPr>
            </w:pPr>
            <w:proofErr w:type="gramStart"/>
            <w:r>
              <w:rPr>
                <w:rFonts w:ascii="Arial (Body)" w:hAnsi="Arial (Body)"/>
                <w:color w:val="000000"/>
              </w:rPr>
              <w:t>Singapore;</w:t>
            </w:r>
            <w:proofErr w:type="gramEnd"/>
            <w:r>
              <w:rPr>
                <w:rFonts w:ascii="Arial (Body)" w:hAnsi="Arial (Body)"/>
                <w:color w:val="000000"/>
              </w:rPr>
              <w:t xml:space="preserve"> informal care provided to people aged 75</w:t>
            </w:r>
            <w:r>
              <w:rPr>
                <w:rFonts w:ascii="Arial (Body)" w:hAnsi="Arial (Body)" w:hint="eastAsia"/>
                <w:color w:val="000000"/>
              </w:rPr>
              <w:t> </w:t>
            </w:r>
            <w:r>
              <w:rPr>
                <w:rFonts w:ascii="Arial (Body)" w:hAnsi="Arial (Body)"/>
                <w:color w:val="000000"/>
              </w:rPr>
              <w:t>and over.</w:t>
            </w:r>
          </w:p>
        </w:tc>
        <w:tc>
          <w:tcPr>
            <w:tcW w:w="2835" w:type="dxa"/>
            <w:shd w:val="clear" w:color="auto" w:fill="auto"/>
          </w:tcPr>
          <w:p w14:paraId="18D25BC5" w14:textId="7BFF551C" w:rsidR="00D62F80" w:rsidRDefault="00D62F80">
            <w:pPr>
              <w:pStyle w:val="TableBody"/>
              <w:spacing w:before="45" w:after="45"/>
              <w:ind w:right="108"/>
              <w:rPr>
                <w:rFonts w:ascii="Arial (Body)" w:hAnsi="Arial (Body)"/>
                <w:color w:val="000000"/>
              </w:rPr>
            </w:pPr>
            <w:r>
              <w:rPr>
                <w:rFonts w:ascii="Arial (Body)" w:hAnsi="Arial (Body)"/>
                <w:color w:val="000000"/>
              </w:rPr>
              <w:t>On average, informal carers had 1.27 times as many outpatient visits as non</w:t>
            </w:r>
            <w:r w:rsidR="00762BAE">
              <w:rPr>
                <w:rFonts w:ascii="Arial (Body)" w:hAnsi="Arial (Body)"/>
                <w:color w:val="000000"/>
              </w:rPr>
              <w:noBreakHyphen/>
            </w:r>
            <w:r>
              <w:rPr>
                <w:rFonts w:ascii="Arial (Body)" w:hAnsi="Arial (Body)"/>
                <w:color w:val="000000"/>
              </w:rPr>
              <w:t>carers.</w:t>
            </w:r>
          </w:p>
        </w:tc>
        <w:tc>
          <w:tcPr>
            <w:tcW w:w="2835" w:type="dxa"/>
          </w:tcPr>
          <w:p w14:paraId="591748DD" w14:textId="77777777" w:rsidR="00D62F80" w:rsidRDefault="00D62F80">
            <w:pPr>
              <w:pStyle w:val="TableBody"/>
              <w:spacing w:before="45" w:after="45"/>
              <w:ind w:right="108"/>
              <w:rPr>
                <w:rFonts w:ascii="Arial (Body)" w:hAnsi="Arial (Body)"/>
                <w:color w:val="000000"/>
              </w:rPr>
            </w:pPr>
            <w:r>
              <w:rPr>
                <w:rFonts w:ascii="Arial (Body)" w:hAnsi="Arial (Body)" w:hint="eastAsia"/>
                <w:color w:val="000000"/>
              </w:rPr>
              <w:t>–</w:t>
            </w:r>
          </w:p>
        </w:tc>
      </w:tr>
    </w:tbl>
    <w:p w14:paraId="52FFA0AB" w14:textId="5E433115" w:rsidR="00FC6AA0" w:rsidRDefault="00634391" w:rsidP="00FC6AA0">
      <w:pPr>
        <w:pStyle w:val="Heading3"/>
      </w:pPr>
      <w:r>
        <w:t xml:space="preserve">Fiscal effects of leave taken by entitlement users who would otherwise have </w:t>
      </w:r>
      <w:r w:rsidR="00EB7C8F">
        <w:t>quit their job</w:t>
      </w:r>
    </w:p>
    <w:p w14:paraId="48DEBF0C" w14:textId="52A25AA0" w:rsidR="00BE7406" w:rsidRDefault="00BE7406" w:rsidP="00BE7406">
      <w:pPr>
        <w:pStyle w:val="BodyText"/>
      </w:pPr>
      <w:r>
        <w:t>Had the entitlement existed in 2018</w:t>
      </w:r>
      <w:r w:rsidR="00762BAE">
        <w:noBreakHyphen/>
      </w:r>
      <w:r>
        <w:t xml:space="preserve">19, the leave that would have been taken by those who quit their job would have </w:t>
      </w:r>
      <w:r w:rsidR="006106D8">
        <w:t xml:space="preserve">increased income tax receipts and reduced </w:t>
      </w:r>
      <w:r w:rsidR="007B09DA">
        <w:t xml:space="preserve">social security payments as it would have facilitated an easier return to paid </w:t>
      </w:r>
      <w:r w:rsidR="00D3370F">
        <w:t>work.</w:t>
      </w:r>
    </w:p>
    <w:p w14:paraId="237D9F49" w14:textId="2659ECE6" w:rsidR="000F43EE" w:rsidRDefault="00DA4D8F" w:rsidP="00340E29">
      <w:pPr>
        <w:pStyle w:val="BodyText"/>
      </w:pPr>
      <w:r>
        <w:lastRenderedPageBreak/>
        <w:t>T</w:t>
      </w:r>
      <w:r w:rsidR="00925378">
        <w:t xml:space="preserve">hese effects would probably have been quite small. </w:t>
      </w:r>
      <w:r w:rsidR="00F07A82">
        <w:t xml:space="preserve">We expect that only </w:t>
      </w:r>
      <w:r w:rsidR="00782B4E">
        <w:t xml:space="preserve">about </w:t>
      </w:r>
      <w:r w:rsidR="000F48D7">
        <w:t>one quarter</w:t>
      </w:r>
      <w:r w:rsidR="000F43EE">
        <w:t xml:space="preserve"> of </w:t>
      </w:r>
      <w:r w:rsidR="00F07A82">
        <w:t>this group would have</w:t>
      </w:r>
      <w:r w:rsidR="00782B4E">
        <w:t xml:space="preserve"> </w:t>
      </w:r>
      <w:r w:rsidR="00F660FA">
        <w:t>e</w:t>
      </w:r>
      <w:r w:rsidR="000F43EE">
        <w:t>xercise</w:t>
      </w:r>
      <w:r w:rsidR="00F07A82">
        <w:t>d</w:t>
      </w:r>
      <w:r w:rsidR="000F43EE">
        <w:t xml:space="preserve"> their right to return </w:t>
      </w:r>
      <w:r w:rsidR="005C132D">
        <w:t xml:space="preserve">and </w:t>
      </w:r>
      <w:r w:rsidR="000F43EE">
        <w:t xml:space="preserve">most </w:t>
      </w:r>
      <w:r w:rsidR="00844333">
        <w:t xml:space="preserve">who </w:t>
      </w:r>
      <w:r w:rsidR="00140FC8">
        <w:t xml:space="preserve">would have </w:t>
      </w:r>
      <w:r w:rsidR="00F73AC4">
        <w:t xml:space="preserve">exercised their right to return </w:t>
      </w:r>
      <w:r w:rsidR="000F43EE">
        <w:t>found a</w:t>
      </w:r>
      <w:r w:rsidR="00844333">
        <w:t>nother</w:t>
      </w:r>
      <w:r w:rsidR="000F43EE">
        <w:t xml:space="preserve"> job within a year. This means that </w:t>
      </w:r>
      <w:r w:rsidR="00041DF8">
        <w:t xml:space="preserve">the </w:t>
      </w:r>
      <w:r w:rsidR="00D1347D">
        <w:t>e</w:t>
      </w:r>
      <w:r w:rsidR="000F43EE">
        <w:t xml:space="preserve">ntitlement would only </w:t>
      </w:r>
      <w:r w:rsidR="00041DF8">
        <w:t xml:space="preserve">have </w:t>
      </w:r>
      <w:r w:rsidR="000F43EE">
        <w:t>induce</w:t>
      </w:r>
      <w:r w:rsidR="00041DF8">
        <w:t>d</w:t>
      </w:r>
      <w:r w:rsidR="000F43EE">
        <w:t xml:space="preserve"> about </w:t>
      </w:r>
      <w:r w:rsidR="007E628C">
        <w:t>1.5</w:t>
      </w:r>
      <w:r w:rsidR="0023258E">
        <w:t> month</w:t>
      </w:r>
      <w:r w:rsidR="001B42C6">
        <w:t>s</w:t>
      </w:r>
      <w:r w:rsidR="0023258E">
        <w:t xml:space="preserve"> of additional </w:t>
      </w:r>
      <w:r w:rsidR="00E56563">
        <w:t xml:space="preserve">work per </w:t>
      </w:r>
      <w:r w:rsidR="00A969ED">
        <w:t>person</w:t>
      </w:r>
      <w:r w:rsidR="000F43EE" w:rsidDel="00E56563">
        <w:t xml:space="preserve"> </w:t>
      </w:r>
      <w:r w:rsidR="000F43EE">
        <w:t>(supporting paper </w:t>
      </w:r>
      <w:r w:rsidR="00853740">
        <w:t>I</w:t>
      </w:r>
      <w:r w:rsidR="000F43EE">
        <w:t>).</w:t>
      </w:r>
      <w:r w:rsidR="00B62CC8">
        <w:t xml:space="preserve"> </w:t>
      </w:r>
      <w:r w:rsidR="00D62F80">
        <w:t>However, this potentially understates the effect of the entitlement on income tax receipts. It</w:t>
      </w:r>
      <w:r w:rsidR="00B06A88">
        <w:t xml:space="preserve"> i</w:t>
      </w:r>
      <w:r w:rsidR="00D62F80">
        <w:t>s possible that some workers preferred to leave the labour force than to search for work, or become discouraged after searching; in that case, the entitlement would keep more workers in the labour force. And</w:t>
      </w:r>
      <w:r w:rsidR="004A0B6E">
        <w:t xml:space="preserve"> those who </w:t>
      </w:r>
      <w:r w:rsidR="000650F3">
        <w:t>returned to paid work in the absence of the entitlement typically returned</w:t>
      </w:r>
      <w:r w:rsidR="00FA7355">
        <w:t xml:space="preserve"> to </w:t>
      </w:r>
      <w:r w:rsidR="00D62F80">
        <w:t xml:space="preserve">a </w:t>
      </w:r>
      <w:r w:rsidR="00FA7355">
        <w:t>less</w:t>
      </w:r>
      <w:r w:rsidR="00D62F80">
        <w:t xml:space="preserve"> </w:t>
      </w:r>
      <w:r w:rsidR="00FA7355">
        <w:t>well</w:t>
      </w:r>
      <w:r w:rsidR="00762BAE">
        <w:noBreakHyphen/>
      </w:r>
      <w:r w:rsidR="00FA7355">
        <w:t xml:space="preserve">paying job than the one that they </w:t>
      </w:r>
      <w:r w:rsidR="007E0937">
        <w:t>quit</w:t>
      </w:r>
      <w:r w:rsidR="00D62F80">
        <w:t xml:space="preserve">. </w:t>
      </w:r>
    </w:p>
    <w:p w14:paraId="0E16D9EF" w14:textId="39D4EA34" w:rsidR="00FF06C0" w:rsidRDefault="002F5333" w:rsidP="000F43EE">
      <w:pPr>
        <w:pStyle w:val="Heading4"/>
      </w:pPr>
      <w:r>
        <w:t>Effect</w:t>
      </w:r>
      <w:r w:rsidR="00FF06C0">
        <w:t xml:space="preserve"> on income tax receipts</w:t>
      </w:r>
    </w:p>
    <w:p w14:paraId="453D4305" w14:textId="77777777" w:rsidR="00D62F80" w:rsidRDefault="00D62F80" w:rsidP="00D62F80">
      <w:pPr>
        <w:pStyle w:val="BodyText"/>
      </w:pPr>
      <w:r>
        <w:t>We estimated the effect on income tax receipts that the additional paid work undertaken by those who otherwise quit their job would have had by subtracting the income tax actually paid by those carers in the 4.5 years after they quit their job from a modelled amount of income tax that they would have paid had they used the entitlement, and scaling this by 85 per cent (for the same reason as with the other cohort of entitlement users, box 3).</w:t>
      </w:r>
      <w:r w:rsidRPr="00BE59F4">
        <w:rPr>
          <w:rStyle w:val="FootnoteReference"/>
        </w:rPr>
        <w:footnoteReference w:id="21"/>
      </w:r>
      <w:r>
        <w:t xml:space="preserve"> </w:t>
      </w:r>
    </w:p>
    <w:p w14:paraId="5A40E976" w14:textId="56A07A6E" w:rsidR="00D62F80" w:rsidRDefault="00D62F80" w:rsidP="00D62F80">
      <w:pPr>
        <w:pStyle w:val="BodyText"/>
      </w:pPr>
      <w:r>
        <w:t>Using this method, we estimate that the additional income tax that would have been paid by those who quit their job in 2018</w:t>
      </w:r>
      <w:r w:rsidR="00762BAE">
        <w:noBreakHyphen/>
      </w:r>
      <w:r>
        <w:t>19 had they used the entitlement to be about $1300 per person (Productivity Commission based on HILDA Release 20).</w:t>
      </w:r>
    </w:p>
    <w:p w14:paraId="546662FA" w14:textId="2AD767CB" w:rsidR="00D60909" w:rsidRPr="00434A94" w:rsidRDefault="00D62F80" w:rsidP="0003424D">
      <w:pPr>
        <w:pStyle w:val="BodyText"/>
      </w:pPr>
      <w:r>
        <w:t>However, our</w:t>
      </w:r>
      <w:r w:rsidR="00442BCF" w:rsidRPr="00434A94">
        <w:t xml:space="preserve"> method for modelling the amount of income tax</w:t>
      </w:r>
      <w:r w:rsidR="00787041" w:rsidRPr="00434A94">
        <w:t xml:space="preserve"> </w:t>
      </w:r>
      <w:r w:rsidR="00B37D99" w:rsidRPr="00434A94">
        <w:t xml:space="preserve">that would have been paid by </w:t>
      </w:r>
      <w:r w:rsidR="00787041" w:rsidRPr="00434A94">
        <w:t xml:space="preserve">those </w:t>
      </w:r>
      <w:r w:rsidR="00852459" w:rsidRPr="00434A94">
        <w:t>who would have exercised their right to return to work</w:t>
      </w:r>
      <w:r w:rsidR="000C7463" w:rsidRPr="00434A94">
        <w:t xml:space="preserve"> assumes that </w:t>
      </w:r>
      <w:r w:rsidR="00B37D99" w:rsidRPr="00434A94">
        <w:t xml:space="preserve">they did not </w:t>
      </w:r>
      <w:r w:rsidR="00434A94" w:rsidRPr="00434A94">
        <w:t xml:space="preserve">transfer to a less demanding role or </w:t>
      </w:r>
      <w:r w:rsidR="00B37D99" w:rsidRPr="00434A94">
        <w:t xml:space="preserve">reduce their working hours on return, </w:t>
      </w:r>
      <w:r w:rsidR="002E6B78">
        <w:t xml:space="preserve">as some </w:t>
      </w:r>
      <w:r w:rsidR="00B37D99" w:rsidRPr="00434A94">
        <w:t>may well have</w:t>
      </w:r>
      <w:r w:rsidR="00434A94" w:rsidRPr="00434A94">
        <w:t xml:space="preserve"> done.</w:t>
      </w:r>
    </w:p>
    <w:p w14:paraId="0201B0B5" w14:textId="588972F1" w:rsidR="00493AA8" w:rsidRDefault="00493AA8" w:rsidP="0003424D">
      <w:pPr>
        <w:pStyle w:val="Heading4"/>
      </w:pPr>
      <w:r>
        <w:t>Effects on social security payments</w:t>
      </w:r>
    </w:p>
    <w:p w14:paraId="394D6D35" w14:textId="77777777" w:rsidR="00DB7C11" w:rsidRDefault="00C64F7C" w:rsidP="00D60909">
      <w:pPr>
        <w:pStyle w:val="BodyText"/>
      </w:pPr>
      <w:r>
        <w:t>We estimated the effect</w:t>
      </w:r>
      <w:r w:rsidR="00DF7192">
        <w:t xml:space="preserve"> on social security payments</w:t>
      </w:r>
      <w:r>
        <w:t xml:space="preserve"> that the additional paid work undertaken by those who quit their job but would have used the entitlement if it were available</w:t>
      </w:r>
      <w:r w:rsidR="00477C8A">
        <w:t xml:space="preserve"> as </w:t>
      </w:r>
      <w:r w:rsidR="00DB7C11">
        <w:t>the product of:</w:t>
      </w:r>
    </w:p>
    <w:p w14:paraId="418C9CC0" w14:textId="7D3F58FB" w:rsidR="00C64F7C" w:rsidRDefault="00477C8A" w:rsidP="00DB7C11">
      <w:pPr>
        <w:pStyle w:val="ListBullet"/>
      </w:pPr>
      <w:r>
        <w:t xml:space="preserve">the </w:t>
      </w:r>
      <w:r w:rsidR="00A35C5A">
        <w:t xml:space="preserve">share of these </w:t>
      </w:r>
      <w:r w:rsidR="00BF5B06">
        <w:t xml:space="preserve">carers who </w:t>
      </w:r>
      <w:r w:rsidR="00E51EA3">
        <w:t>received an employment</w:t>
      </w:r>
      <w:r w:rsidR="00762BAE">
        <w:noBreakHyphen/>
      </w:r>
      <w:r w:rsidR="00E51EA3">
        <w:t>contingent social security payment (the Carer Payment and Jobseeker Payment/Newstart Allowance)</w:t>
      </w:r>
      <w:r w:rsidR="00A11AED">
        <w:t xml:space="preserve"> </w:t>
      </w:r>
      <w:r w:rsidR="00C03F54">
        <w:t>after quitting paid work</w:t>
      </w:r>
      <w:r w:rsidR="00DB7C11">
        <w:t xml:space="preserve"> (about </w:t>
      </w:r>
      <w:r w:rsidR="002A6924">
        <w:t>one third</w:t>
      </w:r>
      <w:r w:rsidR="00DB7C11">
        <w:t>)</w:t>
      </w:r>
    </w:p>
    <w:p w14:paraId="50193C07" w14:textId="1C9EA8A6" w:rsidR="00C03F54" w:rsidRDefault="006B6B82" w:rsidP="00DB7C11">
      <w:pPr>
        <w:pStyle w:val="ListBullet"/>
      </w:pPr>
      <w:r>
        <w:t xml:space="preserve">the additional paid work </w:t>
      </w:r>
      <w:r w:rsidR="00F81DAC">
        <w:t>among this cohort induced by the entitlement (about 1 month</w:t>
      </w:r>
      <w:r w:rsidR="006B6E81">
        <w:t xml:space="preserve"> per person)</w:t>
      </w:r>
    </w:p>
    <w:p w14:paraId="7F32F9D2" w14:textId="562F565D" w:rsidR="00D62F80" w:rsidRDefault="00D62F80" w:rsidP="00D62F80">
      <w:pPr>
        <w:pStyle w:val="ListBullet"/>
      </w:pPr>
      <w:r>
        <w:t>the rate of the Carer Payment (about $22 000 per year) and Carer Allowance ($3300) in 2018</w:t>
      </w:r>
      <w:r w:rsidR="00762BAE">
        <w:noBreakHyphen/>
      </w:r>
      <w:r>
        <w:t>19</w:t>
      </w:r>
    </w:p>
    <w:p w14:paraId="27270674" w14:textId="79B3EE97" w:rsidR="00F55148" w:rsidRDefault="00C808C6" w:rsidP="00DB7C11">
      <w:pPr>
        <w:pStyle w:val="ListBullet"/>
      </w:pPr>
      <w:r>
        <w:t>the same 85 per cent scaling factor a</w:t>
      </w:r>
      <w:r w:rsidR="00D3795C">
        <w:t>pplied</w:t>
      </w:r>
      <w:r w:rsidR="00611886">
        <w:t xml:space="preserve"> in previous </w:t>
      </w:r>
      <w:r w:rsidR="005040B6">
        <w:t>treatments of income tax receipts and social security payments, for the reasons outlined in box 3.</w:t>
      </w:r>
    </w:p>
    <w:p w14:paraId="02FDDB81" w14:textId="37CB3ADD" w:rsidR="003237B7" w:rsidRDefault="00334DD1" w:rsidP="0003424D">
      <w:pPr>
        <w:pStyle w:val="BodyText"/>
      </w:pPr>
      <w:r>
        <w:t>Using</w:t>
      </w:r>
      <w:r w:rsidR="003237B7">
        <w:t xml:space="preserve"> this method, we estimate that the reduction </w:t>
      </w:r>
      <w:r w:rsidR="001741CB">
        <w:t>to the</w:t>
      </w:r>
      <w:r w:rsidR="003237B7">
        <w:t xml:space="preserve"> social security payments paid to those who quit their job in 2018</w:t>
      </w:r>
      <w:r w:rsidR="00762BAE">
        <w:noBreakHyphen/>
      </w:r>
      <w:r w:rsidR="003237B7">
        <w:t xml:space="preserve">19 had they used the entitlement </w:t>
      </w:r>
      <w:r>
        <w:t>to be</w:t>
      </w:r>
      <w:r w:rsidR="003237B7">
        <w:t xml:space="preserve"> about $</w:t>
      </w:r>
      <w:r w:rsidR="00DB234D">
        <w:t>9</w:t>
      </w:r>
      <w:r w:rsidR="003237B7">
        <w:t>00 per person (Productivity Commission based on HILDA Release 20).</w:t>
      </w:r>
    </w:p>
    <w:p w14:paraId="6B8BD844" w14:textId="4C1C0BDA" w:rsidR="00D60909" w:rsidRDefault="00DB7465" w:rsidP="00CA1205">
      <w:pPr>
        <w:pStyle w:val="Heading3"/>
      </w:pPr>
      <w:r>
        <w:t xml:space="preserve">Summing up </w:t>
      </w:r>
    </w:p>
    <w:p w14:paraId="32A836B0" w14:textId="62966F28" w:rsidR="00286A7B" w:rsidRDefault="00286A7B" w:rsidP="00286A7B">
      <w:pPr>
        <w:pStyle w:val="BodyText"/>
      </w:pPr>
      <w:r>
        <w:t>Overall, the fiscal impact</w:t>
      </w:r>
      <w:r w:rsidR="004965C7">
        <w:t xml:space="preserve"> of the entitlement</w:t>
      </w:r>
      <w:r>
        <w:t xml:space="preserve"> is likely to be negative and in the order of several hundreds to </w:t>
      </w:r>
      <w:r w:rsidR="00D62F80">
        <w:t>thousand</w:t>
      </w:r>
      <w:r w:rsidR="00611F1A">
        <w:t>s</w:t>
      </w:r>
      <w:r>
        <w:t xml:space="preserve"> of dollars per entitlement user.</w:t>
      </w:r>
    </w:p>
    <w:p w14:paraId="2C0C7380" w14:textId="64347850" w:rsidR="00906376" w:rsidRDefault="00906376" w:rsidP="001058C7">
      <w:pPr>
        <w:pStyle w:val="BodyText"/>
      </w:pPr>
      <w:r>
        <w:t>Entitlement users who would remain in paid work in the absence of the entitlement would temporarily cease paid work to provide more informal care. This would reduce income tax receipts, increase social security spending, and slightly lessen the pressure on subsidised formal aged care and health</w:t>
      </w:r>
      <w:r w:rsidR="008D4173">
        <w:t xml:space="preserve"> </w:t>
      </w:r>
      <w:r>
        <w:t xml:space="preserve">care. And some </w:t>
      </w:r>
      <w:r>
        <w:lastRenderedPageBreak/>
        <w:t>entitlement users who would quit their job in the absence of the entitlement would exercise their right to return and return to work faster than they otherwise would (if at all). This would</w:t>
      </w:r>
      <w:r w:rsidR="00061D3C">
        <w:t xml:space="preserve"> </w:t>
      </w:r>
      <w:r>
        <w:t>increase income tax receipts</w:t>
      </w:r>
      <w:r w:rsidR="00061D3C">
        <w:t xml:space="preserve"> and </w:t>
      </w:r>
      <w:r>
        <w:t>reduce social security spending</w:t>
      </w:r>
      <w:r w:rsidR="00623D49">
        <w:t>.</w:t>
      </w:r>
    </w:p>
    <w:p w14:paraId="7D0521D0" w14:textId="5E52ADAB" w:rsidR="005E3805" w:rsidRDefault="005E3805" w:rsidP="005E3805">
      <w:pPr>
        <w:pStyle w:val="Heading2-nonumber"/>
      </w:pPr>
      <w:r>
        <w:t>5.</w:t>
      </w:r>
      <w:r>
        <w:tab/>
        <w:t xml:space="preserve">Total costs and benefits </w:t>
      </w:r>
    </w:p>
    <w:p w14:paraId="00518360" w14:textId="661F6060" w:rsidR="00EE7C82" w:rsidRDefault="00A322C1" w:rsidP="00EE7C82">
      <w:pPr>
        <w:pStyle w:val="BodyText"/>
      </w:pPr>
      <w:r>
        <w:t xml:space="preserve">It is difficult to say </w:t>
      </w:r>
      <w:r w:rsidR="004F3BDC">
        <w:t xml:space="preserve">whether </w:t>
      </w:r>
      <w:r>
        <w:t xml:space="preserve">the </w:t>
      </w:r>
      <w:r w:rsidR="004F3BDC">
        <w:t xml:space="preserve">total </w:t>
      </w:r>
      <w:r w:rsidR="00EE7C82">
        <w:t>benefits of the entitlement (to employees, care recipients, employers and taxpayers) would exceed the total costs.</w:t>
      </w:r>
    </w:p>
    <w:p w14:paraId="2AE7E702" w14:textId="1AEA08CB" w:rsidR="006F231D" w:rsidRDefault="0060547A" w:rsidP="00BE7C05">
      <w:pPr>
        <w:pStyle w:val="Heading3"/>
      </w:pPr>
      <w:r>
        <w:t xml:space="preserve">Evidence from </w:t>
      </w:r>
      <w:r w:rsidR="00013C1B">
        <w:t>quantified costs and benefits</w:t>
      </w:r>
    </w:p>
    <w:p w14:paraId="6410F4A8" w14:textId="77777777" w:rsidR="00D62F80" w:rsidRDefault="00D62F80" w:rsidP="00D62F80">
      <w:pPr>
        <w:pStyle w:val="BodyText"/>
      </w:pPr>
      <w:r>
        <w:t>Some of the best estimates available (however imperfect) suggest that the costs to employers are material and that there are benefits to employees.</w:t>
      </w:r>
    </w:p>
    <w:p w14:paraId="7986BE46" w14:textId="13A996A5" w:rsidR="00D62F80" w:rsidRDefault="00D62F80" w:rsidP="00D62F80">
      <w:pPr>
        <w:pStyle w:val="ListBullet"/>
      </w:pPr>
      <w:r>
        <w:t>On the employee side, Skira </w:t>
      </w:r>
      <w:r w:rsidRPr="002C3FD6">
        <w:rPr>
          <w:rFonts w:ascii="Arial" w:hAnsi="Arial" w:cs="Arial"/>
        </w:rPr>
        <w:t>(2015)</w:t>
      </w:r>
      <w:r>
        <w:t xml:space="preserve"> found that the median user of an entitlement to two year of unpaid carer leave would benefit by an amount equivalent to about 28 per cent of two years’ full time equivalent salary. However, this is likely to be a substantial overestimate of the benefits to employees of the entitlement considered here (section 1).</w:t>
      </w:r>
    </w:p>
    <w:p w14:paraId="413E7D30" w14:textId="77777777" w:rsidR="00D62F80" w:rsidRDefault="00D62F80" w:rsidP="00D62F80">
      <w:pPr>
        <w:pStyle w:val="ListBullet"/>
      </w:pPr>
      <w:r>
        <w:t>A review of contingent valuations of the value of informal care to care recipients indicates that group 3 entitlement users would benefit between $6000 to $7800 each, which is equivalent to $3000 to $3900 per entitlement user (section 2).</w:t>
      </w:r>
    </w:p>
    <w:p w14:paraId="15557AB9" w14:textId="40C8FC93" w:rsidR="00D62F80" w:rsidRDefault="00D62F80" w:rsidP="00D62F80">
      <w:pPr>
        <w:pStyle w:val="ListBullet"/>
      </w:pPr>
      <w:r>
        <w:t xml:space="preserve">Although employers are expected to face costs, there too few studies to reliably estimate the costs to employers. The estimate of </w:t>
      </w:r>
      <w:r w:rsidRPr="00F1656B">
        <w:t>Ginja, Karimi and Xiao</w:t>
      </w:r>
      <w:r>
        <w:t> </w:t>
      </w:r>
      <w:r w:rsidRPr="00441D72">
        <w:rPr>
          <w:rFonts w:ascii="Arial" w:hAnsi="Arial" w:cs="Arial"/>
        </w:rPr>
        <w:t>(2023)</w:t>
      </w:r>
      <w:r>
        <w:t xml:space="preserve"> </w:t>
      </w:r>
      <w:r w:rsidR="003F504A">
        <w:t>may not be directly comparable and most likely over</w:t>
      </w:r>
      <w:r w:rsidR="00762BAE">
        <w:noBreakHyphen/>
      </w:r>
      <w:r w:rsidR="003F504A">
        <w:t>estimate the cost</w:t>
      </w:r>
      <w:r w:rsidR="00C47210">
        <w:t xml:space="preserve">s </w:t>
      </w:r>
      <w:r w:rsidR="005C6A6F">
        <w:t>that would be incurred with the proposed entitlement</w:t>
      </w:r>
      <w:r>
        <w:t xml:space="preserve"> (section 3).</w:t>
      </w:r>
    </w:p>
    <w:p w14:paraId="0B51CE59" w14:textId="66C87A4B" w:rsidR="00D62F80" w:rsidRDefault="00D62F80" w:rsidP="00D62F80">
      <w:pPr>
        <w:pStyle w:val="ListBullet"/>
      </w:pPr>
      <w:r>
        <w:t xml:space="preserve">On the taxpayer side, </w:t>
      </w:r>
      <w:r w:rsidR="00374D45">
        <w:t xml:space="preserve">we </w:t>
      </w:r>
      <w:r>
        <w:t xml:space="preserve">found that the entitlement was likely to have a negative fiscal effect within a range of benefits between </w:t>
      </w:r>
      <w:r w:rsidR="00762BAE">
        <w:noBreakHyphen/>
      </w:r>
      <w:r>
        <w:t>$6600 to $600 per entitlement user (section 4).</w:t>
      </w:r>
    </w:p>
    <w:p w14:paraId="5C65D637" w14:textId="37FFDCEE" w:rsidR="00D62F80" w:rsidRDefault="00D62F80" w:rsidP="00D62F80">
      <w:pPr>
        <w:pStyle w:val="BodyText"/>
      </w:pPr>
      <w:r>
        <w:t xml:space="preserve">Care must be exercised when comparing across these estimates. Changes to tax receipts (while construing costs and benefits to taxpayers) are also implicitly included in employee wages and so are counted in employee benefits and employer costs. </w:t>
      </w:r>
    </w:p>
    <w:p w14:paraId="49D7EA6D" w14:textId="1BEC68E3" w:rsidR="00D62F80" w:rsidRDefault="00D62F80" w:rsidP="00D62F80">
      <w:pPr>
        <w:pStyle w:val="BodyText"/>
      </w:pPr>
      <w:r>
        <w:t>It is also important to bear in mind that, while benefits and costs to parties are quantified in dollar terms, one cannot determine whether the total benefits of the policy outweigh the total costs simply by summing up. A benefit that a low</w:t>
      </w:r>
      <w:r w:rsidR="00762BAE">
        <w:noBreakHyphen/>
      </w:r>
      <w:r>
        <w:t xml:space="preserve">income care recipient is willing to pay $6000 for implies very large benefits for them, when we consider what that person would have to give up </w:t>
      </w:r>
      <w:proofErr w:type="gramStart"/>
      <w:r>
        <w:t>to pay</w:t>
      </w:r>
      <w:proofErr w:type="gramEnd"/>
      <w:r>
        <w:t xml:space="preserve"> for it; it implies significantly more benefit than a $6000 benefit for a firm or a high</w:t>
      </w:r>
      <w:r w:rsidR="00762BAE">
        <w:noBreakHyphen/>
      </w:r>
      <w:r>
        <w:t xml:space="preserve">income earner. However, the benefits measured above are averaged across </w:t>
      </w:r>
      <w:proofErr w:type="gramStart"/>
      <w:r>
        <w:t>low and high income</w:t>
      </w:r>
      <w:proofErr w:type="gramEnd"/>
      <w:r>
        <w:t xml:space="preserve"> carers and across low and high income care recipients, and the measured values indicate that the average benefit is not </w:t>
      </w:r>
      <w:r w:rsidR="00CA5B30">
        <w:t xml:space="preserve">large. </w:t>
      </w:r>
    </w:p>
    <w:p w14:paraId="2878BA52" w14:textId="7BD93DA7" w:rsidR="00013C1B" w:rsidRDefault="00013C1B" w:rsidP="004E52BA">
      <w:pPr>
        <w:pStyle w:val="Heading3"/>
      </w:pPr>
      <w:r>
        <w:t xml:space="preserve">Evidence from </w:t>
      </w:r>
      <w:r w:rsidR="00D17ECD">
        <w:t>preferences revealed via enterprise bargaining</w:t>
      </w:r>
    </w:p>
    <w:p w14:paraId="3B221174" w14:textId="5CC11F43" w:rsidR="00EE7C82" w:rsidRDefault="00BB034F" w:rsidP="00EE7C82">
      <w:pPr>
        <w:pStyle w:val="BodyText"/>
      </w:pPr>
      <w:r>
        <w:t xml:space="preserve">Another argument </w:t>
      </w:r>
      <w:r w:rsidR="00EE7C82">
        <w:t>that c</w:t>
      </w:r>
      <w:r>
        <w:t xml:space="preserve">ould </w:t>
      </w:r>
      <w:r w:rsidR="00EE7C82">
        <w:t xml:space="preserve">be mounted for the total costs exceeding the total benefits is that the entitlement appears in few enterprise agreements, </w:t>
      </w:r>
      <w:r w:rsidR="00802E66">
        <w:t xml:space="preserve">and this </w:t>
      </w:r>
      <w:r w:rsidR="00FC6706">
        <w:t xml:space="preserve">could be an indication </w:t>
      </w:r>
      <w:r w:rsidR="00EE7C82">
        <w:t xml:space="preserve">that the costs to the directly affected parties (employers, employees and care recipients) outweigh the benefits. </w:t>
      </w:r>
      <w:r w:rsidR="00A02C3C">
        <w:t>The Commission r</w:t>
      </w:r>
      <w:r w:rsidR="00EE7C82">
        <w:t xml:space="preserve">andomly sampled 500 enterprise agreements and found that the entitlement (or a provision </w:t>
      </w:r>
      <w:proofErr w:type="gramStart"/>
      <w:r w:rsidR="00EE7C82">
        <w:t>similar to</w:t>
      </w:r>
      <w:proofErr w:type="gramEnd"/>
      <w:r w:rsidR="00EE7C82">
        <w:t xml:space="preserve"> it) </w:t>
      </w:r>
      <w:r w:rsidR="00967BE4">
        <w:t>did not appear in an</w:t>
      </w:r>
      <w:r w:rsidR="001E6828">
        <w:t>y</w:t>
      </w:r>
      <w:r w:rsidR="00D62F80">
        <w:t xml:space="preserve"> of them.</w:t>
      </w:r>
      <w:r w:rsidR="00904503">
        <w:t xml:space="preserve"> T</w:t>
      </w:r>
      <w:r w:rsidR="001E6828">
        <w:t xml:space="preserve">his </w:t>
      </w:r>
      <w:r w:rsidR="00EE7C82" w:rsidRPr="009E7062">
        <w:t>suggests a 99 per cent confidence interval for the share of agreements containing the entitlement is</w:t>
      </w:r>
      <w:r w:rsidR="00EE7C82">
        <w:t xml:space="preserve"> </w:t>
      </w:r>
      <w:r w:rsidR="00D313CD">
        <w:t>0–</w:t>
      </w:r>
      <w:r w:rsidR="00EE7C82">
        <w:t>1 per cent. As the entitlement would have a negative fiscal impact, this might suggest that the total costs would exceed the total benefits.</w:t>
      </w:r>
    </w:p>
    <w:p w14:paraId="25045D85" w14:textId="7A820022" w:rsidR="00EE7C82" w:rsidRDefault="00EE7C82" w:rsidP="00EE7C82">
      <w:pPr>
        <w:pStyle w:val="BodyText"/>
      </w:pPr>
      <w:r>
        <w:lastRenderedPageBreak/>
        <w:t>As enterprise agreements are negotiated between employers and employees, the outcomes of negotiation partly reflect the relative costs and benefits that each party ascribes to a workplace entitlement. If an entitlement conferred larger benefits on employees than the costs it imposed on employers, and if these benefits were shared amongst employees, then — in principle — the parties should be able to negotiate it into an enterprise agreement in exchange for reductions in pay and/or other workplace entitlements. In practice, frictions might prevent this. Enterprise bargaining is time</w:t>
      </w:r>
      <w:r w:rsidR="00762BAE">
        <w:noBreakHyphen/>
      </w:r>
      <w:r>
        <w:t xml:space="preserve">consuming, which limits the scope of negotiations. Employers and employees both have imperfect information about the costs and benefits of entitlements. And in </w:t>
      </w:r>
      <w:r w:rsidRPr="00D040CC">
        <w:t xml:space="preserve">cases where </w:t>
      </w:r>
      <w:r>
        <w:t xml:space="preserve">the </w:t>
      </w:r>
      <w:r w:rsidRPr="00D040CC">
        <w:t>enterprise agreement is near to award</w:t>
      </w:r>
      <w:r w:rsidR="00762BAE">
        <w:noBreakHyphen/>
      </w:r>
      <w:r w:rsidRPr="00D040CC">
        <w:t xml:space="preserve">level pay and conditions, the better off overall test may prevent </w:t>
      </w:r>
      <w:r>
        <w:t xml:space="preserve">an entitlement from being negotiated in, </w:t>
      </w:r>
      <w:r w:rsidRPr="00D040CC">
        <w:t>because a</w:t>
      </w:r>
      <w:r>
        <w:t xml:space="preserve"> </w:t>
      </w:r>
      <w:r w:rsidRPr="00BB57BF">
        <w:rPr>
          <w:i/>
          <w:iCs/>
        </w:rPr>
        <w:t>potential</w:t>
      </w:r>
      <w:r w:rsidRPr="00D040CC">
        <w:t xml:space="preserve"> employee could conceivably gain </w:t>
      </w:r>
      <w:r>
        <w:t>no</w:t>
      </w:r>
      <w:r w:rsidRPr="00D040CC">
        <w:t xml:space="preserve"> benefit from </w:t>
      </w:r>
      <w:r>
        <w:t>it</w:t>
      </w:r>
      <w:r w:rsidRPr="00D040CC">
        <w:t>.</w:t>
      </w:r>
    </w:p>
    <w:p w14:paraId="33846AA5" w14:textId="0E49BDC6" w:rsidR="00EE7C82" w:rsidRPr="00442AFB" w:rsidRDefault="00EE7C82" w:rsidP="00EE7C82">
      <w:pPr>
        <w:pStyle w:val="BodyText"/>
        <w:rPr>
          <w:spacing w:val="-4"/>
        </w:rPr>
      </w:pPr>
      <w:r w:rsidRPr="00442AFB">
        <w:rPr>
          <w:spacing w:val="-4"/>
        </w:rPr>
        <w:t xml:space="preserve">A further </w:t>
      </w:r>
      <w:r w:rsidR="00730ED5" w:rsidRPr="00442AFB">
        <w:rPr>
          <w:spacing w:val="-4"/>
        </w:rPr>
        <w:t>complication</w:t>
      </w:r>
      <w:r w:rsidRPr="00442AFB">
        <w:rPr>
          <w:spacing w:val="-4"/>
        </w:rPr>
        <w:t xml:space="preserve"> is that enterprise bargaining is probably less responsive to the benefits that employees would obtain from a workplace entitlement when those benefits are concentrated among a small minority of employees (as would likely be the case for the entitlement being considered here). Enterprise agreements must be agreed by </w:t>
      </w:r>
      <w:proofErr w:type="gramStart"/>
      <w:r w:rsidRPr="00442AFB">
        <w:rPr>
          <w:spacing w:val="-4"/>
        </w:rPr>
        <w:t>the majority of</w:t>
      </w:r>
      <w:proofErr w:type="gramEnd"/>
      <w:r w:rsidRPr="00442AFB">
        <w:rPr>
          <w:spacing w:val="-4"/>
        </w:rPr>
        <w:t xml:space="preserve"> employees. That said, some negotiations might reflect the preferences of employees who are relatively more concerned about their entitlements as they would be more engaged with the bargaining process. Above</w:t>
      </w:r>
      <w:r w:rsidR="00762BAE" w:rsidRPr="00442AFB">
        <w:rPr>
          <w:spacing w:val="-4"/>
        </w:rPr>
        <w:noBreakHyphen/>
      </w:r>
      <w:r w:rsidRPr="00442AFB">
        <w:rPr>
          <w:spacing w:val="-4"/>
        </w:rPr>
        <w:t>NES and above</w:t>
      </w:r>
      <w:r w:rsidR="00762BAE" w:rsidRPr="00442AFB">
        <w:rPr>
          <w:spacing w:val="-4"/>
        </w:rPr>
        <w:noBreakHyphen/>
      </w:r>
      <w:r w:rsidRPr="00442AFB">
        <w:rPr>
          <w:spacing w:val="-4"/>
        </w:rPr>
        <w:t>award entitlements that would probably benefit only a minority of employees have been negotiated into enterprise agreements, such as extra compassionate leave (22 per cent of agreements in 2014–2017), extra paid sick leave (10 per cent of agreements), paid domestic violence leave (7 per cent of agreements) and unpaid domestic violence leave (3 per cent of agreements).</w:t>
      </w:r>
      <w:r w:rsidRPr="00442AFB">
        <w:rPr>
          <w:rStyle w:val="FootnoteReference"/>
          <w:spacing w:val="-4"/>
        </w:rPr>
        <w:footnoteReference w:id="22"/>
      </w:r>
      <w:r w:rsidRPr="00442AFB">
        <w:rPr>
          <w:spacing w:val="-4"/>
        </w:rPr>
        <w:t>And, shortly prior to the introduction of government</w:t>
      </w:r>
      <w:r w:rsidR="00762BAE" w:rsidRPr="00442AFB">
        <w:rPr>
          <w:spacing w:val="-4"/>
        </w:rPr>
        <w:noBreakHyphen/>
      </w:r>
      <w:r w:rsidRPr="00442AFB">
        <w:rPr>
          <w:spacing w:val="-4"/>
        </w:rPr>
        <w:t xml:space="preserve">funded paid parental leave in Australia, </w:t>
      </w:r>
      <w:r w:rsidR="00486AC6" w:rsidRPr="00442AFB">
        <w:rPr>
          <w:spacing w:val="-4"/>
        </w:rPr>
        <w:t>15</w:t>
      </w:r>
      <w:r w:rsidRPr="00442AFB">
        <w:rPr>
          <w:spacing w:val="-4"/>
        </w:rPr>
        <w:t xml:space="preserve"> per cent of enterprise agreements had paid maternity leave </w:t>
      </w:r>
      <w:r w:rsidR="00AF1F8B" w:rsidRPr="00442AFB">
        <w:rPr>
          <w:spacing w:val="-4"/>
        </w:rPr>
        <w:t>provisions</w:t>
      </w:r>
      <w:r w:rsidRPr="00442AFB" w:rsidDel="009B305C">
        <w:rPr>
          <w:spacing w:val="-4"/>
        </w:rPr>
        <w:t xml:space="preserve"> </w:t>
      </w:r>
      <w:r w:rsidRPr="00442AFB">
        <w:rPr>
          <w:spacing w:val="-4"/>
        </w:rPr>
        <w:t xml:space="preserve">(although we are unsure what share (if any) reflected an underlying award condition rather than the outcome of negotiation) </w:t>
      </w:r>
      <w:r w:rsidR="00D62F80" w:rsidRPr="00442AFB">
        <w:rPr>
          <w:rFonts w:cs="Arial"/>
          <w:spacing w:val="-4"/>
          <w:szCs w:val="24"/>
        </w:rPr>
        <w:t>(PC 2009)</w:t>
      </w:r>
      <w:r w:rsidR="00D62F80" w:rsidRPr="00442AFB">
        <w:rPr>
          <w:spacing w:val="-4"/>
        </w:rPr>
        <w:t>.</w:t>
      </w:r>
    </w:p>
    <w:p w14:paraId="6E546D62" w14:textId="7654D9D6" w:rsidR="00E33A1C" w:rsidRDefault="00E33A1C" w:rsidP="00E33A1C">
      <w:pPr>
        <w:pStyle w:val="BodyText"/>
      </w:pPr>
      <w:r>
        <w:t xml:space="preserve">Due to the limitations of the enterprise bargaining process and the fact that most employees are not covered by an enterprise agreement, we are aware that some employers offer a </w:t>
      </w:r>
      <w:r w:rsidRPr="007315AB">
        <w:rPr>
          <w:i/>
          <w:iCs/>
        </w:rPr>
        <w:t xml:space="preserve">de facto </w:t>
      </w:r>
      <w:r>
        <w:t>entitlement to extended unpaid carer leave via their workplace policies</w:t>
      </w:r>
      <w:r w:rsidR="00E36359">
        <w:t xml:space="preserve"> (supporting paper [</w:t>
      </w:r>
      <w:r w:rsidR="00853740">
        <w:t>I</w:t>
      </w:r>
      <w:r w:rsidR="00E36359">
        <w:t>])</w:t>
      </w:r>
      <w:r>
        <w:t xml:space="preserve">. While we have no concrete evidence of how common this practice is, it seems unlikely to be widespread as we estimate that less than 30 per cent of people (possibly much less than 30 per cent) who wanted to take extended unpaid carer leave in 2018 </w:t>
      </w:r>
      <w:proofErr w:type="gramStart"/>
      <w:r>
        <w:t>actually did</w:t>
      </w:r>
      <w:proofErr w:type="gramEnd"/>
      <w:r>
        <w:t xml:space="preserve"> so.</w:t>
      </w:r>
      <w:r w:rsidR="00B57CB8" w:rsidRPr="00BE59F4">
        <w:rPr>
          <w:rStyle w:val="FootnoteReference"/>
        </w:rPr>
        <w:footnoteReference w:id="23"/>
      </w:r>
    </w:p>
    <w:p w14:paraId="79FBFFAC" w14:textId="1C8EF302" w:rsidR="00EE7C82" w:rsidRDefault="00EE7C82" w:rsidP="00EE7C82">
      <w:pPr>
        <w:pStyle w:val="BodyText"/>
        <w:spacing w:before="240"/>
      </w:pPr>
      <w:r>
        <w:t xml:space="preserve">To summarise, the entitlement not appearing in a particular enterprise agreement is not a good indication that the benefits it would offer to the employees covered by that agreement would be smaller than the costs it would impose on their employer. But the fact that the entitlement appears in — at most — a small minority of enterprise agreements </w:t>
      </w:r>
      <w:r w:rsidRPr="002568C9">
        <w:t>might</w:t>
      </w:r>
      <w:r>
        <w:t xml:space="preserve"> provide some indication that its benefits to </w:t>
      </w:r>
      <w:r w:rsidRPr="002568C9">
        <w:rPr>
          <w:i/>
          <w:iCs/>
        </w:rPr>
        <w:t xml:space="preserve">all </w:t>
      </w:r>
      <w:r>
        <w:t xml:space="preserve">employees are less than its costs to </w:t>
      </w:r>
      <w:r w:rsidRPr="002568C9">
        <w:rPr>
          <w:i/>
          <w:iCs/>
        </w:rPr>
        <w:t xml:space="preserve">all </w:t>
      </w:r>
      <w:r>
        <w:t>employers.</w:t>
      </w:r>
    </w:p>
    <w:p w14:paraId="538C717A" w14:textId="0B7E0ECC" w:rsidR="00EE7C82" w:rsidRDefault="00EE7C82" w:rsidP="00EE7C82">
      <w:pPr>
        <w:pStyle w:val="BodyText"/>
      </w:pPr>
      <w:r>
        <w:t xml:space="preserve">What about the benefits of the entitlement to care recipients? Care recipients get no vote in enterprise agreements. Yet at least some of the benefits </w:t>
      </w:r>
      <w:r w:rsidR="00556B50">
        <w:t xml:space="preserve">to them </w:t>
      </w:r>
      <w:r>
        <w:t>would be internalised by their carer. Caregiving is motived by a concern for care recipients’ interests, and care recipients have the option of financially supporting their carer (although it appears that few do).</w:t>
      </w:r>
    </w:p>
    <w:p w14:paraId="64A63B37" w14:textId="303B2364" w:rsidR="009C319D" w:rsidRDefault="00262084" w:rsidP="002929A5">
      <w:pPr>
        <w:pStyle w:val="Heading2-nonumber"/>
      </w:pPr>
      <w:r>
        <w:lastRenderedPageBreak/>
        <w:t>6</w:t>
      </w:r>
      <w:r w:rsidR="006D5204">
        <w:t>.</w:t>
      </w:r>
      <w:r>
        <w:tab/>
        <w:t>Distributional effects</w:t>
      </w:r>
    </w:p>
    <w:p w14:paraId="5FF5148F" w14:textId="67839F66" w:rsidR="0046751E" w:rsidRDefault="0046751E" w:rsidP="00EE7C82">
      <w:pPr>
        <w:pStyle w:val="BodyText"/>
      </w:pPr>
      <w:r>
        <w:t xml:space="preserve">The entitlement to extended unpaid carer leave would also have distributional effects. </w:t>
      </w:r>
    </w:p>
    <w:p w14:paraId="1452386E" w14:textId="5A123209" w:rsidR="00C86A99" w:rsidRDefault="00C86A99" w:rsidP="00C86A99">
      <w:pPr>
        <w:pStyle w:val="BodyText"/>
      </w:pPr>
      <w:r>
        <w:t>While in the short term the costs of the entitlement will fall on employe</w:t>
      </w:r>
      <w:r w:rsidR="00626EAF">
        <w:t>r</w:t>
      </w:r>
      <w:r>
        <w:t>s, over time it is expected that employe</w:t>
      </w:r>
      <w:r w:rsidR="00626EAF">
        <w:t>r</w:t>
      </w:r>
      <w:r>
        <w:t xml:space="preserve">s will </w:t>
      </w:r>
      <w:r w:rsidR="00794299">
        <w:t xml:space="preserve">pass </w:t>
      </w:r>
      <w:r w:rsidR="009B47C2">
        <w:t xml:space="preserve">the </w:t>
      </w:r>
      <w:r>
        <w:t xml:space="preserve">additional costs </w:t>
      </w:r>
      <w:r w:rsidR="008A6B3D">
        <w:t xml:space="preserve">on to </w:t>
      </w:r>
      <w:r w:rsidR="002D5C4E">
        <w:t>employees (</w:t>
      </w:r>
      <w:r w:rsidR="00B94D4E">
        <w:t xml:space="preserve">through </w:t>
      </w:r>
      <w:r w:rsidR="008041A2">
        <w:t>hiring</w:t>
      </w:r>
      <w:r>
        <w:t xml:space="preserve"> </w:t>
      </w:r>
      <w:r w:rsidR="00FA2B93">
        <w:t xml:space="preserve">practices </w:t>
      </w:r>
      <w:r w:rsidR="008A23DE">
        <w:t xml:space="preserve">and </w:t>
      </w:r>
      <w:r w:rsidR="00D5178D">
        <w:t xml:space="preserve">lower </w:t>
      </w:r>
      <w:r w:rsidR="000025EE">
        <w:t>wage growth</w:t>
      </w:r>
      <w:r w:rsidR="008A23DE">
        <w:t>)</w:t>
      </w:r>
      <w:r>
        <w:t xml:space="preserve"> and </w:t>
      </w:r>
      <w:r w:rsidR="008A23DE">
        <w:t>consumers (</w:t>
      </w:r>
      <w:r w:rsidR="00015579">
        <w:t xml:space="preserve">by raising </w:t>
      </w:r>
      <w:r>
        <w:t>pric</w:t>
      </w:r>
      <w:r w:rsidR="00015579">
        <w:t>es)</w:t>
      </w:r>
      <w:r>
        <w:t xml:space="preserve">. Over the long term, the costs of the entitlements are likely to fall on </w:t>
      </w:r>
      <w:r w:rsidR="003C312F">
        <w:t xml:space="preserve">employees </w:t>
      </w:r>
      <w:r>
        <w:t xml:space="preserve">in industries where use of the entitlement is more common, particularly on groups of people perceived </w:t>
      </w:r>
      <w:r w:rsidR="007A03DB">
        <w:t xml:space="preserve">to be </w:t>
      </w:r>
      <w:r>
        <w:t xml:space="preserve">likely users of the entitlement. </w:t>
      </w:r>
      <w:r w:rsidR="00946F83">
        <w:t>A</w:t>
      </w:r>
      <w:r>
        <w:t xml:space="preserve">s such, there is a risk that an entitlement could give rise to adverse consequences for the same people that it is intended to benefit. </w:t>
      </w:r>
    </w:p>
    <w:p w14:paraId="314B8F15" w14:textId="05C957C5" w:rsidR="00C86A99" w:rsidRDefault="00C86A99" w:rsidP="00C86A99">
      <w:pPr>
        <w:pStyle w:val="BodyText"/>
      </w:pPr>
      <w:r>
        <w:t xml:space="preserve">That said, the response from business is likely to be small, given the small number of employees who are expected to use the entitlement. </w:t>
      </w:r>
    </w:p>
    <w:p w14:paraId="3ABCD82B" w14:textId="77777777" w:rsidR="00C86A99" w:rsidRDefault="00C86A99" w:rsidP="00C86A99">
      <w:pPr>
        <w:pStyle w:val="Heading3-noTOC"/>
      </w:pPr>
      <w:r>
        <w:t>The potential effect of the entitlement on hiring practices</w:t>
      </w:r>
    </w:p>
    <w:p w14:paraId="79BDC4A8" w14:textId="22F5D854" w:rsidR="00C86A99" w:rsidRDefault="00C86A99" w:rsidP="00C86A99">
      <w:pPr>
        <w:pStyle w:val="BodyText"/>
      </w:pPr>
      <w:r>
        <w:t xml:space="preserve">Concerns were raised </w:t>
      </w:r>
      <w:r w:rsidR="00697679">
        <w:t xml:space="preserve">by participants </w:t>
      </w:r>
      <w:r>
        <w:t xml:space="preserve">about </w:t>
      </w:r>
      <w:r w:rsidR="000321FA">
        <w:t xml:space="preserve">stigma and </w:t>
      </w:r>
      <w:r w:rsidR="00B059BC">
        <w:t xml:space="preserve">discrimination </w:t>
      </w:r>
      <w:r w:rsidR="00D10DF0">
        <w:t xml:space="preserve">because of caring responsibilities and </w:t>
      </w:r>
      <w:r>
        <w:t xml:space="preserve">the effects of </w:t>
      </w:r>
      <w:r w:rsidR="00697679">
        <w:t xml:space="preserve">an </w:t>
      </w:r>
      <w:r>
        <w:t>entitlement on hiring practices (Carers NSW, sub.</w:t>
      </w:r>
      <w:r w:rsidR="007D60A9">
        <w:t> </w:t>
      </w:r>
      <w:r>
        <w:t xml:space="preserve">20, Women Lawyers Association of Queensland, sub. 4). Merri Health, for example, </w:t>
      </w:r>
      <w:r w:rsidR="00AF3998">
        <w:t>said:</w:t>
      </w:r>
      <w:r w:rsidR="00762BAE">
        <w:t xml:space="preserve"> </w:t>
      </w:r>
    </w:p>
    <w:p w14:paraId="002E5579" w14:textId="77777777" w:rsidR="00C86A99" w:rsidRPr="00336627" w:rsidRDefault="00C86A99" w:rsidP="00C86A99">
      <w:pPr>
        <w:pStyle w:val="Quote"/>
      </w:pPr>
      <w:r w:rsidRPr="00336627">
        <w:t>Carers worry about hiring discrimination and highlight the need for carers to know their employment rights. Merri Health staff suggest hiring discrimination against carers may be more likely to occur in industries which have demonstrated hiring discrimination against parents, due to carers appearing to be needing more time off work and flexibility versus employees without caring responsibilities. (sub. 18, pp. 9–10)</w:t>
      </w:r>
    </w:p>
    <w:p w14:paraId="0C91C0ED" w14:textId="7245772C" w:rsidR="00C86A99" w:rsidRDefault="00C86A99" w:rsidP="00C86A99">
      <w:pPr>
        <w:pStyle w:val="BodyText"/>
      </w:pPr>
      <w:r w:rsidRPr="007B4D57">
        <w:t xml:space="preserve">The </w:t>
      </w:r>
      <w:r>
        <w:t xml:space="preserve">Fair Work Act prohibits discrimination against employees on the basis of their family or carer’s responsibilities (s. 351(1)) and provides the Fair Work Ombudsman with the authority to </w:t>
      </w:r>
      <w:r w:rsidRPr="00CF2E04">
        <w:t xml:space="preserve">investigate allegations of unlawful workplace discrimination and </w:t>
      </w:r>
      <w:r>
        <w:t>to</w:t>
      </w:r>
      <w:r w:rsidRPr="00CF2E04">
        <w:t xml:space="preserve"> initiate litigation against a national system employer for contravening the </w:t>
      </w:r>
      <w:r>
        <w:t>Act (s. 682(1)).</w:t>
      </w:r>
      <w:r w:rsidR="00D32F8A">
        <w:rPr>
          <w:rStyle w:val="FootnoteReference"/>
        </w:rPr>
        <w:footnoteReference w:id="24"/>
      </w:r>
      <w:r>
        <w:t xml:space="preserve"> However, some employers could feel pressure to find ways to minimise the costs of the entitlement by modifying their recruitment, training, promotion and retention practices. Not only could such practices come at the expense of the people who are most likely to take the entitlement, it could eventually lead to a concentration of carers in industries that are more amenable to supporting carer entitlements — including flexible work arrangements. </w:t>
      </w:r>
    </w:p>
    <w:p w14:paraId="4EA2FFE4" w14:textId="7C942ED8" w:rsidR="00C86A99" w:rsidRDefault="00C86A99" w:rsidP="00C86A99">
      <w:pPr>
        <w:pStyle w:val="BodyText"/>
      </w:pPr>
      <w:r>
        <w:t>While there is little evidence on the consequences of an entitlements to unpaid carer leave on hiring practices, there is some evidence that maternity benefit</w:t>
      </w:r>
      <w:r w:rsidR="00CA3CFD">
        <w:t>s</w:t>
      </w:r>
      <w:r>
        <w:t xml:space="preserve"> and parental leave affect the employment, salary and promotion opportunities for potential young mothers. For example: </w:t>
      </w:r>
    </w:p>
    <w:p w14:paraId="5E3FB418" w14:textId="6FEF451B" w:rsidR="00C86A99" w:rsidRDefault="00C86A99" w:rsidP="00C86A99">
      <w:pPr>
        <w:pStyle w:val="ListBullet"/>
        <w:numPr>
          <w:ilvl w:val="0"/>
          <w:numId w:val="17"/>
        </w:numPr>
      </w:pPr>
      <w:r w:rsidRPr="00EF4D07">
        <w:t xml:space="preserve">Ginja, Karima and Xiao </w:t>
      </w:r>
      <w:r w:rsidRPr="00F2311E">
        <w:rPr>
          <w:rFonts w:ascii="Arial" w:hAnsi="Arial" w:cs="Arial"/>
        </w:rPr>
        <w:t>(2023)</w:t>
      </w:r>
      <w:r w:rsidRPr="00EF4D07">
        <w:t xml:space="preserve"> </w:t>
      </w:r>
      <w:r>
        <w:t>estimated the costs associated with staff turnover following the extension of a 3</w:t>
      </w:r>
      <w:r w:rsidR="00762BAE">
        <w:noBreakHyphen/>
      </w:r>
      <w:r>
        <w:t>month parental leave program in Sweden and found that private sector firms increased their permanent and temporary staff by hiring new permanent workers and by increasing the work hours of existing staff. These reforms were</w:t>
      </w:r>
      <w:r w:rsidR="00CA3CFD">
        <w:t>,</w:t>
      </w:r>
      <w:r>
        <w:t xml:space="preserve"> however</w:t>
      </w:r>
      <w:r w:rsidR="00CA3CFD">
        <w:t>,</w:t>
      </w:r>
      <w:r>
        <w:t xml:space="preserve"> correlated with fewer hires and lower starting salaries of young women compared with men and older women.</w:t>
      </w:r>
    </w:p>
    <w:p w14:paraId="4CECEB50" w14:textId="19C312F1" w:rsidR="00C86A99" w:rsidRDefault="00C86A99" w:rsidP="00C86A99">
      <w:pPr>
        <w:pStyle w:val="ListBullet"/>
        <w:numPr>
          <w:ilvl w:val="0"/>
          <w:numId w:val="17"/>
        </w:numPr>
      </w:pPr>
      <w:r>
        <w:t xml:space="preserve">Gruber </w:t>
      </w:r>
      <w:r w:rsidRPr="0035123E">
        <w:rPr>
          <w:rFonts w:ascii="Arial" w:hAnsi="Arial" w:cs="Arial"/>
        </w:rPr>
        <w:t>(1994)</w:t>
      </w:r>
      <w:r>
        <w:t xml:space="preserve"> looked at incorporati</w:t>
      </w:r>
      <w:r w:rsidR="00FD0B3E">
        <w:t xml:space="preserve">ng </w:t>
      </w:r>
      <w:r>
        <w:t>maternity benefits into health insurance in the United States in 1978 (the cost of which was incurred by employers) and found that the increased costs had the unintended consequence of reducing the likelihood of married women being hired by private firms.</w:t>
      </w:r>
    </w:p>
    <w:p w14:paraId="380C39CC" w14:textId="518FF98C" w:rsidR="00C86A99" w:rsidRDefault="00C86A99" w:rsidP="00C86A99">
      <w:pPr>
        <w:pStyle w:val="ListBullet"/>
        <w:numPr>
          <w:ilvl w:val="0"/>
          <w:numId w:val="17"/>
        </w:numPr>
      </w:pPr>
      <w:r>
        <w:lastRenderedPageBreak/>
        <w:t xml:space="preserve">Thomas </w:t>
      </w:r>
      <w:r w:rsidRPr="00176A52">
        <w:rPr>
          <w:rFonts w:ascii="Arial" w:hAnsi="Arial" w:cs="Arial"/>
        </w:rPr>
        <w:t>(2020)</w:t>
      </w:r>
      <w:r>
        <w:t xml:space="preserve"> explored some of the factors underpinning the gender pay gap in the United States by examining the effect of the </w:t>
      </w:r>
      <w:r w:rsidRPr="00FF49B0">
        <w:rPr>
          <w:i/>
          <w:iCs/>
        </w:rPr>
        <w:t>Family and Medical Leave Act</w:t>
      </w:r>
      <w:r>
        <w:t xml:space="preserve"> </w:t>
      </w:r>
      <w:r w:rsidRPr="003E3096">
        <w:rPr>
          <w:i/>
          <w:iCs/>
        </w:rPr>
        <w:t>1993</w:t>
      </w:r>
      <w:r>
        <w:t xml:space="preserve"> (US Federal) and found that women who were hired after the enactment were more likely to remain </w:t>
      </w:r>
      <w:proofErr w:type="gramStart"/>
      <w:r>
        <w:t>employed, but</w:t>
      </w:r>
      <w:proofErr w:type="gramEnd"/>
      <w:r>
        <w:t xml:space="preserve"> were less likely to be promoted.</w:t>
      </w:r>
    </w:p>
    <w:p w14:paraId="481229DD" w14:textId="719147B5" w:rsidR="00C86A99" w:rsidRDefault="00C86A99" w:rsidP="00C86A99">
      <w:pPr>
        <w:pStyle w:val="ListBullet"/>
        <w:numPr>
          <w:ilvl w:val="0"/>
          <w:numId w:val="17"/>
        </w:numPr>
      </w:pPr>
      <w:r>
        <w:t xml:space="preserve">Xiao </w:t>
      </w:r>
      <w:r w:rsidRPr="00F174B6">
        <w:rPr>
          <w:rFonts w:ascii="Arial" w:hAnsi="Arial" w:cs="Arial"/>
        </w:rPr>
        <w:t>(2019)</w:t>
      </w:r>
      <w:r>
        <w:t xml:space="preserve"> explored some of the factors contributing to the persistent gender wage gap in Finland and found that a large proportion of the gender wage in early career women was attributed to </w:t>
      </w:r>
      <w:r w:rsidR="000A117D">
        <w:t xml:space="preserve">employer behaviour based on perceived </w:t>
      </w:r>
      <w:r>
        <w:t xml:space="preserve">fertility concerns. </w:t>
      </w:r>
      <w:r w:rsidR="00DE6A79">
        <w:t xml:space="preserve">Xiao suggested that women </w:t>
      </w:r>
      <w:r w:rsidR="003D65A3">
        <w:t xml:space="preserve">could </w:t>
      </w:r>
      <w:r w:rsidR="00E219D9">
        <w:t xml:space="preserve">choose to take on </w:t>
      </w:r>
      <w:r>
        <w:t xml:space="preserve">jobs that offer lower wages </w:t>
      </w:r>
      <w:r w:rsidR="003D65A3">
        <w:t xml:space="preserve">and </w:t>
      </w:r>
      <w:r>
        <w:t xml:space="preserve">more </w:t>
      </w:r>
      <w:r w:rsidR="002C5898">
        <w:t xml:space="preserve">workplace </w:t>
      </w:r>
      <w:r>
        <w:t xml:space="preserve">flexibility. </w:t>
      </w:r>
    </w:p>
    <w:p w14:paraId="7BDCEC8E" w14:textId="77777777" w:rsidR="00C86A99" w:rsidRDefault="00C86A99" w:rsidP="00C86A99">
      <w:pPr>
        <w:pStyle w:val="BodyText"/>
      </w:pPr>
      <w:r>
        <w:t xml:space="preserve">The negative effects, however, are likely to be small given the small proportion of employees expected to take up an entitlement to extended unpaid leave, although this could change with population ageing and increased demand for formal carers. </w:t>
      </w:r>
    </w:p>
    <w:p w14:paraId="656C0BA7" w14:textId="77777777" w:rsidR="00C86A99" w:rsidRPr="00481E59" w:rsidRDefault="00C86A99" w:rsidP="00C86A99">
      <w:pPr>
        <w:pStyle w:val="Heading3-noTOC"/>
      </w:pPr>
      <w:r>
        <w:t xml:space="preserve">The potential effect of the entitlement on wage growth </w:t>
      </w:r>
    </w:p>
    <w:p w14:paraId="7D080079" w14:textId="3BBBB19F" w:rsidR="00C86A99" w:rsidRDefault="00C86A99" w:rsidP="00C86A99">
      <w:pPr>
        <w:pStyle w:val="BodyText"/>
      </w:pPr>
      <w:r>
        <w:t xml:space="preserve">The costs to businesses of employing a worker will be indirectly increased by the costs of implementing the entitlement and the costs incurred when an employee uses the entitlement. Depending on the environment in which they are operating, businesses are likely to pass the additional costs on in the long run either to employees through lower wage growth </w:t>
      </w:r>
      <w:r w:rsidR="00FB4E15" w:rsidRPr="00FB4E15">
        <w:rPr>
          <w:rFonts w:ascii="Arial" w:hAnsi="Arial" w:cs="Arial"/>
          <w:szCs w:val="24"/>
        </w:rPr>
        <w:t>(Summers 1989)</w:t>
      </w:r>
      <w:r>
        <w:t xml:space="preserve"> or to consumers through higher prices. </w:t>
      </w:r>
    </w:p>
    <w:p w14:paraId="370716FF" w14:textId="6E9F2FFB" w:rsidR="00C86A99" w:rsidRDefault="00C86A99" w:rsidP="00C86A99">
      <w:pPr>
        <w:pStyle w:val="BodyText"/>
      </w:pPr>
      <w:r>
        <w:t xml:space="preserve">The effect on wage growth occurs over the long term, as employers take time to recoup increased costs through reduced wage growth (minimum wages may act to maintain wage growth in the short term). </w:t>
      </w:r>
    </w:p>
    <w:p w14:paraId="59249E92" w14:textId="70A210AC" w:rsidR="001077FD" w:rsidRDefault="00C86A99" w:rsidP="00C86A99">
      <w:pPr>
        <w:pStyle w:val="BodyText"/>
      </w:pPr>
      <w:r>
        <w:t xml:space="preserve">The extent to which costs are passed on to employees is likely to vary depending on the extent to which employees value the entitlement (if the entitlement provides a pecuniary value for </w:t>
      </w:r>
      <w:proofErr w:type="gramStart"/>
      <w:r>
        <w:t>employees</w:t>
      </w:r>
      <w:proofErr w:type="gramEnd"/>
      <w:r>
        <w:t xml:space="preserve"> they may be willing to work for less money). There is some evidence of a positive correlation between a benefit provided to an employee and how much of the cost </w:t>
      </w:r>
      <w:r w:rsidR="00A935C0">
        <w:t xml:space="preserve">is </w:t>
      </w:r>
      <w:r>
        <w:t xml:space="preserve">passed on to them. Programs providing clear direct benefits to employees (such as Japanese Health Insurance, </w:t>
      </w:r>
      <w:r w:rsidRPr="00030C43">
        <w:t>U</w:t>
      </w:r>
      <w:r>
        <w:t>.</w:t>
      </w:r>
      <w:r w:rsidRPr="00030C43">
        <w:t>S</w:t>
      </w:r>
      <w:r>
        <w:t>.</w:t>
      </w:r>
      <w:r w:rsidRPr="00030C43">
        <w:t xml:space="preserve"> mandated maternity benefits</w:t>
      </w:r>
      <w:r>
        <w:t xml:space="preserve"> and </w:t>
      </w:r>
      <w:r w:rsidRPr="003E3208">
        <w:t>French pension contributions</w:t>
      </w:r>
      <w:r>
        <w:t xml:space="preserve">) have been shown to have passthrough rates of 100 per cent and beyond, while programs with more opaque direct benefits (such as payroll taxes) show substantially less passthrough </w:t>
      </w:r>
      <w:r w:rsidRPr="00F2311E">
        <w:rPr>
          <w:rFonts w:ascii="Arial" w:hAnsi="Arial" w:cs="Arial"/>
          <w:szCs w:val="24"/>
        </w:rPr>
        <w:t>(Coates, Mackey and Cowgill 2020, p. 14)</w:t>
      </w:r>
      <w:r>
        <w:t xml:space="preserve">. </w:t>
      </w:r>
    </w:p>
    <w:p w14:paraId="260A03FD" w14:textId="5CEBB250" w:rsidR="00C86A99" w:rsidRDefault="00C86A99" w:rsidP="00C86A99">
      <w:pPr>
        <w:pStyle w:val="BodyText"/>
      </w:pPr>
      <w:r>
        <w:t xml:space="preserve">This also accords with economic theory, assuming workers place a higher value on measures that more directly benefit them. </w:t>
      </w:r>
    </w:p>
    <w:p w14:paraId="6947C218" w14:textId="70556FB0" w:rsidR="00C86A99" w:rsidRDefault="007B2E97" w:rsidP="00C86A99">
      <w:pPr>
        <w:pStyle w:val="BodyText"/>
      </w:pPr>
      <w:r>
        <w:t xml:space="preserve">If the cost of the entitlement is fully passed on to workers, the impact on workers who use the entitlement is positive and the impact on workers who don’t use the entitlement is negative. </w:t>
      </w:r>
      <w:r w:rsidR="00C86A99">
        <w:t xml:space="preserve">There is little to suggest that </w:t>
      </w:r>
      <w:r w:rsidR="009E521A">
        <w:t xml:space="preserve">employees </w:t>
      </w:r>
      <w:r w:rsidR="00C86A99">
        <w:t>would place a high</w:t>
      </w:r>
      <w:r w:rsidR="00A47CF7">
        <w:t>er</w:t>
      </w:r>
      <w:r w:rsidR="00C86A99">
        <w:t xml:space="preserve"> value on an unpaid carer leave entitlement</w:t>
      </w:r>
      <w:r w:rsidR="00AB04AD">
        <w:t xml:space="preserve"> </w:t>
      </w:r>
      <w:r w:rsidR="00BA0D49">
        <w:t xml:space="preserve">(which they will not necessarily use) </w:t>
      </w:r>
      <w:r w:rsidR="00A47CF7">
        <w:t>than the wage</w:t>
      </w:r>
      <w:r w:rsidR="005E407F">
        <w:t xml:space="preserve"> loss</w:t>
      </w:r>
      <w:r w:rsidR="00D3034C">
        <w:t xml:space="preserve">. </w:t>
      </w:r>
      <w:r w:rsidR="00C86A99">
        <w:t xml:space="preserve">As such, the long run costs of the entitlement are most likely to fall on other workers in the industries where </w:t>
      </w:r>
      <w:r w:rsidR="009C3B9E">
        <w:t xml:space="preserve">unpaid leave entitlement users </w:t>
      </w:r>
      <w:r w:rsidR="00C86A99">
        <w:t>work (for example, female</w:t>
      </w:r>
      <w:r w:rsidR="00762BAE">
        <w:noBreakHyphen/>
      </w:r>
      <w:r w:rsidR="00C86A99">
        <w:t xml:space="preserve">dominated sectors), rather than being shared equally across the economy. This means that the decision to provide care </w:t>
      </w:r>
      <w:r w:rsidR="00526F56">
        <w:t xml:space="preserve">could </w:t>
      </w:r>
      <w:r w:rsidR="00C86A99">
        <w:t>have spill</w:t>
      </w:r>
      <w:r w:rsidR="00762BAE">
        <w:noBreakHyphen/>
      </w:r>
      <w:r w:rsidR="00C86A99">
        <w:t>over effects on others, and th</w:t>
      </w:r>
      <w:r w:rsidR="007B5F38">
        <w:t xml:space="preserve">is </w:t>
      </w:r>
      <w:r w:rsidR="00C86A99">
        <w:t xml:space="preserve">could exacerbate existing inequality. </w:t>
      </w:r>
    </w:p>
    <w:p w14:paraId="00EE13F9" w14:textId="6839D74D" w:rsidR="00C86A99" w:rsidRDefault="00C86A99" w:rsidP="00C86A99">
      <w:pPr>
        <w:pStyle w:val="BodyText"/>
      </w:pPr>
      <w:r>
        <w:t xml:space="preserve">There were some concerns raised about the effect of an entitlement </w:t>
      </w:r>
      <w:r w:rsidR="00D314A7">
        <w:t xml:space="preserve">to </w:t>
      </w:r>
      <w:r>
        <w:t>extended unpaid leave on wages in heavily</w:t>
      </w:r>
      <w:r w:rsidR="00762BAE">
        <w:noBreakHyphen/>
      </w:r>
      <w:r>
        <w:t xml:space="preserve">feminised aged care workforce. For example, Ai Group </w:t>
      </w:r>
      <w:r w:rsidR="004A0F15">
        <w:t>argued that ‘</w:t>
      </w:r>
      <w:r w:rsidR="00E4150A">
        <w:t>the costs are [also] most likely to be disproportionately experienced by those sectors with a higher prevalence of employed primary carers</w:t>
      </w:r>
      <w:r w:rsidR="00997D1C">
        <w:t xml:space="preserve"> …</w:t>
      </w:r>
      <w:r w:rsidR="00E4150A">
        <w:t xml:space="preserve"> </w:t>
      </w:r>
      <w:r w:rsidR="00E1423F">
        <w:t>An extended leave entitlement is likely to further reduce earnings for working women</w:t>
      </w:r>
      <w:r w:rsidR="009E0071">
        <w:t>’</w:t>
      </w:r>
      <w:r w:rsidR="00E1423F">
        <w:t xml:space="preserve"> </w:t>
      </w:r>
      <w:r w:rsidR="00E4150A">
        <w:t xml:space="preserve">(sub. 34, p. 14). </w:t>
      </w:r>
    </w:p>
    <w:p w14:paraId="4880F798" w14:textId="029CAFF6" w:rsidR="00C86A99" w:rsidRDefault="00C86A99" w:rsidP="00C86A99">
      <w:pPr>
        <w:pStyle w:val="BodyText"/>
      </w:pPr>
      <w:r>
        <w:t xml:space="preserve">Workers in low paid industries or workers in occupations </w:t>
      </w:r>
      <w:r w:rsidR="007C5EF7">
        <w:t xml:space="preserve">with a high proportion of older women </w:t>
      </w:r>
      <w:r>
        <w:t xml:space="preserve">could be made worse off by paying for an entitlement to extended unpaid carer leave that many would not use. The size of this long run effect will depend on factors such as the size of </w:t>
      </w:r>
      <w:r w:rsidR="000A652D">
        <w:t xml:space="preserve">the </w:t>
      </w:r>
      <w:r>
        <w:t xml:space="preserve">costs to businesses, the extent to which costs are passed on, and the number of entitlement users in a firm or industry. </w:t>
      </w:r>
    </w:p>
    <w:p w14:paraId="7421D54D" w14:textId="77777777" w:rsidR="003015A4" w:rsidRPr="00AE463C" w:rsidRDefault="003015A4" w:rsidP="003015A4">
      <w:pPr>
        <w:pStyle w:val="BodyText"/>
        <w:rPr>
          <w:rStyle w:val="BodyTextChar"/>
        </w:rPr>
      </w:pPr>
      <w:r w:rsidRPr="00052DF8">
        <w:lastRenderedPageBreak/>
        <w:t>The sharing of long</w:t>
      </w:r>
      <w:r>
        <w:noBreakHyphen/>
      </w:r>
      <w:r w:rsidRPr="00052DF8">
        <w:t>run costs in this way compares unfavourabl</w:t>
      </w:r>
      <w:r>
        <w:t>y</w:t>
      </w:r>
      <w:r w:rsidRPr="00052DF8">
        <w:t xml:space="preserve"> to other policies to support carers (like financial support and government</w:t>
      </w:r>
      <w:r>
        <w:noBreakHyphen/>
        <w:t>funded</w:t>
      </w:r>
      <w:r w:rsidRPr="00052DF8">
        <w:t xml:space="preserve"> services) where the costs are </w:t>
      </w:r>
      <w:r>
        <w:t xml:space="preserve">supported by general government revenue and </w:t>
      </w:r>
      <w:r w:rsidRPr="00052DF8">
        <w:t>shared more evenly across the economy.</w:t>
      </w:r>
    </w:p>
    <w:p w14:paraId="16A76EA5" w14:textId="77777777" w:rsidR="00C86A99" w:rsidRDefault="00C86A99" w:rsidP="00C86A99">
      <w:pPr>
        <w:pStyle w:val="Heading3-noTOC"/>
      </w:pPr>
      <w:r>
        <w:t>The potential effects of the entitlement on women</w:t>
      </w:r>
    </w:p>
    <w:p w14:paraId="304C6883" w14:textId="44165F63" w:rsidR="00C86A99" w:rsidRDefault="004875DA" w:rsidP="003B041F">
      <w:pPr>
        <w:pStyle w:val="BodyText"/>
      </w:pPr>
      <w:r>
        <w:t xml:space="preserve">Many </w:t>
      </w:r>
      <w:r w:rsidR="00C86A99">
        <w:t xml:space="preserve">participants </w:t>
      </w:r>
      <w:r w:rsidR="00C96092">
        <w:t xml:space="preserve">also </w:t>
      </w:r>
      <w:r w:rsidR="00C86A99">
        <w:t xml:space="preserve">raised concerns about the consequences of </w:t>
      </w:r>
      <w:r w:rsidR="00B670A9">
        <w:t xml:space="preserve">an </w:t>
      </w:r>
      <w:r w:rsidR="00C86A99">
        <w:t xml:space="preserve">entitlement </w:t>
      </w:r>
      <w:r w:rsidR="00C96092">
        <w:t xml:space="preserve">that </w:t>
      </w:r>
      <w:r w:rsidR="00C86A99">
        <w:t>encourag</w:t>
      </w:r>
      <w:r w:rsidR="00C96092">
        <w:t xml:space="preserve">es </w:t>
      </w:r>
      <w:r w:rsidR="00C86A99">
        <w:t>more women to take unpaid leave</w:t>
      </w:r>
      <w:r w:rsidR="00C96092">
        <w:t xml:space="preserve">. Many </w:t>
      </w:r>
      <w:r w:rsidR="00C86A99">
        <w:t>point</w:t>
      </w:r>
      <w:r w:rsidR="00C96092">
        <w:t xml:space="preserve">ed </w:t>
      </w:r>
      <w:r w:rsidR="00C86A99">
        <w:t>to the potential negative effects on the recruitment and career progression of women</w:t>
      </w:r>
      <w:r w:rsidR="00865344">
        <w:t xml:space="preserve">, </w:t>
      </w:r>
      <w:r w:rsidR="00C86A99">
        <w:t xml:space="preserve">the gender </w:t>
      </w:r>
      <w:proofErr w:type="gramStart"/>
      <w:r w:rsidR="00C86A99">
        <w:t>pay</w:t>
      </w:r>
      <w:proofErr w:type="gramEnd"/>
      <w:r w:rsidR="00C86A99">
        <w:t xml:space="preserve"> gap </w:t>
      </w:r>
      <w:r w:rsidR="00865344">
        <w:t>and gend</w:t>
      </w:r>
      <w:r w:rsidR="00331869">
        <w:t xml:space="preserve">er equality </w:t>
      </w:r>
      <w:r w:rsidR="00C86A99">
        <w:t>(box </w:t>
      </w:r>
      <w:r w:rsidR="00605DEC">
        <w:t>6</w:t>
      </w:r>
      <w:r w:rsidR="00C86A99">
        <w:t xml:space="preserve">). </w:t>
      </w:r>
    </w:p>
    <w:p w14:paraId="7E5248BF" w14:textId="5E24358E" w:rsidR="00C86A99" w:rsidRPr="00F82BD9" w:rsidRDefault="00C86A99" w:rsidP="00C86A99">
      <w:pPr>
        <w:pStyle w:val="NoSpacing"/>
      </w:pPr>
    </w:p>
    <w:tbl>
      <w:tblPr>
        <w:tblStyle w:val="Boxtable"/>
        <w:tblW w:w="5000" w:type="pct"/>
        <w:tblLook w:val="04A0" w:firstRow="1" w:lastRow="0" w:firstColumn="1" w:lastColumn="0" w:noHBand="0" w:noVBand="1"/>
      </w:tblPr>
      <w:tblGrid>
        <w:gridCol w:w="9638"/>
      </w:tblGrid>
      <w:tr w:rsidR="00C86A99" w14:paraId="4ACD128D" w14:textId="77777777">
        <w:trPr>
          <w:tblHeader/>
        </w:trPr>
        <w:tc>
          <w:tcPr>
            <w:tcW w:w="9638" w:type="dxa"/>
            <w:shd w:val="clear" w:color="auto" w:fill="EBEBEB"/>
            <w:tcMar>
              <w:top w:w="170" w:type="dxa"/>
              <w:left w:w="170" w:type="dxa"/>
              <w:bottom w:w="113" w:type="dxa"/>
              <w:right w:w="170" w:type="dxa"/>
            </w:tcMar>
            <w:hideMark/>
          </w:tcPr>
          <w:p w14:paraId="35BDBB74" w14:textId="5BEF0F86" w:rsidR="00C86A99" w:rsidRDefault="00C86A99">
            <w:pPr>
              <w:pStyle w:val="BoxHeading1"/>
            </w:pPr>
            <w:r>
              <w:t>Box</w:t>
            </w:r>
            <w:r w:rsidR="007D60A9">
              <w:t> </w:t>
            </w:r>
            <w:r w:rsidR="00605DEC">
              <w:t>6</w:t>
            </w:r>
            <w:r w:rsidR="00337CF7">
              <w:t xml:space="preserve"> </w:t>
            </w:r>
            <w:r>
              <w:t>– Participants raise</w:t>
            </w:r>
            <w:r w:rsidR="00337CF7">
              <w:t>d</w:t>
            </w:r>
            <w:r>
              <w:t xml:space="preserve"> concerns about the effects of an entitlement on women</w:t>
            </w:r>
          </w:p>
        </w:tc>
      </w:tr>
      <w:tr w:rsidR="00C86A99" w14:paraId="5901ED33" w14:textId="77777777">
        <w:tc>
          <w:tcPr>
            <w:tcW w:w="9638" w:type="dxa"/>
            <w:shd w:val="clear" w:color="auto" w:fill="EBEBEB"/>
            <w:tcMar>
              <w:top w:w="28" w:type="dxa"/>
              <w:left w:w="170" w:type="dxa"/>
              <w:bottom w:w="170" w:type="dxa"/>
              <w:right w:w="170" w:type="dxa"/>
            </w:tcMar>
          </w:tcPr>
          <w:p w14:paraId="384D9B04" w14:textId="77777777" w:rsidR="00C86A99" w:rsidRPr="006C0ED4" w:rsidRDefault="00C86A99" w:rsidP="004C20C9">
            <w:pPr>
              <w:pStyle w:val="BodyText"/>
              <w:rPr>
                <w:rFonts w:ascii="Arial (Body)" w:hAnsi="Arial (Body)"/>
                <w:color w:val="000000"/>
                <w:sz w:val="18"/>
              </w:rPr>
            </w:pPr>
            <w:r>
              <w:t xml:space="preserve">Anglicare Australia: </w:t>
            </w:r>
          </w:p>
          <w:p w14:paraId="1440C298" w14:textId="77777777" w:rsidR="00C86A99" w:rsidRPr="00442AFB" w:rsidRDefault="00C86A99" w:rsidP="004C20C9">
            <w:pPr>
              <w:pStyle w:val="Quote"/>
              <w:rPr>
                <w:spacing w:val="-4"/>
              </w:rPr>
            </w:pPr>
            <w:r w:rsidRPr="00442AFB">
              <w:rPr>
                <w:spacing w:val="-4"/>
              </w:rPr>
              <w:t>Encouraging more women to take unpaid leave to care for loved ones may have an unintended impact of widening the gender pay gap, as they miss opportunities for career advancement and salary increases available to male counterparts. Extended unpaid leave can also reduce women’s superannuation balances, leaving them at risk of poverty as they age. (sub. 6, p. 1)</w:t>
            </w:r>
          </w:p>
          <w:p w14:paraId="083DDFE1" w14:textId="77777777" w:rsidR="00C86A99" w:rsidRDefault="00C86A99" w:rsidP="004C20C9">
            <w:pPr>
              <w:pStyle w:val="BodyText"/>
            </w:pPr>
            <w:r>
              <w:t xml:space="preserve">Carers NSW said it was concerned that: </w:t>
            </w:r>
          </w:p>
          <w:p w14:paraId="48C27867" w14:textId="50DC31C1" w:rsidR="00C86A99" w:rsidRPr="00442AFB" w:rsidRDefault="00C86A99" w:rsidP="004C20C9">
            <w:pPr>
              <w:pStyle w:val="Quote"/>
              <w:rPr>
                <w:spacing w:val="-4"/>
              </w:rPr>
            </w:pPr>
            <w:r w:rsidRPr="00442AFB">
              <w:rPr>
                <w:spacing w:val="-4"/>
              </w:rPr>
              <w:t>…</w:t>
            </w:r>
            <w:r w:rsidR="00762BAE" w:rsidRPr="00442AFB">
              <w:rPr>
                <w:spacing w:val="-4"/>
              </w:rPr>
              <w:t xml:space="preserve"> </w:t>
            </w:r>
            <w:r w:rsidRPr="00442AFB">
              <w:rPr>
                <w:spacing w:val="-4"/>
              </w:rPr>
              <w:t>women may be disproportionately represented in those taking carer leave due to entrenched gender ideologies and power structures within romantic and familial relationships, and in so doing further disadvantage women in other, less apparent ways such as hindering career advancement and promotion and further limiting the accumulation of superannuation</w:t>
            </w:r>
            <w:r w:rsidR="00762BAE" w:rsidRPr="00442AFB">
              <w:rPr>
                <w:spacing w:val="-4"/>
              </w:rPr>
              <w:t>.</w:t>
            </w:r>
            <w:r w:rsidRPr="00442AFB">
              <w:rPr>
                <w:spacing w:val="-4"/>
              </w:rPr>
              <w:t xml:space="preserve"> (sub.</w:t>
            </w:r>
            <w:r w:rsidR="007D60A9" w:rsidRPr="00442AFB">
              <w:rPr>
                <w:spacing w:val="-4"/>
              </w:rPr>
              <w:t> </w:t>
            </w:r>
            <w:r w:rsidRPr="00442AFB">
              <w:rPr>
                <w:spacing w:val="-4"/>
              </w:rPr>
              <w:t>20, p.</w:t>
            </w:r>
            <w:r w:rsidR="007D60A9" w:rsidRPr="00442AFB">
              <w:rPr>
                <w:spacing w:val="-4"/>
              </w:rPr>
              <w:t> </w:t>
            </w:r>
            <w:r w:rsidRPr="00442AFB">
              <w:rPr>
                <w:spacing w:val="-4"/>
              </w:rPr>
              <w:t>8)</w:t>
            </w:r>
          </w:p>
          <w:p w14:paraId="6791F410" w14:textId="4F8C07D0" w:rsidR="00C86A99" w:rsidRDefault="00C86A99" w:rsidP="004C20C9">
            <w:pPr>
              <w:pStyle w:val="BodyText"/>
            </w:pPr>
            <w:r>
              <w:t xml:space="preserve">Australian Nursing and Midwifery Federation: </w:t>
            </w:r>
          </w:p>
          <w:p w14:paraId="3D09D03C" w14:textId="77777777" w:rsidR="00C86A99" w:rsidRDefault="00C86A99" w:rsidP="004C20C9">
            <w:pPr>
              <w:pStyle w:val="Quote"/>
            </w:pPr>
            <w:r>
              <w:t xml:space="preserve">Women will be overrepresented when it comes to accessing this type of leave and providing unpaid care. </w:t>
            </w:r>
            <w:proofErr w:type="gramStart"/>
            <w:r>
              <w:t>As a consequence</w:t>
            </w:r>
            <w:proofErr w:type="gramEnd"/>
            <w:r>
              <w:t>, women will experience a reduction in future income, retirement income, workforce participation and opportunities for career progression. These outcomes are counterproductive to the objective of gender equality. (sub. 39, p. 4)</w:t>
            </w:r>
          </w:p>
          <w:p w14:paraId="42960555" w14:textId="00EB0FFB" w:rsidR="00552EEF" w:rsidRDefault="00552EEF" w:rsidP="004C20C9">
            <w:pPr>
              <w:pStyle w:val="BodyText"/>
            </w:pPr>
            <w:r>
              <w:t>Australian Services Union, Victorian and Tasmanian Branch</w:t>
            </w:r>
            <w:r w:rsidR="006E2C55">
              <w:t>:</w:t>
            </w:r>
          </w:p>
          <w:p w14:paraId="20ED9858" w14:textId="11E7D1FB" w:rsidR="00697471" w:rsidRDefault="00552EEF" w:rsidP="004C20C9">
            <w:pPr>
              <w:pStyle w:val="Quote"/>
            </w:pPr>
            <w:r w:rsidRPr="00552EEF">
              <w:rPr>
                <w:rStyle w:val="QuoteChar"/>
              </w:rPr>
              <w:t>Given caring responsibilities in Australia fall largely on the shoulders of women, creating greater expectations on unpaid carers will see more women taking time out of the paid workforce to care for their parents or family members, increase gender inequality, and exacerbate the pay equity and retirement savings gaps. Extending unpaid carers leave would be counterproductive to the broader policy goal of gender equality</w:t>
            </w:r>
            <w:r>
              <w:t>. (sub. 30, pp. 6</w:t>
            </w:r>
            <w:r w:rsidR="007D60A9">
              <w:t>–</w:t>
            </w:r>
            <w:r>
              <w:t>7)</w:t>
            </w:r>
          </w:p>
          <w:p w14:paraId="0F307145" w14:textId="002A95C6" w:rsidR="003B041F" w:rsidRDefault="003B041F" w:rsidP="004C20C9">
            <w:pPr>
              <w:pStyle w:val="BodyText"/>
            </w:pPr>
            <w:r>
              <w:t>Ai Group</w:t>
            </w:r>
            <w:r w:rsidR="006E2C55">
              <w:t>:</w:t>
            </w:r>
          </w:p>
          <w:p w14:paraId="513AD4C8" w14:textId="18862398" w:rsidR="003B041F" w:rsidRPr="00697471" w:rsidRDefault="003B041F" w:rsidP="004C20C9">
            <w:pPr>
              <w:pStyle w:val="Quote"/>
            </w:pPr>
            <w:r>
              <w:t xml:space="preserve">It has been well established that time out of the workforce to attend to unpaid caring responsibilities is one of the key reasons contributing to the gender pay gap. … a legislative entitlement to take extended leave may provide a signal that women should take the leave entitlement to attend to unpaid family responsibilities, notwithstanding that the </w:t>
            </w:r>
            <w:r w:rsidR="00E128CB">
              <w:t>[Fair Work]</w:t>
            </w:r>
            <w:r>
              <w:t xml:space="preserve"> Act’s flexible work arrangements and the role of Home Care Packages to enable carers to continue working without withdrawing from paid employment. The gendered impact of an </w:t>
            </w:r>
            <w:r>
              <w:lastRenderedPageBreak/>
              <w:t>extended entitlement should be further reason to reconsider this as the appropriate means to support employed carers. (sub. 34, pp.</w:t>
            </w:r>
            <w:r w:rsidR="007D60A9">
              <w:t> </w:t>
            </w:r>
            <w:r>
              <w:t>14</w:t>
            </w:r>
            <w:r w:rsidR="007D60A9">
              <w:t>–</w:t>
            </w:r>
            <w:r>
              <w:t>15)</w:t>
            </w:r>
          </w:p>
        </w:tc>
      </w:tr>
      <w:tr w:rsidR="00C86A99" w14:paraId="1CBA0E76" w14:textId="77777777">
        <w:trPr>
          <w:hidden/>
        </w:trPr>
        <w:tc>
          <w:tcPr>
            <w:tcW w:w="9638" w:type="dxa"/>
            <w:shd w:val="clear" w:color="auto" w:fill="auto"/>
            <w:tcMar>
              <w:top w:w="0" w:type="dxa"/>
              <w:left w:w="170" w:type="dxa"/>
              <w:bottom w:w="0" w:type="dxa"/>
              <w:right w:w="170" w:type="dxa"/>
            </w:tcMar>
          </w:tcPr>
          <w:p w14:paraId="39F590A0" w14:textId="2E2780EC" w:rsidR="00C86A99" w:rsidRPr="00465191" w:rsidRDefault="00C86A99">
            <w:pPr>
              <w:pStyle w:val="BodyText"/>
              <w:spacing w:before="0" w:after="0" w:line="80" w:lineRule="atLeast"/>
              <w:rPr>
                <w:smallCaps/>
                <w:vanish/>
              </w:rPr>
            </w:pPr>
          </w:p>
        </w:tc>
      </w:tr>
    </w:tbl>
    <w:p w14:paraId="51B8618A" w14:textId="77777777" w:rsidR="002247AC" w:rsidRDefault="00C86A99" w:rsidP="00C86A99">
      <w:pPr>
        <w:pStyle w:val="BodyText"/>
      </w:pPr>
      <w:r>
        <w:t xml:space="preserve">Given most primary carers of older people are women, the additional informal care induced by the entitlement to extended unpaid leave will largely fall on women, and as such, it will be women who will largely bear the costs of any foregone income. </w:t>
      </w:r>
      <w:r w:rsidR="003F1A4A">
        <w:t>And</w:t>
      </w:r>
      <w:r w:rsidR="00597E9D">
        <w:t xml:space="preserve"> c</w:t>
      </w:r>
      <w:r w:rsidR="001E2AAE">
        <w:t xml:space="preserve">aring </w:t>
      </w:r>
      <w:r w:rsidR="00006859">
        <w:t xml:space="preserve">already </w:t>
      </w:r>
      <w:r w:rsidR="0082310D">
        <w:t xml:space="preserve">affects </w:t>
      </w:r>
      <w:r w:rsidR="00006859">
        <w:t xml:space="preserve">women’s </w:t>
      </w:r>
      <w:r w:rsidR="006C5D01">
        <w:t>lifetime earnings and retirement savings</w:t>
      </w:r>
      <w:r w:rsidR="00EB1298">
        <w:t>. C</w:t>
      </w:r>
      <w:r>
        <w:t xml:space="preserve">aring </w:t>
      </w:r>
      <w:r w:rsidR="00EB1298">
        <w:t xml:space="preserve">can </w:t>
      </w:r>
      <w:r>
        <w:t>cut into their most productive working years and the financial and career impacts of caring can persist after they finish caring</w:t>
      </w:r>
      <w:r w:rsidR="00BB7777">
        <w:t xml:space="preserve"> (box 7)</w:t>
      </w:r>
      <w:r>
        <w:t>.</w:t>
      </w:r>
    </w:p>
    <w:p w14:paraId="57E06E30" w14:textId="08B0A6F6" w:rsidR="00C86A99" w:rsidRPr="00F82BD9" w:rsidRDefault="00C86A99" w:rsidP="00C86A99">
      <w:pPr>
        <w:pStyle w:val="NoSpacing"/>
        <w:keepNext/>
      </w:pPr>
    </w:p>
    <w:tbl>
      <w:tblPr>
        <w:tblStyle w:val="Boxtable"/>
        <w:tblW w:w="5000" w:type="pct"/>
        <w:tblLook w:val="04A0" w:firstRow="1" w:lastRow="0" w:firstColumn="1" w:lastColumn="0" w:noHBand="0" w:noVBand="1"/>
      </w:tblPr>
      <w:tblGrid>
        <w:gridCol w:w="9638"/>
      </w:tblGrid>
      <w:tr w:rsidR="00C86A99" w14:paraId="2CD29973" w14:textId="77777777">
        <w:trPr>
          <w:tblHeader/>
        </w:trPr>
        <w:tc>
          <w:tcPr>
            <w:tcW w:w="9638" w:type="dxa"/>
            <w:tcMar>
              <w:top w:w="170" w:type="dxa"/>
              <w:left w:w="170" w:type="dxa"/>
              <w:bottom w:w="113" w:type="dxa"/>
              <w:right w:w="170" w:type="dxa"/>
            </w:tcMar>
            <w:hideMark/>
          </w:tcPr>
          <w:p w14:paraId="57EFFD3B" w14:textId="37679A88" w:rsidR="00C86A99" w:rsidRDefault="00C86A99">
            <w:pPr>
              <w:pStyle w:val="BoxHeading1"/>
            </w:pPr>
            <w:r>
              <w:t>Box</w:t>
            </w:r>
            <w:r w:rsidR="007D60A9">
              <w:t> </w:t>
            </w:r>
            <w:r w:rsidR="00425E87">
              <w:t xml:space="preserve">7 </w:t>
            </w:r>
            <w:r w:rsidDel="004D7097">
              <w:fldChar w:fldCharType="begin"/>
            </w:r>
            <w:r w:rsidDel="004D7097">
              <w:fldChar w:fldCharType="separate"/>
            </w:r>
            <w:r>
              <w:rPr>
                <w:noProof/>
              </w:rPr>
              <w:t>2</w:t>
            </w:r>
            <w:r w:rsidDel="004D7097">
              <w:rPr>
                <w:noProof/>
              </w:rPr>
              <w:fldChar w:fldCharType="end"/>
            </w:r>
            <w:r>
              <w:t>– For women, caring cuts into their most productive years</w:t>
            </w:r>
          </w:p>
        </w:tc>
      </w:tr>
      <w:tr w:rsidR="00C86A99" w14:paraId="7D9D6F9F" w14:textId="77777777">
        <w:tc>
          <w:tcPr>
            <w:tcW w:w="9638" w:type="dxa"/>
            <w:tcMar>
              <w:top w:w="28" w:type="dxa"/>
              <w:left w:w="170" w:type="dxa"/>
              <w:bottom w:w="170" w:type="dxa"/>
              <w:right w:w="170" w:type="dxa"/>
            </w:tcMar>
            <w:hideMark/>
          </w:tcPr>
          <w:p w14:paraId="2655A287" w14:textId="714CA914" w:rsidR="00C86A99" w:rsidRDefault="00C86A99">
            <w:pPr>
              <w:pStyle w:val="BodyText"/>
              <w:keepNext/>
              <w:rPr>
                <w:rStyle w:val="DraftingNoteChar"/>
                <w:color w:val="auto"/>
                <w:sz w:val="20"/>
                <w:u w:val="none"/>
              </w:rPr>
            </w:pPr>
            <w:r>
              <w:t xml:space="preserve">Earning capacity follows a fairly set path over time. </w:t>
            </w:r>
            <w:r>
              <w:rPr>
                <w:rStyle w:val="ListBulletChar"/>
              </w:rPr>
              <w:t xml:space="preserve">Wages start low when people are young and rise steadily with the accumulation of human capital and greater personal productivity (usually peaking somewhere in a person’s 50s) before tracking downwards towards retirement </w:t>
            </w:r>
            <w:r w:rsidRPr="001D4A03">
              <w:rPr>
                <w:rFonts w:ascii="Arial" w:hAnsi="Arial" w:cs="Arial"/>
                <w:szCs w:val="24"/>
              </w:rPr>
              <w:t>(Borjas 2016, p. 65)</w:t>
            </w:r>
            <w:r>
              <w:rPr>
                <w:rStyle w:val="ListBulletChar"/>
              </w:rPr>
              <w:t xml:space="preserve">. Based on HILDA and SDAC data, </w:t>
            </w:r>
            <w:r w:rsidRPr="00B36083">
              <w:rPr>
                <w:rStyle w:val="DraftingNoteChar"/>
                <w:color w:val="000000" w:themeColor="text1"/>
                <w:sz w:val="20"/>
              </w:rPr>
              <w:t xml:space="preserve">the </w:t>
            </w:r>
            <w:r>
              <w:rPr>
                <w:rStyle w:val="DraftingNoteChar"/>
                <w:color w:val="auto"/>
                <w:sz w:val="20"/>
                <w:u w:val="none"/>
              </w:rPr>
              <w:t xml:space="preserve">Commission estimates (allowing for gender, educational attainment, cohort effects over time) peak earnings </w:t>
            </w:r>
            <w:r w:rsidRPr="00B36083">
              <w:rPr>
                <w:rStyle w:val="DraftingNoteChar"/>
                <w:color w:val="000000" w:themeColor="text1"/>
                <w:sz w:val="20"/>
                <w:u w:val="none"/>
              </w:rPr>
              <w:t>t</w:t>
            </w:r>
            <w:r w:rsidRPr="00B36083">
              <w:rPr>
                <w:rStyle w:val="DraftingNoteChar"/>
                <w:color w:val="000000" w:themeColor="text1"/>
                <w:sz w:val="20"/>
              </w:rPr>
              <w:t xml:space="preserve">o be </w:t>
            </w:r>
            <w:r>
              <w:rPr>
                <w:rStyle w:val="DraftingNoteChar"/>
                <w:color w:val="auto"/>
                <w:sz w:val="20"/>
                <w:u w:val="none"/>
              </w:rPr>
              <w:t xml:space="preserve">at about 47 years of </w:t>
            </w:r>
            <w:r w:rsidRPr="00EB253B">
              <w:rPr>
                <w:rStyle w:val="DraftingNoteChar"/>
                <w:color w:val="auto"/>
                <w:sz w:val="20"/>
                <w:u w:val="none"/>
              </w:rPr>
              <w:t>a</w:t>
            </w:r>
            <w:r w:rsidRPr="00EB253B">
              <w:rPr>
                <w:rStyle w:val="DraftingNoteChar"/>
                <w:color w:val="auto"/>
                <w:sz w:val="20"/>
              </w:rPr>
              <w:t>ge</w:t>
            </w:r>
            <w:r>
              <w:rPr>
                <w:rStyle w:val="DraftingNoteChar"/>
                <w:color w:val="auto"/>
                <w:sz w:val="20"/>
                <w:u w:val="none"/>
              </w:rPr>
              <w:t xml:space="preserve">. </w:t>
            </w:r>
          </w:p>
          <w:p w14:paraId="3E48CF0A" w14:textId="4D81EEE5" w:rsidR="00C86A99" w:rsidRDefault="00C86A99">
            <w:pPr>
              <w:pStyle w:val="BodyText"/>
              <w:keepNext/>
              <w:rPr>
                <w:rStyle w:val="DraftingNoteChar"/>
                <w:color w:val="auto"/>
                <w:sz w:val="20"/>
                <w:u w:val="none"/>
              </w:rPr>
            </w:pPr>
            <w:r>
              <w:rPr>
                <w:rStyle w:val="DraftingNoteChar"/>
                <w:color w:val="auto"/>
                <w:sz w:val="20"/>
                <w:u w:val="none"/>
              </w:rPr>
              <w:t>The earning period lost to care coincides with the most valuable earning opportunities in the lifecycle. Peak caring plateaus</w:t>
            </w:r>
            <w:r w:rsidR="00E64D41">
              <w:rPr>
                <w:rStyle w:val="DraftingNoteChar"/>
                <w:color w:val="auto"/>
                <w:sz w:val="20"/>
                <w:u w:val="none"/>
              </w:rPr>
              <w:t xml:space="preserve"> </w:t>
            </w:r>
            <w:r w:rsidR="00E64D41" w:rsidRPr="00336444">
              <w:rPr>
                <w:rStyle w:val="DraftingNoteChar"/>
                <w:color w:val="auto"/>
                <w:sz w:val="20"/>
                <w:u w:val="none"/>
              </w:rPr>
              <w:t xml:space="preserve">around </w:t>
            </w:r>
            <w:r>
              <w:rPr>
                <w:rStyle w:val="DraftingNoteChar"/>
                <w:color w:val="auto"/>
                <w:sz w:val="20"/>
                <w:u w:val="none"/>
              </w:rPr>
              <w:t>45</w:t>
            </w:r>
            <w:r w:rsidR="00762BAE">
              <w:rPr>
                <w:rStyle w:val="DraftingNoteChar"/>
                <w:color w:val="auto"/>
                <w:sz w:val="20"/>
                <w:u w:val="none"/>
              </w:rPr>
              <w:noBreakHyphen/>
            </w:r>
            <w:r>
              <w:rPr>
                <w:rStyle w:val="DraftingNoteChar"/>
                <w:color w:val="auto"/>
                <w:sz w:val="20"/>
                <w:u w:val="none"/>
              </w:rPr>
              <w:t>49 years of age roughly coinciding when a woman’s earnings potential is likely to be at its maximum.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4649"/>
              <w:gridCol w:w="4649"/>
            </w:tblGrid>
            <w:tr w:rsidR="00C86A99" w:rsidRPr="005550A0" w14:paraId="242600FF" w14:textId="77777777">
              <w:trPr>
                <w:tblHeader/>
              </w:trPr>
              <w:tc>
                <w:tcPr>
                  <w:tcW w:w="2500" w:type="pct"/>
                  <w:shd w:val="clear" w:color="auto" w:fill="auto"/>
                </w:tcPr>
                <w:p w14:paraId="0A3B7CBE" w14:textId="77777777" w:rsidR="00C86A99" w:rsidRPr="001B57D4" w:rsidRDefault="00C86A99" w:rsidP="001B57D4">
                  <w:pPr>
                    <w:pStyle w:val="TableBody"/>
                    <w:keepNext/>
                    <w:rPr>
                      <w:b/>
                      <w:bCs/>
                    </w:rPr>
                  </w:pPr>
                  <w:r w:rsidRPr="001B57D4">
                    <w:rPr>
                      <w:b/>
                      <w:bCs/>
                    </w:rPr>
                    <w:t>Lifecycle earnings per hour</w:t>
                  </w:r>
                </w:p>
                <w:p w14:paraId="272D2ACA" w14:textId="67F51607" w:rsidR="00C86A99" w:rsidRPr="005550A0" w:rsidRDefault="00217027">
                  <w:pPr>
                    <w:pStyle w:val="TableBody"/>
                    <w:keepNext/>
                  </w:pPr>
                  <w:r w:rsidRPr="00217027">
                    <w:rPr>
                      <w:noProof/>
                    </w:rPr>
                    <w:drawing>
                      <wp:inline distT="0" distB="0" distL="0" distR="0" wp14:anchorId="29723BE4" wp14:editId="1983B034">
                        <wp:extent cx="2993390" cy="1741805"/>
                        <wp:effectExtent l="0" t="0" r="0" b="0"/>
                        <wp:docPr id="1" name="Picture 1" descr="A line chart showing the earnings per hour of men and women over their respective ages (20 to 65 years), with peak earnings around in the early 4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ine chart showing the earnings per hour of men and women over their respective ages (20 to 65 years), with peak earnings around in the early 40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93390" cy="1741805"/>
                                </a:xfrm>
                                <a:prstGeom prst="rect">
                                  <a:avLst/>
                                </a:prstGeom>
                                <a:noFill/>
                                <a:ln>
                                  <a:noFill/>
                                </a:ln>
                              </pic:spPr>
                            </pic:pic>
                          </a:graphicData>
                        </a:graphic>
                      </wp:inline>
                    </w:drawing>
                  </w:r>
                </w:p>
              </w:tc>
              <w:tc>
                <w:tcPr>
                  <w:tcW w:w="2500" w:type="pct"/>
                  <w:shd w:val="clear" w:color="auto" w:fill="auto"/>
                </w:tcPr>
                <w:p w14:paraId="0ACF4FD8" w14:textId="77777777" w:rsidR="00C86A99" w:rsidRPr="001B57D4" w:rsidRDefault="00C86A99" w:rsidP="001B57D4">
                  <w:pPr>
                    <w:pStyle w:val="TableBody"/>
                    <w:keepNext/>
                    <w:rPr>
                      <w:b/>
                      <w:bCs/>
                    </w:rPr>
                  </w:pPr>
                  <w:r w:rsidRPr="001B57D4">
                    <w:rPr>
                      <w:b/>
                      <w:bCs/>
                    </w:rPr>
                    <w:t>Primary carers by age</w:t>
                  </w:r>
                </w:p>
                <w:p w14:paraId="4E36B762" w14:textId="19C51B53" w:rsidR="00C86A99" w:rsidRPr="005550A0" w:rsidRDefault="001B57D4">
                  <w:pPr>
                    <w:pStyle w:val="TableBody"/>
                    <w:keepNext/>
                  </w:pPr>
                  <w:r w:rsidRPr="001B57D4">
                    <w:rPr>
                      <w:noProof/>
                    </w:rPr>
                    <w:drawing>
                      <wp:inline distT="0" distB="0" distL="0" distR="0" wp14:anchorId="360032CE" wp14:editId="6C49EAE0">
                        <wp:extent cx="2993390" cy="1741805"/>
                        <wp:effectExtent l="0" t="0" r="0" b="0"/>
                        <wp:docPr id="2" name="Picture 2" descr="A bar chart showing the proportion of males and females providing care over their respective age ranges (15 to 84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ar chart showing the proportion of males and females providing care over their respective age ranges (15 to 84 year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3390" cy="1741805"/>
                                </a:xfrm>
                                <a:prstGeom prst="rect">
                                  <a:avLst/>
                                </a:prstGeom>
                                <a:noFill/>
                                <a:ln>
                                  <a:noFill/>
                                </a:ln>
                              </pic:spPr>
                            </pic:pic>
                          </a:graphicData>
                        </a:graphic>
                      </wp:inline>
                    </w:drawing>
                  </w:r>
                </w:p>
              </w:tc>
            </w:tr>
          </w:tbl>
          <w:p w14:paraId="6100FAAB" w14:textId="577188E0" w:rsidR="00C86A99" w:rsidRDefault="00C86A99">
            <w:pPr>
              <w:pStyle w:val="Source"/>
              <w:keepNext/>
            </w:pPr>
            <w:r>
              <w:t>Sources: Commission estimates based on HILDA (release 20, waves 15</w:t>
            </w:r>
            <w:r w:rsidR="00762BAE">
              <w:noBreakHyphen/>
            </w:r>
            <w:r>
              <w:t xml:space="preserve">20) and Survey of </w:t>
            </w:r>
            <w:r w:rsidRPr="00A16F48">
              <w:t xml:space="preserve">Disability, Ageing and Carers, 2018, </w:t>
            </w:r>
            <w:proofErr w:type="spellStart"/>
            <w:r w:rsidRPr="00A16F48">
              <w:t>TableBuilder</w:t>
            </w:r>
            <w:proofErr w:type="spellEnd"/>
            <w:r w:rsidRPr="00696447">
              <w:t>.</w:t>
            </w:r>
          </w:p>
        </w:tc>
      </w:tr>
      <w:tr w:rsidR="00C86A99" w14:paraId="1CE0B321" w14:textId="77777777">
        <w:trPr>
          <w:hidden/>
        </w:trPr>
        <w:tc>
          <w:tcPr>
            <w:tcW w:w="9638" w:type="dxa"/>
            <w:shd w:val="clear" w:color="auto" w:fill="auto"/>
            <w:tcMar>
              <w:top w:w="0" w:type="dxa"/>
              <w:left w:w="170" w:type="dxa"/>
              <w:bottom w:w="0" w:type="dxa"/>
              <w:right w:w="170" w:type="dxa"/>
            </w:tcMar>
          </w:tcPr>
          <w:p w14:paraId="1BD0307C" w14:textId="7C01D240" w:rsidR="00C86A99" w:rsidRPr="00465191" w:rsidRDefault="00C86A99">
            <w:pPr>
              <w:pStyle w:val="BodyText"/>
              <w:spacing w:before="0" w:after="0" w:line="80" w:lineRule="atLeast"/>
              <w:rPr>
                <w:smallCaps/>
                <w:vanish/>
              </w:rPr>
            </w:pPr>
          </w:p>
        </w:tc>
      </w:tr>
    </w:tbl>
    <w:p w14:paraId="6A5AE9F8" w14:textId="77777777" w:rsidR="00B52C3D" w:rsidRDefault="00B52C3D" w:rsidP="00B52C3D">
      <w:pPr>
        <w:pStyle w:val="BodyText"/>
        <w:keepNext/>
        <w:keepLines/>
      </w:pPr>
      <w:r>
        <w:t xml:space="preserve">The </w:t>
      </w:r>
      <w:r w:rsidRPr="00895B11">
        <w:t>Women, Work and Policy Research Group</w:t>
      </w:r>
      <w:r>
        <w:t xml:space="preserve"> said:</w:t>
      </w:r>
    </w:p>
    <w:p w14:paraId="3CCECC73" w14:textId="48D96A3E" w:rsidR="00B52C3D" w:rsidRDefault="00B52C3D" w:rsidP="00B52C3D">
      <w:pPr>
        <w:pStyle w:val="Quote"/>
        <w:keepNext/>
        <w:keepLines/>
      </w:pPr>
      <w:r>
        <w:t>Carers are already much more likely than non</w:t>
      </w:r>
      <w:r w:rsidR="00762BAE">
        <w:noBreakHyphen/>
      </w:r>
      <w:r>
        <w:t>carers to experience financial hardship and to have low retirement savings, and unpaid leave is likely to exacerbate these unequal financial outcomes. As women are more likely than men to have care responsibilities, it is women who are likely to be affected the most by the reduction in income and retirement income associated with taking extended unpaid leave. (sub.</w:t>
      </w:r>
      <w:r w:rsidR="007D60A9">
        <w:t> </w:t>
      </w:r>
      <w:r>
        <w:t>28, p.</w:t>
      </w:r>
      <w:r w:rsidR="007D60A9">
        <w:t> </w:t>
      </w:r>
      <w:r>
        <w:t>6)</w:t>
      </w:r>
    </w:p>
    <w:p w14:paraId="64862D32" w14:textId="77777777" w:rsidR="00B52C3D" w:rsidRDefault="00B52C3D" w:rsidP="00B52C3D">
      <w:pPr>
        <w:pStyle w:val="BodyText"/>
      </w:pPr>
      <w:r>
        <w:t xml:space="preserve">There is a risk that increased access to unpaid carers leave could reinforce these effects. </w:t>
      </w:r>
    </w:p>
    <w:p w14:paraId="0A80B3B4" w14:textId="406CD48B" w:rsidR="00B52C3D" w:rsidRDefault="00B52C3D" w:rsidP="00B52C3D">
      <w:pPr>
        <w:pStyle w:val="BodyText"/>
      </w:pPr>
      <w:r>
        <w:lastRenderedPageBreak/>
        <w:t>That said, with the entitlement designed to help carers better manage their work and caring responsibilities, it is also likely to disproportionately benefit women (because they are more likely to take on caring responsibilities). As discussed earlier, entitlement users could benefit from less stress with more time to care (and this could have flow</w:t>
      </w:r>
      <w:r w:rsidR="00762BAE">
        <w:noBreakHyphen/>
      </w:r>
      <w:r>
        <w:t>on effects for their health and wellbeing and those they are caring for). They could also experience greater satisfaction from being able to provide better quality care and to spend time with their loved ones. And employees who would otherwise have quit their job to care will have the benefit of an easier route back into the workforce (and a reduced likelihood of being forced to drop out of the workforce).</w:t>
      </w:r>
      <w:r w:rsidR="00762BAE">
        <w:t xml:space="preserve"> </w:t>
      </w:r>
    </w:p>
    <w:p w14:paraId="493F5A11" w14:textId="6FA5BBF7" w:rsidR="00D13152" w:rsidRDefault="00EE14FE" w:rsidP="00451320">
      <w:pPr>
        <w:pStyle w:val="BodyText"/>
      </w:pPr>
      <w:r>
        <w:t xml:space="preserve">However, for carers who </w:t>
      </w:r>
      <w:r w:rsidR="008B62B7">
        <w:t xml:space="preserve">would be induced to change their behaviour </w:t>
      </w:r>
      <w:proofErr w:type="gramStart"/>
      <w:r w:rsidR="00202755">
        <w:t>as a result of</w:t>
      </w:r>
      <w:proofErr w:type="gramEnd"/>
      <w:r w:rsidR="00202755">
        <w:t xml:space="preserve"> the entitlement</w:t>
      </w:r>
      <w:r w:rsidR="003049F8">
        <w:t xml:space="preserve"> (employees who otherwise would have continued working)</w:t>
      </w:r>
      <w:r w:rsidR="002F254E">
        <w:t xml:space="preserve">, the benefits are less clear. And </w:t>
      </w:r>
      <w:r w:rsidR="00C54042">
        <w:t>as discussed in the position paper (</w:t>
      </w:r>
      <w:r w:rsidR="00501B75">
        <w:t>box</w:t>
      </w:r>
      <w:r w:rsidR="007D60A9">
        <w:t> </w:t>
      </w:r>
      <w:r w:rsidR="00501B75">
        <w:t>4)</w:t>
      </w:r>
      <w:r w:rsidR="00C54042">
        <w:t>, d</w:t>
      </w:r>
      <w:r w:rsidR="00C86A99">
        <w:t xml:space="preserve">ecisions to care </w:t>
      </w:r>
      <w:r w:rsidR="00396B06">
        <w:t xml:space="preserve">can </w:t>
      </w:r>
      <w:r w:rsidR="00C86A99">
        <w:t>be because of societal or familial expectations</w:t>
      </w:r>
      <w:r w:rsidR="009E1F17">
        <w:t xml:space="preserve">, </w:t>
      </w:r>
      <w:r w:rsidR="00F747B4">
        <w:t xml:space="preserve">which means that </w:t>
      </w:r>
      <w:r w:rsidR="00C86A99">
        <w:t xml:space="preserve">a person </w:t>
      </w:r>
      <w:r w:rsidR="00F747B4">
        <w:t xml:space="preserve">has their </w:t>
      </w:r>
      <w:r w:rsidR="00C86A99">
        <w:t xml:space="preserve">options constrained and they take on a caring role they would otherwise not have undertaken </w:t>
      </w:r>
      <w:r w:rsidR="00C86A99" w:rsidRPr="00474F46">
        <w:rPr>
          <w:rFonts w:ascii="Arial" w:hAnsi="Arial" w:cs="Arial"/>
          <w:szCs w:val="24"/>
        </w:rPr>
        <w:t>(Al</w:t>
      </w:r>
      <w:r w:rsidR="00762BAE">
        <w:rPr>
          <w:rFonts w:ascii="Arial" w:hAnsi="Arial" w:cs="Arial"/>
          <w:szCs w:val="24"/>
        </w:rPr>
        <w:noBreakHyphen/>
      </w:r>
      <w:proofErr w:type="spellStart"/>
      <w:r w:rsidR="00C86A99" w:rsidRPr="00474F46">
        <w:rPr>
          <w:rFonts w:ascii="Arial" w:hAnsi="Arial" w:cs="Arial"/>
          <w:szCs w:val="24"/>
        </w:rPr>
        <w:t>Janabi</w:t>
      </w:r>
      <w:proofErr w:type="spellEnd"/>
      <w:r w:rsidR="00C86A99" w:rsidRPr="00474F46">
        <w:rPr>
          <w:rFonts w:ascii="Arial" w:hAnsi="Arial" w:cs="Arial"/>
          <w:szCs w:val="24"/>
        </w:rPr>
        <w:t xml:space="preserve">, Carmichael and </w:t>
      </w:r>
      <w:proofErr w:type="spellStart"/>
      <w:r w:rsidR="00C86A99" w:rsidRPr="00474F46">
        <w:rPr>
          <w:rFonts w:ascii="Arial" w:hAnsi="Arial" w:cs="Arial"/>
          <w:szCs w:val="24"/>
        </w:rPr>
        <w:t>Oyebode</w:t>
      </w:r>
      <w:proofErr w:type="spellEnd"/>
      <w:r w:rsidR="00C86A99" w:rsidRPr="00474F46">
        <w:rPr>
          <w:rFonts w:ascii="Arial" w:hAnsi="Arial" w:cs="Arial"/>
          <w:szCs w:val="24"/>
        </w:rPr>
        <w:t> 2018)</w:t>
      </w:r>
      <w:r w:rsidR="00C86A99">
        <w:t xml:space="preserve">. </w:t>
      </w:r>
    </w:p>
    <w:p w14:paraId="359F3962" w14:textId="63FE0002" w:rsidR="00EA133F" w:rsidRDefault="006565A0" w:rsidP="00EA133F">
      <w:pPr>
        <w:pStyle w:val="BodyText"/>
        <w:tabs>
          <w:tab w:val="left" w:pos="6980"/>
        </w:tabs>
      </w:pPr>
      <w:r>
        <w:t>According to</w:t>
      </w:r>
      <w:r w:rsidR="00451320">
        <w:t xml:space="preserve"> </w:t>
      </w:r>
      <w:r w:rsidR="000B09BC">
        <w:t>Carers Australia’s Carer Wellbeing Survey</w:t>
      </w:r>
      <w:r w:rsidR="00451320">
        <w:t>,</w:t>
      </w:r>
      <w:r w:rsidR="000B09BC">
        <w:rPr>
          <w:rStyle w:val="FootnoteReference"/>
        </w:rPr>
        <w:footnoteReference w:id="25"/>
      </w:r>
      <w:r w:rsidR="000B09BC">
        <w:t xml:space="preserve"> only 12.5 per cent of surveyed female carers said that they actively chose to take on a caring role and could have chosen not to be a </w:t>
      </w:r>
      <w:proofErr w:type="spellStart"/>
      <w:r w:rsidR="000B09BC">
        <w:t>carer</w:t>
      </w:r>
      <w:proofErr w:type="spellEnd"/>
      <w:r w:rsidR="000B09BC">
        <w:t xml:space="preserve">. For </w:t>
      </w:r>
      <w:r w:rsidR="00F907B3">
        <w:t xml:space="preserve">surveyed male carers </w:t>
      </w:r>
      <w:r w:rsidR="000B09BC">
        <w:t xml:space="preserve">it was 23.3 per cent </w:t>
      </w:r>
      <w:r w:rsidR="000B09BC" w:rsidRPr="006C15E4">
        <w:rPr>
          <w:rFonts w:ascii="Arial" w:hAnsi="Arial" w:cs="Arial"/>
          <w:szCs w:val="24"/>
        </w:rPr>
        <w:t>(Schirmer, Mylek and Miranti 2022, p. 31)</w:t>
      </w:r>
      <w:r w:rsidR="000B09BC">
        <w:t xml:space="preserve">. </w:t>
      </w:r>
      <w:r w:rsidR="00EA133F">
        <w:t xml:space="preserve">Having a choice </w:t>
      </w:r>
      <w:proofErr w:type="gramStart"/>
      <w:r w:rsidR="00EA133F">
        <w:t>was also was</w:t>
      </w:r>
      <w:proofErr w:type="gramEnd"/>
      <w:r w:rsidR="00EA133F">
        <w:t xml:space="preserve"> associated with better wellbeing </w:t>
      </w:r>
      <w:r w:rsidR="0082365A">
        <w:t xml:space="preserve">— </w:t>
      </w:r>
      <w:r w:rsidR="00EA133F">
        <w:t xml:space="preserve">25.5 per cent of all carers surveyed who actively chose to take on the caring role reported high wellbeing, compared with 7.8–10.6 per cent of those reporting little or no choice. </w:t>
      </w:r>
      <w:r w:rsidR="00EA133F" w:rsidRPr="009C3414">
        <w:rPr>
          <w:rFonts w:ascii="Arial" w:hAnsi="Arial" w:cs="Arial"/>
          <w:szCs w:val="24"/>
        </w:rPr>
        <w:t>(Schirmer, Mylek and Miranti 2022, p. 34)</w:t>
      </w:r>
      <w:r w:rsidR="00EA133F">
        <w:t>.</w:t>
      </w:r>
    </w:p>
    <w:p w14:paraId="65F1B355" w14:textId="0D3D4464" w:rsidR="001F7016" w:rsidRPr="001F7016" w:rsidRDefault="001F7016" w:rsidP="001F7016">
      <w:pPr>
        <w:pStyle w:val="BodyText"/>
      </w:pPr>
      <w:r w:rsidRPr="001F7016">
        <w:t>Participants suggested a range of policies to address the potential negative effects of caring and an entitlement to extended unpaid leave on women (box 8). An OECD report also recently commented that</w:t>
      </w:r>
      <w:r w:rsidR="00762BAE">
        <w:t xml:space="preserve"> </w:t>
      </w:r>
      <w:r w:rsidRPr="001F7016">
        <w:t xml:space="preserve">‘making informal care a choice without constraints requires a full set of policies, starting from a carer’s need assessment, access to information and advice, respite, training, financial support and flexible working arrangements’ </w:t>
      </w:r>
      <w:r w:rsidRPr="00574AE5">
        <w:t>(</w:t>
      </w:r>
      <w:proofErr w:type="spellStart"/>
      <w:r w:rsidRPr="00574AE5">
        <w:t>Rocard</w:t>
      </w:r>
      <w:proofErr w:type="spellEnd"/>
      <w:r w:rsidRPr="00574AE5">
        <w:t xml:space="preserve"> and </w:t>
      </w:r>
      <w:proofErr w:type="spellStart"/>
      <w:r w:rsidRPr="00574AE5">
        <w:t>Llena</w:t>
      </w:r>
      <w:r w:rsidR="00762BAE">
        <w:noBreakHyphen/>
      </w:r>
      <w:r w:rsidRPr="00574AE5">
        <w:t>Nozal</w:t>
      </w:r>
      <w:proofErr w:type="spellEnd"/>
      <w:r w:rsidRPr="00574AE5">
        <w:t> 2022, p. 4)</w:t>
      </w:r>
      <w:r w:rsidRPr="001F7016">
        <w:t xml:space="preserve">. </w:t>
      </w:r>
    </w:p>
    <w:p w14:paraId="168860E0" w14:textId="77777777" w:rsidR="001B57D4" w:rsidRDefault="001F7016" w:rsidP="00D727FB">
      <w:pPr>
        <w:pStyle w:val="BodyText"/>
      </w:pPr>
      <w:r w:rsidRPr="001F7016">
        <w:t>The position paper looks in more detail at other policies to support informal carers.</w:t>
      </w:r>
    </w:p>
    <w:p w14:paraId="58E541F6" w14:textId="5AE1DB87" w:rsidR="00ED0FA6" w:rsidRPr="00F82BD9" w:rsidRDefault="00ED0FA6" w:rsidP="001B57D4">
      <w:pPr>
        <w:pStyle w:val="NoSpacing"/>
      </w:pPr>
    </w:p>
    <w:tbl>
      <w:tblPr>
        <w:tblStyle w:val="Boxtable"/>
        <w:tblW w:w="5000" w:type="pct"/>
        <w:tblLook w:val="04A0" w:firstRow="1" w:lastRow="0" w:firstColumn="1" w:lastColumn="0" w:noHBand="0" w:noVBand="1"/>
      </w:tblPr>
      <w:tblGrid>
        <w:gridCol w:w="9638"/>
      </w:tblGrid>
      <w:tr w:rsidR="00ED0FA6" w14:paraId="6CFFDC3F" w14:textId="77777777">
        <w:trPr>
          <w:tblHeader/>
        </w:trPr>
        <w:tc>
          <w:tcPr>
            <w:tcW w:w="9638" w:type="dxa"/>
            <w:tcMar>
              <w:top w:w="170" w:type="dxa"/>
              <w:left w:w="170" w:type="dxa"/>
              <w:bottom w:w="113" w:type="dxa"/>
              <w:right w:w="170" w:type="dxa"/>
            </w:tcMar>
            <w:hideMark/>
          </w:tcPr>
          <w:p w14:paraId="6E206CEE" w14:textId="51275B75" w:rsidR="00ED0FA6" w:rsidRDefault="00ED0FA6">
            <w:pPr>
              <w:pStyle w:val="BoxHeading1"/>
            </w:pPr>
            <w:r>
              <w:t>Box</w:t>
            </w:r>
            <w:r w:rsidR="00C921A7">
              <w:t> </w:t>
            </w:r>
            <w:r w:rsidR="00EB4908">
              <w:t>8</w:t>
            </w:r>
            <w:r>
              <w:t xml:space="preserve"> – </w:t>
            </w:r>
            <w:r w:rsidR="00EB4908">
              <w:t xml:space="preserve">Participants </w:t>
            </w:r>
            <w:r>
              <w:t xml:space="preserve">highlight </w:t>
            </w:r>
            <w:r w:rsidR="00EB4908">
              <w:t xml:space="preserve">ways to address negative effects </w:t>
            </w:r>
            <w:r w:rsidR="007E0041">
              <w:t xml:space="preserve">of caring on </w:t>
            </w:r>
            <w:r>
              <w:t>women</w:t>
            </w:r>
          </w:p>
        </w:tc>
      </w:tr>
      <w:tr w:rsidR="00ED0FA6" w14:paraId="14BBF844" w14:textId="77777777">
        <w:tc>
          <w:tcPr>
            <w:tcW w:w="9638" w:type="dxa"/>
            <w:tcMar>
              <w:top w:w="28" w:type="dxa"/>
              <w:left w:w="170" w:type="dxa"/>
              <w:bottom w:w="170" w:type="dxa"/>
              <w:right w:w="170" w:type="dxa"/>
            </w:tcMar>
            <w:hideMark/>
          </w:tcPr>
          <w:p w14:paraId="2EB14B68" w14:textId="0EA187A8" w:rsidR="00ED0FA6" w:rsidRDefault="00ED0FA6" w:rsidP="000F3A43">
            <w:pPr>
              <w:pStyle w:val="BodyText"/>
            </w:pPr>
            <w:r w:rsidRPr="005418E1">
              <w:t>Australian Nursing and Midwifery Federation</w:t>
            </w:r>
            <w:r w:rsidR="00EB4908">
              <w:t>:</w:t>
            </w:r>
            <w:r w:rsidRPr="005418E1">
              <w:t xml:space="preserve"> </w:t>
            </w:r>
          </w:p>
          <w:p w14:paraId="62A6AB9F" w14:textId="2A650B1C" w:rsidR="00ED0FA6" w:rsidRDefault="00ED0FA6" w:rsidP="000F3A43">
            <w:pPr>
              <w:pStyle w:val="Quote"/>
            </w:pPr>
            <w:r>
              <w:t>The ANMF recommends that any statutory entitlement to paid or unpaid carers leave should attract the payment of superannuation contributions for the duration of the leave. (sub</w:t>
            </w:r>
            <w:r w:rsidR="00E128CB">
              <w:t>.</w:t>
            </w:r>
            <w:r>
              <w:t> 39, p. 7)</w:t>
            </w:r>
          </w:p>
          <w:p w14:paraId="2F12E09C" w14:textId="3E98A58D" w:rsidR="00ED0FA6" w:rsidRPr="008C547E" w:rsidRDefault="00ED0FA6" w:rsidP="000F3A43">
            <w:pPr>
              <w:pStyle w:val="BodyText"/>
            </w:pPr>
            <w:r w:rsidRPr="0006427A">
              <w:t>Australian Longitudinal Study on Women’s Health</w:t>
            </w:r>
            <w:r w:rsidR="00762BAE">
              <w:t>:</w:t>
            </w:r>
            <w:r>
              <w:t xml:space="preserve"> </w:t>
            </w:r>
          </w:p>
          <w:p w14:paraId="023F7F17" w14:textId="0900BD9D" w:rsidR="00ED0FA6" w:rsidRDefault="00ED0FA6" w:rsidP="000F3A43">
            <w:pPr>
              <w:pStyle w:val="Quote"/>
              <w:rPr>
                <w:rFonts w:ascii="Arial" w:eastAsia="Times New Roman" w:hAnsi="Arial" w:cs="Arial"/>
                <w:color w:val="000000"/>
                <w:lang w:eastAsia="en-AU"/>
              </w:rPr>
            </w:pPr>
            <w:r w:rsidRPr="00F04FEF">
              <w:t xml:space="preserve">Increasing access to affordable </w:t>
            </w:r>
            <w:proofErr w:type="gramStart"/>
            <w:r w:rsidRPr="00F04FEF">
              <w:t>child care</w:t>
            </w:r>
            <w:proofErr w:type="gramEnd"/>
            <w:r w:rsidRPr="00F04FEF">
              <w:t xml:space="preserve"> will also decrease the burden on caregivers and allow more women to return to work.</w:t>
            </w:r>
            <w:r>
              <w:t xml:space="preserve"> (sub.</w:t>
            </w:r>
            <w:r w:rsidR="007D60A9">
              <w:t> </w:t>
            </w:r>
            <w:r>
              <w:t>31, p.</w:t>
            </w:r>
            <w:r w:rsidR="007D60A9">
              <w:t> </w:t>
            </w:r>
            <w:r>
              <w:t>7)</w:t>
            </w:r>
          </w:p>
          <w:p w14:paraId="58FB5498" w14:textId="0113F9C7" w:rsidR="00ED0FA6" w:rsidRDefault="00ED0FA6" w:rsidP="000F3A43">
            <w:pPr>
              <w:pStyle w:val="BodyText"/>
            </w:pPr>
            <w:r>
              <w:t>SDA</w:t>
            </w:r>
            <w:r w:rsidR="00762BAE">
              <w:t>:</w:t>
            </w:r>
            <w:r>
              <w:t xml:space="preserve"> </w:t>
            </w:r>
          </w:p>
          <w:p w14:paraId="3CE930C0" w14:textId="78F45F65" w:rsidR="00ED0FA6" w:rsidRDefault="00ED0FA6" w:rsidP="000F3A43">
            <w:pPr>
              <w:pStyle w:val="Quote"/>
            </w:pPr>
            <w:r>
              <w:t xml:space="preserve">To counter the impact, a review of government payments that subsidise periods of unpaid care should be </w:t>
            </w:r>
            <w:r w:rsidRPr="004279C1">
              <w:rPr>
                <w:rStyle w:val="QuoteChar"/>
              </w:rPr>
              <w:t xml:space="preserve">conducted, including the level of payment, which should be closer to the </w:t>
            </w:r>
            <w:r w:rsidRPr="004279C1">
              <w:rPr>
                <w:rStyle w:val="QuoteChar"/>
              </w:rPr>
              <w:lastRenderedPageBreak/>
              <w:t>national minimum wage, and the paym</w:t>
            </w:r>
            <w:r>
              <w:t>ent of superannuation guarantee on carers payments. (sub.</w:t>
            </w:r>
            <w:r w:rsidR="007D60A9">
              <w:t> </w:t>
            </w:r>
            <w:r>
              <w:t>38, p.</w:t>
            </w:r>
            <w:r w:rsidR="007D60A9">
              <w:t> </w:t>
            </w:r>
            <w:r>
              <w:t>12)</w:t>
            </w:r>
          </w:p>
          <w:p w14:paraId="590004F3" w14:textId="7661FBD1" w:rsidR="00ED0FA6" w:rsidRDefault="00ED0FA6" w:rsidP="000F3A43">
            <w:pPr>
              <w:pStyle w:val="BodyText"/>
            </w:pPr>
            <w:r>
              <w:t>Carers NSW</w:t>
            </w:r>
            <w:r w:rsidR="00762BAE">
              <w:t>:</w:t>
            </w:r>
            <w:r>
              <w:t xml:space="preserve"> </w:t>
            </w:r>
          </w:p>
          <w:p w14:paraId="70CAB7E4" w14:textId="64471601" w:rsidR="00ED0FA6" w:rsidRDefault="00ED0FA6" w:rsidP="000F3A43">
            <w:pPr>
              <w:pStyle w:val="Quote"/>
            </w:pPr>
            <w:r w:rsidRPr="00996B59">
              <w:t xml:space="preserve">Ensuring that financial support is offered alongside carer leave will be particularly crucial in ensuring that women are not further disadvantaged. </w:t>
            </w:r>
            <w:r>
              <w:t>(sub.</w:t>
            </w:r>
            <w:r w:rsidR="007D60A9">
              <w:t> </w:t>
            </w:r>
            <w:r>
              <w:t>20, p.</w:t>
            </w:r>
            <w:r w:rsidR="007D60A9">
              <w:t> </w:t>
            </w:r>
            <w:r>
              <w:t>8)</w:t>
            </w:r>
          </w:p>
          <w:p w14:paraId="2BFD88F6" w14:textId="2806676E" w:rsidR="00ED0FA6" w:rsidRDefault="00ED0FA6" w:rsidP="000F3A43">
            <w:pPr>
              <w:pStyle w:val="BodyText"/>
            </w:pPr>
            <w:r>
              <w:t>Merri Health</w:t>
            </w:r>
            <w:r w:rsidR="00762BAE">
              <w:t>:</w:t>
            </w:r>
            <w:r>
              <w:t xml:space="preserve"> </w:t>
            </w:r>
          </w:p>
          <w:p w14:paraId="387C04D5" w14:textId="02F7C7B9" w:rsidR="00ED0FA6" w:rsidRDefault="00ED0FA6" w:rsidP="000F3A43">
            <w:pPr>
              <w:pStyle w:val="Quote"/>
            </w:pPr>
            <w:r w:rsidRPr="00FC0A62">
              <w:t>In principle, informal carers support efforts to assist them in remaining connected to employment while providing care. The right to return to work may be an effective support, however, community education and awareness raising about informal carers and carer issues is also required. Any supports for carers need to be adaptive and flexible to respond to the changing needs of carers, recipients of care, and their families.</w:t>
            </w:r>
            <w:r>
              <w:t xml:space="preserve"> (sub.</w:t>
            </w:r>
            <w:r w:rsidR="007D60A9">
              <w:t> </w:t>
            </w:r>
            <w:r>
              <w:t>18, p.</w:t>
            </w:r>
            <w:r w:rsidR="007D60A9">
              <w:t> </w:t>
            </w:r>
            <w:r>
              <w:t>15)</w:t>
            </w:r>
          </w:p>
          <w:p w14:paraId="08D23374" w14:textId="18BAB890" w:rsidR="00ED0FA6" w:rsidRDefault="00ED0FA6" w:rsidP="000F3A43">
            <w:pPr>
              <w:pStyle w:val="BodyText"/>
            </w:pPr>
            <w:r>
              <w:t>Anglicare Australia</w:t>
            </w:r>
            <w:r w:rsidR="00762BAE">
              <w:t>:</w:t>
            </w:r>
            <w:r>
              <w:t xml:space="preserve"> </w:t>
            </w:r>
          </w:p>
          <w:p w14:paraId="030C94FA" w14:textId="0E1B78D5" w:rsidR="00ED0FA6" w:rsidRDefault="00ED0FA6" w:rsidP="000F3A43">
            <w:pPr>
              <w:pStyle w:val="Quote"/>
            </w:pPr>
            <w:r w:rsidRPr="00356E53">
              <w:rPr>
                <w:lang w:eastAsia="en-AU"/>
              </w:rPr>
              <w:t>Extended unpaid leave can also reduce women’s superannuation balances, leaving them at risk of poverty as they age.</w:t>
            </w:r>
            <w:r>
              <w:rPr>
                <w:lang w:eastAsia="en-AU"/>
              </w:rPr>
              <w:t xml:space="preserve"> </w:t>
            </w:r>
            <w:r w:rsidRPr="00356E53">
              <w:rPr>
                <w:rStyle w:val="NoSpacingChar"/>
              </w:rPr>
              <w:t>To address these and other issues, we suggest the Productivity Commission explore the option of a, basic and universal income for all Australians.</w:t>
            </w:r>
            <w:r>
              <w:rPr>
                <w:rStyle w:val="NoSpacingChar"/>
              </w:rPr>
              <w:t xml:space="preserve"> </w:t>
            </w:r>
            <w:r>
              <w:t>(sub.</w:t>
            </w:r>
            <w:r w:rsidR="007D60A9">
              <w:t> </w:t>
            </w:r>
            <w:r>
              <w:t>6, pp.</w:t>
            </w:r>
            <w:r w:rsidR="007D60A9">
              <w:t> </w:t>
            </w:r>
            <w:r>
              <w:t>1</w:t>
            </w:r>
            <w:r w:rsidR="00762BAE">
              <w:noBreakHyphen/>
            </w:r>
            <w:r>
              <w:t>2)</w:t>
            </w:r>
          </w:p>
        </w:tc>
      </w:tr>
      <w:tr w:rsidR="00ED0FA6" w14:paraId="6D99DD01" w14:textId="77777777">
        <w:trPr>
          <w:hidden/>
        </w:trPr>
        <w:tc>
          <w:tcPr>
            <w:tcW w:w="9638" w:type="dxa"/>
            <w:shd w:val="clear" w:color="auto" w:fill="auto"/>
            <w:tcMar>
              <w:top w:w="0" w:type="dxa"/>
              <w:left w:w="170" w:type="dxa"/>
              <w:bottom w:w="0" w:type="dxa"/>
              <w:right w:w="170" w:type="dxa"/>
            </w:tcMar>
          </w:tcPr>
          <w:p w14:paraId="0A2FFA16" w14:textId="6CEBEBDD" w:rsidR="00ED0FA6" w:rsidRPr="00465191" w:rsidRDefault="00ED0FA6">
            <w:pPr>
              <w:pStyle w:val="BodyText"/>
              <w:spacing w:before="0" w:after="0" w:line="80" w:lineRule="atLeast"/>
              <w:rPr>
                <w:smallCaps/>
                <w:vanish/>
              </w:rPr>
            </w:pPr>
          </w:p>
        </w:tc>
      </w:tr>
    </w:tbl>
    <w:p w14:paraId="4E47185F" w14:textId="77777777" w:rsidR="00762BAE" w:rsidRDefault="00EE7C82" w:rsidP="00762BAE">
      <w:pPr>
        <w:pStyle w:val="Heading1-noTOC"/>
      </w:pPr>
      <w:r>
        <w:br w:type="page"/>
      </w:r>
      <w:r w:rsidR="00762BAE">
        <w:lastRenderedPageBreak/>
        <w:t>References</w:t>
      </w:r>
    </w:p>
    <w:p w14:paraId="491625D4" w14:textId="77777777" w:rsidR="004C63FA" w:rsidRDefault="004C63FA" w:rsidP="004C63FA">
      <w:pPr>
        <w:pStyle w:val="Reference"/>
        <w:sectPr w:rsidR="004C63FA" w:rsidSect="00762BAE">
          <w:headerReference w:type="even" r:id="rId17"/>
          <w:headerReference w:type="default" r:id="rId18"/>
          <w:footerReference w:type="even" r:id="rId19"/>
          <w:footerReference w:type="default" r:id="rId20"/>
          <w:pgSz w:w="11906" w:h="16838" w:code="9"/>
          <w:pgMar w:top="1134" w:right="1134" w:bottom="1134" w:left="1134" w:header="794" w:footer="510" w:gutter="0"/>
          <w:cols w:space="708"/>
          <w:docGrid w:linePitch="360"/>
        </w:sectPr>
      </w:pPr>
    </w:p>
    <w:p w14:paraId="57FE6EF3" w14:textId="77777777" w:rsidR="004C63FA" w:rsidRPr="00CF326B" w:rsidRDefault="004C63FA" w:rsidP="004C63FA">
      <w:pPr>
        <w:pStyle w:val="Reference"/>
      </w:pPr>
      <w:r w:rsidRPr="00CF326B">
        <w:t xml:space="preserve">AIHW (Australian Institute of Health and Welfare) 2022, </w:t>
      </w:r>
      <w:r w:rsidRPr="00CF326B">
        <w:rPr>
          <w:i/>
          <w:iCs/>
        </w:rPr>
        <w:t>Spending on aged care - AIHW Gen</w:t>
      </w:r>
      <w:r w:rsidRPr="00CF326B">
        <w:t>, https://www.gen-agedcaredata.gov.au/Topics/Spending-on-aged-care (accessed 11 October 2022).</w:t>
      </w:r>
    </w:p>
    <w:p w14:paraId="56F35431" w14:textId="77777777" w:rsidR="004C63FA" w:rsidRPr="00CF326B" w:rsidRDefault="004C63FA" w:rsidP="004C63FA">
      <w:pPr>
        <w:pStyle w:val="Reference"/>
      </w:pPr>
      <w:r w:rsidRPr="00CF326B">
        <w:t>——</w:t>
      </w:r>
      <w:r>
        <w:t xml:space="preserve"> </w:t>
      </w:r>
      <w:proofErr w:type="spellStart"/>
      <w:r w:rsidRPr="00CF326B">
        <w:t>nd</w:t>
      </w:r>
      <w:proofErr w:type="spellEnd"/>
      <w:r w:rsidRPr="00CF326B">
        <w:t xml:space="preserve">, </w:t>
      </w:r>
      <w:r w:rsidRPr="00CF326B">
        <w:rPr>
          <w:i/>
          <w:iCs/>
        </w:rPr>
        <w:t>Exits from residential aged care, 2018</w:t>
      </w:r>
      <w:r>
        <w:rPr>
          <w:i/>
          <w:iCs/>
        </w:rPr>
        <w:noBreakHyphen/>
      </w:r>
      <w:r w:rsidRPr="00CF326B">
        <w:rPr>
          <w:i/>
          <w:iCs/>
        </w:rPr>
        <w:t>19</w:t>
      </w:r>
      <w:r w:rsidRPr="00CF326B">
        <w:t xml:space="preserve">, </w:t>
      </w:r>
      <w:proofErr w:type="spellStart"/>
      <w:r w:rsidRPr="00CF326B">
        <w:t>Confidentialised</w:t>
      </w:r>
      <w:proofErr w:type="spellEnd"/>
      <w:r w:rsidRPr="00CF326B">
        <w:t xml:space="preserve"> Unit Record File.</w:t>
      </w:r>
    </w:p>
    <w:p w14:paraId="4FF1B590" w14:textId="77777777" w:rsidR="004C63FA" w:rsidRPr="00CF326B" w:rsidRDefault="004C63FA" w:rsidP="004C63FA">
      <w:pPr>
        <w:pStyle w:val="Reference"/>
      </w:pPr>
      <w:r w:rsidRPr="00CF326B">
        <w:t>Al-</w:t>
      </w:r>
      <w:proofErr w:type="spellStart"/>
      <w:r w:rsidRPr="00CF326B">
        <w:t>Janabi</w:t>
      </w:r>
      <w:proofErr w:type="spellEnd"/>
      <w:r w:rsidRPr="00CF326B">
        <w:t xml:space="preserve">, H., Carmichael, F. and </w:t>
      </w:r>
      <w:proofErr w:type="spellStart"/>
      <w:r w:rsidRPr="00CF326B">
        <w:t>Oyebode</w:t>
      </w:r>
      <w:proofErr w:type="spellEnd"/>
      <w:r w:rsidRPr="00CF326B">
        <w:t xml:space="preserve">, J. 2018, ‘Informal care: choice or constraint?’, </w:t>
      </w:r>
      <w:r w:rsidRPr="00CF326B">
        <w:rPr>
          <w:i/>
          <w:iCs/>
        </w:rPr>
        <w:t>Scandinavian Journal of Caring Sciences</w:t>
      </w:r>
      <w:r w:rsidRPr="00CF326B">
        <w:t>, vol. 32, no. 1, pp. 157–167.</w:t>
      </w:r>
    </w:p>
    <w:p w14:paraId="06CF4662" w14:textId="77777777" w:rsidR="004C63FA" w:rsidRPr="00CF326B" w:rsidRDefault="004C63FA" w:rsidP="004C63FA">
      <w:pPr>
        <w:pStyle w:val="Reference"/>
      </w:pPr>
      <w:r w:rsidRPr="00CF326B">
        <w:t xml:space="preserve">Appelbaum, E. and Milkman, R. 2011, </w:t>
      </w:r>
      <w:r w:rsidRPr="00CF326B">
        <w:rPr>
          <w:i/>
          <w:iCs/>
        </w:rPr>
        <w:t>Leaves That Pay: Employer and Worker Experiences with Paid Family Leave in California</w:t>
      </w:r>
      <w:r w:rsidRPr="00CF326B">
        <w:t xml:space="preserve">, </w:t>
      </w:r>
      <w:proofErr w:type="spellStart"/>
      <w:r w:rsidRPr="00CF326B">
        <w:t>Center</w:t>
      </w:r>
      <w:proofErr w:type="spellEnd"/>
      <w:r w:rsidRPr="00CF326B">
        <w:t xml:space="preserve"> for Economic and Policy Research.</w:t>
      </w:r>
    </w:p>
    <w:p w14:paraId="58CBD4BF" w14:textId="77777777" w:rsidR="004C63FA" w:rsidRPr="00CF326B" w:rsidRDefault="004C63FA" w:rsidP="004C63FA">
      <w:pPr>
        <w:pStyle w:val="Reference"/>
      </w:pPr>
      <w:r w:rsidRPr="00CF326B">
        <w:t xml:space="preserve">Arora, K. and Wolf, D.A. 2018, ‘Does paid family leave reduce nursing home use? The California experience’, Wiley Online Library, </w:t>
      </w:r>
      <w:r w:rsidRPr="00CF326B">
        <w:rPr>
          <w:i/>
          <w:iCs/>
        </w:rPr>
        <w:t>Journal of Policy Analysis and Management</w:t>
      </w:r>
      <w:r w:rsidRPr="00CF326B">
        <w:t>, vol. 37, no. 1, pp. 38–62.</w:t>
      </w:r>
    </w:p>
    <w:p w14:paraId="1EAD979A" w14:textId="77777777" w:rsidR="004C63FA" w:rsidRPr="00CF326B" w:rsidRDefault="004C63FA" w:rsidP="004C63FA">
      <w:pPr>
        <w:pStyle w:val="Reference"/>
      </w:pPr>
      <w:r w:rsidRPr="00CF326B">
        <w:t xml:space="preserve">Bedard, K. and Rossin-Slater, M. 2016, </w:t>
      </w:r>
      <w:r w:rsidRPr="00CF326B">
        <w:rPr>
          <w:i/>
          <w:iCs/>
        </w:rPr>
        <w:t>The Economic and Social Impacts of Paid Family Leave in California: Report for the California Employment Development Department</w:t>
      </w:r>
      <w:r w:rsidRPr="00CF326B">
        <w:t>, October.</w:t>
      </w:r>
    </w:p>
    <w:p w14:paraId="049DBE39" w14:textId="77777777" w:rsidR="004C63FA" w:rsidRPr="00CF326B" w:rsidRDefault="004C63FA" w:rsidP="004C63FA">
      <w:pPr>
        <w:pStyle w:val="Reference"/>
      </w:pPr>
      <w:proofErr w:type="spellStart"/>
      <w:r w:rsidRPr="00CF326B">
        <w:t>Bergeot</w:t>
      </w:r>
      <w:proofErr w:type="spellEnd"/>
      <w:r w:rsidRPr="00CF326B">
        <w:t xml:space="preserve">, J. and Tenand, M. 2021, </w:t>
      </w:r>
      <w:r w:rsidRPr="00CF326B">
        <w:rPr>
          <w:i/>
          <w:iCs/>
        </w:rPr>
        <w:t>Does informal care delay nursing home entry? Evidence from Dutch linked survey and administrative data</w:t>
      </w:r>
      <w:r w:rsidRPr="00CF326B">
        <w:t xml:space="preserve">, </w:t>
      </w:r>
      <w:proofErr w:type="gramStart"/>
      <w:r w:rsidRPr="00CF326B">
        <w:t>Working</w:t>
      </w:r>
      <w:proofErr w:type="gramEnd"/>
      <w:r w:rsidRPr="00CF326B">
        <w:t xml:space="preserve"> paper, July, Document de travail (</w:t>
      </w:r>
      <w:proofErr w:type="spellStart"/>
      <w:r w:rsidRPr="00CF326B">
        <w:t>Docweb</w:t>
      </w:r>
      <w:proofErr w:type="spellEnd"/>
      <w:r w:rsidRPr="00CF326B">
        <w:t xml:space="preserve">) n°2105, Centre pour la Recherche </w:t>
      </w:r>
      <w:proofErr w:type="spellStart"/>
      <w:r w:rsidRPr="00CF326B">
        <w:t>Économique</w:t>
      </w:r>
      <w:proofErr w:type="spellEnd"/>
      <w:r w:rsidRPr="00CF326B">
        <w:t xml:space="preserve"> et </w:t>
      </w:r>
      <w:proofErr w:type="spellStart"/>
      <w:r w:rsidRPr="00CF326B">
        <w:t>ses</w:t>
      </w:r>
      <w:proofErr w:type="spellEnd"/>
      <w:r w:rsidRPr="00CF326B">
        <w:t xml:space="preserve"> Applications.</w:t>
      </w:r>
    </w:p>
    <w:p w14:paraId="32974AED" w14:textId="77777777" w:rsidR="004C63FA" w:rsidRPr="00CF326B" w:rsidRDefault="004C63FA" w:rsidP="004C63FA">
      <w:pPr>
        <w:pStyle w:val="Reference"/>
      </w:pPr>
      <w:r w:rsidRPr="00CF326B">
        <w:t xml:space="preserve">Bolin, K., Lindgren, B. and Lundborg, P. 2008, ‘Informal and formal care among single-living elderly in Europe’, Wiley Online Library, </w:t>
      </w:r>
      <w:r w:rsidRPr="00CF326B">
        <w:rPr>
          <w:i/>
          <w:iCs/>
        </w:rPr>
        <w:t>Health Economics</w:t>
      </w:r>
      <w:r w:rsidRPr="00CF326B">
        <w:t>, vol. 17, no. 3, pp. 393–409.</w:t>
      </w:r>
    </w:p>
    <w:p w14:paraId="7122451B" w14:textId="77777777" w:rsidR="004C63FA" w:rsidRPr="00CF326B" w:rsidRDefault="004C63FA" w:rsidP="004C63FA">
      <w:pPr>
        <w:pStyle w:val="Reference"/>
      </w:pPr>
      <w:proofErr w:type="spellStart"/>
      <w:r w:rsidRPr="00CF326B">
        <w:t>Bonsang</w:t>
      </w:r>
      <w:proofErr w:type="spellEnd"/>
      <w:r w:rsidRPr="00CF326B">
        <w:t xml:space="preserve">, E. 2009, ‘Does informal care from children to their elderly parents substitute for formal care in Europe?’, </w:t>
      </w:r>
      <w:r w:rsidRPr="00CF326B">
        <w:rPr>
          <w:i/>
          <w:iCs/>
        </w:rPr>
        <w:t>Journal of Health Economics</w:t>
      </w:r>
      <w:r w:rsidRPr="00CF326B">
        <w:t>, vol. 28, no. 1, pp. 143–154.</w:t>
      </w:r>
    </w:p>
    <w:p w14:paraId="4AC202EF" w14:textId="77777777" w:rsidR="004C63FA" w:rsidRPr="00CF326B" w:rsidRDefault="004C63FA" w:rsidP="004C63FA">
      <w:pPr>
        <w:pStyle w:val="Reference"/>
      </w:pPr>
      <w:r w:rsidRPr="00CF326B">
        <w:t xml:space="preserve">Borjas, G.J. 2016, </w:t>
      </w:r>
      <w:proofErr w:type="spellStart"/>
      <w:r w:rsidRPr="00CF326B">
        <w:rPr>
          <w:i/>
          <w:iCs/>
        </w:rPr>
        <w:t>Labor</w:t>
      </w:r>
      <w:proofErr w:type="spellEnd"/>
      <w:r w:rsidRPr="00CF326B">
        <w:rPr>
          <w:i/>
          <w:iCs/>
        </w:rPr>
        <w:t xml:space="preserve"> Economics</w:t>
      </w:r>
      <w:r w:rsidRPr="00CF326B">
        <w:t>, Seventh edition, McGraw-Hill Education, New York, NY.</w:t>
      </w:r>
    </w:p>
    <w:p w14:paraId="0FF77AD8" w14:textId="77777777" w:rsidR="004C63FA" w:rsidRPr="00CF326B" w:rsidRDefault="004C63FA" w:rsidP="004C63FA">
      <w:pPr>
        <w:pStyle w:val="Reference"/>
      </w:pPr>
      <w:r w:rsidRPr="00CF326B">
        <w:t xml:space="preserve">Bremer, P., Cabrera, E., </w:t>
      </w:r>
      <w:proofErr w:type="spellStart"/>
      <w:r w:rsidRPr="00CF326B">
        <w:t>Leino-Kilpi</w:t>
      </w:r>
      <w:proofErr w:type="spellEnd"/>
      <w:r w:rsidRPr="00CF326B">
        <w:t xml:space="preserve">, H., Lethin, C., Saks, K., Sutcliffe, C., Soto, M., </w:t>
      </w:r>
      <w:proofErr w:type="spellStart"/>
      <w:r w:rsidRPr="00CF326B">
        <w:t>Zwakhalen</w:t>
      </w:r>
      <w:proofErr w:type="spellEnd"/>
      <w:r w:rsidRPr="00CF326B">
        <w:t xml:space="preserve">, S.M., </w:t>
      </w:r>
      <w:proofErr w:type="spellStart"/>
      <w:r w:rsidRPr="00CF326B">
        <w:t>Wübker</w:t>
      </w:r>
      <w:proofErr w:type="spellEnd"/>
      <w:r w:rsidRPr="00CF326B">
        <w:t xml:space="preserve">, A. and Consortium, R. 2015, ‘Informal dementia care: Consequences for caregivers’ health and health care use in 8 European countries’, Elsevier, </w:t>
      </w:r>
      <w:r w:rsidRPr="00CF326B">
        <w:rPr>
          <w:i/>
          <w:iCs/>
        </w:rPr>
        <w:t>Health Policy</w:t>
      </w:r>
      <w:r w:rsidRPr="00CF326B">
        <w:t>, vol. 119, no. 11, pp. 1459–1471.</w:t>
      </w:r>
    </w:p>
    <w:p w14:paraId="24307927" w14:textId="77777777" w:rsidR="004C63FA" w:rsidRPr="00CF326B" w:rsidRDefault="004C63FA" w:rsidP="004C63FA">
      <w:pPr>
        <w:pStyle w:val="Reference"/>
      </w:pPr>
      <w:r w:rsidRPr="00CF326B">
        <w:t xml:space="preserve">Brenøe, A.A., Canaan, S.P., Harmon, N.A. and Royer, H.N. 2020, </w:t>
      </w:r>
      <w:r w:rsidRPr="00CF326B">
        <w:rPr>
          <w:i/>
          <w:iCs/>
        </w:rPr>
        <w:t xml:space="preserve">Is Parental Leave Costly for Firms and </w:t>
      </w:r>
      <w:proofErr w:type="spellStart"/>
      <w:proofErr w:type="gramStart"/>
      <w:r w:rsidRPr="00CF326B">
        <w:rPr>
          <w:i/>
          <w:iCs/>
        </w:rPr>
        <w:t>Coworkers</w:t>
      </w:r>
      <w:proofErr w:type="spellEnd"/>
      <w:r w:rsidRPr="00CF326B">
        <w:rPr>
          <w:i/>
          <w:iCs/>
        </w:rPr>
        <w:t>?</w:t>
      </w:r>
      <w:r w:rsidRPr="00CF326B">
        <w:t>,</w:t>
      </w:r>
      <w:proofErr w:type="gramEnd"/>
      <w:r w:rsidRPr="00CF326B">
        <w:t xml:space="preserve"> Working paper 26622, National Bureau of Economic Research.</w:t>
      </w:r>
    </w:p>
    <w:p w14:paraId="72A487FC" w14:textId="77777777" w:rsidR="004C63FA" w:rsidRPr="00CF326B" w:rsidRDefault="004C63FA" w:rsidP="004C63FA">
      <w:pPr>
        <w:pStyle w:val="Reference"/>
      </w:pPr>
      <w:r w:rsidRPr="00CF326B">
        <w:t xml:space="preserve">Chan, A., Malhotra, C., Malhotra, R., Rush, A.J. and Østbye, T. 2013, ‘Health impacts of caregiving for older adults with functional limitations: results from the Singapore survey on informal caregiving’, Sage Publications Sage CA: Los Angeles, CA, </w:t>
      </w:r>
      <w:r w:rsidRPr="00CF326B">
        <w:rPr>
          <w:i/>
          <w:iCs/>
        </w:rPr>
        <w:t>Journal of Aging and Health</w:t>
      </w:r>
      <w:r w:rsidRPr="00CF326B">
        <w:t>, vol. 25, no. 6, pp. 998–1012.</w:t>
      </w:r>
    </w:p>
    <w:p w14:paraId="2D01BEF1" w14:textId="77777777" w:rsidR="004C63FA" w:rsidRPr="00CF326B" w:rsidRDefault="004C63FA" w:rsidP="004C63FA">
      <w:pPr>
        <w:pStyle w:val="Reference"/>
      </w:pPr>
      <w:r w:rsidRPr="00CF326B">
        <w:t xml:space="preserve">Charles, K.K. and Sevak, P. 2005, ‘Can family caregiving substitute for nursing home care?’, Elsevier, </w:t>
      </w:r>
      <w:r w:rsidRPr="00CF326B">
        <w:rPr>
          <w:i/>
          <w:iCs/>
        </w:rPr>
        <w:t>Journal of Health Economics</w:t>
      </w:r>
      <w:r w:rsidRPr="00CF326B">
        <w:t>, vol. 24, no. 6, pp. 1174–1190.</w:t>
      </w:r>
    </w:p>
    <w:p w14:paraId="3706E8B6" w14:textId="77777777" w:rsidR="004C63FA" w:rsidRPr="00CF326B" w:rsidRDefault="004C63FA" w:rsidP="004C63FA">
      <w:pPr>
        <w:pStyle w:val="Reference"/>
      </w:pPr>
      <w:r w:rsidRPr="00CF326B">
        <w:t xml:space="preserve">Coates, B., Mackey, W. and Cowgill, M. 2020, </w:t>
      </w:r>
      <w:r w:rsidRPr="00CF326B">
        <w:rPr>
          <w:i/>
          <w:iCs/>
        </w:rPr>
        <w:t>No free lunch: Higher superannuation means lower wages</w:t>
      </w:r>
      <w:r w:rsidRPr="00CF326B">
        <w:t>, Grattan Institute, Melbourne, Victoria.</w:t>
      </w:r>
    </w:p>
    <w:p w14:paraId="1F1A5AB2" w14:textId="77777777" w:rsidR="004C63FA" w:rsidRPr="00CF326B" w:rsidRDefault="004C63FA" w:rsidP="004C63FA">
      <w:pPr>
        <w:pStyle w:val="Reference"/>
      </w:pPr>
      <w:r w:rsidRPr="00CF326B">
        <w:t xml:space="preserve">De Meijer, C., Brouwer, W., </w:t>
      </w:r>
      <w:proofErr w:type="spellStart"/>
      <w:r w:rsidRPr="00CF326B">
        <w:t>Koopmanschap</w:t>
      </w:r>
      <w:proofErr w:type="spellEnd"/>
      <w:r w:rsidRPr="00CF326B">
        <w:t xml:space="preserve">, M., van den Berg, B. and van </w:t>
      </w:r>
      <w:proofErr w:type="spellStart"/>
      <w:r w:rsidRPr="00CF326B">
        <w:t>Exel</w:t>
      </w:r>
      <w:proofErr w:type="spellEnd"/>
      <w:r w:rsidRPr="00CF326B">
        <w:t xml:space="preserve">, J. 2010, ‘The value of informal care–a further investigation of the feasibility of contingent valuation in informal caregivers’, Wiley Online Library, </w:t>
      </w:r>
      <w:r w:rsidRPr="00CF326B">
        <w:rPr>
          <w:i/>
          <w:iCs/>
        </w:rPr>
        <w:t>Health Economics</w:t>
      </w:r>
      <w:r w:rsidRPr="00CF326B">
        <w:t>, vol. 19, no. 7, pp. 755–771.</w:t>
      </w:r>
    </w:p>
    <w:p w14:paraId="51162A91" w14:textId="77777777" w:rsidR="004C63FA" w:rsidRPr="00CF326B" w:rsidRDefault="004C63FA" w:rsidP="004C63FA">
      <w:pPr>
        <w:pStyle w:val="Reference"/>
      </w:pPr>
      <w:r w:rsidRPr="00CF326B">
        <w:t xml:space="preserve">Department of Health 2021, </w:t>
      </w:r>
      <w:r w:rsidRPr="00CF326B">
        <w:rPr>
          <w:i/>
          <w:iCs/>
        </w:rPr>
        <w:t>Australian Government Response to the Final Report of the Royal Commission into Aged Care Quality and Safety</w:t>
      </w:r>
      <w:r w:rsidRPr="00CF326B">
        <w:t>, May.</w:t>
      </w:r>
    </w:p>
    <w:p w14:paraId="5A6BD697" w14:textId="77777777" w:rsidR="004C63FA" w:rsidRPr="00CF326B" w:rsidRDefault="004C63FA" w:rsidP="004C63FA">
      <w:pPr>
        <w:pStyle w:val="Reference"/>
      </w:pPr>
      <w:r w:rsidRPr="00CF326B">
        <w:t xml:space="preserve">DSS (Department of Social Services) 2022, </w:t>
      </w:r>
      <w:r w:rsidRPr="00CF326B">
        <w:rPr>
          <w:i/>
          <w:iCs/>
        </w:rPr>
        <w:t>1.1.U.30 Unemployed (JSP)</w:t>
      </w:r>
      <w:r w:rsidRPr="00CF326B">
        <w:t>, Social Security Guide, https://guides.dss.gov.au/social-security-guide/1/1/u/30 (accessed 14 October 2022).</w:t>
      </w:r>
    </w:p>
    <w:p w14:paraId="7614377E" w14:textId="77777777" w:rsidR="004C63FA" w:rsidRPr="00CF326B" w:rsidRDefault="004C63FA" w:rsidP="004C63FA">
      <w:pPr>
        <w:pStyle w:val="Reference"/>
      </w:pPr>
      <w:r w:rsidRPr="00CF326B">
        <w:t xml:space="preserve">Engel, L., </w:t>
      </w:r>
      <w:proofErr w:type="spellStart"/>
      <w:r w:rsidRPr="00CF326B">
        <w:t>Ajdukovic</w:t>
      </w:r>
      <w:proofErr w:type="spellEnd"/>
      <w:r w:rsidRPr="00CF326B">
        <w:t xml:space="preserve">, M., </w:t>
      </w:r>
      <w:proofErr w:type="spellStart"/>
      <w:r w:rsidRPr="00CF326B">
        <w:t>Bucholc</w:t>
      </w:r>
      <w:proofErr w:type="spellEnd"/>
      <w:r w:rsidRPr="00CF326B">
        <w:t xml:space="preserve">, J. and McCaffrey, N. 2021, ‘Valuation of Informal Care Provided to People Living </w:t>
      </w:r>
      <w:proofErr w:type="gramStart"/>
      <w:r w:rsidRPr="00CF326B">
        <w:t>With</w:t>
      </w:r>
      <w:proofErr w:type="gramEnd"/>
      <w:r w:rsidRPr="00CF326B">
        <w:t xml:space="preserve"> Dementia: A Systematic Literature Review’, </w:t>
      </w:r>
      <w:r w:rsidRPr="00CF326B">
        <w:rPr>
          <w:i/>
          <w:iCs/>
        </w:rPr>
        <w:t>Value in Health</w:t>
      </w:r>
      <w:r w:rsidRPr="00CF326B">
        <w:t>, vol. 24, no. 12, pp. 1863–1870.</w:t>
      </w:r>
    </w:p>
    <w:p w14:paraId="00A1D869" w14:textId="77777777" w:rsidR="004C63FA" w:rsidRPr="00CF326B" w:rsidRDefault="004C63FA" w:rsidP="004C63FA">
      <w:pPr>
        <w:pStyle w:val="Reference"/>
      </w:pPr>
      <w:r w:rsidRPr="00CF326B">
        <w:t xml:space="preserve">Fan, H., Qi, R., Peng, Z., Zhang, X. and Coyte, P.C. 2022, ‘The contribution of alternative types of care on life satisfaction among disabled older persons in China’, </w:t>
      </w:r>
      <w:r w:rsidRPr="00CF326B">
        <w:rPr>
          <w:i/>
          <w:iCs/>
        </w:rPr>
        <w:t>Ageing &amp; Society</w:t>
      </w:r>
      <w:r w:rsidRPr="00CF326B">
        <w:t>, vol. February, pp. 1–17.</w:t>
      </w:r>
    </w:p>
    <w:p w14:paraId="5BF7DC88" w14:textId="77777777" w:rsidR="004C63FA" w:rsidRPr="00CF326B" w:rsidRDefault="004C63FA" w:rsidP="004C63FA">
      <w:pPr>
        <w:pStyle w:val="Reference"/>
      </w:pPr>
      <w:r w:rsidRPr="00CF326B">
        <w:t xml:space="preserve">Gallen, Y. 2018, </w:t>
      </w:r>
      <w:r w:rsidRPr="00CF326B">
        <w:rPr>
          <w:i/>
          <w:iCs/>
        </w:rPr>
        <w:t xml:space="preserve">The Effect of Maternity Leave Extensions on Firms and </w:t>
      </w:r>
      <w:proofErr w:type="spellStart"/>
      <w:r w:rsidRPr="00CF326B">
        <w:rPr>
          <w:i/>
          <w:iCs/>
        </w:rPr>
        <w:t>Coworkers</w:t>
      </w:r>
      <w:proofErr w:type="spellEnd"/>
      <w:r w:rsidRPr="00CF326B">
        <w:t>, Working paper no. 2018-40, Becker Friedman Institute.</w:t>
      </w:r>
    </w:p>
    <w:p w14:paraId="4ED42393" w14:textId="77777777" w:rsidR="004C63FA" w:rsidRPr="00CF326B" w:rsidRDefault="004C63FA" w:rsidP="004C63FA">
      <w:pPr>
        <w:pStyle w:val="Reference"/>
      </w:pPr>
      <w:r w:rsidRPr="00CF326B">
        <w:t xml:space="preserve">Gimm, G. and Yang, Y.T. 2016, ‘The effect of paid leave laws on family caregivers for the elderly’, Springer, </w:t>
      </w:r>
      <w:r w:rsidRPr="00CF326B">
        <w:rPr>
          <w:i/>
          <w:iCs/>
        </w:rPr>
        <w:t>Ageing International</w:t>
      </w:r>
      <w:r w:rsidRPr="00CF326B">
        <w:t>, vol. 41, no. 2, pp. 214–226.</w:t>
      </w:r>
    </w:p>
    <w:p w14:paraId="3B659F5C" w14:textId="77777777" w:rsidR="004C63FA" w:rsidRPr="00CF326B" w:rsidRDefault="004C63FA" w:rsidP="004C63FA">
      <w:pPr>
        <w:pStyle w:val="Reference"/>
      </w:pPr>
      <w:r w:rsidRPr="00CF326B">
        <w:t xml:space="preserve">Ginja, R., Karimi, A. and Xiao, P. 2023, ‘Employer responses to family leave programs’, </w:t>
      </w:r>
      <w:r w:rsidRPr="00CF326B">
        <w:rPr>
          <w:i/>
          <w:iCs/>
        </w:rPr>
        <w:t>American Economic Journal: Applied Economics</w:t>
      </w:r>
      <w:r w:rsidRPr="00CF326B">
        <w:t>, vol. 15, no. 1, pp. 107–135.</w:t>
      </w:r>
    </w:p>
    <w:p w14:paraId="449F67E9" w14:textId="77777777" w:rsidR="004C63FA" w:rsidRPr="00CF326B" w:rsidRDefault="004C63FA" w:rsidP="004C63FA">
      <w:pPr>
        <w:pStyle w:val="Reference"/>
      </w:pPr>
      <w:r w:rsidRPr="00CF326B">
        <w:t xml:space="preserve">Gruber, J. 1994, ‘The incidence of mandated maternity benefits’, </w:t>
      </w:r>
      <w:r w:rsidRPr="00CF326B">
        <w:rPr>
          <w:i/>
          <w:iCs/>
        </w:rPr>
        <w:t>The American Economic Review</w:t>
      </w:r>
      <w:r w:rsidRPr="00CF326B">
        <w:t>, vol. 84, no. 3, pp. 622–641.</w:t>
      </w:r>
    </w:p>
    <w:p w14:paraId="3262272B" w14:textId="77777777" w:rsidR="004C63FA" w:rsidRPr="00CF326B" w:rsidRDefault="004C63FA" w:rsidP="004C63FA">
      <w:pPr>
        <w:pStyle w:val="Reference"/>
      </w:pPr>
      <w:r w:rsidRPr="00CF326B">
        <w:t xml:space="preserve">Lo Sasso, A.T. and Johnson, R.W. 2002, ‘Does informal care from adult children reduce nursing home admissions for the elderly?’, </w:t>
      </w:r>
      <w:r w:rsidRPr="00CF326B">
        <w:rPr>
          <w:i/>
          <w:iCs/>
        </w:rPr>
        <w:t>The Journal of Health Care Organization, Provision, and Financing</w:t>
      </w:r>
      <w:r w:rsidRPr="00CF326B">
        <w:t>, vol. 39, no. 3, pp. 279–297.</w:t>
      </w:r>
    </w:p>
    <w:p w14:paraId="7A856812" w14:textId="77777777" w:rsidR="004C63FA" w:rsidRPr="00CF326B" w:rsidRDefault="004C63FA" w:rsidP="004C63FA">
      <w:pPr>
        <w:pStyle w:val="Reference"/>
      </w:pPr>
      <w:r w:rsidRPr="00CF326B">
        <w:t xml:space="preserve">Manning, A. 2010, </w:t>
      </w:r>
      <w:r w:rsidRPr="00CF326B">
        <w:rPr>
          <w:i/>
          <w:iCs/>
        </w:rPr>
        <w:t>Imperfect Competition in the Labour Market</w:t>
      </w:r>
      <w:r w:rsidRPr="00CF326B">
        <w:t>, May, CEP Discussion Paper No 981, Centre for Economic Performance.</w:t>
      </w:r>
    </w:p>
    <w:p w14:paraId="6AF6775E" w14:textId="77777777" w:rsidR="004C63FA" w:rsidRPr="00CF326B" w:rsidRDefault="004C63FA" w:rsidP="004C63FA">
      <w:pPr>
        <w:pStyle w:val="Reference"/>
      </w:pPr>
      <w:r w:rsidRPr="00CF326B">
        <w:t xml:space="preserve">OECD (Organisation for Economic Cooperation and Development) 2022, </w:t>
      </w:r>
      <w:r w:rsidRPr="00CF326B">
        <w:rPr>
          <w:i/>
          <w:iCs/>
        </w:rPr>
        <w:t>Average annual wages</w:t>
      </w:r>
      <w:r w:rsidRPr="00CF326B">
        <w:t xml:space="preserve">, </w:t>
      </w:r>
      <w:proofErr w:type="spellStart"/>
      <w:r w:rsidRPr="00CF326B">
        <w:t>OECD.Stat</w:t>
      </w:r>
      <w:proofErr w:type="spellEnd"/>
      <w:r w:rsidRPr="00CF326B">
        <w:t>, https://stats.oecd.org/Index.aspx?DataSetCode=AV_AN_WAGE (accessed 29 November 2022).</w:t>
      </w:r>
    </w:p>
    <w:p w14:paraId="0C4E42AB" w14:textId="77777777" w:rsidR="004C63FA" w:rsidRPr="00CF326B" w:rsidRDefault="004C63FA" w:rsidP="004C63FA">
      <w:pPr>
        <w:pStyle w:val="Reference"/>
      </w:pPr>
      <w:r w:rsidRPr="00CF326B">
        <w:t xml:space="preserve">—— 2022, </w:t>
      </w:r>
      <w:r w:rsidRPr="00CF326B">
        <w:rPr>
          <w:i/>
          <w:iCs/>
        </w:rPr>
        <w:t>Conversion rates - Purchasing power parities (PPP)</w:t>
      </w:r>
      <w:r w:rsidRPr="00CF326B">
        <w:t>, http://data.oecd.org/conversion/purchasing-power-parities-ppp.htm (accessed 27 February 2023).</w:t>
      </w:r>
    </w:p>
    <w:p w14:paraId="316054CB" w14:textId="77777777" w:rsidR="004C63FA" w:rsidRPr="00CF326B" w:rsidRDefault="004C63FA" w:rsidP="004C63FA">
      <w:pPr>
        <w:pStyle w:val="Reference"/>
      </w:pPr>
      <w:r w:rsidRPr="00CF326B">
        <w:t xml:space="preserve">PC (Productivity Commission) 2009, </w:t>
      </w:r>
      <w:r w:rsidRPr="00CF326B">
        <w:rPr>
          <w:i/>
          <w:iCs/>
        </w:rPr>
        <w:t>Paid Maternity, Paternity and Parental Leave</w:t>
      </w:r>
      <w:r w:rsidRPr="00CF326B">
        <w:t>, Report no. 47, Canberra.</w:t>
      </w:r>
    </w:p>
    <w:p w14:paraId="57A1ABD6" w14:textId="77777777" w:rsidR="004C63FA" w:rsidRPr="00CF326B" w:rsidRDefault="004C63FA" w:rsidP="004C63FA">
      <w:pPr>
        <w:pStyle w:val="Reference"/>
      </w:pPr>
      <w:proofErr w:type="spellStart"/>
      <w:r w:rsidRPr="00CF326B">
        <w:t>Pinquart</w:t>
      </w:r>
      <w:proofErr w:type="spellEnd"/>
      <w:r w:rsidRPr="00CF326B">
        <w:t xml:space="preserve">, M. and Sörensen, S. 2003, ‘Differences between caregivers and </w:t>
      </w:r>
      <w:proofErr w:type="spellStart"/>
      <w:r w:rsidRPr="00CF326B">
        <w:t>noncaregivers</w:t>
      </w:r>
      <w:proofErr w:type="spellEnd"/>
      <w:r w:rsidRPr="00CF326B">
        <w:t xml:space="preserve"> in psychological health and physical health: a meta-analysis’, American Psychological Association, </w:t>
      </w:r>
      <w:r w:rsidRPr="00CF326B">
        <w:rPr>
          <w:i/>
          <w:iCs/>
        </w:rPr>
        <w:t>Psychology and Aging</w:t>
      </w:r>
      <w:r w:rsidRPr="00CF326B">
        <w:t>, vol. 18, no. 2, pp. 250–267.</w:t>
      </w:r>
    </w:p>
    <w:p w14:paraId="704A2481" w14:textId="77777777" w:rsidR="004C63FA" w:rsidRPr="00CF326B" w:rsidRDefault="004C63FA" w:rsidP="004C63FA">
      <w:pPr>
        <w:pStyle w:val="Reference"/>
      </w:pPr>
      <w:proofErr w:type="spellStart"/>
      <w:r w:rsidRPr="00CF326B">
        <w:t>Pristavec</w:t>
      </w:r>
      <w:proofErr w:type="spellEnd"/>
      <w:r w:rsidRPr="00CF326B">
        <w:t xml:space="preserve">, T. and Luth, E.A. 2020, ‘Informal caregiver burden, benefits, and older adult mortality: A survival analysis’, </w:t>
      </w:r>
      <w:r w:rsidRPr="00CF326B">
        <w:rPr>
          <w:i/>
          <w:iCs/>
        </w:rPr>
        <w:t>Journals of Gerontology: Social Sciences</w:t>
      </w:r>
      <w:r w:rsidRPr="00CF326B">
        <w:t>, vol. 75, no. 10, pp. 2193–2206.</w:t>
      </w:r>
    </w:p>
    <w:p w14:paraId="67675B0D" w14:textId="77777777" w:rsidR="004C63FA" w:rsidRPr="00CF326B" w:rsidRDefault="004C63FA" w:rsidP="004C63FA">
      <w:pPr>
        <w:pStyle w:val="Reference"/>
      </w:pPr>
      <w:r w:rsidRPr="00CF326B">
        <w:t xml:space="preserve">RCACQS (Royal Commission into Aged Care Quality and Safety) 2021, </w:t>
      </w:r>
      <w:r w:rsidRPr="00CF326B">
        <w:rPr>
          <w:i/>
          <w:iCs/>
        </w:rPr>
        <w:t>Final Report: Care, Dignity and Respect, Volume 2, The Current System</w:t>
      </w:r>
      <w:r w:rsidRPr="00CF326B">
        <w:t>.</w:t>
      </w:r>
    </w:p>
    <w:p w14:paraId="031CFB09" w14:textId="77777777" w:rsidR="004C63FA" w:rsidRPr="00CF326B" w:rsidRDefault="004C63FA" w:rsidP="004C63FA">
      <w:pPr>
        <w:pStyle w:val="Reference"/>
      </w:pPr>
      <w:proofErr w:type="spellStart"/>
      <w:r w:rsidRPr="00CF326B">
        <w:lastRenderedPageBreak/>
        <w:t>Rocard</w:t>
      </w:r>
      <w:proofErr w:type="spellEnd"/>
      <w:r w:rsidRPr="00CF326B">
        <w:t xml:space="preserve">, E. and </w:t>
      </w:r>
      <w:proofErr w:type="spellStart"/>
      <w:r w:rsidRPr="00CF326B">
        <w:t>Llena-Nozal</w:t>
      </w:r>
      <w:proofErr w:type="spellEnd"/>
      <w:r w:rsidRPr="00CF326B">
        <w:t xml:space="preserve">, A. 2022, </w:t>
      </w:r>
      <w:r w:rsidRPr="00CF326B">
        <w:rPr>
          <w:i/>
          <w:iCs/>
        </w:rPr>
        <w:t>Supporting informal carers of older people: Policies to leave no carer behind</w:t>
      </w:r>
      <w:r w:rsidRPr="00CF326B">
        <w:t>, OECD, Paris.</w:t>
      </w:r>
    </w:p>
    <w:p w14:paraId="09D73EAC" w14:textId="77777777" w:rsidR="004C63FA" w:rsidRPr="00CF326B" w:rsidRDefault="004C63FA" w:rsidP="004C63FA">
      <w:pPr>
        <w:pStyle w:val="Reference"/>
      </w:pPr>
      <w:r w:rsidRPr="00CF326B">
        <w:t xml:space="preserve">Schirmer, J., Mylek, M. and Miranti, R. 2022, </w:t>
      </w:r>
      <w:r w:rsidRPr="00CF326B">
        <w:rPr>
          <w:i/>
          <w:iCs/>
        </w:rPr>
        <w:t>Caring for others and yourself: 2022 Carer Wellbeing Survey</w:t>
      </w:r>
      <w:r w:rsidRPr="00CF326B">
        <w:t>, Carers Australia.</w:t>
      </w:r>
    </w:p>
    <w:p w14:paraId="218BFB05" w14:textId="77777777" w:rsidR="004C63FA" w:rsidRPr="00CF326B" w:rsidRDefault="004C63FA" w:rsidP="004C63FA">
      <w:pPr>
        <w:pStyle w:val="Reference"/>
      </w:pPr>
      <w:r w:rsidRPr="00CF326B">
        <w:t xml:space="preserve">SCRGSP (Steering Committee for the Review of Government Service Provision) 2020, </w:t>
      </w:r>
      <w:r w:rsidRPr="00CF326B">
        <w:rPr>
          <w:i/>
          <w:iCs/>
        </w:rPr>
        <w:t>Report on Government Services 2020 - Part F Community Services</w:t>
      </w:r>
      <w:r w:rsidRPr="00CF326B">
        <w:t>, Productivity Commission, Canberra.</w:t>
      </w:r>
    </w:p>
    <w:p w14:paraId="1229B192" w14:textId="77777777" w:rsidR="004C63FA" w:rsidRPr="00CF326B" w:rsidRDefault="004C63FA" w:rsidP="004C63FA">
      <w:pPr>
        <w:pStyle w:val="Reference"/>
      </w:pPr>
      <w:r w:rsidRPr="00CF326B">
        <w:t>——</w:t>
      </w:r>
      <w:r>
        <w:t xml:space="preserve"> </w:t>
      </w:r>
      <w:r w:rsidRPr="00CF326B">
        <w:t xml:space="preserve">2022a, </w:t>
      </w:r>
      <w:r w:rsidRPr="00CF326B">
        <w:rPr>
          <w:i/>
          <w:iCs/>
        </w:rPr>
        <w:t>Report on Government Services 2022 - Part E Health</w:t>
      </w:r>
      <w:r w:rsidRPr="00CF326B">
        <w:t>, Productivity Commission, Canberra.</w:t>
      </w:r>
    </w:p>
    <w:p w14:paraId="648DF28F" w14:textId="77777777" w:rsidR="004C63FA" w:rsidRPr="00CF326B" w:rsidRDefault="004C63FA" w:rsidP="004C63FA">
      <w:pPr>
        <w:pStyle w:val="Reference"/>
      </w:pPr>
      <w:r w:rsidRPr="00CF326B">
        <w:t xml:space="preserve">—— 2022b, </w:t>
      </w:r>
      <w:r w:rsidRPr="00CF326B">
        <w:rPr>
          <w:i/>
          <w:iCs/>
        </w:rPr>
        <w:t>Report on Government Services 2022 - Part F Community Services</w:t>
      </w:r>
      <w:r w:rsidRPr="00CF326B">
        <w:t>, Productivity Commission, Canberra.</w:t>
      </w:r>
    </w:p>
    <w:p w14:paraId="349F4934" w14:textId="77777777" w:rsidR="004C63FA" w:rsidRPr="00CF326B" w:rsidRDefault="004C63FA" w:rsidP="004C63FA">
      <w:pPr>
        <w:pStyle w:val="Reference"/>
      </w:pPr>
      <w:r w:rsidRPr="00CF326B">
        <w:t xml:space="preserve">Skira, M. 2015, ‘Dynamic wage and employment effects of elder parent care’, </w:t>
      </w:r>
      <w:r w:rsidRPr="00CF326B">
        <w:rPr>
          <w:i/>
          <w:iCs/>
        </w:rPr>
        <w:t>International Economic Review</w:t>
      </w:r>
      <w:r w:rsidRPr="00CF326B">
        <w:t>, vol. 56, no. 1, pp. 63–93.</w:t>
      </w:r>
    </w:p>
    <w:p w14:paraId="5DC82B9A" w14:textId="77777777" w:rsidR="004C63FA" w:rsidRPr="00CF326B" w:rsidRDefault="004C63FA" w:rsidP="004C63FA">
      <w:pPr>
        <w:pStyle w:val="Reference"/>
      </w:pPr>
      <w:r w:rsidRPr="00CF326B">
        <w:t xml:space="preserve">Summers, L.H. 1989, ‘Some simple economics of mandated benefits’, </w:t>
      </w:r>
      <w:r w:rsidRPr="00CF326B">
        <w:rPr>
          <w:i/>
          <w:iCs/>
        </w:rPr>
        <w:t>The American Economic Review</w:t>
      </w:r>
      <w:r w:rsidRPr="00CF326B">
        <w:t>, vol. 79, no. 2, pp. 177–183.</w:t>
      </w:r>
    </w:p>
    <w:p w14:paraId="633D995F" w14:textId="77777777" w:rsidR="004C63FA" w:rsidRPr="00CF326B" w:rsidRDefault="004C63FA" w:rsidP="004C63FA">
      <w:pPr>
        <w:pStyle w:val="Reference"/>
      </w:pPr>
      <w:r w:rsidRPr="00CF326B">
        <w:t xml:space="preserve">Syse, A., Artamonova, A., Thomas, M. and Veenstra, M. 2022, ‘Do characteristics of family members influence older persons’ </w:t>
      </w:r>
      <w:r w:rsidRPr="00CF326B">
        <w:t xml:space="preserve">transition to long-term healthcare services?’, </w:t>
      </w:r>
      <w:r w:rsidRPr="00CF326B">
        <w:rPr>
          <w:i/>
          <w:iCs/>
        </w:rPr>
        <w:t>BMC Health Services Research</w:t>
      </w:r>
      <w:r w:rsidRPr="00CF326B">
        <w:t>, vol. 22, no. 362, pp. 1–13.</w:t>
      </w:r>
    </w:p>
    <w:p w14:paraId="4D31B6F7" w14:textId="77777777" w:rsidR="004C63FA" w:rsidRPr="00CF326B" w:rsidRDefault="004C63FA" w:rsidP="004C63FA">
      <w:pPr>
        <w:pStyle w:val="Reference"/>
      </w:pPr>
      <w:r w:rsidRPr="00CF326B">
        <w:t xml:space="preserve">Thomas, M. 2020, ‘The impact of mandated maternity leave policies on the gender gap in promotions: examining the role of employer-based discrimination’, </w:t>
      </w:r>
      <w:r w:rsidRPr="00CF326B">
        <w:rPr>
          <w:i/>
          <w:iCs/>
        </w:rPr>
        <w:t>SSRN Electronic Journal</w:t>
      </w:r>
      <w:r w:rsidRPr="00CF326B">
        <w:t>, https://www.ssrn.com/abstract=3729663 (accessed 6 February 2023).</w:t>
      </w:r>
    </w:p>
    <w:p w14:paraId="0744F953" w14:textId="77777777" w:rsidR="004C63FA" w:rsidRPr="00CF326B" w:rsidRDefault="004C63FA" w:rsidP="004C63FA">
      <w:pPr>
        <w:pStyle w:val="Reference"/>
      </w:pPr>
      <w:r w:rsidRPr="00CF326B">
        <w:t xml:space="preserve">Van den Berg, B., </w:t>
      </w:r>
      <w:proofErr w:type="spellStart"/>
      <w:r w:rsidRPr="00CF326B">
        <w:t>Bleichrodt</w:t>
      </w:r>
      <w:proofErr w:type="spellEnd"/>
      <w:r w:rsidRPr="00CF326B">
        <w:t xml:space="preserve">, H. and </w:t>
      </w:r>
      <w:proofErr w:type="spellStart"/>
      <w:r w:rsidRPr="00CF326B">
        <w:t>Eeckhoudt</w:t>
      </w:r>
      <w:proofErr w:type="spellEnd"/>
      <w:r w:rsidRPr="00CF326B">
        <w:t xml:space="preserve">, L. 2005, ‘The economic value of informal care: a study of informal caregivers’ and patients’ willingness to pay and willingness to accept for informal care’, Wiley Online Library, </w:t>
      </w:r>
      <w:r w:rsidRPr="00CF326B">
        <w:rPr>
          <w:i/>
          <w:iCs/>
        </w:rPr>
        <w:t>Health Economics</w:t>
      </w:r>
      <w:r w:rsidRPr="00CF326B">
        <w:t>, vol. 14, no. 4, pp. 363–376.</w:t>
      </w:r>
    </w:p>
    <w:p w14:paraId="7C1DA596" w14:textId="77777777" w:rsidR="004C63FA" w:rsidRPr="00CF326B" w:rsidRDefault="004C63FA" w:rsidP="004C63FA">
      <w:pPr>
        <w:pStyle w:val="Reference"/>
      </w:pPr>
      <w:r w:rsidRPr="00CF326B">
        <w:t xml:space="preserve">Van </w:t>
      </w:r>
      <w:proofErr w:type="spellStart"/>
      <w:r w:rsidRPr="00CF326B">
        <w:t>Houtven</w:t>
      </w:r>
      <w:proofErr w:type="spellEnd"/>
      <w:r w:rsidRPr="00CF326B">
        <w:t xml:space="preserve">, C.H. and Norton, E.C. 2004, ‘Informal care and health care use of older adults’, Elsevier, </w:t>
      </w:r>
      <w:r w:rsidRPr="00CF326B">
        <w:rPr>
          <w:i/>
          <w:iCs/>
        </w:rPr>
        <w:t>Journal of Health Economics</w:t>
      </w:r>
      <w:r w:rsidRPr="00CF326B">
        <w:t>, vol. 23, no. 6, pp. 1159–1180.</w:t>
      </w:r>
    </w:p>
    <w:p w14:paraId="186673CA" w14:textId="77777777" w:rsidR="004C63FA" w:rsidRPr="00CF326B" w:rsidRDefault="004C63FA" w:rsidP="004C63FA">
      <w:pPr>
        <w:pStyle w:val="Reference"/>
      </w:pPr>
      <w:r w:rsidRPr="00CF326B">
        <w:t xml:space="preserve">Weaver, F.M. and Weaver, B.A. 2014, ‘Does availability of informal care within the household impact hospitalisation?’, Cambridge University Press, </w:t>
      </w:r>
      <w:r w:rsidRPr="00CF326B">
        <w:rPr>
          <w:i/>
          <w:iCs/>
        </w:rPr>
        <w:t>Health Economics, Policy and Law</w:t>
      </w:r>
      <w:r w:rsidRPr="00CF326B">
        <w:t>, vol. 9, no. 1, pp. 71–93.</w:t>
      </w:r>
    </w:p>
    <w:p w14:paraId="2D74CF72" w14:textId="77777777" w:rsidR="004C63FA" w:rsidRPr="00CF326B" w:rsidRDefault="004C63FA" w:rsidP="004C63FA">
      <w:pPr>
        <w:pStyle w:val="Reference"/>
      </w:pPr>
      <w:r w:rsidRPr="00CF326B">
        <w:t xml:space="preserve">Xiao, P. 2019, </w:t>
      </w:r>
      <w:r w:rsidRPr="00CF326B">
        <w:rPr>
          <w:i/>
          <w:iCs/>
        </w:rPr>
        <w:t xml:space="preserve">Wage and employment discrimination by gender in </w:t>
      </w:r>
      <w:proofErr w:type="spellStart"/>
      <w:r w:rsidRPr="00CF326B">
        <w:rPr>
          <w:i/>
          <w:iCs/>
        </w:rPr>
        <w:t>labor</w:t>
      </w:r>
      <w:proofErr w:type="spellEnd"/>
      <w:r w:rsidRPr="00CF326B">
        <w:rPr>
          <w:i/>
          <w:iCs/>
        </w:rPr>
        <w:t xml:space="preserve"> market equilibrium</w:t>
      </w:r>
      <w:r w:rsidRPr="00CF326B">
        <w:t>, Working Papers 144, VATT Institute for Economic Research.</w:t>
      </w:r>
    </w:p>
    <w:p w14:paraId="71B606B6" w14:textId="77777777" w:rsidR="004C63FA" w:rsidRDefault="004C63FA" w:rsidP="00762BAE">
      <w:pPr>
        <w:pStyle w:val="Reference"/>
        <w:sectPr w:rsidR="004C63FA" w:rsidSect="004C63FA">
          <w:type w:val="continuous"/>
          <w:pgSz w:w="11906" w:h="16838" w:code="9"/>
          <w:pgMar w:top="1134" w:right="1134" w:bottom="1134" w:left="1134" w:header="794" w:footer="510" w:gutter="0"/>
          <w:cols w:num="2" w:space="708"/>
          <w:docGrid w:linePitch="360"/>
        </w:sectPr>
      </w:pPr>
    </w:p>
    <w:p w14:paraId="269DA2B5" w14:textId="77777777" w:rsidR="00762BAE" w:rsidRDefault="00762BAE" w:rsidP="00762BAE">
      <w:pPr>
        <w:pStyle w:val="Reference"/>
      </w:pPr>
    </w:p>
    <w:p w14:paraId="733A76B9" w14:textId="77777777" w:rsidR="00762BAE" w:rsidRDefault="00762BAE" w:rsidP="00762BAE">
      <w:pPr>
        <w:pStyle w:val="Reference"/>
      </w:pPr>
    </w:p>
    <w:p w14:paraId="09F7CAB5" w14:textId="5063D378" w:rsidR="00EE7C82" w:rsidRDefault="00EE7C82" w:rsidP="00EE7C82">
      <w:pPr>
        <w:spacing w:before="0" w:after="160" w:line="259" w:lineRule="auto"/>
      </w:pPr>
    </w:p>
    <w:sectPr w:rsidR="00EE7C82" w:rsidSect="004C63FA">
      <w:type w:val="continuous"/>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BA307" w14:textId="77777777" w:rsidR="00A17728" w:rsidRDefault="00A17728" w:rsidP="008017BC">
      <w:r>
        <w:separator/>
      </w:r>
    </w:p>
    <w:p w14:paraId="0929FCDE" w14:textId="77777777" w:rsidR="00A17728" w:rsidRDefault="00A17728"/>
  </w:endnote>
  <w:endnote w:type="continuationSeparator" w:id="0">
    <w:p w14:paraId="02557447" w14:textId="77777777" w:rsidR="00A17728" w:rsidRDefault="00A17728" w:rsidP="008017BC">
      <w:r>
        <w:continuationSeparator/>
      </w:r>
    </w:p>
    <w:p w14:paraId="235A6684" w14:textId="77777777" w:rsidR="00A17728" w:rsidRDefault="00A17728"/>
  </w:endnote>
  <w:endnote w:type="continuationNotice" w:id="1">
    <w:p w14:paraId="642BCA56" w14:textId="77777777" w:rsidR="00A17728" w:rsidRDefault="00A1772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15A9" w14:textId="77777777" w:rsidR="00762BAE" w:rsidRDefault="00762BAE"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7FFF1033" w14:textId="77777777" w:rsidR="00762BAE" w:rsidRDefault="00762BAE"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60AA" w14:textId="77777777" w:rsidR="00A17728" w:rsidRPr="00C238D1" w:rsidRDefault="00A17728" w:rsidP="00273E86">
      <w:pPr>
        <w:spacing w:after="0" w:line="240" w:lineRule="auto"/>
        <w:rPr>
          <w:rStyle w:val="ColourDarkBlue"/>
        </w:rPr>
      </w:pPr>
      <w:r w:rsidRPr="00C238D1">
        <w:rPr>
          <w:rStyle w:val="ColourDarkBlue"/>
        </w:rPr>
        <w:continuationSeparator/>
      </w:r>
    </w:p>
  </w:footnote>
  <w:footnote w:type="continuationSeparator" w:id="0">
    <w:p w14:paraId="44339B17" w14:textId="77777777" w:rsidR="00A17728" w:rsidRPr="001D7D9B" w:rsidRDefault="00A17728" w:rsidP="001D7D9B">
      <w:pPr>
        <w:spacing w:after="0" w:line="240" w:lineRule="auto"/>
        <w:rPr>
          <w:color w:val="265A9A" w:themeColor="background2"/>
        </w:rPr>
      </w:pPr>
      <w:r w:rsidRPr="00C238D1">
        <w:rPr>
          <w:rStyle w:val="ColourDarkBlue"/>
        </w:rPr>
        <w:continuationSeparator/>
      </w:r>
    </w:p>
  </w:footnote>
  <w:footnote w:type="continuationNotice" w:id="1">
    <w:p w14:paraId="28DC4093" w14:textId="77777777" w:rsidR="00A17728" w:rsidRDefault="00A17728"/>
  </w:footnote>
  <w:footnote w:id="2">
    <w:p w14:paraId="5C301939" w14:textId="5A440AEA" w:rsidR="005C31C5" w:rsidRDefault="005C31C5">
      <w:pPr>
        <w:pStyle w:val="FootnoteText"/>
      </w:pPr>
      <w:r w:rsidRPr="00BE59F4">
        <w:rPr>
          <w:rStyle w:val="FootnoteReference"/>
        </w:rPr>
        <w:footnoteRef/>
      </w:r>
      <w:r>
        <w:t xml:space="preserve"> A third possibility is that the user would have been able to take extended unpaid carer leave in the absence of the entitlement. As these users would not be affected by the entitlement, they are not discussed in this supporting paper.</w:t>
      </w:r>
    </w:p>
  </w:footnote>
  <w:footnote w:id="3">
    <w:p w14:paraId="7E836FDC" w14:textId="468C358B" w:rsidR="00D62F80" w:rsidRDefault="00D62F80" w:rsidP="00D62F80">
      <w:pPr>
        <w:pStyle w:val="FootnoteText"/>
      </w:pPr>
      <w:r w:rsidRPr="00BE59F4">
        <w:rPr>
          <w:rStyle w:val="FootnoteReference"/>
        </w:rPr>
        <w:footnoteRef/>
      </w:r>
      <w:r>
        <w:t xml:space="preserve"> While more marginal, the entitlement would also preserve some of </w:t>
      </w:r>
      <w:r w:rsidR="0014405F">
        <w:t xml:space="preserve">the </w:t>
      </w:r>
      <w:r>
        <w:t>users’ accrued workplace benefits, such as personal leave and long service leave (that has not yet matured).</w:t>
      </w:r>
    </w:p>
  </w:footnote>
  <w:footnote w:id="4">
    <w:p w14:paraId="3DBDAFF1" w14:textId="49E54F44" w:rsidR="002E3156" w:rsidRDefault="002E3156">
      <w:pPr>
        <w:pStyle w:val="FootnoteText"/>
      </w:pPr>
      <w:r>
        <w:rPr>
          <w:rStyle w:val="FootnoteReference"/>
        </w:rPr>
        <w:footnoteRef/>
      </w:r>
      <w:r>
        <w:t xml:space="preserve"> </w:t>
      </w:r>
      <w:r>
        <w:rPr>
          <w:shd w:val="clear" w:color="auto" w:fill="FFFFFF"/>
        </w:rPr>
        <w:t>This report uses unit record data from the Household, Income and Labour Dynamics in Australia (HILDA) Survey.  The HILDA project was initiated and is funded by the Australian Government Department of Social Services (DSS</w:t>
      </w:r>
      <w:proofErr w:type="gramStart"/>
      <w:r>
        <w:rPr>
          <w:shd w:val="clear" w:color="auto" w:fill="FFFFFF"/>
        </w:rPr>
        <w:t>), and</w:t>
      </w:r>
      <w:proofErr w:type="gramEnd"/>
      <w:r>
        <w:rPr>
          <w:shd w:val="clear" w:color="auto" w:fill="FFFFFF"/>
        </w:rPr>
        <w:t xml:space="preserve"> is managed by the Melbourne Institute of Applied Economic and Social Research (the Melbourne Institute). The finding and views in this report, however, are those of the Commission and should not be attributed to either DSS or the Melbourne Institute</w:t>
      </w:r>
      <w:r>
        <w:t xml:space="preserve">. Further information on the design of HILDA can be found in Watson and Wooden </w:t>
      </w:r>
      <w:r w:rsidRPr="00E971A0">
        <w:rPr>
          <w:rFonts w:ascii="Arial" w:hAnsi="Arial" w:cs="Arial"/>
        </w:rPr>
        <w:t>(2012)</w:t>
      </w:r>
      <w:r>
        <w:t>.</w:t>
      </w:r>
    </w:p>
  </w:footnote>
  <w:footnote w:id="5">
    <w:p w14:paraId="136753D2" w14:textId="4A9FBE64" w:rsidR="00D62F80" w:rsidRDefault="00D62F80" w:rsidP="00D62F80">
      <w:pPr>
        <w:pStyle w:val="FootnoteText"/>
      </w:pPr>
      <w:r>
        <w:rPr>
          <w:rStyle w:val="FootnoteReference"/>
        </w:rPr>
        <w:footnoteRef/>
      </w:r>
      <w:r>
        <w:t xml:space="preserve"> The amounts were rescaled to 2018 AUD by converting to 2001 AUD (on a purchasing power parity basis) and then scaling by the change in the CPI between 2001 and 2018. The 2001 PPP exchange rate for Australia to the Netherlands was 1.328/0.905 = 1.47 </w:t>
      </w:r>
      <w:r w:rsidR="006E20B7" w:rsidRPr="006E20B7">
        <w:rPr>
          <w:rFonts w:ascii="Arial" w:hAnsi="Arial" w:cs="Arial"/>
          <w:szCs w:val="24"/>
        </w:rPr>
        <w:t>(OECD 2022)</w:t>
      </w:r>
      <w:r>
        <w:t>. The change in the CPI from June 2001 to June 2018 was 113/74.5 = 1.52. And the scaling factor (1.328/0.</w:t>
      </w:r>
      <w:proofErr w:type="gramStart"/>
      <w:r>
        <w:t>905)*</w:t>
      </w:r>
      <w:proofErr w:type="gramEnd"/>
      <w:r>
        <w:t>(113/74.5) = 2.23.</w:t>
      </w:r>
    </w:p>
  </w:footnote>
  <w:footnote w:id="6">
    <w:p w14:paraId="7E074D5E" w14:textId="36DE9BC3" w:rsidR="00D62F80" w:rsidRDefault="00D62F80" w:rsidP="00D62F80">
      <w:pPr>
        <w:pStyle w:val="FootnoteText"/>
      </w:pPr>
      <w:r>
        <w:rPr>
          <w:rStyle w:val="FootnoteReference"/>
        </w:rPr>
        <w:footnoteRef/>
      </w:r>
      <w:r>
        <w:t xml:space="preserve"> This is in the ballpark of other estimates of the hourly value of informal care (usually from the perspective of the carer and so less relevant to our purposes). For example, </w:t>
      </w:r>
      <w:r w:rsidR="00B2483C">
        <w:t xml:space="preserve">Engel et al </w:t>
      </w:r>
      <w:r w:rsidR="00B2483C" w:rsidRPr="00B2483C">
        <w:rPr>
          <w:rFonts w:ascii="Arial" w:hAnsi="Arial" w:cs="Arial"/>
        </w:rPr>
        <w:t>(2021)</w:t>
      </w:r>
      <w:r>
        <w:t xml:space="preserve"> report the mean estimate of the hourly value of informal care to be $US16.78 in 2018, which was about $A24 in 2018 when converted on purchasing power parity terms.</w:t>
      </w:r>
    </w:p>
  </w:footnote>
  <w:footnote w:id="7">
    <w:p w14:paraId="52D605D5" w14:textId="2F18B924" w:rsidR="00D41BFA" w:rsidRDefault="00D41BFA" w:rsidP="00D41BFA">
      <w:pPr>
        <w:pStyle w:val="FootnoteText"/>
      </w:pPr>
      <w:r w:rsidRPr="00BE59F4">
        <w:rPr>
          <w:rStyle w:val="FootnoteReference"/>
        </w:rPr>
        <w:footnoteRef/>
      </w:r>
      <w:r>
        <w:t xml:space="preserve"> </w:t>
      </w:r>
      <w:r w:rsidRPr="003E07B8">
        <w:t>Employer groups highlighted these costs in their submission</w:t>
      </w:r>
      <w:r w:rsidR="00093596">
        <w:t xml:space="preserve"> but </w:t>
      </w:r>
      <w:r w:rsidR="00856309">
        <w:t>did</w:t>
      </w:r>
      <w:r w:rsidR="00093596">
        <w:t xml:space="preserve"> not </w:t>
      </w:r>
      <w:r w:rsidRPr="003E07B8">
        <w:t>provid</w:t>
      </w:r>
      <w:r w:rsidR="00093596">
        <w:t xml:space="preserve">e </w:t>
      </w:r>
      <w:r w:rsidRPr="003E07B8">
        <w:t xml:space="preserve">information </w:t>
      </w:r>
      <w:r w:rsidR="00093596">
        <w:t xml:space="preserve">on </w:t>
      </w:r>
      <w:r w:rsidRPr="003E07B8">
        <w:t>their magnitude (Chamber of Commerce and Industry Queensland; sub. 16; Australian Industry Group, sub. 34).</w:t>
      </w:r>
    </w:p>
  </w:footnote>
  <w:footnote w:id="8">
    <w:p w14:paraId="445D2E98" w14:textId="77777777" w:rsidR="00620C3F" w:rsidRDefault="00620C3F" w:rsidP="00620C3F">
      <w:pPr>
        <w:pStyle w:val="FootnoteText"/>
      </w:pPr>
      <w:r w:rsidRPr="00BE59F4">
        <w:rPr>
          <w:rStyle w:val="FootnoteReference"/>
        </w:rPr>
        <w:footnoteRef/>
      </w:r>
      <w:r>
        <w:t xml:space="preserve"> While more speculative, it is possible that the cost of the entitlement may be higher than the cost of an unexpected extension to parental leave because in many cases a replacement employee will already be available if parental leave is extended.</w:t>
      </w:r>
    </w:p>
  </w:footnote>
  <w:footnote w:id="9">
    <w:p w14:paraId="27C70320" w14:textId="77777777" w:rsidR="002C22E3" w:rsidRDefault="002C22E3" w:rsidP="002C22E3">
      <w:pPr>
        <w:pStyle w:val="FootnoteText"/>
      </w:pPr>
      <w:r w:rsidRPr="0014405F">
        <w:rPr>
          <w:rStyle w:val="FootnoteReference"/>
        </w:rPr>
        <w:footnoteRef/>
      </w:r>
      <w:r>
        <w:t xml:space="preserve"> This is unambiguously the case for the studies in which the counterfactual is a scenario where employees are entitled to take </w:t>
      </w:r>
      <w:proofErr w:type="gramStart"/>
      <w:r>
        <w:t>leave</w:t>
      </w:r>
      <w:proofErr w:type="gramEnd"/>
      <w:r>
        <w:t xml:space="preserve"> but none choose to do so </w:t>
      </w:r>
      <w:r w:rsidRPr="00EB2E99">
        <w:rPr>
          <w:rFonts w:ascii="Arial" w:hAnsi="Arial" w:cs="Arial"/>
          <w:szCs w:val="24"/>
        </w:rPr>
        <w:t>(Appelbaum and Milkman 2011; Bedard and Rossin-Slater 2016; Brenøe et al. 2020)</w:t>
      </w:r>
      <w:r>
        <w:t xml:space="preserve">. In principle, the two studies in which the counterfactual is that employees are entitled only to a shorter period of leave </w:t>
      </w:r>
      <w:r w:rsidRPr="00441D72">
        <w:rPr>
          <w:rFonts w:ascii="Arial" w:hAnsi="Arial" w:cs="Arial"/>
          <w:szCs w:val="24"/>
        </w:rPr>
        <w:t>(Gallen 2018; Ginja, Karimi and Xiao 2023)</w:t>
      </w:r>
      <w:r>
        <w:t xml:space="preserve"> might capture both types of entitlement users, but it appears that most are entitlement users who would otherwise have remained in paid work. Both studies find that the longer leave entitlement made leave-takers more likely to quit their job, whereas </w:t>
      </w:r>
      <w:proofErr w:type="gramStart"/>
      <w:r>
        <w:t>— by definition — a</w:t>
      </w:r>
      <w:proofErr w:type="gramEnd"/>
      <w:r>
        <w:t xml:space="preserve"> longer leave entitlement would be more likely to prevent an entitlement user who would otherwise have quit their job from leaving it.</w:t>
      </w:r>
    </w:p>
  </w:footnote>
  <w:footnote w:id="10">
    <w:p w14:paraId="106EDDCD" w14:textId="77777777" w:rsidR="00D62F80" w:rsidRDefault="00D62F80" w:rsidP="00D62F80">
      <w:pPr>
        <w:pStyle w:val="FootnoteText"/>
      </w:pPr>
      <w:r w:rsidRPr="00BE59F4">
        <w:rPr>
          <w:rStyle w:val="FootnoteReference"/>
        </w:rPr>
        <w:footnoteRef/>
      </w:r>
      <w:r>
        <w:t xml:space="preserve"> 2018-19 is the year data were most readily available. </w:t>
      </w:r>
    </w:p>
  </w:footnote>
  <w:footnote w:id="11">
    <w:p w14:paraId="083FBDA5" w14:textId="77777777" w:rsidR="00D62F80" w:rsidRDefault="00D62F80" w:rsidP="00D62F80">
      <w:pPr>
        <w:pStyle w:val="FootnoteText"/>
      </w:pPr>
      <w:r w:rsidRPr="00BE59F4">
        <w:rPr>
          <w:rStyle w:val="FootnoteReference"/>
        </w:rPr>
        <w:footnoteRef/>
      </w:r>
      <w:r>
        <w:t xml:space="preserve"> The estimates can be interpreted as components of the estimated fiscal impact of the entitlement had it existed during 2018-19, with the exception that the behavioural responses of employers and employees are assumed to reflect long term average responses. This means that the estimates assume that average labour market conditions apply; they are not specific to a particularly weak or strong labour market.</w:t>
      </w:r>
    </w:p>
  </w:footnote>
  <w:footnote w:id="12">
    <w:p w14:paraId="4A457457" w14:textId="6AAEA7C1" w:rsidR="006C55F3" w:rsidRDefault="006C55F3" w:rsidP="006C55F3">
      <w:pPr>
        <w:pStyle w:val="FootnoteText"/>
      </w:pPr>
      <w:r w:rsidRPr="00BE59F4">
        <w:rPr>
          <w:rStyle w:val="FootnoteReference"/>
        </w:rPr>
        <w:footnoteRef/>
      </w:r>
      <w:r>
        <w:t xml:space="preserve"> This is the average </w:t>
      </w:r>
      <w:r w:rsidR="005E5D3E">
        <w:t xml:space="preserve">2018-19 </w:t>
      </w:r>
      <w:r>
        <w:t xml:space="preserve">income tax paid by </w:t>
      </w:r>
      <w:r w:rsidR="005E5D3E">
        <w:t xml:space="preserve">members of this cohort </w:t>
      </w:r>
      <w:r w:rsidR="008D5A64">
        <w:t>identified in the 2018 ABS Survey of Disability, Ageing and Carers</w:t>
      </w:r>
      <w:r w:rsidR="00925970">
        <w:t xml:space="preserve"> (which has been linked to </w:t>
      </w:r>
      <w:r w:rsidR="0000169D">
        <w:t>income tax return data</w:t>
      </w:r>
      <w:r w:rsidR="00F95AFC">
        <w:t xml:space="preserve"> via the Multi</w:t>
      </w:r>
      <w:r w:rsidR="000D104C">
        <w:t>-</w:t>
      </w:r>
      <w:r w:rsidR="006E79B1">
        <w:t>A</w:t>
      </w:r>
      <w:r w:rsidR="00556598">
        <w:t>gency Data Integra</w:t>
      </w:r>
      <w:r w:rsidR="006E79B1">
        <w:t>tion Project</w:t>
      </w:r>
      <w:r w:rsidR="0000169D">
        <w:t>)</w:t>
      </w:r>
      <w:r w:rsidR="00C52F0E">
        <w:t xml:space="preserve">. </w:t>
      </w:r>
      <w:r w:rsidR="002321F3">
        <w:t xml:space="preserve">The cohort includes </w:t>
      </w:r>
      <w:r w:rsidR="007514B1">
        <w:t>carers of people of any age, not just older people</w:t>
      </w:r>
      <w:r w:rsidR="00C372B0">
        <w:t xml:space="preserve">, as the age of the </w:t>
      </w:r>
      <w:r w:rsidR="00457026">
        <w:t xml:space="preserve">care recipient cannot be identified in </w:t>
      </w:r>
      <w:r w:rsidR="00A22D20">
        <w:t>all cases</w:t>
      </w:r>
      <w:r w:rsidR="00380A7A">
        <w:t xml:space="preserve"> (supporting paper </w:t>
      </w:r>
      <w:r w:rsidR="00304F50">
        <w:t>1</w:t>
      </w:r>
      <w:r w:rsidR="00380A7A">
        <w:t xml:space="preserve">). </w:t>
      </w:r>
      <w:r w:rsidR="006E79B1">
        <w:t xml:space="preserve">In those cases where it is possible to separate the cohorts, the median </w:t>
      </w:r>
      <w:r>
        <w:t>income of each cohort is very similar</w:t>
      </w:r>
      <w:r w:rsidR="00AA599C">
        <w:t>, which suggests that this shortcoming probably does not affect the results by much.</w:t>
      </w:r>
    </w:p>
  </w:footnote>
  <w:footnote w:id="13">
    <w:p w14:paraId="10A601FD" w14:textId="59C401E3" w:rsidR="007276BC" w:rsidRDefault="007276BC" w:rsidP="007276BC">
      <w:pPr>
        <w:pStyle w:val="FootnoteText"/>
      </w:pPr>
      <w:r w:rsidRPr="00BE59F4">
        <w:rPr>
          <w:rStyle w:val="FootnoteReference"/>
        </w:rPr>
        <w:footnoteRef/>
      </w:r>
      <w:r w:rsidR="00D62F80">
        <w:t xml:space="preserve"> People on unpaid leave are not eligible to receive the Jobseeker Payment unless they want to return to work prior to the agreed period of leave but their employer will not allow it, making it unlikely that entitlement users would qualify for the Jobseeker Payment while on leave </w:t>
      </w:r>
      <w:r w:rsidR="00D62F80" w:rsidRPr="001C3F0D">
        <w:rPr>
          <w:rFonts w:ascii="Arial" w:hAnsi="Arial" w:cs="Arial"/>
          <w:szCs w:val="24"/>
        </w:rPr>
        <w:t>(DSS 2022)</w:t>
      </w:r>
      <w:r w:rsidR="00D62F80">
        <w:t xml:space="preserve">. </w:t>
      </w:r>
    </w:p>
  </w:footnote>
  <w:footnote w:id="14">
    <w:p w14:paraId="4BA6F3DE" w14:textId="7802FC45" w:rsidR="00D62F80" w:rsidRDefault="00D62F80" w:rsidP="00D62F80">
      <w:pPr>
        <w:pStyle w:val="FootnoteText"/>
      </w:pPr>
      <w:r>
        <w:rPr>
          <w:rStyle w:val="FootnoteReference"/>
        </w:rPr>
        <w:footnoteRef/>
      </w:r>
      <w:r>
        <w:t xml:space="preserve"> Ninety-five per cent of Carer Payment recipients also received the Carer Allowance in 2018-19. </w:t>
      </w:r>
      <w:r w:rsidR="00B13ED7">
        <w:t xml:space="preserve">This </w:t>
      </w:r>
      <w:r>
        <w:t>excludes the Carer Supplement (Commonwealth Department of Social Security, pers. comm. 13 February 2023).</w:t>
      </w:r>
    </w:p>
  </w:footnote>
  <w:footnote w:id="15">
    <w:p w14:paraId="5EE664E3" w14:textId="6241D670" w:rsidR="00433F2E" w:rsidRDefault="00433F2E" w:rsidP="00433F2E">
      <w:pPr>
        <w:pStyle w:val="FootnoteText"/>
      </w:pPr>
      <w:r w:rsidRPr="00BE59F4">
        <w:rPr>
          <w:rStyle w:val="FootnoteReference"/>
        </w:rPr>
        <w:footnoteRef/>
      </w:r>
      <w:r w:rsidR="000A3FEE">
        <w:t xml:space="preserve"> </w:t>
      </w:r>
      <w:r w:rsidR="00D62F80">
        <w:t xml:space="preserve">We attempted to study the effects of informal care receipt on use of formal aged care services in Australia using methods </w:t>
      </w:r>
      <w:proofErr w:type="gramStart"/>
      <w:r w:rsidR="00D62F80">
        <w:t>similar to</w:t>
      </w:r>
      <w:proofErr w:type="gramEnd"/>
      <w:r w:rsidR="00D62F80">
        <w:t xml:space="preserve"> those used by </w:t>
      </w:r>
      <w:r w:rsidR="00D62F80" w:rsidRPr="004464E9">
        <w:rPr>
          <w:rFonts w:ascii="Arial" w:hAnsi="Arial" w:cs="Arial"/>
          <w:szCs w:val="24"/>
        </w:rPr>
        <w:t xml:space="preserve">Van </w:t>
      </w:r>
      <w:proofErr w:type="spellStart"/>
      <w:r w:rsidR="00D62F80" w:rsidRPr="004464E9">
        <w:rPr>
          <w:rFonts w:ascii="Arial" w:hAnsi="Arial" w:cs="Arial"/>
          <w:szCs w:val="24"/>
        </w:rPr>
        <w:t>Houtven</w:t>
      </w:r>
      <w:proofErr w:type="spellEnd"/>
      <w:r w:rsidR="00D62F80" w:rsidRPr="004464E9">
        <w:rPr>
          <w:rFonts w:ascii="Arial" w:hAnsi="Arial" w:cs="Arial"/>
          <w:szCs w:val="24"/>
        </w:rPr>
        <w:t xml:space="preserve"> and Norton</w:t>
      </w:r>
      <w:r w:rsidR="00D62F80">
        <w:t xml:space="preserve"> </w:t>
      </w:r>
      <w:r w:rsidR="00D62F80" w:rsidRPr="00871186">
        <w:rPr>
          <w:rFonts w:ascii="Arial" w:hAnsi="Arial" w:cs="Arial"/>
        </w:rPr>
        <w:t>(2004)</w:t>
      </w:r>
      <w:r w:rsidR="00D62F80">
        <w:t xml:space="preserve"> and </w:t>
      </w:r>
      <w:r w:rsidR="00D62F80" w:rsidRPr="00871186">
        <w:rPr>
          <w:rFonts w:ascii="Arial" w:hAnsi="Arial" w:cs="Arial"/>
          <w:szCs w:val="24"/>
        </w:rPr>
        <w:t>Bolin, Lindgren and Lundborg</w:t>
      </w:r>
      <w:r w:rsidR="00D62F80">
        <w:rPr>
          <w:rFonts w:ascii="Arial" w:hAnsi="Arial" w:cs="Arial"/>
          <w:szCs w:val="24"/>
        </w:rPr>
        <w:t xml:space="preserve"> </w:t>
      </w:r>
      <w:r w:rsidR="00D62F80" w:rsidRPr="00273D65">
        <w:rPr>
          <w:rFonts w:ascii="Arial" w:hAnsi="Arial" w:cs="Arial"/>
        </w:rPr>
        <w:t>(2008)</w:t>
      </w:r>
      <w:r w:rsidR="00D62F80">
        <w:t xml:space="preserve"> applied to the HILDA dataset, but this was unsuccessful as the sample size was too small.</w:t>
      </w:r>
    </w:p>
  </w:footnote>
  <w:footnote w:id="16">
    <w:p w14:paraId="47B93F1E" w14:textId="18BC8554" w:rsidR="00446399" w:rsidRDefault="00446399" w:rsidP="00446399">
      <w:pPr>
        <w:pStyle w:val="FootnoteText"/>
      </w:pPr>
      <w:r w:rsidRPr="00BE59F4">
        <w:rPr>
          <w:rStyle w:val="FootnoteReference"/>
        </w:rPr>
        <w:footnoteRef/>
      </w:r>
      <w:r w:rsidR="00D62F80">
        <w:t xml:space="preserve"> Based on an average annual government subsidy of $69 114 per occupied residential aged care place per year </w:t>
      </w:r>
      <w:r w:rsidR="00D62F80" w:rsidRPr="009D6263">
        <w:rPr>
          <w:rFonts w:ascii="Arial" w:hAnsi="Arial" w:cs="Arial"/>
          <w:szCs w:val="24"/>
        </w:rPr>
        <w:t>(SCRGSP 2020, table 14A.12)</w:t>
      </w:r>
      <w:r w:rsidR="00D62F80">
        <w:t xml:space="preserve"> and an average annual government subsidy of $5 114 per recipient per year for Home Care Packages and the Commonwealth Home Support Program</w:t>
      </w:r>
      <w:r w:rsidR="00D62F80" w:rsidRPr="00315887">
        <w:rPr>
          <w:rFonts w:ascii="Arial" w:hAnsi="Arial" w:cs="Arial"/>
          <w:szCs w:val="24"/>
        </w:rPr>
        <w:t xml:space="preserve"> </w:t>
      </w:r>
      <w:r w:rsidR="00D62F80">
        <w:rPr>
          <w:rFonts w:ascii="Arial" w:hAnsi="Arial" w:cs="Arial"/>
          <w:szCs w:val="24"/>
        </w:rPr>
        <w:t xml:space="preserve">(Productivity Commission estimate based on </w:t>
      </w:r>
      <w:r w:rsidR="00D62F80" w:rsidRPr="00204661">
        <w:rPr>
          <w:rFonts w:ascii="Arial" w:hAnsi="Arial" w:cs="Arial"/>
          <w:szCs w:val="24"/>
        </w:rPr>
        <w:t>SCRGSP</w:t>
      </w:r>
      <w:r w:rsidR="00D62F80">
        <w:rPr>
          <w:rFonts w:ascii="Arial" w:hAnsi="Arial" w:cs="Arial"/>
          <w:szCs w:val="24"/>
        </w:rPr>
        <w:t> </w:t>
      </w:r>
      <w:r w:rsidR="00D62F80" w:rsidRPr="007E328B">
        <w:rPr>
          <w:rFonts w:ascii="Arial" w:hAnsi="Arial" w:cs="Arial"/>
        </w:rPr>
        <w:t>(2020, tables 14A.2 and 14A.3)</w:t>
      </w:r>
      <w:r w:rsidR="00D62F80">
        <w:t>).</w:t>
      </w:r>
    </w:p>
  </w:footnote>
  <w:footnote w:id="17">
    <w:p w14:paraId="28B735E5" w14:textId="203BE0B7" w:rsidR="006148BC" w:rsidRDefault="006148BC" w:rsidP="006148BC">
      <w:pPr>
        <w:pStyle w:val="FootnoteText"/>
      </w:pPr>
      <w:r w:rsidRPr="00BE59F4">
        <w:rPr>
          <w:rStyle w:val="FootnoteReference"/>
        </w:rPr>
        <w:footnoteRef/>
      </w:r>
      <w:r w:rsidR="00D62F80">
        <w:t xml:space="preserve"> We know of only one study that has measured the effects of </w:t>
      </w:r>
      <w:r w:rsidR="00D62F80" w:rsidRPr="00612D4D">
        <w:rPr>
          <w:i/>
          <w:iCs/>
        </w:rPr>
        <w:t>leave-induced</w:t>
      </w:r>
      <w:r w:rsidR="00D62F80">
        <w:t xml:space="preserve"> informal care on formal aged care use, which found that paid family leave in California reduced use of residential aged care </w:t>
      </w:r>
      <w:r w:rsidR="00D62F80" w:rsidRPr="0059086E">
        <w:rPr>
          <w:rFonts w:ascii="Arial" w:hAnsi="Arial" w:cs="Arial"/>
          <w:szCs w:val="24"/>
        </w:rPr>
        <w:t>(Arora and Wolf 2018)</w:t>
      </w:r>
      <w:r w:rsidR="00D62F80">
        <w:t xml:space="preserve">. However, its findings imply that each leave-taker prevented, on average, more than one person from entering residential aged care in the year in which they took leave, which is implausible (Productivity Commission estimate based on </w:t>
      </w:r>
      <w:r w:rsidR="00D62F80" w:rsidRPr="00D14762">
        <w:rPr>
          <w:rFonts w:ascii="Arial" w:hAnsi="Arial" w:cs="Arial"/>
          <w:szCs w:val="24"/>
        </w:rPr>
        <w:t>Arora and Wolf</w:t>
      </w:r>
      <w:r w:rsidR="00D62F80">
        <w:rPr>
          <w:rFonts w:ascii="Arial" w:hAnsi="Arial" w:cs="Arial"/>
          <w:szCs w:val="24"/>
        </w:rPr>
        <w:t> </w:t>
      </w:r>
      <w:r w:rsidR="00D62F80" w:rsidRPr="00311F55">
        <w:rPr>
          <w:rFonts w:ascii="Arial" w:hAnsi="Arial" w:cs="Arial"/>
        </w:rPr>
        <w:t>(2018)</w:t>
      </w:r>
      <w:r w:rsidR="00D62F80">
        <w:t xml:space="preserve"> and </w:t>
      </w:r>
      <w:r w:rsidR="00D62F80" w:rsidRPr="009C0EFC">
        <w:rPr>
          <w:rFonts w:ascii="Arial" w:hAnsi="Arial" w:cs="Arial"/>
          <w:szCs w:val="24"/>
        </w:rPr>
        <w:t>Bedard and Rossin-Slater</w:t>
      </w:r>
      <w:r w:rsidR="00D62F80">
        <w:rPr>
          <w:rFonts w:ascii="Arial" w:hAnsi="Arial" w:cs="Arial"/>
          <w:szCs w:val="24"/>
        </w:rPr>
        <w:t> </w:t>
      </w:r>
      <w:r w:rsidR="00D62F80" w:rsidRPr="00282E8D">
        <w:rPr>
          <w:rFonts w:ascii="Arial" w:hAnsi="Arial" w:cs="Arial"/>
        </w:rPr>
        <w:t>(2016)</w:t>
      </w:r>
      <w:r w:rsidR="00D62F80">
        <w:t>).</w:t>
      </w:r>
    </w:p>
  </w:footnote>
  <w:footnote w:id="18">
    <w:p w14:paraId="179B5D6C" w14:textId="521814C2" w:rsidR="00D62F80" w:rsidRDefault="00D62F80" w:rsidP="00D62F80">
      <w:pPr>
        <w:pStyle w:val="FootnoteText"/>
      </w:pPr>
      <w:r w:rsidRPr="00BE59F4">
        <w:rPr>
          <w:rStyle w:val="FootnoteReference"/>
        </w:rPr>
        <w:footnoteRef/>
      </w:r>
      <w:r>
        <w:t xml:space="preserve"> This estimate is derived from the following: in 2018-19, people eligible and waiting for residential aged care spent 291 021 days in hospital </w:t>
      </w:r>
      <w:r w:rsidRPr="00F35685">
        <w:rPr>
          <w:rFonts w:ascii="Arial" w:hAnsi="Arial" w:cs="Arial"/>
          <w:szCs w:val="24"/>
        </w:rPr>
        <w:t>(SCRGSP 2022b, table 14A.32)</w:t>
      </w:r>
      <w:r>
        <w:t xml:space="preserve">. The median wait time was 152 days and there were 60 657 admissions </w:t>
      </w:r>
      <w:r w:rsidRPr="00F35685">
        <w:rPr>
          <w:rFonts w:ascii="Arial" w:hAnsi="Arial" w:cs="Arial"/>
          <w:szCs w:val="24"/>
        </w:rPr>
        <w:t>(SCRGSP 2022b, table 14A.25)</w:t>
      </w:r>
      <w:r>
        <w:t>, suggesting about 152*60 657 = 9 219 864 days spent waiting for residential aged care, and 291 021 is approximately 3 per cent of 9 219 864.</w:t>
      </w:r>
    </w:p>
  </w:footnote>
  <w:footnote w:id="19">
    <w:p w14:paraId="3E5BB9CC" w14:textId="77777777" w:rsidR="00D62F80" w:rsidRDefault="00D62F80" w:rsidP="00D62F80">
      <w:pPr>
        <w:pStyle w:val="FootnoteText"/>
      </w:pPr>
      <w:r w:rsidRPr="00BE59F4">
        <w:rPr>
          <w:rStyle w:val="FootnoteReference"/>
        </w:rPr>
        <w:footnoteRef/>
      </w:r>
      <w:r>
        <w:t xml:space="preserve"> Among older people who received informal care at least several times a day in 2018, about half had been hospitalised in the preceding year (Productivity Commission estimate based on SDAC).</w:t>
      </w:r>
    </w:p>
  </w:footnote>
  <w:footnote w:id="20">
    <w:p w14:paraId="5FF39E79" w14:textId="254C8978" w:rsidR="00D62F80" w:rsidRDefault="00D62F80" w:rsidP="00D62F80">
      <w:pPr>
        <w:pStyle w:val="FootnoteText"/>
      </w:pPr>
      <w:r w:rsidRPr="00BE59F4">
        <w:rPr>
          <w:rStyle w:val="FootnoteReference"/>
        </w:rPr>
        <w:footnoteRef/>
      </w:r>
      <w:r>
        <w:t xml:space="preserve"> This is the average recurrent cost per inpatient bed day of for psychiatric care in non-acute unit in a general acute hospital </w:t>
      </w:r>
      <w:r w:rsidRPr="00F35685">
        <w:rPr>
          <w:rFonts w:ascii="Arial" w:hAnsi="Arial" w:cs="Arial"/>
          <w:szCs w:val="24"/>
        </w:rPr>
        <w:t>(SCRGSP 2022a, table 13A.37)</w:t>
      </w:r>
      <w:r>
        <w:t>, used because 1) no data are available for non-psychiatric care, and 2) the cost psychiatric care in non-acute unit is probably more indicative of the cost of the low level of care that would be needed for a patient who could be discharged if an informal carer were available to them.</w:t>
      </w:r>
    </w:p>
  </w:footnote>
  <w:footnote w:id="21">
    <w:p w14:paraId="20138038" w14:textId="77777777" w:rsidR="00D62F80" w:rsidRDefault="00D62F80" w:rsidP="00D62F80">
      <w:pPr>
        <w:pStyle w:val="FootnoteText"/>
      </w:pPr>
      <w:r w:rsidRPr="00BE59F4">
        <w:rPr>
          <w:rStyle w:val="FootnoteReference"/>
        </w:rPr>
        <w:footnoteRef/>
      </w:r>
      <w:r>
        <w:t xml:space="preserve"> Throughout this subsection and the next, we have inflated/deflated income tax receipts by the average per-person change in income tax receipts to allow for comparability between time periods. </w:t>
      </w:r>
    </w:p>
  </w:footnote>
  <w:footnote w:id="22">
    <w:p w14:paraId="02DBF4D4" w14:textId="77777777" w:rsidR="00EE7C82" w:rsidRPr="00442AFB" w:rsidRDefault="00EE7C82" w:rsidP="00EE7C82">
      <w:pPr>
        <w:pStyle w:val="FootnoteText"/>
        <w:rPr>
          <w:spacing w:val="-4"/>
        </w:rPr>
      </w:pPr>
      <w:r w:rsidRPr="00442AFB">
        <w:rPr>
          <w:rStyle w:val="FootnoteReference"/>
          <w:spacing w:val="-4"/>
        </w:rPr>
        <w:footnoteRef/>
      </w:r>
      <w:r w:rsidRPr="00442AFB">
        <w:rPr>
          <w:spacing w:val="-4"/>
        </w:rPr>
        <w:t xml:space="preserve"> This excludes all agreements for which corresponding award entitlement was above NES level of unable to be determined, which leaves 40–50 per cent of agreements depending on the entitlement. In the case of domestic violence leave entitlements, it includes only includes agreements that took effect prior to the Fair Work Commission first indicating that it would add an unpaid domestic violence leave clause to all awards on 3 July 2017, as this may have influenced negotiations. All statistics are Productivity Commission estimates based on the Workplace Entitlements Database Dataset.</w:t>
      </w:r>
    </w:p>
  </w:footnote>
  <w:footnote w:id="23">
    <w:p w14:paraId="2B1FE1A8" w14:textId="08F8CE81" w:rsidR="00B57CB8" w:rsidRDefault="00B57CB8">
      <w:pPr>
        <w:pStyle w:val="FootnoteText"/>
      </w:pPr>
      <w:r w:rsidRPr="00BE59F4">
        <w:rPr>
          <w:rStyle w:val="FootnoteReference"/>
        </w:rPr>
        <w:footnoteRef/>
      </w:r>
      <w:r w:rsidR="00D62F80">
        <w:t xml:space="preserve"> </w:t>
      </w:r>
      <w:r w:rsidR="00D62F80" w:rsidRPr="00486A7E">
        <w:rPr>
          <w:rStyle w:val="FootnoteTextChar"/>
        </w:rPr>
        <w:t>Supporting paper </w:t>
      </w:r>
      <w:r w:rsidR="00D62F80">
        <w:rPr>
          <w:rStyle w:val="FootnoteTextChar"/>
        </w:rPr>
        <w:t xml:space="preserve">1 </w:t>
      </w:r>
      <w:r w:rsidR="00D62F80" w:rsidRPr="00486A7E">
        <w:rPr>
          <w:rStyle w:val="FootnoteTextChar"/>
        </w:rPr>
        <w:t>found that 7000–17 000 people would have used the entitlement if it were available in 2018 in addition to the up to 3000 people who took extended unpaid carer leave in that year</w:t>
      </w:r>
      <w:r w:rsidR="00D62F80">
        <w:t>.</w:t>
      </w:r>
    </w:p>
  </w:footnote>
  <w:footnote w:id="24">
    <w:p w14:paraId="58043F44" w14:textId="15CBF54E" w:rsidR="00D32F8A" w:rsidRDefault="00D32F8A">
      <w:pPr>
        <w:pStyle w:val="FootnoteText"/>
      </w:pPr>
      <w:r>
        <w:rPr>
          <w:rStyle w:val="FootnoteReference"/>
        </w:rPr>
        <w:footnoteRef/>
      </w:r>
      <w:r>
        <w:t xml:space="preserve"> </w:t>
      </w:r>
      <w:r w:rsidR="00A758E3">
        <w:t xml:space="preserve">Carers are also included in several discrimination focused Acts: the NSW </w:t>
      </w:r>
      <w:r w:rsidR="00A758E3" w:rsidRPr="00DE2995">
        <w:rPr>
          <w:i/>
          <w:iCs/>
        </w:rPr>
        <w:t>Anti-Discrimination Act 1977</w:t>
      </w:r>
      <w:r w:rsidR="00A758E3">
        <w:t xml:space="preserve">, the </w:t>
      </w:r>
      <w:r w:rsidR="00FD4120">
        <w:t xml:space="preserve">Sex Discrimination Act </w:t>
      </w:r>
      <w:r w:rsidR="00D25E25">
        <w:t xml:space="preserve">1984 </w:t>
      </w:r>
      <w:r w:rsidR="00FD4120">
        <w:t>(</w:t>
      </w:r>
      <w:proofErr w:type="spellStart"/>
      <w:r w:rsidR="00FD4120">
        <w:t>Cwth</w:t>
      </w:r>
      <w:proofErr w:type="spellEnd"/>
      <w:r w:rsidR="00FD4120">
        <w:t xml:space="preserve">) and </w:t>
      </w:r>
      <w:r w:rsidR="00DE2995">
        <w:t>the Disability Discrimination Act 1992 (</w:t>
      </w:r>
      <w:proofErr w:type="spellStart"/>
      <w:r w:rsidR="00DE2995">
        <w:t>Cwth</w:t>
      </w:r>
      <w:proofErr w:type="spellEnd"/>
      <w:r w:rsidR="00DE2995">
        <w:t xml:space="preserve">), (Carers NSW, sub, 20, p. 12). </w:t>
      </w:r>
    </w:p>
  </w:footnote>
  <w:footnote w:id="25">
    <w:p w14:paraId="61832903" w14:textId="7CAFC4D9" w:rsidR="000B09BC" w:rsidRDefault="000B09BC" w:rsidP="000B09BC">
      <w:pPr>
        <w:pStyle w:val="FootnoteText"/>
      </w:pPr>
      <w:r>
        <w:rPr>
          <w:rStyle w:val="FootnoteReference"/>
        </w:rPr>
        <w:footnoteRef/>
      </w:r>
      <w:r>
        <w:t xml:space="preserve"> </w:t>
      </w:r>
      <w:r w:rsidRPr="000D3245">
        <w:rPr>
          <w:rStyle w:val="FootnoteTextChar"/>
        </w:rPr>
        <w:t xml:space="preserve">The 2022 </w:t>
      </w:r>
      <w:r w:rsidRPr="00F1003E">
        <w:rPr>
          <w:rStyle w:val="FootnoteTextChar"/>
        </w:rPr>
        <w:t xml:space="preserve">Carer Wellbeing </w:t>
      </w:r>
      <w:r w:rsidRPr="000D3245">
        <w:rPr>
          <w:rStyle w:val="FootnoteTextChar"/>
        </w:rPr>
        <w:t xml:space="preserve">Survey </w:t>
      </w:r>
      <w:r>
        <w:rPr>
          <w:rStyle w:val="FootnoteTextChar"/>
        </w:rPr>
        <w:t xml:space="preserve">contains </w:t>
      </w:r>
      <w:r w:rsidRPr="000D3245">
        <w:rPr>
          <w:rStyle w:val="FootnoteTextChar"/>
        </w:rPr>
        <w:t xml:space="preserve">responses from 5992 Australian carers, with findings statistically weighted </w:t>
      </w:r>
      <w:r w:rsidR="001B57D4" w:rsidRPr="00356E53">
        <w:rPr>
          <w:rStyle w:val="NoSpacingChar"/>
        </w:rPr>
        <w:t>permanent</w:t>
      </w:r>
      <w:r w:rsidR="001B57D4" w:rsidRPr="000D3245">
        <w:rPr>
          <w:rStyle w:val="FootnoteTextChar"/>
        </w:rPr>
        <w:t xml:space="preserve"> </w:t>
      </w:r>
      <w:r w:rsidRPr="000D3245">
        <w:rPr>
          <w:rStyle w:val="FootnoteTextChar"/>
        </w:rPr>
        <w:t xml:space="preserve">to be representative of Australia’s carers based on information from </w:t>
      </w:r>
      <w:r>
        <w:rPr>
          <w:rStyle w:val="FootnoteTextChar"/>
        </w:rPr>
        <w:t xml:space="preserve">the </w:t>
      </w:r>
      <w:r w:rsidRPr="000D3245">
        <w:rPr>
          <w:rStyle w:val="FootnoteTextChar"/>
        </w:rPr>
        <w:t>SDAC.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9443" w14:textId="7DB95D8F" w:rsidR="00762BAE" w:rsidRDefault="001E17BF" w:rsidP="00F173EF">
    <w:pPr>
      <w:pStyle w:val="Header-Keyline"/>
    </w:pPr>
    <w:r>
      <w:rPr>
        <w:rStyle w:val="Strong"/>
      </w:rPr>
      <w:t xml:space="preserve">A case for an extended unpaid leave carer </w:t>
    </w:r>
    <w:proofErr w:type="gramStart"/>
    <w:r>
      <w:rPr>
        <w:rStyle w:val="Strong"/>
      </w:rPr>
      <w:t>leave</w:t>
    </w:r>
    <w:proofErr w:type="gramEnd"/>
    <w:r>
      <w:rPr>
        <w:rStyle w:val="Strong"/>
      </w:rPr>
      <w:t xml:space="preserve"> entitlement?</w:t>
    </w:r>
    <w:r w:rsidR="00762BAE">
      <w:t xml:space="preserve"> </w:t>
    </w:r>
    <w:r w:rsidR="00AA2797">
      <w:t>Position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BC42" w14:textId="0B883DC8" w:rsidR="00762BAE" w:rsidRPr="00451604" w:rsidRDefault="00BF3D39" w:rsidP="00F173EF">
    <w:pPr>
      <w:pStyle w:val="Header-KeylineRight"/>
    </w:pPr>
    <w:r>
      <w:t xml:space="preserve">Supporting paper </w:t>
    </w:r>
    <w:r w:rsidR="00451604">
      <w:t>2</w:t>
    </w:r>
    <w:r>
      <w:t xml:space="preserve">: </w:t>
    </w:r>
    <w:r w:rsidR="00762BAE" w:rsidRPr="00451604">
      <w:t>Costs and benefits of an entitlement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624A4E9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377F65"/>
    <w:multiLevelType w:val="hybridMultilevel"/>
    <w:tmpl w:val="B43E4A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D95F65"/>
    <w:multiLevelType w:val="multilevel"/>
    <w:tmpl w:val="C444122C"/>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3E6C9D"/>
    <w:multiLevelType w:val="multilevel"/>
    <w:tmpl w:val="FF8069A4"/>
    <w:numStyleLink w:val="Bullets"/>
  </w:abstractNum>
  <w:abstractNum w:abstractNumId="8"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9" w15:restartNumberingAfterBreak="0">
    <w:nsid w:val="11825DEF"/>
    <w:multiLevelType w:val="hybridMultilevel"/>
    <w:tmpl w:val="7890CF98"/>
    <w:lvl w:ilvl="0" w:tplc="2962003C">
      <w:start w:val="1"/>
      <w:numFmt w:val="decimal"/>
      <w:lvlText w:val="%1."/>
      <w:lvlJc w:val="left"/>
      <w:pPr>
        <w:ind w:left="756" w:hanging="39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1"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2"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665246"/>
    <w:multiLevelType w:val="multilevel"/>
    <w:tmpl w:val="55366B42"/>
    <w:numStyleLink w:val="LetteredList"/>
  </w:abstractNum>
  <w:abstractNum w:abstractNumId="15" w15:restartNumberingAfterBreak="0">
    <w:nsid w:val="2DFE29AF"/>
    <w:multiLevelType w:val="multilevel"/>
    <w:tmpl w:val="72768BCE"/>
    <w:numStyleLink w:val="AppendixHeadingList"/>
  </w:abstractNum>
  <w:abstractNum w:abstractNumId="16" w15:restartNumberingAfterBreak="0">
    <w:nsid w:val="34282B20"/>
    <w:multiLevelType w:val="hybridMultilevel"/>
    <w:tmpl w:val="65D4F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2F7823"/>
    <w:multiLevelType w:val="hybridMultilevel"/>
    <w:tmpl w:val="FD0C5C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6E1E20"/>
    <w:multiLevelType w:val="hybridMultilevel"/>
    <w:tmpl w:val="CA3287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3" w15:restartNumberingAfterBreak="0">
    <w:nsid w:val="64D504A0"/>
    <w:multiLevelType w:val="hybridMultilevel"/>
    <w:tmpl w:val="B5203C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61B4A1B"/>
    <w:multiLevelType w:val="multilevel"/>
    <w:tmpl w:val="4F48000A"/>
    <w:numStyleLink w:val="Alphalist"/>
  </w:abstractNum>
  <w:abstractNum w:abstractNumId="25" w15:restartNumberingAfterBreak="0">
    <w:nsid w:val="7B425DDD"/>
    <w:multiLevelType w:val="hybridMultilevel"/>
    <w:tmpl w:val="A4E093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7617675">
    <w:abstractNumId w:val="10"/>
  </w:num>
  <w:num w:numId="2" w16cid:durableId="613291533">
    <w:abstractNumId w:val="4"/>
  </w:num>
  <w:num w:numId="3" w16cid:durableId="1604151023">
    <w:abstractNumId w:val="13"/>
  </w:num>
  <w:num w:numId="4" w16cid:durableId="103118038">
    <w:abstractNumId w:val="21"/>
  </w:num>
  <w:num w:numId="5" w16cid:durableId="1418749088">
    <w:abstractNumId w:val="22"/>
  </w:num>
  <w:num w:numId="6" w16cid:durableId="109054613">
    <w:abstractNumId w:val="20"/>
  </w:num>
  <w:num w:numId="7" w16cid:durableId="575750006">
    <w:abstractNumId w:val="15"/>
  </w:num>
  <w:num w:numId="8" w16cid:durableId="1404718626">
    <w:abstractNumId w:val="11"/>
  </w:num>
  <w:num w:numId="9" w16cid:durableId="594872481">
    <w:abstractNumId w:val="14"/>
  </w:num>
  <w:num w:numId="10" w16cid:durableId="1995183465">
    <w:abstractNumId w:val="24"/>
  </w:num>
  <w:num w:numId="11" w16cid:durableId="410547123">
    <w:abstractNumId w:val="0"/>
  </w:num>
  <w:num w:numId="12" w16cid:durableId="514341231">
    <w:abstractNumId w:val="5"/>
  </w:num>
  <w:num w:numId="13" w16cid:durableId="309093200">
    <w:abstractNumId w:val="12"/>
  </w:num>
  <w:num w:numId="14" w16cid:durableId="1758361284">
    <w:abstractNumId w:val="8"/>
  </w:num>
  <w:num w:numId="15" w16cid:durableId="644116953">
    <w:abstractNumId w:val="3"/>
  </w:num>
  <w:num w:numId="16" w16cid:durableId="1603150006">
    <w:abstractNumId w:val="17"/>
  </w:num>
  <w:num w:numId="17" w16cid:durableId="1034498510">
    <w:abstractNumId w:val="7"/>
  </w:num>
  <w:num w:numId="18" w16cid:durableId="1748190457">
    <w:abstractNumId w:val="25"/>
  </w:num>
  <w:num w:numId="19" w16cid:durableId="501244566">
    <w:abstractNumId w:val="19"/>
  </w:num>
  <w:num w:numId="20" w16cid:durableId="513149702">
    <w:abstractNumId w:val="9"/>
  </w:num>
  <w:num w:numId="21" w16cid:durableId="165361259">
    <w:abstractNumId w:val="2"/>
  </w:num>
  <w:num w:numId="22" w16cid:durableId="1439981407">
    <w:abstractNumId w:val="18"/>
  </w:num>
  <w:num w:numId="23" w16cid:durableId="1656956832">
    <w:abstractNumId w:val="23"/>
  </w:num>
  <w:num w:numId="24" w16cid:durableId="1430587816">
    <w:abstractNumId w:val="1"/>
  </w:num>
  <w:num w:numId="25" w16cid:durableId="146941883">
    <w:abstractNumId w:val="16"/>
  </w:num>
  <w:num w:numId="26" w16cid:durableId="943999877">
    <w:abstractNumId w:val="7"/>
  </w:num>
  <w:num w:numId="27" w16cid:durableId="1500732129">
    <w:abstractNumId w:val="7"/>
  </w:num>
  <w:num w:numId="28" w16cid:durableId="691107933">
    <w:abstractNumId w:val="6"/>
  </w:num>
  <w:num w:numId="29" w16cid:durableId="61795291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AE"/>
    <w:rsid w:val="00000075"/>
    <w:rsid w:val="000002EF"/>
    <w:rsid w:val="00000F3C"/>
    <w:rsid w:val="0000169D"/>
    <w:rsid w:val="000025EE"/>
    <w:rsid w:val="00002765"/>
    <w:rsid w:val="0000369D"/>
    <w:rsid w:val="000036F5"/>
    <w:rsid w:val="00003810"/>
    <w:rsid w:val="000039AB"/>
    <w:rsid w:val="00003A4C"/>
    <w:rsid w:val="00004489"/>
    <w:rsid w:val="00004C21"/>
    <w:rsid w:val="00004C8D"/>
    <w:rsid w:val="00005C79"/>
    <w:rsid w:val="000064CD"/>
    <w:rsid w:val="00006859"/>
    <w:rsid w:val="00006868"/>
    <w:rsid w:val="00007061"/>
    <w:rsid w:val="00007214"/>
    <w:rsid w:val="00007C00"/>
    <w:rsid w:val="00007D47"/>
    <w:rsid w:val="000100C1"/>
    <w:rsid w:val="000103ED"/>
    <w:rsid w:val="000105C6"/>
    <w:rsid w:val="00010828"/>
    <w:rsid w:val="000108E9"/>
    <w:rsid w:val="00010A87"/>
    <w:rsid w:val="00010BF0"/>
    <w:rsid w:val="00011141"/>
    <w:rsid w:val="000111AF"/>
    <w:rsid w:val="0001122E"/>
    <w:rsid w:val="000116A7"/>
    <w:rsid w:val="00011765"/>
    <w:rsid w:val="00011A91"/>
    <w:rsid w:val="00012087"/>
    <w:rsid w:val="00012130"/>
    <w:rsid w:val="00012173"/>
    <w:rsid w:val="00012328"/>
    <w:rsid w:val="0001237B"/>
    <w:rsid w:val="00012507"/>
    <w:rsid w:val="0001258D"/>
    <w:rsid w:val="000128A6"/>
    <w:rsid w:val="00012F7B"/>
    <w:rsid w:val="000130DF"/>
    <w:rsid w:val="00013889"/>
    <w:rsid w:val="000139AD"/>
    <w:rsid w:val="00013C1B"/>
    <w:rsid w:val="00013DCE"/>
    <w:rsid w:val="00013F23"/>
    <w:rsid w:val="00014227"/>
    <w:rsid w:val="000144FC"/>
    <w:rsid w:val="00015233"/>
    <w:rsid w:val="00015579"/>
    <w:rsid w:val="000161D0"/>
    <w:rsid w:val="000163BF"/>
    <w:rsid w:val="00016883"/>
    <w:rsid w:val="00017011"/>
    <w:rsid w:val="0001784A"/>
    <w:rsid w:val="000178F2"/>
    <w:rsid w:val="00017C9A"/>
    <w:rsid w:val="00017F1C"/>
    <w:rsid w:val="00017FE0"/>
    <w:rsid w:val="00020098"/>
    <w:rsid w:val="00021287"/>
    <w:rsid w:val="000216A8"/>
    <w:rsid w:val="000217A6"/>
    <w:rsid w:val="00021E12"/>
    <w:rsid w:val="00022100"/>
    <w:rsid w:val="00022C88"/>
    <w:rsid w:val="00022EBF"/>
    <w:rsid w:val="0002309B"/>
    <w:rsid w:val="000230D3"/>
    <w:rsid w:val="00023685"/>
    <w:rsid w:val="000236E4"/>
    <w:rsid w:val="00023E2D"/>
    <w:rsid w:val="00023EB4"/>
    <w:rsid w:val="000240B5"/>
    <w:rsid w:val="00024B2F"/>
    <w:rsid w:val="00024D3B"/>
    <w:rsid w:val="0002592C"/>
    <w:rsid w:val="00025D52"/>
    <w:rsid w:val="00025DF1"/>
    <w:rsid w:val="000263F1"/>
    <w:rsid w:val="00026886"/>
    <w:rsid w:val="00026C04"/>
    <w:rsid w:val="00026CD4"/>
    <w:rsid w:val="000270D8"/>
    <w:rsid w:val="000278CC"/>
    <w:rsid w:val="00027969"/>
    <w:rsid w:val="00027B9D"/>
    <w:rsid w:val="000300AF"/>
    <w:rsid w:val="0003012B"/>
    <w:rsid w:val="00030C66"/>
    <w:rsid w:val="00030EF4"/>
    <w:rsid w:val="00031A4F"/>
    <w:rsid w:val="000321A7"/>
    <w:rsid w:val="000321FA"/>
    <w:rsid w:val="00032517"/>
    <w:rsid w:val="0003261E"/>
    <w:rsid w:val="00032DDF"/>
    <w:rsid w:val="000331E4"/>
    <w:rsid w:val="0003338D"/>
    <w:rsid w:val="00033559"/>
    <w:rsid w:val="00033619"/>
    <w:rsid w:val="00033836"/>
    <w:rsid w:val="00033A1C"/>
    <w:rsid w:val="00033D90"/>
    <w:rsid w:val="0003407A"/>
    <w:rsid w:val="0003424D"/>
    <w:rsid w:val="0003437A"/>
    <w:rsid w:val="00034765"/>
    <w:rsid w:val="00034F66"/>
    <w:rsid w:val="00034FAA"/>
    <w:rsid w:val="000352AC"/>
    <w:rsid w:val="00035385"/>
    <w:rsid w:val="000353A8"/>
    <w:rsid w:val="0003549B"/>
    <w:rsid w:val="000356BE"/>
    <w:rsid w:val="00035C93"/>
    <w:rsid w:val="00035D10"/>
    <w:rsid w:val="000361EC"/>
    <w:rsid w:val="00036201"/>
    <w:rsid w:val="000363C4"/>
    <w:rsid w:val="00036CAE"/>
    <w:rsid w:val="00036E3C"/>
    <w:rsid w:val="00036EC5"/>
    <w:rsid w:val="00036F90"/>
    <w:rsid w:val="00037132"/>
    <w:rsid w:val="0003729D"/>
    <w:rsid w:val="000374D5"/>
    <w:rsid w:val="00037997"/>
    <w:rsid w:val="00037CE2"/>
    <w:rsid w:val="00037D44"/>
    <w:rsid w:val="000400D6"/>
    <w:rsid w:val="000401CA"/>
    <w:rsid w:val="0004037A"/>
    <w:rsid w:val="000407C5"/>
    <w:rsid w:val="000408E4"/>
    <w:rsid w:val="00040D8A"/>
    <w:rsid w:val="0004192B"/>
    <w:rsid w:val="00041DF8"/>
    <w:rsid w:val="00041EA6"/>
    <w:rsid w:val="00041EC4"/>
    <w:rsid w:val="0004278F"/>
    <w:rsid w:val="00042791"/>
    <w:rsid w:val="00042D1A"/>
    <w:rsid w:val="00042ECD"/>
    <w:rsid w:val="00042F93"/>
    <w:rsid w:val="000433C8"/>
    <w:rsid w:val="000435FD"/>
    <w:rsid w:val="00043A4D"/>
    <w:rsid w:val="0004415B"/>
    <w:rsid w:val="00044395"/>
    <w:rsid w:val="00044B73"/>
    <w:rsid w:val="00045083"/>
    <w:rsid w:val="0004508C"/>
    <w:rsid w:val="00045090"/>
    <w:rsid w:val="000451CA"/>
    <w:rsid w:val="000452EB"/>
    <w:rsid w:val="00045626"/>
    <w:rsid w:val="000458B6"/>
    <w:rsid w:val="00045CCC"/>
    <w:rsid w:val="00046056"/>
    <w:rsid w:val="00047894"/>
    <w:rsid w:val="00047C68"/>
    <w:rsid w:val="000501F8"/>
    <w:rsid w:val="000502BC"/>
    <w:rsid w:val="000502E3"/>
    <w:rsid w:val="00050594"/>
    <w:rsid w:val="00050933"/>
    <w:rsid w:val="0005115F"/>
    <w:rsid w:val="000511A1"/>
    <w:rsid w:val="00051401"/>
    <w:rsid w:val="00051404"/>
    <w:rsid w:val="0005151B"/>
    <w:rsid w:val="00051944"/>
    <w:rsid w:val="00051C9B"/>
    <w:rsid w:val="00051F1C"/>
    <w:rsid w:val="00052708"/>
    <w:rsid w:val="00052A79"/>
    <w:rsid w:val="00052AC3"/>
    <w:rsid w:val="00052F54"/>
    <w:rsid w:val="000530D8"/>
    <w:rsid w:val="00053139"/>
    <w:rsid w:val="000531AB"/>
    <w:rsid w:val="0005332F"/>
    <w:rsid w:val="000535E1"/>
    <w:rsid w:val="00053799"/>
    <w:rsid w:val="00053812"/>
    <w:rsid w:val="000539D2"/>
    <w:rsid w:val="00053AFC"/>
    <w:rsid w:val="00053D7B"/>
    <w:rsid w:val="00053EA0"/>
    <w:rsid w:val="000540E4"/>
    <w:rsid w:val="0005422E"/>
    <w:rsid w:val="000542D7"/>
    <w:rsid w:val="00054C95"/>
    <w:rsid w:val="00055094"/>
    <w:rsid w:val="0005553F"/>
    <w:rsid w:val="00056195"/>
    <w:rsid w:val="000561CF"/>
    <w:rsid w:val="00056530"/>
    <w:rsid w:val="00056953"/>
    <w:rsid w:val="000569F2"/>
    <w:rsid w:val="00056D3B"/>
    <w:rsid w:val="00056D74"/>
    <w:rsid w:val="000573C4"/>
    <w:rsid w:val="000576E0"/>
    <w:rsid w:val="0005774F"/>
    <w:rsid w:val="00057755"/>
    <w:rsid w:val="00057D69"/>
    <w:rsid w:val="00057F45"/>
    <w:rsid w:val="00060239"/>
    <w:rsid w:val="00061581"/>
    <w:rsid w:val="000618F0"/>
    <w:rsid w:val="000619DE"/>
    <w:rsid w:val="00061D3C"/>
    <w:rsid w:val="00062399"/>
    <w:rsid w:val="000623E2"/>
    <w:rsid w:val="000628CE"/>
    <w:rsid w:val="000628F9"/>
    <w:rsid w:val="00062A44"/>
    <w:rsid w:val="00062BA5"/>
    <w:rsid w:val="00062CF3"/>
    <w:rsid w:val="00062EDC"/>
    <w:rsid w:val="000633E6"/>
    <w:rsid w:val="000637B4"/>
    <w:rsid w:val="00063957"/>
    <w:rsid w:val="00063A0E"/>
    <w:rsid w:val="00063B4B"/>
    <w:rsid w:val="00064A8C"/>
    <w:rsid w:val="00064F47"/>
    <w:rsid w:val="000650F3"/>
    <w:rsid w:val="0006550D"/>
    <w:rsid w:val="00065628"/>
    <w:rsid w:val="00065673"/>
    <w:rsid w:val="000656A9"/>
    <w:rsid w:val="00065BF2"/>
    <w:rsid w:val="00065C3C"/>
    <w:rsid w:val="00065F20"/>
    <w:rsid w:val="000666C0"/>
    <w:rsid w:val="000667DF"/>
    <w:rsid w:val="00066A88"/>
    <w:rsid w:val="0006760E"/>
    <w:rsid w:val="00067896"/>
    <w:rsid w:val="0007077C"/>
    <w:rsid w:val="00070993"/>
    <w:rsid w:val="00070A46"/>
    <w:rsid w:val="00070C73"/>
    <w:rsid w:val="00071096"/>
    <w:rsid w:val="000710A7"/>
    <w:rsid w:val="0007136C"/>
    <w:rsid w:val="00072205"/>
    <w:rsid w:val="000724AE"/>
    <w:rsid w:val="00072584"/>
    <w:rsid w:val="0007285E"/>
    <w:rsid w:val="00072C7E"/>
    <w:rsid w:val="00073073"/>
    <w:rsid w:val="0007366E"/>
    <w:rsid w:val="0007408C"/>
    <w:rsid w:val="0007518C"/>
    <w:rsid w:val="00075492"/>
    <w:rsid w:val="00075678"/>
    <w:rsid w:val="00075B69"/>
    <w:rsid w:val="00075F28"/>
    <w:rsid w:val="000760D5"/>
    <w:rsid w:val="0007617E"/>
    <w:rsid w:val="0007657E"/>
    <w:rsid w:val="00076732"/>
    <w:rsid w:val="00076AE7"/>
    <w:rsid w:val="00076C2D"/>
    <w:rsid w:val="00076C34"/>
    <w:rsid w:val="00076E9E"/>
    <w:rsid w:val="0007704B"/>
    <w:rsid w:val="000771F5"/>
    <w:rsid w:val="000775CD"/>
    <w:rsid w:val="0007776A"/>
    <w:rsid w:val="00077A76"/>
    <w:rsid w:val="00077D03"/>
    <w:rsid w:val="00077F76"/>
    <w:rsid w:val="00080220"/>
    <w:rsid w:val="000802C3"/>
    <w:rsid w:val="0008037D"/>
    <w:rsid w:val="00080A7E"/>
    <w:rsid w:val="00081440"/>
    <w:rsid w:val="00081BF7"/>
    <w:rsid w:val="00081D2E"/>
    <w:rsid w:val="000822EB"/>
    <w:rsid w:val="00082E46"/>
    <w:rsid w:val="00082FC6"/>
    <w:rsid w:val="00083017"/>
    <w:rsid w:val="00083211"/>
    <w:rsid w:val="000832BA"/>
    <w:rsid w:val="000835AD"/>
    <w:rsid w:val="0008374B"/>
    <w:rsid w:val="00083C31"/>
    <w:rsid w:val="000844C3"/>
    <w:rsid w:val="00084660"/>
    <w:rsid w:val="0008475B"/>
    <w:rsid w:val="00084954"/>
    <w:rsid w:val="00084D4E"/>
    <w:rsid w:val="00084E79"/>
    <w:rsid w:val="0008505B"/>
    <w:rsid w:val="000853EE"/>
    <w:rsid w:val="00085670"/>
    <w:rsid w:val="00085675"/>
    <w:rsid w:val="00085959"/>
    <w:rsid w:val="00085EE7"/>
    <w:rsid w:val="00085FB9"/>
    <w:rsid w:val="00086091"/>
    <w:rsid w:val="0008656A"/>
    <w:rsid w:val="000867F9"/>
    <w:rsid w:val="00086ED7"/>
    <w:rsid w:val="000872E6"/>
    <w:rsid w:val="0008779E"/>
    <w:rsid w:val="0009002C"/>
    <w:rsid w:val="00090556"/>
    <w:rsid w:val="00090B4C"/>
    <w:rsid w:val="00090EB4"/>
    <w:rsid w:val="00090F3C"/>
    <w:rsid w:val="0009124D"/>
    <w:rsid w:val="00091286"/>
    <w:rsid w:val="000914D2"/>
    <w:rsid w:val="0009165D"/>
    <w:rsid w:val="00091E88"/>
    <w:rsid w:val="00091EE7"/>
    <w:rsid w:val="00091F9B"/>
    <w:rsid w:val="000924E0"/>
    <w:rsid w:val="0009266C"/>
    <w:rsid w:val="00092AF0"/>
    <w:rsid w:val="00093076"/>
    <w:rsid w:val="000931A5"/>
    <w:rsid w:val="0009353B"/>
    <w:rsid w:val="00093596"/>
    <w:rsid w:val="0009363F"/>
    <w:rsid w:val="0009374F"/>
    <w:rsid w:val="00093A2C"/>
    <w:rsid w:val="00093F72"/>
    <w:rsid w:val="0009434F"/>
    <w:rsid w:val="0009441A"/>
    <w:rsid w:val="00094490"/>
    <w:rsid w:val="00094508"/>
    <w:rsid w:val="00094B76"/>
    <w:rsid w:val="00094D8C"/>
    <w:rsid w:val="000955CB"/>
    <w:rsid w:val="00096466"/>
    <w:rsid w:val="00096617"/>
    <w:rsid w:val="000968F1"/>
    <w:rsid w:val="00096E28"/>
    <w:rsid w:val="0009722A"/>
    <w:rsid w:val="000972D6"/>
    <w:rsid w:val="00097A0E"/>
    <w:rsid w:val="00097EE3"/>
    <w:rsid w:val="000A0073"/>
    <w:rsid w:val="000A06DC"/>
    <w:rsid w:val="000A0748"/>
    <w:rsid w:val="000A08AD"/>
    <w:rsid w:val="000A0F08"/>
    <w:rsid w:val="000A117D"/>
    <w:rsid w:val="000A1949"/>
    <w:rsid w:val="000A24CD"/>
    <w:rsid w:val="000A2579"/>
    <w:rsid w:val="000A2D8F"/>
    <w:rsid w:val="000A2F07"/>
    <w:rsid w:val="000A309A"/>
    <w:rsid w:val="000A31CC"/>
    <w:rsid w:val="000A341D"/>
    <w:rsid w:val="000A3644"/>
    <w:rsid w:val="000A38AA"/>
    <w:rsid w:val="000A39A5"/>
    <w:rsid w:val="000A3FEE"/>
    <w:rsid w:val="000A4319"/>
    <w:rsid w:val="000A498F"/>
    <w:rsid w:val="000A50BE"/>
    <w:rsid w:val="000A5155"/>
    <w:rsid w:val="000A5925"/>
    <w:rsid w:val="000A5A99"/>
    <w:rsid w:val="000A61E5"/>
    <w:rsid w:val="000A652D"/>
    <w:rsid w:val="000A66FE"/>
    <w:rsid w:val="000A6F2F"/>
    <w:rsid w:val="000A7070"/>
    <w:rsid w:val="000A7538"/>
    <w:rsid w:val="000A786E"/>
    <w:rsid w:val="000A78A9"/>
    <w:rsid w:val="000A78B7"/>
    <w:rsid w:val="000A7B98"/>
    <w:rsid w:val="000B02DA"/>
    <w:rsid w:val="000B03F8"/>
    <w:rsid w:val="000B09BC"/>
    <w:rsid w:val="000B0C35"/>
    <w:rsid w:val="000B1402"/>
    <w:rsid w:val="000B16B8"/>
    <w:rsid w:val="000B1DC2"/>
    <w:rsid w:val="000B2357"/>
    <w:rsid w:val="000B2383"/>
    <w:rsid w:val="000B2E8C"/>
    <w:rsid w:val="000B343C"/>
    <w:rsid w:val="000B363A"/>
    <w:rsid w:val="000B4456"/>
    <w:rsid w:val="000B47ED"/>
    <w:rsid w:val="000B497F"/>
    <w:rsid w:val="000B49E6"/>
    <w:rsid w:val="000B4A72"/>
    <w:rsid w:val="000B5105"/>
    <w:rsid w:val="000B52F1"/>
    <w:rsid w:val="000B5476"/>
    <w:rsid w:val="000B6617"/>
    <w:rsid w:val="000B7149"/>
    <w:rsid w:val="000B7240"/>
    <w:rsid w:val="000B7468"/>
    <w:rsid w:val="000B78E3"/>
    <w:rsid w:val="000B7B86"/>
    <w:rsid w:val="000B7BA2"/>
    <w:rsid w:val="000C075A"/>
    <w:rsid w:val="000C0E94"/>
    <w:rsid w:val="000C0EB5"/>
    <w:rsid w:val="000C1454"/>
    <w:rsid w:val="000C19D2"/>
    <w:rsid w:val="000C1AC2"/>
    <w:rsid w:val="000C1B6C"/>
    <w:rsid w:val="000C218B"/>
    <w:rsid w:val="000C283F"/>
    <w:rsid w:val="000C2904"/>
    <w:rsid w:val="000C2A68"/>
    <w:rsid w:val="000C2DC2"/>
    <w:rsid w:val="000C2EF2"/>
    <w:rsid w:val="000C2FE1"/>
    <w:rsid w:val="000C30EC"/>
    <w:rsid w:val="000C31A3"/>
    <w:rsid w:val="000C32CF"/>
    <w:rsid w:val="000C36F1"/>
    <w:rsid w:val="000C3711"/>
    <w:rsid w:val="000C3BA3"/>
    <w:rsid w:val="000C3DD5"/>
    <w:rsid w:val="000C45C6"/>
    <w:rsid w:val="000C4636"/>
    <w:rsid w:val="000C485F"/>
    <w:rsid w:val="000C4CC2"/>
    <w:rsid w:val="000C4D86"/>
    <w:rsid w:val="000C5237"/>
    <w:rsid w:val="000C55C8"/>
    <w:rsid w:val="000C5A52"/>
    <w:rsid w:val="000C5CFF"/>
    <w:rsid w:val="000C5D6A"/>
    <w:rsid w:val="000C6450"/>
    <w:rsid w:val="000C6531"/>
    <w:rsid w:val="000C65B6"/>
    <w:rsid w:val="000C6690"/>
    <w:rsid w:val="000C66C7"/>
    <w:rsid w:val="000C6713"/>
    <w:rsid w:val="000C697A"/>
    <w:rsid w:val="000C69A8"/>
    <w:rsid w:val="000C6B77"/>
    <w:rsid w:val="000C6BE5"/>
    <w:rsid w:val="000C71CF"/>
    <w:rsid w:val="000C7463"/>
    <w:rsid w:val="000C7AA0"/>
    <w:rsid w:val="000D028B"/>
    <w:rsid w:val="000D03A6"/>
    <w:rsid w:val="000D087B"/>
    <w:rsid w:val="000D0A1F"/>
    <w:rsid w:val="000D104C"/>
    <w:rsid w:val="000D1190"/>
    <w:rsid w:val="000D138C"/>
    <w:rsid w:val="000D14CC"/>
    <w:rsid w:val="000D1893"/>
    <w:rsid w:val="000D1978"/>
    <w:rsid w:val="000D1DF1"/>
    <w:rsid w:val="000D21C1"/>
    <w:rsid w:val="000D28AB"/>
    <w:rsid w:val="000D2A11"/>
    <w:rsid w:val="000D2EFA"/>
    <w:rsid w:val="000D3CAF"/>
    <w:rsid w:val="000D3D91"/>
    <w:rsid w:val="000D4A0A"/>
    <w:rsid w:val="000D4BB8"/>
    <w:rsid w:val="000D4D0A"/>
    <w:rsid w:val="000D4E41"/>
    <w:rsid w:val="000D4EC5"/>
    <w:rsid w:val="000D4F02"/>
    <w:rsid w:val="000D56FF"/>
    <w:rsid w:val="000D5ECE"/>
    <w:rsid w:val="000D7132"/>
    <w:rsid w:val="000D7152"/>
    <w:rsid w:val="000D725C"/>
    <w:rsid w:val="000D74B0"/>
    <w:rsid w:val="000D7CF4"/>
    <w:rsid w:val="000E0047"/>
    <w:rsid w:val="000E0208"/>
    <w:rsid w:val="000E02C4"/>
    <w:rsid w:val="000E05B1"/>
    <w:rsid w:val="000E082A"/>
    <w:rsid w:val="000E0A64"/>
    <w:rsid w:val="000E0CC4"/>
    <w:rsid w:val="000E0D7A"/>
    <w:rsid w:val="000E1313"/>
    <w:rsid w:val="000E1705"/>
    <w:rsid w:val="000E18C6"/>
    <w:rsid w:val="000E1CEF"/>
    <w:rsid w:val="000E1FBE"/>
    <w:rsid w:val="000E243E"/>
    <w:rsid w:val="000E2C97"/>
    <w:rsid w:val="000E2F77"/>
    <w:rsid w:val="000E30B0"/>
    <w:rsid w:val="000E310A"/>
    <w:rsid w:val="000E3D57"/>
    <w:rsid w:val="000E404B"/>
    <w:rsid w:val="000E404F"/>
    <w:rsid w:val="000E43B0"/>
    <w:rsid w:val="000E49A0"/>
    <w:rsid w:val="000E4C5B"/>
    <w:rsid w:val="000E5D80"/>
    <w:rsid w:val="000E5FB3"/>
    <w:rsid w:val="000E60F6"/>
    <w:rsid w:val="000E6E94"/>
    <w:rsid w:val="000E77FC"/>
    <w:rsid w:val="000E7A45"/>
    <w:rsid w:val="000F0BF2"/>
    <w:rsid w:val="000F0FA5"/>
    <w:rsid w:val="000F1B34"/>
    <w:rsid w:val="000F1B90"/>
    <w:rsid w:val="000F1C0D"/>
    <w:rsid w:val="000F1FF2"/>
    <w:rsid w:val="000F23C2"/>
    <w:rsid w:val="000F2467"/>
    <w:rsid w:val="000F26A9"/>
    <w:rsid w:val="000F2B87"/>
    <w:rsid w:val="000F36A6"/>
    <w:rsid w:val="000F3A43"/>
    <w:rsid w:val="000F3E79"/>
    <w:rsid w:val="000F43EE"/>
    <w:rsid w:val="000F4488"/>
    <w:rsid w:val="000F46FB"/>
    <w:rsid w:val="000F48D7"/>
    <w:rsid w:val="000F4BF3"/>
    <w:rsid w:val="000F5000"/>
    <w:rsid w:val="000F540C"/>
    <w:rsid w:val="000F54B0"/>
    <w:rsid w:val="000F5BF5"/>
    <w:rsid w:val="000F6080"/>
    <w:rsid w:val="000F65B1"/>
    <w:rsid w:val="000F6642"/>
    <w:rsid w:val="000F6695"/>
    <w:rsid w:val="000F686E"/>
    <w:rsid w:val="000F6C70"/>
    <w:rsid w:val="000F6FC6"/>
    <w:rsid w:val="000F722D"/>
    <w:rsid w:val="000F72AC"/>
    <w:rsid w:val="000F75D6"/>
    <w:rsid w:val="000F7626"/>
    <w:rsid w:val="000F7A96"/>
    <w:rsid w:val="000F7AB7"/>
    <w:rsid w:val="000F7B9E"/>
    <w:rsid w:val="00100715"/>
    <w:rsid w:val="00100996"/>
    <w:rsid w:val="00100FAB"/>
    <w:rsid w:val="0010115C"/>
    <w:rsid w:val="001015CD"/>
    <w:rsid w:val="001016D5"/>
    <w:rsid w:val="00101A3A"/>
    <w:rsid w:val="00101BC1"/>
    <w:rsid w:val="0010208B"/>
    <w:rsid w:val="00102114"/>
    <w:rsid w:val="0010282E"/>
    <w:rsid w:val="00103442"/>
    <w:rsid w:val="00104203"/>
    <w:rsid w:val="001045DC"/>
    <w:rsid w:val="00105031"/>
    <w:rsid w:val="001052A2"/>
    <w:rsid w:val="0010536B"/>
    <w:rsid w:val="001054AB"/>
    <w:rsid w:val="0010582F"/>
    <w:rsid w:val="001058C7"/>
    <w:rsid w:val="00105AD8"/>
    <w:rsid w:val="00105CB3"/>
    <w:rsid w:val="00105F64"/>
    <w:rsid w:val="00105F69"/>
    <w:rsid w:val="00106674"/>
    <w:rsid w:val="001066A2"/>
    <w:rsid w:val="00106D0B"/>
    <w:rsid w:val="00106D56"/>
    <w:rsid w:val="00106FC3"/>
    <w:rsid w:val="00107437"/>
    <w:rsid w:val="001077FD"/>
    <w:rsid w:val="001104B4"/>
    <w:rsid w:val="00110BC6"/>
    <w:rsid w:val="00110F0D"/>
    <w:rsid w:val="00111185"/>
    <w:rsid w:val="00111233"/>
    <w:rsid w:val="0011123B"/>
    <w:rsid w:val="00111583"/>
    <w:rsid w:val="001117BB"/>
    <w:rsid w:val="00111CE8"/>
    <w:rsid w:val="0011205A"/>
    <w:rsid w:val="0011217E"/>
    <w:rsid w:val="00112A7E"/>
    <w:rsid w:val="00112E8F"/>
    <w:rsid w:val="001135BD"/>
    <w:rsid w:val="00113C04"/>
    <w:rsid w:val="00113DF6"/>
    <w:rsid w:val="00113E5E"/>
    <w:rsid w:val="001143D8"/>
    <w:rsid w:val="001148EB"/>
    <w:rsid w:val="00114A27"/>
    <w:rsid w:val="00115076"/>
    <w:rsid w:val="0011585A"/>
    <w:rsid w:val="0011585F"/>
    <w:rsid w:val="00115F74"/>
    <w:rsid w:val="001160B0"/>
    <w:rsid w:val="001162F0"/>
    <w:rsid w:val="00116885"/>
    <w:rsid w:val="00116887"/>
    <w:rsid w:val="00116A80"/>
    <w:rsid w:val="00116E1A"/>
    <w:rsid w:val="0011721C"/>
    <w:rsid w:val="001172A2"/>
    <w:rsid w:val="001173D6"/>
    <w:rsid w:val="00117781"/>
    <w:rsid w:val="001177E1"/>
    <w:rsid w:val="00117DD5"/>
    <w:rsid w:val="00120478"/>
    <w:rsid w:val="00120792"/>
    <w:rsid w:val="00121340"/>
    <w:rsid w:val="001215DC"/>
    <w:rsid w:val="001216D3"/>
    <w:rsid w:val="00121C8A"/>
    <w:rsid w:val="00122286"/>
    <w:rsid w:val="001222F4"/>
    <w:rsid w:val="00122361"/>
    <w:rsid w:val="0012283F"/>
    <w:rsid w:val="00122DAF"/>
    <w:rsid w:val="00122F8B"/>
    <w:rsid w:val="001237F3"/>
    <w:rsid w:val="00123B03"/>
    <w:rsid w:val="00123CF5"/>
    <w:rsid w:val="00123F7C"/>
    <w:rsid w:val="00124234"/>
    <w:rsid w:val="0012467D"/>
    <w:rsid w:val="001246B7"/>
    <w:rsid w:val="001248FF"/>
    <w:rsid w:val="00124CC7"/>
    <w:rsid w:val="00124FF0"/>
    <w:rsid w:val="001251DC"/>
    <w:rsid w:val="001256A1"/>
    <w:rsid w:val="00125751"/>
    <w:rsid w:val="00125818"/>
    <w:rsid w:val="00125D33"/>
    <w:rsid w:val="001268BC"/>
    <w:rsid w:val="00126BAF"/>
    <w:rsid w:val="0012766E"/>
    <w:rsid w:val="00127BD9"/>
    <w:rsid w:val="00130E2D"/>
    <w:rsid w:val="0013109A"/>
    <w:rsid w:val="00132728"/>
    <w:rsid w:val="0013291C"/>
    <w:rsid w:val="00132C13"/>
    <w:rsid w:val="00132DF8"/>
    <w:rsid w:val="00132FF6"/>
    <w:rsid w:val="0013307F"/>
    <w:rsid w:val="001331C1"/>
    <w:rsid w:val="001331D7"/>
    <w:rsid w:val="00133398"/>
    <w:rsid w:val="00133A50"/>
    <w:rsid w:val="00134EBF"/>
    <w:rsid w:val="001353B4"/>
    <w:rsid w:val="001353EE"/>
    <w:rsid w:val="0013561C"/>
    <w:rsid w:val="00135BD5"/>
    <w:rsid w:val="00135D05"/>
    <w:rsid w:val="00135F40"/>
    <w:rsid w:val="00136627"/>
    <w:rsid w:val="0013722E"/>
    <w:rsid w:val="001374A8"/>
    <w:rsid w:val="001374ED"/>
    <w:rsid w:val="001375C1"/>
    <w:rsid w:val="00137998"/>
    <w:rsid w:val="00137FAB"/>
    <w:rsid w:val="0014063E"/>
    <w:rsid w:val="001406C3"/>
    <w:rsid w:val="00140C7F"/>
    <w:rsid w:val="00140C83"/>
    <w:rsid w:val="00140CAF"/>
    <w:rsid w:val="00140D67"/>
    <w:rsid w:val="00140EC0"/>
    <w:rsid w:val="00140FC8"/>
    <w:rsid w:val="00140FE7"/>
    <w:rsid w:val="001411F4"/>
    <w:rsid w:val="001421A5"/>
    <w:rsid w:val="0014236E"/>
    <w:rsid w:val="00142BF9"/>
    <w:rsid w:val="00142D57"/>
    <w:rsid w:val="00143583"/>
    <w:rsid w:val="001436CC"/>
    <w:rsid w:val="00143C40"/>
    <w:rsid w:val="00143C6D"/>
    <w:rsid w:val="00143D37"/>
    <w:rsid w:val="00143F85"/>
    <w:rsid w:val="0014405F"/>
    <w:rsid w:val="001440D4"/>
    <w:rsid w:val="0014421D"/>
    <w:rsid w:val="0014460D"/>
    <w:rsid w:val="00144BA5"/>
    <w:rsid w:val="001451B1"/>
    <w:rsid w:val="0014531D"/>
    <w:rsid w:val="00145F45"/>
    <w:rsid w:val="0014635D"/>
    <w:rsid w:val="001464D6"/>
    <w:rsid w:val="00146E2F"/>
    <w:rsid w:val="00147051"/>
    <w:rsid w:val="0014719B"/>
    <w:rsid w:val="001478BB"/>
    <w:rsid w:val="00147B21"/>
    <w:rsid w:val="00147B99"/>
    <w:rsid w:val="00147BE6"/>
    <w:rsid w:val="00147DD2"/>
    <w:rsid w:val="00147DF9"/>
    <w:rsid w:val="00150041"/>
    <w:rsid w:val="001513F0"/>
    <w:rsid w:val="00151476"/>
    <w:rsid w:val="00151F1D"/>
    <w:rsid w:val="00152432"/>
    <w:rsid w:val="00152923"/>
    <w:rsid w:val="001531E8"/>
    <w:rsid w:val="0015338F"/>
    <w:rsid w:val="00153534"/>
    <w:rsid w:val="00153794"/>
    <w:rsid w:val="00153DA2"/>
    <w:rsid w:val="00154094"/>
    <w:rsid w:val="001545A3"/>
    <w:rsid w:val="00154B60"/>
    <w:rsid w:val="00154D22"/>
    <w:rsid w:val="00154D3E"/>
    <w:rsid w:val="00154E0D"/>
    <w:rsid w:val="00155620"/>
    <w:rsid w:val="0015569F"/>
    <w:rsid w:val="001556FC"/>
    <w:rsid w:val="0015572A"/>
    <w:rsid w:val="00155773"/>
    <w:rsid w:val="001557E8"/>
    <w:rsid w:val="00155CEB"/>
    <w:rsid w:val="001560D5"/>
    <w:rsid w:val="0015698F"/>
    <w:rsid w:val="00156DF4"/>
    <w:rsid w:val="00157697"/>
    <w:rsid w:val="00157769"/>
    <w:rsid w:val="00157BAF"/>
    <w:rsid w:val="00157DF3"/>
    <w:rsid w:val="001600BC"/>
    <w:rsid w:val="001600E9"/>
    <w:rsid w:val="0016020C"/>
    <w:rsid w:val="0016028C"/>
    <w:rsid w:val="001603DF"/>
    <w:rsid w:val="00160522"/>
    <w:rsid w:val="00160FD5"/>
    <w:rsid w:val="00160FEC"/>
    <w:rsid w:val="001610E5"/>
    <w:rsid w:val="00161623"/>
    <w:rsid w:val="00161BC8"/>
    <w:rsid w:val="00161BFF"/>
    <w:rsid w:val="0016220B"/>
    <w:rsid w:val="00162846"/>
    <w:rsid w:val="00162CD3"/>
    <w:rsid w:val="00163050"/>
    <w:rsid w:val="00163650"/>
    <w:rsid w:val="001637DD"/>
    <w:rsid w:val="00163ABA"/>
    <w:rsid w:val="00163EF2"/>
    <w:rsid w:val="00164311"/>
    <w:rsid w:val="0016457F"/>
    <w:rsid w:val="0016491B"/>
    <w:rsid w:val="00164BF9"/>
    <w:rsid w:val="00164FEE"/>
    <w:rsid w:val="001654EB"/>
    <w:rsid w:val="0016574A"/>
    <w:rsid w:val="00165990"/>
    <w:rsid w:val="00165C4B"/>
    <w:rsid w:val="0016631D"/>
    <w:rsid w:val="00166545"/>
    <w:rsid w:val="00166670"/>
    <w:rsid w:val="00166B22"/>
    <w:rsid w:val="00166C85"/>
    <w:rsid w:val="00166D6F"/>
    <w:rsid w:val="001673AF"/>
    <w:rsid w:val="001675B2"/>
    <w:rsid w:val="0016782C"/>
    <w:rsid w:val="00167953"/>
    <w:rsid w:val="001679DD"/>
    <w:rsid w:val="00167F7D"/>
    <w:rsid w:val="0017071D"/>
    <w:rsid w:val="00170DBC"/>
    <w:rsid w:val="00170F5D"/>
    <w:rsid w:val="00171087"/>
    <w:rsid w:val="001714F3"/>
    <w:rsid w:val="0017201D"/>
    <w:rsid w:val="0017207B"/>
    <w:rsid w:val="00172881"/>
    <w:rsid w:val="00172B31"/>
    <w:rsid w:val="00172CF4"/>
    <w:rsid w:val="001735A7"/>
    <w:rsid w:val="00173998"/>
    <w:rsid w:val="001741CB"/>
    <w:rsid w:val="001741F6"/>
    <w:rsid w:val="00174A6D"/>
    <w:rsid w:val="00174D24"/>
    <w:rsid w:val="00174F18"/>
    <w:rsid w:val="001751D6"/>
    <w:rsid w:val="001751E0"/>
    <w:rsid w:val="00175577"/>
    <w:rsid w:val="001759A8"/>
    <w:rsid w:val="00176635"/>
    <w:rsid w:val="00176B8D"/>
    <w:rsid w:val="00176C49"/>
    <w:rsid w:val="00176DCB"/>
    <w:rsid w:val="00176E3F"/>
    <w:rsid w:val="001776E7"/>
    <w:rsid w:val="00180091"/>
    <w:rsid w:val="001805AF"/>
    <w:rsid w:val="00180795"/>
    <w:rsid w:val="00180973"/>
    <w:rsid w:val="001815E7"/>
    <w:rsid w:val="0018166A"/>
    <w:rsid w:val="0018178F"/>
    <w:rsid w:val="00181C2F"/>
    <w:rsid w:val="00181C71"/>
    <w:rsid w:val="00182302"/>
    <w:rsid w:val="0018232E"/>
    <w:rsid w:val="001823E2"/>
    <w:rsid w:val="0018253F"/>
    <w:rsid w:val="00182A32"/>
    <w:rsid w:val="00182C79"/>
    <w:rsid w:val="00182CB4"/>
    <w:rsid w:val="00182F71"/>
    <w:rsid w:val="0018306B"/>
    <w:rsid w:val="001832EC"/>
    <w:rsid w:val="00183498"/>
    <w:rsid w:val="00183CB2"/>
    <w:rsid w:val="00183F93"/>
    <w:rsid w:val="00184266"/>
    <w:rsid w:val="001843A4"/>
    <w:rsid w:val="00184BEF"/>
    <w:rsid w:val="00184E8A"/>
    <w:rsid w:val="00185100"/>
    <w:rsid w:val="001855A8"/>
    <w:rsid w:val="001855B8"/>
    <w:rsid w:val="0018563B"/>
    <w:rsid w:val="0018597F"/>
    <w:rsid w:val="00185D81"/>
    <w:rsid w:val="00186039"/>
    <w:rsid w:val="0018621B"/>
    <w:rsid w:val="001867C0"/>
    <w:rsid w:val="0018684E"/>
    <w:rsid w:val="00186D2C"/>
    <w:rsid w:val="00186E72"/>
    <w:rsid w:val="0018703A"/>
    <w:rsid w:val="0018765D"/>
    <w:rsid w:val="00187E9A"/>
    <w:rsid w:val="00187F05"/>
    <w:rsid w:val="0019003F"/>
    <w:rsid w:val="0019097C"/>
    <w:rsid w:val="00191373"/>
    <w:rsid w:val="0019163D"/>
    <w:rsid w:val="00191935"/>
    <w:rsid w:val="00191DBF"/>
    <w:rsid w:val="0019203F"/>
    <w:rsid w:val="00192071"/>
    <w:rsid w:val="001924E1"/>
    <w:rsid w:val="00192A77"/>
    <w:rsid w:val="00192E6C"/>
    <w:rsid w:val="001935CE"/>
    <w:rsid w:val="00193818"/>
    <w:rsid w:val="00193E6E"/>
    <w:rsid w:val="00194173"/>
    <w:rsid w:val="001945B9"/>
    <w:rsid w:val="0019507C"/>
    <w:rsid w:val="001957BF"/>
    <w:rsid w:val="001957E3"/>
    <w:rsid w:val="001958DC"/>
    <w:rsid w:val="00195A8A"/>
    <w:rsid w:val="00195D0C"/>
    <w:rsid w:val="00195DE8"/>
    <w:rsid w:val="00195FE4"/>
    <w:rsid w:val="00195FE6"/>
    <w:rsid w:val="0019648B"/>
    <w:rsid w:val="001964B0"/>
    <w:rsid w:val="001966A8"/>
    <w:rsid w:val="00196C63"/>
    <w:rsid w:val="00197297"/>
    <w:rsid w:val="001975AE"/>
    <w:rsid w:val="00197BFE"/>
    <w:rsid w:val="001A02C5"/>
    <w:rsid w:val="001A04F4"/>
    <w:rsid w:val="001A0978"/>
    <w:rsid w:val="001A0C51"/>
    <w:rsid w:val="001A0D77"/>
    <w:rsid w:val="001A0DDA"/>
    <w:rsid w:val="001A111A"/>
    <w:rsid w:val="001A196A"/>
    <w:rsid w:val="001A19AE"/>
    <w:rsid w:val="001A1ACF"/>
    <w:rsid w:val="001A1D95"/>
    <w:rsid w:val="001A2565"/>
    <w:rsid w:val="001A2AA5"/>
    <w:rsid w:val="001A2BD7"/>
    <w:rsid w:val="001A3166"/>
    <w:rsid w:val="001A33A1"/>
    <w:rsid w:val="001A3501"/>
    <w:rsid w:val="001A3658"/>
    <w:rsid w:val="001A37A2"/>
    <w:rsid w:val="001A37D4"/>
    <w:rsid w:val="001A38C9"/>
    <w:rsid w:val="001A3C6B"/>
    <w:rsid w:val="001A3C97"/>
    <w:rsid w:val="001A3D02"/>
    <w:rsid w:val="001A3D69"/>
    <w:rsid w:val="001A46AD"/>
    <w:rsid w:val="001A4CE0"/>
    <w:rsid w:val="001A4E9B"/>
    <w:rsid w:val="001A5215"/>
    <w:rsid w:val="001A5CB8"/>
    <w:rsid w:val="001A5EE7"/>
    <w:rsid w:val="001A6062"/>
    <w:rsid w:val="001A668C"/>
    <w:rsid w:val="001A6890"/>
    <w:rsid w:val="001A68EC"/>
    <w:rsid w:val="001A6ABF"/>
    <w:rsid w:val="001A6CA9"/>
    <w:rsid w:val="001A70F8"/>
    <w:rsid w:val="001A715E"/>
    <w:rsid w:val="001A72C7"/>
    <w:rsid w:val="001A74F0"/>
    <w:rsid w:val="001A7CE7"/>
    <w:rsid w:val="001A7DA3"/>
    <w:rsid w:val="001A7E15"/>
    <w:rsid w:val="001B0024"/>
    <w:rsid w:val="001B0510"/>
    <w:rsid w:val="001B0793"/>
    <w:rsid w:val="001B1762"/>
    <w:rsid w:val="001B17AC"/>
    <w:rsid w:val="001B18F1"/>
    <w:rsid w:val="001B1E93"/>
    <w:rsid w:val="001B2456"/>
    <w:rsid w:val="001B2BB0"/>
    <w:rsid w:val="001B2CAB"/>
    <w:rsid w:val="001B307D"/>
    <w:rsid w:val="001B3375"/>
    <w:rsid w:val="001B34DB"/>
    <w:rsid w:val="001B3C10"/>
    <w:rsid w:val="001B3CFF"/>
    <w:rsid w:val="001B42C6"/>
    <w:rsid w:val="001B4467"/>
    <w:rsid w:val="001B49B6"/>
    <w:rsid w:val="001B4BEE"/>
    <w:rsid w:val="001B54A7"/>
    <w:rsid w:val="001B5518"/>
    <w:rsid w:val="001B57D4"/>
    <w:rsid w:val="001B588D"/>
    <w:rsid w:val="001B5BDF"/>
    <w:rsid w:val="001B606C"/>
    <w:rsid w:val="001B6248"/>
    <w:rsid w:val="001B6666"/>
    <w:rsid w:val="001B6A47"/>
    <w:rsid w:val="001B6C7E"/>
    <w:rsid w:val="001B6FD5"/>
    <w:rsid w:val="001B7132"/>
    <w:rsid w:val="001B7450"/>
    <w:rsid w:val="001B7F87"/>
    <w:rsid w:val="001C007C"/>
    <w:rsid w:val="001C0127"/>
    <w:rsid w:val="001C023D"/>
    <w:rsid w:val="001C045D"/>
    <w:rsid w:val="001C0B99"/>
    <w:rsid w:val="001C0FBB"/>
    <w:rsid w:val="001C1310"/>
    <w:rsid w:val="001C14FE"/>
    <w:rsid w:val="001C1975"/>
    <w:rsid w:val="001C1D3E"/>
    <w:rsid w:val="001C1D5F"/>
    <w:rsid w:val="001C224E"/>
    <w:rsid w:val="001C254E"/>
    <w:rsid w:val="001C2CF9"/>
    <w:rsid w:val="001C2ED7"/>
    <w:rsid w:val="001C3598"/>
    <w:rsid w:val="001C382E"/>
    <w:rsid w:val="001C392A"/>
    <w:rsid w:val="001C3CCC"/>
    <w:rsid w:val="001C3D8F"/>
    <w:rsid w:val="001C42B1"/>
    <w:rsid w:val="001C46C2"/>
    <w:rsid w:val="001C4844"/>
    <w:rsid w:val="001C4AA4"/>
    <w:rsid w:val="001C5276"/>
    <w:rsid w:val="001C5533"/>
    <w:rsid w:val="001C5881"/>
    <w:rsid w:val="001C5BC5"/>
    <w:rsid w:val="001C5D0D"/>
    <w:rsid w:val="001C615E"/>
    <w:rsid w:val="001C66F1"/>
    <w:rsid w:val="001C6826"/>
    <w:rsid w:val="001C7466"/>
    <w:rsid w:val="001C7835"/>
    <w:rsid w:val="001D0329"/>
    <w:rsid w:val="001D0747"/>
    <w:rsid w:val="001D09FF"/>
    <w:rsid w:val="001D1021"/>
    <w:rsid w:val="001D16B0"/>
    <w:rsid w:val="001D1DFC"/>
    <w:rsid w:val="001D1E58"/>
    <w:rsid w:val="001D244F"/>
    <w:rsid w:val="001D320E"/>
    <w:rsid w:val="001D3678"/>
    <w:rsid w:val="001D378F"/>
    <w:rsid w:val="001D392D"/>
    <w:rsid w:val="001D4050"/>
    <w:rsid w:val="001D41A4"/>
    <w:rsid w:val="001D422A"/>
    <w:rsid w:val="001D4520"/>
    <w:rsid w:val="001D453B"/>
    <w:rsid w:val="001D4A61"/>
    <w:rsid w:val="001D4AD7"/>
    <w:rsid w:val="001D553C"/>
    <w:rsid w:val="001D589B"/>
    <w:rsid w:val="001D59E5"/>
    <w:rsid w:val="001D60A2"/>
    <w:rsid w:val="001D617B"/>
    <w:rsid w:val="001D6499"/>
    <w:rsid w:val="001D658F"/>
    <w:rsid w:val="001D6C6F"/>
    <w:rsid w:val="001D6EAB"/>
    <w:rsid w:val="001D7685"/>
    <w:rsid w:val="001D791B"/>
    <w:rsid w:val="001D7D9B"/>
    <w:rsid w:val="001D7FF2"/>
    <w:rsid w:val="001E0067"/>
    <w:rsid w:val="001E0564"/>
    <w:rsid w:val="001E05D4"/>
    <w:rsid w:val="001E0C57"/>
    <w:rsid w:val="001E104A"/>
    <w:rsid w:val="001E17BF"/>
    <w:rsid w:val="001E1A50"/>
    <w:rsid w:val="001E1D91"/>
    <w:rsid w:val="001E2134"/>
    <w:rsid w:val="001E24C0"/>
    <w:rsid w:val="001E24C1"/>
    <w:rsid w:val="001E2AAE"/>
    <w:rsid w:val="001E2ACF"/>
    <w:rsid w:val="001E2AD8"/>
    <w:rsid w:val="001E3520"/>
    <w:rsid w:val="001E359C"/>
    <w:rsid w:val="001E3A0F"/>
    <w:rsid w:val="001E3CCD"/>
    <w:rsid w:val="001E3CEB"/>
    <w:rsid w:val="001E3DBB"/>
    <w:rsid w:val="001E428A"/>
    <w:rsid w:val="001E4324"/>
    <w:rsid w:val="001E441F"/>
    <w:rsid w:val="001E52E8"/>
    <w:rsid w:val="001E5A1A"/>
    <w:rsid w:val="001E5A6F"/>
    <w:rsid w:val="001E607E"/>
    <w:rsid w:val="001E6388"/>
    <w:rsid w:val="001E6488"/>
    <w:rsid w:val="001E66E1"/>
    <w:rsid w:val="001E6828"/>
    <w:rsid w:val="001E6975"/>
    <w:rsid w:val="001E6C36"/>
    <w:rsid w:val="001E6F97"/>
    <w:rsid w:val="001E7304"/>
    <w:rsid w:val="001E78B2"/>
    <w:rsid w:val="001E7BEA"/>
    <w:rsid w:val="001F0DC0"/>
    <w:rsid w:val="001F0F14"/>
    <w:rsid w:val="001F13C1"/>
    <w:rsid w:val="001F1572"/>
    <w:rsid w:val="001F15E0"/>
    <w:rsid w:val="001F175B"/>
    <w:rsid w:val="001F1A82"/>
    <w:rsid w:val="001F1CB3"/>
    <w:rsid w:val="001F1E9A"/>
    <w:rsid w:val="001F1FD4"/>
    <w:rsid w:val="001F2025"/>
    <w:rsid w:val="001F2154"/>
    <w:rsid w:val="001F2185"/>
    <w:rsid w:val="001F24D0"/>
    <w:rsid w:val="001F2B95"/>
    <w:rsid w:val="001F2C7E"/>
    <w:rsid w:val="001F30A8"/>
    <w:rsid w:val="001F3142"/>
    <w:rsid w:val="001F32D0"/>
    <w:rsid w:val="001F38E6"/>
    <w:rsid w:val="001F3BF6"/>
    <w:rsid w:val="001F3FC9"/>
    <w:rsid w:val="001F4156"/>
    <w:rsid w:val="001F41E8"/>
    <w:rsid w:val="001F4345"/>
    <w:rsid w:val="001F446D"/>
    <w:rsid w:val="001F449E"/>
    <w:rsid w:val="001F4C51"/>
    <w:rsid w:val="001F4DDC"/>
    <w:rsid w:val="001F58AC"/>
    <w:rsid w:val="001F5B66"/>
    <w:rsid w:val="001F62F2"/>
    <w:rsid w:val="001F6B0A"/>
    <w:rsid w:val="001F6EFF"/>
    <w:rsid w:val="001F6F93"/>
    <w:rsid w:val="001F7016"/>
    <w:rsid w:val="001F7716"/>
    <w:rsid w:val="001F797C"/>
    <w:rsid w:val="001F79C1"/>
    <w:rsid w:val="002001B9"/>
    <w:rsid w:val="002012CE"/>
    <w:rsid w:val="00201320"/>
    <w:rsid w:val="002014BB"/>
    <w:rsid w:val="0020204A"/>
    <w:rsid w:val="0020254B"/>
    <w:rsid w:val="00202755"/>
    <w:rsid w:val="00202781"/>
    <w:rsid w:val="002028B1"/>
    <w:rsid w:val="00202988"/>
    <w:rsid w:val="00202D48"/>
    <w:rsid w:val="00202EAB"/>
    <w:rsid w:val="00202FB7"/>
    <w:rsid w:val="00203173"/>
    <w:rsid w:val="0020346C"/>
    <w:rsid w:val="002035AD"/>
    <w:rsid w:val="0020371D"/>
    <w:rsid w:val="00204101"/>
    <w:rsid w:val="00204A29"/>
    <w:rsid w:val="00204D1F"/>
    <w:rsid w:val="00204D59"/>
    <w:rsid w:val="00205A6B"/>
    <w:rsid w:val="00205AA2"/>
    <w:rsid w:val="00205EBE"/>
    <w:rsid w:val="00206277"/>
    <w:rsid w:val="0020660B"/>
    <w:rsid w:val="00206878"/>
    <w:rsid w:val="00206942"/>
    <w:rsid w:val="00206A69"/>
    <w:rsid w:val="00206C60"/>
    <w:rsid w:val="00206DE1"/>
    <w:rsid w:val="00206FBC"/>
    <w:rsid w:val="00207DD0"/>
    <w:rsid w:val="002103B6"/>
    <w:rsid w:val="00210A80"/>
    <w:rsid w:val="00210ED3"/>
    <w:rsid w:val="00211054"/>
    <w:rsid w:val="002111F2"/>
    <w:rsid w:val="002112EC"/>
    <w:rsid w:val="00211B13"/>
    <w:rsid w:val="00211C79"/>
    <w:rsid w:val="00212012"/>
    <w:rsid w:val="00212436"/>
    <w:rsid w:val="00212518"/>
    <w:rsid w:val="00213195"/>
    <w:rsid w:val="002132BC"/>
    <w:rsid w:val="00213903"/>
    <w:rsid w:val="002142CB"/>
    <w:rsid w:val="00214620"/>
    <w:rsid w:val="00214891"/>
    <w:rsid w:val="002151F6"/>
    <w:rsid w:val="00215561"/>
    <w:rsid w:val="00215D43"/>
    <w:rsid w:val="00215F40"/>
    <w:rsid w:val="00216763"/>
    <w:rsid w:val="002168AD"/>
    <w:rsid w:val="00216D8E"/>
    <w:rsid w:val="00217027"/>
    <w:rsid w:val="00217227"/>
    <w:rsid w:val="00217249"/>
    <w:rsid w:val="00217434"/>
    <w:rsid w:val="00217642"/>
    <w:rsid w:val="00217DB1"/>
    <w:rsid w:val="00217F0D"/>
    <w:rsid w:val="00220289"/>
    <w:rsid w:val="00220656"/>
    <w:rsid w:val="00221087"/>
    <w:rsid w:val="0022130E"/>
    <w:rsid w:val="002217FD"/>
    <w:rsid w:val="00221800"/>
    <w:rsid w:val="0022185D"/>
    <w:rsid w:val="00221A4A"/>
    <w:rsid w:val="00221AB7"/>
    <w:rsid w:val="0022209B"/>
    <w:rsid w:val="00222399"/>
    <w:rsid w:val="00222C98"/>
    <w:rsid w:val="00223031"/>
    <w:rsid w:val="002238D2"/>
    <w:rsid w:val="0022422B"/>
    <w:rsid w:val="002247AC"/>
    <w:rsid w:val="002248E6"/>
    <w:rsid w:val="00224F79"/>
    <w:rsid w:val="0022558F"/>
    <w:rsid w:val="00226384"/>
    <w:rsid w:val="00226AF9"/>
    <w:rsid w:val="00227283"/>
    <w:rsid w:val="00227460"/>
    <w:rsid w:val="00227712"/>
    <w:rsid w:val="00227828"/>
    <w:rsid w:val="002278D0"/>
    <w:rsid w:val="00227A1D"/>
    <w:rsid w:val="00230573"/>
    <w:rsid w:val="00230AE7"/>
    <w:rsid w:val="00230E3A"/>
    <w:rsid w:val="00231676"/>
    <w:rsid w:val="00231861"/>
    <w:rsid w:val="00231CBC"/>
    <w:rsid w:val="00232152"/>
    <w:rsid w:val="002321F3"/>
    <w:rsid w:val="002322EF"/>
    <w:rsid w:val="002323D4"/>
    <w:rsid w:val="0023258E"/>
    <w:rsid w:val="00232B7B"/>
    <w:rsid w:val="00232D6A"/>
    <w:rsid w:val="00233BDB"/>
    <w:rsid w:val="00233F10"/>
    <w:rsid w:val="002342FA"/>
    <w:rsid w:val="00235A63"/>
    <w:rsid w:val="00235CE9"/>
    <w:rsid w:val="00235EA8"/>
    <w:rsid w:val="002365B1"/>
    <w:rsid w:val="002366EE"/>
    <w:rsid w:val="002368BA"/>
    <w:rsid w:val="00236935"/>
    <w:rsid w:val="002372C8"/>
    <w:rsid w:val="002372CA"/>
    <w:rsid w:val="00237E02"/>
    <w:rsid w:val="002402F7"/>
    <w:rsid w:val="00240B48"/>
    <w:rsid w:val="002414AD"/>
    <w:rsid w:val="002415BE"/>
    <w:rsid w:val="002416B9"/>
    <w:rsid w:val="00241728"/>
    <w:rsid w:val="00241AF8"/>
    <w:rsid w:val="00241C24"/>
    <w:rsid w:val="00241D41"/>
    <w:rsid w:val="00242036"/>
    <w:rsid w:val="00242716"/>
    <w:rsid w:val="00242AFA"/>
    <w:rsid w:val="00242D24"/>
    <w:rsid w:val="00242EBB"/>
    <w:rsid w:val="002430B5"/>
    <w:rsid w:val="002432B5"/>
    <w:rsid w:val="002437FC"/>
    <w:rsid w:val="0024397F"/>
    <w:rsid w:val="00243BE5"/>
    <w:rsid w:val="00244082"/>
    <w:rsid w:val="002442CC"/>
    <w:rsid w:val="00244BD7"/>
    <w:rsid w:val="002454EE"/>
    <w:rsid w:val="002457DE"/>
    <w:rsid w:val="00245847"/>
    <w:rsid w:val="0024586F"/>
    <w:rsid w:val="00245B49"/>
    <w:rsid w:val="00245EA8"/>
    <w:rsid w:val="00246059"/>
    <w:rsid w:val="0024640F"/>
    <w:rsid w:val="00246435"/>
    <w:rsid w:val="00246888"/>
    <w:rsid w:val="00246BCF"/>
    <w:rsid w:val="00246D95"/>
    <w:rsid w:val="00246DEB"/>
    <w:rsid w:val="002474AC"/>
    <w:rsid w:val="0024771B"/>
    <w:rsid w:val="00247CA4"/>
    <w:rsid w:val="00250574"/>
    <w:rsid w:val="002509F1"/>
    <w:rsid w:val="00251245"/>
    <w:rsid w:val="002516DC"/>
    <w:rsid w:val="00251C7B"/>
    <w:rsid w:val="00251CA2"/>
    <w:rsid w:val="00251E72"/>
    <w:rsid w:val="0025257A"/>
    <w:rsid w:val="002525F1"/>
    <w:rsid w:val="00252E65"/>
    <w:rsid w:val="00252E8B"/>
    <w:rsid w:val="002533CB"/>
    <w:rsid w:val="0025369A"/>
    <w:rsid w:val="0025373F"/>
    <w:rsid w:val="00253865"/>
    <w:rsid w:val="00253D72"/>
    <w:rsid w:val="00253F8B"/>
    <w:rsid w:val="0025439A"/>
    <w:rsid w:val="002545AC"/>
    <w:rsid w:val="002547A4"/>
    <w:rsid w:val="002550FF"/>
    <w:rsid w:val="0025528B"/>
    <w:rsid w:val="0025532D"/>
    <w:rsid w:val="0025563F"/>
    <w:rsid w:val="002556CF"/>
    <w:rsid w:val="0025579B"/>
    <w:rsid w:val="002557AF"/>
    <w:rsid w:val="002559CB"/>
    <w:rsid w:val="00255A0C"/>
    <w:rsid w:val="00255BC0"/>
    <w:rsid w:val="00255CBA"/>
    <w:rsid w:val="00256A5F"/>
    <w:rsid w:val="00257921"/>
    <w:rsid w:val="00257CCD"/>
    <w:rsid w:val="002601BB"/>
    <w:rsid w:val="00260503"/>
    <w:rsid w:val="0026096F"/>
    <w:rsid w:val="00260E07"/>
    <w:rsid w:val="002611D0"/>
    <w:rsid w:val="00261A5F"/>
    <w:rsid w:val="00262084"/>
    <w:rsid w:val="002623CF"/>
    <w:rsid w:val="00262A3D"/>
    <w:rsid w:val="00262D71"/>
    <w:rsid w:val="002631DE"/>
    <w:rsid w:val="0026368B"/>
    <w:rsid w:val="00263AAE"/>
    <w:rsid w:val="00263E0B"/>
    <w:rsid w:val="00265092"/>
    <w:rsid w:val="002655F6"/>
    <w:rsid w:val="0026589F"/>
    <w:rsid w:val="00265918"/>
    <w:rsid w:val="00265A96"/>
    <w:rsid w:val="00265F82"/>
    <w:rsid w:val="00266693"/>
    <w:rsid w:val="00266704"/>
    <w:rsid w:val="00266F42"/>
    <w:rsid w:val="00267330"/>
    <w:rsid w:val="002674D1"/>
    <w:rsid w:val="0027014A"/>
    <w:rsid w:val="0027027D"/>
    <w:rsid w:val="00270834"/>
    <w:rsid w:val="00270A9E"/>
    <w:rsid w:val="00270B13"/>
    <w:rsid w:val="00270CCD"/>
    <w:rsid w:val="00270D50"/>
    <w:rsid w:val="002710AF"/>
    <w:rsid w:val="00271604"/>
    <w:rsid w:val="00271FA4"/>
    <w:rsid w:val="0027230A"/>
    <w:rsid w:val="00272958"/>
    <w:rsid w:val="00272A98"/>
    <w:rsid w:val="00273075"/>
    <w:rsid w:val="0027349D"/>
    <w:rsid w:val="0027381B"/>
    <w:rsid w:val="00273CCC"/>
    <w:rsid w:val="00273E86"/>
    <w:rsid w:val="002741E5"/>
    <w:rsid w:val="00274346"/>
    <w:rsid w:val="0027445A"/>
    <w:rsid w:val="00274597"/>
    <w:rsid w:val="002746C6"/>
    <w:rsid w:val="00274A3A"/>
    <w:rsid w:val="00274BC9"/>
    <w:rsid w:val="0027505D"/>
    <w:rsid w:val="0027561B"/>
    <w:rsid w:val="00275938"/>
    <w:rsid w:val="00275DC3"/>
    <w:rsid w:val="0027612A"/>
    <w:rsid w:val="00276736"/>
    <w:rsid w:val="00276737"/>
    <w:rsid w:val="00276DA8"/>
    <w:rsid w:val="0027762F"/>
    <w:rsid w:val="002777DE"/>
    <w:rsid w:val="00277B86"/>
    <w:rsid w:val="00277C5E"/>
    <w:rsid w:val="00277C94"/>
    <w:rsid w:val="00277D62"/>
    <w:rsid w:val="002808D0"/>
    <w:rsid w:val="002813EF"/>
    <w:rsid w:val="002814E6"/>
    <w:rsid w:val="00281637"/>
    <w:rsid w:val="00281A54"/>
    <w:rsid w:val="00281CED"/>
    <w:rsid w:val="00282176"/>
    <w:rsid w:val="00282552"/>
    <w:rsid w:val="00282AE5"/>
    <w:rsid w:val="00283240"/>
    <w:rsid w:val="002836C8"/>
    <w:rsid w:val="002839E7"/>
    <w:rsid w:val="00284218"/>
    <w:rsid w:val="002845D6"/>
    <w:rsid w:val="00284691"/>
    <w:rsid w:val="002848EF"/>
    <w:rsid w:val="002854B8"/>
    <w:rsid w:val="0028566C"/>
    <w:rsid w:val="002856AF"/>
    <w:rsid w:val="00285764"/>
    <w:rsid w:val="00285BB1"/>
    <w:rsid w:val="00285F7C"/>
    <w:rsid w:val="00285F85"/>
    <w:rsid w:val="0028604A"/>
    <w:rsid w:val="002866C1"/>
    <w:rsid w:val="0028682B"/>
    <w:rsid w:val="0028689C"/>
    <w:rsid w:val="00286A7B"/>
    <w:rsid w:val="00286B1E"/>
    <w:rsid w:val="00286D8C"/>
    <w:rsid w:val="00286F0A"/>
    <w:rsid w:val="00286F46"/>
    <w:rsid w:val="00286FFE"/>
    <w:rsid w:val="00287114"/>
    <w:rsid w:val="00287393"/>
    <w:rsid w:val="002903F5"/>
    <w:rsid w:val="00290FA1"/>
    <w:rsid w:val="00291117"/>
    <w:rsid w:val="00291BAE"/>
    <w:rsid w:val="002926FE"/>
    <w:rsid w:val="002929A5"/>
    <w:rsid w:val="00292FE9"/>
    <w:rsid w:val="002931B7"/>
    <w:rsid w:val="0029328A"/>
    <w:rsid w:val="00293604"/>
    <w:rsid w:val="002936B4"/>
    <w:rsid w:val="00293848"/>
    <w:rsid w:val="002941DE"/>
    <w:rsid w:val="00294278"/>
    <w:rsid w:val="00294C67"/>
    <w:rsid w:val="002950C6"/>
    <w:rsid w:val="002951D3"/>
    <w:rsid w:val="002951E6"/>
    <w:rsid w:val="00295330"/>
    <w:rsid w:val="002953E2"/>
    <w:rsid w:val="00295DD6"/>
    <w:rsid w:val="002960BB"/>
    <w:rsid w:val="0029648E"/>
    <w:rsid w:val="0029661B"/>
    <w:rsid w:val="0029677A"/>
    <w:rsid w:val="002969B1"/>
    <w:rsid w:val="00296A19"/>
    <w:rsid w:val="0029793D"/>
    <w:rsid w:val="0029794E"/>
    <w:rsid w:val="002A0831"/>
    <w:rsid w:val="002A0B2D"/>
    <w:rsid w:val="002A0BC1"/>
    <w:rsid w:val="002A0CC9"/>
    <w:rsid w:val="002A10AE"/>
    <w:rsid w:val="002A18B7"/>
    <w:rsid w:val="002A1FF9"/>
    <w:rsid w:val="002A216B"/>
    <w:rsid w:val="002A2191"/>
    <w:rsid w:val="002A2DF5"/>
    <w:rsid w:val="002A306E"/>
    <w:rsid w:val="002A3F90"/>
    <w:rsid w:val="002A4026"/>
    <w:rsid w:val="002A40D8"/>
    <w:rsid w:val="002A41A7"/>
    <w:rsid w:val="002A43DF"/>
    <w:rsid w:val="002A466E"/>
    <w:rsid w:val="002A470D"/>
    <w:rsid w:val="002A4D8D"/>
    <w:rsid w:val="002A539A"/>
    <w:rsid w:val="002A58B8"/>
    <w:rsid w:val="002A613B"/>
    <w:rsid w:val="002A67EA"/>
    <w:rsid w:val="002A6924"/>
    <w:rsid w:val="002A6B7D"/>
    <w:rsid w:val="002A6C61"/>
    <w:rsid w:val="002A6D0C"/>
    <w:rsid w:val="002A71ED"/>
    <w:rsid w:val="002A7E15"/>
    <w:rsid w:val="002B02BD"/>
    <w:rsid w:val="002B0577"/>
    <w:rsid w:val="002B0628"/>
    <w:rsid w:val="002B072C"/>
    <w:rsid w:val="002B0944"/>
    <w:rsid w:val="002B14E3"/>
    <w:rsid w:val="002B1843"/>
    <w:rsid w:val="002B1A23"/>
    <w:rsid w:val="002B1B25"/>
    <w:rsid w:val="002B204C"/>
    <w:rsid w:val="002B206A"/>
    <w:rsid w:val="002B20CA"/>
    <w:rsid w:val="002B215D"/>
    <w:rsid w:val="002B216A"/>
    <w:rsid w:val="002B2190"/>
    <w:rsid w:val="002B2793"/>
    <w:rsid w:val="002B2CB9"/>
    <w:rsid w:val="002B3062"/>
    <w:rsid w:val="002B32E1"/>
    <w:rsid w:val="002B3BB0"/>
    <w:rsid w:val="002B3CBB"/>
    <w:rsid w:val="002B3CD3"/>
    <w:rsid w:val="002B3D90"/>
    <w:rsid w:val="002B4938"/>
    <w:rsid w:val="002B4A87"/>
    <w:rsid w:val="002B5183"/>
    <w:rsid w:val="002B564D"/>
    <w:rsid w:val="002B5DCB"/>
    <w:rsid w:val="002B6155"/>
    <w:rsid w:val="002B615F"/>
    <w:rsid w:val="002B6400"/>
    <w:rsid w:val="002B6652"/>
    <w:rsid w:val="002B7A88"/>
    <w:rsid w:val="002B7DF0"/>
    <w:rsid w:val="002C09D7"/>
    <w:rsid w:val="002C0D29"/>
    <w:rsid w:val="002C0E35"/>
    <w:rsid w:val="002C16D0"/>
    <w:rsid w:val="002C16E4"/>
    <w:rsid w:val="002C176E"/>
    <w:rsid w:val="002C17FB"/>
    <w:rsid w:val="002C22E3"/>
    <w:rsid w:val="002C2BE9"/>
    <w:rsid w:val="002C2E08"/>
    <w:rsid w:val="002C314B"/>
    <w:rsid w:val="002C37B2"/>
    <w:rsid w:val="002C3E4D"/>
    <w:rsid w:val="002C4457"/>
    <w:rsid w:val="002C4AB8"/>
    <w:rsid w:val="002C4DD4"/>
    <w:rsid w:val="002C5898"/>
    <w:rsid w:val="002C5963"/>
    <w:rsid w:val="002C5C5C"/>
    <w:rsid w:val="002C5EAF"/>
    <w:rsid w:val="002C5F07"/>
    <w:rsid w:val="002C64CA"/>
    <w:rsid w:val="002C65B2"/>
    <w:rsid w:val="002C6610"/>
    <w:rsid w:val="002C66B3"/>
    <w:rsid w:val="002C6ACE"/>
    <w:rsid w:val="002C6BBF"/>
    <w:rsid w:val="002C6D70"/>
    <w:rsid w:val="002C751B"/>
    <w:rsid w:val="002C797E"/>
    <w:rsid w:val="002D034B"/>
    <w:rsid w:val="002D035B"/>
    <w:rsid w:val="002D0786"/>
    <w:rsid w:val="002D0886"/>
    <w:rsid w:val="002D0F3B"/>
    <w:rsid w:val="002D153D"/>
    <w:rsid w:val="002D16A7"/>
    <w:rsid w:val="002D1E65"/>
    <w:rsid w:val="002D2264"/>
    <w:rsid w:val="002D348A"/>
    <w:rsid w:val="002D40AC"/>
    <w:rsid w:val="002D4243"/>
    <w:rsid w:val="002D42D9"/>
    <w:rsid w:val="002D42EA"/>
    <w:rsid w:val="002D43C9"/>
    <w:rsid w:val="002D4DEC"/>
    <w:rsid w:val="002D5088"/>
    <w:rsid w:val="002D50CB"/>
    <w:rsid w:val="002D5C4E"/>
    <w:rsid w:val="002D5C6F"/>
    <w:rsid w:val="002D698D"/>
    <w:rsid w:val="002D7029"/>
    <w:rsid w:val="002D73CD"/>
    <w:rsid w:val="002D747F"/>
    <w:rsid w:val="002D76A1"/>
    <w:rsid w:val="002E011F"/>
    <w:rsid w:val="002E01AA"/>
    <w:rsid w:val="002E0968"/>
    <w:rsid w:val="002E0F5C"/>
    <w:rsid w:val="002E132F"/>
    <w:rsid w:val="002E143F"/>
    <w:rsid w:val="002E1771"/>
    <w:rsid w:val="002E1D3B"/>
    <w:rsid w:val="002E240C"/>
    <w:rsid w:val="002E2F45"/>
    <w:rsid w:val="002E3156"/>
    <w:rsid w:val="002E34FE"/>
    <w:rsid w:val="002E3A84"/>
    <w:rsid w:val="002E3B7D"/>
    <w:rsid w:val="002E3CF7"/>
    <w:rsid w:val="002E3F19"/>
    <w:rsid w:val="002E416A"/>
    <w:rsid w:val="002E4317"/>
    <w:rsid w:val="002E444B"/>
    <w:rsid w:val="002E44F4"/>
    <w:rsid w:val="002E4C81"/>
    <w:rsid w:val="002E5092"/>
    <w:rsid w:val="002E51D2"/>
    <w:rsid w:val="002E54D1"/>
    <w:rsid w:val="002E5B27"/>
    <w:rsid w:val="002E614D"/>
    <w:rsid w:val="002E623A"/>
    <w:rsid w:val="002E6A96"/>
    <w:rsid w:val="002E6B78"/>
    <w:rsid w:val="002E6D63"/>
    <w:rsid w:val="002E6F0C"/>
    <w:rsid w:val="002E7862"/>
    <w:rsid w:val="002E7A0E"/>
    <w:rsid w:val="002E7B1D"/>
    <w:rsid w:val="002E7BC5"/>
    <w:rsid w:val="002E7EFA"/>
    <w:rsid w:val="002F0083"/>
    <w:rsid w:val="002F02D6"/>
    <w:rsid w:val="002F05EE"/>
    <w:rsid w:val="002F09D0"/>
    <w:rsid w:val="002F0AA6"/>
    <w:rsid w:val="002F0C1A"/>
    <w:rsid w:val="002F0DBC"/>
    <w:rsid w:val="002F17EE"/>
    <w:rsid w:val="002F184B"/>
    <w:rsid w:val="002F1874"/>
    <w:rsid w:val="002F1B91"/>
    <w:rsid w:val="002F254E"/>
    <w:rsid w:val="002F27D3"/>
    <w:rsid w:val="002F28E4"/>
    <w:rsid w:val="002F2D1A"/>
    <w:rsid w:val="002F3025"/>
    <w:rsid w:val="002F30A4"/>
    <w:rsid w:val="002F3AA5"/>
    <w:rsid w:val="002F3C50"/>
    <w:rsid w:val="002F3CDB"/>
    <w:rsid w:val="002F3E52"/>
    <w:rsid w:val="002F4335"/>
    <w:rsid w:val="002F4483"/>
    <w:rsid w:val="002F46BE"/>
    <w:rsid w:val="002F46E7"/>
    <w:rsid w:val="002F4CC3"/>
    <w:rsid w:val="002F5333"/>
    <w:rsid w:val="002F5516"/>
    <w:rsid w:val="002F613A"/>
    <w:rsid w:val="002F6307"/>
    <w:rsid w:val="002F6386"/>
    <w:rsid w:val="002F6429"/>
    <w:rsid w:val="002F67C4"/>
    <w:rsid w:val="002F6884"/>
    <w:rsid w:val="002F6F56"/>
    <w:rsid w:val="002F6FDE"/>
    <w:rsid w:val="002F6FF2"/>
    <w:rsid w:val="002F72F2"/>
    <w:rsid w:val="002F7469"/>
    <w:rsid w:val="002F7D1D"/>
    <w:rsid w:val="002F7FDB"/>
    <w:rsid w:val="00300F3D"/>
    <w:rsid w:val="00301178"/>
    <w:rsid w:val="00301314"/>
    <w:rsid w:val="0030137A"/>
    <w:rsid w:val="0030142C"/>
    <w:rsid w:val="003015A4"/>
    <w:rsid w:val="003019A6"/>
    <w:rsid w:val="00302458"/>
    <w:rsid w:val="00302BBF"/>
    <w:rsid w:val="00302CF4"/>
    <w:rsid w:val="00302E48"/>
    <w:rsid w:val="00303704"/>
    <w:rsid w:val="00303739"/>
    <w:rsid w:val="00303C23"/>
    <w:rsid w:val="003049DF"/>
    <w:rsid w:val="003049F5"/>
    <w:rsid w:val="003049F8"/>
    <w:rsid w:val="00304F50"/>
    <w:rsid w:val="00305171"/>
    <w:rsid w:val="00305284"/>
    <w:rsid w:val="0030576B"/>
    <w:rsid w:val="0030592D"/>
    <w:rsid w:val="00305D57"/>
    <w:rsid w:val="00305ED5"/>
    <w:rsid w:val="003064AA"/>
    <w:rsid w:val="00306932"/>
    <w:rsid w:val="00306FD6"/>
    <w:rsid w:val="003071CA"/>
    <w:rsid w:val="00307258"/>
    <w:rsid w:val="003072BB"/>
    <w:rsid w:val="003072EC"/>
    <w:rsid w:val="0030772E"/>
    <w:rsid w:val="00307910"/>
    <w:rsid w:val="0030795E"/>
    <w:rsid w:val="00307C9B"/>
    <w:rsid w:val="00310065"/>
    <w:rsid w:val="003103DD"/>
    <w:rsid w:val="003106F7"/>
    <w:rsid w:val="00310E3F"/>
    <w:rsid w:val="00310EEE"/>
    <w:rsid w:val="003111CE"/>
    <w:rsid w:val="00311202"/>
    <w:rsid w:val="003117F6"/>
    <w:rsid w:val="00312660"/>
    <w:rsid w:val="00312971"/>
    <w:rsid w:val="0031446E"/>
    <w:rsid w:val="0031446F"/>
    <w:rsid w:val="003146F8"/>
    <w:rsid w:val="00314A6D"/>
    <w:rsid w:val="003150A9"/>
    <w:rsid w:val="0031617D"/>
    <w:rsid w:val="003161F5"/>
    <w:rsid w:val="00316481"/>
    <w:rsid w:val="0031707F"/>
    <w:rsid w:val="00317560"/>
    <w:rsid w:val="0031762F"/>
    <w:rsid w:val="00317E58"/>
    <w:rsid w:val="003202DD"/>
    <w:rsid w:val="00320675"/>
    <w:rsid w:val="00320921"/>
    <w:rsid w:val="0032126D"/>
    <w:rsid w:val="003219D4"/>
    <w:rsid w:val="00321CFA"/>
    <w:rsid w:val="003222F1"/>
    <w:rsid w:val="003222F3"/>
    <w:rsid w:val="0032233D"/>
    <w:rsid w:val="003223E9"/>
    <w:rsid w:val="003225AB"/>
    <w:rsid w:val="00322E53"/>
    <w:rsid w:val="00322FF6"/>
    <w:rsid w:val="003230B8"/>
    <w:rsid w:val="003233C7"/>
    <w:rsid w:val="00323400"/>
    <w:rsid w:val="003237B7"/>
    <w:rsid w:val="00324002"/>
    <w:rsid w:val="003243AD"/>
    <w:rsid w:val="00324426"/>
    <w:rsid w:val="00324BCB"/>
    <w:rsid w:val="00324C32"/>
    <w:rsid w:val="00324DB5"/>
    <w:rsid w:val="00324ECF"/>
    <w:rsid w:val="00325028"/>
    <w:rsid w:val="0032628A"/>
    <w:rsid w:val="0032649C"/>
    <w:rsid w:val="0032694C"/>
    <w:rsid w:val="00326A36"/>
    <w:rsid w:val="00326B37"/>
    <w:rsid w:val="00326FFC"/>
    <w:rsid w:val="003271A2"/>
    <w:rsid w:val="003273B6"/>
    <w:rsid w:val="003277B3"/>
    <w:rsid w:val="00330419"/>
    <w:rsid w:val="003311F7"/>
    <w:rsid w:val="003313B3"/>
    <w:rsid w:val="00331869"/>
    <w:rsid w:val="0033190D"/>
    <w:rsid w:val="0033196E"/>
    <w:rsid w:val="00331F0B"/>
    <w:rsid w:val="00331F8F"/>
    <w:rsid w:val="00332245"/>
    <w:rsid w:val="003326AA"/>
    <w:rsid w:val="00332D5E"/>
    <w:rsid w:val="003337EC"/>
    <w:rsid w:val="00333E76"/>
    <w:rsid w:val="00334239"/>
    <w:rsid w:val="00334B0C"/>
    <w:rsid w:val="00334D0F"/>
    <w:rsid w:val="00334DD1"/>
    <w:rsid w:val="0033515D"/>
    <w:rsid w:val="0033571F"/>
    <w:rsid w:val="00335B89"/>
    <w:rsid w:val="00335FBE"/>
    <w:rsid w:val="00336444"/>
    <w:rsid w:val="003368A1"/>
    <w:rsid w:val="00336B05"/>
    <w:rsid w:val="00336B59"/>
    <w:rsid w:val="00336ECB"/>
    <w:rsid w:val="00336F13"/>
    <w:rsid w:val="003371B6"/>
    <w:rsid w:val="00337964"/>
    <w:rsid w:val="00337BEA"/>
    <w:rsid w:val="00337CF7"/>
    <w:rsid w:val="003400B5"/>
    <w:rsid w:val="003401D7"/>
    <w:rsid w:val="00340268"/>
    <w:rsid w:val="00340E29"/>
    <w:rsid w:val="003410DD"/>
    <w:rsid w:val="00342216"/>
    <w:rsid w:val="00342FD3"/>
    <w:rsid w:val="00343012"/>
    <w:rsid w:val="00343485"/>
    <w:rsid w:val="00343948"/>
    <w:rsid w:val="00343CD2"/>
    <w:rsid w:val="00343F1F"/>
    <w:rsid w:val="00343FE5"/>
    <w:rsid w:val="003446E2"/>
    <w:rsid w:val="00344DB8"/>
    <w:rsid w:val="00344E97"/>
    <w:rsid w:val="00345234"/>
    <w:rsid w:val="00345450"/>
    <w:rsid w:val="003461C6"/>
    <w:rsid w:val="0034665F"/>
    <w:rsid w:val="003466ED"/>
    <w:rsid w:val="0034670C"/>
    <w:rsid w:val="00346772"/>
    <w:rsid w:val="0034680A"/>
    <w:rsid w:val="00346D88"/>
    <w:rsid w:val="003472A3"/>
    <w:rsid w:val="0034775A"/>
    <w:rsid w:val="0034775D"/>
    <w:rsid w:val="00347E18"/>
    <w:rsid w:val="003504C4"/>
    <w:rsid w:val="003506AE"/>
    <w:rsid w:val="00350BF7"/>
    <w:rsid w:val="00351195"/>
    <w:rsid w:val="0035169F"/>
    <w:rsid w:val="003519B9"/>
    <w:rsid w:val="00352920"/>
    <w:rsid w:val="00352AF8"/>
    <w:rsid w:val="00353294"/>
    <w:rsid w:val="003532A4"/>
    <w:rsid w:val="003535CE"/>
    <w:rsid w:val="00353DD0"/>
    <w:rsid w:val="00353FA9"/>
    <w:rsid w:val="00353FBF"/>
    <w:rsid w:val="00354262"/>
    <w:rsid w:val="00354465"/>
    <w:rsid w:val="003545E1"/>
    <w:rsid w:val="00354696"/>
    <w:rsid w:val="003549BE"/>
    <w:rsid w:val="003549E4"/>
    <w:rsid w:val="00354E79"/>
    <w:rsid w:val="0035519A"/>
    <w:rsid w:val="0035541C"/>
    <w:rsid w:val="003555DB"/>
    <w:rsid w:val="0035606C"/>
    <w:rsid w:val="0035623F"/>
    <w:rsid w:val="003565A2"/>
    <w:rsid w:val="003571C8"/>
    <w:rsid w:val="0035786B"/>
    <w:rsid w:val="003603C2"/>
    <w:rsid w:val="0036049D"/>
    <w:rsid w:val="0036059A"/>
    <w:rsid w:val="003617DE"/>
    <w:rsid w:val="00361845"/>
    <w:rsid w:val="00361A83"/>
    <w:rsid w:val="00361B04"/>
    <w:rsid w:val="003621BD"/>
    <w:rsid w:val="0036231F"/>
    <w:rsid w:val="003626D4"/>
    <w:rsid w:val="00362798"/>
    <w:rsid w:val="00362D19"/>
    <w:rsid w:val="003634EC"/>
    <w:rsid w:val="00363517"/>
    <w:rsid w:val="003639B9"/>
    <w:rsid w:val="00363FF8"/>
    <w:rsid w:val="003640E1"/>
    <w:rsid w:val="00364838"/>
    <w:rsid w:val="00364DC0"/>
    <w:rsid w:val="0036535E"/>
    <w:rsid w:val="00365BED"/>
    <w:rsid w:val="003675D5"/>
    <w:rsid w:val="00367877"/>
    <w:rsid w:val="00367DFD"/>
    <w:rsid w:val="0037063D"/>
    <w:rsid w:val="0037092C"/>
    <w:rsid w:val="00370B08"/>
    <w:rsid w:val="00370BB2"/>
    <w:rsid w:val="00370C77"/>
    <w:rsid w:val="00372A67"/>
    <w:rsid w:val="00372EA9"/>
    <w:rsid w:val="00372EFB"/>
    <w:rsid w:val="0037346A"/>
    <w:rsid w:val="003734EB"/>
    <w:rsid w:val="0037352D"/>
    <w:rsid w:val="0037371A"/>
    <w:rsid w:val="0037386D"/>
    <w:rsid w:val="0037396D"/>
    <w:rsid w:val="00373A0F"/>
    <w:rsid w:val="00373B5A"/>
    <w:rsid w:val="00373C7E"/>
    <w:rsid w:val="00373CD2"/>
    <w:rsid w:val="00373D34"/>
    <w:rsid w:val="00373FC5"/>
    <w:rsid w:val="00374016"/>
    <w:rsid w:val="0037469C"/>
    <w:rsid w:val="00374D45"/>
    <w:rsid w:val="003750B0"/>
    <w:rsid w:val="003754B5"/>
    <w:rsid w:val="00375CD6"/>
    <w:rsid w:val="0037621B"/>
    <w:rsid w:val="00376381"/>
    <w:rsid w:val="00376491"/>
    <w:rsid w:val="0037721D"/>
    <w:rsid w:val="00377354"/>
    <w:rsid w:val="003774E6"/>
    <w:rsid w:val="00377E72"/>
    <w:rsid w:val="00380A7A"/>
    <w:rsid w:val="00380B30"/>
    <w:rsid w:val="00380C5C"/>
    <w:rsid w:val="00381022"/>
    <w:rsid w:val="0038102A"/>
    <w:rsid w:val="003811FA"/>
    <w:rsid w:val="003815EB"/>
    <w:rsid w:val="0038169F"/>
    <w:rsid w:val="00381B86"/>
    <w:rsid w:val="00381D21"/>
    <w:rsid w:val="003821E2"/>
    <w:rsid w:val="0038225A"/>
    <w:rsid w:val="003823EA"/>
    <w:rsid w:val="00382DA6"/>
    <w:rsid w:val="00382FC2"/>
    <w:rsid w:val="003833B4"/>
    <w:rsid w:val="00383988"/>
    <w:rsid w:val="00383AEA"/>
    <w:rsid w:val="00383DCC"/>
    <w:rsid w:val="00384108"/>
    <w:rsid w:val="0038435A"/>
    <w:rsid w:val="00384649"/>
    <w:rsid w:val="003846E2"/>
    <w:rsid w:val="00385423"/>
    <w:rsid w:val="00385DA0"/>
    <w:rsid w:val="00385FB9"/>
    <w:rsid w:val="003860BC"/>
    <w:rsid w:val="003862A5"/>
    <w:rsid w:val="00386882"/>
    <w:rsid w:val="00387354"/>
    <w:rsid w:val="003874CC"/>
    <w:rsid w:val="00387A1B"/>
    <w:rsid w:val="00387A86"/>
    <w:rsid w:val="00387E7D"/>
    <w:rsid w:val="003900B4"/>
    <w:rsid w:val="0039097E"/>
    <w:rsid w:val="00390C13"/>
    <w:rsid w:val="00390CF9"/>
    <w:rsid w:val="0039153F"/>
    <w:rsid w:val="00391F18"/>
    <w:rsid w:val="00392677"/>
    <w:rsid w:val="00392933"/>
    <w:rsid w:val="00392C0A"/>
    <w:rsid w:val="00392D36"/>
    <w:rsid w:val="00393061"/>
    <w:rsid w:val="003930AB"/>
    <w:rsid w:val="00393297"/>
    <w:rsid w:val="0039355A"/>
    <w:rsid w:val="00393A3D"/>
    <w:rsid w:val="00393CD1"/>
    <w:rsid w:val="00393D1B"/>
    <w:rsid w:val="00393EDC"/>
    <w:rsid w:val="003941C9"/>
    <w:rsid w:val="003945C3"/>
    <w:rsid w:val="00394CCE"/>
    <w:rsid w:val="00395972"/>
    <w:rsid w:val="003967A5"/>
    <w:rsid w:val="0039693A"/>
    <w:rsid w:val="00396B06"/>
    <w:rsid w:val="0039719F"/>
    <w:rsid w:val="00397863"/>
    <w:rsid w:val="00397DC9"/>
    <w:rsid w:val="00397E86"/>
    <w:rsid w:val="003A02E2"/>
    <w:rsid w:val="003A05D5"/>
    <w:rsid w:val="003A0600"/>
    <w:rsid w:val="003A087D"/>
    <w:rsid w:val="003A092E"/>
    <w:rsid w:val="003A0C28"/>
    <w:rsid w:val="003A1748"/>
    <w:rsid w:val="003A2C86"/>
    <w:rsid w:val="003A2D8F"/>
    <w:rsid w:val="003A2E9A"/>
    <w:rsid w:val="003A30B4"/>
    <w:rsid w:val="003A3B19"/>
    <w:rsid w:val="003A3CF3"/>
    <w:rsid w:val="003A4397"/>
    <w:rsid w:val="003A511F"/>
    <w:rsid w:val="003A5777"/>
    <w:rsid w:val="003A5EC7"/>
    <w:rsid w:val="003A62C4"/>
    <w:rsid w:val="003A635F"/>
    <w:rsid w:val="003A675E"/>
    <w:rsid w:val="003A699F"/>
    <w:rsid w:val="003A723A"/>
    <w:rsid w:val="003A743E"/>
    <w:rsid w:val="003A759D"/>
    <w:rsid w:val="003A78D4"/>
    <w:rsid w:val="003A7ACE"/>
    <w:rsid w:val="003A7ADE"/>
    <w:rsid w:val="003A7B50"/>
    <w:rsid w:val="003B0048"/>
    <w:rsid w:val="003B00E3"/>
    <w:rsid w:val="003B0309"/>
    <w:rsid w:val="003B041F"/>
    <w:rsid w:val="003B0575"/>
    <w:rsid w:val="003B05A6"/>
    <w:rsid w:val="003B11BB"/>
    <w:rsid w:val="003B1218"/>
    <w:rsid w:val="003B13B2"/>
    <w:rsid w:val="003B1531"/>
    <w:rsid w:val="003B19C1"/>
    <w:rsid w:val="003B1F58"/>
    <w:rsid w:val="003B2677"/>
    <w:rsid w:val="003B29CF"/>
    <w:rsid w:val="003B2A34"/>
    <w:rsid w:val="003B2EF4"/>
    <w:rsid w:val="003B354D"/>
    <w:rsid w:val="003B37D4"/>
    <w:rsid w:val="003B3D2F"/>
    <w:rsid w:val="003B3DC2"/>
    <w:rsid w:val="003B5082"/>
    <w:rsid w:val="003B59FD"/>
    <w:rsid w:val="003B5C9A"/>
    <w:rsid w:val="003B61D2"/>
    <w:rsid w:val="003B65E0"/>
    <w:rsid w:val="003B68E6"/>
    <w:rsid w:val="003B6D86"/>
    <w:rsid w:val="003B6E2C"/>
    <w:rsid w:val="003B7322"/>
    <w:rsid w:val="003B74BD"/>
    <w:rsid w:val="003B7DB1"/>
    <w:rsid w:val="003C01D4"/>
    <w:rsid w:val="003C05C9"/>
    <w:rsid w:val="003C05D5"/>
    <w:rsid w:val="003C0664"/>
    <w:rsid w:val="003C092E"/>
    <w:rsid w:val="003C092F"/>
    <w:rsid w:val="003C0D41"/>
    <w:rsid w:val="003C1078"/>
    <w:rsid w:val="003C19F8"/>
    <w:rsid w:val="003C1D14"/>
    <w:rsid w:val="003C20E0"/>
    <w:rsid w:val="003C29F6"/>
    <w:rsid w:val="003C29FA"/>
    <w:rsid w:val="003C2B37"/>
    <w:rsid w:val="003C2CC3"/>
    <w:rsid w:val="003C2DB8"/>
    <w:rsid w:val="003C2E56"/>
    <w:rsid w:val="003C312F"/>
    <w:rsid w:val="003C3713"/>
    <w:rsid w:val="003C3BBD"/>
    <w:rsid w:val="003C3BBF"/>
    <w:rsid w:val="003C3FFF"/>
    <w:rsid w:val="003C4403"/>
    <w:rsid w:val="003C4A7E"/>
    <w:rsid w:val="003C4E8C"/>
    <w:rsid w:val="003C55A1"/>
    <w:rsid w:val="003C55EE"/>
    <w:rsid w:val="003C649B"/>
    <w:rsid w:val="003C677E"/>
    <w:rsid w:val="003C69BF"/>
    <w:rsid w:val="003C6BED"/>
    <w:rsid w:val="003C7D17"/>
    <w:rsid w:val="003D0291"/>
    <w:rsid w:val="003D0311"/>
    <w:rsid w:val="003D0689"/>
    <w:rsid w:val="003D09EE"/>
    <w:rsid w:val="003D10FC"/>
    <w:rsid w:val="003D1368"/>
    <w:rsid w:val="003D179B"/>
    <w:rsid w:val="003D1E91"/>
    <w:rsid w:val="003D1FF4"/>
    <w:rsid w:val="003D2228"/>
    <w:rsid w:val="003D23A3"/>
    <w:rsid w:val="003D27DD"/>
    <w:rsid w:val="003D2A3B"/>
    <w:rsid w:val="003D3219"/>
    <w:rsid w:val="003D36F1"/>
    <w:rsid w:val="003D3DDA"/>
    <w:rsid w:val="003D412E"/>
    <w:rsid w:val="003D46D4"/>
    <w:rsid w:val="003D4940"/>
    <w:rsid w:val="003D4AAF"/>
    <w:rsid w:val="003D4CF9"/>
    <w:rsid w:val="003D4E51"/>
    <w:rsid w:val="003D5324"/>
    <w:rsid w:val="003D546F"/>
    <w:rsid w:val="003D54D9"/>
    <w:rsid w:val="003D5856"/>
    <w:rsid w:val="003D5870"/>
    <w:rsid w:val="003D58A3"/>
    <w:rsid w:val="003D5A0F"/>
    <w:rsid w:val="003D5EE0"/>
    <w:rsid w:val="003D6110"/>
    <w:rsid w:val="003D61D1"/>
    <w:rsid w:val="003D65A3"/>
    <w:rsid w:val="003D6ED1"/>
    <w:rsid w:val="003D71DB"/>
    <w:rsid w:val="003D76F9"/>
    <w:rsid w:val="003D77FF"/>
    <w:rsid w:val="003D7972"/>
    <w:rsid w:val="003D79B3"/>
    <w:rsid w:val="003D7EB9"/>
    <w:rsid w:val="003E0891"/>
    <w:rsid w:val="003E0946"/>
    <w:rsid w:val="003E09E6"/>
    <w:rsid w:val="003E0E4D"/>
    <w:rsid w:val="003E10EC"/>
    <w:rsid w:val="003E122C"/>
    <w:rsid w:val="003E138F"/>
    <w:rsid w:val="003E1ACF"/>
    <w:rsid w:val="003E2613"/>
    <w:rsid w:val="003E2B99"/>
    <w:rsid w:val="003E35B3"/>
    <w:rsid w:val="003E4690"/>
    <w:rsid w:val="003E493C"/>
    <w:rsid w:val="003E4D5B"/>
    <w:rsid w:val="003E4FAC"/>
    <w:rsid w:val="003E50A5"/>
    <w:rsid w:val="003E53B9"/>
    <w:rsid w:val="003E559F"/>
    <w:rsid w:val="003E564D"/>
    <w:rsid w:val="003E5EE3"/>
    <w:rsid w:val="003E6055"/>
    <w:rsid w:val="003E60FA"/>
    <w:rsid w:val="003E64BB"/>
    <w:rsid w:val="003E6529"/>
    <w:rsid w:val="003E66DF"/>
    <w:rsid w:val="003E6B96"/>
    <w:rsid w:val="003E6BB9"/>
    <w:rsid w:val="003E6C8F"/>
    <w:rsid w:val="003E7156"/>
    <w:rsid w:val="003E7223"/>
    <w:rsid w:val="003E7A1A"/>
    <w:rsid w:val="003E7AEF"/>
    <w:rsid w:val="003E7F79"/>
    <w:rsid w:val="003F0754"/>
    <w:rsid w:val="003F083A"/>
    <w:rsid w:val="003F093B"/>
    <w:rsid w:val="003F0C5B"/>
    <w:rsid w:val="003F1305"/>
    <w:rsid w:val="003F18DA"/>
    <w:rsid w:val="003F1A4A"/>
    <w:rsid w:val="003F1CBD"/>
    <w:rsid w:val="003F1ED6"/>
    <w:rsid w:val="003F20EF"/>
    <w:rsid w:val="003F2211"/>
    <w:rsid w:val="003F2DEB"/>
    <w:rsid w:val="003F3289"/>
    <w:rsid w:val="003F3570"/>
    <w:rsid w:val="003F36A2"/>
    <w:rsid w:val="003F3B62"/>
    <w:rsid w:val="003F3C8E"/>
    <w:rsid w:val="003F3CCE"/>
    <w:rsid w:val="003F3CD3"/>
    <w:rsid w:val="003F3F47"/>
    <w:rsid w:val="003F46D5"/>
    <w:rsid w:val="003F4851"/>
    <w:rsid w:val="003F4E14"/>
    <w:rsid w:val="003F504A"/>
    <w:rsid w:val="003F53A9"/>
    <w:rsid w:val="003F5891"/>
    <w:rsid w:val="003F5AE2"/>
    <w:rsid w:val="003F5E37"/>
    <w:rsid w:val="003F66C2"/>
    <w:rsid w:val="003F67DB"/>
    <w:rsid w:val="003F6B76"/>
    <w:rsid w:val="003F6F1A"/>
    <w:rsid w:val="003F6F1C"/>
    <w:rsid w:val="003F7076"/>
    <w:rsid w:val="003F71DF"/>
    <w:rsid w:val="003F7A99"/>
    <w:rsid w:val="003F7FCC"/>
    <w:rsid w:val="003F7FD6"/>
    <w:rsid w:val="00400466"/>
    <w:rsid w:val="0040060F"/>
    <w:rsid w:val="00400773"/>
    <w:rsid w:val="004010CF"/>
    <w:rsid w:val="00401165"/>
    <w:rsid w:val="004011B4"/>
    <w:rsid w:val="004015FC"/>
    <w:rsid w:val="00401614"/>
    <w:rsid w:val="00402294"/>
    <w:rsid w:val="00402375"/>
    <w:rsid w:val="00402486"/>
    <w:rsid w:val="0040282F"/>
    <w:rsid w:val="004029D3"/>
    <w:rsid w:val="00403002"/>
    <w:rsid w:val="004030BD"/>
    <w:rsid w:val="004035A6"/>
    <w:rsid w:val="00404220"/>
    <w:rsid w:val="0040456F"/>
    <w:rsid w:val="004046EA"/>
    <w:rsid w:val="00404888"/>
    <w:rsid w:val="004048D4"/>
    <w:rsid w:val="004048FE"/>
    <w:rsid w:val="00404970"/>
    <w:rsid w:val="00404A46"/>
    <w:rsid w:val="00404E4F"/>
    <w:rsid w:val="004050AE"/>
    <w:rsid w:val="00405179"/>
    <w:rsid w:val="0040565F"/>
    <w:rsid w:val="00405A18"/>
    <w:rsid w:val="00405A60"/>
    <w:rsid w:val="00405B82"/>
    <w:rsid w:val="00405E94"/>
    <w:rsid w:val="004064F7"/>
    <w:rsid w:val="004065C0"/>
    <w:rsid w:val="004066FA"/>
    <w:rsid w:val="0040673B"/>
    <w:rsid w:val="00406942"/>
    <w:rsid w:val="0040721D"/>
    <w:rsid w:val="00407272"/>
    <w:rsid w:val="004075B6"/>
    <w:rsid w:val="004112B7"/>
    <w:rsid w:val="00411C51"/>
    <w:rsid w:val="00411D13"/>
    <w:rsid w:val="00411F2A"/>
    <w:rsid w:val="00412246"/>
    <w:rsid w:val="004122D5"/>
    <w:rsid w:val="004122EC"/>
    <w:rsid w:val="00412447"/>
    <w:rsid w:val="0041254C"/>
    <w:rsid w:val="004128E3"/>
    <w:rsid w:val="00413509"/>
    <w:rsid w:val="00413755"/>
    <w:rsid w:val="00413935"/>
    <w:rsid w:val="00414CB6"/>
    <w:rsid w:val="00414DFF"/>
    <w:rsid w:val="00414E1A"/>
    <w:rsid w:val="00415138"/>
    <w:rsid w:val="004153CA"/>
    <w:rsid w:val="00415A0E"/>
    <w:rsid w:val="004160AB"/>
    <w:rsid w:val="0041707E"/>
    <w:rsid w:val="00417926"/>
    <w:rsid w:val="00420BCA"/>
    <w:rsid w:val="00420F0E"/>
    <w:rsid w:val="0042101D"/>
    <w:rsid w:val="0042109A"/>
    <w:rsid w:val="00421466"/>
    <w:rsid w:val="004214B7"/>
    <w:rsid w:val="00421F7E"/>
    <w:rsid w:val="00421FA0"/>
    <w:rsid w:val="004223AA"/>
    <w:rsid w:val="0042247D"/>
    <w:rsid w:val="00422541"/>
    <w:rsid w:val="0042339A"/>
    <w:rsid w:val="0042373C"/>
    <w:rsid w:val="00423B15"/>
    <w:rsid w:val="00424179"/>
    <w:rsid w:val="004247B5"/>
    <w:rsid w:val="00424A97"/>
    <w:rsid w:val="00424BC9"/>
    <w:rsid w:val="00424CB8"/>
    <w:rsid w:val="00424FC3"/>
    <w:rsid w:val="00425086"/>
    <w:rsid w:val="0042508F"/>
    <w:rsid w:val="00425093"/>
    <w:rsid w:val="0042539C"/>
    <w:rsid w:val="0042543C"/>
    <w:rsid w:val="00425757"/>
    <w:rsid w:val="00425CB9"/>
    <w:rsid w:val="00425D74"/>
    <w:rsid w:val="00425E87"/>
    <w:rsid w:val="00425F61"/>
    <w:rsid w:val="00426101"/>
    <w:rsid w:val="0042614A"/>
    <w:rsid w:val="00426C5D"/>
    <w:rsid w:val="0042701C"/>
    <w:rsid w:val="0042708A"/>
    <w:rsid w:val="00427C88"/>
    <w:rsid w:val="00427D8F"/>
    <w:rsid w:val="00430142"/>
    <w:rsid w:val="00430E23"/>
    <w:rsid w:val="00430E2A"/>
    <w:rsid w:val="0043111B"/>
    <w:rsid w:val="004312A4"/>
    <w:rsid w:val="004314BA"/>
    <w:rsid w:val="0043198B"/>
    <w:rsid w:val="00431E07"/>
    <w:rsid w:val="0043204F"/>
    <w:rsid w:val="00432108"/>
    <w:rsid w:val="0043230B"/>
    <w:rsid w:val="0043241E"/>
    <w:rsid w:val="00432454"/>
    <w:rsid w:val="00432A13"/>
    <w:rsid w:val="0043326D"/>
    <w:rsid w:val="00433C36"/>
    <w:rsid w:val="00433CE8"/>
    <w:rsid w:val="00433EE9"/>
    <w:rsid w:val="00433F2E"/>
    <w:rsid w:val="00433FF0"/>
    <w:rsid w:val="0043432A"/>
    <w:rsid w:val="00434A94"/>
    <w:rsid w:val="00434B2C"/>
    <w:rsid w:val="00434C3C"/>
    <w:rsid w:val="00434F76"/>
    <w:rsid w:val="00435624"/>
    <w:rsid w:val="00435BAF"/>
    <w:rsid w:val="00435C8B"/>
    <w:rsid w:val="00435CF4"/>
    <w:rsid w:val="0043631C"/>
    <w:rsid w:val="00436471"/>
    <w:rsid w:val="004364B0"/>
    <w:rsid w:val="0043672C"/>
    <w:rsid w:val="00436BA7"/>
    <w:rsid w:val="00436F97"/>
    <w:rsid w:val="004379C2"/>
    <w:rsid w:val="00437D29"/>
    <w:rsid w:val="00437D65"/>
    <w:rsid w:val="004400E8"/>
    <w:rsid w:val="00440713"/>
    <w:rsid w:val="004409F7"/>
    <w:rsid w:val="00440F8A"/>
    <w:rsid w:val="00441D72"/>
    <w:rsid w:val="00441F7E"/>
    <w:rsid w:val="00442338"/>
    <w:rsid w:val="0044237D"/>
    <w:rsid w:val="00442416"/>
    <w:rsid w:val="00442545"/>
    <w:rsid w:val="004425F2"/>
    <w:rsid w:val="004428F3"/>
    <w:rsid w:val="00442AFB"/>
    <w:rsid w:val="00442BCF"/>
    <w:rsid w:val="004433A2"/>
    <w:rsid w:val="004437C8"/>
    <w:rsid w:val="004439A7"/>
    <w:rsid w:val="0044418E"/>
    <w:rsid w:val="0044461E"/>
    <w:rsid w:val="00445535"/>
    <w:rsid w:val="00445678"/>
    <w:rsid w:val="00445C92"/>
    <w:rsid w:val="00445D26"/>
    <w:rsid w:val="00445D92"/>
    <w:rsid w:val="00446399"/>
    <w:rsid w:val="004466D9"/>
    <w:rsid w:val="0044751E"/>
    <w:rsid w:val="00447729"/>
    <w:rsid w:val="004478AF"/>
    <w:rsid w:val="00447A9C"/>
    <w:rsid w:val="00447EFD"/>
    <w:rsid w:val="00450330"/>
    <w:rsid w:val="004506CC"/>
    <w:rsid w:val="00450C80"/>
    <w:rsid w:val="00451320"/>
    <w:rsid w:val="00451604"/>
    <w:rsid w:val="004517D5"/>
    <w:rsid w:val="004519CF"/>
    <w:rsid w:val="00452128"/>
    <w:rsid w:val="0045212A"/>
    <w:rsid w:val="004528E7"/>
    <w:rsid w:val="00452F0C"/>
    <w:rsid w:val="00452FE8"/>
    <w:rsid w:val="00453445"/>
    <w:rsid w:val="004536AB"/>
    <w:rsid w:val="004544D6"/>
    <w:rsid w:val="004548F4"/>
    <w:rsid w:val="00455465"/>
    <w:rsid w:val="00455A3F"/>
    <w:rsid w:val="0045610F"/>
    <w:rsid w:val="004562E1"/>
    <w:rsid w:val="00456CFD"/>
    <w:rsid w:val="00456D6D"/>
    <w:rsid w:val="00457026"/>
    <w:rsid w:val="004573A7"/>
    <w:rsid w:val="00457504"/>
    <w:rsid w:val="0045769C"/>
    <w:rsid w:val="00457E5D"/>
    <w:rsid w:val="00457EC7"/>
    <w:rsid w:val="00457F14"/>
    <w:rsid w:val="004600CD"/>
    <w:rsid w:val="0046065A"/>
    <w:rsid w:val="00460858"/>
    <w:rsid w:val="0046101C"/>
    <w:rsid w:val="00461486"/>
    <w:rsid w:val="00461B46"/>
    <w:rsid w:val="00461CE9"/>
    <w:rsid w:val="00462042"/>
    <w:rsid w:val="004620B9"/>
    <w:rsid w:val="004621A1"/>
    <w:rsid w:val="00462407"/>
    <w:rsid w:val="004625A3"/>
    <w:rsid w:val="00462619"/>
    <w:rsid w:val="00462968"/>
    <w:rsid w:val="00462FB1"/>
    <w:rsid w:val="004630EF"/>
    <w:rsid w:val="004631DD"/>
    <w:rsid w:val="004633DE"/>
    <w:rsid w:val="0046358A"/>
    <w:rsid w:val="004635FD"/>
    <w:rsid w:val="0046397D"/>
    <w:rsid w:val="00463D9A"/>
    <w:rsid w:val="00463DFC"/>
    <w:rsid w:val="00463ECC"/>
    <w:rsid w:val="00464036"/>
    <w:rsid w:val="004641C6"/>
    <w:rsid w:val="00465721"/>
    <w:rsid w:val="00465ED3"/>
    <w:rsid w:val="00466140"/>
    <w:rsid w:val="004665C7"/>
    <w:rsid w:val="00466B1C"/>
    <w:rsid w:val="0046751E"/>
    <w:rsid w:val="00467C6A"/>
    <w:rsid w:val="00470129"/>
    <w:rsid w:val="00470EBD"/>
    <w:rsid w:val="0047138E"/>
    <w:rsid w:val="004718A0"/>
    <w:rsid w:val="004718E6"/>
    <w:rsid w:val="00471DB3"/>
    <w:rsid w:val="00471E5C"/>
    <w:rsid w:val="00472152"/>
    <w:rsid w:val="004721C8"/>
    <w:rsid w:val="0047221A"/>
    <w:rsid w:val="0047230F"/>
    <w:rsid w:val="004725B3"/>
    <w:rsid w:val="00472866"/>
    <w:rsid w:val="004728A0"/>
    <w:rsid w:val="00472B45"/>
    <w:rsid w:val="004733E3"/>
    <w:rsid w:val="004734FE"/>
    <w:rsid w:val="004736BF"/>
    <w:rsid w:val="004738B0"/>
    <w:rsid w:val="00473AC5"/>
    <w:rsid w:val="004742DD"/>
    <w:rsid w:val="00474558"/>
    <w:rsid w:val="00475231"/>
    <w:rsid w:val="00475F0C"/>
    <w:rsid w:val="00476003"/>
    <w:rsid w:val="0047614B"/>
    <w:rsid w:val="00476851"/>
    <w:rsid w:val="00476C7F"/>
    <w:rsid w:val="00477315"/>
    <w:rsid w:val="0047755A"/>
    <w:rsid w:val="00477BCA"/>
    <w:rsid w:val="00477BE1"/>
    <w:rsid w:val="00477BFB"/>
    <w:rsid w:val="00477C8A"/>
    <w:rsid w:val="00480073"/>
    <w:rsid w:val="0048076F"/>
    <w:rsid w:val="004809FE"/>
    <w:rsid w:val="00480B16"/>
    <w:rsid w:val="00480DCE"/>
    <w:rsid w:val="00480EA8"/>
    <w:rsid w:val="00481824"/>
    <w:rsid w:val="00481968"/>
    <w:rsid w:val="00481EC4"/>
    <w:rsid w:val="00482036"/>
    <w:rsid w:val="00482688"/>
    <w:rsid w:val="004828B8"/>
    <w:rsid w:val="00482A19"/>
    <w:rsid w:val="00483070"/>
    <w:rsid w:val="0048387B"/>
    <w:rsid w:val="004838EE"/>
    <w:rsid w:val="004839DB"/>
    <w:rsid w:val="00483B56"/>
    <w:rsid w:val="004841E3"/>
    <w:rsid w:val="00484548"/>
    <w:rsid w:val="00484733"/>
    <w:rsid w:val="00484AC6"/>
    <w:rsid w:val="00484E96"/>
    <w:rsid w:val="00485418"/>
    <w:rsid w:val="004854A4"/>
    <w:rsid w:val="00485909"/>
    <w:rsid w:val="00486141"/>
    <w:rsid w:val="004861C7"/>
    <w:rsid w:val="00486313"/>
    <w:rsid w:val="004863B6"/>
    <w:rsid w:val="0048684E"/>
    <w:rsid w:val="00486A7E"/>
    <w:rsid w:val="00486AC6"/>
    <w:rsid w:val="00486B36"/>
    <w:rsid w:val="0048740D"/>
    <w:rsid w:val="004875DA"/>
    <w:rsid w:val="0048760C"/>
    <w:rsid w:val="00487684"/>
    <w:rsid w:val="004877DB"/>
    <w:rsid w:val="00487DA0"/>
    <w:rsid w:val="00487EDD"/>
    <w:rsid w:val="004902B9"/>
    <w:rsid w:val="0049032D"/>
    <w:rsid w:val="00490AAB"/>
    <w:rsid w:val="004912AF"/>
    <w:rsid w:val="00491747"/>
    <w:rsid w:val="00492494"/>
    <w:rsid w:val="00492E5F"/>
    <w:rsid w:val="004930C0"/>
    <w:rsid w:val="004933C7"/>
    <w:rsid w:val="004937F1"/>
    <w:rsid w:val="00493A3E"/>
    <w:rsid w:val="00493A9F"/>
    <w:rsid w:val="00493AA8"/>
    <w:rsid w:val="00493C46"/>
    <w:rsid w:val="00493E8A"/>
    <w:rsid w:val="004943D8"/>
    <w:rsid w:val="00494B8A"/>
    <w:rsid w:val="00494BE7"/>
    <w:rsid w:val="0049512C"/>
    <w:rsid w:val="00495440"/>
    <w:rsid w:val="0049547B"/>
    <w:rsid w:val="004954D0"/>
    <w:rsid w:val="00495619"/>
    <w:rsid w:val="00495841"/>
    <w:rsid w:val="00495AA7"/>
    <w:rsid w:val="00496095"/>
    <w:rsid w:val="004961CC"/>
    <w:rsid w:val="00496244"/>
    <w:rsid w:val="004965C7"/>
    <w:rsid w:val="00496700"/>
    <w:rsid w:val="00496ACA"/>
    <w:rsid w:val="00496B20"/>
    <w:rsid w:val="00496CCC"/>
    <w:rsid w:val="00496ECE"/>
    <w:rsid w:val="00496F12"/>
    <w:rsid w:val="00497253"/>
    <w:rsid w:val="0049727C"/>
    <w:rsid w:val="004A01F3"/>
    <w:rsid w:val="004A0900"/>
    <w:rsid w:val="004A0ABC"/>
    <w:rsid w:val="004A0B1C"/>
    <w:rsid w:val="004A0B6E"/>
    <w:rsid w:val="004A0F15"/>
    <w:rsid w:val="004A1299"/>
    <w:rsid w:val="004A136F"/>
    <w:rsid w:val="004A17BE"/>
    <w:rsid w:val="004A19C9"/>
    <w:rsid w:val="004A1E35"/>
    <w:rsid w:val="004A2029"/>
    <w:rsid w:val="004A2A7E"/>
    <w:rsid w:val="004A2FB8"/>
    <w:rsid w:val="004A3541"/>
    <w:rsid w:val="004A3729"/>
    <w:rsid w:val="004A3D74"/>
    <w:rsid w:val="004A3F31"/>
    <w:rsid w:val="004A41CF"/>
    <w:rsid w:val="004A45E0"/>
    <w:rsid w:val="004A47AA"/>
    <w:rsid w:val="004A50F5"/>
    <w:rsid w:val="004A51A4"/>
    <w:rsid w:val="004A5586"/>
    <w:rsid w:val="004A6917"/>
    <w:rsid w:val="004A6F5A"/>
    <w:rsid w:val="004A7002"/>
    <w:rsid w:val="004A7153"/>
    <w:rsid w:val="004A75B1"/>
    <w:rsid w:val="004A76F0"/>
    <w:rsid w:val="004B00D0"/>
    <w:rsid w:val="004B06AA"/>
    <w:rsid w:val="004B0748"/>
    <w:rsid w:val="004B08D7"/>
    <w:rsid w:val="004B1531"/>
    <w:rsid w:val="004B17D4"/>
    <w:rsid w:val="004B1AD0"/>
    <w:rsid w:val="004B1BDF"/>
    <w:rsid w:val="004B2372"/>
    <w:rsid w:val="004B2665"/>
    <w:rsid w:val="004B297E"/>
    <w:rsid w:val="004B2C3F"/>
    <w:rsid w:val="004B323E"/>
    <w:rsid w:val="004B3CCF"/>
    <w:rsid w:val="004B461A"/>
    <w:rsid w:val="004B4A5B"/>
    <w:rsid w:val="004B4F48"/>
    <w:rsid w:val="004B598C"/>
    <w:rsid w:val="004B5A3E"/>
    <w:rsid w:val="004B5D59"/>
    <w:rsid w:val="004B606C"/>
    <w:rsid w:val="004B609E"/>
    <w:rsid w:val="004B61CE"/>
    <w:rsid w:val="004B633E"/>
    <w:rsid w:val="004B661F"/>
    <w:rsid w:val="004B6B99"/>
    <w:rsid w:val="004B6EEB"/>
    <w:rsid w:val="004B75FC"/>
    <w:rsid w:val="004B7D3B"/>
    <w:rsid w:val="004B7FCE"/>
    <w:rsid w:val="004C03A4"/>
    <w:rsid w:val="004C061C"/>
    <w:rsid w:val="004C0754"/>
    <w:rsid w:val="004C0CBC"/>
    <w:rsid w:val="004C1118"/>
    <w:rsid w:val="004C14D4"/>
    <w:rsid w:val="004C1CCD"/>
    <w:rsid w:val="004C20C9"/>
    <w:rsid w:val="004C216A"/>
    <w:rsid w:val="004C234D"/>
    <w:rsid w:val="004C296D"/>
    <w:rsid w:val="004C2DFB"/>
    <w:rsid w:val="004C3382"/>
    <w:rsid w:val="004C34D2"/>
    <w:rsid w:val="004C39FB"/>
    <w:rsid w:val="004C3C6B"/>
    <w:rsid w:val="004C3D8F"/>
    <w:rsid w:val="004C43DE"/>
    <w:rsid w:val="004C468C"/>
    <w:rsid w:val="004C4823"/>
    <w:rsid w:val="004C4825"/>
    <w:rsid w:val="004C5554"/>
    <w:rsid w:val="004C5983"/>
    <w:rsid w:val="004C5CD4"/>
    <w:rsid w:val="004C5E97"/>
    <w:rsid w:val="004C5ED0"/>
    <w:rsid w:val="004C604A"/>
    <w:rsid w:val="004C60AA"/>
    <w:rsid w:val="004C63FA"/>
    <w:rsid w:val="004C641D"/>
    <w:rsid w:val="004C6E4D"/>
    <w:rsid w:val="004C6F0B"/>
    <w:rsid w:val="004C77C7"/>
    <w:rsid w:val="004D00CA"/>
    <w:rsid w:val="004D02F8"/>
    <w:rsid w:val="004D05E2"/>
    <w:rsid w:val="004D0E47"/>
    <w:rsid w:val="004D1A38"/>
    <w:rsid w:val="004D1AC0"/>
    <w:rsid w:val="004D1D63"/>
    <w:rsid w:val="004D1DDE"/>
    <w:rsid w:val="004D261B"/>
    <w:rsid w:val="004D2817"/>
    <w:rsid w:val="004D2BEB"/>
    <w:rsid w:val="004D2CA2"/>
    <w:rsid w:val="004D2CD2"/>
    <w:rsid w:val="004D2F04"/>
    <w:rsid w:val="004D3E6C"/>
    <w:rsid w:val="004D4AF3"/>
    <w:rsid w:val="004D4BE6"/>
    <w:rsid w:val="004D4D03"/>
    <w:rsid w:val="004D5165"/>
    <w:rsid w:val="004D5404"/>
    <w:rsid w:val="004D556F"/>
    <w:rsid w:val="004D571E"/>
    <w:rsid w:val="004D5CA1"/>
    <w:rsid w:val="004D6717"/>
    <w:rsid w:val="004D69CC"/>
    <w:rsid w:val="004D797A"/>
    <w:rsid w:val="004D79DE"/>
    <w:rsid w:val="004D79E0"/>
    <w:rsid w:val="004D7AF5"/>
    <w:rsid w:val="004D7BE7"/>
    <w:rsid w:val="004D7F7B"/>
    <w:rsid w:val="004E0B52"/>
    <w:rsid w:val="004E1233"/>
    <w:rsid w:val="004E14BF"/>
    <w:rsid w:val="004E1DEB"/>
    <w:rsid w:val="004E2269"/>
    <w:rsid w:val="004E27AC"/>
    <w:rsid w:val="004E28C6"/>
    <w:rsid w:val="004E29B6"/>
    <w:rsid w:val="004E2E1C"/>
    <w:rsid w:val="004E3314"/>
    <w:rsid w:val="004E362D"/>
    <w:rsid w:val="004E3913"/>
    <w:rsid w:val="004E3972"/>
    <w:rsid w:val="004E3CC9"/>
    <w:rsid w:val="004E3FB9"/>
    <w:rsid w:val="004E404C"/>
    <w:rsid w:val="004E4182"/>
    <w:rsid w:val="004E440F"/>
    <w:rsid w:val="004E45A6"/>
    <w:rsid w:val="004E46AA"/>
    <w:rsid w:val="004E4744"/>
    <w:rsid w:val="004E4D2E"/>
    <w:rsid w:val="004E4DC7"/>
    <w:rsid w:val="004E4EE2"/>
    <w:rsid w:val="004E4F7D"/>
    <w:rsid w:val="004E52BA"/>
    <w:rsid w:val="004E53AA"/>
    <w:rsid w:val="004E5AA5"/>
    <w:rsid w:val="004E6173"/>
    <w:rsid w:val="004E643F"/>
    <w:rsid w:val="004E65CF"/>
    <w:rsid w:val="004E665B"/>
    <w:rsid w:val="004E6864"/>
    <w:rsid w:val="004E6DE1"/>
    <w:rsid w:val="004E6DF7"/>
    <w:rsid w:val="004E6FB6"/>
    <w:rsid w:val="004E7193"/>
    <w:rsid w:val="004E72E2"/>
    <w:rsid w:val="004E7DEF"/>
    <w:rsid w:val="004F00BF"/>
    <w:rsid w:val="004F01B7"/>
    <w:rsid w:val="004F045E"/>
    <w:rsid w:val="004F04C4"/>
    <w:rsid w:val="004F0F92"/>
    <w:rsid w:val="004F10E0"/>
    <w:rsid w:val="004F138F"/>
    <w:rsid w:val="004F14B2"/>
    <w:rsid w:val="004F14B8"/>
    <w:rsid w:val="004F15CD"/>
    <w:rsid w:val="004F178B"/>
    <w:rsid w:val="004F21AC"/>
    <w:rsid w:val="004F2D0A"/>
    <w:rsid w:val="004F3B59"/>
    <w:rsid w:val="004F3BDC"/>
    <w:rsid w:val="004F420C"/>
    <w:rsid w:val="004F4267"/>
    <w:rsid w:val="004F43ED"/>
    <w:rsid w:val="004F440D"/>
    <w:rsid w:val="004F478A"/>
    <w:rsid w:val="004F4A90"/>
    <w:rsid w:val="004F4CE0"/>
    <w:rsid w:val="004F4D12"/>
    <w:rsid w:val="004F508D"/>
    <w:rsid w:val="004F520E"/>
    <w:rsid w:val="004F5484"/>
    <w:rsid w:val="004F5A62"/>
    <w:rsid w:val="004F60A5"/>
    <w:rsid w:val="004F634F"/>
    <w:rsid w:val="004F6522"/>
    <w:rsid w:val="004F661A"/>
    <w:rsid w:val="004F6690"/>
    <w:rsid w:val="004F6714"/>
    <w:rsid w:val="004F69D4"/>
    <w:rsid w:val="004F6DD7"/>
    <w:rsid w:val="004F7098"/>
    <w:rsid w:val="004F7547"/>
    <w:rsid w:val="004F76EE"/>
    <w:rsid w:val="004F7B3E"/>
    <w:rsid w:val="004F7EC4"/>
    <w:rsid w:val="0050003A"/>
    <w:rsid w:val="00500123"/>
    <w:rsid w:val="00500294"/>
    <w:rsid w:val="005008B1"/>
    <w:rsid w:val="005009EF"/>
    <w:rsid w:val="00500B2E"/>
    <w:rsid w:val="00501995"/>
    <w:rsid w:val="005019EC"/>
    <w:rsid w:val="00501B75"/>
    <w:rsid w:val="00502333"/>
    <w:rsid w:val="00502528"/>
    <w:rsid w:val="005038B9"/>
    <w:rsid w:val="00503F70"/>
    <w:rsid w:val="005040B6"/>
    <w:rsid w:val="00504470"/>
    <w:rsid w:val="00504BDA"/>
    <w:rsid w:val="005053C9"/>
    <w:rsid w:val="0050541F"/>
    <w:rsid w:val="005060A7"/>
    <w:rsid w:val="0050670B"/>
    <w:rsid w:val="00506758"/>
    <w:rsid w:val="005069C6"/>
    <w:rsid w:val="00506F67"/>
    <w:rsid w:val="0050709A"/>
    <w:rsid w:val="00507376"/>
    <w:rsid w:val="005075FD"/>
    <w:rsid w:val="00507BBD"/>
    <w:rsid w:val="00507C19"/>
    <w:rsid w:val="00507D11"/>
    <w:rsid w:val="00507DBC"/>
    <w:rsid w:val="005100E1"/>
    <w:rsid w:val="00510589"/>
    <w:rsid w:val="005108B4"/>
    <w:rsid w:val="005109F9"/>
    <w:rsid w:val="00510CBD"/>
    <w:rsid w:val="00511B29"/>
    <w:rsid w:val="00511F87"/>
    <w:rsid w:val="005121F0"/>
    <w:rsid w:val="005122FE"/>
    <w:rsid w:val="00512365"/>
    <w:rsid w:val="005124ED"/>
    <w:rsid w:val="005125CB"/>
    <w:rsid w:val="005127A4"/>
    <w:rsid w:val="00513881"/>
    <w:rsid w:val="005141C7"/>
    <w:rsid w:val="005141E8"/>
    <w:rsid w:val="0051456F"/>
    <w:rsid w:val="00514B9A"/>
    <w:rsid w:val="00514FDA"/>
    <w:rsid w:val="005152F2"/>
    <w:rsid w:val="00515394"/>
    <w:rsid w:val="005155A7"/>
    <w:rsid w:val="00515A09"/>
    <w:rsid w:val="00515AAD"/>
    <w:rsid w:val="00515F76"/>
    <w:rsid w:val="0051635B"/>
    <w:rsid w:val="005163FD"/>
    <w:rsid w:val="00516A89"/>
    <w:rsid w:val="005171FB"/>
    <w:rsid w:val="0051722D"/>
    <w:rsid w:val="00517257"/>
    <w:rsid w:val="00517347"/>
    <w:rsid w:val="005177DA"/>
    <w:rsid w:val="00517920"/>
    <w:rsid w:val="0052030E"/>
    <w:rsid w:val="005216F4"/>
    <w:rsid w:val="005217B9"/>
    <w:rsid w:val="005217FF"/>
    <w:rsid w:val="00521CF3"/>
    <w:rsid w:val="0052208E"/>
    <w:rsid w:val="005220A6"/>
    <w:rsid w:val="005223AA"/>
    <w:rsid w:val="0052265F"/>
    <w:rsid w:val="00522FAF"/>
    <w:rsid w:val="00523171"/>
    <w:rsid w:val="00523712"/>
    <w:rsid w:val="00524780"/>
    <w:rsid w:val="00525143"/>
    <w:rsid w:val="005256FC"/>
    <w:rsid w:val="00525944"/>
    <w:rsid w:val="00525C33"/>
    <w:rsid w:val="00525C91"/>
    <w:rsid w:val="00525E41"/>
    <w:rsid w:val="00526382"/>
    <w:rsid w:val="00526394"/>
    <w:rsid w:val="005263D8"/>
    <w:rsid w:val="0052646A"/>
    <w:rsid w:val="00526F56"/>
    <w:rsid w:val="0052752E"/>
    <w:rsid w:val="00527967"/>
    <w:rsid w:val="00527A18"/>
    <w:rsid w:val="00527A2D"/>
    <w:rsid w:val="00527A9E"/>
    <w:rsid w:val="005301C0"/>
    <w:rsid w:val="00530345"/>
    <w:rsid w:val="0053054F"/>
    <w:rsid w:val="00530762"/>
    <w:rsid w:val="00530E99"/>
    <w:rsid w:val="00531375"/>
    <w:rsid w:val="005313B9"/>
    <w:rsid w:val="005313C2"/>
    <w:rsid w:val="00531987"/>
    <w:rsid w:val="00531E8E"/>
    <w:rsid w:val="00531ECD"/>
    <w:rsid w:val="005327C5"/>
    <w:rsid w:val="00533140"/>
    <w:rsid w:val="005336A4"/>
    <w:rsid w:val="00533B29"/>
    <w:rsid w:val="00533B96"/>
    <w:rsid w:val="00533C00"/>
    <w:rsid w:val="00533D77"/>
    <w:rsid w:val="00535F5B"/>
    <w:rsid w:val="005362E2"/>
    <w:rsid w:val="00536740"/>
    <w:rsid w:val="00536754"/>
    <w:rsid w:val="00536E09"/>
    <w:rsid w:val="00536E87"/>
    <w:rsid w:val="005374FE"/>
    <w:rsid w:val="005375D8"/>
    <w:rsid w:val="00537935"/>
    <w:rsid w:val="0054015E"/>
    <w:rsid w:val="005401FB"/>
    <w:rsid w:val="00540825"/>
    <w:rsid w:val="0054084D"/>
    <w:rsid w:val="0054098F"/>
    <w:rsid w:val="00540A6E"/>
    <w:rsid w:val="00540B70"/>
    <w:rsid w:val="005417CA"/>
    <w:rsid w:val="00541A91"/>
    <w:rsid w:val="00541B60"/>
    <w:rsid w:val="00541D17"/>
    <w:rsid w:val="00542553"/>
    <w:rsid w:val="005428D8"/>
    <w:rsid w:val="00543A82"/>
    <w:rsid w:val="00543B37"/>
    <w:rsid w:val="005441BC"/>
    <w:rsid w:val="0054586C"/>
    <w:rsid w:val="00545F4B"/>
    <w:rsid w:val="005463EA"/>
    <w:rsid w:val="005469A2"/>
    <w:rsid w:val="00546B56"/>
    <w:rsid w:val="00546BA3"/>
    <w:rsid w:val="00546BE5"/>
    <w:rsid w:val="00547667"/>
    <w:rsid w:val="005479C1"/>
    <w:rsid w:val="00547BE3"/>
    <w:rsid w:val="00550328"/>
    <w:rsid w:val="00550C99"/>
    <w:rsid w:val="00551253"/>
    <w:rsid w:val="0055131D"/>
    <w:rsid w:val="005516C1"/>
    <w:rsid w:val="00551C94"/>
    <w:rsid w:val="00551F00"/>
    <w:rsid w:val="00552523"/>
    <w:rsid w:val="00552EEF"/>
    <w:rsid w:val="0055316E"/>
    <w:rsid w:val="005533A0"/>
    <w:rsid w:val="00553413"/>
    <w:rsid w:val="005538B9"/>
    <w:rsid w:val="00553C54"/>
    <w:rsid w:val="00553C98"/>
    <w:rsid w:val="005541F4"/>
    <w:rsid w:val="005545FD"/>
    <w:rsid w:val="00555056"/>
    <w:rsid w:val="00555597"/>
    <w:rsid w:val="0055560E"/>
    <w:rsid w:val="00555AB2"/>
    <w:rsid w:val="00555F20"/>
    <w:rsid w:val="00556155"/>
    <w:rsid w:val="00556598"/>
    <w:rsid w:val="00556B50"/>
    <w:rsid w:val="00556D45"/>
    <w:rsid w:val="005570A4"/>
    <w:rsid w:val="005571E0"/>
    <w:rsid w:val="0055746A"/>
    <w:rsid w:val="0055761E"/>
    <w:rsid w:val="00557CD0"/>
    <w:rsid w:val="00557D42"/>
    <w:rsid w:val="00560097"/>
    <w:rsid w:val="00560283"/>
    <w:rsid w:val="0056057B"/>
    <w:rsid w:val="00560D2F"/>
    <w:rsid w:val="00561129"/>
    <w:rsid w:val="0056169B"/>
    <w:rsid w:val="00562410"/>
    <w:rsid w:val="0056285F"/>
    <w:rsid w:val="00563008"/>
    <w:rsid w:val="0056300D"/>
    <w:rsid w:val="00563583"/>
    <w:rsid w:val="0056378E"/>
    <w:rsid w:val="00563CA7"/>
    <w:rsid w:val="00564B42"/>
    <w:rsid w:val="00564F07"/>
    <w:rsid w:val="005652F4"/>
    <w:rsid w:val="00565C1F"/>
    <w:rsid w:val="00565F45"/>
    <w:rsid w:val="00565F85"/>
    <w:rsid w:val="005667B1"/>
    <w:rsid w:val="00567252"/>
    <w:rsid w:val="0056791E"/>
    <w:rsid w:val="00567D16"/>
    <w:rsid w:val="00570501"/>
    <w:rsid w:val="00570BC4"/>
    <w:rsid w:val="00571371"/>
    <w:rsid w:val="00571C54"/>
    <w:rsid w:val="00571C8F"/>
    <w:rsid w:val="00571DC0"/>
    <w:rsid w:val="00572616"/>
    <w:rsid w:val="00572684"/>
    <w:rsid w:val="005729E0"/>
    <w:rsid w:val="00572D25"/>
    <w:rsid w:val="00573B46"/>
    <w:rsid w:val="0057448F"/>
    <w:rsid w:val="00574AE5"/>
    <w:rsid w:val="00574C29"/>
    <w:rsid w:val="00574C39"/>
    <w:rsid w:val="00575481"/>
    <w:rsid w:val="005754AB"/>
    <w:rsid w:val="005755C8"/>
    <w:rsid w:val="005758B9"/>
    <w:rsid w:val="005763E7"/>
    <w:rsid w:val="00576A45"/>
    <w:rsid w:val="00576BB3"/>
    <w:rsid w:val="00576DC7"/>
    <w:rsid w:val="00577C8D"/>
    <w:rsid w:val="00580266"/>
    <w:rsid w:val="005802A0"/>
    <w:rsid w:val="005804B7"/>
    <w:rsid w:val="0058055E"/>
    <w:rsid w:val="00580C37"/>
    <w:rsid w:val="00580CF6"/>
    <w:rsid w:val="00580FDB"/>
    <w:rsid w:val="00581190"/>
    <w:rsid w:val="00581513"/>
    <w:rsid w:val="00581623"/>
    <w:rsid w:val="00581C02"/>
    <w:rsid w:val="00581E19"/>
    <w:rsid w:val="005822BF"/>
    <w:rsid w:val="005826F4"/>
    <w:rsid w:val="00582C6A"/>
    <w:rsid w:val="0058353C"/>
    <w:rsid w:val="0058369E"/>
    <w:rsid w:val="005837F6"/>
    <w:rsid w:val="00583B52"/>
    <w:rsid w:val="00583CA6"/>
    <w:rsid w:val="00583D38"/>
    <w:rsid w:val="00583DD4"/>
    <w:rsid w:val="00583F79"/>
    <w:rsid w:val="00584084"/>
    <w:rsid w:val="0058453F"/>
    <w:rsid w:val="0058466E"/>
    <w:rsid w:val="005846BE"/>
    <w:rsid w:val="00584B1C"/>
    <w:rsid w:val="005852E7"/>
    <w:rsid w:val="00585339"/>
    <w:rsid w:val="00585395"/>
    <w:rsid w:val="00585532"/>
    <w:rsid w:val="00585581"/>
    <w:rsid w:val="0058558C"/>
    <w:rsid w:val="005863D3"/>
    <w:rsid w:val="00586489"/>
    <w:rsid w:val="00586618"/>
    <w:rsid w:val="00586736"/>
    <w:rsid w:val="00586B5E"/>
    <w:rsid w:val="00586E2A"/>
    <w:rsid w:val="005876F8"/>
    <w:rsid w:val="00587DCE"/>
    <w:rsid w:val="0059021B"/>
    <w:rsid w:val="0059031F"/>
    <w:rsid w:val="005904A4"/>
    <w:rsid w:val="00590883"/>
    <w:rsid w:val="005908E3"/>
    <w:rsid w:val="00590B3B"/>
    <w:rsid w:val="00590D09"/>
    <w:rsid w:val="0059156A"/>
    <w:rsid w:val="005918A2"/>
    <w:rsid w:val="00591CA0"/>
    <w:rsid w:val="00591D7B"/>
    <w:rsid w:val="00591E62"/>
    <w:rsid w:val="00591FFB"/>
    <w:rsid w:val="005921AF"/>
    <w:rsid w:val="00592C5D"/>
    <w:rsid w:val="00593099"/>
    <w:rsid w:val="005930FF"/>
    <w:rsid w:val="00593314"/>
    <w:rsid w:val="005933D9"/>
    <w:rsid w:val="0059368E"/>
    <w:rsid w:val="005938D3"/>
    <w:rsid w:val="00593BF5"/>
    <w:rsid w:val="00593F43"/>
    <w:rsid w:val="00594015"/>
    <w:rsid w:val="00594496"/>
    <w:rsid w:val="00594869"/>
    <w:rsid w:val="005955D3"/>
    <w:rsid w:val="005956D3"/>
    <w:rsid w:val="005960FB"/>
    <w:rsid w:val="00596365"/>
    <w:rsid w:val="00596481"/>
    <w:rsid w:val="005965BC"/>
    <w:rsid w:val="00596A17"/>
    <w:rsid w:val="00597351"/>
    <w:rsid w:val="00597723"/>
    <w:rsid w:val="00597A94"/>
    <w:rsid w:val="00597AA1"/>
    <w:rsid w:val="00597E5C"/>
    <w:rsid w:val="00597E9D"/>
    <w:rsid w:val="005A0098"/>
    <w:rsid w:val="005A04D8"/>
    <w:rsid w:val="005A05FA"/>
    <w:rsid w:val="005A0CE8"/>
    <w:rsid w:val="005A0E9F"/>
    <w:rsid w:val="005A1011"/>
    <w:rsid w:val="005A1054"/>
    <w:rsid w:val="005A19BD"/>
    <w:rsid w:val="005A1F16"/>
    <w:rsid w:val="005A1F91"/>
    <w:rsid w:val="005A21C6"/>
    <w:rsid w:val="005A21E2"/>
    <w:rsid w:val="005A2570"/>
    <w:rsid w:val="005A274C"/>
    <w:rsid w:val="005A27B0"/>
    <w:rsid w:val="005A2A2C"/>
    <w:rsid w:val="005A2BD4"/>
    <w:rsid w:val="005A2FED"/>
    <w:rsid w:val="005A35F6"/>
    <w:rsid w:val="005A37ED"/>
    <w:rsid w:val="005A4209"/>
    <w:rsid w:val="005A43DD"/>
    <w:rsid w:val="005A4699"/>
    <w:rsid w:val="005A4876"/>
    <w:rsid w:val="005A4A44"/>
    <w:rsid w:val="005A4C3C"/>
    <w:rsid w:val="005A4FDA"/>
    <w:rsid w:val="005A50CE"/>
    <w:rsid w:val="005A5D95"/>
    <w:rsid w:val="005A5DD4"/>
    <w:rsid w:val="005A61DE"/>
    <w:rsid w:val="005A62C6"/>
    <w:rsid w:val="005A6A2C"/>
    <w:rsid w:val="005A7517"/>
    <w:rsid w:val="005A7C7D"/>
    <w:rsid w:val="005A7DA0"/>
    <w:rsid w:val="005A7E78"/>
    <w:rsid w:val="005B03ED"/>
    <w:rsid w:val="005B047A"/>
    <w:rsid w:val="005B05C2"/>
    <w:rsid w:val="005B075B"/>
    <w:rsid w:val="005B090E"/>
    <w:rsid w:val="005B0D91"/>
    <w:rsid w:val="005B0DE9"/>
    <w:rsid w:val="005B109C"/>
    <w:rsid w:val="005B1776"/>
    <w:rsid w:val="005B18C8"/>
    <w:rsid w:val="005B1A89"/>
    <w:rsid w:val="005B1BA3"/>
    <w:rsid w:val="005B1D2C"/>
    <w:rsid w:val="005B273D"/>
    <w:rsid w:val="005B2AB8"/>
    <w:rsid w:val="005B2B50"/>
    <w:rsid w:val="005B2FC7"/>
    <w:rsid w:val="005B32FB"/>
    <w:rsid w:val="005B3454"/>
    <w:rsid w:val="005B36BE"/>
    <w:rsid w:val="005B39DA"/>
    <w:rsid w:val="005B41BB"/>
    <w:rsid w:val="005B4AA8"/>
    <w:rsid w:val="005B4BDA"/>
    <w:rsid w:val="005B4C15"/>
    <w:rsid w:val="005B4F67"/>
    <w:rsid w:val="005B5774"/>
    <w:rsid w:val="005B58D0"/>
    <w:rsid w:val="005B5948"/>
    <w:rsid w:val="005B5B57"/>
    <w:rsid w:val="005B5CAE"/>
    <w:rsid w:val="005B5CB3"/>
    <w:rsid w:val="005B5E89"/>
    <w:rsid w:val="005B5FA9"/>
    <w:rsid w:val="005B6913"/>
    <w:rsid w:val="005B6C4E"/>
    <w:rsid w:val="005B72C5"/>
    <w:rsid w:val="005B7583"/>
    <w:rsid w:val="005B778C"/>
    <w:rsid w:val="005B7FE4"/>
    <w:rsid w:val="005C0144"/>
    <w:rsid w:val="005C0454"/>
    <w:rsid w:val="005C05E0"/>
    <w:rsid w:val="005C0F5B"/>
    <w:rsid w:val="005C1035"/>
    <w:rsid w:val="005C1172"/>
    <w:rsid w:val="005C132D"/>
    <w:rsid w:val="005C137B"/>
    <w:rsid w:val="005C15A1"/>
    <w:rsid w:val="005C17F5"/>
    <w:rsid w:val="005C19B2"/>
    <w:rsid w:val="005C25A7"/>
    <w:rsid w:val="005C2724"/>
    <w:rsid w:val="005C2AEE"/>
    <w:rsid w:val="005C31C5"/>
    <w:rsid w:val="005C3220"/>
    <w:rsid w:val="005C32D1"/>
    <w:rsid w:val="005C37E0"/>
    <w:rsid w:val="005C39E2"/>
    <w:rsid w:val="005C3B79"/>
    <w:rsid w:val="005C3BEA"/>
    <w:rsid w:val="005C3D3C"/>
    <w:rsid w:val="005C436D"/>
    <w:rsid w:val="005C49B3"/>
    <w:rsid w:val="005C4C4D"/>
    <w:rsid w:val="005C4CF5"/>
    <w:rsid w:val="005C4DB2"/>
    <w:rsid w:val="005C4FAB"/>
    <w:rsid w:val="005C511D"/>
    <w:rsid w:val="005C54B9"/>
    <w:rsid w:val="005C5590"/>
    <w:rsid w:val="005C5952"/>
    <w:rsid w:val="005C5A1C"/>
    <w:rsid w:val="005C5C75"/>
    <w:rsid w:val="005C5EE3"/>
    <w:rsid w:val="005C6614"/>
    <w:rsid w:val="005C6618"/>
    <w:rsid w:val="005C671A"/>
    <w:rsid w:val="005C6A6F"/>
    <w:rsid w:val="005C6CB9"/>
    <w:rsid w:val="005C7022"/>
    <w:rsid w:val="005C7649"/>
    <w:rsid w:val="005C76B4"/>
    <w:rsid w:val="005D0189"/>
    <w:rsid w:val="005D068B"/>
    <w:rsid w:val="005D1BB5"/>
    <w:rsid w:val="005D1CEB"/>
    <w:rsid w:val="005D27DA"/>
    <w:rsid w:val="005D2889"/>
    <w:rsid w:val="005D2F33"/>
    <w:rsid w:val="005D3126"/>
    <w:rsid w:val="005D34EF"/>
    <w:rsid w:val="005D367D"/>
    <w:rsid w:val="005D39D1"/>
    <w:rsid w:val="005D3C63"/>
    <w:rsid w:val="005D3C7A"/>
    <w:rsid w:val="005D4173"/>
    <w:rsid w:val="005D4834"/>
    <w:rsid w:val="005D4941"/>
    <w:rsid w:val="005D5A4F"/>
    <w:rsid w:val="005D5A7F"/>
    <w:rsid w:val="005D5E4F"/>
    <w:rsid w:val="005D5E57"/>
    <w:rsid w:val="005D60AE"/>
    <w:rsid w:val="005D653F"/>
    <w:rsid w:val="005D67E7"/>
    <w:rsid w:val="005D6D40"/>
    <w:rsid w:val="005D6FAA"/>
    <w:rsid w:val="005D6FB2"/>
    <w:rsid w:val="005D702A"/>
    <w:rsid w:val="005D7212"/>
    <w:rsid w:val="005D7413"/>
    <w:rsid w:val="005D743C"/>
    <w:rsid w:val="005D7472"/>
    <w:rsid w:val="005D7EB9"/>
    <w:rsid w:val="005D7FE2"/>
    <w:rsid w:val="005E016A"/>
    <w:rsid w:val="005E030A"/>
    <w:rsid w:val="005E077F"/>
    <w:rsid w:val="005E0CF3"/>
    <w:rsid w:val="005E0E57"/>
    <w:rsid w:val="005E0FD2"/>
    <w:rsid w:val="005E1812"/>
    <w:rsid w:val="005E1C1D"/>
    <w:rsid w:val="005E1D15"/>
    <w:rsid w:val="005E225A"/>
    <w:rsid w:val="005E24E2"/>
    <w:rsid w:val="005E2BD4"/>
    <w:rsid w:val="005E308B"/>
    <w:rsid w:val="005E3094"/>
    <w:rsid w:val="005E3805"/>
    <w:rsid w:val="005E39CD"/>
    <w:rsid w:val="005E3F19"/>
    <w:rsid w:val="005E3F4A"/>
    <w:rsid w:val="005E407F"/>
    <w:rsid w:val="005E41F1"/>
    <w:rsid w:val="005E443E"/>
    <w:rsid w:val="005E4470"/>
    <w:rsid w:val="005E49BB"/>
    <w:rsid w:val="005E4B6F"/>
    <w:rsid w:val="005E4DDE"/>
    <w:rsid w:val="005E4F6C"/>
    <w:rsid w:val="005E519C"/>
    <w:rsid w:val="005E5794"/>
    <w:rsid w:val="005E57B0"/>
    <w:rsid w:val="005E5805"/>
    <w:rsid w:val="005E5D3E"/>
    <w:rsid w:val="005E61B1"/>
    <w:rsid w:val="005E6A69"/>
    <w:rsid w:val="005F00F8"/>
    <w:rsid w:val="005F011D"/>
    <w:rsid w:val="005F02AB"/>
    <w:rsid w:val="005F0E66"/>
    <w:rsid w:val="005F13D9"/>
    <w:rsid w:val="005F1408"/>
    <w:rsid w:val="005F1485"/>
    <w:rsid w:val="005F174D"/>
    <w:rsid w:val="005F1A90"/>
    <w:rsid w:val="005F1B68"/>
    <w:rsid w:val="005F1B82"/>
    <w:rsid w:val="005F2661"/>
    <w:rsid w:val="005F27BE"/>
    <w:rsid w:val="005F2A18"/>
    <w:rsid w:val="005F2C30"/>
    <w:rsid w:val="005F2E10"/>
    <w:rsid w:val="005F3242"/>
    <w:rsid w:val="005F3346"/>
    <w:rsid w:val="005F3EAA"/>
    <w:rsid w:val="005F3FDE"/>
    <w:rsid w:val="005F4004"/>
    <w:rsid w:val="005F418B"/>
    <w:rsid w:val="005F4B18"/>
    <w:rsid w:val="005F54E2"/>
    <w:rsid w:val="005F5A25"/>
    <w:rsid w:val="005F5F57"/>
    <w:rsid w:val="005F666A"/>
    <w:rsid w:val="005F6933"/>
    <w:rsid w:val="005F6A8A"/>
    <w:rsid w:val="005F6BA6"/>
    <w:rsid w:val="005F6C80"/>
    <w:rsid w:val="005F6FEF"/>
    <w:rsid w:val="005F7385"/>
    <w:rsid w:val="005F7764"/>
    <w:rsid w:val="00601A4E"/>
    <w:rsid w:val="00601DBF"/>
    <w:rsid w:val="00602E1C"/>
    <w:rsid w:val="00602F05"/>
    <w:rsid w:val="006030A5"/>
    <w:rsid w:val="00603365"/>
    <w:rsid w:val="006033E2"/>
    <w:rsid w:val="0060377D"/>
    <w:rsid w:val="00603FD5"/>
    <w:rsid w:val="006043CB"/>
    <w:rsid w:val="00604435"/>
    <w:rsid w:val="00604B5F"/>
    <w:rsid w:val="00604D49"/>
    <w:rsid w:val="00604DCE"/>
    <w:rsid w:val="0060516D"/>
    <w:rsid w:val="0060547A"/>
    <w:rsid w:val="00605DEC"/>
    <w:rsid w:val="00605EAE"/>
    <w:rsid w:val="00605EE4"/>
    <w:rsid w:val="00605FC8"/>
    <w:rsid w:val="0060633E"/>
    <w:rsid w:val="00606580"/>
    <w:rsid w:val="006067C2"/>
    <w:rsid w:val="00607291"/>
    <w:rsid w:val="00607356"/>
    <w:rsid w:val="00607586"/>
    <w:rsid w:val="0060769D"/>
    <w:rsid w:val="00607AFF"/>
    <w:rsid w:val="00607F03"/>
    <w:rsid w:val="006102C4"/>
    <w:rsid w:val="006103F0"/>
    <w:rsid w:val="006105E1"/>
    <w:rsid w:val="00610627"/>
    <w:rsid w:val="006106CC"/>
    <w:rsid w:val="006106D8"/>
    <w:rsid w:val="00610F6C"/>
    <w:rsid w:val="00610FD5"/>
    <w:rsid w:val="00611381"/>
    <w:rsid w:val="00611886"/>
    <w:rsid w:val="0061190F"/>
    <w:rsid w:val="00611A72"/>
    <w:rsid w:val="00611F1A"/>
    <w:rsid w:val="00612352"/>
    <w:rsid w:val="00612662"/>
    <w:rsid w:val="0061288A"/>
    <w:rsid w:val="00612E19"/>
    <w:rsid w:val="00612FEC"/>
    <w:rsid w:val="00613677"/>
    <w:rsid w:val="0061391C"/>
    <w:rsid w:val="00613D54"/>
    <w:rsid w:val="00613D60"/>
    <w:rsid w:val="006148BC"/>
    <w:rsid w:val="00614B81"/>
    <w:rsid w:val="0061508B"/>
    <w:rsid w:val="00615217"/>
    <w:rsid w:val="00615485"/>
    <w:rsid w:val="006154F2"/>
    <w:rsid w:val="00615B6A"/>
    <w:rsid w:val="006160D0"/>
    <w:rsid w:val="0061614E"/>
    <w:rsid w:val="00616347"/>
    <w:rsid w:val="0061638A"/>
    <w:rsid w:val="006163D1"/>
    <w:rsid w:val="006165AE"/>
    <w:rsid w:val="00616AAC"/>
    <w:rsid w:val="00616DC8"/>
    <w:rsid w:val="0061782D"/>
    <w:rsid w:val="00617A05"/>
    <w:rsid w:val="00617BCE"/>
    <w:rsid w:val="0062015A"/>
    <w:rsid w:val="00620246"/>
    <w:rsid w:val="0062037D"/>
    <w:rsid w:val="00620548"/>
    <w:rsid w:val="0062054A"/>
    <w:rsid w:val="00620607"/>
    <w:rsid w:val="00620738"/>
    <w:rsid w:val="00620A45"/>
    <w:rsid w:val="00620B5B"/>
    <w:rsid w:val="00620C3F"/>
    <w:rsid w:val="00621224"/>
    <w:rsid w:val="006212C4"/>
    <w:rsid w:val="00621BF3"/>
    <w:rsid w:val="00621C23"/>
    <w:rsid w:val="006220A0"/>
    <w:rsid w:val="00622ADC"/>
    <w:rsid w:val="006231B5"/>
    <w:rsid w:val="006233BB"/>
    <w:rsid w:val="006236B1"/>
    <w:rsid w:val="006237B3"/>
    <w:rsid w:val="006238F7"/>
    <w:rsid w:val="00623BBF"/>
    <w:rsid w:val="00623D49"/>
    <w:rsid w:val="006246A0"/>
    <w:rsid w:val="006246B9"/>
    <w:rsid w:val="00624B90"/>
    <w:rsid w:val="00624C51"/>
    <w:rsid w:val="00624D71"/>
    <w:rsid w:val="00625073"/>
    <w:rsid w:val="006250C0"/>
    <w:rsid w:val="0062519E"/>
    <w:rsid w:val="0062571C"/>
    <w:rsid w:val="00625877"/>
    <w:rsid w:val="00625CC3"/>
    <w:rsid w:val="0062615C"/>
    <w:rsid w:val="00626483"/>
    <w:rsid w:val="006267BA"/>
    <w:rsid w:val="0062693B"/>
    <w:rsid w:val="00626DE9"/>
    <w:rsid w:val="00626EAF"/>
    <w:rsid w:val="006274B8"/>
    <w:rsid w:val="00627812"/>
    <w:rsid w:val="00627CD5"/>
    <w:rsid w:val="00627DB8"/>
    <w:rsid w:val="00630795"/>
    <w:rsid w:val="00630A3F"/>
    <w:rsid w:val="00630EDD"/>
    <w:rsid w:val="00630F02"/>
    <w:rsid w:val="006311B5"/>
    <w:rsid w:val="00631AEC"/>
    <w:rsid w:val="00631DCE"/>
    <w:rsid w:val="00632394"/>
    <w:rsid w:val="00632650"/>
    <w:rsid w:val="006326AC"/>
    <w:rsid w:val="00633A2A"/>
    <w:rsid w:val="00633A69"/>
    <w:rsid w:val="00633B3B"/>
    <w:rsid w:val="00633B49"/>
    <w:rsid w:val="006340CD"/>
    <w:rsid w:val="00634153"/>
    <w:rsid w:val="00634391"/>
    <w:rsid w:val="0063495E"/>
    <w:rsid w:val="00634F7A"/>
    <w:rsid w:val="00634FDD"/>
    <w:rsid w:val="006352E6"/>
    <w:rsid w:val="00635FEC"/>
    <w:rsid w:val="006360AF"/>
    <w:rsid w:val="006362F7"/>
    <w:rsid w:val="00636A10"/>
    <w:rsid w:val="00636B80"/>
    <w:rsid w:val="00636F0B"/>
    <w:rsid w:val="006372A7"/>
    <w:rsid w:val="006376C0"/>
    <w:rsid w:val="00637D7A"/>
    <w:rsid w:val="0064023E"/>
    <w:rsid w:val="00640287"/>
    <w:rsid w:val="00640625"/>
    <w:rsid w:val="0064081F"/>
    <w:rsid w:val="006409AF"/>
    <w:rsid w:val="006411D4"/>
    <w:rsid w:val="00641621"/>
    <w:rsid w:val="00641679"/>
    <w:rsid w:val="006417E5"/>
    <w:rsid w:val="00641A9D"/>
    <w:rsid w:val="00642050"/>
    <w:rsid w:val="00642074"/>
    <w:rsid w:val="006427C4"/>
    <w:rsid w:val="00642C52"/>
    <w:rsid w:val="00642D19"/>
    <w:rsid w:val="00642D34"/>
    <w:rsid w:val="0064394B"/>
    <w:rsid w:val="00643E6C"/>
    <w:rsid w:val="00643FB1"/>
    <w:rsid w:val="006440F2"/>
    <w:rsid w:val="006441F1"/>
    <w:rsid w:val="00644C5A"/>
    <w:rsid w:val="0064586B"/>
    <w:rsid w:val="00645873"/>
    <w:rsid w:val="00645F7C"/>
    <w:rsid w:val="0064608D"/>
    <w:rsid w:val="006462AD"/>
    <w:rsid w:val="00646AFE"/>
    <w:rsid w:val="00646D7B"/>
    <w:rsid w:val="00647460"/>
    <w:rsid w:val="0064754C"/>
    <w:rsid w:val="006475BD"/>
    <w:rsid w:val="00647932"/>
    <w:rsid w:val="00647C14"/>
    <w:rsid w:val="00647C62"/>
    <w:rsid w:val="00647CCB"/>
    <w:rsid w:val="00647FC3"/>
    <w:rsid w:val="006500D9"/>
    <w:rsid w:val="00651C58"/>
    <w:rsid w:val="00651C90"/>
    <w:rsid w:val="00652282"/>
    <w:rsid w:val="006522D0"/>
    <w:rsid w:val="006527FF"/>
    <w:rsid w:val="00652FE5"/>
    <w:rsid w:val="006532BB"/>
    <w:rsid w:val="006535DE"/>
    <w:rsid w:val="00653850"/>
    <w:rsid w:val="00653F22"/>
    <w:rsid w:val="00654136"/>
    <w:rsid w:val="0065458E"/>
    <w:rsid w:val="006548B5"/>
    <w:rsid w:val="0065534B"/>
    <w:rsid w:val="00655379"/>
    <w:rsid w:val="0065547E"/>
    <w:rsid w:val="00655645"/>
    <w:rsid w:val="006558DA"/>
    <w:rsid w:val="00655958"/>
    <w:rsid w:val="00655BAF"/>
    <w:rsid w:val="00655DEC"/>
    <w:rsid w:val="0065625F"/>
    <w:rsid w:val="006565A0"/>
    <w:rsid w:val="00656781"/>
    <w:rsid w:val="00656944"/>
    <w:rsid w:val="00656A8A"/>
    <w:rsid w:val="00656AEE"/>
    <w:rsid w:val="00656C09"/>
    <w:rsid w:val="00656C36"/>
    <w:rsid w:val="00656C4C"/>
    <w:rsid w:val="00656E99"/>
    <w:rsid w:val="00656F85"/>
    <w:rsid w:val="00657173"/>
    <w:rsid w:val="00657686"/>
    <w:rsid w:val="00657A28"/>
    <w:rsid w:val="00657AFF"/>
    <w:rsid w:val="00657BF9"/>
    <w:rsid w:val="006602B1"/>
    <w:rsid w:val="0066037E"/>
    <w:rsid w:val="00660496"/>
    <w:rsid w:val="006606FA"/>
    <w:rsid w:val="00660ED8"/>
    <w:rsid w:val="00661612"/>
    <w:rsid w:val="00661E93"/>
    <w:rsid w:val="00661F34"/>
    <w:rsid w:val="006620C4"/>
    <w:rsid w:val="00662209"/>
    <w:rsid w:val="00662470"/>
    <w:rsid w:val="006625D8"/>
    <w:rsid w:val="006628D6"/>
    <w:rsid w:val="00662C05"/>
    <w:rsid w:val="006637F0"/>
    <w:rsid w:val="0066401A"/>
    <w:rsid w:val="00664419"/>
    <w:rsid w:val="006644B9"/>
    <w:rsid w:val="00665418"/>
    <w:rsid w:val="006654F7"/>
    <w:rsid w:val="0066580E"/>
    <w:rsid w:val="0066581C"/>
    <w:rsid w:val="00665A61"/>
    <w:rsid w:val="00665C26"/>
    <w:rsid w:val="00665D15"/>
    <w:rsid w:val="00666148"/>
    <w:rsid w:val="00666185"/>
    <w:rsid w:val="00666352"/>
    <w:rsid w:val="006663D8"/>
    <w:rsid w:val="0066683C"/>
    <w:rsid w:val="006675B0"/>
    <w:rsid w:val="0066777B"/>
    <w:rsid w:val="006678F3"/>
    <w:rsid w:val="006706C6"/>
    <w:rsid w:val="00670748"/>
    <w:rsid w:val="006711CB"/>
    <w:rsid w:val="00671628"/>
    <w:rsid w:val="00671BB6"/>
    <w:rsid w:val="00671CCF"/>
    <w:rsid w:val="0067211F"/>
    <w:rsid w:val="006726E8"/>
    <w:rsid w:val="0067289D"/>
    <w:rsid w:val="006729D4"/>
    <w:rsid w:val="006732B3"/>
    <w:rsid w:val="00673957"/>
    <w:rsid w:val="00673974"/>
    <w:rsid w:val="00673A1A"/>
    <w:rsid w:val="00673E6D"/>
    <w:rsid w:val="0067409D"/>
    <w:rsid w:val="00674725"/>
    <w:rsid w:val="006747AC"/>
    <w:rsid w:val="0067482D"/>
    <w:rsid w:val="006751EA"/>
    <w:rsid w:val="00675491"/>
    <w:rsid w:val="0067555E"/>
    <w:rsid w:val="00675DA1"/>
    <w:rsid w:val="00675DC9"/>
    <w:rsid w:val="0067605C"/>
    <w:rsid w:val="00676871"/>
    <w:rsid w:val="00676E59"/>
    <w:rsid w:val="00677127"/>
    <w:rsid w:val="00677382"/>
    <w:rsid w:val="00677489"/>
    <w:rsid w:val="00677A4D"/>
    <w:rsid w:val="00677D13"/>
    <w:rsid w:val="00677E2C"/>
    <w:rsid w:val="00680640"/>
    <w:rsid w:val="0068077D"/>
    <w:rsid w:val="006809D8"/>
    <w:rsid w:val="00680AFE"/>
    <w:rsid w:val="00680D1C"/>
    <w:rsid w:val="0068125F"/>
    <w:rsid w:val="00681320"/>
    <w:rsid w:val="00681411"/>
    <w:rsid w:val="00681434"/>
    <w:rsid w:val="00681969"/>
    <w:rsid w:val="006819F1"/>
    <w:rsid w:val="00682862"/>
    <w:rsid w:val="00682B94"/>
    <w:rsid w:val="00682C54"/>
    <w:rsid w:val="00683878"/>
    <w:rsid w:val="00683C27"/>
    <w:rsid w:val="00683F7D"/>
    <w:rsid w:val="006840CF"/>
    <w:rsid w:val="00684412"/>
    <w:rsid w:val="00684E88"/>
    <w:rsid w:val="006858D4"/>
    <w:rsid w:val="00685C30"/>
    <w:rsid w:val="00685CFA"/>
    <w:rsid w:val="00685EC1"/>
    <w:rsid w:val="00685EFE"/>
    <w:rsid w:val="00686B31"/>
    <w:rsid w:val="00686B58"/>
    <w:rsid w:val="0068724F"/>
    <w:rsid w:val="00687627"/>
    <w:rsid w:val="00687709"/>
    <w:rsid w:val="00687D40"/>
    <w:rsid w:val="00687EB7"/>
    <w:rsid w:val="00687EE9"/>
    <w:rsid w:val="006903DD"/>
    <w:rsid w:val="00690492"/>
    <w:rsid w:val="0069052B"/>
    <w:rsid w:val="00690551"/>
    <w:rsid w:val="006905D3"/>
    <w:rsid w:val="006909D9"/>
    <w:rsid w:val="006915C6"/>
    <w:rsid w:val="006918B7"/>
    <w:rsid w:val="00691A24"/>
    <w:rsid w:val="00691A38"/>
    <w:rsid w:val="00691E17"/>
    <w:rsid w:val="00692093"/>
    <w:rsid w:val="006922BF"/>
    <w:rsid w:val="006925FD"/>
    <w:rsid w:val="00692750"/>
    <w:rsid w:val="006927B9"/>
    <w:rsid w:val="00692807"/>
    <w:rsid w:val="00692BFB"/>
    <w:rsid w:val="00692C2E"/>
    <w:rsid w:val="00692DA9"/>
    <w:rsid w:val="0069301D"/>
    <w:rsid w:val="00693031"/>
    <w:rsid w:val="006936FC"/>
    <w:rsid w:val="00693CE9"/>
    <w:rsid w:val="00694032"/>
    <w:rsid w:val="006951D9"/>
    <w:rsid w:val="006955CA"/>
    <w:rsid w:val="006956DD"/>
    <w:rsid w:val="00695821"/>
    <w:rsid w:val="00695954"/>
    <w:rsid w:val="00695A6A"/>
    <w:rsid w:val="00695CFF"/>
    <w:rsid w:val="00695F5A"/>
    <w:rsid w:val="00695F7D"/>
    <w:rsid w:val="0069661D"/>
    <w:rsid w:val="006967CF"/>
    <w:rsid w:val="00696856"/>
    <w:rsid w:val="00697471"/>
    <w:rsid w:val="0069748B"/>
    <w:rsid w:val="00697552"/>
    <w:rsid w:val="00697679"/>
    <w:rsid w:val="006977DB"/>
    <w:rsid w:val="006A0E72"/>
    <w:rsid w:val="006A0F5B"/>
    <w:rsid w:val="006A10CF"/>
    <w:rsid w:val="006A13B9"/>
    <w:rsid w:val="006A1DEF"/>
    <w:rsid w:val="006A1EC6"/>
    <w:rsid w:val="006A1F03"/>
    <w:rsid w:val="006A211B"/>
    <w:rsid w:val="006A2426"/>
    <w:rsid w:val="006A24E2"/>
    <w:rsid w:val="006A25FD"/>
    <w:rsid w:val="006A2CBD"/>
    <w:rsid w:val="006A3546"/>
    <w:rsid w:val="006A37BA"/>
    <w:rsid w:val="006A391A"/>
    <w:rsid w:val="006A3B18"/>
    <w:rsid w:val="006A3B91"/>
    <w:rsid w:val="006A4BAF"/>
    <w:rsid w:val="006A5427"/>
    <w:rsid w:val="006A558A"/>
    <w:rsid w:val="006A55C0"/>
    <w:rsid w:val="006A576B"/>
    <w:rsid w:val="006A5D89"/>
    <w:rsid w:val="006A609E"/>
    <w:rsid w:val="006A62F1"/>
    <w:rsid w:val="006A62FB"/>
    <w:rsid w:val="006A640F"/>
    <w:rsid w:val="006A7069"/>
    <w:rsid w:val="006A790A"/>
    <w:rsid w:val="006A7CC0"/>
    <w:rsid w:val="006B02B0"/>
    <w:rsid w:val="006B035F"/>
    <w:rsid w:val="006B0572"/>
    <w:rsid w:val="006B059D"/>
    <w:rsid w:val="006B08DB"/>
    <w:rsid w:val="006B09D1"/>
    <w:rsid w:val="006B0BC7"/>
    <w:rsid w:val="006B0F84"/>
    <w:rsid w:val="006B1026"/>
    <w:rsid w:val="006B118F"/>
    <w:rsid w:val="006B195F"/>
    <w:rsid w:val="006B1B9B"/>
    <w:rsid w:val="006B1F1D"/>
    <w:rsid w:val="006B26D9"/>
    <w:rsid w:val="006B284C"/>
    <w:rsid w:val="006B292E"/>
    <w:rsid w:val="006B2991"/>
    <w:rsid w:val="006B2D76"/>
    <w:rsid w:val="006B3488"/>
    <w:rsid w:val="006B34E2"/>
    <w:rsid w:val="006B3675"/>
    <w:rsid w:val="006B378C"/>
    <w:rsid w:val="006B3C17"/>
    <w:rsid w:val="006B3E4D"/>
    <w:rsid w:val="006B3E74"/>
    <w:rsid w:val="006B4D53"/>
    <w:rsid w:val="006B5105"/>
    <w:rsid w:val="006B538B"/>
    <w:rsid w:val="006B53BD"/>
    <w:rsid w:val="006B5870"/>
    <w:rsid w:val="006B58F9"/>
    <w:rsid w:val="006B5CC5"/>
    <w:rsid w:val="006B5F30"/>
    <w:rsid w:val="006B5FAF"/>
    <w:rsid w:val="006B6202"/>
    <w:rsid w:val="006B621F"/>
    <w:rsid w:val="006B628C"/>
    <w:rsid w:val="006B6669"/>
    <w:rsid w:val="006B6879"/>
    <w:rsid w:val="006B6B82"/>
    <w:rsid w:val="006B6E81"/>
    <w:rsid w:val="006B6FA4"/>
    <w:rsid w:val="006B7256"/>
    <w:rsid w:val="006B72AD"/>
    <w:rsid w:val="006B751F"/>
    <w:rsid w:val="006B7805"/>
    <w:rsid w:val="006B7E7A"/>
    <w:rsid w:val="006C0372"/>
    <w:rsid w:val="006C0EDD"/>
    <w:rsid w:val="006C11E4"/>
    <w:rsid w:val="006C1396"/>
    <w:rsid w:val="006C291B"/>
    <w:rsid w:val="006C32CC"/>
    <w:rsid w:val="006C3380"/>
    <w:rsid w:val="006C36D5"/>
    <w:rsid w:val="006C4A8A"/>
    <w:rsid w:val="006C4AF4"/>
    <w:rsid w:val="006C4C82"/>
    <w:rsid w:val="006C4E16"/>
    <w:rsid w:val="006C5000"/>
    <w:rsid w:val="006C5478"/>
    <w:rsid w:val="006C551F"/>
    <w:rsid w:val="006C5577"/>
    <w:rsid w:val="006C55EF"/>
    <w:rsid w:val="006C55F3"/>
    <w:rsid w:val="006C5604"/>
    <w:rsid w:val="006C57F8"/>
    <w:rsid w:val="006C580D"/>
    <w:rsid w:val="006C5928"/>
    <w:rsid w:val="006C5D01"/>
    <w:rsid w:val="006C6748"/>
    <w:rsid w:val="006C6D4D"/>
    <w:rsid w:val="006C6E74"/>
    <w:rsid w:val="006C6EE4"/>
    <w:rsid w:val="006C6F27"/>
    <w:rsid w:val="006C76ED"/>
    <w:rsid w:val="006C7B6A"/>
    <w:rsid w:val="006D095B"/>
    <w:rsid w:val="006D0A34"/>
    <w:rsid w:val="006D0C6D"/>
    <w:rsid w:val="006D0EC0"/>
    <w:rsid w:val="006D1079"/>
    <w:rsid w:val="006D114A"/>
    <w:rsid w:val="006D13B5"/>
    <w:rsid w:val="006D17A5"/>
    <w:rsid w:val="006D21D3"/>
    <w:rsid w:val="006D2628"/>
    <w:rsid w:val="006D2860"/>
    <w:rsid w:val="006D2AEE"/>
    <w:rsid w:val="006D31DC"/>
    <w:rsid w:val="006D3C05"/>
    <w:rsid w:val="006D3F2F"/>
    <w:rsid w:val="006D4075"/>
    <w:rsid w:val="006D41FB"/>
    <w:rsid w:val="006D43F3"/>
    <w:rsid w:val="006D4869"/>
    <w:rsid w:val="006D4B25"/>
    <w:rsid w:val="006D4D9C"/>
    <w:rsid w:val="006D4F09"/>
    <w:rsid w:val="006D51AA"/>
    <w:rsid w:val="006D5204"/>
    <w:rsid w:val="006D530C"/>
    <w:rsid w:val="006D5420"/>
    <w:rsid w:val="006D5F4F"/>
    <w:rsid w:val="006D5FF3"/>
    <w:rsid w:val="006D6358"/>
    <w:rsid w:val="006D64B6"/>
    <w:rsid w:val="006D657A"/>
    <w:rsid w:val="006D72CA"/>
    <w:rsid w:val="006D7890"/>
    <w:rsid w:val="006D7D6D"/>
    <w:rsid w:val="006E00D1"/>
    <w:rsid w:val="006E0192"/>
    <w:rsid w:val="006E0355"/>
    <w:rsid w:val="006E07C2"/>
    <w:rsid w:val="006E08C6"/>
    <w:rsid w:val="006E0B9E"/>
    <w:rsid w:val="006E0D3E"/>
    <w:rsid w:val="006E12F8"/>
    <w:rsid w:val="006E15DA"/>
    <w:rsid w:val="006E198B"/>
    <w:rsid w:val="006E1991"/>
    <w:rsid w:val="006E1B00"/>
    <w:rsid w:val="006E20B7"/>
    <w:rsid w:val="006E214F"/>
    <w:rsid w:val="006E2704"/>
    <w:rsid w:val="006E284D"/>
    <w:rsid w:val="006E28DE"/>
    <w:rsid w:val="006E2C55"/>
    <w:rsid w:val="006E2E74"/>
    <w:rsid w:val="006E2F0F"/>
    <w:rsid w:val="006E3536"/>
    <w:rsid w:val="006E363A"/>
    <w:rsid w:val="006E38AA"/>
    <w:rsid w:val="006E3A5C"/>
    <w:rsid w:val="006E3BFF"/>
    <w:rsid w:val="006E3EDC"/>
    <w:rsid w:val="006E40AE"/>
    <w:rsid w:val="006E5600"/>
    <w:rsid w:val="006E5A26"/>
    <w:rsid w:val="006E5AE1"/>
    <w:rsid w:val="006E62F4"/>
    <w:rsid w:val="006E68D3"/>
    <w:rsid w:val="006E697E"/>
    <w:rsid w:val="006E6DEA"/>
    <w:rsid w:val="006E71CC"/>
    <w:rsid w:val="006E7922"/>
    <w:rsid w:val="006E79B1"/>
    <w:rsid w:val="006E7CF2"/>
    <w:rsid w:val="006E7F0B"/>
    <w:rsid w:val="006F06CA"/>
    <w:rsid w:val="006F0894"/>
    <w:rsid w:val="006F10E6"/>
    <w:rsid w:val="006F1489"/>
    <w:rsid w:val="006F1613"/>
    <w:rsid w:val="006F163D"/>
    <w:rsid w:val="006F1AF1"/>
    <w:rsid w:val="006F1E3E"/>
    <w:rsid w:val="006F1E5E"/>
    <w:rsid w:val="006F21C7"/>
    <w:rsid w:val="006F231D"/>
    <w:rsid w:val="006F28AF"/>
    <w:rsid w:val="006F2AEF"/>
    <w:rsid w:val="006F307A"/>
    <w:rsid w:val="006F342F"/>
    <w:rsid w:val="006F39D7"/>
    <w:rsid w:val="006F39FA"/>
    <w:rsid w:val="006F3EC6"/>
    <w:rsid w:val="006F45EF"/>
    <w:rsid w:val="006F48F5"/>
    <w:rsid w:val="006F4BCB"/>
    <w:rsid w:val="006F4DB9"/>
    <w:rsid w:val="006F55BB"/>
    <w:rsid w:val="006F57BB"/>
    <w:rsid w:val="006F5B40"/>
    <w:rsid w:val="006F5CF9"/>
    <w:rsid w:val="006F6A0E"/>
    <w:rsid w:val="006F731B"/>
    <w:rsid w:val="006F7531"/>
    <w:rsid w:val="006F7F9E"/>
    <w:rsid w:val="007002F0"/>
    <w:rsid w:val="00700455"/>
    <w:rsid w:val="00700A84"/>
    <w:rsid w:val="00700B2E"/>
    <w:rsid w:val="00700C5C"/>
    <w:rsid w:val="00700D10"/>
    <w:rsid w:val="00701100"/>
    <w:rsid w:val="007012E3"/>
    <w:rsid w:val="007013C2"/>
    <w:rsid w:val="007014E4"/>
    <w:rsid w:val="00701DA6"/>
    <w:rsid w:val="0070236A"/>
    <w:rsid w:val="0070273E"/>
    <w:rsid w:val="00702A7B"/>
    <w:rsid w:val="00702F6E"/>
    <w:rsid w:val="00703814"/>
    <w:rsid w:val="00703D84"/>
    <w:rsid w:val="00704106"/>
    <w:rsid w:val="0070526F"/>
    <w:rsid w:val="007053DF"/>
    <w:rsid w:val="007053F5"/>
    <w:rsid w:val="00705613"/>
    <w:rsid w:val="00705693"/>
    <w:rsid w:val="007058B7"/>
    <w:rsid w:val="00705993"/>
    <w:rsid w:val="00705E1E"/>
    <w:rsid w:val="007064F7"/>
    <w:rsid w:val="0070651A"/>
    <w:rsid w:val="00706659"/>
    <w:rsid w:val="0070692D"/>
    <w:rsid w:val="00707B11"/>
    <w:rsid w:val="00707BA9"/>
    <w:rsid w:val="0071055A"/>
    <w:rsid w:val="00710B19"/>
    <w:rsid w:val="00710BF1"/>
    <w:rsid w:val="00710DDC"/>
    <w:rsid w:val="00710FB5"/>
    <w:rsid w:val="0071131A"/>
    <w:rsid w:val="0071140E"/>
    <w:rsid w:val="00711F18"/>
    <w:rsid w:val="00712867"/>
    <w:rsid w:val="00712E7C"/>
    <w:rsid w:val="007132E4"/>
    <w:rsid w:val="007136F7"/>
    <w:rsid w:val="007137EE"/>
    <w:rsid w:val="00713BE6"/>
    <w:rsid w:val="00713D9F"/>
    <w:rsid w:val="00714488"/>
    <w:rsid w:val="0071464F"/>
    <w:rsid w:val="00714C76"/>
    <w:rsid w:val="0071511E"/>
    <w:rsid w:val="007152D5"/>
    <w:rsid w:val="0071569F"/>
    <w:rsid w:val="00715858"/>
    <w:rsid w:val="007158C6"/>
    <w:rsid w:val="00715DB9"/>
    <w:rsid w:val="00715EA1"/>
    <w:rsid w:val="0071603C"/>
    <w:rsid w:val="00716734"/>
    <w:rsid w:val="007168E0"/>
    <w:rsid w:val="0071744D"/>
    <w:rsid w:val="007175A2"/>
    <w:rsid w:val="007176DB"/>
    <w:rsid w:val="00717C02"/>
    <w:rsid w:val="00717EC3"/>
    <w:rsid w:val="00720507"/>
    <w:rsid w:val="00720890"/>
    <w:rsid w:val="00720A23"/>
    <w:rsid w:val="00720E3A"/>
    <w:rsid w:val="00720F67"/>
    <w:rsid w:val="007215E2"/>
    <w:rsid w:val="007215EF"/>
    <w:rsid w:val="00721606"/>
    <w:rsid w:val="00721B6C"/>
    <w:rsid w:val="00721BC5"/>
    <w:rsid w:val="007225A5"/>
    <w:rsid w:val="00722733"/>
    <w:rsid w:val="007227EA"/>
    <w:rsid w:val="00722995"/>
    <w:rsid w:val="007232FF"/>
    <w:rsid w:val="00723427"/>
    <w:rsid w:val="0072380B"/>
    <w:rsid w:val="00723EDF"/>
    <w:rsid w:val="007244A4"/>
    <w:rsid w:val="00724859"/>
    <w:rsid w:val="00724BC6"/>
    <w:rsid w:val="0072510F"/>
    <w:rsid w:val="00725157"/>
    <w:rsid w:val="0072566F"/>
    <w:rsid w:val="00725B92"/>
    <w:rsid w:val="00725BEB"/>
    <w:rsid w:val="00725DAE"/>
    <w:rsid w:val="007267B3"/>
    <w:rsid w:val="00726FE7"/>
    <w:rsid w:val="00727186"/>
    <w:rsid w:val="007271C0"/>
    <w:rsid w:val="007271D7"/>
    <w:rsid w:val="007276BC"/>
    <w:rsid w:val="0072772C"/>
    <w:rsid w:val="007278C8"/>
    <w:rsid w:val="00727FFB"/>
    <w:rsid w:val="007301C9"/>
    <w:rsid w:val="0073063D"/>
    <w:rsid w:val="007307D0"/>
    <w:rsid w:val="00730B2C"/>
    <w:rsid w:val="00730ED5"/>
    <w:rsid w:val="00730FE4"/>
    <w:rsid w:val="00731338"/>
    <w:rsid w:val="00731A99"/>
    <w:rsid w:val="00732D0C"/>
    <w:rsid w:val="00732D60"/>
    <w:rsid w:val="00732D70"/>
    <w:rsid w:val="00732D80"/>
    <w:rsid w:val="00733AEC"/>
    <w:rsid w:val="00734658"/>
    <w:rsid w:val="007347C9"/>
    <w:rsid w:val="00734962"/>
    <w:rsid w:val="00734DAE"/>
    <w:rsid w:val="007358B3"/>
    <w:rsid w:val="00735F43"/>
    <w:rsid w:val="00736064"/>
    <w:rsid w:val="007362B9"/>
    <w:rsid w:val="0073689B"/>
    <w:rsid w:val="00736B0F"/>
    <w:rsid w:val="00736FA5"/>
    <w:rsid w:val="007373F6"/>
    <w:rsid w:val="00737615"/>
    <w:rsid w:val="00737826"/>
    <w:rsid w:val="00740C16"/>
    <w:rsid w:val="0074148B"/>
    <w:rsid w:val="00741A67"/>
    <w:rsid w:val="00741B27"/>
    <w:rsid w:val="00741F2B"/>
    <w:rsid w:val="00741FFF"/>
    <w:rsid w:val="00742720"/>
    <w:rsid w:val="00742A53"/>
    <w:rsid w:val="00742E18"/>
    <w:rsid w:val="00742F0D"/>
    <w:rsid w:val="00742FE7"/>
    <w:rsid w:val="00743548"/>
    <w:rsid w:val="0074373C"/>
    <w:rsid w:val="007437F3"/>
    <w:rsid w:val="00743DAF"/>
    <w:rsid w:val="00743E66"/>
    <w:rsid w:val="00744120"/>
    <w:rsid w:val="007441FC"/>
    <w:rsid w:val="0074423E"/>
    <w:rsid w:val="00744901"/>
    <w:rsid w:val="0074511E"/>
    <w:rsid w:val="00745268"/>
    <w:rsid w:val="007454CA"/>
    <w:rsid w:val="00745646"/>
    <w:rsid w:val="007457C8"/>
    <w:rsid w:val="00745972"/>
    <w:rsid w:val="00746158"/>
    <w:rsid w:val="00746945"/>
    <w:rsid w:val="00746BCB"/>
    <w:rsid w:val="00746FB5"/>
    <w:rsid w:val="00747085"/>
    <w:rsid w:val="00747219"/>
    <w:rsid w:val="00747898"/>
    <w:rsid w:val="00747CB0"/>
    <w:rsid w:val="0075008B"/>
    <w:rsid w:val="007502BA"/>
    <w:rsid w:val="00750385"/>
    <w:rsid w:val="0075058B"/>
    <w:rsid w:val="007506A6"/>
    <w:rsid w:val="007507A2"/>
    <w:rsid w:val="00750903"/>
    <w:rsid w:val="007511D1"/>
    <w:rsid w:val="007514B1"/>
    <w:rsid w:val="007516BE"/>
    <w:rsid w:val="0075188B"/>
    <w:rsid w:val="00751A36"/>
    <w:rsid w:val="00751D42"/>
    <w:rsid w:val="00751F81"/>
    <w:rsid w:val="00752596"/>
    <w:rsid w:val="007526F7"/>
    <w:rsid w:val="00752998"/>
    <w:rsid w:val="00752D6F"/>
    <w:rsid w:val="00752D7F"/>
    <w:rsid w:val="007536C4"/>
    <w:rsid w:val="00753854"/>
    <w:rsid w:val="0075386F"/>
    <w:rsid w:val="00753FE2"/>
    <w:rsid w:val="007541BE"/>
    <w:rsid w:val="00754637"/>
    <w:rsid w:val="00754E8E"/>
    <w:rsid w:val="0075599A"/>
    <w:rsid w:val="00755E73"/>
    <w:rsid w:val="007562E0"/>
    <w:rsid w:val="007564F3"/>
    <w:rsid w:val="0075663B"/>
    <w:rsid w:val="00756A10"/>
    <w:rsid w:val="00756CC1"/>
    <w:rsid w:val="00756F32"/>
    <w:rsid w:val="00756F36"/>
    <w:rsid w:val="00757316"/>
    <w:rsid w:val="0075784B"/>
    <w:rsid w:val="00757C10"/>
    <w:rsid w:val="00760005"/>
    <w:rsid w:val="00760304"/>
    <w:rsid w:val="00760E1B"/>
    <w:rsid w:val="0076190E"/>
    <w:rsid w:val="0076195E"/>
    <w:rsid w:val="00761BF7"/>
    <w:rsid w:val="00761EF2"/>
    <w:rsid w:val="00762255"/>
    <w:rsid w:val="007624B6"/>
    <w:rsid w:val="007629C2"/>
    <w:rsid w:val="00762ADC"/>
    <w:rsid w:val="00762BAE"/>
    <w:rsid w:val="00762F69"/>
    <w:rsid w:val="00763009"/>
    <w:rsid w:val="0076308E"/>
    <w:rsid w:val="007631A8"/>
    <w:rsid w:val="007634E6"/>
    <w:rsid w:val="00763C45"/>
    <w:rsid w:val="00764108"/>
    <w:rsid w:val="00764EA5"/>
    <w:rsid w:val="00764FE1"/>
    <w:rsid w:val="007657A7"/>
    <w:rsid w:val="00765807"/>
    <w:rsid w:val="00765891"/>
    <w:rsid w:val="00765D7B"/>
    <w:rsid w:val="00765DBD"/>
    <w:rsid w:val="007664E6"/>
    <w:rsid w:val="00766564"/>
    <w:rsid w:val="0076696A"/>
    <w:rsid w:val="007669DE"/>
    <w:rsid w:val="0076711E"/>
    <w:rsid w:val="007672BA"/>
    <w:rsid w:val="007677C9"/>
    <w:rsid w:val="0076783A"/>
    <w:rsid w:val="007678A1"/>
    <w:rsid w:val="00767911"/>
    <w:rsid w:val="00767EAE"/>
    <w:rsid w:val="00770BA2"/>
    <w:rsid w:val="00770D0C"/>
    <w:rsid w:val="00770DB0"/>
    <w:rsid w:val="00771240"/>
    <w:rsid w:val="007715AE"/>
    <w:rsid w:val="00772105"/>
    <w:rsid w:val="007722B2"/>
    <w:rsid w:val="007723D0"/>
    <w:rsid w:val="00773087"/>
    <w:rsid w:val="007733E8"/>
    <w:rsid w:val="00773A10"/>
    <w:rsid w:val="00773F33"/>
    <w:rsid w:val="00774034"/>
    <w:rsid w:val="0077462A"/>
    <w:rsid w:val="00775165"/>
    <w:rsid w:val="00775219"/>
    <w:rsid w:val="0077576D"/>
    <w:rsid w:val="00775773"/>
    <w:rsid w:val="00775CE2"/>
    <w:rsid w:val="0077609D"/>
    <w:rsid w:val="00776458"/>
    <w:rsid w:val="0077660A"/>
    <w:rsid w:val="00776629"/>
    <w:rsid w:val="0077675F"/>
    <w:rsid w:val="007767F5"/>
    <w:rsid w:val="00776860"/>
    <w:rsid w:val="00776E3E"/>
    <w:rsid w:val="007770A1"/>
    <w:rsid w:val="00777318"/>
    <w:rsid w:val="00777CD7"/>
    <w:rsid w:val="0078005D"/>
    <w:rsid w:val="00780345"/>
    <w:rsid w:val="007807D0"/>
    <w:rsid w:val="00780E5A"/>
    <w:rsid w:val="00780F76"/>
    <w:rsid w:val="00781161"/>
    <w:rsid w:val="007812BA"/>
    <w:rsid w:val="00781314"/>
    <w:rsid w:val="0078137A"/>
    <w:rsid w:val="007816EE"/>
    <w:rsid w:val="007817F6"/>
    <w:rsid w:val="00781A41"/>
    <w:rsid w:val="00782055"/>
    <w:rsid w:val="007822AA"/>
    <w:rsid w:val="007823EE"/>
    <w:rsid w:val="00782607"/>
    <w:rsid w:val="007827E3"/>
    <w:rsid w:val="00782976"/>
    <w:rsid w:val="00782B4E"/>
    <w:rsid w:val="00782D67"/>
    <w:rsid w:val="00782E3C"/>
    <w:rsid w:val="00782E58"/>
    <w:rsid w:val="0078321B"/>
    <w:rsid w:val="007835E5"/>
    <w:rsid w:val="007835EE"/>
    <w:rsid w:val="00783CA3"/>
    <w:rsid w:val="0078402D"/>
    <w:rsid w:val="00784051"/>
    <w:rsid w:val="00784313"/>
    <w:rsid w:val="00784670"/>
    <w:rsid w:val="0078480C"/>
    <w:rsid w:val="007848AF"/>
    <w:rsid w:val="0078495A"/>
    <w:rsid w:val="00785194"/>
    <w:rsid w:val="0078533C"/>
    <w:rsid w:val="0078534C"/>
    <w:rsid w:val="00785611"/>
    <w:rsid w:val="00785645"/>
    <w:rsid w:val="00785782"/>
    <w:rsid w:val="007859AD"/>
    <w:rsid w:val="007859C8"/>
    <w:rsid w:val="00785C95"/>
    <w:rsid w:val="0078605E"/>
    <w:rsid w:val="0078637D"/>
    <w:rsid w:val="007865F1"/>
    <w:rsid w:val="0078685A"/>
    <w:rsid w:val="00786872"/>
    <w:rsid w:val="00786EEC"/>
    <w:rsid w:val="00787041"/>
    <w:rsid w:val="00787078"/>
    <w:rsid w:val="00787227"/>
    <w:rsid w:val="007876D5"/>
    <w:rsid w:val="00787DD5"/>
    <w:rsid w:val="0079078D"/>
    <w:rsid w:val="00790A78"/>
    <w:rsid w:val="007918BA"/>
    <w:rsid w:val="00791D4A"/>
    <w:rsid w:val="00791DA2"/>
    <w:rsid w:val="00791E03"/>
    <w:rsid w:val="0079209E"/>
    <w:rsid w:val="007922A5"/>
    <w:rsid w:val="00792A02"/>
    <w:rsid w:val="00792E8A"/>
    <w:rsid w:val="00792E8F"/>
    <w:rsid w:val="0079350C"/>
    <w:rsid w:val="007939AB"/>
    <w:rsid w:val="007939CC"/>
    <w:rsid w:val="00793E98"/>
    <w:rsid w:val="00793EE6"/>
    <w:rsid w:val="007940C0"/>
    <w:rsid w:val="00794299"/>
    <w:rsid w:val="007945D4"/>
    <w:rsid w:val="00794CCB"/>
    <w:rsid w:val="00794F1D"/>
    <w:rsid w:val="00795225"/>
    <w:rsid w:val="0079587C"/>
    <w:rsid w:val="00795ADD"/>
    <w:rsid w:val="00796C2C"/>
    <w:rsid w:val="007972F6"/>
    <w:rsid w:val="007A0266"/>
    <w:rsid w:val="007A0363"/>
    <w:rsid w:val="007A03DB"/>
    <w:rsid w:val="007A08C3"/>
    <w:rsid w:val="007A093E"/>
    <w:rsid w:val="007A10EA"/>
    <w:rsid w:val="007A13F0"/>
    <w:rsid w:val="007A2AED"/>
    <w:rsid w:val="007A37AF"/>
    <w:rsid w:val="007A3BAC"/>
    <w:rsid w:val="007A4036"/>
    <w:rsid w:val="007A4228"/>
    <w:rsid w:val="007A455B"/>
    <w:rsid w:val="007A47B6"/>
    <w:rsid w:val="007A47F9"/>
    <w:rsid w:val="007A4C29"/>
    <w:rsid w:val="007A62E1"/>
    <w:rsid w:val="007A6580"/>
    <w:rsid w:val="007A6A18"/>
    <w:rsid w:val="007A6B15"/>
    <w:rsid w:val="007A6C7E"/>
    <w:rsid w:val="007A76D6"/>
    <w:rsid w:val="007A7B84"/>
    <w:rsid w:val="007B013C"/>
    <w:rsid w:val="007B023F"/>
    <w:rsid w:val="007B035E"/>
    <w:rsid w:val="007B05CA"/>
    <w:rsid w:val="007B08F4"/>
    <w:rsid w:val="007B09DA"/>
    <w:rsid w:val="007B137C"/>
    <w:rsid w:val="007B1A6E"/>
    <w:rsid w:val="007B1D4D"/>
    <w:rsid w:val="007B22C3"/>
    <w:rsid w:val="007B2554"/>
    <w:rsid w:val="007B2909"/>
    <w:rsid w:val="007B2BF2"/>
    <w:rsid w:val="007B2E97"/>
    <w:rsid w:val="007B32CF"/>
    <w:rsid w:val="007B3B90"/>
    <w:rsid w:val="007B3C61"/>
    <w:rsid w:val="007B42F6"/>
    <w:rsid w:val="007B43E3"/>
    <w:rsid w:val="007B4564"/>
    <w:rsid w:val="007B4752"/>
    <w:rsid w:val="007B4D99"/>
    <w:rsid w:val="007B5030"/>
    <w:rsid w:val="007B5039"/>
    <w:rsid w:val="007B5070"/>
    <w:rsid w:val="007B59BD"/>
    <w:rsid w:val="007B5B6C"/>
    <w:rsid w:val="007B5F38"/>
    <w:rsid w:val="007B65CF"/>
    <w:rsid w:val="007B66FF"/>
    <w:rsid w:val="007B6C0D"/>
    <w:rsid w:val="007B7324"/>
    <w:rsid w:val="007B7458"/>
    <w:rsid w:val="007B75BE"/>
    <w:rsid w:val="007B788A"/>
    <w:rsid w:val="007C002F"/>
    <w:rsid w:val="007C0636"/>
    <w:rsid w:val="007C0B4C"/>
    <w:rsid w:val="007C0C1F"/>
    <w:rsid w:val="007C0E55"/>
    <w:rsid w:val="007C110E"/>
    <w:rsid w:val="007C1DAD"/>
    <w:rsid w:val="007C27F2"/>
    <w:rsid w:val="007C28B2"/>
    <w:rsid w:val="007C2CD4"/>
    <w:rsid w:val="007C3475"/>
    <w:rsid w:val="007C3713"/>
    <w:rsid w:val="007C390A"/>
    <w:rsid w:val="007C3D72"/>
    <w:rsid w:val="007C3E38"/>
    <w:rsid w:val="007C3E8A"/>
    <w:rsid w:val="007C4066"/>
    <w:rsid w:val="007C475F"/>
    <w:rsid w:val="007C4788"/>
    <w:rsid w:val="007C4A2C"/>
    <w:rsid w:val="007C4AF4"/>
    <w:rsid w:val="007C4D93"/>
    <w:rsid w:val="007C52C6"/>
    <w:rsid w:val="007C564E"/>
    <w:rsid w:val="007C56CF"/>
    <w:rsid w:val="007C5CDF"/>
    <w:rsid w:val="007C5CFB"/>
    <w:rsid w:val="007C5EF7"/>
    <w:rsid w:val="007C60BD"/>
    <w:rsid w:val="007C660B"/>
    <w:rsid w:val="007C6793"/>
    <w:rsid w:val="007C68E6"/>
    <w:rsid w:val="007C69BC"/>
    <w:rsid w:val="007C6E38"/>
    <w:rsid w:val="007C7AC8"/>
    <w:rsid w:val="007C7F46"/>
    <w:rsid w:val="007D00BB"/>
    <w:rsid w:val="007D00D7"/>
    <w:rsid w:val="007D0514"/>
    <w:rsid w:val="007D0D87"/>
    <w:rsid w:val="007D1220"/>
    <w:rsid w:val="007D1569"/>
    <w:rsid w:val="007D15EF"/>
    <w:rsid w:val="007D1B60"/>
    <w:rsid w:val="007D230F"/>
    <w:rsid w:val="007D23F6"/>
    <w:rsid w:val="007D25EB"/>
    <w:rsid w:val="007D28F0"/>
    <w:rsid w:val="007D29E9"/>
    <w:rsid w:val="007D2C30"/>
    <w:rsid w:val="007D3238"/>
    <w:rsid w:val="007D327D"/>
    <w:rsid w:val="007D3307"/>
    <w:rsid w:val="007D3AC3"/>
    <w:rsid w:val="007D41D3"/>
    <w:rsid w:val="007D46DC"/>
    <w:rsid w:val="007D46DD"/>
    <w:rsid w:val="007D50F1"/>
    <w:rsid w:val="007D5125"/>
    <w:rsid w:val="007D53E4"/>
    <w:rsid w:val="007D55AE"/>
    <w:rsid w:val="007D5980"/>
    <w:rsid w:val="007D60A9"/>
    <w:rsid w:val="007D612B"/>
    <w:rsid w:val="007D620C"/>
    <w:rsid w:val="007D6AD0"/>
    <w:rsid w:val="007D6C33"/>
    <w:rsid w:val="007D76E9"/>
    <w:rsid w:val="007D7A50"/>
    <w:rsid w:val="007E0041"/>
    <w:rsid w:val="007E0089"/>
    <w:rsid w:val="007E064D"/>
    <w:rsid w:val="007E0937"/>
    <w:rsid w:val="007E0FED"/>
    <w:rsid w:val="007E1684"/>
    <w:rsid w:val="007E1A38"/>
    <w:rsid w:val="007E2112"/>
    <w:rsid w:val="007E2142"/>
    <w:rsid w:val="007E225F"/>
    <w:rsid w:val="007E26F7"/>
    <w:rsid w:val="007E2895"/>
    <w:rsid w:val="007E2E38"/>
    <w:rsid w:val="007E2FEF"/>
    <w:rsid w:val="007E4386"/>
    <w:rsid w:val="007E44DD"/>
    <w:rsid w:val="007E4C9D"/>
    <w:rsid w:val="007E5C7F"/>
    <w:rsid w:val="007E617B"/>
    <w:rsid w:val="007E628C"/>
    <w:rsid w:val="007E64AD"/>
    <w:rsid w:val="007E73DA"/>
    <w:rsid w:val="007E747C"/>
    <w:rsid w:val="007E7514"/>
    <w:rsid w:val="007E763A"/>
    <w:rsid w:val="007E7ABF"/>
    <w:rsid w:val="007E7B51"/>
    <w:rsid w:val="007E7BBC"/>
    <w:rsid w:val="007F032A"/>
    <w:rsid w:val="007F0994"/>
    <w:rsid w:val="007F0AD9"/>
    <w:rsid w:val="007F1B07"/>
    <w:rsid w:val="007F2359"/>
    <w:rsid w:val="007F2563"/>
    <w:rsid w:val="007F2624"/>
    <w:rsid w:val="007F2DED"/>
    <w:rsid w:val="007F2F9E"/>
    <w:rsid w:val="007F3448"/>
    <w:rsid w:val="007F359B"/>
    <w:rsid w:val="007F3971"/>
    <w:rsid w:val="007F3A00"/>
    <w:rsid w:val="007F3E8C"/>
    <w:rsid w:val="007F4116"/>
    <w:rsid w:val="007F42CC"/>
    <w:rsid w:val="007F46B8"/>
    <w:rsid w:val="007F496C"/>
    <w:rsid w:val="007F4B24"/>
    <w:rsid w:val="007F4E27"/>
    <w:rsid w:val="007F54B1"/>
    <w:rsid w:val="007F57B7"/>
    <w:rsid w:val="007F57E7"/>
    <w:rsid w:val="007F6341"/>
    <w:rsid w:val="007F6404"/>
    <w:rsid w:val="007F6BD2"/>
    <w:rsid w:val="007F70F8"/>
    <w:rsid w:val="007F74EF"/>
    <w:rsid w:val="007F7562"/>
    <w:rsid w:val="007F7680"/>
    <w:rsid w:val="007F78CE"/>
    <w:rsid w:val="007F7E1A"/>
    <w:rsid w:val="007F7E86"/>
    <w:rsid w:val="007F7F96"/>
    <w:rsid w:val="008004C7"/>
    <w:rsid w:val="00800679"/>
    <w:rsid w:val="00801411"/>
    <w:rsid w:val="008017BC"/>
    <w:rsid w:val="00801B75"/>
    <w:rsid w:val="00801C5B"/>
    <w:rsid w:val="00802988"/>
    <w:rsid w:val="00802E66"/>
    <w:rsid w:val="008031B8"/>
    <w:rsid w:val="0080322B"/>
    <w:rsid w:val="00803427"/>
    <w:rsid w:val="008035C3"/>
    <w:rsid w:val="00803F26"/>
    <w:rsid w:val="008041A2"/>
    <w:rsid w:val="00804355"/>
    <w:rsid w:val="00804477"/>
    <w:rsid w:val="0080462A"/>
    <w:rsid w:val="00804A0C"/>
    <w:rsid w:val="00804B8B"/>
    <w:rsid w:val="00804BAA"/>
    <w:rsid w:val="00804EA2"/>
    <w:rsid w:val="0080566A"/>
    <w:rsid w:val="008056F5"/>
    <w:rsid w:val="00805856"/>
    <w:rsid w:val="00805B0C"/>
    <w:rsid w:val="0080610A"/>
    <w:rsid w:val="008066C4"/>
    <w:rsid w:val="008068D6"/>
    <w:rsid w:val="00806F63"/>
    <w:rsid w:val="00807B95"/>
    <w:rsid w:val="00807C6E"/>
    <w:rsid w:val="00807F06"/>
    <w:rsid w:val="0081009F"/>
    <w:rsid w:val="008106A8"/>
    <w:rsid w:val="008107FE"/>
    <w:rsid w:val="00810930"/>
    <w:rsid w:val="00811196"/>
    <w:rsid w:val="00811363"/>
    <w:rsid w:val="00811D5E"/>
    <w:rsid w:val="008120A8"/>
    <w:rsid w:val="00812174"/>
    <w:rsid w:val="00812530"/>
    <w:rsid w:val="00812DEF"/>
    <w:rsid w:val="0081359F"/>
    <w:rsid w:val="0081385C"/>
    <w:rsid w:val="00813BC6"/>
    <w:rsid w:val="00814195"/>
    <w:rsid w:val="00814A1B"/>
    <w:rsid w:val="00814FA8"/>
    <w:rsid w:val="0081526D"/>
    <w:rsid w:val="0081533C"/>
    <w:rsid w:val="008153EB"/>
    <w:rsid w:val="00815616"/>
    <w:rsid w:val="008159B8"/>
    <w:rsid w:val="00815D86"/>
    <w:rsid w:val="008161D7"/>
    <w:rsid w:val="00816325"/>
    <w:rsid w:val="00816802"/>
    <w:rsid w:val="00816C2C"/>
    <w:rsid w:val="00816E22"/>
    <w:rsid w:val="00817ABE"/>
    <w:rsid w:val="00817EA1"/>
    <w:rsid w:val="00820287"/>
    <w:rsid w:val="00820439"/>
    <w:rsid w:val="00820512"/>
    <w:rsid w:val="00820514"/>
    <w:rsid w:val="0082063F"/>
    <w:rsid w:val="00820661"/>
    <w:rsid w:val="00820A26"/>
    <w:rsid w:val="0082107A"/>
    <w:rsid w:val="00821282"/>
    <w:rsid w:val="00821477"/>
    <w:rsid w:val="0082162E"/>
    <w:rsid w:val="008218D2"/>
    <w:rsid w:val="00821A0E"/>
    <w:rsid w:val="00821C6E"/>
    <w:rsid w:val="00821CAD"/>
    <w:rsid w:val="0082211C"/>
    <w:rsid w:val="008225E0"/>
    <w:rsid w:val="00822A1C"/>
    <w:rsid w:val="00822AF2"/>
    <w:rsid w:val="00822FF3"/>
    <w:rsid w:val="0082310D"/>
    <w:rsid w:val="008231B3"/>
    <w:rsid w:val="00823374"/>
    <w:rsid w:val="0082365A"/>
    <w:rsid w:val="008241E6"/>
    <w:rsid w:val="0082437F"/>
    <w:rsid w:val="0082439C"/>
    <w:rsid w:val="00825240"/>
    <w:rsid w:val="00825505"/>
    <w:rsid w:val="00825AA7"/>
    <w:rsid w:val="00826837"/>
    <w:rsid w:val="0082714D"/>
    <w:rsid w:val="00827931"/>
    <w:rsid w:val="008304A0"/>
    <w:rsid w:val="00830A43"/>
    <w:rsid w:val="00830B9E"/>
    <w:rsid w:val="008310A0"/>
    <w:rsid w:val="00831297"/>
    <w:rsid w:val="00831687"/>
    <w:rsid w:val="00831B87"/>
    <w:rsid w:val="00831F07"/>
    <w:rsid w:val="00831FA9"/>
    <w:rsid w:val="008322B5"/>
    <w:rsid w:val="00832AF2"/>
    <w:rsid w:val="00832C7A"/>
    <w:rsid w:val="00832F60"/>
    <w:rsid w:val="008331E5"/>
    <w:rsid w:val="00833B98"/>
    <w:rsid w:val="00834240"/>
    <w:rsid w:val="0083428E"/>
    <w:rsid w:val="008343CC"/>
    <w:rsid w:val="00834D7C"/>
    <w:rsid w:val="00834E6C"/>
    <w:rsid w:val="008350FC"/>
    <w:rsid w:val="008351B8"/>
    <w:rsid w:val="00835435"/>
    <w:rsid w:val="00835533"/>
    <w:rsid w:val="008356EC"/>
    <w:rsid w:val="00835723"/>
    <w:rsid w:val="00835A6E"/>
    <w:rsid w:val="00835D69"/>
    <w:rsid w:val="00835E93"/>
    <w:rsid w:val="008361E7"/>
    <w:rsid w:val="00836262"/>
    <w:rsid w:val="00836288"/>
    <w:rsid w:val="00836E3A"/>
    <w:rsid w:val="00836E6B"/>
    <w:rsid w:val="00837210"/>
    <w:rsid w:val="00837444"/>
    <w:rsid w:val="00837B61"/>
    <w:rsid w:val="00837EA9"/>
    <w:rsid w:val="00837FAF"/>
    <w:rsid w:val="00840044"/>
    <w:rsid w:val="008409D6"/>
    <w:rsid w:val="00840BBC"/>
    <w:rsid w:val="00840CA1"/>
    <w:rsid w:val="008412B5"/>
    <w:rsid w:val="00841909"/>
    <w:rsid w:val="00841ED7"/>
    <w:rsid w:val="0084238D"/>
    <w:rsid w:val="008423EB"/>
    <w:rsid w:val="00843126"/>
    <w:rsid w:val="008431DA"/>
    <w:rsid w:val="00843306"/>
    <w:rsid w:val="008436AF"/>
    <w:rsid w:val="00843775"/>
    <w:rsid w:val="00843D1E"/>
    <w:rsid w:val="00844333"/>
    <w:rsid w:val="008447EA"/>
    <w:rsid w:val="00845452"/>
    <w:rsid w:val="00845643"/>
    <w:rsid w:val="0084590B"/>
    <w:rsid w:val="00845ECA"/>
    <w:rsid w:val="008464C4"/>
    <w:rsid w:val="008464CD"/>
    <w:rsid w:val="00846E50"/>
    <w:rsid w:val="008472B8"/>
    <w:rsid w:val="008473B2"/>
    <w:rsid w:val="00847BD2"/>
    <w:rsid w:val="00847C3F"/>
    <w:rsid w:val="00847D0B"/>
    <w:rsid w:val="00850A11"/>
    <w:rsid w:val="00850EBA"/>
    <w:rsid w:val="00850F47"/>
    <w:rsid w:val="008513C0"/>
    <w:rsid w:val="00851574"/>
    <w:rsid w:val="008519A4"/>
    <w:rsid w:val="0085215E"/>
    <w:rsid w:val="0085234B"/>
    <w:rsid w:val="00852459"/>
    <w:rsid w:val="00852921"/>
    <w:rsid w:val="008529A2"/>
    <w:rsid w:val="00852DA2"/>
    <w:rsid w:val="00852F8A"/>
    <w:rsid w:val="00853007"/>
    <w:rsid w:val="0085325B"/>
    <w:rsid w:val="00853740"/>
    <w:rsid w:val="00853D6A"/>
    <w:rsid w:val="0085439B"/>
    <w:rsid w:val="0085443E"/>
    <w:rsid w:val="008545EE"/>
    <w:rsid w:val="008547EF"/>
    <w:rsid w:val="008548E9"/>
    <w:rsid w:val="00854CF8"/>
    <w:rsid w:val="00854DF3"/>
    <w:rsid w:val="00854FBE"/>
    <w:rsid w:val="00855B24"/>
    <w:rsid w:val="00856128"/>
    <w:rsid w:val="00856309"/>
    <w:rsid w:val="008563EA"/>
    <w:rsid w:val="00856A8B"/>
    <w:rsid w:val="00856B75"/>
    <w:rsid w:val="00856CB0"/>
    <w:rsid w:val="00856F1C"/>
    <w:rsid w:val="00856F6A"/>
    <w:rsid w:val="00856F86"/>
    <w:rsid w:val="0085745E"/>
    <w:rsid w:val="00857897"/>
    <w:rsid w:val="008579B4"/>
    <w:rsid w:val="00857EB3"/>
    <w:rsid w:val="008600E5"/>
    <w:rsid w:val="00860549"/>
    <w:rsid w:val="00860B92"/>
    <w:rsid w:val="00860CBF"/>
    <w:rsid w:val="00860E1C"/>
    <w:rsid w:val="008612B0"/>
    <w:rsid w:val="0086141F"/>
    <w:rsid w:val="0086177C"/>
    <w:rsid w:val="00861E82"/>
    <w:rsid w:val="008621DC"/>
    <w:rsid w:val="008622C2"/>
    <w:rsid w:val="008622F0"/>
    <w:rsid w:val="008623C1"/>
    <w:rsid w:val="008624A8"/>
    <w:rsid w:val="008626AB"/>
    <w:rsid w:val="00862972"/>
    <w:rsid w:val="0086355A"/>
    <w:rsid w:val="008636F2"/>
    <w:rsid w:val="00863A58"/>
    <w:rsid w:val="00863B98"/>
    <w:rsid w:val="008649A6"/>
    <w:rsid w:val="00864B62"/>
    <w:rsid w:val="008652B9"/>
    <w:rsid w:val="00865344"/>
    <w:rsid w:val="0086545D"/>
    <w:rsid w:val="00865AC7"/>
    <w:rsid w:val="00865CB4"/>
    <w:rsid w:val="00866136"/>
    <w:rsid w:val="00866482"/>
    <w:rsid w:val="00866586"/>
    <w:rsid w:val="008668C1"/>
    <w:rsid w:val="00866F90"/>
    <w:rsid w:val="008670A1"/>
    <w:rsid w:val="0086724E"/>
    <w:rsid w:val="00867555"/>
    <w:rsid w:val="00867703"/>
    <w:rsid w:val="008678D0"/>
    <w:rsid w:val="00867AB9"/>
    <w:rsid w:val="00867C6B"/>
    <w:rsid w:val="00870024"/>
    <w:rsid w:val="008709C1"/>
    <w:rsid w:val="00871104"/>
    <w:rsid w:val="00871A6C"/>
    <w:rsid w:val="00871B49"/>
    <w:rsid w:val="00871C2B"/>
    <w:rsid w:val="00871E6D"/>
    <w:rsid w:val="008721D8"/>
    <w:rsid w:val="008726CF"/>
    <w:rsid w:val="00872790"/>
    <w:rsid w:val="0087281F"/>
    <w:rsid w:val="00872923"/>
    <w:rsid w:val="00872A6F"/>
    <w:rsid w:val="00872FE5"/>
    <w:rsid w:val="0087307F"/>
    <w:rsid w:val="00873FA3"/>
    <w:rsid w:val="00874C4A"/>
    <w:rsid w:val="008750CE"/>
    <w:rsid w:val="0087568D"/>
    <w:rsid w:val="0087587B"/>
    <w:rsid w:val="00875CCB"/>
    <w:rsid w:val="00875D12"/>
    <w:rsid w:val="00875D7F"/>
    <w:rsid w:val="008762B5"/>
    <w:rsid w:val="008772FF"/>
    <w:rsid w:val="00877505"/>
    <w:rsid w:val="00877BCC"/>
    <w:rsid w:val="00877CF6"/>
    <w:rsid w:val="0088048A"/>
    <w:rsid w:val="00880813"/>
    <w:rsid w:val="00880A1D"/>
    <w:rsid w:val="0088138C"/>
    <w:rsid w:val="0088169A"/>
    <w:rsid w:val="00881D85"/>
    <w:rsid w:val="00881EAE"/>
    <w:rsid w:val="00881F97"/>
    <w:rsid w:val="00882582"/>
    <w:rsid w:val="00882D38"/>
    <w:rsid w:val="00882DEB"/>
    <w:rsid w:val="008833C3"/>
    <w:rsid w:val="008833F3"/>
    <w:rsid w:val="00883765"/>
    <w:rsid w:val="00883ED8"/>
    <w:rsid w:val="008841E5"/>
    <w:rsid w:val="00884396"/>
    <w:rsid w:val="008844F7"/>
    <w:rsid w:val="0088472B"/>
    <w:rsid w:val="00884C86"/>
    <w:rsid w:val="008854D7"/>
    <w:rsid w:val="008855C0"/>
    <w:rsid w:val="00885670"/>
    <w:rsid w:val="00885A32"/>
    <w:rsid w:val="00885F02"/>
    <w:rsid w:val="0088642C"/>
    <w:rsid w:val="00886F5F"/>
    <w:rsid w:val="00887886"/>
    <w:rsid w:val="00887EC8"/>
    <w:rsid w:val="008904CF"/>
    <w:rsid w:val="00890761"/>
    <w:rsid w:val="0089098D"/>
    <w:rsid w:val="00890A64"/>
    <w:rsid w:val="00891B5F"/>
    <w:rsid w:val="00891C77"/>
    <w:rsid w:val="00891F41"/>
    <w:rsid w:val="008920A2"/>
    <w:rsid w:val="00892173"/>
    <w:rsid w:val="0089275D"/>
    <w:rsid w:val="00892D95"/>
    <w:rsid w:val="00892DA1"/>
    <w:rsid w:val="00892F09"/>
    <w:rsid w:val="008931EA"/>
    <w:rsid w:val="008933C0"/>
    <w:rsid w:val="00893502"/>
    <w:rsid w:val="00893674"/>
    <w:rsid w:val="00893B24"/>
    <w:rsid w:val="0089412F"/>
    <w:rsid w:val="008941AC"/>
    <w:rsid w:val="00894C21"/>
    <w:rsid w:val="00894F5F"/>
    <w:rsid w:val="00895167"/>
    <w:rsid w:val="00895294"/>
    <w:rsid w:val="008957AD"/>
    <w:rsid w:val="008959A4"/>
    <w:rsid w:val="00895B72"/>
    <w:rsid w:val="00895DAE"/>
    <w:rsid w:val="00895E3E"/>
    <w:rsid w:val="00896910"/>
    <w:rsid w:val="00896A58"/>
    <w:rsid w:val="00896C1A"/>
    <w:rsid w:val="00896D8F"/>
    <w:rsid w:val="00896E68"/>
    <w:rsid w:val="008972CB"/>
    <w:rsid w:val="00897438"/>
    <w:rsid w:val="0089745B"/>
    <w:rsid w:val="00897597"/>
    <w:rsid w:val="00897709"/>
    <w:rsid w:val="00897757"/>
    <w:rsid w:val="00897793"/>
    <w:rsid w:val="008978EA"/>
    <w:rsid w:val="00897BC4"/>
    <w:rsid w:val="008A0D5B"/>
    <w:rsid w:val="008A1201"/>
    <w:rsid w:val="008A12D0"/>
    <w:rsid w:val="008A12F1"/>
    <w:rsid w:val="008A147A"/>
    <w:rsid w:val="008A1632"/>
    <w:rsid w:val="008A1710"/>
    <w:rsid w:val="008A22AA"/>
    <w:rsid w:val="008A23DE"/>
    <w:rsid w:val="008A243E"/>
    <w:rsid w:val="008A2B38"/>
    <w:rsid w:val="008A3450"/>
    <w:rsid w:val="008A3AB8"/>
    <w:rsid w:val="008A3D4D"/>
    <w:rsid w:val="008A3E24"/>
    <w:rsid w:val="008A4089"/>
    <w:rsid w:val="008A40B0"/>
    <w:rsid w:val="008A4794"/>
    <w:rsid w:val="008A47FE"/>
    <w:rsid w:val="008A5183"/>
    <w:rsid w:val="008A595F"/>
    <w:rsid w:val="008A5EB6"/>
    <w:rsid w:val="008A6889"/>
    <w:rsid w:val="008A6AA3"/>
    <w:rsid w:val="008A6B3D"/>
    <w:rsid w:val="008A6EA6"/>
    <w:rsid w:val="008A6F83"/>
    <w:rsid w:val="008A7320"/>
    <w:rsid w:val="008A741C"/>
    <w:rsid w:val="008A7579"/>
    <w:rsid w:val="008B003C"/>
    <w:rsid w:val="008B0464"/>
    <w:rsid w:val="008B05C3"/>
    <w:rsid w:val="008B0792"/>
    <w:rsid w:val="008B0863"/>
    <w:rsid w:val="008B0D4E"/>
    <w:rsid w:val="008B0E21"/>
    <w:rsid w:val="008B11BE"/>
    <w:rsid w:val="008B11DB"/>
    <w:rsid w:val="008B1D6B"/>
    <w:rsid w:val="008B207A"/>
    <w:rsid w:val="008B210F"/>
    <w:rsid w:val="008B25F1"/>
    <w:rsid w:val="008B2976"/>
    <w:rsid w:val="008B2C41"/>
    <w:rsid w:val="008B324D"/>
    <w:rsid w:val="008B3273"/>
    <w:rsid w:val="008B32E8"/>
    <w:rsid w:val="008B3A9D"/>
    <w:rsid w:val="008B3C5D"/>
    <w:rsid w:val="008B4102"/>
    <w:rsid w:val="008B43F0"/>
    <w:rsid w:val="008B4744"/>
    <w:rsid w:val="008B4808"/>
    <w:rsid w:val="008B48C3"/>
    <w:rsid w:val="008B493B"/>
    <w:rsid w:val="008B4965"/>
    <w:rsid w:val="008B49F3"/>
    <w:rsid w:val="008B4BD0"/>
    <w:rsid w:val="008B58CF"/>
    <w:rsid w:val="008B5C2F"/>
    <w:rsid w:val="008B62B7"/>
    <w:rsid w:val="008B66C4"/>
    <w:rsid w:val="008B6FB4"/>
    <w:rsid w:val="008B72E5"/>
    <w:rsid w:val="008B74DB"/>
    <w:rsid w:val="008B7700"/>
    <w:rsid w:val="008B785C"/>
    <w:rsid w:val="008B78B1"/>
    <w:rsid w:val="008B7A1B"/>
    <w:rsid w:val="008B7AB0"/>
    <w:rsid w:val="008B7ADD"/>
    <w:rsid w:val="008C0576"/>
    <w:rsid w:val="008C0B18"/>
    <w:rsid w:val="008C0D86"/>
    <w:rsid w:val="008C1A2D"/>
    <w:rsid w:val="008C1CCF"/>
    <w:rsid w:val="008C1D17"/>
    <w:rsid w:val="008C1D9B"/>
    <w:rsid w:val="008C20EA"/>
    <w:rsid w:val="008C2D31"/>
    <w:rsid w:val="008C2F05"/>
    <w:rsid w:val="008C31F3"/>
    <w:rsid w:val="008C3786"/>
    <w:rsid w:val="008C3798"/>
    <w:rsid w:val="008C4394"/>
    <w:rsid w:val="008C44FD"/>
    <w:rsid w:val="008C45F3"/>
    <w:rsid w:val="008C4DD5"/>
    <w:rsid w:val="008C5324"/>
    <w:rsid w:val="008C5458"/>
    <w:rsid w:val="008C55D9"/>
    <w:rsid w:val="008C5DF0"/>
    <w:rsid w:val="008C5FC0"/>
    <w:rsid w:val="008C6282"/>
    <w:rsid w:val="008C68F8"/>
    <w:rsid w:val="008C6A82"/>
    <w:rsid w:val="008C6AB1"/>
    <w:rsid w:val="008C6D1C"/>
    <w:rsid w:val="008C6E0E"/>
    <w:rsid w:val="008C6E41"/>
    <w:rsid w:val="008C6F0C"/>
    <w:rsid w:val="008C728A"/>
    <w:rsid w:val="008C794B"/>
    <w:rsid w:val="008C7F1A"/>
    <w:rsid w:val="008D0552"/>
    <w:rsid w:val="008D0B3E"/>
    <w:rsid w:val="008D0C2E"/>
    <w:rsid w:val="008D115E"/>
    <w:rsid w:val="008D133C"/>
    <w:rsid w:val="008D19FD"/>
    <w:rsid w:val="008D1ABD"/>
    <w:rsid w:val="008D22F5"/>
    <w:rsid w:val="008D236B"/>
    <w:rsid w:val="008D26D8"/>
    <w:rsid w:val="008D2E61"/>
    <w:rsid w:val="008D2EC9"/>
    <w:rsid w:val="008D324D"/>
    <w:rsid w:val="008D3A0D"/>
    <w:rsid w:val="008D3BC0"/>
    <w:rsid w:val="008D3CDC"/>
    <w:rsid w:val="008D3EC1"/>
    <w:rsid w:val="008D4173"/>
    <w:rsid w:val="008D520A"/>
    <w:rsid w:val="008D5252"/>
    <w:rsid w:val="008D541B"/>
    <w:rsid w:val="008D5A64"/>
    <w:rsid w:val="008D5ACD"/>
    <w:rsid w:val="008D5EFA"/>
    <w:rsid w:val="008D62D1"/>
    <w:rsid w:val="008D6608"/>
    <w:rsid w:val="008D6A44"/>
    <w:rsid w:val="008D6E5D"/>
    <w:rsid w:val="008D70EA"/>
    <w:rsid w:val="008D720A"/>
    <w:rsid w:val="008D7224"/>
    <w:rsid w:val="008D748F"/>
    <w:rsid w:val="008D770C"/>
    <w:rsid w:val="008D7750"/>
    <w:rsid w:val="008D791A"/>
    <w:rsid w:val="008D7B43"/>
    <w:rsid w:val="008D7CEC"/>
    <w:rsid w:val="008D7D89"/>
    <w:rsid w:val="008E00CB"/>
    <w:rsid w:val="008E01F1"/>
    <w:rsid w:val="008E055B"/>
    <w:rsid w:val="008E0C78"/>
    <w:rsid w:val="008E0E3C"/>
    <w:rsid w:val="008E0F92"/>
    <w:rsid w:val="008E10E4"/>
    <w:rsid w:val="008E1236"/>
    <w:rsid w:val="008E17CD"/>
    <w:rsid w:val="008E197F"/>
    <w:rsid w:val="008E1BC5"/>
    <w:rsid w:val="008E1D1C"/>
    <w:rsid w:val="008E25D6"/>
    <w:rsid w:val="008E26E7"/>
    <w:rsid w:val="008E2A9B"/>
    <w:rsid w:val="008E2F0A"/>
    <w:rsid w:val="008E3030"/>
    <w:rsid w:val="008E3B3B"/>
    <w:rsid w:val="008E3EEA"/>
    <w:rsid w:val="008E406D"/>
    <w:rsid w:val="008E4175"/>
    <w:rsid w:val="008E49B0"/>
    <w:rsid w:val="008E4A47"/>
    <w:rsid w:val="008E54E7"/>
    <w:rsid w:val="008E59B5"/>
    <w:rsid w:val="008E5EC9"/>
    <w:rsid w:val="008E6592"/>
    <w:rsid w:val="008E6C43"/>
    <w:rsid w:val="008E7071"/>
    <w:rsid w:val="008E753A"/>
    <w:rsid w:val="008E77B6"/>
    <w:rsid w:val="008E79CE"/>
    <w:rsid w:val="008E7BD4"/>
    <w:rsid w:val="008F01A9"/>
    <w:rsid w:val="008F07C3"/>
    <w:rsid w:val="008F095D"/>
    <w:rsid w:val="008F0A95"/>
    <w:rsid w:val="008F1FC0"/>
    <w:rsid w:val="008F218B"/>
    <w:rsid w:val="008F2726"/>
    <w:rsid w:val="008F276A"/>
    <w:rsid w:val="008F2B57"/>
    <w:rsid w:val="008F2C2D"/>
    <w:rsid w:val="008F303B"/>
    <w:rsid w:val="008F388A"/>
    <w:rsid w:val="008F4558"/>
    <w:rsid w:val="008F45DD"/>
    <w:rsid w:val="008F49CD"/>
    <w:rsid w:val="008F51C9"/>
    <w:rsid w:val="008F567D"/>
    <w:rsid w:val="008F5AFD"/>
    <w:rsid w:val="008F5DEF"/>
    <w:rsid w:val="008F660C"/>
    <w:rsid w:val="008F6884"/>
    <w:rsid w:val="008F6932"/>
    <w:rsid w:val="008F6A1A"/>
    <w:rsid w:val="008F6E7C"/>
    <w:rsid w:val="008F6F1A"/>
    <w:rsid w:val="008F7046"/>
    <w:rsid w:val="008F7097"/>
    <w:rsid w:val="008F70BC"/>
    <w:rsid w:val="008F7331"/>
    <w:rsid w:val="008F7897"/>
    <w:rsid w:val="008F78E8"/>
    <w:rsid w:val="008F7DC6"/>
    <w:rsid w:val="008F7DE7"/>
    <w:rsid w:val="00900274"/>
    <w:rsid w:val="009006A7"/>
    <w:rsid w:val="009006FC"/>
    <w:rsid w:val="00900878"/>
    <w:rsid w:val="00900B6B"/>
    <w:rsid w:val="00900D94"/>
    <w:rsid w:val="0090137A"/>
    <w:rsid w:val="00901C06"/>
    <w:rsid w:val="00902317"/>
    <w:rsid w:val="00902B0F"/>
    <w:rsid w:val="00902C5C"/>
    <w:rsid w:val="00902CBB"/>
    <w:rsid w:val="00903370"/>
    <w:rsid w:val="0090354C"/>
    <w:rsid w:val="009037E1"/>
    <w:rsid w:val="0090410D"/>
    <w:rsid w:val="009041D8"/>
    <w:rsid w:val="00904418"/>
    <w:rsid w:val="00904503"/>
    <w:rsid w:val="00904770"/>
    <w:rsid w:val="00904B49"/>
    <w:rsid w:val="00904BA7"/>
    <w:rsid w:val="0090535C"/>
    <w:rsid w:val="009054A0"/>
    <w:rsid w:val="00905B04"/>
    <w:rsid w:val="00905D34"/>
    <w:rsid w:val="00906376"/>
    <w:rsid w:val="00906532"/>
    <w:rsid w:val="0090680E"/>
    <w:rsid w:val="00906B04"/>
    <w:rsid w:val="00906F7E"/>
    <w:rsid w:val="00907096"/>
    <w:rsid w:val="009074FD"/>
    <w:rsid w:val="009100F0"/>
    <w:rsid w:val="00910166"/>
    <w:rsid w:val="009102AC"/>
    <w:rsid w:val="00910637"/>
    <w:rsid w:val="00910C3D"/>
    <w:rsid w:val="00910F85"/>
    <w:rsid w:val="009110A8"/>
    <w:rsid w:val="009110B5"/>
    <w:rsid w:val="00911198"/>
    <w:rsid w:val="00911242"/>
    <w:rsid w:val="00912104"/>
    <w:rsid w:val="0091269B"/>
    <w:rsid w:val="00912E35"/>
    <w:rsid w:val="0091349A"/>
    <w:rsid w:val="0091392C"/>
    <w:rsid w:val="00913BF7"/>
    <w:rsid w:val="00913E35"/>
    <w:rsid w:val="00914399"/>
    <w:rsid w:val="0091530C"/>
    <w:rsid w:val="0091548C"/>
    <w:rsid w:val="00915876"/>
    <w:rsid w:val="009158BF"/>
    <w:rsid w:val="009162D7"/>
    <w:rsid w:val="0091668C"/>
    <w:rsid w:val="00916898"/>
    <w:rsid w:val="00917190"/>
    <w:rsid w:val="009174A4"/>
    <w:rsid w:val="009174C8"/>
    <w:rsid w:val="009174EB"/>
    <w:rsid w:val="009175B3"/>
    <w:rsid w:val="00917808"/>
    <w:rsid w:val="00917FD4"/>
    <w:rsid w:val="0092012C"/>
    <w:rsid w:val="00920181"/>
    <w:rsid w:val="009204A4"/>
    <w:rsid w:val="009204D0"/>
    <w:rsid w:val="009208F0"/>
    <w:rsid w:val="00920C00"/>
    <w:rsid w:val="00921A00"/>
    <w:rsid w:val="0092237D"/>
    <w:rsid w:val="00922B78"/>
    <w:rsid w:val="00922BB8"/>
    <w:rsid w:val="00922BCA"/>
    <w:rsid w:val="009230D2"/>
    <w:rsid w:val="00923465"/>
    <w:rsid w:val="00923B73"/>
    <w:rsid w:val="0092426F"/>
    <w:rsid w:val="009245CB"/>
    <w:rsid w:val="00924D1C"/>
    <w:rsid w:val="00925378"/>
    <w:rsid w:val="00925970"/>
    <w:rsid w:val="00925BAC"/>
    <w:rsid w:val="00925FD8"/>
    <w:rsid w:val="009260D3"/>
    <w:rsid w:val="0092622A"/>
    <w:rsid w:val="00926499"/>
    <w:rsid w:val="00926509"/>
    <w:rsid w:val="00926606"/>
    <w:rsid w:val="0092731F"/>
    <w:rsid w:val="0092766E"/>
    <w:rsid w:val="0092783D"/>
    <w:rsid w:val="00927997"/>
    <w:rsid w:val="00927A89"/>
    <w:rsid w:val="00927B08"/>
    <w:rsid w:val="00927C00"/>
    <w:rsid w:val="009306CD"/>
    <w:rsid w:val="009314EB"/>
    <w:rsid w:val="00931665"/>
    <w:rsid w:val="009319D1"/>
    <w:rsid w:val="00931B34"/>
    <w:rsid w:val="00931E99"/>
    <w:rsid w:val="00931EC0"/>
    <w:rsid w:val="00931ED7"/>
    <w:rsid w:val="009324E3"/>
    <w:rsid w:val="0093297F"/>
    <w:rsid w:val="00932D62"/>
    <w:rsid w:val="00932DBE"/>
    <w:rsid w:val="009330E6"/>
    <w:rsid w:val="009335CF"/>
    <w:rsid w:val="00933E08"/>
    <w:rsid w:val="00933E56"/>
    <w:rsid w:val="00934085"/>
    <w:rsid w:val="00934199"/>
    <w:rsid w:val="009342FC"/>
    <w:rsid w:val="00934654"/>
    <w:rsid w:val="009346C1"/>
    <w:rsid w:val="009353E2"/>
    <w:rsid w:val="00935556"/>
    <w:rsid w:val="00935A0F"/>
    <w:rsid w:val="00935D55"/>
    <w:rsid w:val="00936068"/>
    <w:rsid w:val="00936633"/>
    <w:rsid w:val="0093698F"/>
    <w:rsid w:val="00936A1B"/>
    <w:rsid w:val="00936A31"/>
    <w:rsid w:val="00937083"/>
    <w:rsid w:val="00937EFC"/>
    <w:rsid w:val="00940442"/>
    <w:rsid w:val="00940F94"/>
    <w:rsid w:val="00941C98"/>
    <w:rsid w:val="00942148"/>
    <w:rsid w:val="00942234"/>
    <w:rsid w:val="00942D1B"/>
    <w:rsid w:val="009436A2"/>
    <w:rsid w:val="00943806"/>
    <w:rsid w:val="00943A41"/>
    <w:rsid w:val="00943E84"/>
    <w:rsid w:val="00944004"/>
    <w:rsid w:val="00944A42"/>
    <w:rsid w:val="00944CCD"/>
    <w:rsid w:val="00945012"/>
    <w:rsid w:val="00945193"/>
    <w:rsid w:val="009455BA"/>
    <w:rsid w:val="00945718"/>
    <w:rsid w:val="00945D6E"/>
    <w:rsid w:val="00945FB6"/>
    <w:rsid w:val="00946308"/>
    <w:rsid w:val="00946351"/>
    <w:rsid w:val="00946ADA"/>
    <w:rsid w:val="00946D47"/>
    <w:rsid w:val="00946F83"/>
    <w:rsid w:val="0094767D"/>
    <w:rsid w:val="00947958"/>
    <w:rsid w:val="009479C1"/>
    <w:rsid w:val="00947B00"/>
    <w:rsid w:val="00950AE2"/>
    <w:rsid w:val="00950E3C"/>
    <w:rsid w:val="00950EC6"/>
    <w:rsid w:val="00950FD8"/>
    <w:rsid w:val="009512A1"/>
    <w:rsid w:val="009512E5"/>
    <w:rsid w:val="00951433"/>
    <w:rsid w:val="009517C0"/>
    <w:rsid w:val="009517CC"/>
    <w:rsid w:val="009517F0"/>
    <w:rsid w:val="0095183D"/>
    <w:rsid w:val="00951932"/>
    <w:rsid w:val="0095196B"/>
    <w:rsid w:val="00951E5C"/>
    <w:rsid w:val="00951FC8"/>
    <w:rsid w:val="009523FE"/>
    <w:rsid w:val="00952606"/>
    <w:rsid w:val="00952C1E"/>
    <w:rsid w:val="0095350D"/>
    <w:rsid w:val="00953963"/>
    <w:rsid w:val="0095484F"/>
    <w:rsid w:val="00954B38"/>
    <w:rsid w:val="00954CCA"/>
    <w:rsid w:val="00954D88"/>
    <w:rsid w:val="00954FC7"/>
    <w:rsid w:val="00955022"/>
    <w:rsid w:val="0095526F"/>
    <w:rsid w:val="00955CF5"/>
    <w:rsid w:val="00956757"/>
    <w:rsid w:val="0095758A"/>
    <w:rsid w:val="009576EC"/>
    <w:rsid w:val="00957942"/>
    <w:rsid w:val="00960D28"/>
    <w:rsid w:val="00961130"/>
    <w:rsid w:val="009615D4"/>
    <w:rsid w:val="009617E2"/>
    <w:rsid w:val="00961844"/>
    <w:rsid w:val="00961909"/>
    <w:rsid w:val="00961D4C"/>
    <w:rsid w:val="00961E6E"/>
    <w:rsid w:val="00962149"/>
    <w:rsid w:val="00962791"/>
    <w:rsid w:val="00962905"/>
    <w:rsid w:val="0096323D"/>
    <w:rsid w:val="00963B83"/>
    <w:rsid w:val="00963D5A"/>
    <w:rsid w:val="00963EA9"/>
    <w:rsid w:val="00964D96"/>
    <w:rsid w:val="0096535E"/>
    <w:rsid w:val="009658A7"/>
    <w:rsid w:val="009658B4"/>
    <w:rsid w:val="00965A4C"/>
    <w:rsid w:val="00965AB3"/>
    <w:rsid w:val="00965BCE"/>
    <w:rsid w:val="00966107"/>
    <w:rsid w:val="0096618B"/>
    <w:rsid w:val="009661A3"/>
    <w:rsid w:val="009665A8"/>
    <w:rsid w:val="009666AD"/>
    <w:rsid w:val="00966877"/>
    <w:rsid w:val="009668F6"/>
    <w:rsid w:val="00966BF1"/>
    <w:rsid w:val="00966CD0"/>
    <w:rsid w:val="0096705F"/>
    <w:rsid w:val="00967363"/>
    <w:rsid w:val="009674CE"/>
    <w:rsid w:val="009674EB"/>
    <w:rsid w:val="0096757B"/>
    <w:rsid w:val="00967BE4"/>
    <w:rsid w:val="00967C3B"/>
    <w:rsid w:val="00967DF1"/>
    <w:rsid w:val="00970A01"/>
    <w:rsid w:val="00970A20"/>
    <w:rsid w:val="00970ABA"/>
    <w:rsid w:val="00970B24"/>
    <w:rsid w:val="009710E9"/>
    <w:rsid w:val="00971397"/>
    <w:rsid w:val="0097163D"/>
    <w:rsid w:val="009717CC"/>
    <w:rsid w:val="0097213C"/>
    <w:rsid w:val="009721F8"/>
    <w:rsid w:val="0097220A"/>
    <w:rsid w:val="0097270F"/>
    <w:rsid w:val="00972D12"/>
    <w:rsid w:val="00972D2C"/>
    <w:rsid w:val="00973389"/>
    <w:rsid w:val="009735D3"/>
    <w:rsid w:val="00973671"/>
    <w:rsid w:val="00973766"/>
    <w:rsid w:val="00973A40"/>
    <w:rsid w:val="00973CBD"/>
    <w:rsid w:val="00973D45"/>
    <w:rsid w:val="00973DB1"/>
    <w:rsid w:val="00974677"/>
    <w:rsid w:val="009746CA"/>
    <w:rsid w:val="009748CB"/>
    <w:rsid w:val="00974BF4"/>
    <w:rsid w:val="00974E8F"/>
    <w:rsid w:val="00975018"/>
    <w:rsid w:val="00975307"/>
    <w:rsid w:val="00976023"/>
    <w:rsid w:val="009769AB"/>
    <w:rsid w:val="00976A37"/>
    <w:rsid w:val="0097712D"/>
    <w:rsid w:val="0097718F"/>
    <w:rsid w:val="009778A3"/>
    <w:rsid w:val="009778AE"/>
    <w:rsid w:val="009801D0"/>
    <w:rsid w:val="00980461"/>
    <w:rsid w:val="00980A70"/>
    <w:rsid w:val="00981D00"/>
    <w:rsid w:val="00981EB7"/>
    <w:rsid w:val="00982171"/>
    <w:rsid w:val="0098221B"/>
    <w:rsid w:val="009822DA"/>
    <w:rsid w:val="00982404"/>
    <w:rsid w:val="0098249E"/>
    <w:rsid w:val="00982953"/>
    <w:rsid w:val="009829E5"/>
    <w:rsid w:val="00982A83"/>
    <w:rsid w:val="00982C2F"/>
    <w:rsid w:val="00983243"/>
    <w:rsid w:val="009834DB"/>
    <w:rsid w:val="0098370D"/>
    <w:rsid w:val="00983786"/>
    <w:rsid w:val="00983FE9"/>
    <w:rsid w:val="00984608"/>
    <w:rsid w:val="00984B6C"/>
    <w:rsid w:val="00985073"/>
    <w:rsid w:val="00985CFC"/>
    <w:rsid w:val="0098605E"/>
    <w:rsid w:val="00986198"/>
    <w:rsid w:val="00986316"/>
    <w:rsid w:val="009863F6"/>
    <w:rsid w:val="00986455"/>
    <w:rsid w:val="009864AF"/>
    <w:rsid w:val="00986519"/>
    <w:rsid w:val="009870CA"/>
    <w:rsid w:val="0098726D"/>
    <w:rsid w:val="0098742B"/>
    <w:rsid w:val="009875F8"/>
    <w:rsid w:val="00987697"/>
    <w:rsid w:val="00987BF0"/>
    <w:rsid w:val="00987C11"/>
    <w:rsid w:val="00987F8E"/>
    <w:rsid w:val="009901F4"/>
    <w:rsid w:val="00990494"/>
    <w:rsid w:val="009907A8"/>
    <w:rsid w:val="00990C65"/>
    <w:rsid w:val="00990EA5"/>
    <w:rsid w:val="009910F4"/>
    <w:rsid w:val="009910FB"/>
    <w:rsid w:val="00991599"/>
    <w:rsid w:val="00991930"/>
    <w:rsid w:val="00991BF6"/>
    <w:rsid w:val="00991C4F"/>
    <w:rsid w:val="00994419"/>
    <w:rsid w:val="009945ED"/>
    <w:rsid w:val="009947F3"/>
    <w:rsid w:val="009948C2"/>
    <w:rsid w:val="00994FB9"/>
    <w:rsid w:val="0099543B"/>
    <w:rsid w:val="00995AA0"/>
    <w:rsid w:val="00995EB0"/>
    <w:rsid w:val="009965D8"/>
    <w:rsid w:val="009967AA"/>
    <w:rsid w:val="009969C3"/>
    <w:rsid w:val="0099708B"/>
    <w:rsid w:val="00997126"/>
    <w:rsid w:val="00997646"/>
    <w:rsid w:val="009978B1"/>
    <w:rsid w:val="00997D1C"/>
    <w:rsid w:val="00997DC2"/>
    <w:rsid w:val="009A0357"/>
    <w:rsid w:val="009A06EC"/>
    <w:rsid w:val="009A0BBD"/>
    <w:rsid w:val="009A0CEE"/>
    <w:rsid w:val="009A0FE3"/>
    <w:rsid w:val="009A15F9"/>
    <w:rsid w:val="009A169A"/>
    <w:rsid w:val="009A1D46"/>
    <w:rsid w:val="009A2A54"/>
    <w:rsid w:val="009A2F17"/>
    <w:rsid w:val="009A3C2B"/>
    <w:rsid w:val="009A59D5"/>
    <w:rsid w:val="009A5C33"/>
    <w:rsid w:val="009A5C46"/>
    <w:rsid w:val="009A632B"/>
    <w:rsid w:val="009A677A"/>
    <w:rsid w:val="009A6FA4"/>
    <w:rsid w:val="009A76BD"/>
    <w:rsid w:val="009A7745"/>
    <w:rsid w:val="009A79BD"/>
    <w:rsid w:val="009A7AA5"/>
    <w:rsid w:val="009B007A"/>
    <w:rsid w:val="009B0BC4"/>
    <w:rsid w:val="009B0FDF"/>
    <w:rsid w:val="009B1A23"/>
    <w:rsid w:val="009B1EDD"/>
    <w:rsid w:val="009B23A6"/>
    <w:rsid w:val="009B2D22"/>
    <w:rsid w:val="009B2D7B"/>
    <w:rsid w:val="009B2DFF"/>
    <w:rsid w:val="009B2FF5"/>
    <w:rsid w:val="009B305C"/>
    <w:rsid w:val="009B327E"/>
    <w:rsid w:val="009B338B"/>
    <w:rsid w:val="009B3967"/>
    <w:rsid w:val="009B3A7F"/>
    <w:rsid w:val="009B3AB1"/>
    <w:rsid w:val="009B4187"/>
    <w:rsid w:val="009B4516"/>
    <w:rsid w:val="009B47C2"/>
    <w:rsid w:val="009B5464"/>
    <w:rsid w:val="009B567F"/>
    <w:rsid w:val="009B6158"/>
    <w:rsid w:val="009B61A4"/>
    <w:rsid w:val="009B6454"/>
    <w:rsid w:val="009B6957"/>
    <w:rsid w:val="009B6C83"/>
    <w:rsid w:val="009B6F58"/>
    <w:rsid w:val="009B6FB0"/>
    <w:rsid w:val="009B724F"/>
    <w:rsid w:val="009B73B2"/>
    <w:rsid w:val="009B7723"/>
    <w:rsid w:val="009B799D"/>
    <w:rsid w:val="009B7D04"/>
    <w:rsid w:val="009B7D9B"/>
    <w:rsid w:val="009B7FBA"/>
    <w:rsid w:val="009B7FFD"/>
    <w:rsid w:val="009C0335"/>
    <w:rsid w:val="009C0362"/>
    <w:rsid w:val="009C11DA"/>
    <w:rsid w:val="009C136A"/>
    <w:rsid w:val="009C15A7"/>
    <w:rsid w:val="009C167B"/>
    <w:rsid w:val="009C169C"/>
    <w:rsid w:val="009C171A"/>
    <w:rsid w:val="009C1D79"/>
    <w:rsid w:val="009C250C"/>
    <w:rsid w:val="009C2CB6"/>
    <w:rsid w:val="009C2FE0"/>
    <w:rsid w:val="009C2FF3"/>
    <w:rsid w:val="009C319D"/>
    <w:rsid w:val="009C31A3"/>
    <w:rsid w:val="009C3AE4"/>
    <w:rsid w:val="009C3B9E"/>
    <w:rsid w:val="009C4486"/>
    <w:rsid w:val="009C4958"/>
    <w:rsid w:val="009C4BDF"/>
    <w:rsid w:val="009C5019"/>
    <w:rsid w:val="009C5673"/>
    <w:rsid w:val="009C567F"/>
    <w:rsid w:val="009C5B5F"/>
    <w:rsid w:val="009C5C6F"/>
    <w:rsid w:val="009C6075"/>
    <w:rsid w:val="009C6089"/>
    <w:rsid w:val="009C6122"/>
    <w:rsid w:val="009C650E"/>
    <w:rsid w:val="009C6815"/>
    <w:rsid w:val="009C69C3"/>
    <w:rsid w:val="009C6EE9"/>
    <w:rsid w:val="009C76EE"/>
    <w:rsid w:val="009C7E17"/>
    <w:rsid w:val="009D0D47"/>
    <w:rsid w:val="009D1630"/>
    <w:rsid w:val="009D18AE"/>
    <w:rsid w:val="009D1C3E"/>
    <w:rsid w:val="009D1F6C"/>
    <w:rsid w:val="009D2208"/>
    <w:rsid w:val="009D23B7"/>
    <w:rsid w:val="009D24F5"/>
    <w:rsid w:val="009D2696"/>
    <w:rsid w:val="009D2946"/>
    <w:rsid w:val="009D3561"/>
    <w:rsid w:val="009D38D1"/>
    <w:rsid w:val="009D38FC"/>
    <w:rsid w:val="009D3B60"/>
    <w:rsid w:val="009D469C"/>
    <w:rsid w:val="009D4AC4"/>
    <w:rsid w:val="009D4C42"/>
    <w:rsid w:val="009D5238"/>
    <w:rsid w:val="009D53EA"/>
    <w:rsid w:val="009D5650"/>
    <w:rsid w:val="009D6133"/>
    <w:rsid w:val="009D65E7"/>
    <w:rsid w:val="009D66F5"/>
    <w:rsid w:val="009D68C8"/>
    <w:rsid w:val="009D69C3"/>
    <w:rsid w:val="009D6A14"/>
    <w:rsid w:val="009D714F"/>
    <w:rsid w:val="009D7B71"/>
    <w:rsid w:val="009D7FF1"/>
    <w:rsid w:val="009E0071"/>
    <w:rsid w:val="009E0D72"/>
    <w:rsid w:val="009E1403"/>
    <w:rsid w:val="009E15C3"/>
    <w:rsid w:val="009E19A3"/>
    <w:rsid w:val="009E1C5B"/>
    <w:rsid w:val="009E1E75"/>
    <w:rsid w:val="009E1F17"/>
    <w:rsid w:val="009E27CF"/>
    <w:rsid w:val="009E2929"/>
    <w:rsid w:val="009E2BF5"/>
    <w:rsid w:val="009E2C7E"/>
    <w:rsid w:val="009E308C"/>
    <w:rsid w:val="009E318A"/>
    <w:rsid w:val="009E3B48"/>
    <w:rsid w:val="009E3B62"/>
    <w:rsid w:val="009E40EA"/>
    <w:rsid w:val="009E44EA"/>
    <w:rsid w:val="009E4768"/>
    <w:rsid w:val="009E4B53"/>
    <w:rsid w:val="009E4DC0"/>
    <w:rsid w:val="009E4E08"/>
    <w:rsid w:val="009E4FAF"/>
    <w:rsid w:val="009E521A"/>
    <w:rsid w:val="009E58B8"/>
    <w:rsid w:val="009E58EE"/>
    <w:rsid w:val="009E5B23"/>
    <w:rsid w:val="009E5C61"/>
    <w:rsid w:val="009E5CCD"/>
    <w:rsid w:val="009E60B7"/>
    <w:rsid w:val="009E61A8"/>
    <w:rsid w:val="009E6429"/>
    <w:rsid w:val="009E6D2D"/>
    <w:rsid w:val="009E78D3"/>
    <w:rsid w:val="009E7A3A"/>
    <w:rsid w:val="009E7BAA"/>
    <w:rsid w:val="009E7BF9"/>
    <w:rsid w:val="009F0136"/>
    <w:rsid w:val="009F0361"/>
    <w:rsid w:val="009F0E7E"/>
    <w:rsid w:val="009F0FA8"/>
    <w:rsid w:val="009F10D6"/>
    <w:rsid w:val="009F1438"/>
    <w:rsid w:val="009F148F"/>
    <w:rsid w:val="009F16D7"/>
    <w:rsid w:val="009F17BE"/>
    <w:rsid w:val="009F18DB"/>
    <w:rsid w:val="009F1D7D"/>
    <w:rsid w:val="009F2026"/>
    <w:rsid w:val="009F3038"/>
    <w:rsid w:val="009F3205"/>
    <w:rsid w:val="009F3566"/>
    <w:rsid w:val="009F410C"/>
    <w:rsid w:val="009F4259"/>
    <w:rsid w:val="009F4BB4"/>
    <w:rsid w:val="009F4DAD"/>
    <w:rsid w:val="009F4F3E"/>
    <w:rsid w:val="009F5890"/>
    <w:rsid w:val="009F5ADA"/>
    <w:rsid w:val="009F5B6A"/>
    <w:rsid w:val="009F5BD0"/>
    <w:rsid w:val="009F5C5B"/>
    <w:rsid w:val="009F5CAB"/>
    <w:rsid w:val="009F6000"/>
    <w:rsid w:val="009F6246"/>
    <w:rsid w:val="009F6495"/>
    <w:rsid w:val="009F65BC"/>
    <w:rsid w:val="009F6E41"/>
    <w:rsid w:val="009F6EFC"/>
    <w:rsid w:val="009F7710"/>
    <w:rsid w:val="009F77BF"/>
    <w:rsid w:val="009F7B25"/>
    <w:rsid w:val="009F7B6B"/>
    <w:rsid w:val="009F7BF8"/>
    <w:rsid w:val="009F7CD3"/>
    <w:rsid w:val="00A004E1"/>
    <w:rsid w:val="00A00949"/>
    <w:rsid w:val="00A00979"/>
    <w:rsid w:val="00A01025"/>
    <w:rsid w:val="00A02C3C"/>
    <w:rsid w:val="00A02C5A"/>
    <w:rsid w:val="00A03061"/>
    <w:rsid w:val="00A0437B"/>
    <w:rsid w:val="00A0460F"/>
    <w:rsid w:val="00A0470B"/>
    <w:rsid w:val="00A04737"/>
    <w:rsid w:val="00A04E2A"/>
    <w:rsid w:val="00A05ACB"/>
    <w:rsid w:val="00A05CF7"/>
    <w:rsid w:val="00A06154"/>
    <w:rsid w:val="00A062CB"/>
    <w:rsid w:val="00A063B3"/>
    <w:rsid w:val="00A06560"/>
    <w:rsid w:val="00A0694C"/>
    <w:rsid w:val="00A06FF1"/>
    <w:rsid w:val="00A07301"/>
    <w:rsid w:val="00A0757A"/>
    <w:rsid w:val="00A07B0F"/>
    <w:rsid w:val="00A07DD0"/>
    <w:rsid w:val="00A10053"/>
    <w:rsid w:val="00A10063"/>
    <w:rsid w:val="00A1029D"/>
    <w:rsid w:val="00A1086C"/>
    <w:rsid w:val="00A1115C"/>
    <w:rsid w:val="00A114DE"/>
    <w:rsid w:val="00A11AED"/>
    <w:rsid w:val="00A11B1A"/>
    <w:rsid w:val="00A11CAB"/>
    <w:rsid w:val="00A11D64"/>
    <w:rsid w:val="00A11D88"/>
    <w:rsid w:val="00A12129"/>
    <w:rsid w:val="00A126D8"/>
    <w:rsid w:val="00A128B7"/>
    <w:rsid w:val="00A12961"/>
    <w:rsid w:val="00A129A6"/>
    <w:rsid w:val="00A12A07"/>
    <w:rsid w:val="00A13385"/>
    <w:rsid w:val="00A13664"/>
    <w:rsid w:val="00A13C7E"/>
    <w:rsid w:val="00A13F14"/>
    <w:rsid w:val="00A14594"/>
    <w:rsid w:val="00A152D9"/>
    <w:rsid w:val="00A15C42"/>
    <w:rsid w:val="00A16550"/>
    <w:rsid w:val="00A16584"/>
    <w:rsid w:val="00A16B7C"/>
    <w:rsid w:val="00A17114"/>
    <w:rsid w:val="00A17728"/>
    <w:rsid w:val="00A179D8"/>
    <w:rsid w:val="00A17A6C"/>
    <w:rsid w:val="00A17A9E"/>
    <w:rsid w:val="00A17CBD"/>
    <w:rsid w:val="00A17D6F"/>
    <w:rsid w:val="00A17DAA"/>
    <w:rsid w:val="00A17E7F"/>
    <w:rsid w:val="00A17F64"/>
    <w:rsid w:val="00A201D7"/>
    <w:rsid w:val="00A20465"/>
    <w:rsid w:val="00A20D0A"/>
    <w:rsid w:val="00A20E40"/>
    <w:rsid w:val="00A210B0"/>
    <w:rsid w:val="00A211B7"/>
    <w:rsid w:val="00A21A43"/>
    <w:rsid w:val="00A21C2B"/>
    <w:rsid w:val="00A21CAD"/>
    <w:rsid w:val="00A21E7F"/>
    <w:rsid w:val="00A2246C"/>
    <w:rsid w:val="00A22D20"/>
    <w:rsid w:val="00A22D92"/>
    <w:rsid w:val="00A22EFC"/>
    <w:rsid w:val="00A23493"/>
    <w:rsid w:val="00A234CF"/>
    <w:rsid w:val="00A2363D"/>
    <w:rsid w:val="00A23788"/>
    <w:rsid w:val="00A23F4C"/>
    <w:rsid w:val="00A24074"/>
    <w:rsid w:val="00A240BE"/>
    <w:rsid w:val="00A24514"/>
    <w:rsid w:val="00A2481F"/>
    <w:rsid w:val="00A24851"/>
    <w:rsid w:val="00A24A8C"/>
    <w:rsid w:val="00A25177"/>
    <w:rsid w:val="00A255DE"/>
    <w:rsid w:val="00A2595D"/>
    <w:rsid w:val="00A25F96"/>
    <w:rsid w:val="00A2635A"/>
    <w:rsid w:val="00A268DF"/>
    <w:rsid w:val="00A2706B"/>
    <w:rsid w:val="00A27116"/>
    <w:rsid w:val="00A27B02"/>
    <w:rsid w:val="00A27B46"/>
    <w:rsid w:val="00A27D01"/>
    <w:rsid w:val="00A30015"/>
    <w:rsid w:val="00A3033D"/>
    <w:rsid w:val="00A30D10"/>
    <w:rsid w:val="00A317E2"/>
    <w:rsid w:val="00A3180D"/>
    <w:rsid w:val="00A322C1"/>
    <w:rsid w:val="00A3242D"/>
    <w:rsid w:val="00A3251C"/>
    <w:rsid w:val="00A32532"/>
    <w:rsid w:val="00A327B8"/>
    <w:rsid w:val="00A32B34"/>
    <w:rsid w:val="00A32E1A"/>
    <w:rsid w:val="00A33186"/>
    <w:rsid w:val="00A33700"/>
    <w:rsid w:val="00A337C3"/>
    <w:rsid w:val="00A33E16"/>
    <w:rsid w:val="00A3404B"/>
    <w:rsid w:val="00A34932"/>
    <w:rsid w:val="00A34A61"/>
    <w:rsid w:val="00A34B23"/>
    <w:rsid w:val="00A34C76"/>
    <w:rsid w:val="00A35498"/>
    <w:rsid w:val="00A3557A"/>
    <w:rsid w:val="00A35A02"/>
    <w:rsid w:val="00A35BC1"/>
    <w:rsid w:val="00A35C5A"/>
    <w:rsid w:val="00A35D57"/>
    <w:rsid w:val="00A36277"/>
    <w:rsid w:val="00A364A0"/>
    <w:rsid w:val="00A364E4"/>
    <w:rsid w:val="00A3657F"/>
    <w:rsid w:val="00A36676"/>
    <w:rsid w:val="00A3694F"/>
    <w:rsid w:val="00A36BBF"/>
    <w:rsid w:val="00A36EAA"/>
    <w:rsid w:val="00A37964"/>
    <w:rsid w:val="00A37FA9"/>
    <w:rsid w:val="00A40462"/>
    <w:rsid w:val="00A40F10"/>
    <w:rsid w:val="00A416AD"/>
    <w:rsid w:val="00A4171A"/>
    <w:rsid w:val="00A418E2"/>
    <w:rsid w:val="00A41AD2"/>
    <w:rsid w:val="00A41B1A"/>
    <w:rsid w:val="00A41D5D"/>
    <w:rsid w:val="00A41E5E"/>
    <w:rsid w:val="00A421E8"/>
    <w:rsid w:val="00A42223"/>
    <w:rsid w:val="00A4225F"/>
    <w:rsid w:val="00A4236A"/>
    <w:rsid w:val="00A427B3"/>
    <w:rsid w:val="00A43BFB"/>
    <w:rsid w:val="00A43EBB"/>
    <w:rsid w:val="00A43ED0"/>
    <w:rsid w:val="00A44025"/>
    <w:rsid w:val="00A44047"/>
    <w:rsid w:val="00A44992"/>
    <w:rsid w:val="00A44B3E"/>
    <w:rsid w:val="00A45A37"/>
    <w:rsid w:val="00A47026"/>
    <w:rsid w:val="00A471AE"/>
    <w:rsid w:val="00A472AE"/>
    <w:rsid w:val="00A47B01"/>
    <w:rsid w:val="00A47CF7"/>
    <w:rsid w:val="00A47EA6"/>
    <w:rsid w:val="00A47F98"/>
    <w:rsid w:val="00A50246"/>
    <w:rsid w:val="00A5073E"/>
    <w:rsid w:val="00A50CD9"/>
    <w:rsid w:val="00A50F38"/>
    <w:rsid w:val="00A50FE3"/>
    <w:rsid w:val="00A51374"/>
    <w:rsid w:val="00A5149C"/>
    <w:rsid w:val="00A518EF"/>
    <w:rsid w:val="00A51B1E"/>
    <w:rsid w:val="00A51EF7"/>
    <w:rsid w:val="00A524FA"/>
    <w:rsid w:val="00A5254F"/>
    <w:rsid w:val="00A52FC9"/>
    <w:rsid w:val="00A53034"/>
    <w:rsid w:val="00A532F5"/>
    <w:rsid w:val="00A53426"/>
    <w:rsid w:val="00A535EA"/>
    <w:rsid w:val="00A5385A"/>
    <w:rsid w:val="00A5405D"/>
    <w:rsid w:val="00A540BC"/>
    <w:rsid w:val="00A544D5"/>
    <w:rsid w:val="00A5472F"/>
    <w:rsid w:val="00A54CC1"/>
    <w:rsid w:val="00A54F3A"/>
    <w:rsid w:val="00A5529A"/>
    <w:rsid w:val="00A552D6"/>
    <w:rsid w:val="00A55634"/>
    <w:rsid w:val="00A55C18"/>
    <w:rsid w:val="00A5618E"/>
    <w:rsid w:val="00A5682D"/>
    <w:rsid w:val="00A569D7"/>
    <w:rsid w:val="00A5703F"/>
    <w:rsid w:val="00A57CE5"/>
    <w:rsid w:val="00A57FE4"/>
    <w:rsid w:val="00A603A3"/>
    <w:rsid w:val="00A60824"/>
    <w:rsid w:val="00A60B17"/>
    <w:rsid w:val="00A6137D"/>
    <w:rsid w:val="00A619AE"/>
    <w:rsid w:val="00A62059"/>
    <w:rsid w:val="00A62144"/>
    <w:rsid w:val="00A622AF"/>
    <w:rsid w:val="00A62E0C"/>
    <w:rsid w:val="00A62E43"/>
    <w:rsid w:val="00A63204"/>
    <w:rsid w:val="00A636FE"/>
    <w:rsid w:val="00A63779"/>
    <w:rsid w:val="00A64055"/>
    <w:rsid w:val="00A640C5"/>
    <w:rsid w:val="00A6412A"/>
    <w:rsid w:val="00A64338"/>
    <w:rsid w:val="00A64358"/>
    <w:rsid w:val="00A64DA4"/>
    <w:rsid w:val="00A64FB2"/>
    <w:rsid w:val="00A6577A"/>
    <w:rsid w:val="00A65DCB"/>
    <w:rsid w:val="00A66101"/>
    <w:rsid w:val="00A66786"/>
    <w:rsid w:val="00A668D5"/>
    <w:rsid w:val="00A669CF"/>
    <w:rsid w:val="00A67312"/>
    <w:rsid w:val="00A6764A"/>
    <w:rsid w:val="00A6782E"/>
    <w:rsid w:val="00A679EF"/>
    <w:rsid w:val="00A67C40"/>
    <w:rsid w:val="00A67F64"/>
    <w:rsid w:val="00A7006C"/>
    <w:rsid w:val="00A700C5"/>
    <w:rsid w:val="00A701CD"/>
    <w:rsid w:val="00A70259"/>
    <w:rsid w:val="00A70581"/>
    <w:rsid w:val="00A70592"/>
    <w:rsid w:val="00A708F9"/>
    <w:rsid w:val="00A710C3"/>
    <w:rsid w:val="00A71312"/>
    <w:rsid w:val="00A71485"/>
    <w:rsid w:val="00A71728"/>
    <w:rsid w:val="00A71746"/>
    <w:rsid w:val="00A71777"/>
    <w:rsid w:val="00A719BA"/>
    <w:rsid w:val="00A71A81"/>
    <w:rsid w:val="00A71B5F"/>
    <w:rsid w:val="00A71E0B"/>
    <w:rsid w:val="00A72893"/>
    <w:rsid w:val="00A7292A"/>
    <w:rsid w:val="00A72BD4"/>
    <w:rsid w:val="00A72C35"/>
    <w:rsid w:val="00A72C82"/>
    <w:rsid w:val="00A738F2"/>
    <w:rsid w:val="00A73970"/>
    <w:rsid w:val="00A73AA1"/>
    <w:rsid w:val="00A73BAE"/>
    <w:rsid w:val="00A73C7E"/>
    <w:rsid w:val="00A74298"/>
    <w:rsid w:val="00A749DA"/>
    <w:rsid w:val="00A758C2"/>
    <w:rsid w:val="00A758E3"/>
    <w:rsid w:val="00A75CB3"/>
    <w:rsid w:val="00A75DCB"/>
    <w:rsid w:val="00A7658A"/>
    <w:rsid w:val="00A76F7B"/>
    <w:rsid w:val="00A77528"/>
    <w:rsid w:val="00A77A57"/>
    <w:rsid w:val="00A77E1D"/>
    <w:rsid w:val="00A80078"/>
    <w:rsid w:val="00A8019B"/>
    <w:rsid w:val="00A81372"/>
    <w:rsid w:val="00A8183A"/>
    <w:rsid w:val="00A81FA6"/>
    <w:rsid w:val="00A82579"/>
    <w:rsid w:val="00A825E3"/>
    <w:rsid w:val="00A82718"/>
    <w:rsid w:val="00A829DC"/>
    <w:rsid w:val="00A82D48"/>
    <w:rsid w:val="00A83159"/>
    <w:rsid w:val="00A8350D"/>
    <w:rsid w:val="00A83556"/>
    <w:rsid w:val="00A83636"/>
    <w:rsid w:val="00A83690"/>
    <w:rsid w:val="00A8378E"/>
    <w:rsid w:val="00A83AC4"/>
    <w:rsid w:val="00A83B3E"/>
    <w:rsid w:val="00A83BF5"/>
    <w:rsid w:val="00A848C9"/>
    <w:rsid w:val="00A84EAA"/>
    <w:rsid w:val="00A8562D"/>
    <w:rsid w:val="00A856C1"/>
    <w:rsid w:val="00A86051"/>
    <w:rsid w:val="00A8625F"/>
    <w:rsid w:val="00A86460"/>
    <w:rsid w:val="00A8656D"/>
    <w:rsid w:val="00A866FB"/>
    <w:rsid w:val="00A86BBA"/>
    <w:rsid w:val="00A86FC5"/>
    <w:rsid w:val="00A87293"/>
    <w:rsid w:val="00A875A6"/>
    <w:rsid w:val="00A87AB4"/>
    <w:rsid w:val="00A87CA9"/>
    <w:rsid w:val="00A87D44"/>
    <w:rsid w:val="00A87F58"/>
    <w:rsid w:val="00A90151"/>
    <w:rsid w:val="00A901E1"/>
    <w:rsid w:val="00A90256"/>
    <w:rsid w:val="00A905F2"/>
    <w:rsid w:val="00A90B69"/>
    <w:rsid w:val="00A9111B"/>
    <w:rsid w:val="00A91536"/>
    <w:rsid w:val="00A91551"/>
    <w:rsid w:val="00A91554"/>
    <w:rsid w:val="00A9216E"/>
    <w:rsid w:val="00A92642"/>
    <w:rsid w:val="00A92783"/>
    <w:rsid w:val="00A92D47"/>
    <w:rsid w:val="00A92E24"/>
    <w:rsid w:val="00A92ECE"/>
    <w:rsid w:val="00A93120"/>
    <w:rsid w:val="00A9321E"/>
    <w:rsid w:val="00A9359B"/>
    <w:rsid w:val="00A935C0"/>
    <w:rsid w:val="00A9386B"/>
    <w:rsid w:val="00A949D7"/>
    <w:rsid w:val="00A94F86"/>
    <w:rsid w:val="00A950E3"/>
    <w:rsid w:val="00A9545C"/>
    <w:rsid w:val="00A95725"/>
    <w:rsid w:val="00A95833"/>
    <w:rsid w:val="00A96155"/>
    <w:rsid w:val="00A961D4"/>
    <w:rsid w:val="00A9682D"/>
    <w:rsid w:val="00A96898"/>
    <w:rsid w:val="00A969ED"/>
    <w:rsid w:val="00A96BCE"/>
    <w:rsid w:val="00A96BDB"/>
    <w:rsid w:val="00A970A6"/>
    <w:rsid w:val="00A97641"/>
    <w:rsid w:val="00A97879"/>
    <w:rsid w:val="00AA0442"/>
    <w:rsid w:val="00AA0503"/>
    <w:rsid w:val="00AA0AF4"/>
    <w:rsid w:val="00AA0B2D"/>
    <w:rsid w:val="00AA11AF"/>
    <w:rsid w:val="00AA14FA"/>
    <w:rsid w:val="00AA163B"/>
    <w:rsid w:val="00AA1918"/>
    <w:rsid w:val="00AA19B6"/>
    <w:rsid w:val="00AA1AC1"/>
    <w:rsid w:val="00AA1BE2"/>
    <w:rsid w:val="00AA1C7C"/>
    <w:rsid w:val="00AA1E79"/>
    <w:rsid w:val="00AA1FBC"/>
    <w:rsid w:val="00AA2797"/>
    <w:rsid w:val="00AA2932"/>
    <w:rsid w:val="00AA2ACC"/>
    <w:rsid w:val="00AA3435"/>
    <w:rsid w:val="00AA3569"/>
    <w:rsid w:val="00AA3C45"/>
    <w:rsid w:val="00AA3E75"/>
    <w:rsid w:val="00AA46D8"/>
    <w:rsid w:val="00AA52DE"/>
    <w:rsid w:val="00AA599C"/>
    <w:rsid w:val="00AA5CA6"/>
    <w:rsid w:val="00AA5F6F"/>
    <w:rsid w:val="00AA61C5"/>
    <w:rsid w:val="00AA69F6"/>
    <w:rsid w:val="00AA6BE6"/>
    <w:rsid w:val="00AA6C09"/>
    <w:rsid w:val="00AA6F1B"/>
    <w:rsid w:val="00AA7790"/>
    <w:rsid w:val="00AA77D0"/>
    <w:rsid w:val="00AA793D"/>
    <w:rsid w:val="00AA7F1D"/>
    <w:rsid w:val="00AB04AD"/>
    <w:rsid w:val="00AB0626"/>
    <w:rsid w:val="00AB0945"/>
    <w:rsid w:val="00AB10F4"/>
    <w:rsid w:val="00AB1818"/>
    <w:rsid w:val="00AB20E3"/>
    <w:rsid w:val="00AB295E"/>
    <w:rsid w:val="00AB2BBA"/>
    <w:rsid w:val="00AB2D17"/>
    <w:rsid w:val="00AB2E3A"/>
    <w:rsid w:val="00AB2FAE"/>
    <w:rsid w:val="00AB34AD"/>
    <w:rsid w:val="00AB3CD6"/>
    <w:rsid w:val="00AB4414"/>
    <w:rsid w:val="00AB463B"/>
    <w:rsid w:val="00AB46E2"/>
    <w:rsid w:val="00AB4F28"/>
    <w:rsid w:val="00AB50B1"/>
    <w:rsid w:val="00AB5126"/>
    <w:rsid w:val="00AB52CB"/>
    <w:rsid w:val="00AB5416"/>
    <w:rsid w:val="00AB55E4"/>
    <w:rsid w:val="00AB55F0"/>
    <w:rsid w:val="00AB599A"/>
    <w:rsid w:val="00AB59B6"/>
    <w:rsid w:val="00AB68EC"/>
    <w:rsid w:val="00AB6A2D"/>
    <w:rsid w:val="00AB6C26"/>
    <w:rsid w:val="00AB6E43"/>
    <w:rsid w:val="00AB70C6"/>
    <w:rsid w:val="00AB72A3"/>
    <w:rsid w:val="00AB7523"/>
    <w:rsid w:val="00AB7558"/>
    <w:rsid w:val="00AC013E"/>
    <w:rsid w:val="00AC02EB"/>
    <w:rsid w:val="00AC047B"/>
    <w:rsid w:val="00AC0744"/>
    <w:rsid w:val="00AC0C2A"/>
    <w:rsid w:val="00AC0CDD"/>
    <w:rsid w:val="00AC0D3D"/>
    <w:rsid w:val="00AC13EC"/>
    <w:rsid w:val="00AC14F1"/>
    <w:rsid w:val="00AC1775"/>
    <w:rsid w:val="00AC1956"/>
    <w:rsid w:val="00AC1E25"/>
    <w:rsid w:val="00AC2B6D"/>
    <w:rsid w:val="00AC2C75"/>
    <w:rsid w:val="00AC2CB2"/>
    <w:rsid w:val="00AC38B2"/>
    <w:rsid w:val="00AC39E1"/>
    <w:rsid w:val="00AC39EB"/>
    <w:rsid w:val="00AC412C"/>
    <w:rsid w:val="00AC43C6"/>
    <w:rsid w:val="00AC449E"/>
    <w:rsid w:val="00AC4783"/>
    <w:rsid w:val="00AC486F"/>
    <w:rsid w:val="00AC4CEF"/>
    <w:rsid w:val="00AC4F7C"/>
    <w:rsid w:val="00AC532E"/>
    <w:rsid w:val="00AC5877"/>
    <w:rsid w:val="00AC587D"/>
    <w:rsid w:val="00AC5BEB"/>
    <w:rsid w:val="00AC5D0E"/>
    <w:rsid w:val="00AC63A5"/>
    <w:rsid w:val="00AC68F5"/>
    <w:rsid w:val="00AC6E95"/>
    <w:rsid w:val="00AC7244"/>
    <w:rsid w:val="00AC7318"/>
    <w:rsid w:val="00AC750B"/>
    <w:rsid w:val="00AC7E08"/>
    <w:rsid w:val="00AC7EF9"/>
    <w:rsid w:val="00AD0197"/>
    <w:rsid w:val="00AD08F4"/>
    <w:rsid w:val="00AD1054"/>
    <w:rsid w:val="00AD14F0"/>
    <w:rsid w:val="00AD1945"/>
    <w:rsid w:val="00AD1AA2"/>
    <w:rsid w:val="00AD1F73"/>
    <w:rsid w:val="00AD2037"/>
    <w:rsid w:val="00AD2950"/>
    <w:rsid w:val="00AD29B7"/>
    <w:rsid w:val="00AD29D7"/>
    <w:rsid w:val="00AD2DED"/>
    <w:rsid w:val="00AD3005"/>
    <w:rsid w:val="00AD3035"/>
    <w:rsid w:val="00AD30FB"/>
    <w:rsid w:val="00AD32C1"/>
    <w:rsid w:val="00AD3992"/>
    <w:rsid w:val="00AD4235"/>
    <w:rsid w:val="00AD4354"/>
    <w:rsid w:val="00AD46E6"/>
    <w:rsid w:val="00AD4920"/>
    <w:rsid w:val="00AD4CDF"/>
    <w:rsid w:val="00AD5307"/>
    <w:rsid w:val="00AD5572"/>
    <w:rsid w:val="00AD587C"/>
    <w:rsid w:val="00AD5AE2"/>
    <w:rsid w:val="00AD5C8A"/>
    <w:rsid w:val="00AD5D53"/>
    <w:rsid w:val="00AD668B"/>
    <w:rsid w:val="00AD6882"/>
    <w:rsid w:val="00AD6E9B"/>
    <w:rsid w:val="00AD72FB"/>
    <w:rsid w:val="00AD777E"/>
    <w:rsid w:val="00AD7A30"/>
    <w:rsid w:val="00AD7B75"/>
    <w:rsid w:val="00AE00B5"/>
    <w:rsid w:val="00AE01AF"/>
    <w:rsid w:val="00AE04A4"/>
    <w:rsid w:val="00AE054C"/>
    <w:rsid w:val="00AE0580"/>
    <w:rsid w:val="00AE0975"/>
    <w:rsid w:val="00AE09DF"/>
    <w:rsid w:val="00AE11C9"/>
    <w:rsid w:val="00AE158A"/>
    <w:rsid w:val="00AE1858"/>
    <w:rsid w:val="00AE1B25"/>
    <w:rsid w:val="00AE1BCF"/>
    <w:rsid w:val="00AE1D06"/>
    <w:rsid w:val="00AE1D1C"/>
    <w:rsid w:val="00AE1EB0"/>
    <w:rsid w:val="00AE2A1C"/>
    <w:rsid w:val="00AE2F6E"/>
    <w:rsid w:val="00AE35DF"/>
    <w:rsid w:val="00AE3CB4"/>
    <w:rsid w:val="00AE3E17"/>
    <w:rsid w:val="00AE48AE"/>
    <w:rsid w:val="00AE498E"/>
    <w:rsid w:val="00AE5166"/>
    <w:rsid w:val="00AE519F"/>
    <w:rsid w:val="00AE528A"/>
    <w:rsid w:val="00AE572E"/>
    <w:rsid w:val="00AE59C9"/>
    <w:rsid w:val="00AE5BF8"/>
    <w:rsid w:val="00AE5FD3"/>
    <w:rsid w:val="00AE677B"/>
    <w:rsid w:val="00AE6C6D"/>
    <w:rsid w:val="00AE6CEA"/>
    <w:rsid w:val="00AE7186"/>
    <w:rsid w:val="00AE75E4"/>
    <w:rsid w:val="00AE76B3"/>
    <w:rsid w:val="00AE7799"/>
    <w:rsid w:val="00AE783D"/>
    <w:rsid w:val="00AE78DE"/>
    <w:rsid w:val="00AE7ACD"/>
    <w:rsid w:val="00AF077F"/>
    <w:rsid w:val="00AF0B85"/>
    <w:rsid w:val="00AF0D15"/>
    <w:rsid w:val="00AF0F89"/>
    <w:rsid w:val="00AF10A2"/>
    <w:rsid w:val="00AF11CB"/>
    <w:rsid w:val="00AF19EE"/>
    <w:rsid w:val="00AF1AA5"/>
    <w:rsid w:val="00AF1B59"/>
    <w:rsid w:val="00AF1F8B"/>
    <w:rsid w:val="00AF2632"/>
    <w:rsid w:val="00AF28A2"/>
    <w:rsid w:val="00AF2BC4"/>
    <w:rsid w:val="00AF2CA8"/>
    <w:rsid w:val="00AF2CE5"/>
    <w:rsid w:val="00AF2F1E"/>
    <w:rsid w:val="00AF304A"/>
    <w:rsid w:val="00AF33D6"/>
    <w:rsid w:val="00AF37B5"/>
    <w:rsid w:val="00AF37D7"/>
    <w:rsid w:val="00AF3998"/>
    <w:rsid w:val="00AF3B38"/>
    <w:rsid w:val="00AF3BD9"/>
    <w:rsid w:val="00AF3C16"/>
    <w:rsid w:val="00AF3C1F"/>
    <w:rsid w:val="00AF3FDC"/>
    <w:rsid w:val="00AF479F"/>
    <w:rsid w:val="00AF4B4D"/>
    <w:rsid w:val="00AF5275"/>
    <w:rsid w:val="00AF5453"/>
    <w:rsid w:val="00AF5988"/>
    <w:rsid w:val="00AF5F42"/>
    <w:rsid w:val="00AF6880"/>
    <w:rsid w:val="00AF6B0D"/>
    <w:rsid w:val="00AF6F94"/>
    <w:rsid w:val="00AF6FC8"/>
    <w:rsid w:val="00AF7838"/>
    <w:rsid w:val="00AF7A18"/>
    <w:rsid w:val="00AF7B9E"/>
    <w:rsid w:val="00AF7F1C"/>
    <w:rsid w:val="00AF7FD1"/>
    <w:rsid w:val="00B0031D"/>
    <w:rsid w:val="00B0058E"/>
    <w:rsid w:val="00B00E91"/>
    <w:rsid w:val="00B0193C"/>
    <w:rsid w:val="00B021C7"/>
    <w:rsid w:val="00B022E9"/>
    <w:rsid w:val="00B02649"/>
    <w:rsid w:val="00B02B55"/>
    <w:rsid w:val="00B02BEA"/>
    <w:rsid w:val="00B03124"/>
    <w:rsid w:val="00B03618"/>
    <w:rsid w:val="00B0361D"/>
    <w:rsid w:val="00B03E94"/>
    <w:rsid w:val="00B044BC"/>
    <w:rsid w:val="00B04DA8"/>
    <w:rsid w:val="00B04DEA"/>
    <w:rsid w:val="00B04E19"/>
    <w:rsid w:val="00B05029"/>
    <w:rsid w:val="00B05061"/>
    <w:rsid w:val="00B059BC"/>
    <w:rsid w:val="00B060B4"/>
    <w:rsid w:val="00B061E8"/>
    <w:rsid w:val="00B06A38"/>
    <w:rsid w:val="00B06A88"/>
    <w:rsid w:val="00B06DD7"/>
    <w:rsid w:val="00B07365"/>
    <w:rsid w:val="00B07402"/>
    <w:rsid w:val="00B07B6C"/>
    <w:rsid w:val="00B101AC"/>
    <w:rsid w:val="00B1052C"/>
    <w:rsid w:val="00B10CB7"/>
    <w:rsid w:val="00B10D41"/>
    <w:rsid w:val="00B11283"/>
    <w:rsid w:val="00B11292"/>
    <w:rsid w:val="00B1134A"/>
    <w:rsid w:val="00B116A5"/>
    <w:rsid w:val="00B119D2"/>
    <w:rsid w:val="00B11A7B"/>
    <w:rsid w:val="00B11F80"/>
    <w:rsid w:val="00B11FF9"/>
    <w:rsid w:val="00B1281B"/>
    <w:rsid w:val="00B12F30"/>
    <w:rsid w:val="00B13036"/>
    <w:rsid w:val="00B13157"/>
    <w:rsid w:val="00B133E6"/>
    <w:rsid w:val="00B13DA1"/>
    <w:rsid w:val="00B13ED7"/>
    <w:rsid w:val="00B141EF"/>
    <w:rsid w:val="00B14CC4"/>
    <w:rsid w:val="00B15120"/>
    <w:rsid w:val="00B151DE"/>
    <w:rsid w:val="00B15D2B"/>
    <w:rsid w:val="00B15F73"/>
    <w:rsid w:val="00B162A1"/>
    <w:rsid w:val="00B163B9"/>
    <w:rsid w:val="00B163E2"/>
    <w:rsid w:val="00B164B7"/>
    <w:rsid w:val="00B16537"/>
    <w:rsid w:val="00B16717"/>
    <w:rsid w:val="00B16CB9"/>
    <w:rsid w:val="00B1732A"/>
    <w:rsid w:val="00B173B6"/>
    <w:rsid w:val="00B17417"/>
    <w:rsid w:val="00B17501"/>
    <w:rsid w:val="00B17590"/>
    <w:rsid w:val="00B20418"/>
    <w:rsid w:val="00B20BAB"/>
    <w:rsid w:val="00B20C62"/>
    <w:rsid w:val="00B21301"/>
    <w:rsid w:val="00B2139A"/>
    <w:rsid w:val="00B21638"/>
    <w:rsid w:val="00B2229D"/>
    <w:rsid w:val="00B22D2A"/>
    <w:rsid w:val="00B22DBD"/>
    <w:rsid w:val="00B230AB"/>
    <w:rsid w:val="00B23258"/>
    <w:rsid w:val="00B23603"/>
    <w:rsid w:val="00B23831"/>
    <w:rsid w:val="00B239C3"/>
    <w:rsid w:val="00B23D78"/>
    <w:rsid w:val="00B23E3F"/>
    <w:rsid w:val="00B241BC"/>
    <w:rsid w:val="00B2483C"/>
    <w:rsid w:val="00B24978"/>
    <w:rsid w:val="00B24ECB"/>
    <w:rsid w:val="00B2536F"/>
    <w:rsid w:val="00B25556"/>
    <w:rsid w:val="00B256CD"/>
    <w:rsid w:val="00B25A9B"/>
    <w:rsid w:val="00B25B65"/>
    <w:rsid w:val="00B25CA8"/>
    <w:rsid w:val="00B25DF8"/>
    <w:rsid w:val="00B25F20"/>
    <w:rsid w:val="00B26172"/>
    <w:rsid w:val="00B26241"/>
    <w:rsid w:val="00B2636F"/>
    <w:rsid w:val="00B268D2"/>
    <w:rsid w:val="00B26D73"/>
    <w:rsid w:val="00B2742C"/>
    <w:rsid w:val="00B27860"/>
    <w:rsid w:val="00B301B8"/>
    <w:rsid w:val="00B30212"/>
    <w:rsid w:val="00B302FA"/>
    <w:rsid w:val="00B30CFC"/>
    <w:rsid w:val="00B3126A"/>
    <w:rsid w:val="00B31748"/>
    <w:rsid w:val="00B31A41"/>
    <w:rsid w:val="00B31B5C"/>
    <w:rsid w:val="00B3256A"/>
    <w:rsid w:val="00B3256D"/>
    <w:rsid w:val="00B32AF4"/>
    <w:rsid w:val="00B32CFA"/>
    <w:rsid w:val="00B32D6C"/>
    <w:rsid w:val="00B33238"/>
    <w:rsid w:val="00B332F0"/>
    <w:rsid w:val="00B332F2"/>
    <w:rsid w:val="00B3348E"/>
    <w:rsid w:val="00B338F6"/>
    <w:rsid w:val="00B34048"/>
    <w:rsid w:val="00B34304"/>
    <w:rsid w:val="00B343A7"/>
    <w:rsid w:val="00B34502"/>
    <w:rsid w:val="00B348F4"/>
    <w:rsid w:val="00B34B65"/>
    <w:rsid w:val="00B34E50"/>
    <w:rsid w:val="00B3532B"/>
    <w:rsid w:val="00B35373"/>
    <w:rsid w:val="00B35611"/>
    <w:rsid w:val="00B3565B"/>
    <w:rsid w:val="00B35E41"/>
    <w:rsid w:val="00B35F10"/>
    <w:rsid w:val="00B36358"/>
    <w:rsid w:val="00B3639C"/>
    <w:rsid w:val="00B363BA"/>
    <w:rsid w:val="00B367D7"/>
    <w:rsid w:val="00B369C3"/>
    <w:rsid w:val="00B371C7"/>
    <w:rsid w:val="00B3749D"/>
    <w:rsid w:val="00B37613"/>
    <w:rsid w:val="00B379E8"/>
    <w:rsid w:val="00B37B65"/>
    <w:rsid w:val="00B37D99"/>
    <w:rsid w:val="00B40154"/>
    <w:rsid w:val="00B4025C"/>
    <w:rsid w:val="00B40473"/>
    <w:rsid w:val="00B406B7"/>
    <w:rsid w:val="00B40A79"/>
    <w:rsid w:val="00B40B07"/>
    <w:rsid w:val="00B40CA0"/>
    <w:rsid w:val="00B40E1F"/>
    <w:rsid w:val="00B41A59"/>
    <w:rsid w:val="00B41C99"/>
    <w:rsid w:val="00B41EA3"/>
    <w:rsid w:val="00B42D17"/>
    <w:rsid w:val="00B42E30"/>
    <w:rsid w:val="00B43294"/>
    <w:rsid w:val="00B43CC9"/>
    <w:rsid w:val="00B43EB4"/>
    <w:rsid w:val="00B443CC"/>
    <w:rsid w:val="00B45116"/>
    <w:rsid w:val="00B456C2"/>
    <w:rsid w:val="00B457A0"/>
    <w:rsid w:val="00B45C6D"/>
    <w:rsid w:val="00B467AB"/>
    <w:rsid w:val="00B46833"/>
    <w:rsid w:val="00B46A86"/>
    <w:rsid w:val="00B46ECD"/>
    <w:rsid w:val="00B47206"/>
    <w:rsid w:val="00B473BB"/>
    <w:rsid w:val="00B4783B"/>
    <w:rsid w:val="00B47916"/>
    <w:rsid w:val="00B47A9D"/>
    <w:rsid w:val="00B50368"/>
    <w:rsid w:val="00B50482"/>
    <w:rsid w:val="00B51E1E"/>
    <w:rsid w:val="00B525A3"/>
    <w:rsid w:val="00B5289A"/>
    <w:rsid w:val="00B52C3B"/>
    <w:rsid w:val="00B52C3D"/>
    <w:rsid w:val="00B52F13"/>
    <w:rsid w:val="00B52F82"/>
    <w:rsid w:val="00B5347D"/>
    <w:rsid w:val="00B53928"/>
    <w:rsid w:val="00B53B6D"/>
    <w:rsid w:val="00B53F39"/>
    <w:rsid w:val="00B54CB0"/>
    <w:rsid w:val="00B552D6"/>
    <w:rsid w:val="00B55915"/>
    <w:rsid w:val="00B55B2E"/>
    <w:rsid w:val="00B55BAD"/>
    <w:rsid w:val="00B55C13"/>
    <w:rsid w:val="00B55EEB"/>
    <w:rsid w:val="00B5660A"/>
    <w:rsid w:val="00B56C39"/>
    <w:rsid w:val="00B56E14"/>
    <w:rsid w:val="00B56FDF"/>
    <w:rsid w:val="00B571BC"/>
    <w:rsid w:val="00B5780B"/>
    <w:rsid w:val="00B57CB8"/>
    <w:rsid w:val="00B57CC5"/>
    <w:rsid w:val="00B57ED8"/>
    <w:rsid w:val="00B6006E"/>
    <w:rsid w:val="00B6014A"/>
    <w:rsid w:val="00B60193"/>
    <w:rsid w:val="00B60597"/>
    <w:rsid w:val="00B60694"/>
    <w:rsid w:val="00B60ED3"/>
    <w:rsid w:val="00B60ED5"/>
    <w:rsid w:val="00B60FD5"/>
    <w:rsid w:val="00B613D2"/>
    <w:rsid w:val="00B6152A"/>
    <w:rsid w:val="00B6169D"/>
    <w:rsid w:val="00B62160"/>
    <w:rsid w:val="00B62760"/>
    <w:rsid w:val="00B62A76"/>
    <w:rsid w:val="00B62BC2"/>
    <w:rsid w:val="00B62CC8"/>
    <w:rsid w:val="00B62ECA"/>
    <w:rsid w:val="00B63086"/>
    <w:rsid w:val="00B63323"/>
    <w:rsid w:val="00B64B8D"/>
    <w:rsid w:val="00B65241"/>
    <w:rsid w:val="00B65757"/>
    <w:rsid w:val="00B65811"/>
    <w:rsid w:val="00B65B4B"/>
    <w:rsid w:val="00B65DAA"/>
    <w:rsid w:val="00B65F6A"/>
    <w:rsid w:val="00B6688B"/>
    <w:rsid w:val="00B668B6"/>
    <w:rsid w:val="00B66B00"/>
    <w:rsid w:val="00B66B2F"/>
    <w:rsid w:val="00B66B3C"/>
    <w:rsid w:val="00B670A9"/>
    <w:rsid w:val="00B6774B"/>
    <w:rsid w:val="00B677BA"/>
    <w:rsid w:val="00B677CA"/>
    <w:rsid w:val="00B67949"/>
    <w:rsid w:val="00B67EA7"/>
    <w:rsid w:val="00B709DC"/>
    <w:rsid w:val="00B70A99"/>
    <w:rsid w:val="00B70E43"/>
    <w:rsid w:val="00B715DB"/>
    <w:rsid w:val="00B720EC"/>
    <w:rsid w:val="00B737DC"/>
    <w:rsid w:val="00B7384C"/>
    <w:rsid w:val="00B7388D"/>
    <w:rsid w:val="00B73B39"/>
    <w:rsid w:val="00B74763"/>
    <w:rsid w:val="00B74A6E"/>
    <w:rsid w:val="00B74C3A"/>
    <w:rsid w:val="00B74F7F"/>
    <w:rsid w:val="00B750A0"/>
    <w:rsid w:val="00B758C7"/>
    <w:rsid w:val="00B75A34"/>
    <w:rsid w:val="00B75B08"/>
    <w:rsid w:val="00B75B40"/>
    <w:rsid w:val="00B75B72"/>
    <w:rsid w:val="00B7661C"/>
    <w:rsid w:val="00B7663C"/>
    <w:rsid w:val="00B76B0D"/>
    <w:rsid w:val="00B76BD8"/>
    <w:rsid w:val="00B76C76"/>
    <w:rsid w:val="00B76D5E"/>
    <w:rsid w:val="00B76EE5"/>
    <w:rsid w:val="00B7705D"/>
    <w:rsid w:val="00B77502"/>
    <w:rsid w:val="00B77596"/>
    <w:rsid w:val="00B77DC9"/>
    <w:rsid w:val="00B803E5"/>
    <w:rsid w:val="00B80A2A"/>
    <w:rsid w:val="00B81D40"/>
    <w:rsid w:val="00B82A79"/>
    <w:rsid w:val="00B834E6"/>
    <w:rsid w:val="00B83C26"/>
    <w:rsid w:val="00B84270"/>
    <w:rsid w:val="00B842E1"/>
    <w:rsid w:val="00B84421"/>
    <w:rsid w:val="00B846B3"/>
    <w:rsid w:val="00B84869"/>
    <w:rsid w:val="00B85087"/>
    <w:rsid w:val="00B856C6"/>
    <w:rsid w:val="00B856DB"/>
    <w:rsid w:val="00B85923"/>
    <w:rsid w:val="00B86153"/>
    <w:rsid w:val="00B861B1"/>
    <w:rsid w:val="00B86607"/>
    <w:rsid w:val="00B86CB8"/>
    <w:rsid w:val="00B87072"/>
    <w:rsid w:val="00B872EC"/>
    <w:rsid w:val="00B877F7"/>
    <w:rsid w:val="00B87859"/>
    <w:rsid w:val="00B8789B"/>
    <w:rsid w:val="00B9044B"/>
    <w:rsid w:val="00B905F2"/>
    <w:rsid w:val="00B91114"/>
    <w:rsid w:val="00B916BD"/>
    <w:rsid w:val="00B917E4"/>
    <w:rsid w:val="00B91B59"/>
    <w:rsid w:val="00B91D47"/>
    <w:rsid w:val="00B92286"/>
    <w:rsid w:val="00B929C2"/>
    <w:rsid w:val="00B92A79"/>
    <w:rsid w:val="00B92BF1"/>
    <w:rsid w:val="00B92C6B"/>
    <w:rsid w:val="00B93079"/>
    <w:rsid w:val="00B93108"/>
    <w:rsid w:val="00B93257"/>
    <w:rsid w:val="00B93AFE"/>
    <w:rsid w:val="00B94136"/>
    <w:rsid w:val="00B941F8"/>
    <w:rsid w:val="00B94203"/>
    <w:rsid w:val="00B9485D"/>
    <w:rsid w:val="00B94B9E"/>
    <w:rsid w:val="00B94C55"/>
    <w:rsid w:val="00B94CC1"/>
    <w:rsid w:val="00B94D4E"/>
    <w:rsid w:val="00B94E90"/>
    <w:rsid w:val="00B953E2"/>
    <w:rsid w:val="00B959DC"/>
    <w:rsid w:val="00B95A9F"/>
    <w:rsid w:val="00B95CC3"/>
    <w:rsid w:val="00B964BC"/>
    <w:rsid w:val="00B96A94"/>
    <w:rsid w:val="00B96BC8"/>
    <w:rsid w:val="00B96BF3"/>
    <w:rsid w:val="00B96F32"/>
    <w:rsid w:val="00B97074"/>
    <w:rsid w:val="00B971BD"/>
    <w:rsid w:val="00B97296"/>
    <w:rsid w:val="00B97BD3"/>
    <w:rsid w:val="00B97C45"/>
    <w:rsid w:val="00B97D6E"/>
    <w:rsid w:val="00B97EA1"/>
    <w:rsid w:val="00BA0177"/>
    <w:rsid w:val="00BA0480"/>
    <w:rsid w:val="00BA0640"/>
    <w:rsid w:val="00BA07AE"/>
    <w:rsid w:val="00BA07C7"/>
    <w:rsid w:val="00BA09C2"/>
    <w:rsid w:val="00BA0D49"/>
    <w:rsid w:val="00BA1015"/>
    <w:rsid w:val="00BA1228"/>
    <w:rsid w:val="00BA172E"/>
    <w:rsid w:val="00BA207D"/>
    <w:rsid w:val="00BA216C"/>
    <w:rsid w:val="00BA2447"/>
    <w:rsid w:val="00BA2885"/>
    <w:rsid w:val="00BA2CED"/>
    <w:rsid w:val="00BA3CB8"/>
    <w:rsid w:val="00BA3EEB"/>
    <w:rsid w:val="00BA43C8"/>
    <w:rsid w:val="00BA43EF"/>
    <w:rsid w:val="00BA4A3C"/>
    <w:rsid w:val="00BA4CB2"/>
    <w:rsid w:val="00BA4E9C"/>
    <w:rsid w:val="00BA52F2"/>
    <w:rsid w:val="00BA5473"/>
    <w:rsid w:val="00BA58AF"/>
    <w:rsid w:val="00BA59D4"/>
    <w:rsid w:val="00BA5C3A"/>
    <w:rsid w:val="00BA5F7D"/>
    <w:rsid w:val="00BA5FBB"/>
    <w:rsid w:val="00BA60B1"/>
    <w:rsid w:val="00BA629A"/>
    <w:rsid w:val="00BA6350"/>
    <w:rsid w:val="00BA6538"/>
    <w:rsid w:val="00BA6D6E"/>
    <w:rsid w:val="00BA751E"/>
    <w:rsid w:val="00BA7623"/>
    <w:rsid w:val="00BA794A"/>
    <w:rsid w:val="00BB034F"/>
    <w:rsid w:val="00BB0470"/>
    <w:rsid w:val="00BB0788"/>
    <w:rsid w:val="00BB097D"/>
    <w:rsid w:val="00BB09F5"/>
    <w:rsid w:val="00BB0E49"/>
    <w:rsid w:val="00BB0EFA"/>
    <w:rsid w:val="00BB0FA2"/>
    <w:rsid w:val="00BB104C"/>
    <w:rsid w:val="00BB129E"/>
    <w:rsid w:val="00BB1935"/>
    <w:rsid w:val="00BB2227"/>
    <w:rsid w:val="00BB2B10"/>
    <w:rsid w:val="00BB2F0D"/>
    <w:rsid w:val="00BB3079"/>
    <w:rsid w:val="00BB3293"/>
    <w:rsid w:val="00BB35B6"/>
    <w:rsid w:val="00BB3600"/>
    <w:rsid w:val="00BB4649"/>
    <w:rsid w:val="00BB4B92"/>
    <w:rsid w:val="00BB4E4E"/>
    <w:rsid w:val="00BB5369"/>
    <w:rsid w:val="00BB5447"/>
    <w:rsid w:val="00BB5804"/>
    <w:rsid w:val="00BB5948"/>
    <w:rsid w:val="00BB5A96"/>
    <w:rsid w:val="00BB600C"/>
    <w:rsid w:val="00BB6484"/>
    <w:rsid w:val="00BB6A12"/>
    <w:rsid w:val="00BB6A59"/>
    <w:rsid w:val="00BB6AC9"/>
    <w:rsid w:val="00BB6B79"/>
    <w:rsid w:val="00BB6B92"/>
    <w:rsid w:val="00BB6E5E"/>
    <w:rsid w:val="00BB7360"/>
    <w:rsid w:val="00BB76B7"/>
    <w:rsid w:val="00BB7777"/>
    <w:rsid w:val="00BB77BF"/>
    <w:rsid w:val="00BB786E"/>
    <w:rsid w:val="00BB7FA9"/>
    <w:rsid w:val="00BC02D2"/>
    <w:rsid w:val="00BC04B3"/>
    <w:rsid w:val="00BC09BE"/>
    <w:rsid w:val="00BC0D29"/>
    <w:rsid w:val="00BC0DCE"/>
    <w:rsid w:val="00BC0DE6"/>
    <w:rsid w:val="00BC127C"/>
    <w:rsid w:val="00BC1A52"/>
    <w:rsid w:val="00BC1CB4"/>
    <w:rsid w:val="00BC2913"/>
    <w:rsid w:val="00BC2C55"/>
    <w:rsid w:val="00BC2D8F"/>
    <w:rsid w:val="00BC2EAF"/>
    <w:rsid w:val="00BC316E"/>
    <w:rsid w:val="00BC33FC"/>
    <w:rsid w:val="00BC3583"/>
    <w:rsid w:val="00BC35EF"/>
    <w:rsid w:val="00BC373A"/>
    <w:rsid w:val="00BC38B3"/>
    <w:rsid w:val="00BC4747"/>
    <w:rsid w:val="00BC4844"/>
    <w:rsid w:val="00BC4C0F"/>
    <w:rsid w:val="00BC5968"/>
    <w:rsid w:val="00BC5C50"/>
    <w:rsid w:val="00BC61B5"/>
    <w:rsid w:val="00BC6396"/>
    <w:rsid w:val="00BC6606"/>
    <w:rsid w:val="00BC703F"/>
    <w:rsid w:val="00BC758A"/>
    <w:rsid w:val="00BC7862"/>
    <w:rsid w:val="00BC7C1B"/>
    <w:rsid w:val="00BD09D9"/>
    <w:rsid w:val="00BD0CCF"/>
    <w:rsid w:val="00BD0DA8"/>
    <w:rsid w:val="00BD1118"/>
    <w:rsid w:val="00BD1379"/>
    <w:rsid w:val="00BD15A5"/>
    <w:rsid w:val="00BD190D"/>
    <w:rsid w:val="00BD1C41"/>
    <w:rsid w:val="00BD315E"/>
    <w:rsid w:val="00BD40A7"/>
    <w:rsid w:val="00BD4160"/>
    <w:rsid w:val="00BD4B0C"/>
    <w:rsid w:val="00BD5531"/>
    <w:rsid w:val="00BD5875"/>
    <w:rsid w:val="00BD5888"/>
    <w:rsid w:val="00BD59C2"/>
    <w:rsid w:val="00BD5B65"/>
    <w:rsid w:val="00BD5C62"/>
    <w:rsid w:val="00BD5D20"/>
    <w:rsid w:val="00BD5DF4"/>
    <w:rsid w:val="00BD636E"/>
    <w:rsid w:val="00BD6AA2"/>
    <w:rsid w:val="00BD6B5A"/>
    <w:rsid w:val="00BD6EAB"/>
    <w:rsid w:val="00BD6FAD"/>
    <w:rsid w:val="00BD7209"/>
    <w:rsid w:val="00BD78F7"/>
    <w:rsid w:val="00BD78FD"/>
    <w:rsid w:val="00BD7C1F"/>
    <w:rsid w:val="00BE0302"/>
    <w:rsid w:val="00BE0F22"/>
    <w:rsid w:val="00BE1235"/>
    <w:rsid w:val="00BE132C"/>
    <w:rsid w:val="00BE1A5D"/>
    <w:rsid w:val="00BE1AE2"/>
    <w:rsid w:val="00BE1E37"/>
    <w:rsid w:val="00BE23A6"/>
    <w:rsid w:val="00BE2591"/>
    <w:rsid w:val="00BE2A92"/>
    <w:rsid w:val="00BE2C65"/>
    <w:rsid w:val="00BE2DA5"/>
    <w:rsid w:val="00BE2F4E"/>
    <w:rsid w:val="00BE31C1"/>
    <w:rsid w:val="00BE3545"/>
    <w:rsid w:val="00BE361E"/>
    <w:rsid w:val="00BE37EC"/>
    <w:rsid w:val="00BE3945"/>
    <w:rsid w:val="00BE3F2C"/>
    <w:rsid w:val="00BE445B"/>
    <w:rsid w:val="00BE44CA"/>
    <w:rsid w:val="00BE450E"/>
    <w:rsid w:val="00BE4674"/>
    <w:rsid w:val="00BE4720"/>
    <w:rsid w:val="00BE4810"/>
    <w:rsid w:val="00BE4A99"/>
    <w:rsid w:val="00BE4AA3"/>
    <w:rsid w:val="00BE4C1A"/>
    <w:rsid w:val="00BE4C6D"/>
    <w:rsid w:val="00BE4CA7"/>
    <w:rsid w:val="00BE4EE7"/>
    <w:rsid w:val="00BE569C"/>
    <w:rsid w:val="00BE59F4"/>
    <w:rsid w:val="00BE5F15"/>
    <w:rsid w:val="00BE613B"/>
    <w:rsid w:val="00BE61F7"/>
    <w:rsid w:val="00BE67C4"/>
    <w:rsid w:val="00BE6ECB"/>
    <w:rsid w:val="00BE711F"/>
    <w:rsid w:val="00BE71D8"/>
    <w:rsid w:val="00BE7350"/>
    <w:rsid w:val="00BE73D9"/>
    <w:rsid w:val="00BE7406"/>
    <w:rsid w:val="00BE773B"/>
    <w:rsid w:val="00BE7823"/>
    <w:rsid w:val="00BE7C05"/>
    <w:rsid w:val="00BE7C35"/>
    <w:rsid w:val="00BE7DA1"/>
    <w:rsid w:val="00BE7E68"/>
    <w:rsid w:val="00BF047C"/>
    <w:rsid w:val="00BF0708"/>
    <w:rsid w:val="00BF0BD5"/>
    <w:rsid w:val="00BF0D28"/>
    <w:rsid w:val="00BF0EA9"/>
    <w:rsid w:val="00BF0EF2"/>
    <w:rsid w:val="00BF11A0"/>
    <w:rsid w:val="00BF11B2"/>
    <w:rsid w:val="00BF14E9"/>
    <w:rsid w:val="00BF1508"/>
    <w:rsid w:val="00BF1A70"/>
    <w:rsid w:val="00BF30A4"/>
    <w:rsid w:val="00BF334B"/>
    <w:rsid w:val="00BF360E"/>
    <w:rsid w:val="00BF3621"/>
    <w:rsid w:val="00BF377E"/>
    <w:rsid w:val="00BF3D39"/>
    <w:rsid w:val="00BF3EB8"/>
    <w:rsid w:val="00BF49A6"/>
    <w:rsid w:val="00BF4F05"/>
    <w:rsid w:val="00BF4FFC"/>
    <w:rsid w:val="00BF503D"/>
    <w:rsid w:val="00BF5B06"/>
    <w:rsid w:val="00BF5BA9"/>
    <w:rsid w:val="00BF5C8D"/>
    <w:rsid w:val="00BF5D03"/>
    <w:rsid w:val="00BF61B2"/>
    <w:rsid w:val="00BF6248"/>
    <w:rsid w:val="00BF62CF"/>
    <w:rsid w:val="00BF64BF"/>
    <w:rsid w:val="00BF67F3"/>
    <w:rsid w:val="00BF68C8"/>
    <w:rsid w:val="00BF6E3D"/>
    <w:rsid w:val="00BF6F90"/>
    <w:rsid w:val="00BF7221"/>
    <w:rsid w:val="00BF739E"/>
    <w:rsid w:val="00BF73B1"/>
    <w:rsid w:val="00BF74A9"/>
    <w:rsid w:val="00BF7609"/>
    <w:rsid w:val="00BF7B9C"/>
    <w:rsid w:val="00C00202"/>
    <w:rsid w:val="00C0031A"/>
    <w:rsid w:val="00C00F12"/>
    <w:rsid w:val="00C0131B"/>
    <w:rsid w:val="00C0153C"/>
    <w:rsid w:val="00C016A3"/>
    <w:rsid w:val="00C01E68"/>
    <w:rsid w:val="00C02294"/>
    <w:rsid w:val="00C022EF"/>
    <w:rsid w:val="00C03043"/>
    <w:rsid w:val="00C031C9"/>
    <w:rsid w:val="00C034DB"/>
    <w:rsid w:val="00C03CB9"/>
    <w:rsid w:val="00C03E5B"/>
    <w:rsid w:val="00C03F54"/>
    <w:rsid w:val="00C044A8"/>
    <w:rsid w:val="00C047D1"/>
    <w:rsid w:val="00C04B54"/>
    <w:rsid w:val="00C05901"/>
    <w:rsid w:val="00C05BBD"/>
    <w:rsid w:val="00C05F13"/>
    <w:rsid w:val="00C05FE6"/>
    <w:rsid w:val="00C06093"/>
    <w:rsid w:val="00C0634B"/>
    <w:rsid w:val="00C0672C"/>
    <w:rsid w:val="00C0687B"/>
    <w:rsid w:val="00C06987"/>
    <w:rsid w:val="00C070DC"/>
    <w:rsid w:val="00C075C7"/>
    <w:rsid w:val="00C076A4"/>
    <w:rsid w:val="00C07CC9"/>
    <w:rsid w:val="00C07DDB"/>
    <w:rsid w:val="00C07EE3"/>
    <w:rsid w:val="00C105C4"/>
    <w:rsid w:val="00C1071F"/>
    <w:rsid w:val="00C10A0D"/>
    <w:rsid w:val="00C10ACB"/>
    <w:rsid w:val="00C10E94"/>
    <w:rsid w:val="00C110D8"/>
    <w:rsid w:val="00C113BB"/>
    <w:rsid w:val="00C117CB"/>
    <w:rsid w:val="00C118BA"/>
    <w:rsid w:val="00C11924"/>
    <w:rsid w:val="00C1258E"/>
    <w:rsid w:val="00C1308B"/>
    <w:rsid w:val="00C1339D"/>
    <w:rsid w:val="00C1344E"/>
    <w:rsid w:val="00C13AF2"/>
    <w:rsid w:val="00C13C56"/>
    <w:rsid w:val="00C14016"/>
    <w:rsid w:val="00C14543"/>
    <w:rsid w:val="00C146AD"/>
    <w:rsid w:val="00C14917"/>
    <w:rsid w:val="00C14989"/>
    <w:rsid w:val="00C15473"/>
    <w:rsid w:val="00C156F9"/>
    <w:rsid w:val="00C16257"/>
    <w:rsid w:val="00C162E6"/>
    <w:rsid w:val="00C16E86"/>
    <w:rsid w:val="00C17B40"/>
    <w:rsid w:val="00C17C16"/>
    <w:rsid w:val="00C20534"/>
    <w:rsid w:val="00C209B6"/>
    <w:rsid w:val="00C20BDE"/>
    <w:rsid w:val="00C21107"/>
    <w:rsid w:val="00C215EE"/>
    <w:rsid w:val="00C21904"/>
    <w:rsid w:val="00C21F04"/>
    <w:rsid w:val="00C221A0"/>
    <w:rsid w:val="00C222EA"/>
    <w:rsid w:val="00C22451"/>
    <w:rsid w:val="00C226ED"/>
    <w:rsid w:val="00C226EE"/>
    <w:rsid w:val="00C22B48"/>
    <w:rsid w:val="00C23166"/>
    <w:rsid w:val="00C23322"/>
    <w:rsid w:val="00C237FB"/>
    <w:rsid w:val="00C238D1"/>
    <w:rsid w:val="00C23B01"/>
    <w:rsid w:val="00C23CF7"/>
    <w:rsid w:val="00C23FE3"/>
    <w:rsid w:val="00C24D6C"/>
    <w:rsid w:val="00C250AC"/>
    <w:rsid w:val="00C2541C"/>
    <w:rsid w:val="00C25623"/>
    <w:rsid w:val="00C25C46"/>
    <w:rsid w:val="00C25D77"/>
    <w:rsid w:val="00C2605F"/>
    <w:rsid w:val="00C26832"/>
    <w:rsid w:val="00C271CA"/>
    <w:rsid w:val="00C27242"/>
    <w:rsid w:val="00C27739"/>
    <w:rsid w:val="00C279C3"/>
    <w:rsid w:val="00C279CC"/>
    <w:rsid w:val="00C27A70"/>
    <w:rsid w:val="00C30AB2"/>
    <w:rsid w:val="00C30E7B"/>
    <w:rsid w:val="00C311C3"/>
    <w:rsid w:val="00C31224"/>
    <w:rsid w:val="00C31235"/>
    <w:rsid w:val="00C316EC"/>
    <w:rsid w:val="00C31968"/>
    <w:rsid w:val="00C31AA7"/>
    <w:rsid w:val="00C31BF7"/>
    <w:rsid w:val="00C31E23"/>
    <w:rsid w:val="00C31F99"/>
    <w:rsid w:val="00C3223F"/>
    <w:rsid w:val="00C3254F"/>
    <w:rsid w:val="00C32685"/>
    <w:rsid w:val="00C326F9"/>
    <w:rsid w:val="00C32761"/>
    <w:rsid w:val="00C32D8F"/>
    <w:rsid w:val="00C32E11"/>
    <w:rsid w:val="00C332FF"/>
    <w:rsid w:val="00C33548"/>
    <w:rsid w:val="00C33613"/>
    <w:rsid w:val="00C33AFA"/>
    <w:rsid w:val="00C33B85"/>
    <w:rsid w:val="00C33F99"/>
    <w:rsid w:val="00C3407D"/>
    <w:rsid w:val="00C342D1"/>
    <w:rsid w:val="00C3450B"/>
    <w:rsid w:val="00C34A48"/>
    <w:rsid w:val="00C34A55"/>
    <w:rsid w:val="00C352F5"/>
    <w:rsid w:val="00C3577D"/>
    <w:rsid w:val="00C3594C"/>
    <w:rsid w:val="00C35A38"/>
    <w:rsid w:val="00C35A4D"/>
    <w:rsid w:val="00C35A9B"/>
    <w:rsid w:val="00C35C57"/>
    <w:rsid w:val="00C362CF"/>
    <w:rsid w:val="00C36FFC"/>
    <w:rsid w:val="00C370B7"/>
    <w:rsid w:val="00C372B0"/>
    <w:rsid w:val="00C37465"/>
    <w:rsid w:val="00C37A29"/>
    <w:rsid w:val="00C37D86"/>
    <w:rsid w:val="00C37F36"/>
    <w:rsid w:val="00C4031B"/>
    <w:rsid w:val="00C4057D"/>
    <w:rsid w:val="00C40731"/>
    <w:rsid w:val="00C40905"/>
    <w:rsid w:val="00C40B5D"/>
    <w:rsid w:val="00C4184C"/>
    <w:rsid w:val="00C41AF7"/>
    <w:rsid w:val="00C41E09"/>
    <w:rsid w:val="00C428F1"/>
    <w:rsid w:val="00C429C2"/>
    <w:rsid w:val="00C429D6"/>
    <w:rsid w:val="00C42A53"/>
    <w:rsid w:val="00C42EBD"/>
    <w:rsid w:val="00C4375F"/>
    <w:rsid w:val="00C43D81"/>
    <w:rsid w:val="00C44BED"/>
    <w:rsid w:val="00C453B4"/>
    <w:rsid w:val="00C457BE"/>
    <w:rsid w:val="00C45F04"/>
    <w:rsid w:val="00C46129"/>
    <w:rsid w:val="00C46489"/>
    <w:rsid w:val="00C4658F"/>
    <w:rsid w:val="00C468DC"/>
    <w:rsid w:val="00C47210"/>
    <w:rsid w:val="00C509DD"/>
    <w:rsid w:val="00C50CFE"/>
    <w:rsid w:val="00C50E86"/>
    <w:rsid w:val="00C515ED"/>
    <w:rsid w:val="00C51E62"/>
    <w:rsid w:val="00C52075"/>
    <w:rsid w:val="00C5220E"/>
    <w:rsid w:val="00C52F0E"/>
    <w:rsid w:val="00C530D7"/>
    <w:rsid w:val="00C539CC"/>
    <w:rsid w:val="00C54042"/>
    <w:rsid w:val="00C54196"/>
    <w:rsid w:val="00C5429C"/>
    <w:rsid w:val="00C54612"/>
    <w:rsid w:val="00C547AF"/>
    <w:rsid w:val="00C5480D"/>
    <w:rsid w:val="00C553FE"/>
    <w:rsid w:val="00C55550"/>
    <w:rsid w:val="00C5573D"/>
    <w:rsid w:val="00C56502"/>
    <w:rsid w:val="00C567E2"/>
    <w:rsid w:val="00C5687B"/>
    <w:rsid w:val="00C56A4C"/>
    <w:rsid w:val="00C56B8C"/>
    <w:rsid w:val="00C60195"/>
    <w:rsid w:val="00C60516"/>
    <w:rsid w:val="00C60774"/>
    <w:rsid w:val="00C60B36"/>
    <w:rsid w:val="00C60B3D"/>
    <w:rsid w:val="00C60D51"/>
    <w:rsid w:val="00C60E26"/>
    <w:rsid w:val="00C6112D"/>
    <w:rsid w:val="00C61382"/>
    <w:rsid w:val="00C61BD5"/>
    <w:rsid w:val="00C61C9A"/>
    <w:rsid w:val="00C627BD"/>
    <w:rsid w:val="00C628C6"/>
    <w:rsid w:val="00C63513"/>
    <w:rsid w:val="00C63721"/>
    <w:rsid w:val="00C637EC"/>
    <w:rsid w:val="00C6433F"/>
    <w:rsid w:val="00C6484D"/>
    <w:rsid w:val="00C64BBA"/>
    <w:rsid w:val="00C64F7C"/>
    <w:rsid w:val="00C65126"/>
    <w:rsid w:val="00C65378"/>
    <w:rsid w:val="00C654CC"/>
    <w:rsid w:val="00C6568F"/>
    <w:rsid w:val="00C65797"/>
    <w:rsid w:val="00C65A5C"/>
    <w:rsid w:val="00C65DC6"/>
    <w:rsid w:val="00C66387"/>
    <w:rsid w:val="00C664DD"/>
    <w:rsid w:val="00C66C7D"/>
    <w:rsid w:val="00C66E32"/>
    <w:rsid w:val="00C66F9F"/>
    <w:rsid w:val="00C67490"/>
    <w:rsid w:val="00C6779C"/>
    <w:rsid w:val="00C677E0"/>
    <w:rsid w:val="00C67C12"/>
    <w:rsid w:val="00C67FAD"/>
    <w:rsid w:val="00C7017B"/>
    <w:rsid w:val="00C701A5"/>
    <w:rsid w:val="00C70952"/>
    <w:rsid w:val="00C70D43"/>
    <w:rsid w:val="00C70D80"/>
    <w:rsid w:val="00C70ED1"/>
    <w:rsid w:val="00C70EFC"/>
    <w:rsid w:val="00C712E1"/>
    <w:rsid w:val="00C715E6"/>
    <w:rsid w:val="00C71688"/>
    <w:rsid w:val="00C721B3"/>
    <w:rsid w:val="00C725FD"/>
    <w:rsid w:val="00C728B1"/>
    <w:rsid w:val="00C72F51"/>
    <w:rsid w:val="00C7309C"/>
    <w:rsid w:val="00C736AD"/>
    <w:rsid w:val="00C73D3D"/>
    <w:rsid w:val="00C749C9"/>
    <w:rsid w:val="00C74BA7"/>
    <w:rsid w:val="00C74D63"/>
    <w:rsid w:val="00C7531D"/>
    <w:rsid w:val="00C7556E"/>
    <w:rsid w:val="00C75827"/>
    <w:rsid w:val="00C75C56"/>
    <w:rsid w:val="00C764CF"/>
    <w:rsid w:val="00C76638"/>
    <w:rsid w:val="00C76D62"/>
    <w:rsid w:val="00C76D8A"/>
    <w:rsid w:val="00C7712A"/>
    <w:rsid w:val="00C77197"/>
    <w:rsid w:val="00C775FF"/>
    <w:rsid w:val="00C77717"/>
    <w:rsid w:val="00C777B2"/>
    <w:rsid w:val="00C77C0F"/>
    <w:rsid w:val="00C77CB6"/>
    <w:rsid w:val="00C80179"/>
    <w:rsid w:val="00C80718"/>
    <w:rsid w:val="00C808C6"/>
    <w:rsid w:val="00C80B55"/>
    <w:rsid w:val="00C80F8F"/>
    <w:rsid w:val="00C82366"/>
    <w:rsid w:val="00C8286D"/>
    <w:rsid w:val="00C82960"/>
    <w:rsid w:val="00C829DA"/>
    <w:rsid w:val="00C83A52"/>
    <w:rsid w:val="00C83CC9"/>
    <w:rsid w:val="00C83CE3"/>
    <w:rsid w:val="00C83D0F"/>
    <w:rsid w:val="00C8440F"/>
    <w:rsid w:val="00C8450A"/>
    <w:rsid w:val="00C846B2"/>
    <w:rsid w:val="00C846F9"/>
    <w:rsid w:val="00C854F5"/>
    <w:rsid w:val="00C85953"/>
    <w:rsid w:val="00C85A4B"/>
    <w:rsid w:val="00C85B97"/>
    <w:rsid w:val="00C86051"/>
    <w:rsid w:val="00C861B6"/>
    <w:rsid w:val="00C8651E"/>
    <w:rsid w:val="00C86A99"/>
    <w:rsid w:val="00C86B42"/>
    <w:rsid w:val="00C87040"/>
    <w:rsid w:val="00C871E9"/>
    <w:rsid w:val="00C8751E"/>
    <w:rsid w:val="00C8759F"/>
    <w:rsid w:val="00C87E8C"/>
    <w:rsid w:val="00C87FE6"/>
    <w:rsid w:val="00C9062C"/>
    <w:rsid w:val="00C9075D"/>
    <w:rsid w:val="00C90DE5"/>
    <w:rsid w:val="00C91007"/>
    <w:rsid w:val="00C91053"/>
    <w:rsid w:val="00C9155E"/>
    <w:rsid w:val="00C9158A"/>
    <w:rsid w:val="00C91751"/>
    <w:rsid w:val="00C91953"/>
    <w:rsid w:val="00C91B16"/>
    <w:rsid w:val="00C91D08"/>
    <w:rsid w:val="00C920A2"/>
    <w:rsid w:val="00C921A7"/>
    <w:rsid w:val="00C92286"/>
    <w:rsid w:val="00C92C86"/>
    <w:rsid w:val="00C92CE1"/>
    <w:rsid w:val="00C92E81"/>
    <w:rsid w:val="00C932F3"/>
    <w:rsid w:val="00C939E1"/>
    <w:rsid w:val="00C93CE1"/>
    <w:rsid w:val="00C9410F"/>
    <w:rsid w:val="00C94183"/>
    <w:rsid w:val="00C9419E"/>
    <w:rsid w:val="00C94417"/>
    <w:rsid w:val="00C94822"/>
    <w:rsid w:val="00C9482A"/>
    <w:rsid w:val="00C94A14"/>
    <w:rsid w:val="00C94C57"/>
    <w:rsid w:val="00C94F87"/>
    <w:rsid w:val="00C9510A"/>
    <w:rsid w:val="00C957BF"/>
    <w:rsid w:val="00C95838"/>
    <w:rsid w:val="00C95AE1"/>
    <w:rsid w:val="00C96092"/>
    <w:rsid w:val="00C96400"/>
    <w:rsid w:val="00C96C29"/>
    <w:rsid w:val="00C96D5E"/>
    <w:rsid w:val="00C973ED"/>
    <w:rsid w:val="00C977AF"/>
    <w:rsid w:val="00C978CC"/>
    <w:rsid w:val="00C9798B"/>
    <w:rsid w:val="00CA0082"/>
    <w:rsid w:val="00CA02A0"/>
    <w:rsid w:val="00CA0B3F"/>
    <w:rsid w:val="00CA0FD4"/>
    <w:rsid w:val="00CA11CE"/>
    <w:rsid w:val="00CA1205"/>
    <w:rsid w:val="00CA121A"/>
    <w:rsid w:val="00CA140F"/>
    <w:rsid w:val="00CA1770"/>
    <w:rsid w:val="00CA1C66"/>
    <w:rsid w:val="00CA27BA"/>
    <w:rsid w:val="00CA2E76"/>
    <w:rsid w:val="00CA3025"/>
    <w:rsid w:val="00CA30C1"/>
    <w:rsid w:val="00CA342A"/>
    <w:rsid w:val="00CA39A0"/>
    <w:rsid w:val="00CA3CFD"/>
    <w:rsid w:val="00CA4C4C"/>
    <w:rsid w:val="00CA4CEA"/>
    <w:rsid w:val="00CA5B30"/>
    <w:rsid w:val="00CA5B6E"/>
    <w:rsid w:val="00CA5C98"/>
    <w:rsid w:val="00CA5CBF"/>
    <w:rsid w:val="00CA5D10"/>
    <w:rsid w:val="00CA640A"/>
    <w:rsid w:val="00CA671E"/>
    <w:rsid w:val="00CA6BBA"/>
    <w:rsid w:val="00CA752A"/>
    <w:rsid w:val="00CA7567"/>
    <w:rsid w:val="00CA7C24"/>
    <w:rsid w:val="00CA7F28"/>
    <w:rsid w:val="00CA7F5B"/>
    <w:rsid w:val="00CB005A"/>
    <w:rsid w:val="00CB10CA"/>
    <w:rsid w:val="00CB116A"/>
    <w:rsid w:val="00CB1249"/>
    <w:rsid w:val="00CB170B"/>
    <w:rsid w:val="00CB2228"/>
    <w:rsid w:val="00CB26AE"/>
    <w:rsid w:val="00CB289B"/>
    <w:rsid w:val="00CB292B"/>
    <w:rsid w:val="00CB2C97"/>
    <w:rsid w:val="00CB3CC7"/>
    <w:rsid w:val="00CB3CD1"/>
    <w:rsid w:val="00CB3DDE"/>
    <w:rsid w:val="00CB4541"/>
    <w:rsid w:val="00CB458B"/>
    <w:rsid w:val="00CB45CA"/>
    <w:rsid w:val="00CB4B5D"/>
    <w:rsid w:val="00CB4FC0"/>
    <w:rsid w:val="00CB5C45"/>
    <w:rsid w:val="00CB6333"/>
    <w:rsid w:val="00CB6925"/>
    <w:rsid w:val="00CB6EFF"/>
    <w:rsid w:val="00CB6F4F"/>
    <w:rsid w:val="00CB71F5"/>
    <w:rsid w:val="00CB7A8F"/>
    <w:rsid w:val="00CB7C92"/>
    <w:rsid w:val="00CB7FC2"/>
    <w:rsid w:val="00CC017F"/>
    <w:rsid w:val="00CC02E4"/>
    <w:rsid w:val="00CC0364"/>
    <w:rsid w:val="00CC05B5"/>
    <w:rsid w:val="00CC0E61"/>
    <w:rsid w:val="00CC1F9E"/>
    <w:rsid w:val="00CC23B5"/>
    <w:rsid w:val="00CC256B"/>
    <w:rsid w:val="00CC2F08"/>
    <w:rsid w:val="00CC2F87"/>
    <w:rsid w:val="00CC2FAB"/>
    <w:rsid w:val="00CC3824"/>
    <w:rsid w:val="00CC3CCA"/>
    <w:rsid w:val="00CC3DE4"/>
    <w:rsid w:val="00CC459B"/>
    <w:rsid w:val="00CC4C13"/>
    <w:rsid w:val="00CC5821"/>
    <w:rsid w:val="00CC5F5B"/>
    <w:rsid w:val="00CC6127"/>
    <w:rsid w:val="00CC6B6D"/>
    <w:rsid w:val="00CC6E7B"/>
    <w:rsid w:val="00CC7106"/>
    <w:rsid w:val="00CC73CA"/>
    <w:rsid w:val="00CD08B4"/>
    <w:rsid w:val="00CD0DAA"/>
    <w:rsid w:val="00CD0ECA"/>
    <w:rsid w:val="00CD1252"/>
    <w:rsid w:val="00CD166A"/>
    <w:rsid w:val="00CD1A9A"/>
    <w:rsid w:val="00CD207D"/>
    <w:rsid w:val="00CD20C9"/>
    <w:rsid w:val="00CD2575"/>
    <w:rsid w:val="00CD2623"/>
    <w:rsid w:val="00CD26EA"/>
    <w:rsid w:val="00CD3004"/>
    <w:rsid w:val="00CD3337"/>
    <w:rsid w:val="00CD395E"/>
    <w:rsid w:val="00CD3B72"/>
    <w:rsid w:val="00CD3F10"/>
    <w:rsid w:val="00CD401C"/>
    <w:rsid w:val="00CD4338"/>
    <w:rsid w:val="00CD4562"/>
    <w:rsid w:val="00CD4F3D"/>
    <w:rsid w:val="00CD5064"/>
    <w:rsid w:val="00CD5179"/>
    <w:rsid w:val="00CD53DA"/>
    <w:rsid w:val="00CD599A"/>
    <w:rsid w:val="00CD5BE7"/>
    <w:rsid w:val="00CD61EB"/>
    <w:rsid w:val="00CD64A4"/>
    <w:rsid w:val="00CD64CC"/>
    <w:rsid w:val="00CD6753"/>
    <w:rsid w:val="00CD690A"/>
    <w:rsid w:val="00CD6A81"/>
    <w:rsid w:val="00CD6FCC"/>
    <w:rsid w:val="00CD7082"/>
    <w:rsid w:val="00CD73F5"/>
    <w:rsid w:val="00CD74C7"/>
    <w:rsid w:val="00CD7ACF"/>
    <w:rsid w:val="00CD7CB2"/>
    <w:rsid w:val="00CD7D45"/>
    <w:rsid w:val="00CD7F44"/>
    <w:rsid w:val="00CE0193"/>
    <w:rsid w:val="00CE0423"/>
    <w:rsid w:val="00CE0A28"/>
    <w:rsid w:val="00CE0D96"/>
    <w:rsid w:val="00CE0F89"/>
    <w:rsid w:val="00CE12ED"/>
    <w:rsid w:val="00CE1A08"/>
    <w:rsid w:val="00CE1A63"/>
    <w:rsid w:val="00CE2092"/>
    <w:rsid w:val="00CE28B8"/>
    <w:rsid w:val="00CE2AB6"/>
    <w:rsid w:val="00CE3737"/>
    <w:rsid w:val="00CE380E"/>
    <w:rsid w:val="00CE3822"/>
    <w:rsid w:val="00CE3AA7"/>
    <w:rsid w:val="00CE3D8E"/>
    <w:rsid w:val="00CE40CD"/>
    <w:rsid w:val="00CE439A"/>
    <w:rsid w:val="00CE43AF"/>
    <w:rsid w:val="00CE44A2"/>
    <w:rsid w:val="00CE4573"/>
    <w:rsid w:val="00CE468A"/>
    <w:rsid w:val="00CE4739"/>
    <w:rsid w:val="00CE4808"/>
    <w:rsid w:val="00CE4D3A"/>
    <w:rsid w:val="00CE4DC5"/>
    <w:rsid w:val="00CE5034"/>
    <w:rsid w:val="00CE5739"/>
    <w:rsid w:val="00CE58F6"/>
    <w:rsid w:val="00CE6493"/>
    <w:rsid w:val="00CE64FD"/>
    <w:rsid w:val="00CE7039"/>
    <w:rsid w:val="00CE7236"/>
    <w:rsid w:val="00CE79A3"/>
    <w:rsid w:val="00CF0060"/>
    <w:rsid w:val="00CF02F0"/>
    <w:rsid w:val="00CF06A7"/>
    <w:rsid w:val="00CF08C6"/>
    <w:rsid w:val="00CF0C6A"/>
    <w:rsid w:val="00CF1429"/>
    <w:rsid w:val="00CF2006"/>
    <w:rsid w:val="00CF2133"/>
    <w:rsid w:val="00CF26E4"/>
    <w:rsid w:val="00CF2779"/>
    <w:rsid w:val="00CF27C8"/>
    <w:rsid w:val="00CF29F7"/>
    <w:rsid w:val="00CF2A92"/>
    <w:rsid w:val="00CF2AB4"/>
    <w:rsid w:val="00CF2AD2"/>
    <w:rsid w:val="00CF326B"/>
    <w:rsid w:val="00CF32EE"/>
    <w:rsid w:val="00CF3378"/>
    <w:rsid w:val="00CF3BC9"/>
    <w:rsid w:val="00CF3DD3"/>
    <w:rsid w:val="00CF4058"/>
    <w:rsid w:val="00CF4465"/>
    <w:rsid w:val="00CF495E"/>
    <w:rsid w:val="00CF4BC6"/>
    <w:rsid w:val="00CF5730"/>
    <w:rsid w:val="00CF5F6A"/>
    <w:rsid w:val="00CF6138"/>
    <w:rsid w:val="00CF68D1"/>
    <w:rsid w:val="00CF69B9"/>
    <w:rsid w:val="00CF6F46"/>
    <w:rsid w:val="00CF74D1"/>
    <w:rsid w:val="00CF7795"/>
    <w:rsid w:val="00CF7F06"/>
    <w:rsid w:val="00D00456"/>
    <w:rsid w:val="00D00C60"/>
    <w:rsid w:val="00D01189"/>
    <w:rsid w:val="00D0141B"/>
    <w:rsid w:val="00D014FD"/>
    <w:rsid w:val="00D01615"/>
    <w:rsid w:val="00D0219E"/>
    <w:rsid w:val="00D02433"/>
    <w:rsid w:val="00D028F9"/>
    <w:rsid w:val="00D02B57"/>
    <w:rsid w:val="00D02F4B"/>
    <w:rsid w:val="00D03521"/>
    <w:rsid w:val="00D0352E"/>
    <w:rsid w:val="00D03815"/>
    <w:rsid w:val="00D038C1"/>
    <w:rsid w:val="00D03962"/>
    <w:rsid w:val="00D03E45"/>
    <w:rsid w:val="00D04C06"/>
    <w:rsid w:val="00D04FC9"/>
    <w:rsid w:val="00D057E4"/>
    <w:rsid w:val="00D0582C"/>
    <w:rsid w:val="00D06614"/>
    <w:rsid w:val="00D06A56"/>
    <w:rsid w:val="00D06F40"/>
    <w:rsid w:val="00D0732D"/>
    <w:rsid w:val="00D07346"/>
    <w:rsid w:val="00D073A2"/>
    <w:rsid w:val="00D074AC"/>
    <w:rsid w:val="00D07C99"/>
    <w:rsid w:val="00D07EF6"/>
    <w:rsid w:val="00D1021C"/>
    <w:rsid w:val="00D10655"/>
    <w:rsid w:val="00D10868"/>
    <w:rsid w:val="00D1098C"/>
    <w:rsid w:val="00D10CE5"/>
    <w:rsid w:val="00D10DBC"/>
    <w:rsid w:val="00D10DF0"/>
    <w:rsid w:val="00D10F14"/>
    <w:rsid w:val="00D10F72"/>
    <w:rsid w:val="00D113E7"/>
    <w:rsid w:val="00D11418"/>
    <w:rsid w:val="00D117E6"/>
    <w:rsid w:val="00D11849"/>
    <w:rsid w:val="00D11DE8"/>
    <w:rsid w:val="00D1203A"/>
    <w:rsid w:val="00D122F8"/>
    <w:rsid w:val="00D1237A"/>
    <w:rsid w:val="00D12797"/>
    <w:rsid w:val="00D1289E"/>
    <w:rsid w:val="00D12935"/>
    <w:rsid w:val="00D12BF5"/>
    <w:rsid w:val="00D12BFE"/>
    <w:rsid w:val="00D13152"/>
    <w:rsid w:val="00D133B9"/>
    <w:rsid w:val="00D1345F"/>
    <w:rsid w:val="00D1347D"/>
    <w:rsid w:val="00D13959"/>
    <w:rsid w:val="00D13E1B"/>
    <w:rsid w:val="00D1442C"/>
    <w:rsid w:val="00D14520"/>
    <w:rsid w:val="00D15073"/>
    <w:rsid w:val="00D15113"/>
    <w:rsid w:val="00D15433"/>
    <w:rsid w:val="00D15941"/>
    <w:rsid w:val="00D15A2A"/>
    <w:rsid w:val="00D15B31"/>
    <w:rsid w:val="00D15B76"/>
    <w:rsid w:val="00D15B7C"/>
    <w:rsid w:val="00D15B7D"/>
    <w:rsid w:val="00D15D65"/>
    <w:rsid w:val="00D15DAC"/>
    <w:rsid w:val="00D15F93"/>
    <w:rsid w:val="00D16581"/>
    <w:rsid w:val="00D1672F"/>
    <w:rsid w:val="00D16BE6"/>
    <w:rsid w:val="00D16E2A"/>
    <w:rsid w:val="00D16F6F"/>
    <w:rsid w:val="00D16F74"/>
    <w:rsid w:val="00D1765C"/>
    <w:rsid w:val="00D17714"/>
    <w:rsid w:val="00D1787D"/>
    <w:rsid w:val="00D17B08"/>
    <w:rsid w:val="00D17DC4"/>
    <w:rsid w:val="00D17E40"/>
    <w:rsid w:val="00D17ECD"/>
    <w:rsid w:val="00D20168"/>
    <w:rsid w:val="00D201FC"/>
    <w:rsid w:val="00D20266"/>
    <w:rsid w:val="00D20780"/>
    <w:rsid w:val="00D20805"/>
    <w:rsid w:val="00D209C9"/>
    <w:rsid w:val="00D20B6A"/>
    <w:rsid w:val="00D20B78"/>
    <w:rsid w:val="00D20F80"/>
    <w:rsid w:val="00D210F5"/>
    <w:rsid w:val="00D21367"/>
    <w:rsid w:val="00D2163D"/>
    <w:rsid w:val="00D21DA2"/>
    <w:rsid w:val="00D21F07"/>
    <w:rsid w:val="00D22303"/>
    <w:rsid w:val="00D22E79"/>
    <w:rsid w:val="00D23010"/>
    <w:rsid w:val="00D23225"/>
    <w:rsid w:val="00D23397"/>
    <w:rsid w:val="00D236C3"/>
    <w:rsid w:val="00D23851"/>
    <w:rsid w:val="00D238B6"/>
    <w:rsid w:val="00D23E87"/>
    <w:rsid w:val="00D23F3B"/>
    <w:rsid w:val="00D2418A"/>
    <w:rsid w:val="00D24A0C"/>
    <w:rsid w:val="00D24BDC"/>
    <w:rsid w:val="00D24DA5"/>
    <w:rsid w:val="00D2563C"/>
    <w:rsid w:val="00D25AC9"/>
    <w:rsid w:val="00D25D38"/>
    <w:rsid w:val="00D25E25"/>
    <w:rsid w:val="00D25F4A"/>
    <w:rsid w:val="00D26363"/>
    <w:rsid w:val="00D26EB7"/>
    <w:rsid w:val="00D26EEC"/>
    <w:rsid w:val="00D27204"/>
    <w:rsid w:val="00D274B4"/>
    <w:rsid w:val="00D27D58"/>
    <w:rsid w:val="00D3034C"/>
    <w:rsid w:val="00D303C9"/>
    <w:rsid w:val="00D30622"/>
    <w:rsid w:val="00D30791"/>
    <w:rsid w:val="00D308E6"/>
    <w:rsid w:val="00D30B84"/>
    <w:rsid w:val="00D30DF4"/>
    <w:rsid w:val="00D30F00"/>
    <w:rsid w:val="00D30F35"/>
    <w:rsid w:val="00D313CD"/>
    <w:rsid w:val="00D314A7"/>
    <w:rsid w:val="00D315E2"/>
    <w:rsid w:val="00D31C70"/>
    <w:rsid w:val="00D31E3E"/>
    <w:rsid w:val="00D3220E"/>
    <w:rsid w:val="00D32F8A"/>
    <w:rsid w:val="00D330CA"/>
    <w:rsid w:val="00D3316D"/>
    <w:rsid w:val="00D3331F"/>
    <w:rsid w:val="00D33484"/>
    <w:rsid w:val="00D3370F"/>
    <w:rsid w:val="00D3399E"/>
    <w:rsid w:val="00D339CD"/>
    <w:rsid w:val="00D33A34"/>
    <w:rsid w:val="00D3434B"/>
    <w:rsid w:val="00D347AE"/>
    <w:rsid w:val="00D34BE9"/>
    <w:rsid w:val="00D351DE"/>
    <w:rsid w:val="00D35237"/>
    <w:rsid w:val="00D35D34"/>
    <w:rsid w:val="00D35E0A"/>
    <w:rsid w:val="00D3617A"/>
    <w:rsid w:val="00D36249"/>
    <w:rsid w:val="00D362E5"/>
    <w:rsid w:val="00D3714F"/>
    <w:rsid w:val="00D37882"/>
    <w:rsid w:val="00D3795C"/>
    <w:rsid w:val="00D37C07"/>
    <w:rsid w:val="00D37CDD"/>
    <w:rsid w:val="00D37D20"/>
    <w:rsid w:val="00D37E14"/>
    <w:rsid w:val="00D37F50"/>
    <w:rsid w:val="00D40327"/>
    <w:rsid w:val="00D40E05"/>
    <w:rsid w:val="00D4132A"/>
    <w:rsid w:val="00D4135E"/>
    <w:rsid w:val="00D4151F"/>
    <w:rsid w:val="00D41BC3"/>
    <w:rsid w:val="00D41BFA"/>
    <w:rsid w:val="00D4233E"/>
    <w:rsid w:val="00D42507"/>
    <w:rsid w:val="00D42A99"/>
    <w:rsid w:val="00D42BF6"/>
    <w:rsid w:val="00D42D2F"/>
    <w:rsid w:val="00D42DA3"/>
    <w:rsid w:val="00D42F39"/>
    <w:rsid w:val="00D437BD"/>
    <w:rsid w:val="00D43FB6"/>
    <w:rsid w:val="00D443A7"/>
    <w:rsid w:val="00D44D93"/>
    <w:rsid w:val="00D44E58"/>
    <w:rsid w:val="00D44F26"/>
    <w:rsid w:val="00D45267"/>
    <w:rsid w:val="00D4571E"/>
    <w:rsid w:val="00D45778"/>
    <w:rsid w:val="00D45D26"/>
    <w:rsid w:val="00D45D8F"/>
    <w:rsid w:val="00D464F1"/>
    <w:rsid w:val="00D46687"/>
    <w:rsid w:val="00D466AE"/>
    <w:rsid w:val="00D46C60"/>
    <w:rsid w:val="00D46D9F"/>
    <w:rsid w:val="00D46ECB"/>
    <w:rsid w:val="00D46FD9"/>
    <w:rsid w:val="00D47463"/>
    <w:rsid w:val="00D477A2"/>
    <w:rsid w:val="00D47B10"/>
    <w:rsid w:val="00D47CF4"/>
    <w:rsid w:val="00D47EA7"/>
    <w:rsid w:val="00D505AC"/>
    <w:rsid w:val="00D5126A"/>
    <w:rsid w:val="00D5137D"/>
    <w:rsid w:val="00D5178D"/>
    <w:rsid w:val="00D51AC4"/>
    <w:rsid w:val="00D525B3"/>
    <w:rsid w:val="00D52695"/>
    <w:rsid w:val="00D52753"/>
    <w:rsid w:val="00D5286F"/>
    <w:rsid w:val="00D52AFB"/>
    <w:rsid w:val="00D52D49"/>
    <w:rsid w:val="00D53104"/>
    <w:rsid w:val="00D534DB"/>
    <w:rsid w:val="00D536F7"/>
    <w:rsid w:val="00D53AB7"/>
    <w:rsid w:val="00D54403"/>
    <w:rsid w:val="00D54744"/>
    <w:rsid w:val="00D54F22"/>
    <w:rsid w:val="00D554C4"/>
    <w:rsid w:val="00D5558F"/>
    <w:rsid w:val="00D56AB6"/>
    <w:rsid w:val="00D56AFA"/>
    <w:rsid w:val="00D57197"/>
    <w:rsid w:val="00D5781C"/>
    <w:rsid w:val="00D579A4"/>
    <w:rsid w:val="00D57A37"/>
    <w:rsid w:val="00D60089"/>
    <w:rsid w:val="00D6038F"/>
    <w:rsid w:val="00D6040F"/>
    <w:rsid w:val="00D60649"/>
    <w:rsid w:val="00D60692"/>
    <w:rsid w:val="00D606CD"/>
    <w:rsid w:val="00D60768"/>
    <w:rsid w:val="00D60909"/>
    <w:rsid w:val="00D60AB4"/>
    <w:rsid w:val="00D615C5"/>
    <w:rsid w:val="00D61E88"/>
    <w:rsid w:val="00D61F3E"/>
    <w:rsid w:val="00D61F91"/>
    <w:rsid w:val="00D61FA6"/>
    <w:rsid w:val="00D62673"/>
    <w:rsid w:val="00D62C93"/>
    <w:rsid w:val="00D62F80"/>
    <w:rsid w:val="00D62FAF"/>
    <w:rsid w:val="00D63189"/>
    <w:rsid w:val="00D63B1A"/>
    <w:rsid w:val="00D64E73"/>
    <w:rsid w:val="00D65B0B"/>
    <w:rsid w:val="00D65BE1"/>
    <w:rsid w:val="00D65E8B"/>
    <w:rsid w:val="00D6650A"/>
    <w:rsid w:val="00D6698A"/>
    <w:rsid w:val="00D66C5B"/>
    <w:rsid w:val="00D66FAE"/>
    <w:rsid w:val="00D66FB7"/>
    <w:rsid w:val="00D676CF"/>
    <w:rsid w:val="00D6783D"/>
    <w:rsid w:val="00D67CFA"/>
    <w:rsid w:val="00D67D75"/>
    <w:rsid w:val="00D7005E"/>
    <w:rsid w:val="00D704B6"/>
    <w:rsid w:val="00D704CC"/>
    <w:rsid w:val="00D71244"/>
    <w:rsid w:val="00D7125F"/>
    <w:rsid w:val="00D71619"/>
    <w:rsid w:val="00D71A28"/>
    <w:rsid w:val="00D71B69"/>
    <w:rsid w:val="00D71CF1"/>
    <w:rsid w:val="00D72312"/>
    <w:rsid w:val="00D727FB"/>
    <w:rsid w:val="00D72F93"/>
    <w:rsid w:val="00D736BD"/>
    <w:rsid w:val="00D73933"/>
    <w:rsid w:val="00D749F0"/>
    <w:rsid w:val="00D74D7E"/>
    <w:rsid w:val="00D75041"/>
    <w:rsid w:val="00D75BF2"/>
    <w:rsid w:val="00D75D26"/>
    <w:rsid w:val="00D76407"/>
    <w:rsid w:val="00D77380"/>
    <w:rsid w:val="00D77E1C"/>
    <w:rsid w:val="00D801FE"/>
    <w:rsid w:val="00D8062B"/>
    <w:rsid w:val="00D80683"/>
    <w:rsid w:val="00D808CC"/>
    <w:rsid w:val="00D80D0F"/>
    <w:rsid w:val="00D80F29"/>
    <w:rsid w:val="00D8117B"/>
    <w:rsid w:val="00D81815"/>
    <w:rsid w:val="00D81C7E"/>
    <w:rsid w:val="00D820A7"/>
    <w:rsid w:val="00D82107"/>
    <w:rsid w:val="00D82270"/>
    <w:rsid w:val="00D829D2"/>
    <w:rsid w:val="00D83673"/>
    <w:rsid w:val="00D83923"/>
    <w:rsid w:val="00D83AA5"/>
    <w:rsid w:val="00D84EFF"/>
    <w:rsid w:val="00D85374"/>
    <w:rsid w:val="00D85B4B"/>
    <w:rsid w:val="00D85B7C"/>
    <w:rsid w:val="00D85D48"/>
    <w:rsid w:val="00D85D8A"/>
    <w:rsid w:val="00D86021"/>
    <w:rsid w:val="00D863CC"/>
    <w:rsid w:val="00D86473"/>
    <w:rsid w:val="00D86597"/>
    <w:rsid w:val="00D8690F"/>
    <w:rsid w:val="00D86E15"/>
    <w:rsid w:val="00D86F65"/>
    <w:rsid w:val="00D871A1"/>
    <w:rsid w:val="00D87207"/>
    <w:rsid w:val="00D8726A"/>
    <w:rsid w:val="00D87909"/>
    <w:rsid w:val="00D87BB8"/>
    <w:rsid w:val="00D87DB1"/>
    <w:rsid w:val="00D87EC8"/>
    <w:rsid w:val="00D905F5"/>
    <w:rsid w:val="00D9088C"/>
    <w:rsid w:val="00D9130F"/>
    <w:rsid w:val="00D9277B"/>
    <w:rsid w:val="00D929B5"/>
    <w:rsid w:val="00D92C81"/>
    <w:rsid w:val="00D92E21"/>
    <w:rsid w:val="00D9330F"/>
    <w:rsid w:val="00D937FC"/>
    <w:rsid w:val="00D9380B"/>
    <w:rsid w:val="00D9391C"/>
    <w:rsid w:val="00D93EAD"/>
    <w:rsid w:val="00D9419D"/>
    <w:rsid w:val="00D942D6"/>
    <w:rsid w:val="00D94617"/>
    <w:rsid w:val="00D947EC"/>
    <w:rsid w:val="00D9488D"/>
    <w:rsid w:val="00D94DA9"/>
    <w:rsid w:val="00D94F48"/>
    <w:rsid w:val="00D95AED"/>
    <w:rsid w:val="00D95FBE"/>
    <w:rsid w:val="00D9600A"/>
    <w:rsid w:val="00D9600C"/>
    <w:rsid w:val="00D96832"/>
    <w:rsid w:val="00D96C9F"/>
    <w:rsid w:val="00D96F65"/>
    <w:rsid w:val="00D971B0"/>
    <w:rsid w:val="00D974E5"/>
    <w:rsid w:val="00D975AA"/>
    <w:rsid w:val="00D97743"/>
    <w:rsid w:val="00DA0468"/>
    <w:rsid w:val="00DA052A"/>
    <w:rsid w:val="00DA071C"/>
    <w:rsid w:val="00DA094B"/>
    <w:rsid w:val="00DA136C"/>
    <w:rsid w:val="00DA16C6"/>
    <w:rsid w:val="00DA17E0"/>
    <w:rsid w:val="00DA1884"/>
    <w:rsid w:val="00DA189E"/>
    <w:rsid w:val="00DA1D10"/>
    <w:rsid w:val="00DA1D44"/>
    <w:rsid w:val="00DA2BEF"/>
    <w:rsid w:val="00DA2FB4"/>
    <w:rsid w:val="00DA3017"/>
    <w:rsid w:val="00DA3120"/>
    <w:rsid w:val="00DA3432"/>
    <w:rsid w:val="00DA3673"/>
    <w:rsid w:val="00DA3ACB"/>
    <w:rsid w:val="00DA3BF0"/>
    <w:rsid w:val="00DA3CE8"/>
    <w:rsid w:val="00DA3FCA"/>
    <w:rsid w:val="00DA4B1B"/>
    <w:rsid w:val="00DA4D8F"/>
    <w:rsid w:val="00DA4F18"/>
    <w:rsid w:val="00DA4F2F"/>
    <w:rsid w:val="00DA503A"/>
    <w:rsid w:val="00DA530D"/>
    <w:rsid w:val="00DA5484"/>
    <w:rsid w:val="00DA593E"/>
    <w:rsid w:val="00DA60FE"/>
    <w:rsid w:val="00DA63FE"/>
    <w:rsid w:val="00DA64DA"/>
    <w:rsid w:val="00DA67B6"/>
    <w:rsid w:val="00DA69AF"/>
    <w:rsid w:val="00DA71F7"/>
    <w:rsid w:val="00DA75B7"/>
    <w:rsid w:val="00DA7D73"/>
    <w:rsid w:val="00DA7E2E"/>
    <w:rsid w:val="00DB01A3"/>
    <w:rsid w:val="00DB03D4"/>
    <w:rsid w:val="00DB03F3"/>
    <w:rsid w:val="00DB08F4"/>
    <w:rsid w:val="00DB0D9A"/>
    <w:rsid w:val="00DB0FE0"/>
    <w:rsid w:val="00DB1014"/>
    <w:rsid w:val="00DB1331"/>
    <w:rsid w:val="00DB1EE0"/>
    <w:rsid w:val="00DB21AE"/>
    <w:rsid w:val="00DB234D"/>
    <w:rsid w:val="00DB2872"/>
    <w:rsid w:val="00DB294E"/>
    <w:rsid w:val="00DB299F"/>
    <w:rsid w:val="00DB3072"/>
    <w:rsid w:val="00DB42C1"/>
    <w:rsid w:val="00DB49B1"/>
    <w:rsid w:val="00DB4A2E"/>
    <w:rsid w:val="00DB4BE8"/>
    <w:rsid w:val="00DB4E21"/>
    <w:rsid w:val="00DB533F"/>
    <w:rsid w:val="00DB63CF"/>
    <w:rsid w:val="00DB655D"/>
    <w:rsid w:val="00DB66B7"/>
    <w:rsid w:val="00DB67C7"/>
    <w:rsid w:val="00DB6E57"/>
    <w:rsid w:val="00DB703E"/>
    <w:rsid w:val="00DB72AB"/>
    <w:rsid w:val="00DB7465"/>
    <w:rsid w:val="00DB7703"/>
    <w:rsid w:val="00DB7863"/>
    <w:rsid w:val="00DB7C11"/>
    <w:rsid w:val="00DB7E8D"/>
    <w:rsid w:val="00DB7F1A"/>
    <w:rsid w:val="00DC00DC"/>
    <w:rsid w:val="00DC01BB"/>
    <w:rsid w:val="00DC0482"/>
    <w:rsid w:val="00DC0704"/>
    <w:rsid w:val="00DC0760"/>
    <w:rsid w:val="00DC0875"/>
    <w:rsid w:val="00DC1012"/>
    <w:rsid w:val="00DC1017"/>
    <w:rsid w:val="00DC1795"/>
    <w:rsid w:val="00DC18D8"/>
    <w:rsid w:val="00DC1B37"/>
    <w:rsid w:val="00DC1DD0"/>
    <w:rsid w:val="00DC1FF4"/>
    <w:rsid w:val="00DC20B1"/>
    <w:rsid w:val="00DC23DD"/>
    <w:rsid w:val="00DC25BD"/>
    <w:rsid w:val="00DC2812"/>
    <w:rsid w:val="00DC3090"/>
    <w:rsid w:val="00DC36A9"/>
    <w:rsid w:val="00DC4088"/>
    <w:rsid w:val="00DC42FF"/>
    <w:rsid w:val="00DC4386"/>
    <w:rsid w:val="00DC4415"/>
    <w:rsid w:val="00DC4429"/>
    <w:rsid w:val="00DC475C"/>
    <w:rsid w:val="00DC4812"/>
    <w:rsid w:val="00DC4A73"/>
    <w:rsid w:val="00DC4DC7"/>
    <w:rsid w:val="00DC4FA3"/>
    <w:rsid w:val="00DC527F"/>
    <w:rsid w:val="00DC5BDB"/>
    <w:rsid w:val="00DC5C31"/>
    <w:rsid w:val="00DC5DFF"/>
    <w:rsid w:val="00DC5F7B"/>
    <w:rsid w:val="00DC6508"/>
    <w:rsid w:val="00DC6685"/>
    <w:rsid w:val="00DC6964"/>
    <w:rsid w:val="00DC6B9A"/>
    <w:rsid w:val="00DC703C"/>
    <w:rsid w:val="00DC73B2"/>
    <w:rsid w:val="00DC74CB"/>
    <w:rsid w:val="00DC74D3"/>
    <w:rsid w:val="00DC7883"/>
    <w:rsid w:val="00DC79D9"/>
    <w:rsid w:val="00DC7F09"/>
    <w:rsid w:val="00DC7F7B"/>
    <w:rsid w:val="00DD002F"/>
    <w:rsid w:val="00DD0266"/>
    <w:rsid w:val="00DD02F4"/>
    <w:rsid w:val="00DD057D"/>
    <w:rsid w:val="00DD134A"/>
    <w:rsid w:val="00DD13AD"/>
    <w:rsid w:val="00DD1AA0"/>
    <w:rsid w:val="00DD2649"/>
    <w:rsid w:val="00DD2826"/>
    <w:rsid w:val="00DD29FC"/>
    <w:rsid w:val="00DD2B1B"/>
    <w:rsid w:val="00DD2F8E"/>
    <w:rsid w:val="00DD2FAE"/>
    <w:rsid w:val="00DD31D2"/>
    <w:rsid w:val="00DD3290"/>
    <w:rsid w:val="00DD32F8"/>
    <w:rsid w:val="00DD3B63"/>
    <w:rsid w:val="00DD4477"/>
    <w:rsid w:val="00DD453F"/>
    <w:rsid w:val="00DD4A37"/>
    <w:rsid w:val="00DD5118"/>
    <w:rsid w:val="00DD5565"/>
    <w:rsid w:val="00DD5749"/>
    <w:rsid w:val="00DD620B"/>
    <w:rsid w:val="00DD6473"/>
    <w:rsid w:val="00DD65DA"/>
    <w:rsid w:val="00DD672C"/>
    <w:rsid w:val="00DD6C10"/>
    <w:rsid w:val="00DD6E0E"/>
    <w:rsid w:val="00DD70A0"/>
    <w:rsid w:val="00DD7D18"/>
    <w:rsid w:val="00DD7FF9"/>
    <w:rsid w:val="00DE011F"/>
    <w:rsid w:val="00DE03AA"/>
    <w:rsid w:val="00DE0924"/>
    <w:rsid w:val="00DE1639"/>
    <w:rsid w:val="00DE199B"/>
    <w:rsid w:val="00DE1A2E"/>
    <w:rsid w:val="00DE1B6D"/>
    <w:rsid w:val="00DE2995"/>
    <w:rsid w:val="00DE2C64"/>
    <w:rsid w:val="00DE2D74"/>
    <w:rsid w:val="00DE32AF"/>
    <w:rsid w:val="00DE38D3"/>
    <w:rsid w:val="00DE38DD"/>
    <w:rsid w:val="00DE38F2"/>
    <w:rsid w:val="00DE39E2"/>
    <w:rsid w:val="00DE39F0"/>
    <w:rsid w:val="00DE3B43"/>
    <w:rsid w:val="00DE454E"/>
    <w:rsid w:val="00DE46B5"/>
    <w:rsid w:val="00DE4A3C"/>
    <w:rsid w:val="00DE538D"/>
    <w:rsid w:val="00DE5BAF"/>
    <w:rsid w:val="00DE64DA"/>
    <w:rsid w:val="00DE694D"/>
    <w:rsid w:val="00DE6A79"/>
    <w:rsid w:val="00DE6ACB"/>
    <w:rsid w:val="00DE788A"/>
    <w:rsid w:val="00DE79CB"/>
    <w:rsid w:val="00DE7C1C"/>
    <w:rsid w:val="00DE7CFE"/>
    <w:rsid w:val="00DF023C"/>
    <w:rsid w:val="00DF0604"/>
    <w:rsid w:val="00DF0A04"/>
    <w:rsid w:val="00DF0F5A"/>
    <w:rsid w:val="00DF1540"/>
    <w:rsid w:val="00DF155E"/>
    <w:rsid w:val="00DF21F1"/>
    <w:rsid w:val="00DF23CF"/>
    <w:rsid w:val="00DF287C"/>
    <w:rsid w:val="00DF29B3"/>
    <w:rsid w:val="00DF381D"/>
    <w:rsid w:val="00DF3A42"/>
    <w:rsid w:val="00DF4223"/>
    <w:rsid w:val="00DF42E5"/>
    <w:rsid w:val="00DF4356"/>
    <w:rsid w:val="00DF4E3E"/>
    <w:rsid w:val="00DF4E6C"/>
    <w:rsid w:val="00DF57D9"/>
    <w:rsid w:val="00DF5A91"/>
    <w:rsid w:val="00DF5B58"/>
    <w:rsid w:val="00DF5D97"/>
    <w:rsid w:val="00DF5E5F"/>
    <w:rsid w:val="00DF60B9"/>
    <w:rsid w:val="00DF63B7"/>
    <w:rsid w:val="00DF687E"/>
    <w:rsid w:val="00DF688C"/>
    <w:rsid w:val="00DF68DF"/>
    <w:rsid w:val="00DF6909"/>
    <w:rsid w:val="00DF712E"/>
    <w:rsid w:val="00DF7192"/>
    <w:rsid w:val="00DF7AD3"/>
    <w:rsid w:val="00DF7F43"/>
    <w:rsid w:val="00E001CB"/>
    <w:rsid w:val="00E0030C"/>
    <w:rsid w:val="00E00503"/>
    <w:rsid w:val="00E01082"/>
    <w:rsid w:val="00E010CD"/>
    <w:rsid w:val="00E01127"/>
    <w:rsid w:val="00E01C9E"/>
    <w:rsid w:val="00E01DB8"/>
    <w:rsid w:val="00E01F15"/>
    <w:rsid w:val="00E01FCD"/>
    <w:rsid w:val="00E0234B"/>
    <w:rsid w:val="00E02825"/>
    <w:rsid w:val="00E02A3F"/>
    <w:rsid w:val="00E02F94"/>
    <w:rsid w:val="00E0305F"/>
    <w:rsid w:val="00E0335D"/>
    <w:rsid w:val="00E039FE"/>
    <w:rsid w:val="00E03C52"/>
    <w:rsid w:val="00E041C1"/>
    <w:rsid w:val="00E04482"/>
    <w:rsid w:val="00E0453D"/>
    <w:rsid w:val="00E055C0"/>
    <w:rsid w:val="00E05FA6"/>
    <w:rsid w:val="00E06A99"/>
    <w:rsid w:val="00E06A9B"/>
    <w:rsid w:val="00E07073"/>
    <w:rsid w:val="00E073C6"/>
    <w:rsid w:val="00E0748F"/>
    <w:rsid w:val="00E07CB5"/>
    <w:rsid w:val="00E1046A"/>
    <w:rsid w:val="00E104C1"/>
    <w:rsid w:val="00E105BC"/>
    <w:rsid w:val="00E10FFC"/>
    <w:rsid w:val="00E115BF"/>
    <w:rsid w:val="00E117C0"/>
    <w:rsid w:val="00E11941"/>
    <w:rsid w:val="00E11AC2"/>
    <w:rsid w:val="00E122AD"/>
    <w:rsid w:val="00E124C8"/>
    <w:rsid w:val="00E1254C"/>
    <w:rsid w:val="00E128CB"/>
    <w:rsid w:val="00E12A52"/>
    <w:rsid w:val="00E12A9A"/>
    <w:rsid w:val="00E1313F"/>
    <w:rsid w:val="00E13B9A"/>
    <w:rsid w:val="00E13F6D"/>
    <w:rsid w:val="00E141F9"/>
    <w:rsid w:val="00E1423F"/>
    <w:rsid w:val="00E142E3"/>
    <w:rsid w:val="00E146E3"/>
    <w:rsid w:val="00E14A2A"/>
    <w:rsid w:val="00E15280"/>
    <w:rsid w:val="00E15365"/>
    <w:rsid w:val="00E1549F"/>
    <w:rsid w:val="00E1582D"/>
    <w:rsid w:val="00E15A2F"/>
    <w:rsid w:val="00E15BA3"/>
    <w:rsid w:val="00E15E31"/>
    <w:rsid w:val="00E162E5"/>
    <w:rsid w:val="00E16665"/>
    <w:rsid w:val="00E16FE0"/>
    <w:rsid w:val="00E172CE"/>
    <w:rsid w:val="00E17640"/>
    <w:rsid w:val="00E17779"/>
    <w:rsid w:val="00E17973"/>
    <w:rsid w:val="00E20083"/>
    <w:rsid w:val="00E202F1"/>
    <w:rsid w:val="00E20568"/>
    <w:rsid w:val="00E207D6"/>
    <w:rsid w:val="00E20A01"/>
    <w:rsid w:val="00E20C70"/>
    <w:rsid w:val="00E20CD4"/>
    <w:rsid w:val="00E20DA9"/>
    <w:rsid w:val="00E20E56"/>
    <w:rsid w:val="00E213D5"/>
    <w:rsid w:val="00E214C4"/>
    <w:rsid w:val="00E21642"/>
    <w:rsid w:val="00E2172D"/>
    <w:rsid w:val="00E21784"/>
    <w:rsid w:val="00E219D9"/>
    <w:rsid w:val="00E21DF0"/>
    <w:rsid w:val="00E21DF1"/>
    <w:rsid w:val="00E22936"/>
    <w:rsid w:val="00E22B62"/>
    <w:rsid w:val="00E22EF8"/>
    <w:rsid w:val="00E232D0"/>
    <w:rsid w:val="00E23559"/>
    <w:rsid w:val="00E23C2C"/>
    <w:rsid w:val="00E23EAA"/>
    <w:rsid w:val="00E24788"/>
    <w:rsid w:val="00E24BA4"/>
    <w:rsid w:val="00E25239"/>
    <w:rsid w:val="00E2544A"/>
    <w:rsid w:val="00E25474"/>
    <w:rsid w:val="00E254AB"/>
    <w:rsid w:val="00E255C2"/>
    <w:rsid w:val="00E25625"/>
    <w:rsid w:val="00E25794"/>
    <w:rsid w:val="00E25BCD"/>
    <w:rsid w:val="00E25D3E"/>
    <w:rsid w:val="00E2608B"/>
    <w:rsid w:val="00E263D4"/>
    <w:rsid w:val="00E264A4"/>
    <w:rsid w:val="00E26C20"/>
    <w:rsid w:val="00E26CE4"/>
    <w:rsid w:val="00E26D86"/>
    <w:rsid w:val="00E27048"/>
    <w:rsid w:val="00E2755C"/>
    <w:rsid w:val="00E276B9"/>
    <w:rsid w:val="00E27B3F"/>
    <w:rsid w:val="00E30001"/>
    <w:rsid w:val="00E305D6"/>
    <w:rsid w:val="00E30910"/>
    <w:rsid w:val="00E30C5B"/>
    <w:rsid w:val="00E30D54"/>
    <w:rsid w:val="00E30EAD"/>
    <w:rsid w:val="00E30EBD"/>
    <w:rsid w:val="00E3128C"/>
    <w:rsid w:val="00E31592"/>
    <w:rsid w:val="00E315CC"/>
    <w:rsid w:val="00E31BF5"/>
    <w:rsid w:val="00E320F2"/>
    <w:rsid w:val="00E32DFB"/>
    <w:rsid w:val="00E32EE5"/>
    <w:rsid w:val="00E32F93"/>
    <w:rsid w:val="00E3324E"/>
    <w:rsid w:val="00E333F2"/>
    <w:rsid w:val="00E33576"/>
    <w:rsid w:val="00E33A1C"/>
    <w:rsid w:val="00E33ADA"/>
    <w:rsid w:val="00E33B4F"/>
    <w:rsid w:val="00E33E30"/>
    <w:rsid w:val="00E33F2B"/>
    <w:rsid w:val="00E34194"/>
    <w:rsid w:val="00E343AF"/>
    <w:rsid w:val="00E347D3"/>
    <w:rsid w:val="00E34967"/>
    <w:rsid w:val="00E35241"/>
    <w:rsid w:val="00E36359"/>
    <w:rsid w:val="00E3648C"/>
    <w:rsid w:val="00E36529"/>
    <w:rsid w:val="00E36B40"/>
    <w:rsid w:val="00E36D18"/>
    <w:rsid w:val="00E379F7"/>
    <w:rsid w:val="00E37AD7"/>
    <w:rsid w:val="00E37B9F"/>
    <w:rsid w:val="00E37D23"/>
    <w:rsid w:val="00E4003E"/>
    <w:rsid w:val="00E4019E"/>
    <w:rsid w:val="00E40CBC"/>
    <w:rsid w:val="00E40E66"/>
    <w:rsid w:val="00E40F00"/>
    <w:rsid w:val="00E40F0E"/>
    <w:rsid w:val="00E40F8B"/>
    <w:rsid w:val="00E40FDD"/>
    <w:rsid w:val="00E4150A"/>
    <w:rsid w:val="00E41C89"/>
    <w:rsid w:val="00E41EA7"/>
    <w:rsid w:val="00E4285B"/>
    <w:rsid w:val="00E433A0"/>
    <w:rsid w:val="00E43876"/>
    <w:rsid w:val="00E43B21"/>
    <w:rsid w:val="00E43B3B"/>
    <w:rsid w:val="00E43B69"/>
    <w:rsid w:val="00E43C72"/>
    <w:rsid w:val="00E43E16"/>
    <w:rsid w:val="00E442E9"/>
    <w:rsid w:val="00E44BA9"/>
    <w:rsid w:val="00E44D6B"/>
    <w:rsid w:val="00E451D9"/>
    <w:rsid w:val="00E45768"/>
    <w:rsid w:val="00E4598A"/>
    <w:rsid w:val="00E45D14"/>
    <w:rsid w:val="00E45FE9"/>
    <w:rsid w:val="00E4661F"/>
    <w:rsid w:val="00E4671A"/>
    <w:rsid w:val="00E46B4B"/>
    <w:rsid w:val="00E46EB1"/>
    <w:rsid w:val="00E46EFC"/>
    <w:rsid w:val="00E47107"/>
    <w:rsid w:val="00E4733E"/>
    <w:rsid w:val="00E4787C"/>
    <w:rsid w:val="00E47DD9"/>
    <w:rsid w:val="00E50098"/>
    <w:rsid w:val="00E50621"/>
    <w:rsid w:val="00E5073F"/>
    <w:rsid w:val="00E50867"/>
    <w:rsid w:val="00E50D2A"/>
    <w:rsid w:val="00E5181D"/>
    <w:rsid w:val="00E51ACF"/>
    <w:rsid w:val="00E51EA3"/>
    <w:rsid w:val="00E52169"/>
    <w:rsid w:val="00E5226F"/>
    <w:rsid w:val="00E52B03"/>
    <w:rsid w:val="00E5313D"/>
    <w:rsid w:val="00E53143"/>
    <w:rsid w:val="00E53235"/>
    <w:rsid w:val="00E53405"/>
    <w:rsid w:val="00E536E8"/>
    <w:rsid w:val="00E53878"/>
    <w:rsid w:val="00E53B6B"/>
    <w:rsid w:val="00E53EDF"/>
    <w:rsid w:val="00E54773"/>
    <w:rsid w:val="00E54ACD"/>
    <w:rsid w:val="00E54B2B"/>
    <w:rsid w:val="00E551D4"/>
    <w:rsid w:val="00E55BD0"/>
    <w:rsid w:val="00E56563"/>
    <w:rsid w:val="00E5682C"/>
    <w:rsid w:val="00E56CFD"/>
    <w:rsid w:val="00E56D67"/>
    <w:rsid w:val="00E56FC6"/>
    <w:rsid w:val="00E57139"/>
    <w:rsid w:val="00E57222"/>
    <w:rsid w:val="00E573D1"/>
    <w:rsid w:val="00E57A64"/>
    <w:rsid w:val="00E6030D"/>
    <w:rsid w:val="00E60396"/>
    <w:rsid w:val="00E60B90"/>
    <w:rsid w:val="00E611E6"/>
    <w:rsid w:val="00E613F5"/>
    <w:rsid w:val="00E61632"/>
    <w:rsid w:val="00E616A0"/>
    <w:rsid w:val="00E6208C"/>
    <w:rsid w:val="00E62337"/>
    <w:rsid w:val="00E6242E"/>
    <w:rsid w:val="00E62F10"/>
    <w:rsid w:val="00E636CA"/>
    <w:rsid w:val="00E63A46"/>
    <w:rsid w:val="00E63FEC"/>
    <w:rsid w:val="00E6420E"/>
    <w:rsid w:val="00E644C9"/>
    <w:rsid w:val="00E649B1"/>
    <w:rsid w:val="00E64D41"/>
    <w:rsid w:val="00E64F75"/>
    <w:rsid w:val="00E65CF4"/>
    <w:rsid w:val="00E66063"/>
    <w:rsid w:val="00E66242"/>
    <w:rsid w:val="00E66411"/>
    <w:rsid w:val="00E66479"/>
    <w:rsid w:val="00E6679C"/>
    <w:rsid w:val="00E670DB"/>
    <w:rsid w:val="00E67613"/>
    <w:rsid w:val="00E67703"/>
    <w:rsid w:val="00E67DF1"/>
    <w:rsid w:val="00E70037"/>
    <w:rsid w:val="00E7005D"/>
    <w:rsid w:val="00E702A6"/>
    <w:rsid w:val="00E703F0"/>
    <w:rsid w:val="00E7056C"/>
    <w:rsid w:val="00E7084A"/>
    <w:rsid w:val="00E70BCB"/>
    <w:rsid w:val="00E70DD7"/>
    <w:rsid w:val="00E70FDF"/>
    <w:rsid w:val="00E7109E"/>
    <w:rsid w:val="00E71A4E"/>
    <w:rsid w:val="00E71AB7"/>
    <w:rsid w:val="00E71B58"/>
    <w:rsid w:val="00E71CDC"/>
    <w:rsid w:val="00E71E24"/>
    <w:rsid w:val="00E72529"/>
    <w:rsid w:val="00E726B7"/>
    <w:rsid w:val="00E727DD"/>
    <w:rsid w:val="00E72C89"/>
    <w:rsid w:val="00E72EE0"/>
    <w:rsid w:val="00E7313F"/>
    <w:rsid w:val="00E73217"/>
    <w:rsid w:val="00E7324A"/>
    <w:rsid w:val="00E73284"/>
    <w:rsid w:val="00E732E8"/>
    <w:rsid w:val="00E7350E"/>
    <w:rsid w:val="00E7356B"/>
    <w:rsid w:val="00E73869"/>
    <w:rsid w:val="00E73D61"/>
    <w:rsid w:val="00E74070"/>
    <w:rsid w:val="00E741FB"/>
    <w:rsid w:val="00E7478D"/>
    <w:rsid w:val="00E74A0F"/>
    <w:rsid w:val="00E74ADF"/>
    <w:rsid w:val="00E74EDF"/>
    <w:rsid w:val="00E758C8"/>
    <w:rsid w:val="00E75D11"/>
    <w:rsid w:val="00E76107"/>
    <w:rsid w:val="00E766AE"/>
    <w:rsid w:val="00E76B6F"/>
    <w:rsid w:val="00E76C9C"/>
    <w:rsid w:val="00E76F6A"/>
    <w:rsid w:val="00E77454"/>
    <w:rsid w:val="00E7758C"/>
    <w:rsid w:val="00E77696"/>
    <w:rsid w:val="00E77748"/>
    <w:rsid w:val="00E7795B"/>
    <w:rsid w:val="00E77AEA"/>
    <w:rsid w:val="00E77D43"/>
    <w:rsid w:val="00E80067"/>
    <w:rsid w:val="00E80373"/>
    <w:rsid w:val="00E80FBF"/>
    <w:rsid w:val="00E81259"/>
    <w:rsid w:val="00E818B1"/>
    <w:rsid w:val="00E81B6F"/>
    <w:rsid w:val="00E81E76"/>
    <w:rsid w:val="00E81F6C"/>
    <w:rsid w:val="00E82110"/>
    <w:rsid w:val="00E82151"/>
    <w:rsid w:val="00E822C7"/>
    <w:rsid w:val="00E8231F"/>
    <w:rsid w:val="00E82327"/>
    <w:rsid w:val="00E82AC9"/>
    <w:rsid w:val="00E82C30"/>
    <w:rsid w:val="00E82C85"/>
    <w:rsid w:val="00E83568"/>
    <w:rsid w:val="00E84024"/>
    <w:rsid w:val="00E84218"/>
    <w:rsid w:val="00E847C2"/>
    <w:rsid w:val="00E84C3E"/>
    <w:rsid w:val="00E85099"/>
    <w:rsid w:val="00E855BC"/>
    <w:rsid w:val="00E8574F"/>
    <w:rsid w:val="00E85877"/>
    <w:rsid w:val="00E85AAB"/>
    <w:rsid w:val="00E86438"/>
    <w:rsid w:val="00E864A1"/>
    <w:rsid w:val="00E86648"/>
    <w:rsid w:val="00E866E3"/>
    <w:rsid w:val="00E87806"/>
    <w:rsid w:val="00E8791C"/>
    <w:rsid w:val="00E87C19"/>
    <w:rsid w:val="00E900F8"/>
    <w:rsid w:val="00E902A6"/>
    <w:rsid w:val="00E90808"/>
    <w:rsid w:val="00E909DB"/>
    <w:rsid w:val="00E90C53"/>
    <w:rsid w:val="00E9126A"/>
    <w:rsid w:val="00E9148C"/>
    <w:rsid w:val="00E91A7E"/>
    <w:rsid w:val="00E91C94"/>
    <w:rsid w:val="00E91DB0"/>
    <w:rsid w:val="00E91FED"/>
    <w:rsid w:val="00E92403"/>
    <w:rsid w:val="00E9241F"/>
    <w:rsid w:val="00E9246B"/>
    <w:rsid w:val="00E92547"/>
    <w:rsid w:val="00E9296C"/>
    <w:rsid w:val="00E929A9"/>
    <w:rsid w:val="00E92A52"/>
    <w:rsid w:val="00E92CEF"/>
    <w:rsid w:val="00E93008"/>
    <w:rsid w:val="00E937E1"/>
    <w:rsid w:val="00E93986"/>
    <w:rsid w:val="00E93C67"/>
    <w:rsid w:val="00E93DE9"/>
    <w:rsid w:val="00E94267"/>
    <w:rsid w:val="00E94431"/>
    <w:rsid w:val="00E944C9"/>
    <w:rsid w:val="00E94654"/>
    <w:rsid w:val="00E948C4"/>
    <w:rsid w:val="00E9497E"/>
    <w:rsid w:val="00E94ABA"/>
    <w:rsid w:val="00E94C85"/>
    <w:rsid w:val="00E94CAB"/>
    <w:rsid w:val="00E957F0"/>
    <w:rsid w:val="00E96063"/>
    <w:rsid w:val="00E962A5"/>
    <w:rsid w:val="00E962D5"/>
    <w:rsid w:val="00E964CD"/>
    <w:rsid w:val="00E97184"/>
    <w:rsid w:val="00E978BD"/>
    <w:rsid w:val="00E97CC5"/>
    <w:rsid w:val="00EA0119"/>
    <w:rsid w:val="00EA0261"/>
    <w:rsid w:val="00EA02BA"/>
    <w:rsid w:val="00EA0328"/>
    <w:rsid w:val="00EA06C3"/>
    <w:rsid w:val="00EA0A58"/>
    <w:rsid w:val="00EA0EF0"/>
    <w:rsid w:val="00EA0FCA"/>
    <w:rsid w:val="00EA133F"/>
    <w:rsid w:val="00EA142F"/>
    <w:rsid w:val="00EA155C"/>
    <w:rsid w:val="00EA1943"/>
    <w:rsid w:val="00EA19A4"/>
    <w:rsid w:val="00EA1D58"/>
    <w:rsid w:val="00EA233D"/>
    <w:rsid w:val="00EA24E8"/>
    <w:rsid w:val="00EA3287"/>
    <w:rsid w:val="00EA34DA"/>
    <w:rsid w:val="00EA3880"/>
    <w:rsid w:val="00EA39E3"/>
    <w:rsid w:val="00EA418D"/>
    <w:rsid w:val="00EA4285"/>
    <w:rsid w:val="00EA4552"/>
    <w:rsid w:val="00EA4785"/>
    <w:rsid w:val="00EA4993"/>
    <w:rsid w:val="00EA4CCC"/>
    <w:rsid w:val="00EA4D06"/>
    <w:rsid w:val="00EA4D2D"/>
    <w:rsid w:val="00EA4EE3"/>
    <w:rsid w:val="00EA4F82"/>
    <w:rsid w:val="00EA5775"/>
    <w:rsid w:val="00EA5E90"/>
    <w:rsid w:val="00EA5F50"/>
    <w:rsid w:val="00EA604C"/>
    <w:rsid w:val="00EA6506"/>
    <w:rsid w:val="00EA672C"/>
    <w:rsid w:val="00EA6B81"/>
    <w:rsid w:val="00EA7646"/>
    <w:rsid w:val="00EA7749"/>
    <w:rsid w:val="00EA774B"/>
    <w:rsid w:val="00EA787C"/>
    <w:rsid w:val="00EA7A8E"/>
    <w:rsid w:val="00EB0068"/>
    <w:rsid w:val="00EB0135"/>
    <w:rsid w:val="00EB0351"/>
    <w:rsid w:val="00EB1298"/>
    <w:rsid w:val="00EB1C00"/>
    <w:rsid w:val="00EB2A61"/>
    <w:rsid w:val="00EB2E38"/>
    <w:rsid w:val="00EB3002"/>
    <w:rsid w:val="00EB37C5"/>
    <w:rsid w:val="00EB3881"/>
    <w:rsid w:val="00EB3D0C"/>
    <w:rsid w:val="00EB3F9D"/>
    <w:rsid w:val="00EB40FF"/>
    <w:rsid w:val="00EB4535"/>
    <w:rsid w:val="00EB4908"/>
    <w:rsid w:val="00EB4E4C"/>
    <w:rsid w:val="00EB5252"/>
    <w:rsid w:val="00EB53A8"/>
    <w:rsid w:val="00EB5502"/>
    <w:rsid w:val="00EB58F3"/>
    <w:rsid w:val="00EB593C"/>
    <w:rsid w:val="00EB59DC"/>
    <w:rsid w:val="00EB5B60"/>
    <w:rsid w:val="00EB5BFF"/>
    <w:rsid w:val="00EB5DC6"/>
    <w:rsid w:val="00EB64AD"/>
    <w:rsid w:val="00EB6FDA"/>
    <w:rsid w:val="00EB7261"/>
    <w:rsid w:val="00EB73F8"/>
    <w:rsid w:val="00EB7586"/>
    <w:rsid w:val="00EB7837"/>
    <w:rsid w:val="00EB7C8F"/>
    <w:rsid w:val="00EC0228"/>
    <w:rsid w:val="00EC043A"/>
    <w:rsid w:val="00EC06D3"/>
    <w:rsid w:val="00EC1048"/>
    <w:rsid w:val="00EC1902"/>
    <w:rsid w:val="00EC2598"/>
    <w:rsid w:val="00EC29B2"/>
    <w:rsid w:val="00EC2A8E"/>
    <w:rsid w:val="00EC2AFE"/>
    <w:rsid w:val="00EC2C50"/>
    <w:rsid w:val="00EC2E3F"/>
    <w:rsid w:val="00EC2F4A"/>
    <w:rsid w:val="00EC3013"/>
    <w:rsid w:val="00EC3892"/>
    <w:rsid w:val="00EC3C20"/>
    <w:rsid w:val="00EC3E7D"/>
    <w:rsid w:val="00EC3F69"/>
    <w:rsid w:val="00EC42A7"/>
    <w:rsid w:val="00EC478D"/>
    <w:rsid w:val="00EC5302"/>
    <w:rsid w:val="00EC54BF"/>
    <w:rsid w:val="00EC57C4"/>
    <w:rsid w:val="00EC5D1F"/>
    <w:rsid w:val="00EC5E29"/>
    <w:rsid w:val="00EC5F80"/>
    <w:rsid w:val="00EC5FB9"/>
    <w:rsid w:val="00EC5FF4"/>
    <w:rsid w:val="00EC6739"/>
    <w:rsid w:val="00EC69FB"/>
    <w:rsid w:val="00EC6DCC"/>
    <w:rsid w:val="00EC6F75"/>
    <w:rsid w:val="00EC709B"/>
    <w:rsid w:val="00EC7834"/>
    <w:rsid w:val="00EC79DF"/>
    <w:rsid w:val="00EC7A02"/>
    <w:rsid w:val="00EC7C5E"/>
    <w:rsid w:val="00ED0051"/>
    <w:rsid w:val="00ED0FA6"/>
    <w:rsid w:val="00ED104A"/>
    <w:rsid w:val="00ED1384"/>
    <w:rsid w:val="00ED190E"/>
    <w:rsid w:val="00ED1E99"/>
    <w:rsid w:val="00ED1F97"/>
    <w:rsid w:val="00ED21E6"/>
    <w:rsid w:val="00ED2317"/>
    <w:rsid w:val="00ED244C"/>
    <w:rsid w:val="00ED2AC5"/>
    <w:rsid w:val="00ED2D4A"/>
    <w:rsid w:val="00ED2F39"/>
    <w:rsid w:val="00ED341C"/>
    <w:rsid w:val="00ED366B"/>
    <w:rsid w:val="00ED3938"/>
    <w:rsid w:val="00ED3A9F"/>
    <w:rsid w:val="00ED3B94"/>
    <w:rsid w:val="00ED4983"/>
    <w:rsid w:val="00ED4AB1"/>
    <w:rsid w:val="00ED57F6"/>
    <w:rsid w:val="00ED584D"/>
    <w:rsid w:val="00ED5F5D"/>
    <w:rsid w:val="00ED6420"/>
    <w:rsid w:val="00ED642D"/>
    <w:rsid w:val="00ED6802"/>
    <w:rsid w:val="00ED6A12"/>
    <w:rsid w:val="00ED70C1"/>
    <w:rsid w:val="00ED74F7"/>
    <w:rsid w:val="00ED755A"/>
    <w:rsid w:val="00ED76E0"/>
    <w:rsid w:val="00ED78FD"/>
    <w:rsid w:val="00ED7DDE"/>
    <w:rsid w:val="00ED7E0C"/>
    <w:rsid w:val="00ED7FA2"/>
    <w:rsid w:val="00EE03F8"/>
    <w:rsid w:val="00EE04E3"/>
    <w:rsid w:val="00EE059C"/>
    <w:rsid w:val="00EE0F13"/>
    <w:rsid w:val="00EE0F2B"/>
    <w:rsid w:val="00EE10F1"/>
    <w:rsid w:val="00EE116C"/>
    <w:rsid w:val="00EE14FE"/>
    <w:rsid w:val="00EE1E12"/>
    <w:rsid w:val="00EE1EC6"/>
    <w:rsid w:val="00EE206C"/>
    <w:rsid w:val="00EE22A2"/>
    <w:rsid w:val="00EE27DA"/>
    <w:rsid w:val="00EE2E7F"/>
    <w:rsid w:val="00EE2EBC"/>
    <w:rsid w:val="00EE379C"/>
    <w:rsid w:val="00EE3BD9"/>
    <w:rsid w:val="00EE3FEC"/>
    <w:rsid w:val="00EE4439"/>
    <w:rsid w:val="00EE4926"/>
    <w:rsid w:val="00EE4A60"/>
    <w:rsid w:val="00EE4CE8"/>
    <w:rsid w:val="00EE4F5F"/>
    <w:rsid w:val="00EE50B2"/>
    <w:rsid w:val="00EE50CD"/>
    <w:rsid w:val="00EE535F"/>
    <w:rsid w:val="00EE5703"/>
    <w:rsid w:val="00EE5FAD"/>
    <w:rsid w:val="00EE65FE"/>
    <w:rsid w:val="00EE682C"/>
    <w:rsid w:val="00EE6CE6"/>
    <w:rsid w:val="00EE6D89"/>
    <w:rsid w:val="00EE6F14"/>
    <w:rsid w:val="00EE72DF"/>
    <w:rsid w:val="00EE753E"/>
    <w:rsid w:val="00EE7733"/>
    <w:rsid w:val="00EE7A5A"/>
    <w:rsid w:val="00EE7C82"/>
    <w:rsid w:val="00EE7F35"/>
    <w:rsid w:val="00EF01AA"/>
    <w:rsid w:val="00EF01D0"/>
    <w:rsid w:val="00EF05D3"/>
    <w:rsid w:val="00EF065D"/>
    <w:rsid w:val="00EF0BD1"/>
    <w:rsid w:val="00EF0E02"/>
    <w:rsid w:val="00EF0FA9"/>
    <w:rsid w:val="00EF1232"/>
    <w:rsid w:val="00EF1680"/>
    <w:rsid w:val="00EF1694"/>
    <w:rsid w:val="00EF1870"/>
    <w:rsid w:val="00EF19CA"/>
    <w:rsid w:val="00EF22B5"/>
    <w:rsid w:val="00EF2E95"/>
    <w:rsid w:val="00EF2F83"/>
    <w:rsid w:val="00EF3276"/>
    <w:rsid w:val="00EF35F0"/>
    <w:rsid w:val="00EF3C1E"/>
    <w:rsid w:val="00EF3F23"/>
    <w:rsid w:val="00EF4399"/>
    <w:rsid w:val="00EF4C62"/>
    <w:rsid w:val="00EF4D92"/>
    <w:rsid w:val="00EF5738"/>
    <w:rsid w:val="00EF59DC"/>
    <w:rsid w:val="00EF5A1D"/>
    <w:rsid w:val="00EF5AEF"/>
    <w:rsid w:val="00EF5DA7"/>
    <w:rsid w:val="00EF5F89"/>
    <w:rsid w:val="00EF62FD"/>
    <w:rsid w:val="00EF63AF"/>
    <w:rsid w:val="00EF6516"/>
    <w:rsid w:val="00EF6790"/>
    <w:rsid w:val="00EF6C20"/>
    <w:rsid w:val="00EF6C25"/>
    <w:rsid w:val="00EF7037"/>
    <w:rsid w:val="00EF718A"/>
    <w:rsid w:val="00EF719B"/>
    <w:rsid w:val="00EF71C1"/>
    <w:rsid w:val="00EF71E1"/>
    <w:rsid w:val="00EF7F7D"/>
    <w:rsid w:val="00F00104"/>
    <w:rsid w:val="00F00214"/>
    <w:rsid w:val="00F0056E"/>
    <w:rsid w:val="00F00587"/>
    <w:rsid w:val="00F007CF"/>
    <w:rsid w:val="00F008A3"/>
    <w:rsid w:val="00F00CEE"/>
    <w:rsid w:val="00F00E30"/>
    <w:rsid w:val="00F01331"/>
    <w:rsid w:val="00F01D49"/>
    <w:rsid w:val="00F022B5"/>
    <w:rsid w:val="00F02882"/>
    <w:rsid w:val="00F02A72"/>
    <w:rsid w:val="00F02B21"/>
    <w:rsid w:val="00F02C32"/>
    <w:rsid w:val="00F02DC2"/>
    <w:rsid w:val="00F03024"/>
    <w:rsid w:val="00F03537"/>
    <w:rsid w:val="00F0391F"/>
    <w:rsid w:val="00F03C3A"/>
    <w:rsid w:val="00F03D12"/>
    <w:rsid w:val="00F0439E"/>
    <w:rsid w:val="00F04EA7"/>
    <w:rsid w:val="00F04FB0"/>
    <w:rsid w:val="00F06173"/>
    <w:rsid w:val="00F06454"/>
    <w:rsid w:val="00F06455"/>
    <w:rsid w:val="00F066CA"/>
    <w:rsid w:val="00F07A82"/>
    <w:rsid w:val="00F07C1B"/>
    <w:rsid w:val="00F07D09"/>
    <w:rsid w:val="00F07F34"/>
    <w:rsid w:val="00F07F78"/>
    <w:rsid w:val="00F10D17"/>
    <w:rsid w:val="00F10F0F"/>
    <w:rsid w:val="00F11022"/>
    <w:rsid w:val="00F112B5"/>
    <w:rsid w:val="00F1163B"/>
    <w:rsid w:val="00F11798"/>
    <w:rsid w:val="00F11826"/>
    <w:rsid w:val="00F11F6E"/>
    <w:rsid w:val="00F12454"/>
    <w:rsid w:val="00F126B9"/>
    <w:rsid w:val="00F1288C"/>
    <w:rsid w:val="00F12F77"/>
    <w:rsid w:val="00F13312"/>
    <w:rsid w:val="00F13772"/>
    <w:rsid w:val="00F13BCF"/>
    <w:rsid w:val="00F13DF5"/>
    <w:rsid w:val="00F140B9"/>
    <w:rsid w:val="00F14EC6"/>
    <w:rsid w:val="00F15456"/>
    <w:rsid w:val="00F156EE"/>
    <w:rsid w:val="00F15C95"/>
    <w:rsid w:val="00F162D4"/>
    <w:rsid w:val="00F16612"/>
    <w:rsid w:val="00F16886"/>
    <w:rsid w:val="00F16BD9"/>
    <w:rsid w:val="00F1725B"/>
    <w:rsid w:val="00F173EF"/>
    <w:rsid w:val="00F17D83"/>
    <w:rsid w:val="00F17EC7"/>
    <w:rsid w:val="00F200A8"/>
    <w:rsid w:val="00F201D3"/>
    <w:rsid w:val="00F2058B"/>
    <w:rsid w:val="00F209B8"/>
    <w:rsid w:val="00F20B35"/>
    <w:rsid w:val="00F21315"/>
    <w:rsid w:val="00F2136A"/>
    <w:rsid w:val="00F21677"/>
    <w:rsid w:val="00F216DF"/>
    <w:rsid w:val="00F22338"/>
    <w:rsid w:val="00F22498"/>
    <w:rsid w:val="00F22C6B"/>
    <w:rsid w:val="00F22F35"/>
    <w:rsid w:val="00F234C4"/>
    <w:rsid w:val="00F23A81"/>
    <w:rsid w:val="00F240AB"/>
    <w:rsid w:val="00F24109"/>
    <w:rsid w:val="00F2423E"/>
    <w:rsid w:val="00F24522"/>
    <w:rsid w:val="00F2466A"/>
    <w:rsid w:val="00F2492B"/>
    <w:rsid w:val="00F249C9"/>
    <w:rsid w:val="00F24E42"/>
    <w:rsid w:val="00F25423"/>
    <w:rsid w:val="00F25AA4"/>
    <w:rsid w:val="00F25AE6"/>
    <w:rsid w:val="00F25F66"/>
    <w:rsid w:val="00F26263"/>
    <w:rsid w:val="00F26840"/>
    <w:rsid w:val="00F26A69"/>
    <w:rsid w:val="00F26DCD"/>
    <w:rsid w:val="00F27240"/>
    <w:rsid w:val="00F27DDF"/>
    <w:rsid w:val="00F27E3A"/>
    <w:rsid w:val="00F27E62"/>
    <w:rsid w:val="00F30109"/>
    <w:rsid w:val="00F308C4"/>
    <w:rsid w:val="00F30C90"/>
    <w:rsid w:val="00F30D15"/>
    <w:rsid w:val="00F31147"/>
    <w:rsid w:val="00F31221"/>
    <w:rsid w:val="00F31312"/>
    <w:rsid w:val="00F31322"/>
    <w:rsid w:val="00F314EC"/>
    <w:rsid w:val="00F3187D"/>
    <w:rsid w:val="00F3209B"/>
    <w:rsid w:val="00F3214C"/>
    <w:rsid w:val="00F325DF"/>
    <w:rsid w:val="00F32B91"/>
    <w:rsid w:val="00F32F62"/>
    <w:rsid w:val="00F3307B"/>
    <w:rsid w:val="00F3372E"/>
    <w:rsid w:val="00F33D9B"/>
    <w:rsid w:val="00F33F8D"/>
    <w:rsid w:val="00F34C9A"/>
    <w:rsid w:val="00F351FE"/>
    <w:rsid w:val="00F35E23"/>
    <w:rsid w:val="00F35F4E"/>
    <w:rsid w:val="00F365B0"/>
    <w:rsid w:val="00F3671D"/>
    <w:rsid w:val="00F36A56"/>
    <w:rsid w:val="00F36BCD"/>
    <w:rsid w:val="00F36E49"/>
    <w:rsid w:val="00F3744D"/>
    <w:rsid w:val="00F3786E"/>
    <w:rsid w:val="00F37CB6"/>
    <w:rsid w:val="00F37D6E"/>
    <w:rsid w:val="00F37E09"/>
    <w:rsid w:val="00F37F65"/>
    <w:rsid w:val="00F4010B"/>
    <w:rsid w:val="00F40514"/>
    <w:rsid w:val="00F407F5"/>
    <w:rsid w:val="00F40CF2"/>
    <w:rsid w:val="00F40E3C"/>
    <w:rsid w:val="00F40EA3"/>
    <w:rsid w:val="00F41676"/>
    <w:rsid w:val="00F417B7"/>
    <w:rsid w:val="00F41DF2"/>
    <w:rsid w:val="00F42086"/>
    <w:rsid w:val="00F4215A"/>
    <w:rsid w:val="00F422D5"/>
    <w:rsid w:val="00F42B2C"/>
    <w:rsid w:val="00F42B65"/>
    <w:rsid w:val="00F433AF"/>
    <w:rsid w:val="00F434B6"/>
    <w:rsid w:val="00F437FA"/>
    <w:rsid w:val="00F439B3"/>
    <w:rsid w:val="00F43D1C"/>
    <w:rsid w:val="00F447D3"/>
    <w:rsid w:val="00F44BB6"/>
    <w:rsid w:val="00F44BCB"/>
    <w:rsid w:val="00F44D36"/>
    <w:rsid w:val="00F4508B"/>
    <w:rsid w:val="00F454E8"/>
    <w:rsid w:val="00F4566C"/>
    <w:rsid w:val="00F45780"/>
    <w:rsid w:val="00F4595B"/>
    <w:rsid w:val="00F45985"/>
    <w:rsid w:val="00F45DF9"/>
    <w:rsid w:val="00F46871"/>
    <w:rsid w:val="00F46BAC"/>
    <w:rsid w:val="00F46CEC"/>
    <w:rsid w:val="00F46E42"/>
    <w:rsid w:val="00F4702C"/>
    <w:rsid w:val="00F473A6"/>
    <w:rsid w:val="00F4764A"/>
    <w:rsid w:val="00F479DD"/>
    <w:rsid w:val="00F47F5A"/>
    <w:rsid w:val="00F47FEA"/>
    <w:rsid w:val="00F5018D"/>
    <w:rsid w:val="00F501DE"/>
    <w:rsid w:val="00F505B8"/>
    <w:rsid w:val="00F50608"/>
    <w:rsid w:val="00F5074A"/>
    <w:rsid w:val="00F50CE6"/>
    <w:rsid w:val="00F5143A"/>
    <w:rsid w:val="00F51C8C"/>
    <w:rsid w:val="00F51F6A"/>
    <w:rsid w:val="00F52A93"/>
    <w:rsid w:val="00F53127"/>
    <w:rsid w:val="00F5330B"/>
    <w:rsid w:val="00F53DBE"/>
    <w:rsid w:val="00F53EFE"/>
    <w:rsid w:val="00F546E2"/>
    <w:rsid w:val="00F54719"/>
    <w:rsid w:val="00F54738"/>
    <w:rsid w:val="00F54B7F"/>
    <w:rsid w:val="00F55148"/>
    <w:rsid w:val="00F551AF"/>
    <w:rsid w:val="00F552AF"/>
    <w:rsid w:val="00F55481"/>
    <w:rsid w:val="00F55DAD"/>
    <w:rsid w:val="00F56295"/>
    <w:rsid w:val="00F564BF"/>
    <w:rsid w:val="00F573B6"/>
    <w:rsid w:val="00F57481"/>
    <w:rsid w:val="00F574D9"/>
    <w:rsid w:val="00F5773B"/>
    <w:rsid w:val="00F57900"/>
    <w:rsid w:val="00F57C00"/>
    <w:rsid w:val="00F60599"/>
    <w:rsid w:val="00F60820"/>
    <w:rsid w:val="00F60957"/>
    <w:rsid w:val="00F60BA2"/>
    <w:rsid w:val="00F61242"/>
    <w:rsid w:val="00F615BC"/>
    <w:rsid w:val="00F6161C"/>
    <w:rsid w:val="00F62038"/>
    <w:rsid w:val="00F624BB"/>
    <w:rsid w:val="00F62819"/>
    <w:rsid w:val="00F62E49"/>
    <w:rsid w:val="00F6337B"/>
    <w:rsid w:val="00F634F6"/>
    <w:rsid w:val="00F63CB9"/>
    <w:rsid w:val="00F6439D"/>
    <w:rsid w:val="00F646F4"/>
    <w:rsid w:val="00F64717"/>
    <w:rsid w:val="00F64890"/>
    <w:rsid w:val="00F64C17"/>
    <w:rsid w:val="00F64C90"/>
    <w:rsid w:val="00F64DBF"/>
    <w:rsid w:val="00F64E98"/>
    <w:rsid w:val="00F65036"/>
    <w:rsid w:val="00F6533A"/>
    <w:rsid w:val="00F65561"/>
    <w:rsid w:val="00F65571"/>
    <w:rsid w:val="00F656C1"/>
    <w:rsid w:val="00F65BC8"/>
    <w:rsid w:val="00F65E30"/>
    <w:rsid w:val="00F65EF9"/>
    <w:rsid w:val="00F660FA"/>
    <w:rsid w:val="00F6615A"/>
    <w:rsid w:val="00F6646E"/>
    <w:rsid w:val="00F66BC2"/>
    <w:rsid w:val="00F66FE6"/>
    <w:rsid w:val="00F67195"/>
    <w:rsid w:val="00F675C8"/>
    <w:rsid w:val="00F678D0"/>
    <w:rsid w:val="00F67AC8"/>
    <w:rsid w:val="00F67B3B"/>
    <w:rsid w:val="00F67F48"/>
    <w:rsid w:val="00F7013C"/>
    <w:rsid w:val="00F70433"/>
    <w:rsid w:val="00F70B6E"/>
    <w:rsid w:val="00F71697"/>
    <w:rsid w:val="00F71CC9"/>
    <w:rsid w:val="00F722E8"/>
    <w:rsid w:val="00F72319"/>
    <w:rsid w:val="00F72818"/>
    <w:rsid w:val="00F72C89"/>
    <w:rsid w:val="00F72D92"/>
    <w:rsid w:val="00F72E8C"/>
    <w:rsid w:val="00F73098"/>
    <w:rsid w:val="00F736F4"/>
    <w:rsid w:val="00F73887"/>
    <w:rsid w:val="00F73986"/>
    <w:rsid w:val="00F73AC4"/>
    <w:rsid w:val="00F73D5A"/>
    <w:rsid w:val="00F74280"/>
    <w:rsid w:val="00F7439A"/>
    <w:rsid w:val="00F747B4"/>
    <w:rsid w:val="00F74A57"/>
    <w:rsid w:val="00F74ACB"/>
    <w:rsid w:val="00F750F9"/>
    <w:rsid w:val="00F75883"/>
    <w:rsid w:val="00F758C1"/>
    <w:rsid w:val="00F76091"/>
    <w:rsid w:val="00F760C3"/>
    <w:rsid w:val="00F76188"/>
    <w:rsid w:val="00F7645E"/>
    <w:rsid w:val="00F76B99"/>
    <w:rsid w:val="00F76DFA"/>
    <w:rsid w:val="00F77191"/>
    <w:rsid w:val="00F77512"/>
    <w:rsid w:val="00F77578"/>
    <w:rsid w:val="00F77B48"/>
    <w:rsid w:val="00F77B4D"/>
    <w:rsid w:val="00F77BA2"/>
    <w:rsid w:val="00F77CEB"/>
    <w:rsid w:val="00F800F0"/>
    <w:rsid w:val="00F80607"/>
    <w:rsid w:val="00F812C7"/>
    <w:rsid w:val="00F81900"/>
    <w:rsid w:val="00F81DAC"/>
    <w:rsid w:val="00F82020"/>
    <w:rsid w:val="00F82388"/>
    <w:rsid w:val="00F828EC"/>
    <w:rsid w:val="00F83160"/>
    <w:rsid w:val="00F8348C"/>
    <w:rsid w:val="00F83676"/>
    <w:rsid w:val="00F837CB"/>
    <w:rsid w:val="00F838D1"/>
    <w:rsid w:val="00F83C5C"/>
    <w:rsid w:val="00F83F5F"/>
    <w:rsid w:val="00F84960"/>
    <w:rsid w:val="00F84B08"/>
    <w:rsid w:val="00F84D7E"/>
    <w:rsid w:val="00F85072"/>
    <w:rsid w:val="00F85210"/>
    <w:rsid w:val="00F85359"/>
    <w:rsid w:val="00F855B1"/>
    <w:rsid w:val="00F85ABF"/>
    <w:rsid w:val="00F85B38"/>
    <w:rsid w:val="00F85C27"/>
    <w:rsid w:val="00F86575"/>
    <w:rsid w:val="00F874F5"/>
    <w:rsid w:val="00F87569"/>
    <w:rsid w:val="00F87B07"/>
    <w:rsid w:val="00F87CCE"/>
    <w:rsid w:val="00F87F6E"/>
    <w:rsid w:val="00F904CE"/>
    <w:rsid w:val="00F90546"/>
    <w:rsid w:val="00F90590"/>
    <w:rsid w:val="00F905CB"/>
    <w:rsid w:val="00F907B3"/>
    <w:rsid w:val="00F90EFB"/>
    <w:rsid w:val="00F90F17"/>
    <w:rsid w:val="00F90FC2"/>
    <w:rsid w:val="00F9166A"/>
    <w:rsid w:val="00F91785"/>
    <w:rsid w:val="00F924AC"/>
    <w:rsid w:val="00F9252C"/>
    <w:rsid w:val="00F928AB"/>
    <w:rsid w:val="00F9322E"/>
    <w:rsid w:val="00F934EF"/>
    <w:rsid w:val="00F93A2B"/>
    <w:rsid w:val="00F93BB5"/>
    <w:rsid w:val="00F93C3B"/>
    <w:rsid w:val="00F94007"/>
    <w:rsid w:val="00F944AD"/>
    <w:rsid w:val="00F94594"/>
    <w:rsid w:val="00F94880"/>
    <w:rsid w:val="00F949D5"/>
    <w:rsid w:val="00F94C34"/>
    <w:rsid w:val="00F95AFC"/>
    <w:rsid w:val="00F95CE9"/>
    <w:rsid w:val="00F9685C"/>
    <w:rsid w:val="00F97736"/>
    <w:rsid w:val="00F97FA6"/>
    <w:rsid w:val="00F97FD2"/>
    <w:rsid w:val="00FA04C3"/>
    <w:rsid w:val="00FA06B6"/>
    <w:rsid w:val="00FA0773"/>
    <w:rsid w:val="00FA08C7"/>
    <w:rsid w:val="00FA09A8"/>
    <w:rsid w:val="00FA142B"/>
    <w:rsid w:val="00FA183A"/>
    <w:rsid w:val="00FA26F7"/>
    <w:rsid w:val="00FA28FB"/>
    <w:rsid w:val="00FA2B93"/>
    <w:rsid w:val="00FA2E06"/>
    <w:rsid w:val="00FA2E07"/>
    <w:rsid w:val="00FA3077"/>
    <w:rsid w:val="00FA30AF"/>
    <w:rsid w:val="00FA33D2"/>
    <w:rsid w:val="00FA4140"/>
    <w:rsid w:val="00FA4CF2"/>
    <w:rsid w:val="00FA5245"/>
    <w:rsid w:val="00FA53DC"/>
    <w:rsid w:val="00FA5484"/>
    <w:rsid w:val="00FA5A7A"/>
    <w:rsid w:val="00FA5ABA"/>
    <w:rsid w:val="00FA5E23"/>
    <w:rsid w:val="00FA6202"/>
    <w:rsid w:val="00FA67F0"/>
    <w:rsid w:val="00FA7249"/>
    <w:rsid w:val="00FA7355"/>
    <w:rsid w:val="00FA7C9B"/>
    <w:rsid w:val="00FA7F53"/>
    <w:rsid w:val="00FB016C"/>
    <w:rsid w:val="00FB030A"/>
    <w:rsid w:val="00FB0672"/>
    <w:rsid w:val="00FB06D8"/>
    <w:rsid w:val="00FB079B"/>
    <w:rsid w:val="00FB1253"/>
    <w:rsid w:val="00FB12B1"/>
    <w:rsid w:val="00FB169B"/>
    <w:rsid w:val="00FB1A5B"/>
    <w:rsid w:val="00FB2359"/>
    <w:rsid w:val="00FB2AA4"/>
    <w:rsid w:val="00FB2B81"/>
    <w:rsid w:val="00FB2C95"/>
    <w:rsid w:val="00FB2CC7"/>
    <w:rsid w:val="00FB4334"/>
    <w:rsid w:val="00FB471A"/>
    <w:rsid w:val="00FB475F"/>
    <w:rsid w:val="00FB4856"/>
    <w:rsid w:val="00FB4948"/>
    <w:rsid w:val="00FB4DA0"/>
    <w:rsid w:val="00FB4E15"/>
    <w:rsid w:val="00FB4E93"/>
    <w:rsid w:val="00FB519B"/>
    <w:rsid w:val="00FB54D2"/>
    <w:rsid w:val="00FB5A71"/>
    <w:rsid w:val="00FB5CD2"/>
    <w:rsid w:val="00FB64E5"/>
    <w:rsid w:val="00FB6823"/>
    <w:rsid w:val="00FB6A43"/>
    <w:rsid w:val="00FB6E95"/>
    <w:rsid w:val="00FB6FEE"/>
    <w:rsid w:val="00FB728A"/>
    <w:rsid w:val="00FB7B3B"/>
    <w:rsid w:val="00FC0969"/>
    <w:rsid w:val="00FC1481"/>
    <w:rsid w:val="00FC1586"/>
    <w:rsid w:val="00FC1A2F"/>
    <w:rsid w:val="00FC1D21"/>
    <w:rsid w:val="00FC250A"/>
    <w:rsid w:val="00FC2D8B"/>
    <w:rsid w:val="00FC2DCA"/>
    <w:rsid w:val="00FC2F1F"/>
    <w:rsid w:val="00FC346A"/>
    <w:rsid w:val="00FC34F5"/>
    <w:rsid w:val="00FC3FAE"/>
    <w:rsid w:val="00FC4275"/>
    <w:rsid w:val="00FC4923"/>
    <w:rsid w:val="00FC4B04"/>
    <w:rsid w:val="00FC4B6F"/>
    <w:rsid w:val="00FC4EEE"/>
    <w:rsid w:val="00FC514C"/>
    <w:rsid w:val="00FC535A"/>
    <w:rsid w:val="00FC549A"/>
    <w:rsid w:val="00FC553E"/>
    <w:rsid w:val="00FC5626"/>
    <w:rsid w:val="00FC5672"/>
    <w:rsid w:val="00FC60A2"/>
    <w:rsid w:val="00FC60F8"/>
    <w:rsid w:val="00FC6706"/>
    <w:rsid w:val="00FC6AA0"/>
    <w:rsid w:val="00FC6D9C"/>
    <w:rsid w:val="00FC6F65"/>
    <w:rsid w:val="00FC7072"/>
    <w:rsid w:val="00FC713E"/>
    <w:rsid w:val="00FD02CA"/>
    <w:rsid w:val="00FD040E"/>
    <w:rsid w:val="00FD0966"/>
    <w:rsid w:val="00FD0968"/>
    <w:rsid w:val="00FD0B3E"/>
    <w:rsid w:val="00FD0D3C"/>
    <w:rsid w:val="00FD0E6E"/>
    <w:rsid w:val="00FD11AA"/>
    <w:rsid w:val="00FD1C00"/>
    <w:rsid w:val="00FD1F82"/>
    <w:rsid w:val="00FD2026"/>
    <w:rsid w:val="00FD20B3"/>
    <w:rsid w:val="00FD26A3"/>
    <w:rsid w:val="00FD2825"/>
    <w:rsid w:val="00FD2959"/>
    <w:rsid w:val="00FD2A4A"/>
    <w:rsid w:val="00FD328E"/>
    <w:rsid w:val="00FD3306"/>
    <w:rsid w:val="00FD339F"/>
    <w:rsid w:val="00FD355F"/>
    <w:rsid w:val="00FD35B0"/>
    <w:rsid w:val="00FD35C6"/>
    <w:rsid w:val="00FD3624"/>
    <w:rsid w:val="00FD3635"/>
    <w:rsid w:val="00FD36B1"/>
    <w:rsid w:val="00FD3ECD"/>
    <w:rsid w:val="00FD3FE4"/>
    <w:rsid w:val="00FD4120"/>
    <w:rsid w:val="00FD460C"/>
    <w:rsid w:val="00FD4E9E"/>
    <w:rsid w:val="00FD5274"/>
    <w:rsid w:val="00FD5482"/>
    <w:rsid w:val="00FD599F"/>
    <w:rsid w:val="00FD63A1"/>
    <w:rsid w:val="00FD66D2"/>
    <w:rsid w:val="00FD68DC"/>
    <w:rsid w:val="00FD6DB9"/>
    <w:rsid w:val="00FD6DBD"/>
    <w:rsid w:val="00FD7007"/>
    <w:rsid w:val="00FD74EB"/>
    <w:rsid w:val="00FD7D67"/>
    <w:rsid w:val="00FD7ECA"/>
    <w:rsid w:val="00FE02D8"/>
    <w:rsid w:val="00FE044C"/>
    <w:rsid w:val="00FE088A"/>
    <w:rsid w:val="00FE0A08"/>
    <w:rsid w:val="00FE11B2"/>
    <w:rsid w:val="00FE18FD"/>
    <w:rsid w:val="00FE1CC4"/>
    <w:rsid w:val="00FE1D01"/>
    <w:rsid w:val="00FE207A"/>
    <w:rsid w:val="00FE20CA"/>
    <w:rsid w:val="00FE2828"/>
    <w:rsid w:val="00FE2E20"/>
    <w:rsid w:val="00FE336C"/>
    <w:rsid w:val="00FE38F9"/>
    <w:rsid w:val="00FE4A31"/>
    <w:rsid w:val="00FE5201"/>
    <w:rsid w:val="00FE5219"/>
    <w:rsid w:val="00FE53B7"/>
    <w:rsid w:val="00FE569D"/>
    <w:rsid w:val="00FE59FD"/>
    <w:rsid w:val="00FE5D16"/>
    <w:rsid w:val="00FE6054"/>
    <w:rsid w:val="00FE60AF"/>
    <w:rsid w:val="00FE6653"/>
    <w:rsid w:val="00FE6835"/>
    <w:rsid w:val="00FE69E1"/>
    <w:rsid w:val="00FE6A4C"/>
    <w:rsid w:val="00FE6A77"/>
    <w:rsid w:val="00FE6D8A"/>
    <w:rsid w:val="00FE764B"/>
    <w:rsid w:val="00FE7BE8"/>
    <w:rsid w:val="00FE7DE8"/>
    <w:rsid w:val="00FE7F98"/>
    <w:rsid w:val="00FF0021"/>
    <w:rsid w:val="00FF01A9"/>
    <w:rsid w:val="00FF0285"/>
    <w:rsid w:val="00FF06C0"/>
    <w:rsid w:val="00FF08A5"/>
    <w:rsid w:val="00FF0B99"/>
    <w:rsid w:val="00FF0DAD"/>
    <w:rsid w:val="00FF0E57"/>
    <w:rsid w:val="00FF1226"/>
    <w:rsid w:val="00FF199E"/>
    <w:rsid w:val="00FF2332"/>
    <w:rsid w:val="00FF2866"/>
    <w:rsid w:val="00FF2CC9"/>
    <w:rsid w:val="00FF2E7F"/>
    <w:rsid w:val="00FF306D"/>
    <w:rsid w:val="00FF4419"/>
    <w:rsid w:val="00FF4CB3"/>
    <w:rsid w:val="00FF4EF0"/>
    <w:rsid w:val="00FF4FE0"/>
    <w:rsid w:val="00FF50D9"/>
    <w:rsid w:val="00FF5148"/>
    <w:rsid w:val="00FF53E2"/>
    <w:rsid w:val="00FF566B"/>
    <w:rsid w:val="00FF5F0E"/>
    <w:rsid w:val="00FF63C0"/>
    <w:rsid w:val="00FF6443"/>
    <w:rsid w:val="00FF6537"/>
    <w:rsid w:val="00FF6993"/>
    <w:rsid w:val="00FF6A2B"/>
    <w:rsid w:val="00FF773B"/>
    <w:rsid w:val="00FF7799"/>
    <w:rsid w:val="00FF7E1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61D17"/>
  <w15:chartTrackingRefBased/>
  <w15:docId w15:val="{86876F18-CE03-4FD3-8B21-44157C30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EF0FA9"/>
    <w:pPr>
      <w:numPr>
        <w:numId w:val="29"/>
      </w:numPr>
      <w:contextualSpacing/>
    </w:pPr>
  </w:style>
  <w:style w:type="paragraph" w:styleId="ListBullet2">
    <w:name w:val="List Bullet 2"/>
    <w:basedOn w:val="Normal"/>
    <w:uiPriority w:val="1"/>
    <w:qFormat/>
    <w:rsid w:val="00415A0E"/>
    <w:pPr>
      <w:numPr>
        <w:ilvl w:val="1"/>
        <w:numId w:val="29"/>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29"/>
      </w:numPr>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unhideWhenUsed/>
    <w:rsid w:val="00F83C5C"/>
    <w:pPr>
      <w:spacing w:line="240" w:lineRule="auto"/>
    </w:pPr>
  </w:style>
  <w:style w:type="character" w:customStyle="1" w:styleId="CommentTextChar">
    <w:name w:val="Comment Text Char"/>
    <w:basedOn w:val="DefaultParagraphFont"/>
    <w:link w:val="CommentText"/>
    <w:uiPriority w:val="99"/>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EF0FA9"/>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paragraph" w:styleId="Bibliography">
    <w:name w:val="Bibliography"/>
    <w:basedOn w:val="Normal"/>
    <w:next w:val="Normal"/>
    <w:uiPriority w:val="37"/>
    <w:unhideWhenUsed/>
    <w:rsid w:val="00EE7C82"/>
  </w:style>
  <w:style w:type="character" w:styleId="Mention">
    <w:name w:val="Mention"/>
    <w:basedOn w:val="DefaultParagraphFont"/>
    <w:uiPriority w:val="99"/>
    <w:unhideWhenUsed/>
    <w:rsid w:val="004665C7"/>
    <w:rPr>
      <w:color w:val="2B579A"/>
      <w:shd w:val="clear" w:color="auto" w:fill="E1DFDD"/>
    </w:rPr>
  </w:style>
  <w:style w:type="character" w:styleId="FollowedHyperlink">
    <w:name w:val="FollowedHyperlink"/>
    <w:basedOn w:val="DefaultParagraphFont"/>
    <w:uiPriority w:val="99"/>
    <w:semiHidden/>
    <w:unhideWhenUsed/>
    <w:rsid w:val="00A04737"/>
    <w:rPr>
      <w:color w:val="BFBFBF" w:themeColor="followedHyperlink"/>
      <w:u w:val="single"/>
    </w:rPr>
  </w:style>
  <w:style w:type="character" w:styleId="EndnoteReference">
    <w:name w:val="endnote reference"/>
    <w:basedOn w:val="DefaultParagraphFont"/>
    <w:uiPriority w:val="99"/>
    <w:semiHidden/>
    <w:unhideWhenUsed/>
    <w:rsid w:val="00BE59F4"/>
    <w:rPr>
      <w:vertAlign w:val="superscript"/>
    </w:rPr>
  </w:style>
  <w:style w:type="paragraph" w:customStyle="1" w:styleId="Default">
    <w:name w:val="Default"/>
    <w:rsid w:val="004554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pcgov.sharepoint.com/sites/mpw/FormServerTemplates/PC-report-template.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EBA99CBA9E745B0A91C47C2AC419F" ma:contentTypeVersion="14" ma:contentTypeDescription="Create a new document." ma:contentTypeScope="" ma:versionID="79b404744bcec102b92d6d84606a03b3">
  <xsd:schema xmlns:xsd="http://www.w3.org/2001/XMLSchema" xmlns:xs="http://www.w3.org/2001/XMLSchema" xmlns:p="http://schemas.microsoft.com/office/2006/metadata/properties" xmlns:ns2="286bddf4-1b38-4099-95c6-c456def78276" xmlns:ns3="aff4ee20-6991-4cbc-8799-94ec5cc7b8ab" targetNamespace="http://schemas.microsoft.com/office/2006/metadata/properties" ma:root="true" ma:fieldsID="b4ad4e4ee6863d09780e1fa92b2e0ef7" ns2:_="" ns3:_="">
    <xsd:import namespace="286bddf4-1b38-4099-95c6-c456def78276"/>
    <xsd:import namespace="aff4ee20-6991-4cbc-8799-94ec5cc7b8ab"/>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ddf4-1b38-4099-95c6-c456def78276"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8c43fa-0143-4674-b697-c6dc57fda4ec}" ma:internalName="TaxCatchAll" ma:showField="CatchAllData" ma:web="286bddf4-1b38-4099-95c6-c456def7827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4ee20-6991-4cbc-8799-94ec5cc7b8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formDataEntries":[]}]]></TemplafyForm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TemplateConfiguration><![CDATA[{"elementsMetadata":[],"transformationConfigurations":[],"templateName":"chapter","templateDescription":"","enableDocumentContentUpdater":false,"version":"2.0"}]]></TemplafyTemplateConfigur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286bddf4-1b38-4099-95c6-c456def78276">
      <Value>1</Value>
    </TaxCatchAll>
    <i0f84bba906045b4af568ee102a52dcb xmlns="286bddf4-1b38-4099-95c6-c456def7827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286bddf4-1b38-4099-95c6-c456def78276">
      <UserInfo>
        <DisplayName>Ilias Mastoris</DisplayName>
        <AccountId>63</AccountId>
        <AccountType/>
      </UserInfo>
    </SharedWithUsers>
  </documentManagement>
</p:properties>
</file>

<file path=customXml/itemProps1.xml><?xml version="1.0" encoding="utf-8"?>
<ds:datastoreItem xmlns:ds="http://schemas.openxmlformats.org/officeDocument/2006/customXml" ds:itemID="{DE49783D-7DFD-4E86-99AD-B2DFE461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ddf4-1b38-4099-95c6-c456def78276"/>
    <ds:schemaRef ds:uri="aff4ee20-6991-4cbc-8799-94ec5cc7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7F752-2238-441E-ABA5-DB8C10DEA577}">
  <ds:schemaRefs/>
</ds:datastoreItem>
</file>

<file path=customXml/itemProps3.xml><?xml version="1.0" encoding="utf-8"?>
<ds:datastoreItem xmlns:ds="http://schemas.openxmlformats.org/officeDocument/2006/customXml" ds:itemID="{E033D267-323F-4600-9B88-C4D583553905}">
  <ds:schemaRefs>
    <ds:schemaRef ds:uri="http://schemas.microsoft.com/sharepoint/v3/contenttype/forms"/>
  </ds:schemaRefs>
</ds:datastoreItem>
</file>

<file path=customXml/itemProps4.xml><?xml version="1.0" encoding="utf-8"?>
<ds:datastoreItem xmlns:ds="http://schemas.openxmlformats.org/officeDocument/2006/customXml" ds:itemID="{5CCDCE8C-2FF2-479D-91C1-79A7A7683D3C}">
  <ds:schemaRefs/>
</ds:datastoreItem>
</file>

<file path=customXml/itemProps5.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6.xml><?xml version="1.0" encoding="utf-8"?>
<ds:datastoreItem xmlns:ds="http://schemas.openxmlformats.org/officeDocument/2006/customXml" ds:itemID="{0F84AC7F-83D5-440C-979C-465F7D9FCEAB}">
  <ds:schemaRefs>
    <ds:schemaRef ds:uri="http://schemas.microsoft.com/office/2006/metadata/properties"/>
    <ds:schemaRef ds:uri="http://schemas.microsoft.com/office/infopath/2007/PartnerControls"/>
    <ds:schemaRef ds:uri="286bddf4-1b38-4099-95c6-c456def78276"/>
  </ds:schemaRefs>
</ds:datastoreItem>
</file>

<file path=docProps/app.xml><?xml version="1.0" encoding="utf-8"?>
<Properties xmlns="http://schemas.openxmlformats.org/officeDocument/2006/extended-properties" xmlns:vt="http://schemas.openxmlformats.org/officeDocument/2006/docPropsVTypes">
  <Template>PC-report-template</Template>
  <TotalTime>105</TotalTime>
  <Pages>31</Pages>
  <Words>13133</Words>
  <Characters>74863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Supporting paper 2: Costs and benefits of an entitlement - Position paper - Carer Leave</vt:lpstr>
    </vt:vector>
  </TitlesOfParts>
  <Company>Productivity Commission</Company>
  <LinksUpToDate>false</LinksUpToDate>
  <CharactersWithSpaces>87821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paper 2: Costs and benefits of an entitlement - Position paper - Carer Leave</dc:title>
  <dc:subject/>
  <dc:creator>Productivity Commission</dc:creator>
  <cp:keywords/>
  <dc:description/>
  <cp:lastModifiedBy>Chris Alston</cp:lastModifiedBy>
  <cp:revision>101</cp:revision>
  <cp:lastPrinted>2023-02-28T01:37:00Z</cp:lastPrinted>
  <dcterms:created xsi:type="dcterms:W3CDTF">2023-02-28T01:51:00Z</dcterms:created>
  <dcterms:modified xsi:type="dcterms:W3CDTF">2023-02-28T01:37:00Z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637629323564275408</vt:lpwstr>
  </property>
  <property fmtid="{D5CDD505-2E9C-101B-9397-08002B2CF9AE}" pid="4" name="TemplafyUserProfileId">
    <vt:lpwstr>637831739434943100</vt:lpwstr>
  </property>
  <property fmtid="{D5CDD505-2E9C-101B-9397-08002B2CF9AE}" pid="5" name="TemplafyFromBlank">
    <vt:bool>false</vt:bool>
  </property>
  <property fmtid="{D5CDD505-2E9C-101B-9397-08002B2CF9AE}" pid="6" name="ContentTypeId">
    <vt:lpwstr>0x010100BF6EBA99CBA9E745B0A91C47C2AC419F</vt:lpwstr>
  </property>
  <property fmtid="{D5CDD505-2E9C-101B-9397-08002B2CF9AE}" pid="7" name="RevIMBCS">
    <vt:lpwstr>1;#Unclassified|3955eeb1-2d18-4582-aeb2-00144ec3aaf5</vt:lpwstr>
  </property>
  <property fmtid="{D5CDD505-2E9C-101B-9397-08002B2CF9AE}" pid="8" name="ZOTERO_PREF_1">
    <vt:lpwstr>&lt;data data-version="3" zotero-version="6.0.9"&gt;&lt;session id="e7fOvHIg"/&gt;&lt;style id="http://www.zotero.org/styles/Productivity-Commission" hasBibliography="1" bibliographyStyleHasBeenSet="1"/&gt;&lt;prefs&gt;&lt;pref name="fieldType" value="Field"/&gt;&lt;/prefs&gt;&lt;/data&gt;</vt:lpwstr>
  </property>
</Properties>
</file>