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B8" w:rsidRPr="00BD6110" w:rsidRDefault="00D01A3B" w:rsidP="00BD6110">
      <w:pPr>
        <w:jc w:val="center"/>
        <w:rPr>
          <w:rFonts w:cs="Times New Roman"/>
          <w:b/>
          <w:sz w:val="32"/>
          <w:szCs w:val="32"/>
        </w:rPr>
      </w:pPr>
      <w:bookmarkStart w:id="0" w:name="_GoBack"/>
      <w:bookmarkEnd w:id="0"/>
      <w:r w:rsidRPr="00D01A3B">
        <w:rPr>
          <w:rFonts w:cs="Times New Roman"/>
          <w:b/>
          <w:sz w:val="32"/>
          <w:szCs w:val="32"/>
        </w:rPr>
        <w:t xml:space="preserve">Special Child Care Benefit: </w:t>
      </w:r>
      <w:r w:rsidR="00D655B8" w:rsidRPr="00D01A3B">
        <w:rPr>
          <w:rFonts w:cs="Times New Roman"/>
          <w:b/>
          <w:sz w:val="32"/>
          <w:szCs w:val="32"/>
        </w:rPr>
        <w:t>Reducing the red tape for vulnerable children and families</w:t>
      </w:r>
    </w:p>
    <w:p w:rsidR="00D655B8" w:rsidRDefault="00D655B8" w:rsidP="00D655B8">
      <w:pPr>
        <w:autoSpaceDE w:val="0"/>
        <w:autoSpaceDN w:val="0"/>
        <w:adjustRightInd w:val="0"/>
        <w:spacing w:after="0" w:line="240" w:lineRule="auto"/>
        <w:rPr>
          <w:rFonts w:cs="Times New Roman"/>
        </w:rPr>
      </w:pPr>
    </w:p>
    <w:p w:rsidR="00416FB0" w:rsidRDefault="00416FB0" w:rsidP="00416FB0">
      <w:pPr>
        <w:autoSpaceDE w:val="0"/>
        <w:autoSpaceDN w:val="0"/>
        <w:adjustRightInd w:val="0"/>
        <w:spacing w:after="0" w:line="240" w:lineRule="auto"/>
        <w:ind w:left="720"/>
        <w:rPr>
          <w:rFonts w:cs="Times New Roman"/>
        </w:rPr>
      </w:pPr>
      <w:r w:rsidRPr="00BE016F">
        <w:rPr>
          <w:rFonts w:cs="Times New Roman"/>
        </w:rPr>
        <w:t>Investing in disadvantaged young children is a rare public policy with no equity</w:t>
      </w:r>
      <w:r>
        <w:rPr>
          <w:rFonts w:cs="Times New Roman"/>
        </w:rPr>
        <w:t>-</w:t>
      </w:r>
      <w:r w:rsidRPr="00BE016F">
        <w:rPr>
          <w:rFonts w:cs="Times New Roman"/>
        </w:rPr>
        <w:t>efficiency</w:t>
      </w:r>
      <w:r>
        <w:rPr>
          <w:rFonts w:cs="Times New Roman"/>
        </w:rPr>
        <w:t xml:space="preserve"> t</w:t>
      </w:r>
      <w:r w:rsidRPr="00BE016F">
        <w:rPr>
          <w:rFonts w:cs="Times New Roman"/>
        </w:rPr>
        <w:t>radeoff. It reduces the inequality associated with the ac</w:t>
      </w:r>
      <w:r>
        <w:rPr>
          <w:rFonts w:cs="Times New Roman"/>
        </w:rPr>
        <w:t xml:space="preserve">cident of birth and at the same </w:t>
      </w:r>
      <w:r w:rsidRPr="00BE016F">
        <w:rPr>
          <w:rFonts w:cs="Times New Roman"/>
        </w:rPr>
        <w:t>time raises the productivity of society at large</w:t>
      </w:r>
      <w:r w:rsidR="009C0F3F">
        <w:rPr>
          <w:rFonts w:cs="Times New Roman"/>
        </w:rPr>
        <w:t xml:space="preserve"> (Heckman and Masterov, 2007)</w:t>
      </w:r>
      <w:r w:rsidRPr="00BE016F">
        <w:rPr>
          <w:rFonts w:cs="Times New Roman"/>
        </w:rPr>
        <w:t>.</w:t>
      </w:r>
    </w:p>
    <w:p w:rsidR="00416FB0" w:rsidRDefault="00416FB0"/>
    <w:p w:rsidR="005531C2" w:rsidRDefault="0027713F">
      <w:r>
        <w:t xml:space="preserve">In Australia, the children and families who would most benefit from </w:t>
      </w:r>
      <w:r w:rsidR="00C34E91">
        <w:t>c</w:t>
      </w:r>
      <w:r>
        <w:t>hild</w:t>
      </w:r>
      <w:r w:rsidR="00C34E91">
        <w:t xml:space="preserve"> care and early childhood l</w:t>
      </w:r>
      <w:r>
        <w:t xml:space="preserve">earning have to </w:t>
      </w:r>
      <w:r w:rsidR="0045532C">
        <w:t>battle</w:t>
      </w:r>
      <w:r>
        <w:t xml:space="preserve"> through the </w:t>
      </w:r>
      <w:r w:rsidR="0045532C">
        <w:t>most red tape</w:t>
      </w:r>
      <w:r>
        <w:t xml:space="preserve"> to access it. </w:t>
      </w:r>
      <w:r w:rsidR="00570B17">
        <w:t>While the administration of the Special Child</w:t>
      </w:r>
      <w:r w:rsidR="003D0226">
        <w:t xml:space="preserve"> C</w:t>
      </w:r>
      <w:r w:rsidR="00570B17">
        <w:t xml:space="preserve">are Benefit </w:t>
      </w:r>
      <w:r>
        <w:t xml:space="preserve">for children at risk </w:t>
      </w:r>
      <w:r w:rsidR="00C34E91">
        <w:t xml:space="preserve">of </w:t>
      </w:r>
      <w:r>
        <w:t xml:space="preserve">serious of abuse and neglect </w:t>
      </w:r>
      <w:r w:rsidR="00570B17">
        <w:t xml:space="preserve">has improved </w:t>
      </w:r>
      <w:r w:rsidR="00C61086">
        <w:t>since its introduction 1999</w:t>
      </w:r>
      <w:r w:rsidR="00570B17">
        <w:t xml:space="preserve">, the fundamental </w:t>
      </w:r>
      <w:r w:rsidR="00990027">
        <w:t>mismatch between short term funding and the long term needs of vulnerable children</w:t>
      </w:r>
      <w:r w:rsidR="00570B17">
        <w:t xml:space="preserve"> </w:t>
      </w:r>
      <w:r w:rsidR="0068502F">
        <w:t>continue</w:t>
      </w:r>
      <w:r w:rsidR="00990027">
        <w:t>s</w:t>
      </w:r>
      <w:r w:rsidR="0068502F">
        <w:t xml:space="preserve"> </w:t>
      </w:r>
      <w:r w:rsidR="0098157F">
        <w:t xml:space="preserve">to generate extensive paperwork and high administrative costs, limiting </w:t>
      </w:r>
      <w:r w:rsidR="0068502F">
        <w:t>access to child</w:t>
      </w:r>
      <w:r w:rsidR="003F374B">
        <w:t xml:space="preserve"> </w:t>
      </w:r>
      <w:r w:rsidR="00570B17">
        <w:t xml:space="preserve">care and early education for </w:t>
      </w:r>
      <w:r w:rsidR="0068502F">
        <w:t>vulnerable</w:t>
      </w:r>
      <w:r>
        <w:t xml:space="preserve"> </w:t>
      </w:r>
      <w:r w:rsidR="00570B17">
        <w:t xml:space="preserve">infants and young children. As a result, their development is further compromised, with dire consequences for their future health and well-being and </w:t>
      </w:r>
      <w:r w:rsidR="003F374B">
        <w:t>at high cost to</w:t>
      </w:r>
      <w:r w:rsidR="00570B17">
        <w:t xml:space="preserve"> the</w:t>
      </w:r>
      <w:r>
        <w:t xml:space="preserve"> broader </w:t>
      </w:r>
      <w:r w:rsidR="00570B17">
        <w:t xml:space="preserve">community in terms of lost productivity and expenditures on health, income support, homelessness, crime and incarceration. </w:t>
      </w:r>
    </w:p>
    <w:p w:rsidR="00BE016F" w:rsidRDefault="0027713F">
      <w:r>
        <w:t xml:space="preserve">The </w:t>
      </w:r>
      <w:r w:rsidR="00A101DC">
        <w:t>Productivity Commission’s</w:t>
      </w:r>
      <w:r w:rsidR="00827257">
        <w:t xml:space="preserve"> Inquiry into Childc</w:t>
      </w:r>
      <w:r w:rsidR="00C34E91" w:rsidRPr="00C34E91">
        <w:t>are and Early Childhood Learning</w:t>
      </w:r>
      <w:r w:rsidRPr="00C34E91">
        <w:t xml:space="preserve"> </w:t>
      </w:r>
      <w:r w:rsidR="00C34E91">
        <w:t>is</w:t>
      </w:r>
      <w:r w:rsidRPr="00C34E91">
        <w:t xml:space="preserve"> an opportunity </w:t>
      </w:r>
      <w:r w:rsidR="00C34E91">
        <w:t xml:space="preserve">to identify remedies to </w:t>
      </w:r>
      <w:r w:rsidRPr="00C34E91">
        <w:t xml:space="preserve">this inefficient and inequitable situation. </w:t>
      </w:r>
      <w:r w:rsidR="0098157F">
        <w:t xml:space="preserve">It is a win/win proposition: </w:t>
      </w:r>
      <w:r w:rsidR="007C3DB2">
        <w:t xml:space="preserve"> </w:t>
      </w:r>
      <w:r w:rsidR="0098157F">
        <w:t xml:space="preserve">improving access to quality child care </w:t>
      </w:r>
      <w:r w:rsidR="00A101DC">
        <w:t>generates</w:t>
      </w:r>
      <w:r w:rsidR="007C3DB2">
        <w:t xml:space="preserve"> benefits to children, their families, and the community</w:t>
      </w:r>
      <w:r w:rsidR="00A101DC">
        <w:t>,</w:t>
      </w:r>
      <w:r w:rsidR="007C3DB2">
        <w:t xml:space="preserve"> </w:t>
      </w:r>
      <w:r w:rsidR="00A101DC">
        <w:t xml:space="preserve">the value of which are </w:t>
      </w:r>
      <w:r w:rsidR="007C3DB2">
        <w:t xml:space="preserve">many multiples of the cost of </w:t>
      </w:r>
      <w:r w:rsidR="00A101DC">
        <w:t xml:space="preserve">the </w:t>
      </w:r>
      <w:r w:rsidR="007C3DB2">
        <w:t>child care and early learning</w:t>
      </w:r>
      <w:r w:rsidR="001E4B8E">
        <w:t xml:space="preserve"> programs</w:t>
      </w:r>
      <w:r w:rsidR="00715E99">
        <w:t xml:space="preserve"> </w:t>
      </w:r>
      <w:r w:rsidR="001E4B8E">
        <w:t>them</w:t>
      </w:r>
      <w:r w:rsidR="00990027">
        <w:t>s</w:t>
      </w:r>
      <w:r w:rsidR="001E4B8E">
        <w:t>elves</w:t>
      </w:r>
      <w:r w:rsidR="003F374B">
        <w:t>.</w:t>
      </w:r>
    </w:p>
    <w:p w:rsidR="00BE016F" w:rsidRDefault="00BE016F" w:rsidP="00BE016F">
      <w:pPr>
        <w:autoSpaceDE w:val="0"/>
        <w:autoSpaceDN w:val="0"/>
        <w:adjustRightInd w:val="0"/>
        <w:spacing w:after="0" w:line="240" w:lineRule="auto"/>
        <w:rPr>
          <w:rFonts w:cs="Times New Roman"/>
        </w:rPr>
      </w:pPr>
    </w:p>
    <w:p w:rsidR="00C34E91" w:rsidRPr="000E7EAB" w:rsidRDefault="007C3F6C" w:rsidP="004C784A">
      <w:pPr>
        <w:jc w:val="center"/>
        <w:rPr>
          <w:sz w:val="28"/>
          <w:szCs w:val="28"/>
        </w:rPr>
      </w:pPr>
      <w:r w:rsidRPr="000E7EAB">
        <w:rPr>
          <w:noProof/>
          <w:sz w:val="28"/>
          <w:szCs w:val="28"/>
          <w:lang w:eastAsia="en-AU"/>
        </w:rPr>
        <mc:AlternateContent>
          <mc:Choice Requires="wps">
            <w:drawing>
              <wp:anchor distT="0" distB="0" distL="114300" distR="114300" simplePos="0" relativeHeight="251659264" behindDoc="0" locked="0" layoutInCell="1" allowOverlap="1" wp14:anchorId="6975F443" wp14:editId="6D289C08">
                <wp:simplePos x="0" y="0"/>
                <wp:positionH relativeFrom="margin">
                  <wp:align>right</wp:align>
                </wp:positionH>
                <wp:positionV relativeFrom="margin">
                  <wp:align>bottom</wp:align>
                </wp:positionV>
                <wp:extent cx="2887980" cy="2849880"/>
                <wp:effectExtent l="0" t="0" r="26670"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8498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50C7F" w:rsidRPr="007A0D9F" w:rsidRDefault="00D50C7F" w:rsidP="007A0D9F">
                            <w:pPr>
                              <w:pStyle w:val="Default"/>
                              <w:rPr>
                                <w:rFonts w:cstheme="minorHAnsi"/>
                                <w:b/>
                                <w:sz w:val="20"/>
                                <w:szCs w:val="20"/>
                              </w:rPr>
                            </w:pPr>
                            <w:r w:rsidRPr="006C235D">
                              <w:rPr>
                                <w:b/>
                                <w:noProof/>
                                <w:sz w:val="22"/>
                                <w:szCs w:val="22"/>
                                <w:lang w:eastAsia="en-AU"/>
                              </w:rPr>
                              <w:drawing>
                                <wp:inline distT="0" distB="0" distL="0" distR="0" wp14:anchorId="00BEC816" wp14:editId="320EB5EE">
                                  <wp:extent cx="2705100" cy="1775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775460"/>
                                          </a:xfrm>
                                          <a:prstGeom prst="rect">
                                            <a:avLst/>
                                          </a:prstGeom>
                                          <a:noFill/>
                                          <a:ln>
                                            <a:noFill/>
                                          </a:ln>
                                        </pic:spPr>
                                      </pic:pic>
                                    </a:graphicData>
                                  </a:graphic>
                                </wp:inline>
                              </w:drawing>
                            </w:r>
                            <w:r w:rsidRPr="007A0D9F">
                              <w:rPr>
                                <w:rFonts w:cstheme="minorHAnsi"/>
                                <w:b/>
                                <w:sz w:val="20"/>
                                <w:szCs w:val="20"/>
                              </w:rPr>
                              <w:t>Abnormal brain development following ext</w:t>
                            </w:r>
                            <w:r>
                              <w:rPr>
                                <w:rFonts w:cstheme="minorHAnsi"/>
                                <w:b/>
                                <w:sz w:val="20"/>
                                <w:szCs w:val="20"/>
                              </w:rPr>
                              <w:t>reme neglect in early childhood</w:t>
                            </w:r>
                            <w:r w:rsidRPr="007A0D9F">
                              <w:rPr>
                                <w:rFonts w:cstheme="minorHAnsi"/>
                                <w:b/>
                                <w:sz w:val="20"/>
                                <w:szCs w:val="20"/>
                              </w:rPr>
                              <w:t xml:space="preserve"> </w:t>
                            </w:r>
                            <w:r>
                              <w:rPr>
                                <w:rFonts w:cstheme="minorHAnsi"/>
                                <w:b/>
                                <w:sz w:val="20"/>
                                <w:szCs w:val="20"/>
                              </w:rPr>
                              <w:t>(</w:t>
                            </w:r>
                            <w:r>
                              <w:rPr>
                                <w:rFonts w:cstheme="minorHAnsi"/>
                                <w:sz w:val="20"/>
                                <w:szCs w:val="20"/>
                              </w:rPr>
                              <w:t xml:space="preserve">Perry </w:t>
                            </w:r>
                            <w:r w:rsidRPr="007A0D9F">
                              <w:rPr>
                                <w:rFonts w:cstheme="minorHAnsi"/>
                                <w:sz w:val="20"/>
                                <w:szCs w:val="20"/>
                              </w:rPr>
                              <w:t>2002). The dark areas in these scans are holes where neural connections have failed to be created. While children retain some brain plasticity into adulthood, it is almost impossible to recoup these losses.</w:t>
                            </w:r>
                          </w:p>
                          <w:p w:rsidR="00D50C7F" w:rsidRDefault="00D50C7F"/>
                          <w:p w:rsidR="00D50C7F" w:rsidRDefault="00D50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2pt;margin-top:0;width:227.4pt;height:224.4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" fillcolor="white [3201]" strokecolor="black [3200]" strokeweight="2pt">
                <v:textbox>
                  <w:txbxContent>
                    <w:p w:rsidR="00D50C7F" w:rsidRPr="007A0D9F" w:rsidRDefault="00D50C7F" w:rsidP="007A0D9F">
                      <w:pPr>
                        <w:pStyle w:val="Default"/>
                        <w:rPr>
                          <w:rFonts w:cstheme="minorHAnsi"/>
                          <w:b/>
                          <w:sz w:val="20"/>
                          <w:szCs w:val="20"/>
                        </w:rPr>
                      </w:pPr>
                      <w:r w:rsidRPr="006C235D">
                        <w:rPr>
                          <w:b/>
                          <w:noProof/>
                          <w:sz w:val="22"/>
                          <w:szCs w:val="22"/>
                          <w:lang w:eastAsia="en-AU"/>
                        </w:rPr>
                        <w:drawing>
                          <wp:inline distT="0" distB="0" distL="0" distR="0" wp14:anchorId="00BEC816" wp14:editId="320EB5EE">
                            <wp:extent cx="2705100" cy="1775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775460"/>
                                    </a:xfrm>
                                    <a:prstGeom prst="rect">
                                      <a:avLst/>
                                    </a:prstGeom>
                                    <a:noFill/>
                                    <a:ln>
                                      <a:noFill/>
                                    </a:ln>
                                  </pic:spPr>
                                </pic:pic>
                              </a:graphicData>
                            </a:graphic>
                          </wp:inline>
                        </w:drawing>
                      </w:r>
                      <w:r w:rsidRPr="007A0D9F">
                        <w:rPr>
                          <w:rFonts w:cstheme="minorHAnsi"/>
                          <w:b/>
                          <w:sz w:val="20"/>
                          <w:szCs w:val="20"/>
                        </w:rPr>
                        <w:t>Abnormal brain development following ext</w:t>
                      </w:r>
                      <w:r>
                        <w:rPr>
                          <w:rFonts w:cstheme="minorHAnsi"/>
                          <w:b/>
                          <w:sz w:val="20"/>
                          <w:szCs w:val="20"/>
                        </w:rPr>
                        <w:t>reme neglect in early childhood</w:t>
                      </w:r>
                      <w:r w:rsidRPr="007A0D9F">
                        <w:rPr>
                          <w:rFonts w:cstheme="minorHAnsi"/>
                          <w:b/>
                          <w:sz w:val="20"/>
                          <w:szCs w:val="20"/>
                        </w:rPr>
                        <w:t xml:space="preserve"> </w:t>
                      </w:r>
                      <w:r>
                        <w:rPr>
                          <w:rFonts w:cstheme="minorHAnsi"/>
                          <w:b/>
                          <w:sz w:val="20"/>
                          <w:szCs w:val="20"/>
                        </w:rPr>
                        <w:t>(</w:t>
                      </w:r>
                      <w:r>
                        <w:rPr>
                          <w:rFonts w:cstheme="minorHAnsi"/>
                          <w:sz w:val="20"/>
                          <w:szCs w:val="20"/>
                        </w:rPr>
                        <w:t xml:space="preserve">Perry </w:t>
                      </w:r>
                      <w:r w:rsidRPr="007A0D9F">
                        <w:rPr>
                          <w:rFonts w:cstheme="minorHAnsi"/>
                          <w:sz w:val="20"/>
                          <w:szCs w:val="20"/>
                        </w:rPr>
                        <w:t>2002). The dark areas in these scans are holes where neural connections have failed to be created. While children retain some brain plasticity into adulthood, it is almost impossible to recoup these losses.</w:t>
                      </w:r>
                    </w:p>
                    <w:p w:rsidR="00D50C7F" w:rsidRDefault="00D50C7F"/>
                    <w:p w:rsidR="00D50C7F" w:rsidRDefault="00D50C7F"/>
                  </w:txbxContent>
                </v:textbox>
                <w10:wrap type="square" anchorx="margin" anchory="margin"/>
              </v:shape>
            </w:pict>
          </mc:Fallback>
        </mc:AlternateContent>
      </w:r>
      <w:r w:rsidR="005748D0" w:rsidRPr="000E7EAB">
        <w:rPr>
          <w:sz w:val="28"/>
          <w:szCs w:val="28"/>
        </w:rPr>
        <w:t>Access to Quality</w:t>
      </w:r>
      <w:r w:rsidR="00A230ED">
        <w:rPr>
          <w:sz w:val="28"/>
          <w:szCs w:val="28"/>
        </w:rPr>
        <w:t xml:space="preserve"> Child Care and Early Learning Prevents Irreversible H</w:t>
      </w:r>
      <w:r w:rsidR="005748D0" w:rsidRPr="000E7EAB">
        <w:rPr>
          <w:sz w:val="28"/>
          <w:szCs w:val="28"/>
        </w:rPr>
        <w:t xml:space="preserve">arm </w:t>
      </w:r>
      <w:r w:rsidR="004C784A">
        <w:rPr>
          <w:sz w:val="28"/>
          <w:szCs w:val="28"/>
        </w:rPr>
        <w:t xml:space="preserve">to </w:t>
      </w:r>
      <w:r w:rsidR="00154E0C">
        <w:rPr>
          <w:sz w:val="28"/>
          <w:szCs w:val="28"/>
        </w:rPr>
        <w:t xml:space="preserve">Vulnerable </w:t>
      </w:r>
      <w:r w:rsidR="004C784A">
        <w:rPr>
          <w:sz w:val="28"/>
          <w:szCs w:val="28"/>
        </w:rPr>
        <w:t xml:space="preserve">Children </w:t>
      </w:r>
      <w:r w:rsidR="005748D0" w:rsidRPr="000E7EAB">
        <w:rPr>
          <w:sz w:val="28"/>
          <w:szCs w:val="28"/>
        </w:rPr>
        <w:t xml:space="preserve">and </w:t>
      </w:r>
      <w:r w:rsidR="00A230ED">
        <w:rPr>
          <w:sz w:val="28"/>
          <w:szCs w:val="28"/>
        </w:rPr>
        <w:t>Benefits the C</w:t>
      </w:r>
      <w:r w:rsidR="005748D0" w:rsidRPr="000E7EAB">
        <w:rPr>
          <w:sz w:val="28"/>
          <w:szCs w:val="28"/>
        </w:rPr>
        <w:t>ommunity</w:t>
      </w:r>
    </w:p>
    <w:p w:rsidR="00CE4BB6" w:rsidRDefault="00CE4BB6"/>
    <w:p w:rsidR="007A0D9F" w:rsidRDefault="005748D0" w:rsidP="001368B2">
      <w:r>
        <w:t xml:space="preserve">When denied access to safe and nurturing learning environments, vulnerable children are at risk of irreversible harm.  </w:t>
      </w:r>
      <w:r w:rsidR="00F4299E">
        <w:t xml:space="preserve">Development in infancy and early childhood occurs at a more rapid pace than any other time of life. Stable, predictable, nurturing care that includes a stimulating environment is necessary throughout infancy and early childhood to enable healthy physical, cognitive, language, social and emotional development.  Abuse and entrenched neglect can impair all aspects of young children’s growth and development. Parent-child child attachment relationships </w:t>
      </w:r>
      <w:r w:rsidR="00F4299E">
        <w:lastRenderedPageBreak/>
        <w:t>characterised by abuse, neglect and traumatic interactions are a source of toxic stress for children, causing physiological stress responses (e.g. cortisol levels) to remain activated at high levels over prolonged time periods. This can damage developing brain architecture thereby impairing the child’s capacity to regulate their emotions and develop healthy and adaptive responses to stress. This in turn leads to lifelong problems in learning, behaviour</w:t>
      </w:r>
      <w:r w:rsidR="001368B2">
        <w:t>,</w:t>
      </w:r>
      <w:r w:rsidR="00F4299E">
        <w:t xml:space="preserve"> and physical and mental health and increases the risk of parenting problems, disturbed paren</w:t>
      </w:r>
      <w:r w:rsidR="001368B2">
        <w:t xml:space="preserve">t-child relationships, and abuse </w:t>
      </w:r>
      <w:r w:rsidR="00F4299E">
        <w:t>and</w:t>
      </w:r>
      <w:r w:rsidR="007A0D9F">
        <w:t xml:space="preserve"> neglect in the next generation</w:t>
      </w:r>
      <w:r w:rsidR="00664A1E">
        <w:t xml:space="preserve"> (</w:t>
      </w:r>
      <w:r w:rsidR="00A230ED">
        <w:t>Perry 20002, CODC 2010, AAP 2012, and NSCDC 2012</w:t>
      </w:r>
      <w:r w:rsidR="00664A1E">
        <w:t>)</w:t>
      </w:r>
      <w:r w:rsidR="00A230ED">
        <w:t>.</w:t>
      </w:r>
    </w:p>
    <w:p w:rsidR="00F4299E" w:rsidRDefault="00F4299E" w:rsidP="00F4299E">
      <w:r>
        <w:t>Gaps in cognitive and social skills that develop between children early in life become entrenched in later years. This happens because skill development is dynamic and hierarchical – children who miss out at an early age lack the necessary building blocks and foundation for subsequent learning. Children with deficits in their cognitive and social skills before the age of five therefore are likely to have these deficits persist into later life, and these deficits then become the basis of problems such as low education attainment, unemployment, teenage pregnancy, and involvement in crime. From Neurons to Neighbourhoods, a review of research on early childhood development by the National Research Council and Institute of Medicine in the United States concluded that: ‘Virtually every aspect of early human development, from the brain’s evolving circuitry to the child’s capacity for empathy, is affected by the environment and experiences that are encountered in a cumulative fashion, beginning in the pre-natal period and extending throughou</w:t>
      </w:r>
      <w:r w:rsidR="000B115F">
        <w:t xml:space="preserve">t the early childhood years (p </w:t>
      </w:r>
      <w:r>
        <w:t>6).</w:t>
      </w:r>
      <w:r w:rsidR="000B115F">
        <w:t>’</w:t>
      </w:r>
    </w:p>
    <w:p w:rsidR="00F4299E" w:rsidRDefault="00F4299E" w:rsidP="00F4299E">
      <w:r>
        <w:t>A variety of early years childcare and education programs targeting disadvantaged children have been implemented in the United States and United Kingdom. In the US, the Perry Preschool program randomly assigned 123 three and four year olds from a low income African American neighbourhood to an intensive early intervention program. The outcomes for the intervention group were superior to the control group in terms of educational attainment, income, and behavioural risk factors. Participants performed better on literacy tests, high school graduation rates were 20 percentage points higher compared to the control group, and a higher proportion went on to university. Another example is the Abecedarian Project which began in North Carolina in the 1970s, with 111 infants randomly assigned to either an intervention group or a control group. There were substantial academic benefits for those children assigned to the high quality early intervention program. These children scored significantly higher on tests of reading and maths from the primary grades through to middle adolescence and had higher high school graduation rates and higher participation rates in tertiary education. There were also significant health benefits with program participants less likely to smoke. More generally, reviews of early years education programs in the United States find consistently positive outcomes using measures of the benefit-cost to society. Karoly et al. and Cunha and Heckman calculate that the return on investments at least 8:1 for early childhood development programs</w:t>
      </w:r>
      <w:r w:rsidR="00A95542">
        <w:t xml:space="preserve"> </w:t>
      </w:r>
      <w:r w:rsidR="000F5DDF">
        <w:t>(as opposed to only about 3:1 in primary and secondary education)</w:t>
      </w:r>
      <w:r>
        <w:t>. Similarly, Van der Gaag estimated that every $1 invested in early childhood programs provides a minimum return to society of $3.</w:t>
      </w:r>
    </w:p>
    <w:p w:rsidR="00C67A92" w:rsidRDefault="009C0F3F">
      <w:r>
        <w:t>W</w:t>
      </w:r>
      <w:r w:rsidR="00F4299E">
        <w:t>hen famil</w:t>
      </w:r>
      <w:r>
        <w:t>i</w:t>
      </w:r>
      <w:r w:rsidR="00F4299E">
        <w:t>es are struggling to provide safe and nurturing environments for their children</w:t>
      </w:r>
      <w:r>
        <w:t>,</w:t>
      </w:r>
      <w:r w:rsidR="00F4299E">
        <w:t xml:space="preserve"> a</w:t>
      </w:r>
      <w:r w:rsidR="001368B2">
        <w:t>c</w:t>
      </w:r>
      <w:r w:rsidR="00F4299E">
        <w:t xml:space="preserve">cess to quality </w:t>
      </w:r>
      <w:r>
        <w:t>child care and early learning</w:t>
      </w:r>
      <w:r w:rsidR="00F4299E">
        <w:t xml:space="preserve"> is critical to en</w:t>
      </w:r>
      <w:r>
        <w:t>s</w:t>
      </w:r>
      <w:r w:rsidR="00F4299E">
        <w:t>ure that their children’s development is not compromised. Access to</w:t>
      </w:r>
      <w:r>
        <w:t xml:space="preserve"> care</w:t>
      </w:r>
      <w:r w:rsidR="00F4299E">
        <w:t xml:space="preserve"> can help families stay together and where this is not possible, en</w:t>
      </w:r>
      <w:r w:rsidR="002A7293">
        <w:t>rolment can provide stability</w:t>
      </w:r>
      <w:r w:rsidR="00F4299E">
        <w:t xml:space="preserve"> when children are relocated (and frequently r</w:t>
      </w:r>
      <w:r w:rsidR="002A7293">
        <w:t>e-</w:t>
      </w:r>
      <w:r w:rsidR="00F4299E">
        <w:t>relocated) to safer environments</w:t>
      </w:r>
      <w:r>
        <w:t>.</w:t>
      </w:r>
    </w:p>
    <w:p w:rsidR="00A230ED" w:rsidRDefault="00A230ED"/>
    <w:p w:rsidR="00FB396D" w:rsidRPr="000E7EAB" w:rsidRDefault="00A062E1" w:rsidP="000E7EAB">
      <w:pPr>
        <w:jc w:val="center"/>
        <w:rPr>
          <w:sz w:val="28"/>
          <w:szCs w:val="28"/>
        </w:rPr>
      </w:pPr>
      <w:r w:rsidRPr="000E7EAB">
        <w:rPr>
          <w:sz w:val="28"/>
          <w:szCs w:val="28"/>
        </w:rPr>
        <w:t>The Special Child</w:t>
      </w:r>
      <w:r w:rsidR="007C3F6C" w:rsidRPr="000E7EAB">
        <w:rPr>
          <w:sz w:val="28"/>
          <w:szCs w:val="28"/>
        </w:rPr>
        <w:t xml:space="preserve"> C</w:t>
      </w:r>
      <w:r w:rsidRPr="000E7EAB">
        <w:rPr>
          <w:sz w:val="28"/>
          <w:szCs w:val="28"/>
        </w:rPr>
        <w:t>are Benefit</w:t>
      </w:r>
      <w:r w:rsidR="000E7EAB">
        <w:rPr>
          <w:sz w:val="28"/>
          <w:szCs w:val="28"/>
        </w:rPr>
        <w:t xml:space="preserve"> for at Risk C</w:t>
      </w:r>
      <w:r w:rsidR="00977F4F" w:rsidRPr="000E7EAB">
        <w:rPr>
          <w:sz w:val="28"/>
          <w:szCs w:val="28"/>
        </w:rPr>
        <w:t>hildren</w:t>
      </w:r>
      <w:r w:rsidR="000E7EAB">
        <w:rPr>
          <w:sz w:val="28"/>
          <w:szCs w:val="28"/>
        </w:rPr>
        <w:t xml:space="preserve">: </w:t>
      </w:r>
      <w:r w:rsidR="000E7EAB">
        <w:rPr>
          <w:sz w:val="28"/>
          <w:szCs w:val="28"/>
        </w:rPr>
        <w:br/>
        <w:t>Good I</w:t>
      </w:r>
      <w:r w:rsidRPr="000E7EAB">
        <w:rPr>
          <w:sz w:val="28"/>
          <w:szCs w:val="28"/>
        </w:rPr>
        <w:t xml:space="preserve">ntent </w:t>
      </w:r>
      <w:r w:rsidR="000E7EAB">
        <w:rPr>
          <w:sz w:val="28"/>
          <w:szCs w:val="28"/>
        </w:rPr>
        <w:t>F</w:t>
      </w:r>
      <w:r w:rsidR="00977F4F" w:rsidRPr="000E7EAB">
        <w:rPr>
          <w:sz w:val="28"/>
          <w:szCs w:val="28"/>
        </w:rPr>
        <w:t>rustrated</w:t>
      </w:r>
      <w:r w:rsidR="000E7EAB">
        <w:rPr>
          <w:sz w:val="28"/>
          <w:szCs w:val="28"/>
        </w:rPr>
        <w:t xml:space="preserve"> by Red T</w:t>
      </w:r>
      <w:r w:rsidRPr="000E7EAB">
        <w:rPr>
          <w:sz w:val="28"/>
          <w:szCs w:val="28"/>
        </w:rPr>
        <w:t>ape</w:t>
      </w:r>
    </w:p>
    <w:p w:rsidR="00A062E1" w:rsidRDefault="00785704">
      <w:r>
        <w:t xml:space="preserve">Section 47 of </w:t>
      </w:r>
      <w:r w:rsidR="00A062E1">
        <w:t xml:space="preserve"> </w:t>
      </w:r>
      <w:r>
        <w:t>A New Tax System (</w:t>
      </w:r>
      <w:r w:rsidR="00A062E1">
        <w:t>Family Assistance Act</w:t>
      </w:r>
      <w:r>
        <w:t>)</w:t>
      </w:r>
      <w:r w:rsidR="00A062E1">
        <w:t xml:space="preserve"> of 1999 recognises the needs of vulnerable children and their families by </w:t>
      </w:r>
      <w:r w:rsidRPr="00785704">
        <w:t xml:space="preserve">allowing </w:t>
      </w:r>
      <w:r>
        <w:t xml:space="preserve">for </w:t>
      </w:r>
      <w:r w:rsidRPr="00785704">
        <w:rPr>
          <w:rStyle w:val="CharSubdText"/>
        </w:rPr>
        <w:t>child care benefit by fee reduction for care provided by the service to a child at risk</w:t>
      </w:r>
      <w:r>
        <w:t xml:space="preserve"> for a period of up to 13 weeks once </w:t>
      </w:r>
      <w:r w:rsidR="00027305">
        <w:t>each financial</w:t>
      </w:r>
      <w:r>
        <w:t xml:space="preserve"> year. This is </w:t>
      </w:r>
      <w:r w:rsidR="00BC17B8">
        <w:t xml:space="preserve">one of the two categories of </w:t>
      </w:r>
      <w:r w:rsidR="00A062E1">
        <w:t>Special Childcare Benefit</w:t>
      </w:r>
      <w:r w:rsidR="00110773">
        <w:t xml:space="preserve"> (SCCB); t</w:t>
      </w:r>
      <w:r w:rsidR="00BC17B8">
        <w:t xml:space="preserve">he second category </w:t>
      </w:r>
      <w:r w:rsidR="00110773">
        <w:t>addresses temporary economic hardship.</w:t>
      </w:r>
    </w:p>
    <w:p w:rsidR="00977F4F" w:rsidRPr="00977F4F" w:rsidRDefault="00BC17B8" w:rsidP="00977F4F">
      <w:pPr>
        <w:pStyle w:val="paragraph"/>
        <w:rPr>
          <w:rFonts w:asciiTheme="minorHAnsi" w:hAnsiTheme="minorHAnsi"/>
        </w:rPr>
      </w:pPr>
      <w:r w:rsidRPr="00977F4F">
        <w:rPr>
          <w:rFonts w:asciiTheme="minorHAnsi" w:hAnsiTheme="minorHAnsi"/>
        </w:rPr>
        <w:t>In the first instance</w:t>
      </w:r>
      <w:r w:rsidR="00977F4F" w:rsidRPr="00977F4F">
        <w:rPr>
          <w:rFonts w:asciiTheme="minorHAnsi" w:hAnsiTheme="minorHAnsi"/>
        </w:rPr>
        <w:t>,</w:t>
      </w:r>
      <w:r w:rsidRPr="00977F4F">
        <w:rPr>
          <w:rFonts w:asciiTheme="minorHAnsi" w:hAnsiTheme="minorHAnsi"/>
        </w:rPr>
        <w:t xml:space="preserve"> eligibility is determined by the child care service</w:t>
      </w:r>
      <w:r w:rsidR="00977F4F" w:rsidRPr="00977F4F">
        <w:rPr>
          <w:rFonts w:asciiTheme="minorHAnsi" w:hAnsiTheme="minorHAnsi"/>
        </w:rPr>
        <w:t xml:space="preserve"> itself. All that is required is that: </w:t>
      </w:r>
    </w:p>
    <w:p w:rsidR="00977F4F" w:rsidRPr="00977F4F" w:rsidRDefault="00977F4F" w:rsidP="00977F4F">
      <w:pPr>
        <w:pStyle w:val="paragraph"/>
        <w:rPr>
          <w:rFonts w:asciiTheme="minorHAnsi" w:hAnsiTheme="minorHAnsi"/>
        </w:rPr>
      </w:pPr>
    </w:p>
    <w:p w:rsidR="00977F4F" w:rsidRPr="00977F4F" w:rsidRDefault="00977F4F" w:rsidP="00977F4F">
      <w:pPr>
        <w:pStyle w:val="paragraph"/>
        <w:tabs>
          <w:tab w:val="clear" w:pos="1531"/>
          <w:tab w:val="right" w:pos="1134"/>
        </w:tabs>
        <w:ind w:left="1134" w:firstLine="0"/>
        <w:rPr>
          <w:rFonts w:asciiTheme="minorHAnsi" w:hAnsiTheme="minorHAnsi"/>
        </w:rPr>
      </w:pPr>
      <w:r w:rsidRPr="00977F4F">
        <w:rPr>
          <w:rFonts w:asciiTheme="minorHAnsi" w:hAnsiTheme="minorHAnsi"/>
        </w:rPr>
        <w:t>(a)</w:t>
      </w:r>
      <w:r w:rsidRPr="00977F4F">
        <w:rPr>
          <w:rFonts w:asciiTheme="minorHAnsi" w:hAnsiTheme="minorHAnsi"/>
        </w:rPr>
        <w:tab/>
        <w:t>at the time the care is provided, the service believes the child is at risk of serious abuse or neglect; and</w:t>
      </w:r>
    </w:p>
    <w:p w:rsidR="00977F4F" w:rsidRPr="00977F4F" w:rsidRDefault="00977F4F" w:rsidP="00977F4F">
      <w:pPr>
        <w:pStyle w:val="paragraph"/>
        <w:tabs>
          <w:tab w:val="clear" w:pos="1531"/>
          <w:tab w:val="right" w:pos="1134"/>
        </w:tabs>
        <w:ind w:left="1134" w:firstLine="0"/>
        <w:rPr>
          <w:rFonts w:asciiTheme="minorHAnsi" w:hAnsiTheme="minorHAnsi"/>
        </w:rPr>
      </w:pPr>
      <w:r w:rsidRPr="00977F4F">
        <w:rPr>
          <w:rFonts w:asciiTheme="minorHAnsi" w:hAnsiTheme="minorHAnsi"/>
        </w:rPr>
        <w:t>(b) th</w:t>
      </w:r>
      <w:r w:rsidR="007C3F6C">
        <w:rPr>
          <w:rFonts w:asciiTheme="minorHAnsi" w:hAnsiTheme="minorHAnsi"/>
        </w:rPr>
        <w:t>e care is provided in Australia</w:t>
      </w:r>
      <w:r>
        <w:rPr>
          <w:rFonts w:asciiTheme="minorHAnsi" w:hAnsiTheme="minorHAnsi"/>
        </w:rPr>
        <w:t xml:space="preserve"> </w:t>
      </w:r>
      <w:r w:rsidR="007C3F6C">
        <w:rPr>
          <w:rFonts w:asciiTheme="minorHAnsi" w:hAnsiTheme="minorHAnsi"/>
        </w:rPr>
        <w:t>(</w:t>
      </w:r>
      <w:r>
        <w:rPr>
          <w:rFonts w:asciiTheme="minorHAnsi" w:hAnsiTheme="minorHAnsi"/>
        </w:rPr>
        <w:t>47(1)</w:t>
      </w:r>
      <w:r w:rsidR="004D5314">
        <w:rPr>
          <w:rFonts w:asciiTheme="minorHAnsi" w:hAnsiTheme="minorHAnsi"/>
        </w:rPr>
        <w:t>)</w:t>
      </w:r>
      <w:r w:rsidR="007C3F6C">
        <w:rPr>
          <w:rFonts w:asciiTheme="minorHAnsi" w:hAnsiTheme="minorHAnsi"/>
        </w:rPr>
        <w:t>.</w:t>
      </w:r>
    </w:p>
    <w:p w:rsidR="00977F4F" w:rsidRPr="0084060E" w:rsidRDefault="00977F4F" w:rsidP="00977F4F">
      <w:pPr>
        <w:pStyle w:val="paragraph"/>
        <w:tabs>
          <w:tab w:val="clear" w:pos="1531"/>
          <w:tab w:val="right" w:pos="1134"/>
        </w:tabs>
        <w:ind w:left="1134" w:firstLine="0"/>
        <w:rPr>
          <w:highlight w:val="yellow"/>
        </w:rPr>
      </w:pPr>
    </w:p>
    <w:p w:rsidR="00977F4F" w:rsidRDefault="00027305">
      <w:r>
        <w:t>Services</w:t>
      </w:r>
      <w:r w:rsidR="00BC17B8">
        <w:t xml:space="preserve"> </w:t>
      </w:r>
      <w:r w:rsidR="001C79BB">
        <w:t>determine the initial number of weeks of fee reduction, the weekly limit of hours the child can attend, and the amount of fee reduction, which can be up to 100% of the service’s usual fee.</w:t>
      </w:r>
      <w:r w:rsidR="004A427B">
        <w:t xml:space="preserve"> The child care s</w:t>
      </w:r>
      <w:r w:rsidR="001C79BB">
        <w:t xml:space="preserve">ervice is supposed to complete a claim form and retain the form for its own records for 36 months </w:t>
      </w:r>
      <w:r w:rsidR="002A72C4">
        <w:t>(</w:t>
      </w:r>
      <w:r w:rsidR="004101E6">
        <w:t xml:space="preserve">DEEWR </w:t>
      </w:r>
      <w:r w:rsidR="00F0287D">
        <w:t>(</w:t>
      </w:r>
      <w:r w:rsidR="004101E6">
        <w:t>2012</w:t>
      </w:r>
      <w:r w:rsidR="00F0287D">
        <w:t>)</w:t>
      </w:r>
      <w:r w:rsidR="004101E6">
        <w:t xml:space="preserve">, </w:t>
      </w:r>
      <w:r w:rsidR="002A72C4">
        <w:t>p</w:t>
      </w:r>
      <w:r w:rsidR="004101E6">
        <w:t xml:space="preserve"> </w:t>
      </w:r>
      <w:r w:rsidR="002A72C4">
        <w:t>213). While services are encouraged to seek it out, t</w:t>
      </w:r>
      <w:r w:rsidR="001C79BB">
        <w:t xml:space="preserve">here is no requirement to </w:t>
      </w:r>
      <w:r w:rsidR="002A72C4">
        <w:t>include</w:t>
      </w:r>
      <w:r w:rsidR="001C79BB">
        <w:t xml:space="preserve"> independent </w:t>
      </w:r>
      <w:r w:rsidR="004101E6">
        <w:t>support</w:t>
      </w:r>
      <w:r w:rsidR="00F70FB1">
        <w:t>ing documentation</w:t>
      </w:r>
      <w:r w:rsidR="004101E6">
        <w:t xml:space="preserve"> in the initial </w:t>
      </w:r>
      <w:r w:rsidR="00F70FB1">
        <w:t>paperwork</w:t>
      </w:r>
      <w:r w:rsidR="001C79BB">
        <w:t xml:space="preserve">. </w:t>
      </w:r>
      <w:r w:rsidR="004A427B">
        <w:t xml:space="preserve">The service’s </w:t>
      </w:r>
      <w:r w:rsidR="0020060B">
        <w:t xml:space="preserve">initial </w:t>
      </w:r>
      <w:r w:rsidR="004A427B">
        <w:t xml:space="preserve">decision to approve SCCB </w:t>
      </w:r>
      <w:r w:rsidR="001370D0">
        <w:t>(or not approve) is not reviewable</w:t>
      </w:r>
      <w:r w:rsidR="004101E6">
        <w:t xml:space="preserve"> by the Commonwealth</w:t>
      </w:r>
      <w:r w:rsidR="004A427B">
        <w:t xml:space="preserve"> (</w:t>
      </w:r>
      <w:r w:rsidR="004101E6">
        <w:t xml:space="preserve">p </w:t>
      </w:r>
      <w:r w:rsidR="004A427B">
        <w:t>210)</w:t>
      </w:r>
      <w:r w:rsidR="004101E6">
        <w:t>.</w:t>
      </w:r>
      <w:r w:rsidR="004A427B">
        <w:t xml:space="preserve"> </w:t>
      </w:r>
      <w:r w:rsidR="008E369D">
        <w:t>The total amount of the SCCB, both for children at risk of serious abuse or neglect and families experiencing temporary economic hardship, that a service can approve in one quarter is limited to 18 per cent of the total CCB paid to the ser</w:t>
      </w:r>
      <w:r w:rsidR="00F70FB1">
        <w:t>vice in the quarter before last</w:t>
      </w:r>
      <w:r w:rsidR="008E369D">
        <w:t xml:space="preserve"> (pp 203-228</w:t>
      </w:r>
      <w:r w:rsidR="00110773">
        <w:t>)</w:t>
      </w:r>
      <w:r w:rsidR="00F70FB1">
        <w:t>.</w:t>
      </w:r>
      <w:r w:rsidR="00CB009E">
        <w:t xml:space="preserve"> </w:t>
      </w:r>
      <w:r w:rsidR="00110773">
        <w:t xml:space="preserve">This </w:t>
      </w:r>
      <w:r w:rsidR="00BF449A">
        <w:t>ceiling</w:t>
      </w:r>
      <w:r w:rsidR="00110773">
        <w:t xml:space="preserve"> can be raised </w:t>
      </w:r>
      <w:r w:rsidR="00CB009E">
        <w:t xml:space="preserve">can be </w:t>
      </w:r>
      <w:r w:rsidR="00110773">
        <w:t>raised</w:t>
      </w:r>
      <w:r w:rsidR="00CB009E">
        <w:t xml:space="preserve"> by the Commonwealth Department of Early Childhood and Education</w:t>
      </w:r>
      <w:r w:rsidR="00BF449A">
        <w:t>.</w:t>
      </w:r>
    </w:p>
    <w:p w:rsidR="004A427B" w:rsidRDefault="0020060B">
      <w:r>
        <w:t>After a child care service has made an initial determination of eligibility, f</w:t>
      </w:r>
      <w:r w:rsidR="004A427B">
        <w:t xml:space="preserve">urther periods of up to 13 weeks can be approved by the Commonwealth on application. </w:t>
      </w:r>
      <w:r w:rsidR="003F49DD">
        <w:t xml:space="preserve">There is no limit to the number of times this SCCB can be renewed, nor is there an upper limit of funding as a percentage of a service’s total CCB funding.  </w:t>
      </w:r>
      <w:r w:rsidR="001370D0">
        <w:t>These applications are made to the Special Child Care Assessment Team (SC</w:t>
      </w:r>
      <w:r w:rsidR="00FF76BF">
        <w:t>C</w:t>
      </w:r>
      <w:r w:rsidR="001370D0">
        <w:t>AT) in the Department of Human Services (DHS). A</w:t>
      </w:r>
      <w:r w:rsidR="004A427B">
        <w:t>pprovals are made on a case-by-case ba</w:t>
      </w:r>
      <w:r w:rsidR="008E369D">
        <w:t>s</w:t>
      </w:r>
      <w:r w:rsidR="004A427B">
        <w:t xml:space="preserve">is and </w:t>
      </w:r>
      <w:r w:rsidR="00253623">
        <w:t>SC</w:t>
      </w:r>
      <w:r w:rsidR="00FF76BF">
        <w:t>C</w:t>
      </w:r>
      <w:r w:rsidR="00253623">
        <w:t>AT relies on the child care service</w:t>
      </w:r>
      <w:r w:rsidR="004A427B">
        <w:t xml:space="preserve"> </w:t>
      </w:r>
      <w:r w:rsidR="00253623">
        <w:t>to assemble sufficient evidence of ab</w:t>
      </w:r>
      <w:r w:rsidR="00F70FB1">
        <w:t xml:space="preserve">use and neglect. While the DEEWR </w:t>
      </w:r>
      <w:r w:rsidR="00F70FB1" w:rsidRPr="00F70FB1">
        <w:rPr>
          <w:i/>
        </w:rPr>
        <w:t>Child Care Service Hand</w:t>
      </w:r>
      <w:r w:rsidR="00253623" w:rsidRPr="00F70FB1">
        <w:rPr>
          <w:i/>
        </w:rPr>
        <w:t>book</w:t>
      </w:r>
      <w:r w:rsidR="00253623">
        <w:t xml:space="preserve"> and the </w:t>
      </w:r>
      <w:r w:rsidR="00F70FB1">
        <w:t xml:space="preserve">DEEWR and DHS </w:t>
      </w:r>
      <w:r w:rsidR="00F70FB1" w:rsidRPr="00F70FB1">
        <w:rPr>
          <w:i/>
        </w:rPr>
        <w:t>A</w:t>
      </w:r>
      <w:r w:rsidR="00F70FB1">
        <w:rPr>
          <w:i/>
        </w:rPr>
        <w:t xml:space="preserve"> </w:t>
      </w:r>
      <w:r w:rsidR="00253623" w:rsidRPr="00F70FB1">
        <w:rPr>
          <w:i/>
        </w:rPr>
        <w:t xml:space="preserve">Guide </w:t>
      </w:r>
      <w:r w:rsidR="00F70FB1" w:rsidRPr="00F70FB1">
        <w:rPr>
          <w:i/>
        </w:rPr>
        <w:t>to Special Child Care Benefit</w:t>
      </w:r>
      <w:r w:rsidR="00F70FB1">
        <w:t xml:space="preserve"> </w:t>
      </w:r>
      <w:r w:rsidR="00253623">
        <w:t xml:space="preserve">provide some direction on the kind of evidence </w:t>
      </w:r>
      <w:r w:rsidR="00AC181A">
        <w:t xml:space="preserve">that would be accepted, </w:t>
      </w:r>
      <w:r w:rsidR="00253623">
        <w:t xml:space="preserve">it is </w:t>
      </w:r>
      <w:r w:rsidR="00AC181A">
        <w:t>very open-ended.</w:t>
      </w:r>
      <w:r w:rsidR="00253623">
        <w:t xml:space="preserve"> Rather than defining a</w:t>
      </w:r>
      <w:r w:rsidR="00C80A0B">
        <w:t xml:space="preserve"> </w:t>
      </w:r>
      <w:r w:rsidR="00253623">
        <w:t xml:space="preserve">clear standard </w:t>
      </w:r>
      <w:r w:rsidR="00AC181A">
        <w:t>for documentary</w:t>
      </w:r>
      <w:r w:rsidR="00253623">
        <w:t xml:space="preserve"> evidence</w:t>
      </w:r>
      <w:r w:rsidR="00AC181A">
        <w:t>,</w:t>
      </w:r>
      <w:r w:rsidR="00253623">
        <w:t xml:space="preserve"> service</w:t>
      </w:r>
      <w:r w:rsidR="00AC181A">
        <w:t>s</w:t>
      </w:r>
      <w:r w:rsidR="00253623">
        <w:t xml:space="preserve"> are urged to provide as much as possible</w:t>
      </w:r>
      <w:r w:rsidR="00AC181A">
        <w:t>.</w:t>
      </w:r>
    </w:p>
    <w:p w:rsidR="00B74FE3" w:rsidRPr="00B74FE3" w:rsidRDefault="00B74FE3" w:rsidP="00B74FE3">
      <w:pPr>
        <w:pStyle w:val="Brief-BULLET"/>
        <w:numPr>
          <w:ilvl w:val="0"/>
          <w:numId w:val="0"/>
        </w:numPr>
        <w:ind w:left="720"/>
        <w:rPr>
          <w:sz w:val="22"/>
          <w:szCs w:val="22"/>
        </w:rPr>
      </w:pPr>
      <w:r w:rsidRPr="00B74FE3">
        <w:rPr>
          <w:sz w:val="22"/>
          <w:szCs w:val="22"/>
        </w:rPr>
        <w:t>Child care services are responsible for providing sufficient information to allow DHS to make a reasonable assessment of the application. It is expected that as much documentary evidence as possible is provided to support a SCCB</w:t>
      </w:r>
      <w:r>
        <w:rPr>
          <w:sz w:val="22"/>
          <w:szCs w:val="22"/>
        </w:rPr>
        <w:t xml:space="preserve"> </w:t>
      </w:r>
      <w:r w:rsidRPr="00D741C2">
        <w:rPr>
          <w:sz w:val="22"/>
          <w:szCs w:val="22"/>
        </w:rPr>
        <w:t>application</w:t>
      </w:r>
      <w:r w:rsidR="00F70FB1">
        <w:rPr>
          <w:sz w:val="22"/>
          <w:szCs w:val="22"/>
        </w:rPr>
        <w:t xml:space="preserve"> (DEEWR and DHS (</w:t>
      </w:r>
      <w:r w:rsidR="00D741C2" w:rsidRPr="00D741C2">
        <w:rPr>
          <w:sz w:val="22"/>
          <w:szCs w:val="22"/>
        </w:rPr>
        <w:t>2012)</w:t>
      </w:r>
      <w:r w:rsidR="00F70FB1">
        <w:rPr>
          <w:sz w:val="22"/>
          <w:szCs w:val="22"/>
        </w:rPr>
        <w:t>, p 11)</w:t>
      </w:r>
      <w:r w:rsidRPr="00D741C2">
        <w:rPr>
          <w:sz w:val="22"/>
          <w:szCs w:val="22"/>
        </w:rPr>
        <w:t>.</w:t>
      </w:r>
    </w:p>
    <w:p w:rsidR="00AC181A" w:rsidRDefault="00AC181A" w:rsidP="00AC181A">
      <w:pPr>
        <w:ind w:left="720"/>
      </w:pPr>
    </w:p>
    <w:p w:rsidR="00C80D32" w:rsidRDefault="00C80D32" w:rsidP="00C80D32">
      <w:r>
        <w:lastRenderedPageBreak/>
        <w:t>While the formation of SC</w:t>
      </w:r>
      <w:r w:rsidR="00FF76BF">
        <w:t>C</w:t>
      </w:r>
      <w:r>
        <w:t>AT has improved the consistency of approvals</w:t>
      </w:r>
      <w:r w:rsidR="00FF76BF">
        <w:t>, there is no certainty that SCCB will be renewed, making it difficult for services to plan for places.</w:t>
      </w:r>
      <w:r>
        <w:t xml:space="preserve"> </w:t>
      </w:r>
    </w:p>
    <w:p w:rsidR="00656FE3" w:rsidRDefault="00656FE3">
      <w:r>
        <w:t xml:space="preserve">The </w:t>
      </w:r>
      <w:r w:rsidR="00F639C8">
        <w:t>flaw in</w:t>
      </w:r>
      <w:r>
        <w:t xml:space="preserve"> this </w:t>
      </w:r>
      <w:r w:rsidR="00F639C8">
        <w:t>process</w:t>
      </w:r>
      <w:r>
        <w:t xml:space="preserve"> is </w:t>
      </w:r>
      <w:r w:rsidR="00F639C8">
        <w:t xml:space="preserve">the mismatch between SCCB funding, which has been designed as a short term intervention, and the long term needs of vulnerable children. This generates a cycle of red tape and imposes high costs on any child care service that wishes to support vulnerable children </w:t>
      </w:r>
      <w:r w:rsidR="00FF76BF">
        <w:t>throughout</w:t>
      </w:r>
      <w:r w:rsidR="00F639C8">
        <w:t xml:space="preserve"> their critical formative years. </w:t>
      </w:r>
    </w:p>
    <w:p w:rsidR="00F0287D" w:rsidRDefault="00FF76BF">
      <w:r>
        <w:t xml:space="preserve">Child care services are </w:t>
      </w:r>
      <w:r w:rsidR="001910D9">
        <w:t>presu</w:t>
      </w:r>
      <w:r w:rsidR="003501A7">
        <w:t>med to have the expertise to ass</w:t>
      </w:r>
      <w:r w:rsidR="001910D9">
        <w:t xml:space="preserve">ess risk and are </w:t>
      </w:r>
      <w:r>
        <w:t xml:space="preserve">expected to bear the costs of making the case for each renewal of SCCB. </w:t>
      </w:r>
      <w:r w:rsidR="001910D9">
        <w:t xml:space="preserve">This includes </w:t>
      </w:r>
      <w:r w:rsidR="00D05612">
        <w:t xml:space="preserve">assembling </w:t>
      </w:r>
      <w:r w:rsidR="001910D9">
        <w:t xml:space="preserve">documentary evidence from </w:t>
      </w:r>
      <w:r w:rsidR="00D05612">
        <w:t xml:space="preserve">independent </w:t>
      </w:r>
      <w:r w:rsidR="001910D9">
        <w:t>agencies</w:t>
      </w:r>
      <w:r w:rsidR="00D05612">
        <w:t>, including child protection agencies, child and family welfare agencies, agencies specialising in mental health, family violence, family law, homelessness, drug and alcohol rehabilitation and indigenous services as well as professionals including medical practitioners, police, psychologists, teachers and principals, members of the clergy and counsellors</w:t>
      </w:r>
      <w:r w:rsidR="00F0287D">
        <w:t xml:space="preserve"> </w:t>
      </w:r>
      <w:r w:rsidR="00D22D7B">
        <w:t>(DEEWR (2012), pp 24-216; DEEWR and DHS (2012), p 35)</w:t>
      </w:r>
      <w:r w:rsidR="00D05612">
        <w:t>.</w:t>
      </w:r>
      <w:r w:rsidR="001910D9">
        <w:t xml:space="preserve"> </w:t>
      </w:r>
      <w:r w:rsidR="00F0287D">
        <w:t>Anecdotal evidence indicates that the preparation and assembly of each application takes at least three hours per child every 13 weeks. This time is spread out over many days as the child care services collect evidence from independent providers. If SCATT then requests additional information, as they seem to in a majority of cases, it can take an additional 2 or more hours per case. The overall process general</w:t>
      </w:r>
      <w:r w:rsidR="00F70FB1">
        <w:t>ly</w:t>
      </w:r>
      <w:r w:rsidR="00F0287D">
        <w:t xml:space="preserve"> takes three weeks or more from application to approval.</w:t>
      </w:r>
    </w:p>
    <w:p w:rsidR="00F639C8" w:rsidRDefault="00F0287D">
      <w:r>
        <w:t xml:space="preserve">Child care services bear the </w:t>
      </w:r>
      <w:r w:rsidR="00D05612">
        <w:t xml:space="preserve">cost of establishing and maintaining relationships with independent agencies and professionals and renewing the supporting documentation </w:t>
      </w:r>
      <w:r w:rsidR="00C97D4B">
        <w:t>every 13 weeks. Meanwhile</w:t>
      </w:r>
      <w:r w:rsidR="00D05612">
        <w:t xml:space="preserve">, the </w:t>
      </w:r>
      <w:r w:rsidR="00C97D4B">
        <w:t xml:space="preserve">risk factors </w:t>
      </w:r>
      <w:r w:rsidR="003F49DD">
        <w:t xml:space="preserve">for abuse and neglect are long term risks that in </w:t>
      </w:r>
      <w:r w:rsidR="00D05612">
        <w:t>almost all</w:t>
      </w:r>
      <w:r w:rsidR="003F49DD">
        <w:t xml:space="preserve"> cases persist throughout childhood. These risks are documented in </w:t>
      </w:r>
      <w:r w:rsidR="003F49DD" w:rsidRPr="00DA630E">
        <w:rPr>
          <w:i/>
        </w:rPr>
        <w:t>A Guide to Special Child Care Benefit</w:t>
      </w:r>
      <w:r w:rsidR="00DA630E">
        <w:t xml:space="preserve"> (DEEWR and DHS,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89"/>
      </w:tblGrid>
      <w:tr w:rsidR="003F49DD" w:rsidRPr="007415DD" w:rsidTr="008C279E">
        <w:tc>
          <w:tcPr>
            <w:tcW w:w="1908" w:type="dxa"/>
          </w:tcPr>
          <w:p w:rsidR="003F49DD" w:rsidRPr="007415DD" w:rsidRDefault="003F49DD" w:rsidP="008C279E">
            <w:pPr>
              <w:rPr>
                <w:rFonts w:cs="Arial"/>
                <w:b/>
              </w:rPr>
            </w:pPr>
          </w:p>
        </w:tc>
        <w:tc>
          <w:tcPr>
            <w:tcW w:w="6989" w:type="dxa"/>
          </w:tcPr>
          <w:p w:rsidR="003F49DD" w:rsidRPr="007415DD" w:rsidRDefault="003F49DD" w:rsidP="008C279E">
            <w:pPr>
              <w:rPr>
                <w:rFonts w:cs="Arial"/>
                <w:b/>
              </w:rPr>
            </w:pPr>
            <w:r w:rsidRPr="007415DD">
              <w:rPr>
                <w:rFonts w:cs="Arial"/>
                <w:b/>
              </w:rPr>
              <w:t>Risk Factors</w:t>
            </w:r>
          </w:p>
        </w:tc>
      </w:tr>
      <w:tr w:rsidR="003F49DD" w:rsidRPr="007415DD" w:rsidTr="008C279E">
        <w:tc>
          <w:tcPr>
            <w:tcW w:w="1908" w:type="dxa"/>
          </w:tcPr>
          <w:p w:rsidR="003F49DD" w:rsidRPr="007415DD" w:rsidRDefault="003F49DD" w:rsidP="008C279E">
            <w:pPr>
              <w:rPr>
                <w:rFonts w:cs="Arial"/>
                <w:b/>
              </w:rPr>
            </w:pPr>
            <w:r w:rsidRPr="007415DD">
              <w:rPr>
                <w:rFonts w:cs="Arial"/>
                <w:b/>
              </w:rPr>
              <w:t xml:space="preserve">Child </w:t>
            </w:r>
          </w:p>
        </w:tc>
        <w:tc>
          <w:tcPr>
            <w:tcW w:w="6989" w:type="dxa"/>
          </w:tcPr>
          <w:p w:rsidR="003F49DD" w:rsidRPr="00FF76BF" w:rsidRDefault="003F49DD" w:rsidP="008C279E">
            <w:pPr>
              <w:pStyle w:val="Brief-BULLET"/>
              <w:numPr>
                <w:ilvl w:val="0"/>
                <w:numId w:val="0"/>
              </w:numPr>
              <w:tabs>
                <w:tab w:val="num" w:pos="987"/>
              </w:tabs>
              <w:rPr>
                <w:rFonts w:cs="Arial"/>
                <w:sz w:val="22"/>
                <w:szCs w:val="22"/>
              </w:rPr>
            </w:pPr>
            <w:r w:rsidRPr="00FF76BF">
              <w:rPr>
                <w:rFonts w:cs="Arial"/>
                <w:sz w:val="22"/>
                <w:szCs w:val="22"/>
              </w:rPr>
              <w:t xml:space="preserve">Very young age (infants and toddlers) </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Physical, intellectual or sensory disability</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Indigenous ethnicity</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 xml:space="preserve">Child aggression, behaviour problems or attention deficits </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Female gender (partic. for sexual abuse)</w:t>
            </w:r>
          </w:p>
        </w:tc>
      </w:tr>
      <w:tr w:rsidR="003F49DD" w:rsidRPr="007415DD" w:rsidTr="008C279E">
        <w:tc>
          <w:tcPr>
            <w:tcW w:w="1908" w:type="dxa"/>
          </w:tcPr>
          <w:p w:rsidR="003F49DD" w:rsidRPr="007415DD" w:rsidRDefault="003F49DD" w:rsidP="008C279E">
            <w:pPr>
              <w:rPr>
                <w:rFonts w:cs="Arial"/>
                <w:b/>
              </w:rPr>
            </w:pPr>
            <w:r w:rsidRPr="007415DD">
              <w:rPr>
                <w:rFonts w:cs="Arial"/>
                <w:b/>
              </w:rPr>
              <w:t>Parental</w:t>
            </w:r>
          </w:p>
        </w:tc>
        <w:tc>
          <w:tcPr>
            <w:tcW w:w="6989" w:type="dxa"/>
          </w:tcPr>
          <w:p w:rsidR="003F49DD" w:rsidRPr="007415DD" w:rsidRDefault="003F49DD" w:rsidP="008C279E">
            <w:pPr>
              <w:rPr>
                <w:rFonts w:cs="Arial"/>
              </w:rPr>
            </w:pPr>
            <w:r w:rsidRPr="007415DD">
              <w:rPr>
                <w:rFonts w:cs="Arial"/>
              </w:rPr>
              <w:t xml:space="preserve">Substance misuse, particularly alcohol and </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Mental health problems such as depression, low self-esteem, poor control of impulses, or antisocial behaviour</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Intellectual disability</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Young maternal age</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bCs/>
              </w:rPr>
              <w:t>Stress</w:t>
            </w:r>
            <w:r w:rsidRPr="007415DD">
              <w:rPr>
                <w:rFonts w:cs="Arial"/>
              </w:rPr>
              <w:t>, such as financial pressures, job worries, medical problems or taking care of a family member with a disability</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Significant lack of parenting skills, including unrealistic expectations that show a lack of understanding of a child’s developmental stages and behaviour</w:t>
            </w:r>
          </w:p>
        </w:tc>
      </w:tr>
      <w:tr w:rsidR="003F49DD" w:rsidRPr="007415DD" w:rsidTr="008C279E">
        <w:tc>
          <w:tcPr>
            <w:tcW w:w="1908" w:type="dxa"/>
          </w:tcPr>
          <w:p w:rsidR="003F49DD" w:rsidRDefault="003F49DD" w:rsidP="008C279E"/>
        </w:tc>
        <w:tc>
          <w:tcPr>
            <w:tcW w:w="6989" w:type="dxa"/>
          </w:tcPr>
          <w:p w:rsidR="003F49DD" w:rsidRDefault="003F49DD" w:rsidP="008C279E">
            <w:r w:rsidRPr="007415DD">
              <w:rPr>
                <w:rFonts w:cs="Arial"/>
              </w:rPr>
              <w:t>Low educational attainment</w:t>
            </w:r>
          </w:p>
        </w:tc>
      </w:tr>
      <w:tr w:rsidR="003F49DD" w:rsidRPr="007415DD" w:rsidTr="008C279E">
        <w:tc>
          <w:tcPr>
            <w:tcW w:w="1908" w:type="dxa"/>
          </w:tcPr>
          <w:p w:rsidR="003F49DD" w:rsidRPr="007415DD" w:rsidRDefault="003F49DD" w:rsidP="008C279E">
            <w:pPr>
              <w:rPr>
                <w:rFonts w:cs="Arial"/>
                <w:b/>
              </w:rPr>
            </w:pPr>
            <w:r w:rsidRPr="007415DD">
              <w:rPr>
                <w:rFonts w:cs="Arial"/>
                <w:b/>
              </w:rPr>
              <w:t>Family</w:t>
            </w:r>
          </w:p>
        </w:tc>
        <w:tc>
          <w:tcPr>
            <w:tcW w:w="6989" w:type="dxa"/>
          </w:tcPr>
          <w:p w:rsidR="003F49DD" w:rsidRPr="007415DD" w:rsidRDefault="003F49DD" w:rsidP="008C279E">
            <w:pPr>
              <w:rPr>
                <w:rFonts w:cs="Arial"/>
              </w:rPr>
            </w:pPr>
            <w:r w:rsidRPr="007415DD">
              <w:rPr>
                <w:rFonts w:cs="Arial"/>
              </w:rPr>
              <w:t>Domestic violence and conflict between parents</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Single parent families (are over-represented in investigations of child abuse or neglect)</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Family instability, where the composition of the household frequently changes as family members and others move in and out</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Overcrowded households</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Homelessness</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Death of either parent before a child is</w:t>
            </w:r>
            <w:r>
              <w:rPr>
                <w:rFonts w:cs="Arial"/>
              </w:rPr>
              <w:t xml:space="preserve"> </w:t>
            </w:r>
            <w:r w:rsidRPr="007415DD">
              <w:rPr>
                <w:rFonts w:cs="Arial"/>
              </w:rPr>
              <w:t>15 years old</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Large numbers of children being cared for by a young single mother</w:t>
            </w:r>
          </w:p>
        </w:tc>
      </w:tr>
      <w:tr w:rsidR="003F49DD" w:rsidRPr="007415DD" w:rsidTr="008C279E">
        <w:tc>
          <w:tcPr>
            <w:tcW w:w="1908" w:type="dxa"/>
          </w:tcPr>
          <w:p w:rsidR="003F49DD" w:rsidRPr="007415DD" w:rsidRDefault="003F49DD" w:rsidP="008C279E">
            <w:pPr>
              <w:rPr>
                <w:rFonts w:cs="Arial"/>
                <w:b/>
              </w:rPr>
            </w:pPr>
            <w:r w:rsidRPr="007415DD">
              <w:rPr>
                <w:rFonts w:cs="Arial"/>
                <w:b/>
              </w:rPr>
              <w:t>Social</w:t>
            </w:r>
          </w:p>
        </w:tc>
        <w:tc>
          <w:tcPr>
            <w:tcW w:w="6989" w:type="dxa"/>
          </w:tcPr>
          <w:p w:rsidR="003F49DD" w:rsidRPr="007415DD" w:rsidRDefault="003F49DD" w:rsidP="008C279E">
            <w:pPr>
              <w:rPr>
                <w:rFonts w:cs="Arial"/>
              </w:rPr>
            </w:pPr>
            <w:r w:rsidRPr="007415DD">
              <w:rPr>
                <w:rFonts w:cs="Arial"/>
              </w:rPr>
              <w:t>Social isolation and limited access to support networks can increase the risk, as can geographical isolation and a lac</w:t>
            </w:r>
            <w:r>
              <w:rPr>
                <w:rFonts w:cs="Arial"/>
              </w:rPr>
              <w:t>k of access to extended family</w:t>
            </w:r>
          </w:p>
        </w:tc>
      </w:tr>
      <w:tr w:rsidR="003F49DD" w:rsidRPr="007415DD" w:rsidTr="008C279E">
        <w:tc>
          <w:tcPr>
            <w:tcW w:w="1908" w:type="dxa"/>
          </w:tcPr>
          <w:p w:rsidR="003F49DD" w:rsidRPr="007415DD" w:rsidRDefault="003F49DD" w:rsidP="008C279E">
            <w:pPr>
              <w:rPr>
                <w:rFonts w:cs="Arial"/>
              </w:rPr>
            </w:pPr>
          </w:p>
        </w:tc>
        <w:tc>
          <w:tcPr>
            <w:tcW w:w="6989" w:type="dxa"/>
          </w:tcPr>
          <w:p w:rsidR="003F49DD" w:rsidRPr="007415DD" w:rsidRDefault="003F49DD" w:rsidP="008C279E">
            <w:pPr>
              <w:rPr>
                <w:rFonts w:cs="Arial"/>
              </w:rPr>
            </w:pPr>
            <w:r w:rsidRPr="007415DD">
              <w:rPr>
                <w:rFonts w:cs="Arial"/>
              </w:rPr>
              <w:t>Poverty and low socioeconomic status can heighten the risk of maltreatment. These factors alone are not considered to be risk factors for abuse or neglect, but may influence the level of risk and th</w:t>
            </w:r>
            <w:r>
              <w:rPr>
                <w:rFonts w:cs="Arial"/>
              </w:rPr>
              <w:t>e degree of harm that may occur</w:t>
            </w:r>
          </w:p>
        </w:tc>
      </w:tr>
    </w:tbl>
    <w:p w:rsidR="003F49DD" w:rsidRDefault="001442A3">
      <w:r>
        <w:t xml:space="preserve">A </w:t>
      </w:r>
      <w:r w:rsidR="003F49DD">
        <w:t>Guide</w:t>
      </w:r>
      <w:r>
        <w:t xml:space="preserve"> to Special Child Care Benefit (2012)</w:t>
      </w:r>
      <w:r w:rsidR="003F49DD">
        <w:t>, p 31</w:t>
      </w:r>
      <w:r>
        <w:t>.</w:t>
      </w:r>
    </w:p>
    <w:p w:rsidR="00C97D4B" w:rsidRDefault="00C97D4B"/>
    <w:p w:rsidR="002A72C4" w:rsidRDefault="0019507C">
      <w:r>
        <w:t>Furthermore, this mismatch is acerbated by the ad</w:t>
      </w:r>
      <w:r w:rsidR="00D878D2">
        <w:t xml:space="preserve">option of in the guidelines for SCCATT of an interpretation of the meaning of </w:t>
      </w:r>
      <w:r>
        <w:t>“at risk of serious abuse or neglect” to mean “current”</w:t>
      </w:r>
      <w:r w:rsidR="00D878D2">
        <w:t xml:space="preserve"> risk of abuse and n</w:t>
      </w:r>
      <w:r>
        <w:t xml:space="preserve">eglect, although there is </w:t>
      </w:r>
      <w:r w:rsidR="00D878D2">
        <w:t>no actual</w:t>
      </w:r>
      <w:r w:rsidR="00D22D7B">
        <w:t xml:space="preserve"> definition in the Act</w:t>
      </w:r>
      <w:r>
        <w:t xml:space="preserve"> </w:t>
      </w:r>
      <w:r w:rsidR="00D878D2">
        <w:t>(</w:t>
      </w:r>
      <w:r w:rsidR="00DA630E">
        <w:t>DEEWR and DHS (2012)</w:t>
      </w:r>
      <w:r w:rsidR="00D22D7B">
        <w:t>,</w:t>
      </w:r>
      <w:r w:rsidR="00DA630E">
        <w:t xml:space="preserve"> p 7</w:t>
      </w:r>
      <w:r w:rsidR="00D878D2">
        <w:t xml:space="preserve">). </w:t>
      </w:r>
      <w:r w:rsidR="007D5058">
        <w:t xml:space="preserve">However, recovery from exposure to </w:t>
      </w:r>
      <w:r w:rsidR="00AC181A">
        <w:t>abuse and neglect</w:t>
      </w:r>
      <w:r w:rsidR="007D5058">
        <w:t xml:space="preserve"> can take years</w:t>
      </w:r>
      <w:r w:rsidR="00AC181A">
        <w:t xml:space="preserve"> and it would be </w:t>
      </w:r>
      <w:r w:rsidR="00DA630E">
        <w:t>exceptional</w:t>
      </w:r>
      <w:r w:rsidR="00AC181A">
        <w:t xml:space="preserve"> for a child’s issues to be resolved in a 13 week period. </w:t>
      </w:r>
      <w:r w:rsidR="00D878D2">
        <w:t>C</w:t>
      </w:r>
      <w:r w:rsidR="007D5058">
        <w:t xml:space="preserve">ontinuity and consistency of care </w:t>
      </w:r>
      <w:r w:rsidR="00AC181A">
        <w:t xml:space="preserve">over time is </w:t>
      </w:r>
      <w:r w:rsidR="00D878D2">
        <w:t xml:space="preserve">an important underpinning of child development and it is </w:t>
      </w:r>
      <w:r w:rsidR="00AC181A">
        <w:t>especially important to vulnerable children. Changes in care after a few months can set back a child’s recovery and development. For at risk children and families, child care is often the most reliable part of otherwise chaotic lives and gives children extra resilience when their home environment is in flux.</w:t>
      </w:r>
    </w:p>
    <w:p w:rsidR="00253623" w:rsidRDefault="008D4CCE">
      <w:r>
        <w:lastRenderedPageBreak/>
        <w:t xml:space="preserve">Continuity of care is also undermined by the provisions in Section 49 of the Act that allow the responsible Minister to exempt children in state care or other specified classes of children from SCCB. Children in state care are the most vulnerable children in Australia and participation in quality child care and early learning is critical to their health and well-being as children </w:t>
      </w:r>
      <w:r w:rsidRPr="008D4CCE">
        <w:rPr>
          <w:b/>
        </w:rPr>
        <w:t>and</w:t>
      </w:r>
      <w:r>
        <w:t xml:space="preserve"> as adults.</w:t>
      </w:r>
    </w:p>
    <w:p w:rsidR="00906905" w:rsidRDefault="00906905">
      <w:r>
        <w:t xml:space="preserve">The SCATT approval process can also affect the continuity of care when children have to leave a service because of delays in the approval of renewal of funding. This has been known to happen to children who have had already multiple renewals and then SCATT unexpectedly makes requests for additional information to support their application. For example, it appears that SCAAT’s change in approach at the beginning of the 2012-13 financial year meant that many vulnerable children lost </w:t>
      </w:r>
      <w:r w:rsidR="00B21130">
        <w:t>SCCB</w:t>
      </w:r>
      <w:r>
        <w:t xml:space="preserve"> funding because of delays in approvals. While many of these applications were eventually </w:t>
      </w:r>
      <w:r w:rsidR="00B21130">
        <w:t>approved, a significant number of children lost access to services -- temporarily or permanently -- for financial reasons, placing them at greater risk.</w:t>
      </w:r>
    </w:p>
    <w:p w:rsidR="00B21130" w:rsidRDefault="00B21130"/>
    <w:p w:rsidR="00FB396D" w:rsidRPr="00B21130" w:rsidRDefault="00A230ED" w:rsidP="00B21130">
      <w:pPr>
        <w:jc w:val="center"/>
      </w:pPr>
      <w:r>
        <w:rPr>
          <w:sz w:val="28"/>
          <w:szCs w:val="28"/>
        </w:rPr>
        <w:t>How to Make</w:t>
      </w:r>
      <w:r w:rsidR="0078283F">
        <w:rPr>
          <w:sz w:val="28"/>
          <w:szCs w:val="28"/>
        </w:rPr>
        <w:t xml:space="preserve"> </w:t>
      </w:r>
      <w:r>
        <w:rPr>
          <w:sz w:val="28"/>
          <w:szCs w:val="28"/>
        </w:rPr>
        <w:t>SCCB Work B</w:t>
      </w:r>
      <w:r w:rsidR="000E7EAB" w:rsidRPr="000E7EAB">
        <w:rPr>
          <w:sz w:val="28"/>
          <w:szCs w:val="28"/>
        </w:rPr>
        <w:t xml:space="preserve">etter for </w:t>
      </w:r>
      <w:r>
        <w:rPr>
          <w:sz w:val="28"/>
          <w:szCs w:val="28"/>
        </w:rPr>
        <w:t>V</w:t>
      </w:r>
      <w:r w:rsidR="000E7EAB">
        <w:rPr>
          <w:sz w:val="28"/>
          <w:szCs w:val="28"/>
        </w:rPr>
        <w:t xml:space="preserve">ulnerable </w:t>
      </w:r>
      <w:r>
        <w:rPr>
          <w:sz w:val="28"/>
          <w:szCs w:val="28"/>
        </w:rPr>
        <w:t>C</w:t>
      </w:r>
      <w:r w:rsidR="000E7EAB" w:rsidRPr="000E7EAB">
        <w:rPr>
          <w:sz w:val="28"/>
          <w:szCs w:val="28"/>
        </w:rPr>
        <w:t>hild</w:t>
      </w:r>
      <w:r w:rsidR="000E7EAB">
        <w:rPr>
          <w:sz w:val="28"/>
          <w:szCs w:val="28"/>
        </w:rPr>
        <w:t>ren</w:t>
      </w:r>
      <w:r>
        <w:rPr>
          <w:sz w:val="28"/>
          <w:szCs w:val="28"/>
        </w:rPr>
        <w:t xml:space="preserve"> and Their Families and for the Child Care S</w:t>
      </w:r>
      <w:r w:rsidR="000E7EAB" w:rsidRPr="000E7EAB">
        <w:rPr>
          <w:sz w:val="28"/>
          <w:szCs w:val="28"/>
        </w:rPr>
        <w:t xml:space="preserve">ervices that </w:t>
      </w:r>
      <w:r>
        <w:rPr>
          <w:sz w:val="28"/>
          <w:szCs w:val="28"/>
        </w:rPr>
        <w:t>S</w:t>
      </w:r>
      <w:r w:rsidR="000E7EAB" w:rsidRPr="000E7EAB">
        <w:rPr>
          <w:sz w:val="28"/>
          <w:szCs w:val="28"/>
        </w:rPr>
        <w:t xml:space="preserve">upport </w:t>
      </w:r>
      <w:r>
        <w:rPr>
          <w:sz w:val="28"/>
          <w:szCs w:val="28"/>
        </w:rPr>
        <w:t>T</w:t>
      </w:r>
      <w:r w:rsidR="000E7EAB" w:rsidRPr="000E7EAB">
        <w:rPr>
          <w:sz w:val="28"/>
          <w:szCs w:val="28"/>
        </w:rPr>
        <w:t>hem</w:t>
      </w:r>
    </w:p>
    <w:p w:rsidR="00CB57F5" w:rsidRDefault="00CB57F5">
      <w:pPr>
        <w:rPr>
          <w:b/>
        </w:rPr>
      </w:pPr>
      <w:r w:rsidRPr="00CB57F5">
        <w:t xml:space="preserve">Anecdotal evidence </w:t>
      </w:r>
      <w:r w:rsidR="00A230ED">
        <w:t>indicates that</w:t>
      </w:r>
      <w:r w:rsidR="0006389C">
        <w:t xml:space="preserve"> the take up of SCCB for children at r</w:t>
      </w:r>
      <w:r w:rsidR="00A230ED">
        <w:t xml:space="preserve">isk </w:t>
      </w:r>
      <w:r w:rsidR="0006389C">
        <w:t xml:space="preserve">of serious abuse or neglect </w:t>
      </w:r>
      <w:r w:rsidR="00A230ED">
        <w:t xml:space="preserve">is </w:t>
      </w:r>
      <w:r w:rsidR="0006389C">
        <w:t xml:space="preserve">very </w:t>
      </w:r>
      <w:r w:rsidR="00A230ED">
        <w:t>small relative to the number of children and families in need</w:t>
      </w:r>
      <w:r w:rsidR="0006389C">
        <w:t>, largely</w:t>
      </w:r>
      <w:r w:rsidR="00A230ED">
        <w:t xml:space="preserve"> because of the </w:t>
      </w:r>
      <w:r w:rsidR="0006389C">
        <w:t xml:space="preserve">administrative barriers to </w:t>
      </w:r>
      <w:r w:rsidR="00A230ED">
        <w:t xml:space="preserve">accessing the benefit. </w:t>
      </w:r>
      <w:r w:rsidR="0006389C">
        <w:t>In considering the need</w:t>
      </w:r>
      <w:r w:rsidR="00442C8C">
        <w:t>s</w:t>
      </w:r>
      <w:r w:rsidR="0006389C">
        <w:t xml:space="preserve"> of vulnerable or at risk childre</w:t>
      </w:r>
      <w:r w:rsidR="00D25EE0">
        <w:t>n as specified in the terms of r</w:t>
      </w:r>
      <w:r w:rsidR="0006389C">
        <w:t xml:space="preserve">eference for the Inquiry, the Productivity Commission should first quantify the participation of children at risk in child care and early childhood learning with the support of SCCB. This will establish participation rates and the degree to whether SCCB is </w:t>
      </w:r>
      <w:r w:rsidR="00442C8C">
        <w:t xml:space="preserve">meeting the needs of this population. </w:t>
      </w:r>
      <w:r w:rsidR="00D25EE0">
        <w:t xml:space="preserve">The next step will be to improve access by reducing administrative red tape. </w:t>
      </w:r>
    </w:p>
    <w:p w:rsidR="00C56E20" w:rsidRPr="00593489" w:rsidRDefault="00593489">
      <w:pPr>
        <w:rPr>
          <w:b/>
        </w:rPr>
      </w:pPr>
      <w:r w:rsidRPr="00593489">
        <w:rPr>
          <w:b/>
        </w:rPr>
        <w:t>Quantify the actual use of SCCB by children at risk</w:t>
      </w:r>
    </w:p>
    <w:p w:rsidR="00CA5ED6" w:rsidRDefault="00FC135D" w:rsidP="00D036E6">
      <w:pPr>
        <w:autoSpaceDE w:val="0"/>
        <w:autoSpaceDN w:val="0"/>
        <w:adjustRightInd w:val="0"/>
        <w:spacing w:after="0" w:line="240" w:lineRule="auto"/>
      </w:pPr>
      <w:r>
        <w:t xml:space="preserve">The Inquiry could immediately advance the </w:t>
      </w:r>
      <w:r w:rsidR="009C04F8">
        <w:t>analysis of access</w:t>
      </w:r>
      <w:r>
        <w:t xml:space="preserve"> </w:t>
      </w:r>
      <w:r w:rsidR="009C04F8">
        <w:t>to child care and early learning by</w:t>
      </w:r>
      <w:r>
        <w:t xml:space="preserve"> vulnerable children by quantifying the number of elig</w:t>
      </w:r>
      <w:r w:rsidR="009C04F8">
        <w:t>ib</w:t>
      </w:r>
      <w:r>
        <w:t xml:space="preserve">le children and the proportion who </w:t>
      </w:r>
      <w:r w:rsidR="009C04F8">
        <w:t xml:space="preserve">actually </w:t>
      </w:r>
      <w:r>
        <w:t xml:space="preserve">receive the SCCB for child at serious risk of </w:t>
      </w:r>
      <w:r w:rsidR="009C04F8">
        <w:t xml:space="preserve">abuse or neglect. </w:t>
      </w:r>
      <w:r>
        <w:t xml:space="preserve">While the Department of Education and Early Childhood regularly publishes a statistical overview of Child Care and Early Learning, the data does not include a breakdown of how many children are </w:t>
      </w:r>
      <w:r w:rsidR="009C04F8">
        <w:t>supported by</w:t>
      </w:r>
      <w:r>
        <w:t xml:space="preserve"> SCCB</w:t>
      </w:r>
      <w:r w:rsidR="009C04F8">
        <w:t xml:space="preserve"> for children at risk</w:t>
      </w:r>
      <w:r>
        <w:t>, for what periods of time</w:t>
      </w:r>
      <w:r w:rsidR="009C04F8">
        <w:t>,</w:t>
      </w:r>
      <w:r>
        <w:t xml:space="preserve"> and at what cost</w:t>
      </w:r>
      <w:r w:rsidR="00467E0E">
        <w:t xml:space="preserve"> (DEEWR, 2013).</w:t>
      </w:r>
      <w:r w:rsidR="00F70FB1">
        <w:t xml:space="preserve"> (Nor</w:t>
      </w:r>
      <w:r w:rsidR="009C04F8">
        <w:t xml:space="preserve"> are there figure</w:t>
      </w:r>
      <w:r w:rsidR="00467E0E">
        <w:t>s</w:t>
      </w:r>
      <w:r w:rsidR="009C04F8">
        <w:t xml:space="preserve"> available for SCCB for temporary economic hardship.)</w:t>
      </w:r>
      <w:r w:rsidR="00467E0E">
        <w:t xml:space="preserve"> </w:t>
      </w:r>
    </w:p>
    <w:p w:rsidR="00CA5ED6" w:rsidRDefault="00CA5ED6" w:rsidP="00A275F9">
      <w:pPr>
        <w:tabs>
          <w:tab w:val="left" w:pos="936"/>
        </w:tabs>
        <w:autoSpaceDE w:val="0"/>
        <w:autoSpaceDN w:val="0"/>
        <w:adjustRightInd w:val="0"/>
        <w:spacing w:after="0" w:line="240" w:lineRule="auto"/>
      </w:pPr>
    </w:p>
    <w:p w:rsidR="00022151" w:rsidRPr="00D50C7F" w:rsidRDefault="00022151" w:rsidP="00D50C7F">
      <w:pPr>
        <w:autoSpaceDE w:val="0"/>
        <w:autoSpaceDN w:val="0"/>
        <w:adjustRightInd w:val="0"/>
        <w:spacing w:after="0" w:line="240" w:lineRule="auto"/>
        <w:rPr>
          <w:rFonts w:cs="TheSansLight-Plain"/>
        </w:rPr>
      </w:pPr>
      <w:r>
        <w:t>Providing</w:t>
      </w:r>
      <w:r w:rsidR="009C7FB3">
        <w:t xml:space="preserve"> priority access to childcare and early childhood learning </w:t>
      </w:r>
      <w:r w:rsidR="00D036E6">
        <w:t xml:space="preserve">was one of the original strategies </w:t>
      </w:r>
      <w:r w:rsidR="009C7FB3">
        <w:t xml:space="preserve">of the COAG </w:t>
      </w:r>
      <w:r w:rsidR="009C7FB3" w:rsidRPr="00D036E6">
        <w:t>National Framework for Protecting Australia’s Children</w:t>
      </w:r>
      <w:r w:rsidR="00D036E6">
        <w:t xml:space="preserve"> </w:t>
      </w:r>
      <w:r w:rsidR="00D036E6" w:rsidRPr="00D036E6">
        <w:t xml:space="preserve">to ensure that </w:t>
      </w:r>
      <w:r w:rsidR="00D036E6">
        <w:t xml:space="preserve">Outcome 2 of the </w:t>
      </w:r>
      <w:r w:rsidR="00D036E6" w:rsidRPr="00D50C7F">
        <w:t>Framework</w:t>
      </w:r>
      <w:r w:rsidR="00D50C7F" w:rsidRPr="00D50C7F">
        <w:t xml:space="preserve"> -- </w:t>
      </w:r>
      <w:r w:rsidR="00D50C7F" w:rsidRPr="00D50C7F">
        <w:rPr>
          <w:rFonts w:cs="TheSansLight-Plain"/>
          <w:i/>
        </w:rPr>
        <w:t>Children and families access adequate support to promote safety and intervene early</w:t>
      </w:r>
      <w:r w:rsidR="00D50C7F" w:rsidRPr="00D50C7F">
        <w:rPr>
          <w:rFonts w:cs="TheSansLight-Plain"/>
        </w:rPr>
        <w:t xml:space="preserve"> --</w:t>
      </w:r>
      <w:r w:rsidR="00D036E6">
        <w:t xml:space="preserve"> was achieved</w:t>
      </w:r>
      <w:r w:rsidR="00CA5ED6">
        <w:t xml:space="preserve"> (COAG, 2009, pp 17-20)</w:t>
      </w:r>
      <w:r>
        <w:t xml:space="preserve">. </w:t>
      </w:r>
      <w:r w:rsidR="00CA5ED6">
        <w:t>In support, t</w:t>
      </w:r>
      <w:r>
        <w:t>he 2009-10 federal budget earmarked funds for the promotion and additional take up of SCCB:</w:t>
      </w:r>
    </w:p>
    <w:p w:rsidR="00022151" w:rsidRDefault="00022151" w:rsidP="00D036E6">
      <w:pPr>
        <w:autoSpaceDE w:val="0"/>
        <w:autoSpaceDN w:val="0"/>
        <w:adjustRightInd w:val="0"/>
        <w:spacing w:after="0" w:line="240" w:lineRule="auto"/>
      </w:pPr>
    </w:p>
    <w:p w:rsidR="00022151" w:rsidRPr="00022151" w:rsidRDefault="00022151" w:rsidP="00022151">
      <w:pPr>
        <w:autoSpaceDE w:val="0"/>
        <w:autoSpaceDN w:val="0"/>
        <w:adjustRightInd w:val="0"/>
        <w:spacing w:after="0" w:line="240" w:lineRule="auto"/>
        <w:ind w:left="720"/>
      </w:pPr>
      <w:r w:rsidRPr="00022151">
        <w:t xml:space="preserve">The Government will provide $3.0 million over five years for the development and delivery of a communication strategy to increase awareness of the availability and application process for the Special Child Care Benefit. The measure is expected to result in increased expenditure on Special Child Care Benefit of $34.8 million over four years due to the </w:t>
      </w:r>
      <w:r w:rsidRPr="00022151">
        <w:lastRenderedPageBreak/>
        <w:t>expected increase in the take</w:t>
      </w:r>
      <w:r w:rsidRPr="00022151">
        <w:noBreakHyphen/>
        <w:t>up of existing entitlements, bringing the total cost of the measure to $37.8 million over five years</w:t>
      </w:r>
      <w:r>
        <w:t xml:space="preserve"> (Budget 2009-10)</w:t>
      </w:r>
      <w:r w:rsidRPr="00022151">
        <w:t>.</w:t>
      </w:r>
    </w:p>
    <w:p w:rsidR="00022151" w:rsidRDefault="00022151" w:rsidP="00D036E6">
      <w:pPr>
        <w:autoSpaceDE w:val="0"/>
        <w:autoSpaceDN w:val="0"/>
        <w:adjustRightInd w:val="0"/>
        <w:spacing w:after="0" w:line="240" w:lineRule="auto"/>
      </w:pPr>
    </w:p>
    <w:p w:rsidR="00C44F72" w:rsidRDefault="00CA5ED6" w:rsidP="00D036E6">
      <w:pPr>
        <w:autoSpaceDE w:val="0"/>
        <w:autoSpaceDN w:val="0"/>
        <w:adjustRightInd w:val="0"/>
        <w:spacing w:after="0" w:line="240" w:lineRule="auto"/>
      </w:pPr>
      <w:r>
        <w:t>However,</w:t>
      </w:r>
      <w:r w:rsidR="00D036E6">
        <w:t xml:space="preserve"> there has been no reporting on</w:t>
      </w:r>
      <w:r w:rsidR="00D036E6" w:rsidRPr="00D036E6">
        <w:t xml:space="preserve"> </w:t>
      </w:r>
      <w:r w:rsidR="00D036E6">
        <w:t xml:space="preserve">the </w:t>
      </w:r>
      <w:r>
        <w:t xml:space="preserve">subsequent </w:t>
      </w:r>
      <w:r w:rsidR="00D036E6">
        <w:t>take up of SCCB</w:t>
      </w:r>
      <w:r>
        <w:t>.</w:t>
      </w:r>
      <w:r w:rsidR="00D036E6">
        <w:t xml:space="preserve"> </w:t>
      </w:r>
      <w:r w:rsidR="006B47A4" w:rsidRPr="00D036E6">
        <w:t xml:space="preserve">Quantifying </w:t>
      </w:r>
      <w:r w:rsidR="001047E0" w:rsidRPr="00D036E6">
        <w:t xml:space="preserve">both </w:t>
      </w:r>
      <w:r w:rsidR="006B47A4" w:rsidRPr="00D036E6">
        <w:t xml:space="preserve">the number of </w:t>
      </w:r>
      <w:r w:rsidR="009C7FB3" w:rsidRPr="00D036E6">
        <w:t xml:space="preserve">SCCB </w:t>
      </w:r>
      <w:r w:rsidR="006B47A4" w:rsidRPr="00D036E6">
        <w:t xml:space="preserve">approvals by </w:t>
      </w:r>
      <w:r w:rsidR="006B47A4">
        <w:t xml:space="preserve">service providers and renewals by SCCAT would give </w:t>
      </w:r>
      <w:r w:rsidR="001047E0">
        <w:t xml:space="preserve">a </w:t>
      </w:r>
      <w:r w:rsidR="006B47A4">
        <w:t>clear</w:t>
      </w:r>
      <w:r w:rsidR="001047E0">
        <w:t>er</w:t>
      </w:r>
      <w:r w:rsidR="006B47A4">
        <w:t xml:space="preserve"> picture of the resources currently </w:t>
      </w:r>
      <w:r w:rsidR="001047E0">
        <w:t xml:space="preserve">made </w:t>
      </w:r>
      <w:r w:rsidR="006B47A4">
        <w:t>available to vulnerable children and families</w:t>
      </w:r>
      <w:r w:rsidR="00A275F9">
        <w:t xml:space="preserve"> and whether they are adequate</w:t>
      </w:r>
      <w:r w:rsidR="006B47A4">
        <w:t>.</w:t>
      </w:r>
    </w:p>
    <w:p w:rsidR="00A275F9" w:rsidRDefault="00A275F9" w:rsidP="00D036E6">
      <w:pPr>
        <w:autoSpaceDE w:val="0"/>
        <w:autoSpaceDN w:val="0"/>
        <w:adjustRightInd w:val="0"/>
        <w:spacing w:after="0" w:line="240" w:lineRule="auto"/>
      </w:pPr>
    </w:p>
    <w:p w:rsidR="00A275F9" w:rsidRDefault="00A275F9" w:rsidP="00A275F9">
      <w:pPr>
        <w:autoSpaceDE w:val="0"/>
        <w:autoSpaceDN w:val="0"/>
        <w:adjustRightInd w:val="0"/>
        <w:spacing w:after="0" w:line="240" w:lineRule="auto"/>
      </w:pPr>
      <w:r>
        <w:t>COAG estimates 9,001 children aged 0-4 commenced intensive family support services in 2011-12. These are cases where child protection concerns have been identified</w:t>
      </w:r>
      <w:r w:rsidR="00100586">
        <w:t>,</w:t>
      </w:r>
      <w:r>
        <w:t xml:space="preserve"> but children have not been </w:t>
      </w:r>
      <w:r w:rsidR="00100586">
        <w:t xml:space="preserve">taken </w:t>
      </w:r>
      <w:r>
        <w:t>into care and also when children have been in care and there is an effort to reunite families (COAG, 2013, p78). Presumably all these children would be eligible for SCCB for children at risk. If roughly the same number of children aged 0-4 enter intensive family care each year, roughly 35,000 children under 4 should be eligible for SCCB.</w:t>
      </w:r>
    </w:p>
    <w:p w:rsidR="00B21130" w:rsidRDefault="00B21130" w:rsidP="00A275F9">
      <w:pPr>
        <w:autoSpaceDE w:val="0"/>
        <w:autoSpaceDN w:val="0"/>
        <w:adjustRightInd w:val="0"/>
        <w:spacing w:after="0" w:line="240" w:lineRule="auto"/>
      </w:pPr>
    </w:p>
    <w:p w:rsidR="00B21130" w:rsidRPr="00B21130" w:rsidRDefault="00B21130" w:rsidP="00A275F9">
      <w:pPr>
        <w:autoSpaceDE w:val="0"/>
        <w:autoSpaceDN w:val="0"/>
        <w:adjustRightInd w:val="0"/>
        <w:spacing w:after="0" w:line="240" w:lineRule="auto"/>
        <w:rPr>
          <w:b/>
        </w:rPr>
      </w:pPr>
      <w:r w:rsidRPr="00B21130">
        <w:rPr>
          <w:b/>
        </w:rPr>
        <w:t>Create a baseline for the performance of the Special Child Care Assessment Team (SC</w:t>
      </w:r>
      <w:r>
        <w:rPr>
          <w:b/>
        </w:rPr>
        <w:t>CA</w:t>
      </w:r>
      <w:r w:rsidRPr="00B21130">
        <w:rPr>
          <w:b/>
        </w:rPr>
        <w:t>T)</w:t>
      </w:r>
    </w:p>
    <w:p w:rsidR="00A275F9" w:rsidRDefault="00A275F9" w:rsidP="00D036E6">
      <w:pPr>
        <w:autoSpaceDE w:val="0"/>
        <w:autoSpaceDN w:val="0"/>
        <w:adjustRightInd w:val="0"/>
        <w:spacing w:after="0" w:line="240" w:lineRule="auto"/>
      </w:pPr>
    </w:p>
    <w:p w:rsidR="006B47A4" w:rsidRDefault="000C2AD2">
      <w:r>
        <w:t>While the processing of applications has improved since 1999, there are still issues around the administration of SCC</w:t>
      </w:r>
      <w:r w:rsidR="003C5908">
        <w:t>B renewal that</w:t>
      </w:r>
      <w:r>
        <w:t xml:space="preserve"> put vulnerable children at </w:t>
      </w:r>
      <w:r w:rsidR="00202467">
        <w:t xml:space="preserve">additional </w:t>
      </w:r>
      <w:r>
        <w:t>risk and compromise their development.</w:t>
      </w:r>
      <w:r w:rsidR="003C5908">
        <w:t xml:space="preserve"> Establishing a baseline for SCCAT’s performance would allow measurement of future improvement. This should include the number of applications received</w:t>
      </w:r>
      <w:r w:rsidR="002623CD">
        <w:t xml:space="preserve"> on behalf of children at risk</w:t>
      </w:r>
      <w:r w:rsidR="003C5908">
        <w:t xml:space="preserve">; what proportion of the applications are for children who have already had earlier applications approved by SCCAT; how many requests </w:t>
      </w:r>
      <w:r w:rsidR="002623CD">
        <w:t xml:space="preserve">are made </w:t>
      </w:r>
      <w:r w:rsidR="003C5908">
        <w:t xml:space="preserve">to child care services for additional independent documentation; how long the approval process takes; and </w:t>
      </w:r>
      <w:r w:rsidR="002623CD">
        <w:t>the frequency and length of the gaps</w:t>
      </w:r>
      <w:r w:rsidR="003C5908">
        <w:t xml:space="preserve"> vulnerable children experience in SCCB funding, affecting their continuity of access to services.</w:t>
      </w:r>
    </w:p>
    <w:p w:rsidR="00C56E20" w:rsidRDefault="00593489">
      <w:r w:rsidRPr="00593489">
        <w:rPr>
          <w:b/>
        </w:rPr>
        <w:t>Reduce red tape by streamlining</w:t>
      </w:r>
      <w:r w:rsidR="00C56E20" w:rsidRPr="00593489">
        <w:rPr>
          <w:b/>
        </w:rPr>
        <w:t xml:space="preserve"> renewal</w:t>
      </w:r>
      <w:r w:rsidRPr="00593489">
        <w:rPr>
          <w:b/>
        </w:rPr>
        <w:t>s</w:t>
      </w:r>
      <w:r w:rsidR="008A604C">
        <w:rPr>
          <w:b/>
        </w:rPr>
        <w:t xml:space="preserve"> for twelve months at a time</w:t>
      </w:r>
    </w:p>
    <w:p w:rsidR="000C54F8" w:rsidRDefault="008A604C">
      <w:r>
        <w:t xml:space="preserve">Because children’s risk factors generally do not change over time, the administrative costs </w:t>
      </w:r>
      <w:r w:rsidR="006B1B2E">
        <w:t>o</w:t>
      </w:r>
      <w:r>
        <w:t xml:space="preserve">f renewing SCCB via SCATT could be significantly reduced by allowing child care services to resubmit the same documentation with each application for renewal for up to twelve months. SCATT could further reduce administrative costs by automatically approving requests from renewal for up to twelve </w:t>
      </w:r>
      <w:r w:rsidR="006B1B2E">
        <w:t xml:space="preserve">months (three renewals) </w:t>
      </w:r>
      <w:r>
        <w:t xml:space="preserve">from child care services who are rated </w:t>
      </w:r>
      <w:r w:rsidR="006B1B2E">
        <w:t xml:space="preserve">as meeting or exceeding the National Quality Standard (NQS) by the Australian Children’s Education &amp; Care Quality Authority (ACECQA). Before renewing SCCB for services that do not meet the NQS, SCATT should assure that the services </w:t>
      </w:r>
      <w:r w:rsidR="000C54F8">
        <w:t>are</w:t>
      </w:r>
      <w:r w:rsidR="006B1B2E">
        <w:t xml:space="preserve"> able to meet the needs of vulnerable</w:t>
      </w:r>
      <w:r w:rsidR="000C54F8">
        <w:t xml:space="preserve"> children.</w:t>
      </w:r>
    </w:p>
    <w:p w:rsidR="00593489" w:rsidRDefault="000C54F8">
      <w:r w:rsidRPr="000C54F8">
        <w:rPr>
          <w:b/>
        </w:rPr>
        <w:t>Recognise the cost of renewals and compensate child care services who are serving vulnerable children</w:t>
      </w:r>
      <w:r w:rsidR="006B1B2E" w:rsidRPr="000C54F8">
        <w:rPr>
          <w:b/>
        </w:rPr>
        <w:t xml:space="preserve"> </w:t>
      </w:r>
    </w:p>
    <w:p w:rsidR="000C54F8" w:rsidRPr="000C54F8" w:rsidRDefault="000C54F8">
      <w:r>
        <w:t xml:space="preserve">The cost of applying for SCCB creates a disincentive for child care services to enrol vulnerable children and imposes a penalty on services that do support them and their families. These costs should be recognised and </w:t>
      </w:r>
      <w:r w:rsidR="00001D32">
        <w:t>services that are successful in renewing SCCB</w:t>
      </w:r>
      <w:r>
        <w:t xml:space="preserve"> shoul</w:t>
      </w:r>
      <w:r w:rsidR="00001D32">
        <w:t>d be compensated by the Commonwealth. This could involve a payment once every twelve months that re</w:t>
      </w:r>
      <w:r w:rsidR="00202467">
        <w:t xml:space="preserve">flected the staff time required </w:t>
      </w:r>
      <w:r w:rsidR="00001D32">
        <w:t>to document case</w:t>
      </w:r>
      <w:r w:rsidR="00F242A9">
        <w:t>s</w:t>
      </w:r>
      <w:r w:rsidR="00001D32">
        <w:t xml:space="preserve"> for renewal for SCCAT.</w:t>
      </w:r>
    </w:p>
    <w:p w:rsidR="00C56E20" w:rsidRPr="00F242A9" w:rsidRDefault="00C56E20">
      <w:pPr>
        <w:rPr>
          <w:b/>
        </w:rPr>
      </w:pPr>
      <w:r w:rsidRPr="00F242A9">
        <w:rPr>
          <w:b/>
        </w:rPr>
        <w:t xml:space="preserve">Develop </w:t>
      </w:r>
      <w:r w:rsidR="00F242A9" w:rsidRPr="00F242A9">
        <w:rPr>
          <w:b/>
        </w:rPr>
        <w:t xml:space="preserve">a </w:t>
      </w:r>
      <w:r w:rsidRPr="00F242A9">
        <w:rPr>
          <w:b/>
        </w:rPr>
        <w:t>tool for assessment of eligibility with clear definitions and requirements for evidence</w:t>
      </w:r>
    </w:p>
    <w:p w:rsidR="00145E41" w:rsidRDefault="00F242A9">
      <w:r>
        <w:lastRenderedPageBreak/>
        <w:t xml:space="preserve">While the development of </w:t>
      </w:r>
      <w:r w:rsidRPr="00F242A9">
        <w:rPr>
          <w:i/>
        </w:rPr>
        <w:t>A Guide to Special Child Care Benefit</w:t>
      </w:r>
      <w:r>
        <w:t xml:space="preserve"> by DEEWR and DHS </w:t>
      </w:r>
      <w:r w:rsidR="000E7EAB">
        <w:t>has</w:t>
      </w:r>
      <w:r>
        <w:t xml:space="preserve"> </w:t>
      </w:r>
      <w:r w:rsidR="000E7EAB">
        <w:t xml:space="preserve">improved the processing of SCCB renewals, clearer definitions and requirements for evidence would reduce administrative costs and provide child care services with more certainty around eligibility. </w:t>
      </w:r>
      <w:r w:rsidR="00442C8C">
        <w:t>Developing</w:t>
      </w:r>
      <w:r w:rsidR="000E7EAB">
        <w:t xml:space="preserve"> standardised criteria for assessing risk and including this information in the Child Care Service Handbook would reduce the costs of applying for SCCB.</w:t>
      </w:r>
    </w:p>
    <w:p w:rsidR="00202467" w:rsidRDefault="00202467">
      <w:pPr>
        <w:rPr>
          <w:sz w:val="28"/>
          <w:szCs w:val="28"/>
        </w:rPr>
      </w:pPr>
    </w:p>
    <w:p w:rsidR="00442C8C" w:rsidRPr="00202467" w:rsidRDefault="00202467" w:rsidP="00691DE1">
      <w:pPr>
        <w:jc w:val="center"/>
        <w:rPr>
          <w:sz w:val="28"/>
          <w:szCs w:val="28"/>
        </w:rPr>
      </w:pPr>
      <w:r w:rsidRPr="00202467">
        <w:rPr>
          <w:sz w:val="28"/>
          <w:szCs w:val="28"/>
        </w:rPr>
        <w:t>It Will Cost More to do Nothing</w:t>
      </w:r>
    </w:p>
    <w:p w:rsidR="00442C8C" w:rsidRDefault="00442C8C">
      <w:r>
        <w:t>Of all the potential improvements to the Australian child care and early childhood learning system, increasing participation by vulnerable children will generate the highest returns for the Australian community</w:t>
      </w:r>
      <w:r w:rsidR="00740B1C">
        <w:t>.</w:t>
      </w:r>
      <w:r>
        <w:t xml:space="preserve"> </w:t>
      </w:r>
      <w:r w:rsidR="00740B1C">
        <w:t>Providing a good start in life for at risk children is in everyone’s interest.</w:t>
      </w:r>
      <w:r>
        <w:t xml:space="preserve"> This has been recognised by the Commonwealth by prioritising the needs of vulnerable children</w:t>
      </w:r>
      <w:r w:rsidR="00740B1C">
        <w:t xml:space="preserve"> in this Inquiry</w:t>
      </w:r>
      <w:r>
        <w:t>. The challenge now is to do it.</w:t>
      </w:r>
    </w:p>
    <w:p w:rsidR="00145E41" w:rsidRDefault="00145E41"/>
    <w:p w:rsidR="00A95542" w:rsidRDefault="00A95542">
      <w:r>
        <w:br w:type="page"/>
      </w:r>
    </w:p>
    <w:p w:rsidR="0049013E" w:rsidRPr="008F2577" w:rsidRDefault="008F2577" w:rsidP="0049013E">
      <w:pPr>
        <w:autoSpaceDE w:val="0"/>
        <w:autoSpaceDN w:val="0"/>
        <w:adjustRightInd w:val="0"/>
        <w:spacing w:after="0" w:line="240" w:lineRule="auto"/>
        <w:rPr>
          <w:rFonts w:cstheme="minorHAnsi"/>
          <w:b/>
        </w:rPr>
      </w:pPr>
      <w:r w:rsidRPr="008F2577">
        <w:rPr>
          <w:rFonts w:cstheme="minorHAnsi"/>
          <w:b/>
        </w:rPr>
        <w:lastRenderedPageBreak/>
        <w:t>REFERENCES</w:t>
      </w:r>
    </w:p>
    <w:p w:rsidR="0049013E" w:rsidRDefault="0049013E" w:rsidP="00A95542">
      <w:pPr>
        <w:pStyle w:val="ListParagraph"/>
        <w:autoSpaceDE w:val="0"/>
        <w:autoSpaceDN w:val="0"/>
        <w:adjustRightInd w:val="0"/>
        <w:spacing w:after="0" w:line="240" w:lineRule="auto"/>
        <w:ind w:left="1418" w:hanging="698"/>
        <w:rPr>
          <w:rFonts w:cstheme="minorHAnsi"/>
        </w:rPr>
      </w:pPr>
    </w:p>
    <w:p w:rsidR="0049013E" w:rsidRPr="0049013E" w:rsidRDefault="0049013E" w:rsidP="008F2577">
      <w:pPr>
        <w:autoSpaceDE w:val="0"/>
        <w:autoSpaceDN w:val="0"/>
        <w:adjustRightInd w:val="0"/>
        <w:spacing w:after="0" w:line="240" w:lineRule="auto"/>
        <w:ind w:left="709" w:hanging="709"/>
        <w:rPr>
          <w:rFonts w:cs="AdvOTf011d512"/>
        </w:rPr>
      </w:pPr>
      <w:r>
        <w:rPr>
          <w:rFonts w:cstheme="minorHAnsi"/>
        </w:rPr>
        <w:t>AAP (American Academy of Pediatrics) (2012).</w:t>
      </w:r>
      <w:r w:rsidRPr="0049013E">
        <w:rPr>
          <w:rFonts w:cstheme="minorHAnsi"/>
        </w:rPr>
        <w:t xml:space="preserve"> AAP</w:t>
      </w:r>
      <w:r w:rsidRPr="0049013E">
        <w:rPr>
          <w:rFonts w:ascii="AdvOTf011d512" w:hAnsi="AdvOTf011d512" w:cs="AdvOTf011d512"/>
          <w:sz w:val="28"/>
          <w:szCs w:val="28"/>
        </w:rPr>
        <w:t xml:space="preserve"> </w:t>
      </w:r>
      <w:r w:rsidRPr="0049013E">
        <w:rPr>
          <w:rFonts w:cs="AdvOTf011d512"/>
        </w:rPr>
        <w:t xml:space="preserve">POLICY STATEMENT, Early Childhood Adversity, Toxic Stress, and the Role of the Pediatrician: Translating Developmental Science </w:t>
      </w:r>
      <w:r w:rsidR="0083565C" w:rsidRPr="0049013E">
        <w:rPr>
          <w:rFonts w:cs="AdvOTf011d512"/>
        </w:rPr>
        <w:t>into</w:t>
      </w:r>
      <w:r w:rsidRPr="0049013E">
        <w:rPr>
          <w:rFonts w:cs="AdvOTf011d512"/>
        </w:rPr>
        <w:t xml:space="preserve"> Lifelong Health</w:t>
      </w:r>
      <w:r>
        <w:rPr>
          <w:rFonts w:cs="AdvOTf011d512"/>
        </w:rPr>
        <w:t xml:space="preserve">. </w:t>
      </w:r>
      <w:r w:rsidRPr="0049013E">
        <w:rPr>
          <w:rFonts w:cs="Lucida Sans Unicode"/>
          <w:i/>
          <w:color w:val="333300"/>
          <w:lang w:val="en"/>
        </w:rPr>
        <w:t>Pediatrics</w:t>
      </w:r>
      <w:r w:rsidRPr="0049013E">
        <w:rPr>
          <w:rFonts w:cs="Lucida Sans Unicode"/>
          <w:color w:val="333300"/>
          <w:lang w:val="en"/>
        </w:rPr>
        <w:t xml:space="preserve"> </w:t>
      </w:r>
      <w:r w:rsidR="008F2577">
        <w:rPr>
          <w:rStyle w:val="slug-vol"/>
          <w:rFonts w:cs="Lucida Sans Unicode"/>
          <w:color w:val="333300"/>
          <w:lang w:val="en"/>
        </w:rPr>
        <w:t>129</w:t>
      </w:r>
      <w:r w:rsidR="008F2577">
        <w:rPr>
          <w:rStyle w:val="slug-issue"/>
          <w:rFonts w:cs="Lucida Sans Unicode"/>
          <w:color w:val="333300"/>
          <w:lang w:val="en"/>
        </w:rPr>
        <w:t>.</w:t>
      </w:r>
      <w:r w:rsidRPr="0049013E">
        <w:rPr>
          <w:rStyle w:val="slug-issue"/>
          <w:rFonts w:cs="Lucida Sans Unicode"/>
          <w:color w:val="333300"/>
          <w:lang w:val="en"/>
        </w:rPr>
        <w:t>1</w:t>
      </w:r>
      <w:r w:rsidR="008F2577">
        <w:rPr>
          <w:rStyle w:val="slug-issue"/>
          <w:rFonts w:cs="Lucida Sans Unicode"/>
          <w:color w:val="333300"/>
          <w:lang w:val="en"/>
        </w:rPr>
        <w:t xml:space="preserve">, </w:t>
      </w:r>
      <w:r w:rsidR="008F2577" w:rsidRPr="008F2577">
        <w:rPr>
          <w:rStyle w:val="slug-pages5"/>
          <w:rFonts w:cs="Lucida Sans Unicode"/>
          <w:color w:val="333300"/>
          <w:lang w:val="en"/>
        </w:rPr>
        <w:t>e224 -e231</w:t>
      </w:r>
      <w:r w:rsidR="008F2577">
        <w:rPr>
          <w:rStyle w:val="slug-pages5"/>
          <w:rFonts w:cs="Lucida Sans Unicode"/>
          <w:color w:val="333300"/>
          <w:lang w:val="en"/>
        </w:rPr>
        <w:t>.</w:t>
      </w:r>
      <w:r w:rsidR="008F2577" w:rsidRPr="008F2577">
        <w:t xml:space="preserve"> </w:t>
      </w:r>
      <w:hyperlink r:id="rId11" w:history="1">
        <w:r w:rsidR="008F2577" w:rsidRPr="007D5791">
          <w:rPr>
            <w:rStyle w:val="Hyperlink"/>
            <w:rFonts w:cs="Lucida Sans Unicode"/>
            <w:lang w:val="en"/>
          </w:rPr>
          <w:t>http://pediatrics.aappublications.org/content/129/1/e224.full.pdf+html</w:t>
        </w:r>
      </w:hyperlink>
      <w:r w:rsidR="008F2577">
        <w:rPr>
          <w:rStyle w:val="slug-pages5"/>
          <w:rFonts w:cs="Lucida Sans Unicode"/>
          <w:color w:val="333300"/>
          <w:lang w:val="en"/>
        </w:rPr>
        <w:t xml:space="preserve"> </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Australian Institute of Health and Welfare. (2011). </w:t>
      </w:r>
      <w:r w:rsidRPr="00C85B6A">
        <w:rPr>
          <w:rFonts w:cstheme="minorHAnsi"/>
          <w:i/>
          <w:iCs/>
        </w:rPr>
        <w:t>Chil</w:t>
      </w:r>
      <w:r>
        <w:rPr>
          <w:rFonts w:cstheme="minorHAnsi"/>
          <w:i/>
          <w:iCs/>
        </w:rPr>
        <w:t xml:space="preserve">d protection Australia 2009-10. </w:t>
      </w:r>
      <w:r w:rsidRPr="00C85B6A">
        <w:rPr>
          <w:rFonts w:cstheme="minorHAnsi"/>
          <w:i/>
          <w:iCs/>
        </w:rPr>
        <w:t>Child</w:t>
      </w:r>
      <w:r w:rsidR="00B753BF">
        <w:rPr>
          <w:rFonts w:cstheme="minorHAnsi"/>
          <w:i/>
          <w:iCs/>
        </w:rPr>
        <w:t xml:space="preserve"> </w:t>
      </w:r>
      <w:r w:rsidRPr="00873A08">
        <w:rPr>
          <w:rFonts w:cstheme="minorHAnsi"/>
          <w:i/>
          <w:iCs/>
        </w:rPr>
        <w:t xml:space="preserve">welfare series no.51. </w:t>
      </w:r>
      <w:r w:rsidRPr="00873A08">
        <w:rPr>
          <w:rFonts w:cstheme="minorHAnsi"/>
        </w:rPr>
        <w:t>Catalogue no. CWS39. Canberra: AIHW.</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r w:rsidRPr="00C85B6A">
        <w:rPr>
          <w:rFonts w:cstheme="minorHAnsi"/>
        </w:rPr>
        <w:t xml:space="preserve">Berrueta-Clement, J. R. (1994). </w:t>
      </w:r>
      <w:r w:rsidRPr="00C85B6A">
        <w:rPr>
          <w:rFonts w:cstheme="minorHAnsi"/>
          <w:i/>
          <w:iCs/>
        </w:rPr>
        <w:t>Changes Lives: The Effects of the Perry Preschool Program on</w:t>
      </w:r>
      <w:r w:rsidR="009E3651">
        <w:rPr>
          <w:rFonts w:cstheme="minorHAnsi"/>
          <w:i/>
          <w:iCs/>
        </w:rPr>
        <w:t xml:space="preserve"> </w:t>
      </w:r>
      <w:r w:rsidRPr="00873A08">
        <w:rPr>
          <w:rFonts w:cstheme="minorHAnsi"/>
          <w:i/>
          <w:iCs/>
        </w:rPr>
        <w:t>Youths Through Age 19</w:t>
      </w:r>
      <w:r w:rsidRPr="00873A08">
        <w:rPr>
          <w:rFonts w:cstheme="minorHAnsi"/>
        </w:rPr>
        <w:t>. Ypsilanti, Michigan: The High/Scope Press.</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Bromfield, L., Holzer, P. and Lamont, A. (2010). </w:t>
      </w:r>
      <w:r w:rsidRPr="00C85B6A">
        <w:rPr>
          <w:rFonts w:cstheme="minorHAnsi"/>
          <w:i/>
          <w:iCs/>
        </w:rPr>
        <w:t>The economic costs of child abuse and neglect.</w:t>
      </w:r>
      <w:r>
        <w:rPr>
          <w:rFonts w:cstheme="minorHAnsi"/>
          <w:i/>
          <w:iCs/>
        </w:rPr>
        <w:t xml:space="preserve"> </w:t>
      </w:r>
      <w:r w:rsidRPr="00873A08">
        <w:rPr>
          <w:rFonts w:cstheme="minorHAnsi"/>
        </w:rPr>
        <w:t>National Child Protection Clearinghouse Resource Sheet. Melbourne, Victoria: Australian Institute</w:t>
      </w:r>
      <w:r>
        <w:rPr>
          <w:rFonts w:cstheme="minorHAnsi"/>
        </w:rPr>
        <w:t xml:space="preserve"> </w:t>
      </w:r>
      <w:r w:rsidRPr="00873A08">
        <w:rPr>
          <w:rFonts w:cstheme="minorHAnsi"/>
        </w:rPr>
        <w:t>of Family Studies.</w:t>
      </w:r>
    </w:p>
    <w:p w:rsidR="00022151" w:rsidRPr="00873A08" w:rsidRDefault="00022151" w:rsidP="008F2577">
      <w:pPr>
        <w:pStyle w:val="ListParagraph"/>
        <w:autoSpaceDE w:val="0"/>
        <w:autoSpaceDN w:val="0"/>
        <w:adjustRightInd w:val="0"/>
        <w:spacing w:after="0" w:line="240" w:lineRule="auto"/>
        <w:ind w:left="709" w:hanging="698"/>
        <w:rPr>
          <w:rFonts w:cstheme="minorHAnsi"/>
          <w:i/>
          <w:iCs/>
        </w:rPr>
      </w:pPr>
      <w:r w:rsidRPr="00022151">
        <w:rPr>
          <w:rFonts w:cstheme="minorHAnsi"/>
        </w:rPr>
        <w:t>Budget 2009-10,</w:t>
      </w:r>
      <w:r>
        <w:rPr>
          <w:rFonts w:cstheme="minorHAnsi"/>
        </w:rPr>
        <w:t xml:space="preserve"> Commonwealth of Australia.</w:t>
      </w:r>
      <w:r w:rsidRPr="00022151">
        <w:rPr>
          <w:rFonts w:cstheme="minorHAnsi"/>
        </w:rPr>
        <w:t xml:space="preserve"> </w:t>
      </w:r>
      <w:r w:rsidRPr="00022151">
        <w:rPr>
          <w:rFonts w:eastAsia="Times New Roman" w:cs="Times New Roman"/>
          <w:bCs/>
          <w:smallCaps/>
          <w:lang w:eastAsia="en-AU"/>
        </w:rPr>
        <w:t xml:space="preserve">Part 2: Expense Measures, </w:t>
      </w:r>
      <w:r w:rsidRPr="00022151">
        <w:rPr>
          <w:rFonts w:eastAsia="Times New Roman" w:cs="Times New Roman"/>
          <w:bCs/>
          <w:lang w:eastAsia="en-AU"/>
        </w:rPr>
        <w:t>Families, Housing,</w:t>
      </w:r>
      <w:r>
        <w:rPr>
          <w:rFonts w:eastAsia="Times New Roman" w:cs="Times New Roman"/>
          <w:bCs/>
          <w:lang w:eastAsia="en-AU"/>
        </w:rPr>
        <w:t xml:space="preserve"> </w:t>
      </w:r>
      <w:r w:rsidRPr="00022151">
        <w:rPr>
          <w:rFonts w:eastAsia="Times New Roman" w:cs="Times New Roman"/>
          <w:bCs/>
          <w:lang w:eastAsia="en-AU"/>
        </w:rPr>
        <w:t>Community Services and Indigenous Affairs,</w:t>
      </w:r>
      <w:r w:rsidRPr="00022151">
        <w:t xml:space="preserve"> National Framework for Protecting Australia's Children — Special Child Care Benefit — increasing awareness and access</w:t>
      </w:r>
      <w:r>
        <w:t>.</w:t>
      </w:r>
      <w:r w:rsidRPr="00022151">
        <w:t xml:space="preserve"> </w:t>
      </w:r>
      <w:hyperlink r:id="rId12" w:history="1">
        <w:r w:rsidRPr="007D5791">
          <w:rPr>
            <w:rStyle w:val="Hyperlink"/>
          </w:rPr>
          <w:t>http://www.budget.gov.au/2009-10/content/bp2/html/bp2_expense-13.htm</w:t>
        </w:r>
      </w:hyperlink>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Campbell, F.A. and Ramey, C.T. (1994). Effects of Early Intervention on Intellectual and</w:t>
      </w:r>
      <w:r>
        <w:rPr>
          <w:rFonts w:cstheme="minorHAnsi"/>
        </w:rPr>
        <w:t xml:space="preserve"> </w:t>
      </w:r>
      <w:r w:rsidRPr="00873A08">
        <w:rPr>
          <w:rFonts w:cstheme="minorHAnsi"/>
        </w:rPr>
        <w:t xml:space="preserve">Academic Achievement: A Follow-Up Study of Children from Low-Income Families. </w:t>
      </w:r>
      <w:r w:rsidRPr="00873A08">
        <w:rPr>
          <w:rFonts w:cstheme="minorHAnsi"/>
          <w:i/>
          <w:iCs/>
        </w:rPr>
        <w:t>Child</w:t>
      </w:r>
      <w:r>
        <w:rPr>
          <w:rFonts w:cstheme="minorHAnsi"/>
          <w:i/>
          <w:iCs/>
        </w:rPr>
        <w:t xml:space="preserve"> </w:t>
      </w:r>
      <w:r w:rsidRPr="00873A08">
        <w:rPr>
          <w:rFonts w:cstheme="minorHAnsi"/>
          <w:i/>
          <w:iCs/>
        </w:rPr>
        <w:t>Development</w:t>
      </w:r>
      <w:r w:rsidRPr="00873A08">
        <w:rPr>
          <w:rFonts w:cstheme="minorHAnsi"/>
        </w:rPr>
        <w:t>. 65(2), 684-698.</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Campbell, F.A., Wasik, B.H., Pungello, E., Burchinal, M., Barbarin, O., Kainz, K., Sparling,</w:t>
      </w:r>
      <w:r>
        <w:rPr>
          <w:rFonts w:cstheme="minorHAnsi"/>
        </w:rPr>
        <w:t xml:space="preserve"> </w:t>
      </w:r>
      <w:r w:rsidRPr="00873A08">
        <w:rPr>
          <w:rFonts w:cstheme="minorHAnsi"/>
        </w:rPr>
        <w:t>J.J., &amp; Ramey, C.T. (2008). Young adult outcomes from the Abecedarian and CARE early</w:t>
      </w:r>
      <w:r>
        <w:rPr>
          <w:rFonts w:cstheme="minorHAnsi"/>
        </w:rPr>
        <w:t xml:space="preserve"> </w:t>
      </w:r>
      <w:r w:rsidRPr="00873A08">
        <w:rPr>
          <w:rFonts w:cstheme="minorHAnsi"/>
        </w:rPr>
        <w:t xml:space="preserve">childhood educational interventions. </w:t>
      </w:r>
      <w:r w:rsidRPr="00873A08">
        <w:rPr>
          <w:rFonts w:cstheme="minorHAnsi"/>
          <w:i/>
          <w:iCs/>
        </w:rPr>
        <w:t xml:space="preserve">Early Childhood Research Quarterly. </w:t>
      </w:r>
      <w:r w:rsidRPr="00873A08">
        <w:rPr>
          <w:rFonts w:cstheme="minorHAnsi"/>
        </w:rPr>
        <w:t>23, 452-466.</w:t>
      </w:r>
    </w:p>
    <w:p w:rsidR="00022151" w:rsidRDefault="00F53098" w:rsidP="00022151">
      <w:pPr>
        <w:pStyle w:val="ListParagraph"/>
        <w:autoSpaceDE w:val="0"/>
        <w:autoSpaceDN w:val="0"/>
        <w:adjustRightInd w:val="0"/>
        <w:spacing w:after="0" w:line="240" w:lineRule="auto"/>
        <w:ind w:left="709" w:hanging="698"/>
        <w:rPr>
          <w:rFonts w:cstheme="minorHAnsi"/>
        </w:rPr>
      </w:pPr>
      <w:r>
        <w:rPr>
          <w:rFonts w:cstheme="minorHAnsi"/>
        </w:rPr>
        <w:t>CIAR (Canadian Institute for Advance</w:t>
      </w:r>
      <w:r w:rsidR="00B111E7">
        <w:rPr>
          <w:rFonts w:cstheme="minorHAnsi"/>
        </w:rPr>
        <w:t>d</w:t>
      </w:r>
      <w:r>
        <w:rPr>
          <w:rFonts w:cstheme="minorHAnsi"/>
        </w:rPr>
        <w:t xml:space="preserve"> Research) (1999). </w:t>
      </w:r>
      <w:r w:rsidRPr="00F53098">
        <w:rPr>
          <w:rFonts w:cstheme="minorHAnsi"/>
          <w:i/>
        </w:rPr>
        <w:t>Reversing the Real Brain Drain: Early Years Study</w:t>
      </w:r>
      <w:r>
        <w:rPr>
          <w:rFonts w:cstheme="minorHAnsi"/>
        </w:rPr>
        <w:t xml:space="preserve">. Toronto: CIAR. </w:t>
      </w:r>
      <w:hyperlink r:id="rId13" w:history="1">
        <w:r w:rsidRPr="007D5791">
          <w:rPr>
            <w:rStyle w:val="Hyperlink"/>
            <w:rFonts w:cstheme="minorHAnsi"/>
          </w:rPr>
          <w:t>http://www.pcfk.on.ca/PDFs/Research_Ken/ReversingBrainDrain.pdf</w:t>
        </w:r>
      </w:hyperlink>
      <w:r>
        <w:rPr>
          <w:rFonts w:cstheme="minorHAnsi"/>
        </w:rPr>
        <w:t xml:space="preserve"> </w:t>
      </w:r>
    </w:p>
    <w:p w:rsidR="00E30810" w:rsidRPr="00022151" w:rsidRDefault="00A95542" w:rsidP="00022151">
      <w:pPr>
        <w:pStyle w:val="ListParagraph"/>
        <w:autoSpaceDE w:val="0"/>
        <w:autoSpaceDN w:val="0"/>
        <w:adjustRightInd w:val="0"/>
        <w:spacing w:after="0" w:line="240" w:lineRule="auto"/>
        <w:ind w:left="709" w:hanging="698"/>
        <w:rPr>
          <w:rFonts w:cstheme="minorHAnsi"/>
        </w:rPr>
      </w:pPr>
      <w:r w:rsidRPr="00022151">
        <w:rPr>
          <w:rFonts w:cstheme="minorHAnsi"/>
        </w:rPr>
        <w:t xml:space="preserve">Cunha, F. and Heckman, J. (2006). </w:t>
      </w:r>
      <w:r w:rsidRPr="00022151">
        <w:rPr>
          <w:rFonts w:cstheme="minorHAnsi"/>
          <w:i/>
          <w:iCs/>
        </w:rPr>
        <w:t>Investing in our Young People</w:t>
      </w:r>
      <w:r w:rsidRPr="00022151">
        <w:rPr>
          <w:rFonts w:cstheme="minorHAnsi"/>
        </w:rPr>
        <w:t xml:space="preserve">. University of Chicago, </w:t>
      </w:r>
      <w:r w:rsidR="0083565C">
        <w:rPr>
          <w:rFonts w:cstheme="minorHAnsi"/>
        </w:rPr>
        <w:t xml:space="preserve"> </w:t>
      </w:r>
      <w:r w:rsidRPr="00022151">
        <w:rPr>
          <w:rFonts w:cstheme="minorHAnsi"/>
        </w:rPr>
        <w:t>Department of Economics. Unpublished manuscript.</w:t>
      </w:r>
    </w:p>
    <w:p w:rsidR="00D036E6" w:rsidRPr="00D036E6" w:rsidRDefault="00B753BF" w:rsidP="00D036E6">
      <w:pPr>
        <w:autoSpaceDE w:val="0"/>
        <w:autoSpaceDN w:val="0"/>
        <w:adjustRightInd w:val="0"/>
        <w:spacing w:after="0" w:line="240" w:lineRule="auto"/>
        <w:rPr>
          <w:rFonts w:cs="TheSansSemiBold-Plain"/>
          <w:bCs/>
        </w:rPr>
      </w:pPr>
      <w:r w:rsidRPr="00E30810">
        <w:rPr>
          <w:rFonts w:cstheme="minorHAnsi"/>
        </w:rPr>
        <w:t>COAG (Council of Australian Governments)</w:t>
      </w:r>
      <w:r w:rsidR="00D036E6">
        <w:rPr>
          <w:rFonts w:cstheme="minorHAnsi"/>
        </w:rPr>
        <w:t xml:space="preserve"> (2009).</w:t>
      </w:r>
      <w:r w:rsidR="00E30810" w:rsidRPr="00E30810">
        <w:rPr>
          <w:rFonts w:cstheme="minorHAnsi"/>
        </w:rPr>
        <w:t xml:space="preserve"> </w:t>
      </w:r>
      <w:r w:rsidR="00D036E6" w:rsidRPr="00D036E6">
        <w:rPr>
          <w:rFonts w:cs="TheSansSemiBold-Plain"/>
          <w:bCs/>
          <w:i/>
        </w:rPr>
        <w:t xml:space="preserve">Protecting Children is Everyone’s Business: </w:t>
      </w:r>
      <w:r w:rsidR="00D036E6" w:rsidRPr="00D036E6">
        <w:rPr>
          <w:rFonts w:cs="TheSans-Plain"/>
          <w:i/>
        </w:rPr>
        <w:t>National Framework for Protecting</w:t>
      </w:r>
      <w:r w:rsidR="00D036E6" w:rsidRPr="00D036E6">
        <w:rPr>
          <w:rFonts w:cs="TheSansSemiBold-Plain"/>
          <w:bCs/>
          <w:i/>
        </w:rPr>
        <w:t xml:space="preserve"> </w:t>
      </w:r>
      <w:r w:rsidR="00D036E6" w:rsidRPr="00D036E6">
        <w:rPr>
          <w:rFonts w:cs="TheSans-Plain"/>
          <w:i/>
        </w:rPr>
        <w:t>Australia’s Children 2009–2020</w:t>
      </w:r>
      <w:r w:rsidR="00D036E6">
        <w:rPr>
          <w:rFonts w:cs="TheSans-Plain"/>
        </w:rPr>
        <w:t>.</w:t>
      </w:r>
    </w:p>
    <w:p w:rsidR="00E30810" w:rsidRDefault="00D036E6" w:rsidP="008F2577">
      <w:pPr>
        <w:pStyle w:val="ListParagraph"/>
        <w:autoSpaceDE w:val="0"/>
        <w:autoSpaceDN w:val="0"/>
        <w:adjustRightInd w:val="0"/>
        <w:spacing w:after="0" w:line="240" w:lineRule="auto"/>
        <w:ind w:left="709" w:hanging="698"/>
      </w:pPr>
      <w:r>
        <w:rPr>
          <w:rFonts w:cstheme="minorHAnsi"/>
        </w:rPr>
        <w:t xml:space="preserve">---. </w:t>
      </w:r>
      <w:r w:rsidR="00E30810" w:rsidRPr="00E30810">
        <w:rPr>
          <w:rFonts w:cstheme="minorHAnsi"/>
        </w:rPr>
        <w:t>(2013).</w:t>
      </w:r>
      <w:r w:rsidR="00E30810" w:rsidRPr="00E30810">
        <w:rPr>
          <w:rStyle w:val="FootnoteReference"/>
        </w:rPr>
        <w:t xml:space="preserve"> </w:t>
      </w:r>
      <w:r w:rsidR="00E30810" w:rsidRPr="00E30810">
        <w:rPr>
          <w:rStyle w:val="A2"/>
          <w:i/>
          <w:sz w:val="22"/>
          <w:szCs w:val="22"/>
        </w:rPr>
        <w:t xml:space="preserve">Protecting Children is Everyone’s Business, </w:t>
      </w:r>
      <w:r w:rsidR="00E30810" w:rsidRPr="00E30810">
        <w:rPr>
          <w:rStyle w:val="A3"/>
          <w:rFonts w:asciiTheme="minorHAnsi" w:hAnsiTheme="minorHAnsi"/>
          <w:b w:val="0"/>
          <w:i/>
          <w:sz w:val="22"/>
          <w:szCs w:val="22"/>
        </w:rPr>
        <w:t>National Framework for Protecting Australia’s Children 2009–2020</w:t>
      </w:r>
      <w:r w:rsidR="00E30810">
        <w:rPr>
          <w:rStyle w:val="A3"/>
          <w:rFonts w:asciiTheme="minorHAnsi" w:hAnsiTheme="minorHAnsi"/>
          <w:b w:val="0"/>
          <w:i/>
          <w:sz w:val="22"/>
          <w:szCs w:val="22"/>
        </w:rPr>
        <w:t>.</w:t>
      </w:r>
      <w:r w:rsidR="00E30810" w:rsidRPr="00E30810">
        <w:rPr>
          <w:rStyle w:val="FootnoteReference"/>
          <w:b/>
          <w:i/>
        </w:rPr>
        <w:t xml:space="preserve"> </w:t>
      </w:r>
      <w:r w:rsidR="00E30810" w:rsidRPr="00E30810">
        <w:rPr>
          <w:rStyle w:val="A1"/>
          <w:b w:val="0"/>
          <w:i/>
          <w:sz w:val="22"/>
          <w:szCs w:val="22"/>
        </w:rPr>
        <w:t>Annual Report to the Council of Australian Governments 2011–12</w:t>
      </w:r>
      <w:r w:rsidR="00E30810">
        <w:rPr>
          <w:rStyle w:val="A1"/>
          <w:b w:val="0"/>
          <w:i/>
          <w:sz w:val="22"/>
          <w:szCs w:val="22"/>
        </w:rPr>
        <w:t>.</w:t>
      </w:r>
      <w:r w:rsidR="00E30810">
        <w:rPr>
          <w:rStyle w:val="A1"/>
          <w:b w:val="0"/>
          <w:sz w:val="22"/>
          <w:szCs w:val="22"/>
        </w:rPr>
        <w:t xml:space="preserve"> </w:t>
      </w:r>
      <w:hyperlink r:id="rId14" w:history="1">
        <w:r w:rsidR="00E30810">
          <w:rPr>
            <w:rStyle w:val="Hyperlink"/>
          </w:rPr>
          <w:t>http://www.dss.gov.au/sites/default/files/documents/05_2013/nfpac_ar_final_v4.pdf</w:t>
        </w:r>
      </w:hyperlink>
    </w:p>
    <w:p w:rsidR="00134935" w:rsidRDefault="00134935" w:rsidP="008F2577">
      <w:pPr>
        <w:pStyle w:val="ListParagraph"/>
        <w:autoSpaceDE w:val="0"/>
        <w:autoSpaceDN w:val="0"/>
        <w:adjustRightInd w:val="0"/>
        <w:spacing w:after="0" w:line="240" w:lineRule="auto"/>
        <w:ind w:left="709" w:hanging="698"/>
        <w:rPr>
          <w:rFonts w:cs="Meta Normal"/>
          <w:color w:val="000000"/>
        </w:rPr>
      </w:pPr>
      <w:r w:rsidRPr="00134935">
        <w:rPr>
          <w:rFonts w:cs="Meta Normal"/>
          <w:color w:val="000000"/>
        </w:rPr>
        <w:t xml:space="preserve">CODC (Center on the Developing Child at Harvard University) (2010). </w:t>
      </w:r>
      <w:r w:rsidRPr="00134935">
        <w:rPr>
          <w:rFonts w:cs="Meta Normal"/>
          <w:i/>
          <w:iCs/>
          <w:color w:val="000000"/>
        </w:rPr>
        <w:t>The Foundations of Lifelong Health Are Built in Early Childhood</w:t>
      </w:r>
      <w:r>
        <w:rPr>
          <w:rFonts w:cs="Meta Normal"/>
          <w:color w:val="000000"/>
        </w:rPr>
        <w:t xml:space="preserve">. Cambridge: </w:t>
      </w:r>
      <w:hyperlink r:id="rId15" w:history="1">
        <w:r w:rsidRPr="007D5791">
          <w:rPr>
            <w:rStyle w:val="Hyperlink"/>
            <w:rFonts w:cs="Meta Normal"/>
          </w:rPr>
          <w:t>http://www.developingchild.harvard.edu</w:t>
        </w:r>
      </w:hyperlink>
    </w:p>
    <w:p w:rsidR="00134935" w:rsidRPr="00134935" w:rsidRDefault="00134935" w:rsidP="008F2577">
      <w:pPr>
        <w:pStyle w:val="ListParagraph"/>
        <w:autoSpaceDE w:val="0"/>
        <w:autoSpaceDN w:val="0"/>
        <w:adjustRightInd w:val="0"/>
        <w:spacing w:after="0" w:line="240" w:lineRule="auto"/>
        <w:ind w:left="709" w:hanging="698"/>
        <w:rPr>
          <w:rFonts w:cstheme="minorHAnsi"/>
          <w:i/>
          <w:iCs/>
        </w:rPr>
      </w:pPr>
      <w:r>
        <w:rPr>
          <w:rFonts w:cstheme="minorHAnsi"/>
        </w:rPr>
        <w:t>---</w:t>
      </w:r>
      <w:r w:rsidRPr="00C85B6A">
        <w:rPr>
          <w:rFonts w:cstheme="minorHAnsi"/>
        </w:rPr>
        <w:t xml:space="preserve">. (2011). </w:t>
      </w:r>
      <w:r w:rsidRPr="00C85B6A">
        <w:rPr>
          <w:rFonts w:cstheme="minorHAnsi"/>
          <w:i/>
          <w:iCs/>
        </w:rPr>
        <w:t>In Brief: Early Childhood Program</w:t>
      </w:r>
      <w:r>
        <w:rPr>
          <w:rFonts w:cstheme="minorHAnsi"/>
          <w:i/>
          <w:iCs/>
        </w:rPr>
        <w:t xml:space="preserve"> </w:t>
      </w:r>
      <w:r w:rsidRPr="00873A08">
        <w:rPr>
          <w:rFonts w:cstheme="minorHAnsi"/>
          <w:i/>
          <w:iCs/>
        </w:rPr>
        <w:t>Effectiveness</w:t>
      </w:r>
      <w:r w:rsidRPr="00873A08">
        <w:rPr>
          <w:rFonts w:cstheme="minorHAnsi"/>
        </w:rPr>
        <w:t xml:space="preserve">. </w:t>
      </w:r>
      <w:r>
        <w:rPr>
          <w:rFonts w:cstheme="minorHAnsi"/>
        </w:rPr>
        <w:t xml:space="preserve">Cambridge: </w:t>
      </w:r>
      <w:r w:rsidRPr="00873A08">
        <w:rPr>
          <w:rFonts w:cstheme="minorHAnsi"/>
        </w:rPr>
        <w:t>Centre on the Developing Child, Harvard University.</w:t>
      </w:r>
    </w:p>
    <w:p w:rsidR="00237D12" w:rsidRPr="008E7E45" w:rsidRDefault="00237D12" w:rsidP="008F2577">
      <w:pPr>
        <w:pStyle w:val="ListParagraph"/>
        <w:autoSpaceDE w:val="0"/>
        <w:autoSpaceDN w:val="0"/>
        <w:adjustRightInd w:val="0"/>
        <w:spacing w:after="0" w:line="240" w:lineRule="auto"/>
        <w:ind w:left="709" w:hanging="698"/>
        <w:rPr>
          <w:rFonts w:cstheme="minorHAnsi"/>
        </w:rPr>
      </w:pPr>
      <w:r>
        <w:rPr>
          <w:rFonts w:cstheme="minorHAnsi"/>
        </w:rPr>
        <w:t xml:space="preserve">DEEWR (Department of Education, Early Childhood and Workplace Relations) (2010). </w:t>
      </w:r>
      <w:r w:rsidRPr="00237D12">
        <w:rPr>
          <w:rFonts w:cstheme="minorHAnsi"/>
          <w:i/>
        </w:rPr>
        <w:t>St</w:t>
      </w:r>
      <w:r>
        <w:rPr>
          <w:rFonts w:cstheme="minorHAnsi"/>
          <w:i/>
        </w:rPr>
        <w:t>ate of Child Care i</w:t>
      </w:r>
      <w:r w:rsidRPr="00237D12">
        <w:rPr>
          <w:rFonts w:cstheme="minorHAnsi"/>
          <w:i/>
        </w:rPr>
        <w:t>n Australia</w:t>
      </w:r>
      <w:r w:rsidR="001C24BF">
        <w:rPr>
          <w:rFonts w:cstheme="minorHAnsi"/>
        </w:rPr>
        <w:t>.</w:t>
      </w:r>
      <w:r>
        <w:rPr>
          <w:rFonts w:cstheme="minorHAnsi"/>
        </w:rPr>
        <w:t xml:space="preserve"> Canberra</w:t>
      </w:r>
      <w:r w:rsidRPr="008E7E45">
        <w:rPr>
          <w:rFonts w:cstheme="minorHAnsi"/>
        </w:rPr>
        <w:t>.</w:t>
      </w:r>
    </w:p>
    <w:p w:rsidR="00237D12" w:rsidRDefault="00F2468E" w:rsidP="008F2577">
      <w:pPr>
        <w:pStyle w:val="ListParagraph"/>
        <w:autoSpaceDE w:val="0"/>
        <w:autoSpaceDN w:val="0"/>
        <w:adjustRightInd w:val="0"/>
        <w:spacing w:after="0" w:line="240" w:lineRule="auto"/>
        <w:ind w:left="709" w:hanging="698"/>
        <w:rPr>
          <w:rFonts w:cstheme="minorHAnsi"/>
        </w:rPr>
      </w:pPr>
      <w:r>
        <w:rPr>
          <w:rFonts w:cstheme="minorHAnsi"/>
        </w:rPr>
        <w:t>---</w:t>
      </w:r>
      <w:r w:rsidR="00237D12">
        <w:rPr>
          <w:rFonts w:cstheme="minorHAnsi"/>
        </w:rPr>
        <w:t>(2012</w:t>
      </w:r>
      <w:r>
        <w:rPr>
          <w:rFonts w:cstheme="minorHAnsi"/>
        </w:rPr>
        <w:t>.</w:t>
      </w:r>
      <w:r w:rsidR="00237D12">
        <w:rPr>
          <w:rFonts w:cstheme="minorHAnsi"/>
        </w:rPr>
        <w:t xml:space="preserve">) </w:t>
      </w:r>
      <w:r w:rsidR="00237D12" w:rsidRPr="00237D12">
        <w:rPr>
          <w:rFonts w:cstheme="minorHAnsi"/>
          <w:i/>
        </w:rPr>
        <w:t>Child Care Service Handbook 2012-13</w:t>
      </w:r>
      <w:r w:rsidR="00237D12">
        <w:rPr>
          <w:rFonts w:cstheme="minorHAnsi"/>
        </w:rPr>
        <w:t>, Canberra.</w:t>
      </w:r>
    </w:p>
    <w:p w:rsidR="001C24BF" w:rsidRDefault="001C24BF" w:rsidP="008F2577">
      <w:pPr>
        <w:pStyle w:val="ListParagraph"/>
        <w:autoSpaceDE w:val="0"/>
        <w:autoSpaceDN w:val="0"/>
        <w:adjustRightInd w:val="0"/>
        <w:spacing w:after="0" w:line="240" w:lineRule="auto"/>
        <w:ind w:left="709" w:hanging="698"/>
        <w:rPr>
          <w:rFonts w:cstheme="minorHAnsi"/>
        </w:rPr>
      </w:pPr>
      <w:r>
        <w:rPr>
          <w:rFonts w:cstheme="minorHAnsi"/>
        </w:rPr>
        <w:t xml:space="preserve">---(August 2013). </w:t>
      </w:r>
      <w:r w:rsidRPr="001C24BF">
        <w:rPr>
          <w:rFonts w:cstheme="minorHAnsi"/>
          <w:i/>
        </w:rPr>
        <w:t>Child Care in Australia</w:t>
      </w:r>
      <w:r>
        <w:rPr>
          <w:rFonts w:cstheme="minorHAnsi"/>
        </w:rPr>
        <w:t>. Canberra</w:t>
      </w:r>
    </w:p>
    <w:p w:rsidR="008E7E45" w:rsidRPr="00873A08" w:rsidRDefault="008E7E45" w:rsidP="008F2577">
      <w:pPr>
        <w:pStyle w:val="ListParagraph"/>
        <w:autoSpaceDE w:val="0"/>
        <w:autoSpaceDN w:val="0"/>
        <w:adjustRightInd w:val="0"/>
        <w:spacing w:after="0" w:line="240" w:lineRule="auto"/>
        <w:ind w:left="709" w:hanging="698"/>
        <w:rPr>
          <w:rFonts w:cstheme="minorHAnsi"/>
        </w:rPr>
      </w:pPr>
      <w:r>
        <w:rPr>
          <w:rFonts w:cstheme="minorHAnsi"/>
        </w:rPr>
        <w:t xml:space="preserve">DEEWR and DHS (Department of Human Services) (2012). </w:t>
      </w:r>
      <w:r w:rsidRPr="008E7E45">
        <w:rPr>
          <w:rFonts w:cstheme="minorHAnsi"/>
          <w:i/>
        </w:rPr>
        <w:t>A Guide to Special Chi</w:t>
      </w:r>
      <w:r w:rsidR="007552A8">
        <w:rPr>
          <w:rFonts w:cstheme="minorHAnsi"/>
          <w:i/>
        </w:rPr>
        <w:t>l</w:t>
      </w:r>
      <w:r w:rsidRPr="008E7E45">
        <w:rPr>
          <w:rFonts w:cstheme="minorHAnsi"/>
          <w:i/>
        </w:rPr>
        <w:t>d Care Benefit</w:t>
      </w:r>
      <w:r>
        <w:rPr>
          <w:rFonts w:cstheme="minorHAnsi"/>
        </w:rPr>
        <w:t>. Canberra.</w:t>
      </w:r>
      <w:r w:rsidRPr="008E7E45">
        <w:t xml:space="preserve"> </w:t>
      </w:r>
      <w:hyperlink r:id="rId16" w:history="1">
        <w:r w:rsidR="007552A8" w:rsidRPr="007D5791">
          <w:rPr>
            <w:rStyle w:val="Hyperlink"/>
            <w:rFonts w:cstheme="minorHAnsi"/>
          </w:rPr>
          <w:t>http://docs.education.gov.au/system/files/doc/other/a_guide_to_special_child_care_benefit.pdf</w:t>
        </w:r>
      </w:hyperlink>
      <w:r w:rsidR="007552A8">
        <w:rPr>
          <w:rFonts w:cstheme="minorHAnsi"/>
        </w:rPr>
        <w:t xml:space="preserve"> (accessed 14 January 2014).</w:t>
      </w:r>
    </w:p>
    <w:p w:rsidR="001C24BF"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Heckman, J. (2008). Schools, skills and synapses. </w:t>
      </w:r>
      <w:r w:rsidRPr="00C85B6A">
        <w:rPr>
          <w:rFonts w:cstheme="minorHAnsi"/>
          <w:i/>
          <w:iCs/>
        </w:rPr>
        <w:t xml:space="preserve">Economic Inquiry. </w:t>
      </w:r>
      <w:r w:rsidRPr="00C85B6A">
        <w:rPr>
          <w:rFonts w:cstheme="minorHAnsi"/>
        </w:rPr>
        <w:t>46(3), 289-324.</w:t>
      </w:r>
    </w:p>
    <w:p w:rsidR="001C24BF" w:rsidRDefault="001C24BF" w:rsidP="008F2577">
      <w:pPr>
        <w:autoSpaceDE w:val="0"/>
        <w:autoSpaceDN w:val="0"/>
        <w:adjustRightInd w:val="0"/>
        <w:spacing w:after="0" w:line="240" w:lineRule="auto"/>
        <w:ind w:left="709" w:hanging="709"/>
        <w:rPr>
          <w:rFonts w:cs="Times New Roman"/>
        </w:rPr>
      </w:pPr>
      <w:r w:rsidRPr="00E30810">
        <w:rPr>
          <w:rFonts w:cs="Times New Roman"/>
        </w:rPr>
        <w:t>Heckman, J. and D. Masterov (</w:t>
      </w:r>
      <w:r w:rsidR="00E30810">
        <w:rPr>
          <w:rFonts w:cs="Times New Roman"/>
        </w:rPr>
        <w:t>2007</w:t>
      </w:r>
      <w:r w:rsidR="00E30810" w:rsidRPr="00E30810">
        <w:rPr>
          <w:rFonts w:cs="Times New Roman"/>
        </w:rPr>
        <w:t xml:space="preserve">). </w:t>
      </w:r>
      <w:r w:rsidR="00E30810" w:rsidRPr="00E30810">
        <w:rPr>
          <w:rFonts w:cs="Times New Roman"/>
          <w:i/>
        </w:rPr>
        <w:t>The Productivity Argument for Investing in Young Children</w:t>
      </w:r>
      <w:r w:rsidR="00E30810" w:rsidRPr="00E30810">
        <w:rPr>
          <w:rFonts w:eastAsia="SymbolMT" w:cs="SymbolMT"/>
        </w:rPr>
        <w:t>.</w:t>
      </w:r>
      <w:r w:rsidR="00E30810" w:rsidRPr="00E30810">
        <w:rPr>
          <w:rFonts w:cs="Times New Roman"/>
        </w:rPr>
        <w:t xml:space="preserve"> Lecture given as the T.W. Schultz Award Lecture at the Allied Social Sciences Association annual meeting,</w:t>
      </w:r>
      <w:r w:rsidR="00E30810">
        <w:rPr>
          <w:rFonts w:cs="Times New Roman"/>
        </w:rPr>
        <w:t xml:space="preserve"> </w:t>
      </w:r>
      <w:r w:rsidR="00E30810" w:rsidRPr="00E30810">
        <w:rPr>
          <w:rFonts w:cs="Times New Roman"/>
        </w:rPr>
        <w:t>Chicago, January 5-7, 2007</w:t>
      </w:r>
      <w:r w:rsidR="00E30810">
        <w:rPr>
          <w:rFonts w:cs="Times New Roman"/>
        </w:rPr>
        <w:t>.</w:t>
      </w:r>
      <w:r w:rsidR="00E30810" w:rsidRPr="00E30810">
        <w:t xml:space="preserve"> </w:t>
      </w:r>
      <w:hyperlink r:id="rId17" w:history="1">
        <w:r w:rsidR="00E30810" w:rsidRPr="007D5791">
          <w:rPr>
            <w:rStyle w:val="Hyperlink"/>
            <w:rFonts w:cs="Times New Roman"/>
          </w:rPr>
          <w:t>http://jenni.uchicago.edu/human-inequality/papers/Heckman_final_all_wp_2007-03-22c_jsb.pdf</w:t>
        </w:r>
      </w:hyperlink>
      <w:r w:rsidR="00E30810">
        <w:rPr>
          <w:rFonts w:cs="Times New Roman"/>
        </w:rPr>
        <w:t xml:space="preserve"> </w:t>
      </w:r>
    </w:p>
    <w:p w:rsidR="00854C44" w:rsidRPr="00854C44" w:rsidRDefault="00854C44" w:rsidP="008F2577">
      <w:pPr>
        <w:autoSpaceDE w:val="0"/>
        <w:autoSpaceDN w:val="0"/>
        <w:adjustRightInd w:val="0"/>
        <w:spacing w:after="0" w:line="240" w:lineRule="auto"/>
        <w:ind w:left="709" w:hanging="709"/>
        <w:rPr>
          <w:rFonts w:cs="Times New Roman"/>
        </w:rPr>
      </w:pPr>
      <w:r>
        <w:rPr>
          <w:rFonts w:cs="Times New Roman"/>
        </w:rPr>
        <w:lastRenderedPageBreak/>
        <w:t xml:space="preserve">Heckman, J., R. Pinto, and P. Savelyev (2013). Understanding the Mechanisms Through Which an Influential Early Childhood Program Boosted Adult Outcomes. </w:t>
      </w:r>
      <w:r w:rsidRPr="00854C44">
        <w:rPr>
          <w:rFonts w:cs="Times New Roman"/>
          <w:i/>
        </w:rPr>
        <w:t>The American Economic Review</w:t>
      </w:r>
      <w:r>
        <w:rPr>
          <w:rFonts w:cs="Times New Roman"/>
          <w:i/>
        </w:rPr>
        <w:t>.</w:t>
      </w:r>
      <w:r>
        <w:rPr>
          <w:rFonts w:cs="Times New Roman"/>
        </w:rPr>
        <w:t>103.6, 2052-2086.</w:t>
      </w:r>
    </w:p>
    <w:p w:rsidR="007F69F7" w:rsidRPr="00C85B6A" w:rsidRDefault="007F69F7" w:rsidP="008F2577">
      <w:pPr>
        <w:pStyle w:val="ListParagraph"/>
        <w:autoSpaceDE w:val="0"/>
        <w:autoSpaceDN w:val="0"/>
        <w:adjustRightInd w:val="0"/>
        <w:spacing w:after="0" w:line="240" w:lineRule="auto"/>
        <w:ind w:left="709" w:hanging="698"/>
        <w:rPr>
          <w:rFonts w:cstheme="minorHAnsi"/>
        </w:rPr>
      </w:pPr>
      <w:r>
        <w:rPr>
          <w:rFonts w:cstheme="minorHAnsi"/>
        </w:rPr>
        <w:t>Hill, Jordan</w:t>
      </w:r>
      <w:r w:rsidR="004866B8">
        <w:rPr>
          <w:rFonts w:cstheme="minorHAnsi"/>
        </w:rPr>
        <w:t>,</w:t>
      </w:r>
      <w:r>
        <w:rPr>
          <w:rFonts w:cstheme="minorHAnsi"/>
        </w:rPr>
        <w:t xml:space="preserve"> et al. </w:t>
      </w:r>
      <w:r w:rsidR="004866B8">
        <w:rPr>
          <w:rFonts w:cstheme="minorHAnsi"/>
        </w:rPr>
        <w:t xml:space="preserve">(2011) </w:t>
      </w:r>
      <w:r w:rsidRPr="007F69F7">
        <w:t>Changing life trajectories: the early years education research project</w:t>
      </w:r>
      <w:r>
        <w:t xml:space="preserve">. </w:t>
      </w:r>
      <w:r w:rsidRPr="004866B8">
        <w:rPr>
          <w:i/>
        </w:rPr>
        <w:t>Insights</w:t>
      </w:r>
      <w:r>
        <w:t>. 10. Nov</w:t>
      </w:r>
      <w:r w:rsidR="004866B8">
        <w:t>. 19-25.</w:t>
      </w:r>
      <w:r w:rsidR="00573FBA" w:rsidRPr="00573FBA">
        <w:t xml:space="preserve"> </w:t>
      </w:r>
      <w:hyperlink r:id="rId18" w:history="1">
        <w:r w:rsidR="00573FBA" w:rsidRPr="007D5791">
          <w:rPr>
            <w:rStyle w:val="Hyperlink"/>
          </w:rPr>
          <w:t>http://insights.unimelb.edu.au/vol10/03_Hill_Borland.html</w:t>
        </w:r>
      </w:hyperlink>
      <w:r w:rsidR="00573FBA">
        <w:t xml:space="preserve"> </w:t>
      </w:r>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Karoly, L., Kilburn, M.R. &amp; Cannon, J.S. (2005). </w:t>
      </w:r>
      <w:r w:rsidRPr="00C85B6A">
        <w:rPr>
          <w:rFonts w:cstheme="minorHAnsi"/>
          <w:i/>
          <w:iCs/>
        </w:rPr>
        <w:t>Early Childhood Interventions</w:t>
      </w:r>
      <w:r w:rsidRPr="00C85B6A">
        <w:rPr>
          <w:rFonts w:cstheme="minorHAnsi"/>
        </w:rPr>
        <w:t>. Santa Monica,</w:t>
      </w:r>
      <w:r>
        <w:rPr>
          <w:rFonts w:cstheme="minorHAnsi"/>
        </w:rPr>
        <w:t xml:space="preserve"> </w:t>
      </w:r>
      <w:r w:rsidRPr="00873A08">
        <w:rPr>
          <w:rFonts w:cstheme="minorHAnsi"/>
        </w:rPr>
        <w:t>California: Rand.</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r w:rsidRPr="00C85B6A">
        <w:rPr>
          <w:rFonts w:cstheme="minorHAnsi"/>
        </w:rPr>
        <w:t xml:space="preserve">Moore, T., Fry, R., Lorains, J., Green, J., Hopkins, L. (2012). </w:t>
      </w:r>
      <w:r w:rsidRPr="00C85B6A">
        <w:rPr>
          <w:rFonts w:cstheme="minorHAnsi"/>
          <w:i/>
          <w:iCs/>
        </w:rPr>
        <w:t>Review of the evidence base in</w:t>
      </w:r>
      <w:r>
        <w:rPr>
          <w:rFonts w:cstheme="minorHAnsi"/>
          <w:i/>
          <w:iCs/>
        </w:rPr>
        <w:t xml:space="preserve"> </w:t>
      </w:r>
      <w:r w:rsidRPr="00873A08">
        <w:rPr>
          <w:rFonts w:cstheme="minorHAnsi"/>
          <w:i/>
          <w:iCs/>
        </w:rPr>
        <w:t>relation to early childhood approaches to support children in highly disadvantaged communities</w:t>
      </w:r>
      <w:r>
        <w:rPr>
          <w:rFonts w:cstheme="minorHAnsi"/>
          <w:i/>
          <w:iCs/>
        </w:rPr>
        <w:t xml:space="preserve"> </w:t>
      </w:r>
      <w:r w:rsidRPr="00873A08">
        <w:rPr>
          <w:rFonts w:cstheme="minorHAnsi"/>
          <w:i/>
          <w:iCs/>
        </w:rPr>
        <w:t xml:space="preserve">for the Children’s Ground Project. </w:t>
      </w:r>
      <w:r w:rsidRPr="00873A08">
        <w:rPr>
          <w:rFonts w:cstheme="minorHAnsi"/>
        </w:rPr>
        <w:t>Report prepared for the Department of Education, Employment</w:t>
      </w:r>
      <w:r>
        <w:rPr>
          <w:rFonts w:cstheme="minorHAnsi"/>
        </w:rPr>
        <w:t xml:space="preserve"> </w:t>
      </w:r>
      <w:r w:rsidRPr="00873A08">
        <w:rPr>
          <w:rFonts w:cstheme="minorHAnsi"/>
        </w:rPr>
        <w:t>and Workforce Relations, CCH, MCRI, RCH. Melbourne.</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National Research Council and Institute of Medicine. (2000). </w:t>
      </w:r>
      <w:r w:rsidRPr="00C85B6A">
        <w:rPr>
          <w:rFonts w:cstheme="minorHAnsi"/>
          <w:i/>
          <w:iCs/>
        </w:rPr>
        <w:t>From Neurons to Neighborhoods:</w:t>
      </w:r>
      <w:r>
        <w:rPr>
          <w:rFonts w:cstheme="minorHAnsi"/>
          <w:i/>
          <w:iCs/>
        </w:rPr>
        <w:t xml:space="preserve"> </w:t>
      </w:r>
      <w:r w:rsidRPr="00873A08">
        <w:rPr>
          <w:rFonts w:cstheme="minorHAnsi"/>
          <w:i/>
          <w:iCs/>
        </w:rPr>
        <w:t xml:space="preserve">The Science of Early Childhood Development. </w:t>
      </w:r>
      <w:r w:rsidRPr="00873A08">
        <w:rPr>
          <w:rFonts w:cstheme="minorHAnsi"/>
        </w:rPr>
        <w:t>Jack P. Shonkoff and Deborah A. Phillips, eds.</w:t>
      </w:r>
      <w:r>
        <w:rPr>
          <w:rFonts w:cstheme="minorHAnsi"/>
        </w:rPr>
        <w:t xml:space="preserve"> </w:t>
      </w:r>
      <w:r w:rsidRPr="00873A08">
        <w:rPr>
          <w:rFonts w:cstheme="minorHAnsi"/>
        </w:rPr>
        <w:t>Board on Children, Youth, and Families, Commission on Behavioral and Social Sciences and</w:t>
      </w:r>
      <w:r w:rsidR="009E3651">
        <w:rPr>
          <w:rFonts w:cstheme="minorHAnsi"/>
        </w:rPr>
        <w:t xml:space="preserve"> </w:t>
      </w:r>
      <w:r w:rsidRPr="00873A08">
        <w:rPr>
          <w:rFonts w:cstheme="minorHAnsi"/>
        </w:rPr>
        <w:t>Education. Washington.</w:t>
      </w:r>
    </w:p>
    <w:p w:rsidR="008C279E" w:rsidRDefault="008C279E" w:rsidP="008F2577">
      <w:pPr>
        <w:pStyle w:val="ListParagraph"/>
        <w:autoSpaceDE w:val="0"/>
        <w:autoSpaceDN w:val="0"/>
        <w:adjustRightInd w:val="0"/>
        <w:spacing w:after="0" w:line="240" w:lineRule="auto"/>
        <w:ind w:left="709" w:hanging="698"/>
        <w:rPr>
          <w:rFonts w:cs="Meta Normal"/>
          <w:color w:val="000000"/>
        </w:rPr>
      </w:pPr>
      <w:r>
        <w:rPr>
          <w:rFonts w:cs="Meta Normal"/>
          <w:color w:val="000000"/>
        </w:rPr>
        <w:t>NSCDC (</w:t>
      </w:r>
      <w:r w:rsidR="001635DE" w:rsidRPr="001635DE">
        <w:rPr>
          <w:rFonts w:cs="Meta Normal"/>
          <w:color w:val="000000"/>
        </w:rPr>
        <w:t>National Scientific Council on the Developing Child</w:t>
      </w:r>
      <w:r>
        <w:rPr>
          <w:rFonts w:cs="Meta Normal"/>
          <w:color w:val="000000"/>
        </w:rPr>
        <w:t xml:space="preserve">) (2007). The Science of Early Childhood Development: Closing the Gap between What We Know and What We Do. Cambridge: </w:t>
      </w:r>
      <w:hyperlink r:id="rId19" w:history="1">
        <w:r w:rsidRPr="007D5791">
          <w:rPr>
            <w:rStyle w:val="Hyperlink"/>
            <w:rFonts w:cs="Meta Normal"/>
          </w:rPr>
          <w:t>http://www.developingchild.harvard.edu</w:t>
        </w:r>
      </w:hyperlink>
      <w:r>
        <w:rPr>
          <w:rFonts w:cs="Meta Normal"/>
          <w:color w:val="000000"/>
        </w:rPr>
        <w:t>.</w:t>
      </w:r>
    </w:p>
    <w:p w:rsidR="001635DE" w:rsidRPr="001635DE" w:rsidRDefault="008C279E" w:rsidP="008F2577">
      <w:pPr>
        <w:pStyle w:val="ListParagraph"/>
        <w:autoSpaceDE w:val="0"/>
        <w:autoSpaceDN w:val="0"/>
        <w:adjustRightInd w:val="0"/>
        <w:spacing w:after="0" w:line="240" w:lineRule="auto"/>
        <w:ind w:left="709" w:hanging="698"/>
        <w:rPr>
          <w:rFonts w:cstheme="minorHAnsi"/>
          <w:i/>
          <w:iCs/>
        </w:rPr>
      </w:pPr>
      <w:r>
        <w:rPr>
          <w:rFonts w:cs="Meta Normal"/>
          <w:color w:val="000000"/>
        </w:rPr>
        <w:t>---</w:t>
      </w:r>
      <w:r w:rsidR="001635DE" w:rsidRPr="001635DE">
        <w:rPr>
          <w:rFonts w:cs="Meta Normal"/>
          <w:color w:val="000000"/>
        </w:rPr>
        <w:t xml:space="preserve">. (2012). </w:t>
      </w:r>
      <w:r w:rsidR="001635DE" w:rsidRPr="001635DE">
        <w:rPr>
          <w:rFonts w:cs="Meta Normal"/>
          <w:i/>
          <w:iCs/>
          <w:color w:val="000000"/>
        </w:rPr>
        <w:t>The Science of Neglect: The Persistent Absence of Responsive Care Disrupts the Developing Brain: Working Paper 12</w:t>
      </w:r>
      <w:r w:rsidR="001635DE" w:rsidRPr="001635DE">
        <w:rPr>
          <w:rFonts w:cs="Meta Normal"/>
          <w:color w:val="000000"/>
        </w:rPr>
        <w:t xml:space="preserve">. </w:t>
      </w:r>
      <w:r w:rsidR="001635DE">
        <w:rPr>
          <w:rFonts w:cs="Meta Normal"/>
          <w:color w:val="000000"/>
        </w:rPr>
        <w:t xml:space="preserve">Cambridge: </w:t>
      </w:r>
      <w:hyperlink r:id="rId20" w:history="1">
        <w:r w:rsidRPr="007D5791">
          <w:rPr>
            <w:rStyle w:val="Hyperlink"/>
            <w:rFonts w:cs="Meta Normal"/>
          </w:rPr>
          <w:t>http://www.developingchild.harvard.edu</w:t>
        </w:r>
      </w:hyperlink>
      <w:r>
        <w:rPr>
          <w:rFonts w:cs="Meta Normal"/>
          <w:color w:val="000000"/>
        </w:rPr>
        <w:t>.</w:t>
      </w:r>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Nolte, T., Guiney, J., Fonagy, P., Mayes L., and Luyten </w:t>
      </w:r>
      <w:r>
        <w:rPr>
          <w:rFonts w:cstheme="minorHAnsi"/>
        </w:rPr>
        <w:t xml:space="preserve">P. (2011). Interpersonal stress </w:t>
      </w:r>
      <w:r w:rsidRPr="00C85B6A">
        <w:rPr>
          <w:rFonts w:cstheme="minorHAnsi"/>
        </w:rPr>
        <w:t>regulation</w:t>
      </w:r>
      <w:r>
        <w:rPr>
          <w:rFonts w:cstheme="minorHAnsi"/>
        </w:rPr>
        <w:t xml:space="preserve"> </w:t>
      </w:r>
      <w:r w:rsidRPr="00873A08">
        <w:rPr>
          <w:rFonts w:cstheme="minorHAnsi"/>
        </w:rPr>
        <w:t xml:space="preserve">and the development of anxiety disorders: an attachment-based developmental. </w:t>
      </w:r>
      <w:r w:rsidRPr="00873A08">
        <w:rPr>
          <w:rFonts w:cstheme="minorHAnsi"/>
          <w:i/>
          <w:iCs/>
        </w:rPr>
        <w:t>Framework</w:t>
      </w:r>
      <w:r>
        <w:rPr>
          <w:rFonts w:cstheme="minorHAnsi"/>
          <w:i/>
          <w:iCs/>
        </w:rPr>
        <w:t xml:space="preserve"> </w:t>
      </w:r>
      <w:r w:rsidR="0083565C">
        <w:rPr>
          <w:rFonts w:cstheme="minorHAnsi"/>
          <w:i/>
          <w:iCs/>
        </w:rPr>
        <w:t>F</w:t>
      </w:r>
      <w:r w:rsidRPr="00873A08">
        <w:rPr>
          <w:rFonts w:cstheme="minorHAnsi"/>
          <w:i/>
          <w:iCs/>
        </w:rPr>
        <w:t xml:space="preserve">rontiers in Behavioural Neuroscience. </w:t>
      </w:r>
      <w:r w:rsidRPr="00873A08">
        <w:rPr>
          <w:rFonts w:cstheme="minorHAnsi"/>
        </w:rPr>
        <w:t>5, 1-21.</w:t>
      </w:r>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Perry, B. (2002). Childhood Experience and the Expression of Genetic Potential: What</w:t>
      </w:r>
      <w:r>
        <w:rPr>
          <w:rFonts w:cstheme="minorHAnsi"/>
        </w:rPr>
        <w:t xml:space="preserve"> </w:t>
      </w:r>
      <w:r w:rsidRPr="00873A08">
        <w:rPr>
          <w:rFonts w:cstheme="minorHAnsi"/>
        </w:rPr>
        <w:t xml:space="preserve">Childhood Neglect Tells Us About Nature and Nurture. </w:t>
      </w:r>
      <w:r w:rsidRPr="00873A08">
        <w:rPr>
          <w:rFonts w:cstheme="minorHAnsi"/>
          <w:i/>
          <w:iCs/>
        </w:rPr>
        <w:t xml:space="preserve">Brain and Mind. </w:t>
      </w:r>
      <w:r w:rsidRPr="00873A08">
        <w:rPr>
          <w:rFonts w:cstheme="minorHAnsi"/>
        </w:rPr>
        <w:t>3, 79-100.</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r w:rsidRPr="00C85B6A">
        <w:rPr>
          <w:rFonts w:cstheme="minorHAnsi"/>
        </w:rPr>
        <w:t xml:space="preserve">Price-Robertson, R., Bromfield, L. &amp; Vassallo, S. (2010). </w:t>
      </w:r>
      <w:r w:rsidRPr="00C85B6A">
        <w:rPr>
          <w:rFonts w:cstheme="minorHAnsi"/>
          <w:i/>
          <w:iCs/>
        </w:rPr>
        <w:t>The Prevalence of Child Abuse and</w:t>
      </w:r>
      <w:r>
        <w:rPr>
          <w:rFonts w:cstheme="minorHAnsi"/>
          <w:i/>
          <w:iCs/>
        </w:rPr>
        <w:t xml:space="preserve"> </w:t>
      </w:r>
      <w:r w:rsidRPr="00873A08">
        <w:rPr>
          <w:rFonts w:cstheme="minorHAnsi"/>
          <w:i/>
          <w:iCs/>
        </w:rPr>
        <w:t>Neglect</w:t>
      </w:r>
      <w:r w:rsidRPr="00873A08">
        <w:rPr>
          <w:rFonts w:cstheme="minorHAnsi"/>
        </w:rPr>
        <w:t>. Melbourne: Australian Institute of Family Studies.</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r w:rsidRPr="00C85B6A">
        <w:rPr>
          <w:rFonts w:cstheme="minorHAnsi"/>
        </w:rPr>
        <w:t xml:space="preserve">Sabates, R. &amp; Dex, S. (2012). </w:t>
      </w:r>
      <w:r w:rsidRPr="00C85B6A">
        <w:rPr>
          <w:rFonts w:cstheme="minorHAnsi"/>
          <w:i/>
          <w:iCs/>
        </w:rPr>
        <w:t xml:space="preserve">Multiple risk factors in young children’s development </w:t>
      </w:r>
      <w:r>
        <w:rPr>
          <w:rFonts w:cstheme="minorHAnsi"/>
          <w:i/>
          <w:iCs/>
        </w:rPr>
        <w:t>–</w:t>
      </w:r>
      <w:r w:rsidRPr="00C85B6A">
        <w:rPr>
          <w:rFonts w:cstheme="minorHAnsi"/>
          <w:i/>
          <w:iCs/>
        </w:rPr>
        <w:t xml:space="preserve"> CLS</w:t>
      </w:r>
      <w:r>
        <w:rPr>
          <w:rFonts w:cstheme="minorHAnsi"/>
          <w:i/>
          <w:iCs/>
        </w:rPr>
        <w:t xml:space="preserve"> </w:t>
      </w:r>
      <w:r w:rsidRPr="00873A08">
        <w:rPr>
          <w:rFonts w:cstheme="minorHAnsi"/>
          <w:i/>
          <w:iCs/>
        </w:rPr>
        <w:t xml:space="preserve">Cohort Studies. </w:t>
      </w:r>
      <w:r w:rsidRPr="00873A08">
        <w:rPr>
          <w:rFonts w:cstheme="minorHAnsi"/>
        </w:rPr>
        <w:t>Centre for Longitudinal Studies. Working paper 2012/1. Institute of Education,</w:t>
      </w:r>
      <w:r>
        <w:rPr>
          <w:rFonts w:cstheme="minorHAnsi"/>
        </w:rPr>
        <w:t xml:space="preserve"> </w:t>
      </w:r>
      <w:r w:rsidRPr="00873A08">
        <w:rPr>
          <w:rFonts w:cstheme="minorHAnsi"/>
        </w:rPr>
        <w:t>University of London.</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r w:rsidRPr="00C85B6A">
        <w:rPr>
          <w:rFonts w:cstheme="minorHAnsi"/>
        </w:rPr>
        <w:t xml:space="preserve">Schweinhart, L. J., Barnes, H. V. &amp; Weikart, D. P. (2005). </w:t>
      </w:r>
      <w:r w:rsidRPr="00C85B6A">
        <w:rPr>
          <w:rFonts w:cstheme="minorHAnsi"/>
          <w:i/>
          <w:iCs/>
        </w:rPr>
        <w:t>Lifetime Effects: The High/Scope</w:t>
      </w:r>
      <w:r w:rsidR="00EE5671">
        <w:rPr>
          <w:rFonts w:cstheme="minorHAnsi"/>
          <w:i/>
          <w:iCs/>
        </w:rPr>
        <w:t xml:space="preserve"> </w:t>
      </w:r>
      <w:r w:rsidRPr="00873A08">
        <w:rPr>
          <w:rFonts w:cstheme="minorHAnsi"/>
          <w:i/>
          <w:iCs/>
        </w:rPr>
        <w:t xml:space="preserve">Perry Preschool Study Through Age 40. </w:t>
      </w:r>
      <w:r w:rsidRPr="00873A08">
        <w:rPr>
          <w:rFonts w:cstheme="minorHAnsi"/>
        </w:rPr>
        <w:t>Ypsilanti, MI: High Scope Press.</w:t>
      </w:r>
    </w:p>
    <w:p w:rsidR="00A95542" w:rsidRPr="00EA4C23"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Siegel, D. (2001). Toward an interpersonal neurobiology of the developing mind: Attachment</w:t>
      </w:r>
      <w:r w:rsidR="00EE5671">
        <w:rPr>
          <w:rFonts w:cstheme="minorHAnsi"/>
        </w:rPr>
        <w:t xml:space="preserve"> </w:t>
      </w:r>
      <w:r w:rsidRPr="00873A08">
        <w:rPr>
          <w:rFonts w:cstheme="minorHAnsi"/>
        </w:rPr>
        <w:t>relationships, mind</w:t>
      </w:r>
      <w:r w:rsidR="00EE5671">
        <w:rPr>
          <w:rFonts w:cstheme="minorHAnsi"/>
        </w:rPr>
        <w:t xml:space="preserve"> </w:t>
      </w:r>
      <w:r w:rsidRPr="00873A08">
        <w:rPr>
          <w:rFonts w:cstheme="minorHAnsi"/>
        </w:rPr>
        <w:t xml:space="preserve">sight and neural integration. </w:t>
      </w:r>
      <w:r w:rsidRPr="00873A08">
        <w:rPr>
          <w:rFonts w:cstheme="minorHAnsi"/>
          <w:i/>
          <w:iCs/>
        </w:rPr>
        <w:t>Infant Mental Health Journal</w:t>
      </w:r>
      <w:r w:rsidRPr="00873A08">
        <w:rPr>
          <w:rFonts w:cstheme="minorHAnsi"/>
        </w:rPr>
        <w:t>. 22(1-2), 67-94.</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Shonkoff, J. (2011</w:t>
      </w:r>
      <w:r w:rsidR="000B11FF">
        <w:rPr>
          <w:rFonts w:cstheme="minorHAnsi"/>
        </w:rPr>
        <w:t>a</w:t>
      </w:r>
      <w:r w:rsidRPr="00C85B6A">
        <w:rPr>
          <w:rFonts w:cstheme="minorHAnsi"/>
        </w:rPr>
        <w:t xml:space="preserve">). Protecting brains, not simply stimulating minds. </w:t>
      </w:r>
      <w:r w:rsidRPr="00C85B6A">
        <w:rPr>
          <w:rFonts w:cstheme="minorHAnsi"/>
          <w:i/>
          <w:iCs/>
        </w:rPr>
        <w:t>Science</w:t>
      </w:r>
      <w:r w:rsidRPr="00C85B6A">
        <w:rPr>
          <w:rFonts w:cstheme="minorHAnsi"/>
        </w:rPr>
        <w:t>. 333, 982-83.</w:t>
      </w:r>
      <w:r w:rsidR="00134935" w:rsidRPr="00134935">
        <w:t xml:space="preserve"> </w:t>
      </w:r>
      <w:hyperlink r:id="rId21" w:history="1">
        <w:r w:rsidR="00134935" w:rsidRPr="007D5791">
          <w:rPr>
            <w:rStyle w:val="Hyperlink"/>
            <w:rFonts w:cstheme="minorHAnsi"/>
          </w:rPr>
          <w:t>http://www.sciencemag.org/content/333/6045/982.abstract</w:t>
        </w:r>
      </w:hyperlink>
    </w:p>
    <w:p w:rsidR="000B11FF" w:rsidRPr="00C85B6A" w:rsidRDefault="000B11FF" w:rsidP="008F2577">
      <w:pPr>
        <w:pStyle w:val="ListParagraph"/>
        <w:autoSpaceDE w:val="0"/>
        <w:autoSpaceDN w:val="0"/>
        <w:adjustRightInd w:val="0"/>
        <w:spacing w:after="0" w:line="240" w:lineRule="auto"/>
        <w:ind w:left="709" w:hanging="698"/>
        <w:rPr>
          <w:rFonts w:cstheme="minorHAnsi"/>
        </w:rPr>
      </w:pPr>
      <w:r>
        <w:rPr>
          <w:rFonts w:cstheme="minorHAnsi"/>
        </w:rPr>
        <w:t>---. (2011b). Building a Foundation for Prosperity on the Science of Early Childhood Development.</w:t>
      </w:r>
      <w:r>
        <w:t xml:space="preserve"> </w:t>
      </w:r>
      <w:r w:rsidRPr="000B11FF">
        <w:rPr>
          <w:i/>
        </w:rPr>
        <w:t>Pathways</w:t>
      </w:r>
      <w:r>
        <w:t xml:space="preserve">. Winter 2011, 11-15. </w:t>
      </w:r>
      <w:hyperlink r:id="rId22" w:history="1">
        <w:r w:rsidRPr="007D5791">
          <w:rPr>
            <w:rStyle w:val="Hyperlink"/>
            <w:rFonts w:cstheme="minorHAnsi"/>
          </w:rPr>
          <w:t>http://www.stanford.edu/group/scspi/_media/pdf/pathways/winter_2011/PathwaysWinter11_Shonkoff.pdf</w:t>
        </w:r>
      </w:hyperlink>
      <w:r>
        <w:rPr>
          <w:rFonts w:cstheme="minorHAnsi"/>
        </w:rPr>
        <w:t xml:space="preserve"> </w:t>
      </w:r>
    </w:p>
    <w:p w:rsidR="00A95542" w:rsidRPr="002767ED" w:rsidRDefault="00A95542" w:rsidP="002767ED">
      <w:pPr>
        <w:pStyle w:val="ListParagraph"/>
        <w:autoSpaceDE w:val="0"/>
        <w:autoSpaceDN w:val="0"/>
        <w:adjustRightInd w:val="0"/>
        <w:spacing w:after="0" w:line="240" w:lineRule="auto"/>
        <w:ind w:left="709" w:hanging="698"/>
        <w:rPr>
          <w:rFonts w:cstheme="minorHAnsi"/>
        </w:rPr>
      </w:pPr>
      <w:r w:rsidRPr="00C85B6A">
        <w:rPr>
          <w:rFonts w:cstheme="minorHAnsi"/>
        </w:rPr>
        <w:t>Shonkoff, J.P., Boyce, W.T. and McEwen,</w:t>
      </w:r>
      <w:r>
        <w:rPr>
          <w:rFonts w:cstheme="minorHAnsi"/>
        </w:rPr>
        <w:t xml:space="preserve"> </w:t>
      </w:r>
      <w:r w:rsidRPr="00C85B6A">
        <w:rPr>
          <w:rFonts w:cstheme="minorHAnsi"/>
        </w:rPr>
        <w:t>B. (2009). Neuroscience, molecular biology, and the</w:t>
      </w:r>
      <w:r w:rsidR="002767ED">
        <w:rPr>
          <w:rFonts w:cstheme="minorHAnsi"/>
        </w:rPr>
        <w:t xml:space="preserve"> </w:t>
      </w:r>
      <w:r w:rsidRPr="002767ED">
        <w:rPr>
          <w:rFonts w:cstheme="minorHAnsi"/>
        </w:rPr>
        <w:t xml:space="preserve">childhood roots of health disparities: Building a new framework for health promotion and disease prevention. </w:t>
      </w:r>
      <w:r w:rsidRPr="002767ED">
        <w:rPr>
          <w:rFonts w:cstheme="minorHAnsi"/>
          <w:i/>
          <w:iCs/>
        </w:rPr>
        <w:t>Journal of the American Medical Association</w:t>
      </w:r>
      <w:r w:rsidRPr="002767ED">
        <w:rPr>
          <w:rFonts w:cstheme="minorHAnsi"/>
        </w:rPr>
        <w:t>. 301(21), 2252-2259.</w:t>
      </w:r>
    </w:p>
    <w:p w:rsidR="00A95542" w:rsidRPr="00873A08" w:rsidRDefault="00EE5671" w:rsidP="008F2577">
      <w:pPr>
        <w:pStyle w:val="ListParagraph"/>
        <w:autoSpaceDE w:val="0"/>
        <w:autoSpaceDN w:val="0"/>
        <w:adjustRightInd w:val="0"/>
        <w:spacing w:after="0" w:line="240" w:lineRule="auto"/>
        <w:ind w:left="709" w:hanging="698"/>
        <w:rPr>
          <w:rFonts w:cstheme="minorHAnsi"/>
        </w:rPr>
      </w:pPr>
      <w:r w:rsidRPr="00C85B6A">
        <w:rPr>
          <w:rFonts w:cstheme="minorHAnsi"/>
        </w:rPr>
        <w:t>Van</w:t>
      </w:r>
      <w:r w:rsidR="00A95542" w:rsidRPr="00C85B6A">
        <w:rPr>
          <w:rFonts w:cstheme="minorHAnsi"/>
        </w:rPr>
        <w:t xml:space="preserve"> der </w:t>
      </w:r>
      <w:proofErr w:type="spellStart"/>
      <w:r w:rsidR="00A95542" w:rsidRPr="00C85B6A">
        <w:rPr>
          <w:rFonts w:cstheme="minorHAnsi"/>
        </w:rPr>
        <w:t>Gaag</w:t>
      </w:r>
      <w:proofErr w:type="spellEnd"/>
      <w:r w:rsidR="00A95542" w:rsidRPr="00C85B6A">
        <w:rPr>
          <w:rFonts w:cstheme="minorHAnsi"/>
        </w:rPr>
        <w:t>, J. (2002). From Child Development to Human Development. In M.E. Young</w:t>
      </w:r>
      <w:r w:rsidR="00A95542">
        <w:rPr>
          <w:rFonts w:cstheme="minorHAnsi"/>
        </w:rPr>
        <w:t xml:space="preserve"> </w:t>
      </w:r>
      <w:r w:rsidR="00A95542" w:rsidRPr="00873A08">
        <w:rPr>
          <w:rFonts w:cstheme="minorHAnsi"/>
        </w:rPr>
        <w:t xml:space="preserve">(Ed.). </w:t>
      </w:r>
      <w:r w:rsidR="00A95542" w:rsidRPr="00873A08">
        <w:rPr>
          <w:rFonts w:cstheme="minorHAnsi"/>
          <w:i/>
          <w:iCs/>
        </w:rPr>
        <w:t>From Early Child Development to Human Development</w:t>
      </w:r>
      <w:r w:rsidR="00A95542" w:rsidRPr="00873A08">
        <w:rPr>
          <w:rFonts w:cstheme="minorHAnsi"/>
        </w:rPr>
        <w:t>. Washington, DC: The World Bank.</w:t>
      </w:r>
    </w:p>
    <w:p w:rsidR="008663FD" w:rsidRPr="00C34E91" w:rsidRDefault="008663FD" w:rsidP="008F2577"/>
    <w:sectPr w:rsidR="008663FD" w:rsidRPr="00C34E91" w:rsidSect="00D3679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FF" w:rsidRDefault="009952FF" w:rsidP="00BE016F">
      <w:pPr>
        <w:spacing w:after="0" w:line="240" w:lineRule="auto"/>
      </w:pPr>
      <w:r>
        <w:separator/>
      </w:r>
    </w:p>
  </w:endnote>
  <w:endnote w:type="continuationSeparator" w:id="0">
    <w:p w:rsidR="009952FF" w:rsidRDefault="009952FF" w:rsidP="00BE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odDog">
    <w:altName w:val="GoodDog"/>
    <w:panose1 w:val="00000000000000000000"/>
    <w:charset w:val="00"/>
    <w:family w:val="swiss"/>
    <w:notTrueType/>
    <w:pitch w:val="default"/>
    <w:sig w:usb0="00000003" w:usb1="00000000" w:usb2="00000000" w:usb3="00000000" w:csb0="00000001" w:csb1="00000000"/>
  </w:font>
  <w:font w:name="Memphis Medium">
    <w:altName w:val="Memphis Medium"/>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heSansLight-Plain">
    <w:panose1 w:val="00000000000000000000"/>
    <w:charset w:val="00"/>
    <w:family w:val="auto"/>
    <w:notTrueType/>
    <w:pitch w:val="default"/>
    <w:sig w:usb0="00000003" w:usb1="00000000" w:usb2="00000000" w:usb3="00000000" w:csb0="00000001" w:csb1="00000000"/>
  </w:font>
  <w:font w:name="AdvOTf011d512">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heSansSemiBold-Plain">
    <w:panose1 w:val="00000000000000000000"/>
    <w:charset w:val="00"/>
    <w:family w:val="auto"/>
    <w:notTrueType/>
    <w:pitch w:val="default"/>
    <w:sig w:usb0="00000003" w:usb1="00000000" w:usb2="00000000" w:usb3="00000000" w:csb0="00000001" w:csb1="00000000"/>
  </w:font>
  <w:font w:name="TheSans-Plain">
    <w:panose1 w:val="00000000000000000000"/>
    <w:charset w:val="00"/>
    <w:family w:val="auto"/>
    <w:notTrueType/>
    <w:pitch w:val="default"/>
    <w:sig w:usb0="00000003" w:usb1="00000000" w:usb2="00000000" w:usb3="00000000" w:csb0="00000001" w:csb1="00000000"/>
  </w:font>
  <w:font w:name="Meta Normal">
    <w:altName w:val="Meta Normal"/>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7E" w:rsidRDefault="00AB437E" w:rsidP="00AB437E">
    <w:pPr>
      <w:pStyle w:val="Footer"/>
    </w:pPr>
  </w:p>
  <w:p w:rsidR="00AB437E" w:rsidRDefault="00AB437E" w:rsidP="00C36163">
    <w:pPr>
      <w:pStyle w:val="FooterOdd"/>
      <w:tabs>
        <w:tab w:val="right" w:pos="9026"/>
      </w:tabs>
      <w:jc w:val="both"/>
    </w:pPr>
    <w:r>
      <w:t>2</w:t>
    </w:r>
    <w:r>
      <w:tab/>
    </w:r>
    <w:proofErr w:type="spellStart"/>
    <w:r>
      <w:t>Dr</w:t>
    </w:r>
    <w:proofErr w:type="spellEnd"/>
    <w:r>
      <w:t xml:space="preserve"> Alice Hill, Antipodean Family Foundation, January 26, 2014</w:t>
    </w:r>
  </w:p>
  <w:p w:rsidR="00AB437E" w:rsidRPr="00AB437E" w:rsidRDefault="00AB437E" w:rsidP="00AB4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6B" w:rsidRDefault="0037576B"/>
  <w:p w:rsidR="0037576B" w:rsidRDefault="00653F7D" w:rsidP="00AB437E">
    <w:pPr>
      <w:pStyle w:val="FooterOdd"/>
      <w:tabs>
        <w:tab w:val="right" w:pos="9026"/>
      </w:tabs>
      <w:jc w:val="both"/>
    </w:pPr>
    <w:r>
      <w:t xml:space="preserve">Submission to the Productivity </w:t>
    </w:r>
    <w:r w:rsidR="007F4FE8">
      <w:t xml:space="preserve">Commission </w:t>
    </w:r>
    <w:r>
      <w:t>Inquiry int</w:t>
    </w:r>
    <w:r w:rsidR="007F4FE8">
      <w:t xml:space="preserve">o Child Care and Early </w:t>
    </w:r>
    <w:r w:rsidR="00917D12">
      <w:t xml:space="preserve">Childhood </w:t>
    </w:r>
    <w:r w:rsidR="007F4FE8">
      <w:t>Learning</w:t>
    </w:r>
    <w:r>
      <w:tab/>
    </w:r>
    <w:r w:rsidR="0037576B" w:rsidRPr="0037576B">
      <w:rPr>
        <w:sz w:val="22"/>
        <w:szCs w:val="22"/>
      </w:rPr>
      <w:fldChar w:fldCharType="begin"/>
    </w:r>
    <w:r w:rsidR="0037576B" w:rsidRPr="0037576B">
      <w:rPr>
        <w:sz w:val="22"/>
        <w:szCs w:val="22"/>
      </w:rPr>
      <w:instrText xml:space="preserve"> PAGE   \* MERGEFORMAT </w:instrText>
    </w:r>
    <w:r w:rsidR="0037576B" w:rsidRPr="0037576B">
      <w:rPr>
        <w:sz w:val="22"/>
        <w:szCs w:val="22"/>
      </w:rPr>
      <w:fldChar w:fldCharType="separate"/>
    </w:r>
    <w:r w:rsidR="004824CB">
      <w:rPr>
        <w:noProof/>
        <w:sz w:val="22"/>
        <w:szCs w:val="22"/>
      </w:rPr>
      <w:t>1</w:t>
    </w:r>
    <w:r w:rsidR="0037576B" w:rsidRPr="0037576B">
      <w:rPr>
        <w:noProof/>
        <w:sz w:val="22"/>
        <w:szCs w:val="22"/>
      </w:rPr>
      <w:fldChar w:fldCharType="end"/>
    </w:r>
  </w:p>
  <w:p w:rsidR="0037576B" w:rsidRDefault="00375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7E" w:rsidRDefault="00AB4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FF" w:rsidRDefault="009952FF" w:rsidP="00BE016F">
      <w:pPr>
        <w:spacing w:after="0" w:line="240" w:lineRule="auto"/>
      </w:pPr>
      <w:r>
        <w:separator/>
      </w:r>
    </w:p>
  </w:footnote>
  <w:footnote w:type="continuationSeparator" w:id="0">
    <w:p w:rsidR="009952FF" w:rsidRDefault="009952FF" w:rsidP="00BE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E0" w:rsidRDefault="00D25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E0" w:rsidRDefault="00D25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E0" w:rsidRDefault="00D25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0EA9"/>
    <w:multiLevelType w:val="multilevel"/>
    <w:tmpl w:val="6C4625AA"/>
    <w:lvl w:ilvl="0">
      <w:start w:val="1"/>
      <w:numFmt w:val="decimal"/>
      <w:pStyle w:val="Brief-BULLET"/>
      <w:suff w:val="space"/>
      <w:lvlText w:val="%1"/>
      <w:lvlJc w:val="left"/>
      <w:pPr>
        <w:ind w:left="432" w:hanging="432"/>
      </w:pPr>
      <w:rPr>
        <w:rFonts w:hint="default"/>
      </w:rPr>
    </w:lvl>
    <w:lvl w:ilvl="1">
      <w:start w:val="2"/>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17"/>
    <w:rsid w:val="00001D32"/>
    <w:rsid w:val="00005C3C"/>
    <w:rsid w:val="00006B39"/>
    <w:rsid w:val="0001627E"/>
    <w:rsid w:val="00022151"/>
    <w:rsid w:val="0002543F"/>
    <w:rsid w:val="00025A72"/>
    <w:rsid w:val="00025AB9"/>
    <w:rsid w:val="00027305"/>
    <w:rsid w:val="00030125"/>
    <w:rsid w:val="0003492D"/>
    <w:rsid w:val="000350D6"/>
    <w:rsid w:val="000365B9"/>
    <w:rsid w:val="00036FB0"/>
    <w:rsid w:val="00037E0C"/>
    <w:rsid w:val="00040DE7"/>
    <w:rsid w:val="0004686D"/>
    <w:rsid w:val="000538E0"/>
    <w:rsid w:val="000546C0"/>
    <w:rsid w:val="000618A9"/>
    <w:rsid w:val="0006320B"/>
    <w:rsid w:val="0006389C"/>
    <w:rsid w:val="00064F73"/>
    <w:rsid w:val="00066BA0"/>
    <w:rsid w:val="00067E4D"/>
    <w:rsid w:val="00071E04"/>
    <w:rsid w:val="000745FD"/>
    <w:rsid w:val="000830F1"/>
    <w:rsid w:val="0008315D"/>
    <w:rsid w:val="00092134"/>
    <w:rsid w:val="00094A59"/>
    <w:rsid w:val="00096B4A"/>
    <w:rsid w:val="00096F82"/>
    <w:rsid w:val="000974FA"/>
    <w:rsid w:val="000A41F1"/>
    <w:rsid w:val="000A6324"/>
    <w:rsid w:val="000A683C"/>
    <w:rsid w:val="000A6AFE"/>
    <w:rsid w:val="000B115F"/>
    <w:rsid w:val="000B11FF"/>
    <w:rsid w:val="000B355F"/>
    <w:rsid w:val="000B48AD"/>
    <w:rsid w:val="000B5053"/>
    <w:rsid w:val="000B6884"/>
    <w:rsid w:val="000C0EC1"/>
    <w:rsid w:val="000C100D"/>
    <w:rsid w:val="000C13CF"/>
    <w:rsid w:val="000C2AD2"/>
    <w:rsid w:val="000C4536"/>
    <w:rsid w:val="000C54F8"/>
    <w:rsid w:val="000C55E8"/>
    <w:rsid w:val="000D0D5A"/>
    <w:rsid w:val="000D1862"/>
    <w:rsid w:val="000D260D"/>
    <w:rsid w:val="000D363F"/>
    <w:rsid w:val="000D74E1"/>
    <w:rsid w:val="000E3842"/>
    <w:rsid w:val="000E7EAB"/>
    <w:rsid w:val="000F0444"/>
    <w:rsid w:val="000F0FBC"/>
    <w:rsid w:val="000F5515"/>
    <w:rsid w:val="000F5DDF"/>
    <w:rsid w:val="000F6BBC"/>
    <w:rsid w:val="000F6EFC"/>
    <w:rsid w:val="00100586"/>
    <w:rsid w:val="00101698"/>
    <w:rsid w:val="00103DB4"/>
    <w:rsid w:val="001047E0"/>
    <w:rsid w:val="00106E6D"/>
    <w:rsid w:val="00110224"/>
    <w:rsid w:val="00110773"/>
    <w:rsid w:val="001130DD"/>
    <w:rsid w:val="001131A7"/>
    <w:rsid w:val="001164DB"/>
    <w:rsid w:val="00116EB9"/>
    <w:rsid w:val="00116FB2"/>
    <w:rsid w:val="001219A0"/>
    <w:rsid w:val="00122BDF"/>
    <w:rsid w:val="001236D5"/>
    <w:rsid w:val="00123B52"/>
    <w:rsid w:val="00127C0B"/>
    <w:rsid w:val="00134935"/>
    <w:rsid w:val="001368B2"/>
    <w:rsid w:val="001370D0"/>
    <w:rsid w:val="001409AD"/>
    <w:rsid w:val="00140DAA"/>
    <w:rsid w:val="00142278"/>
    <w:rsid w:val="0014427B"/>
    <w:rsid w:val="001442A3"/>
    <w:rsid w:val="00145E41"/>
    <w:rsid w:val="00150CC4"/>
    <w:rsid w:val="00154E0C"/>
    <w:rsid w:val="00154E3A"/>
    <w:rsid w:val="00155003"/>
    <w:rsid w:val="001574DE"/>
    <w:rsid w:val="0016115D"/>
    <w:rsid w:val="00161D1C"/>
    <w:rsid w:val="001635DE"/>
    <w:rsid w:val="001638C8"/>
    <w:rsid w:val="00164270"/>
    <w:rsid w:val="00164936"/>
    <w:rsid w:val="001656A2"/>
    <w:rsid w:val="00165E1E"/>
    <w:rsid w:val="00170373"/>
    <w:rsid w:val="001713F8"/>
    <w:rsid w:val="0017178D"/>
    <w:rsid w:val="00172AEA"/>
    <w:rsid w:val="00173A5F"/>
    <w:rsid w:val="00174A12"/>
    <w:rsid w:val="00174EF0"/>
    <w:rsid w:val="00181418"/>
    <w:rsid w:val="00181AB0"/>
    <w:rsid w:val="00182DA7"/>
    <w:rsid w:val="00183E8F"/>
    <w:rsid w:val="00184596"/>
    <w:rsid w:val="00184757"/>
    <w:rsid w:val="00185B59"/>
    <w:rsid w:val="00187451"/>
    <w:rsid w:val="001910D9"/>
    <w:rsid w:val="001925C8"/>
    <w:rsid w:val="0019265F"/>
    <w:rsid w:val="0019266F"/>
    <w:rsid w:val="00194452"/>
    <w:rsid w:val="0019507C"/>
    <w:rsid w:val="00195382"/>
    <w:rsid w:val="00197461"/>
    <w:rsid w:val="001A1506"/>
    <w:rsid w:val="001A22E9"/>
    <w:rsid w:val="001A532E"/>
    <w:rsid w:val="001A5B0A"/>
    <w:rsid w:val="001A5FD6"/>
    <w:rsid w:val="001A785F"/>
    <w:rsid w:val="001A7FAF"/>
    <w:rsid w:val="001B23DF"/>
    <w:rsid w:val="001B3E0E"/>
    <w:rsid w:val="001B3F28"/>
    <w:rsid w:val="001B5AE4"/>
    <w:rsid w:val="001B6024"/>
    <w:rsid w:val="001B770D"/>
    <w:rsid w:val="001B77ED"/>
    <w:rsid w:val="001B7E19"/>
    <w:rsid w:val="001C2281"/>
    <w:rsid w:val="001C24BF"/>
    <w:rsid w:val="001C2B30"/>
    <w:rsid w:val="001C4B6C"/>
    <w:rsid w:val="001C6453"/>
    <w:rsid w:val="001C79BB"/>
    <w:rsid w:val="001D073C"/>
    <w:rsid w:val="001D0D38"/>
    <w:rsid w:val="001D31B3"/>
    <w:rsid w:val="001D36CA"/>
    <w:rsid w:val="001D4C27"/>
    <w:rsid w:val="001D6529"/>
    <w:rsid w:val="001E227D"/>
    <w:rsid w:val="001E3897"/>
    <w:rsid w:val="001E38AA"/>
    <w:rsid w:val="001E4B8E"/>
    <w:rsid w:val="001F1B06"/>
    <w:rsid w:val="001F2BCF"/>
    <w:rsid w:val="001F78F2"/>
    <w:rsid w:val="0020060B"/>
    <w:rsid w:val="00202467"/>
    <w:rsid w:val="002033A4"/>
    <w:rsid w:val="00203574"/>
    <w:rsid w:val="00204D5C"/>
    <w:rsid w:val="0021029F"/>
    <w:rsid w:val="002104E8"/>
    <w:rsid w:val="00211541"/>
    <w:rsid w:val="00211761"/>
    <w:rsid w:val="00212480"/>
    <w:rsid w:val="00212AF7"/>
    <w:rsid w:val="00212B31"/>
    <w:rsid w:val="00214D14"/>
    <w:rsid w:val="00217F20"/>
    <w:rsid w:val="00221111"/>
    <w:rsid w:val="00221625"/>
    <w:rsid w:val="00221A3D"/>
    <w:rsid w:val="00221F38"/>
    <w:rsid w:val="00227D58"/>
    <w:rsid w:val="00231EC1"/>
    <w:rsid w:val="002344D1"/>
    <w:rsid w:val="002348F4"/>
    <w:rsid w:val="00235B8E"/>
    <w:rsid w:val="00236596"/>
    <w:rsid w:val="002367A4"/>
    <w:rsid w:val="00237D12"/>
    <w:rsid w:val="00240687"/>
    <w:rsid w:val="002408BD"/>
    <w:rsid w:val="00242F91"/>
    <w:rsid w:val="00252A41"/>
    <w:rsid w:val="00253623"/>
    <w:rsid w:val="00254674"/>
    <w:rsid w:val="00254BC2"/>
    <w:rsid w:val="002560FC"/>
    <w:rsid w:val="002623CD"/>
    <w:rsid w:val="00262DB1"/>
    <w:rsid w:val="002642F4"/>
    <w:rsid w:val="00264C08"/>
    <w:rsid w:val="00266234"/>
    <w:rsid w:val="0026693C"/>
    <w:rsid w:val="002679D7"/>
    <w:rsid w:val="00271BC0"/>
    <w:rsid w:val="00271BF1"/>
    <w:rsid w:val="00273F19"/>
    <w:rsid w:val="002767ED"/>
    <w:rsid w:val="0027713F"/>
    <w:rsid w:val="00277B9D"/>
    <w:rsid w:val="00280ECE"/>
    <w:rsid w:val="002820E3"/>
    <w:rsid w:val="00284EF2"/>
    <w:rsid w:val="002872B6"/>
    <w:rsid w:val="0028791F"/>
    <w:rsid w:val="0029254A"/>
    <w:rsid w:val="002932BE"/>
    <w:rsid w:val="00294015"/>
    <w:rsid w:val="002947F6"/>
    <w:rsid w:val="00296C66"/>
    <w:rsid w:val="002A603D"/>
    <w:rsid w:val="002A6489"/>
    <w:rsid w:val="002A6992"/>
    <w:rsid w:val="002A7293"/>
    <w:rsid w:val="002A72C4"/>
    <w:rsid w:val="002B0C5E"/>
    <w:rsid w:val="002B2B7E"/>
    <w:rsid w:val="002B4DD1"/>
    <w:rsid w:val="002B63A1"/>
    <w:rsid w:val="002B6F2A"/>
    <w:rsid w:val="002C01B8"/>
    <w:rsid w:val="002C0F40"/>
    <w:rsid w:val="002C2DAA"/>
    <w:rsid w:val="002C3431"/>
    <w:rsid w:val="002C35B4"/>
    <w:rsid w:val="002C4728"/>
    <w:rsid w:val="002D0ACD"/>
    <w:rsid w:val="002D0E84"/>
    <w:rsid w:val="002D1F25"/>
    <w:rsid w:val="002D277E"/>
    <w:rsid w:val="002D5414"/>
    <w:rsid w:val="002D596F"/>
    <w:rsid w:val="002E04DD"/>
    <w:rsid w:val="002E1135"/>
    <w:rsid w:val="002E22F4"/>
    <w:rsid w:val="002E36C3"/>
    <w:rsid w:val="002E4237"/>
    <w:rsid w:val="002E668C"/>
    <w:rsid w:val="002E6A40"/>
    <w:rsid w:val="002F2E89"/>
    <w:rsid w:val="002F46E8"/>
    <w:rsid w:val="00302ADC"/>
    <w:rsid w:val="00304F46"/>
    <w:rsid w:val="00307B4A"/>
    <w:rsid w:val="00310017"/>
    <w:rsid w:val="00310C86"/>
    <w:rsid w:val="00313FAC"/>
    <w:rsid w:val="00315176"/>
    <w:rsid w:val="00316F03"/>
    <w:rsid w:val="00320814"/>
    <w:rsid w:val="0032179C"/>
    <w:rsid w:val="00321BC4"/>
    <w:rsid w:val="00322658"/>
    <w:rsid w:val="003231CC"/>
    <w:rsid w:val="003263A9"/>
    <w:rsid w:val="003277F4"/>
    <w:rsid w:val="00332449"/>
    <w:rsid w:val="00336BB8"/>
    <w:rsid w:val="003418DE"/>
    <w:rsid w:val="0034202C"/>
    <w:rsid w:val="003422DA"/>
    <w:rsid w:val="003436C0"/>
    <w:rsid w:val="00345825"/>
    <w:rsid w:val="003501A7"/>
    <w:rsid w:val="00350918"/>
    <w:rsid w:val="0035728C"/>
    <w:rsid w:val="00362B72"/>
    <w:rsid w:val="0036410E"/>
    <w:rsid w:val="0036419B"/>
    <w:rsid w:val="00364DE2"/>
    <w:rsid w:val="00365BED"/>
    <w:rsid w:val="00365C41"/>
    <w:rsid w:val="00365CC4"/>
    <w:rsid w:val="003679F5"/>
    <w:rsid w:val="00371153"/>
    <w:rsid w:val="00371883"/>
    <w:rsid w:val="00373863"/>
    <w:rsid w:val="00373CB3"/>
    <w:rsid w:val="0037576B"/>
    <w:rsid w:val="00376EC5"/>
    <w:rsid w:val="003816B0"/>
    <w:rsid w:val="00381C9B"/>
    <w:rsid w:val="0038315D"/>
    <w:rsid w:val="00383E2C"/>
    <w:rsid w:val="003902F4"/>
    <w:rsid w:val="00393CF8"/>
    <w:rsid w:val="00394A3A"/>
    <w:rsid w:val="00396267"/>
    <w:rsid w:val="003A30E4"/>
    <w:rsid w:val="003A4AD7"/>
    <w:rsid w:val="003A6230"/>
    <w:rsid w:val="003B4237"/>
    <w:rsid w:val="003B52E1"/>
    <w:rsid w:val="003B5905"/>
    <w:rsid w:val="003B5F9C"/>
    <w:rsid w:val="003B60E9"/>
    <w:rsid w:val="003B6241"/>
    <w:rsid w:val="003C139B"/>
    <w:rsid w:val="003C1E2D"/>
    <w:rsid w:val="003C3866"/>
    <w:rsid w:val="003C56AE"/>
    <w:rsid w:val="003C5908"/>
    <w:rsid w:val="003D0226"/>
    <w:rsid w:val="003D16E1"/>
    <w:rsid w:val="003D1D6C"/>
    <w:rsid w:val="003D563D"/>
    <w:rsid w:val="003D59D2"/>
    <w:rsid w:val="003D5C3F"/>
    <w:rsid w:val="003D5E24"/>
    <w:rsid w:val="003D6C21"/>
    <w:rsid w:val="003E0F39"/>
    <w:rsid w:val="003E10F0"/>
    <w:rsid w:val="003E297D"/>
    <w:rsid w:val="003E3207"/>
    <w:rsid w:val="003E3C47"/>
    <w:rsid w:val="003E44B2"/>
    <w:rsid w:val="003E68E8"/>
    <w:rsid w:val="003F13AA"/>
    <w:rsid w:val="003F2558"/>
    <w:rsid w:val="003F374B"/>
    <w:rsid w:val="003F3C2E"/>
    <w:rsid w:val="003F49DD"/>
    <w:rsid w:val="003F4D4B"/>
    <w:rsid w:val="003F5818"/>
    <w:rsid w:val="003F7ECC"/>
    <w:rsid w:val="00400015"/>
    <w:rsid w:val="00401C42"/>
    <w:rsid w:val="0040405F"/>
    <w:rsid w:val="00405643"/>
    <w:rsid w:val="00407E0F"/>
    <w:rsid w:val="004101E6"/>
    <w:rsid w:val="00410248"/>
    <w:rsid w:val="0041232B"/>
    <w:rsid w:val="00412A22"/>
    <w:rsid w:val="004138CC"/>
    <w:rsid w:val="00413ED7"/>
    <w:rsid w:val="00416FB0"/>
    <w:rsid w:val="00421744"/>
    <w:rsid w:val="0042406B"/>
    <w:rsid w:val="004244B0"/>
    <w:rsid w:val="004253C7"/>
    <w:rsid w:val="0042662D"/>
    <w:rsid w:val="0043389E"/>
    <w:rsid w:val="00433E2C"/>
    <w:rsid w:val="004350CF"/>
    <w:rsid w:val="0043641F"/>
    <w:rsid w:val="0043749E"/>
    <w:rsid w:val="00442C8C"/>
    <w:rsid w:val="00444BA3"/>
    <w:rsid w:val="00446CBE"/>
    <w:rsid w:val="00447838"/>
    <w:rsid w:val="004512A6"/>
    <w:rsid w:val="004522C2"/>
    <w:rsid w:val="00452F72"/>
    <w:rsid w:val="00453615"/>
    <w:rsid w:val="00453FF4"/>
    <w:rsid w:val="004540A9"/>
    <w:rsid w:val="0045532C"/>
    <w:rsid w:val="00455FC3"/>
    <w:rsid w:val="00457C02"/>
    <w:rsid w:val="00462176"/>
    <w:rsid w:val="00464BDE"/>
    <w:rsid w:val="00467DD6"/>
    <w:rsid w:val="00467E0E"/>
    <w:rsid w:val="004712C2"/>
    <w:rsid w:val="00472CED"/>
    <w:rsid w:val="00473469"/>
    <w:rsid w:val="004824CB"/>
    <w:rsid w:val="00482741"/>
    <w:rsid w:val="00483AC9"/>
    <w:rsid w:val="0048451C"/>
    <w:rsid w:val="00486243"/>
    <w:rsid w:val="004866B8"/>
    <w:rsid w:val="00486F7E"/>
    <w:rsid w:val="0049013E"/>
    <w:rsid w:val="00490711"/>
    <w:rsid w:val="00491161"/>
    <w:rsid w:val="004957F9"/>
    <w:rsid w:val="004965D5"/>
    <w:rsid w:val="004971EB"/>
    <w:rsid w:val="00497321"/>
    <w:rsid w:val="004A427B"/>
    <w:rsid w:val="004A468D"/>
    <w:rsid w:val="004A7C88"/>
    <w:rsid w:val="004B103E"/>
    <w:rsid w:val="004B23C2"/>
    <w:rsid w:val="004B2BBB"/>
    <w:rsid w:val="004B3317"/>
    <w:rsid w:val="004B497A"/>
    <w:rsid w:val="004B4D19"/>
    <w:rsid w:val="004B7F14"/>
    <w:rsid w:val="004C00E5"/>
    <w:rsid w:val="004C0ABB"/>
    <w:rsid w:val="004C1C45"/>
    <w:rsid w:val="004C3317"/>
    <w:rsid w:val="004C40E6"/>
    <w:rsid w:val="004C4ADE"/>
    <w:rsid w:val="004C4BB3"/>
    <w:rsid w:val="004C51E9"/>
    <w:rsid w:val="004C784A"/>
    <w:rsid w:val="004D0E3F"/>
    <w:rsid w:val="004D1A6E"/>
    <w:rsid w:val="004D20C1"/>
    <w:rsid w:val="004D4FC8"/>
    <w:rsid w:val="004D5314"/>
    <w:rsid w:val="004D5955"/>
    <w:rsid w:val="004D7928"/>
    <w:rsid w:val="004E30E6"/>
    <w:rsid w:val="004E4ACE"/>
    <w:rsid w:val="004F1179"/>
    <w:rsid w:val="0050043B"/>
    <w:rsid w:val="00501816"/>
    <w:rsid w:val="00502CD5"/>
    <w:rsid w:val="00504477"/>
    <w:rsid w:val="00506303"/>
    <w:rsid w:val="00507285"/>
    <w:rsid w:val="0051244A"/>
    <w:rsid w:val="00514216"/>
    <w:rsid w:val="00514929"/>
    <w:rsid w:val="00517D92"/>
    <w:rsid w:val="0052151B"/>
    <w:rsid w:val="005240CE"/>
    <w:rsid w:val="00525B80"/>
    <w:rsid w:val="00526DD9"/>
    <w:rsid w:val="00530975"/>
    <w:rsid w:val="00530A47"/>
    <w:rsid w:val="00532F2D"/>
    <w:rsid w:val="0053564A"/>
    <w:rsid w:val="00541438"/>
    <w:rsid w:val="0054262D"/>
    <w:rsid w:val="00543EBA"/>
    <w:rsid w:val="00545A15"/>
    <w:rsid w:val="005506A9"/>
    <w:rsid w:val="00551770"/>
    <w:rsid w:val="005525E1"/>
    <w:rsid w:val="005531C2"/>
    <w:rsid w:val="0055526E"/>
    <w:rsid w:val="0055590A"/>
    <w:rsid w:val="00557F5D"/>
    <w:rsid w:val="00560220"/>
    <w:rsid w:val="00564476"/>
    <w:rsid w:val="0056595A"/>
    <w:rsid w:val="00565FD3"/>
    <w:rsid w:val="0056774E"/>
    <w:rsid w:val="00570B17"/>
    <w:rsid w:val="00571605"/>
    <w:rsid w:val="0057191A"/>
    <w:rsid w:val="00571C40"/>
    <w:rsid w:val="005727BE"/>
    <w:rsid w:val="00573FBA"/>
    <w:rsid w:val="005748D0"/>
    <w:rsid w:val="005767D0"/>
    <w:rsid w:val="00580396"/>
    <w:rsid w:val="0058232E"/>
    <w:rsid w:val="00583021"/>
    <w:rsid w:val="005873BB"/>
    <w:rsid w:val="0059049F"/>
    <w:rsid w:val="00593059"/>
    <w:rsid w:val="00593489"/>
    <w:rsid w:val="00594B65"/>
    <w:rsid w:val="0059796F"/>
    <w:rsid w:val="00597A5F"/>
    <w:rsid w:val="005A0F48"/>
    <w:rsid w:val="005A1221"/>
    <w:rsid w:val="005A24F1"/>
    <w:rsid w:val="005A28C3"/>
    <w:rsid w:val="005A454A"/>
    <w:rsid w:val="005A4598"/>
    <w:rsid w:val="005A736C"/>
    <w:rsid w:val="005A75B3"/>
    <w:rsid w:val="005B1CB4"/>
    <w:rsid w:val="005B1DE7"/>
    <w:rsid w:val="005B4961"/>
    <w:rsid w:val="005B65EC"/>
    <w:rsid w:val="005B78C6"/>
    <w:rsid w:val="005B7C80"/>
    <w:rsid w:val="005C0730"/>
    <w:rsid w:val="005C0BBB"/>
    <w:rsid w:val="005C151E"/>
    <w:rsid w:val="005C194F"/>
    <w:rsid w:val="005C3AB8"/>
    <w:rsid w:val="005C6F8C"/>
    <w:rsid w:val="005D140A"/>
    <w:rsid w:val="005D6409"/>
    <w:rsid w:val="005D7B10"/>
    <w:rsid w:val="005E03D2"/>
    <w:rsid w:val="005E19CC"/>
    <w:rsid w:val="005E346C"/>
    <w:rsid w:val="005E40A8"/>
    <w:rsid w:val="005E6808"/>
    <w:rsid w:val="005E79FD"/>
    <w:rsid w:val="005F279D"/>
    <w:rsid w:val="005F7728"/>
    <w:rsid w:val="0060105B"/>
    <w:rsid w:val="006014F3"/>
    <w:rsid w:val="006057CD"/>
    <w:rsid w:val="00606DAE"/>
    <w:rsid w:val="00607E06"/>
    <w:rsid w:val="00607F8A"/>
    <w:rsid w:val="006133A2"/>
    <w:rsid w:val="00613683"/>
    <w:rsid w:val="00615B22"/>
    <w:rsid w:val="006176BE"/>
    <w:rsid w:val="006210B4"/>
    <w:rsid w:val="006223C5"/>
    <w:rsid w:val="006235F2"/>
    <w:rsid w:val="0062542F"/>
    <w:rsid w:val="00625A7D"/>
    <w:rsid w:val="00631F5E"/>
    <w:rsid w:val="00633FDA"/>
    <w:rsid w:val="0063511E"/>
    <w:rsid w:val="00637AE8"/>
    <w:rsid w:val="00643141"/>
    <w:rsid w:val="00643EA4"/>
    <w:rsid w:val="0064622A"/>
    <w:rsid w:val="0064649E"/>
    <w:rsid w:val="00647995"/>
    <w:rsid w:val="00653F7D"/>
    <w:rsid w:val="00655080"/>
    <w:rsid w:val="00656D22"/>
    <w:rsid w:val="00656FE3"/>
    <w:rsid w:val="00657C23"/>
    <w:rsid w:val="00664A1E"/>
    <w:rsid w:val="00665442"/>
    <w:rsid w:val="0066563B"/>
    <w:rsid w:val="006667B6"/>
    <w:rsid w:val="00666C00"/>
    <w:rsid w:val="00666DF9"/>
    <w:rsid w:val="00670A74"/>
    <w:rsid w:val="00672587"/>
    <w:rsid w:val="00673D06"/>
    <w:rsid w:val="006749CE"/>
    <w:rsid w:val="00677E86"/>
    <w:rsid w:val="00681BE7"/>
    <w:rsid w:val="00681E9A"/>
    <w:rsid w:val="00683CF9"/>
    <w:rsid w:val="0068502F"/>
    <w:rsid w:val="00685212"/>
    <w:rsid w:val="006853ED"/>
    <w:rsid w:val="00685A06"/>
    <w:rsid w:val="00687663"/>
    <w:rsid w:val="00691DE1"/>
    <w:rsid w:val="00693BB6"/>
    <w:rsid w:val="00693C00"/>
    <w:rsid w:val="00694217"/>
    <w:rsid w:val="00694CEB"/>
    <w:rsid w:val="006A2570"/>
    <w:rsid w:val="006A52D5"/>
    <w:rsid w:val="006A6707"/>
    <w:rsid w:val="006B0568"/>
    <w:rsid w:val="006B1B2E"/>
    <w:rsid w:val="006B210B"/>
    <w:rsid w:val="006B2985"/>
    <w:rsid w:val="006B47A4"/>
    <w:rsid w:val="006B47A5"/>
    <w:rsid w:val="006B5154"/>
    <w:rsid w:val="006B52CF"/>
    <w:rsid w:val="006B567C"/>
    <w:rsid w:val="006B67DA"/>
    <w:rsid w:val="006C08E7"/>
    <w:rsid w:val="006C38DF"/>
    <w:rsid w:val="006C3DB5"/>
    <w:rsid w:val="006C764D"/>
    <w:rsid w:val="006D27CF"/>
    <w:rsid w:val="006D7813"/>
    <w:rsid w:val="006D7A4D"/>
    <w:rsid w:val="006D7B4B"/>
    <w:rsid w:val="006E5531"/>
    <w:rsid w:val="006F08BB"/>
    <w:rsid w:val="006F13F7"/>
    <w:rsid w:val="006F35EC"/>
    <w:rsid w:val="006F37FD"/>
    <w:rsid w:val="00701B84"/>
    <w:rsid w:val="00702ED4"/>
    <w:rsid w:val="00703F60"/>
    <w:rsid w:val="007060A8"/>
    <w:rsid w:val="00707391"/>
    <w:rsid w:val="00710414"/>
    <w:rsid w:val="00710428"/>
    <w:rsid w:val="00710B3B"/>
    <w:rsid w:val="0071154D"/>
    <w:rsid w:val="00711CCB"/>
    <w:rsid w:val="00712DE2"/>
    <w:rsid w:val="00713B11"/>
    <w:rsid w:val="00715E99"/>
    <w:rsid w:val="007233D3"/>
    <w:rsid w:val="007308FF"/>
    <w:rsid w:val="0073215C"/>
    <w:rsid w:val="0073243B"/>
    <w:rsid w:val="00734919"/>
    <w:rsid w:val="00735BFE"/>
    <w:rsid w:val="00736D97"/>
    <w:rsid w:val="00737054"/>
    <w:rsid w:val="0073753E"/>
    <w:rsid w:val="00737543"/>
    <w:rsid w:val="00740B1C"/>
    <w:rsid w:val="00743EBB"/>
    <w:rsid w:val="00751C05"/>
    <w:rsid w:val="00752975"/>
    <w:rsid w:val="007552A8"/>
    <w:rsid w:val="00755C0D"/>
    <w:rsid w:val="00756CB9"/>
    <w:rsid w:val="0075773E"/>
    <w:rsid w:val="00757E84"/>
    <w:rsid w:val="00762141"/>
    <w:rsid w:val="00762ACE"/>
    <w:rsid w:val="00762E65"/>
    <w:rsid w:val="00763ACB"/>
    <w:rsid w:val="00767627"/>
    <w:rsid w:val="00772571"/>
    <w:rsid w:val="00774580"/>
    <w:rsid w:val="0077523B"/>
    <w:rsid w:val="00777EF5"/>
    <w:rsid w:val="00781CED"/>
    <w:rsid w:val="00782030"/>
    <w:rsid w:val="0078283F"/>
    <w:rsid w:val="00785704"/>
    <w:rsid w:val="007872E9"/>
    <w:rsid w:val="00793511"/>
    <w:rsid w:val="00795694"/>
    <w:rsid w:val="00796D49"/>
    <w:rsid w:val="007A075F"/>
    <w:rsid w:val="007A08C8"/>
    <w:rsid w:val="007A0D43"/>
    <w:rsid w:val="007A0D9F"/>
    <w:rsid w:val="007A686C"/>
    <w:rsid w:val="007B0857"/>
    <w:rsid w:val="007B4621"/>
    <w:rsid w:val="007B4998"/>
    <w:rsid w:val="007B648A"/>
    <w:rsid w:val="007C17BF"/>
    <w:rsid w:val="007C3DB2"/>
    <w:rsid w:val="007C3F6C"/>
    <w:rsid w:val="007C5A22"/>
    <w:rsid w:val="007C5ECA"/>
    <w:rsid w:val="007D0618"/>
    <w:rsid w:val="007D2A4E"/>
    <w:rsid w:val="007D3456"/>
    <w:rsid w:val="007D3A9A"/>
    <w:rsid w:val="007D4188"/>
    <w:rsid w:val="007D5058"/>
    <w:rsid w:val="007D755A"/>
    <w:rsid w:val="007E12E4"/>
    <w:rsid w:val="007E12E6"/>
    <w:rsid w:val="007E53E2"/>
    <w:rsid w:val="007E5C5B"/>
    <w:rsid w:val="007F2E57"/>
    <w:rsid w:val="007F4216"/>
    <w:rsid w:val="007F4FE8"/>
    <w:rsid w:val="007F5EB8"/>
    <w:rsid w:val="007F605B"/>
    <w:rsid w:val="007F66E7"/>
    <w:rsid w:val="007F69F7"/>
    <w:rsid w:val="00800181"/>
    <w:rsid w:val="008039B1"/>
    <w:rsid w:val="008065D7"/>
    <w:rsid w:val="00807A93"/>
    <w:rsid w:val="00811357"/>
    <w:rsid w:val="0081164A"/>
    <w:rsid w:val="00815747"/>
    <w:rsid w:val="0081669F"/>
    <w:rsid w:val="00816D59"/>
    <w:rsid w:val="008174F3"/>
    <w:rsid w:val="008178B3"/>
    <w:rsid w:val="00822344"/>
    <w:rsid w:val="00824FC6"/>
    <w:rsid w:val="00825DA7"/>
    <w:rsid w:val="00825EA0"/>
    <w:rsid w:val="00827257"/>
    <w:rsid w:val="00827A2A"/>
    <w:rsid w:val="00830A6E"/>
    <w:rsid w:val="0083172A"/>
    <w:rsid w:val="0083565C"/>
    <w:rsid w:val="008363D0"/>
    <w:rsid w:val="0083725C"/>
    <w:rsid w:val="0084202C"/>
    <w:rsid w:val="00842DCF"/>
    <w:rsid w:val="00844FD5"/>
    <w:rsid w:val="00850215"/>
    <w:rsid w:val="008518F5"/>
    <w:rsid w:val="00851A1C"/>
    <w:rsid w:val="00852363"/>
    <w:rsid w:val="00854C44"/>
    <w:rsid w:val="00855576"/>
    <w:rsid w:val="00855706"/>
    <w:rsid w:val="00855A7A"/>
    <w:rsid w:val="00855E24"/>
    <w:rsid w:val="008606BC"/>
    <w:rsid w:val="0086417D"/>
    <w:rsid w:val="00864F67"/>
    <w:rsid w:val="00865B6A"/>
    <w:rsid w:val="008663FD"/>
    <w:rsid w:val="00872C64"/>
    <w:rsid w:val="00873ABB"/>
    <w:rsid w:val="00876929"/>
    <w:rsid w:val="00876EEC"/>
    <w:rsid w:val="0088058F"/>
    <w:rsid w:val="0088163C"/>
    <w:rsid w:val="00883E85"/>
    <w:rsid w:val="00885864"/>
    <w:rsid w:val="00885EE4"/>
    <w:rsid w:val="008925FE"/>
    <w:rsid w:val="00893B96"/>
    <w:rsid w:val="00893BA7"/>
    <w:rsid w:val="00894063"/>
    <w:rsid w:val="008946D9"/>
    <w:rsid w:val="00897192"/>
    <w:rsid w:val="008972B8"/>
    <w:rsid w:val="008A3A09"/>
    <w:rsid w:val="008A604C"/>
    <w:rsid w:val="008B0874"/>
    <w:rsid w:val="008B22A9"/>
    <w:rsid w:val="008B2393"/>
    <w:rsid w:val="008B3E9C"/>
    <w:rsid w:val="008B4425"/>
    <w:rsid w:val="008B68C9"/>
    <w:rsid w:val="008C2016"/>
    <w:rsid w:val="008C215C"/>
    <w:rsid w:val="008C279E"/>
    <w:rsid w:val="008C7451"/>
    <w:rsid w:val="008D2C00"/>
    <w:rsid w:val="008D36E3"/>
    <w:rsid w:val="008D4CCE"/>
    <w:rsid w:val="008D675C"/>
    <w:rsid w:val="008D6824"/>
    <w:rsid w:val="008D6B53"/>
    <w:rsid w:val="008E05A5"/>
    <w:rsid w:val="008E07ED"/>
    <w:rsid w:val="008E08F5"/>
    <w:rsid w:val="008E1C75"/>
    <w:rsid w:val="008E369D"/>
    <w:rsid w:val="008E44BB"/>
    <w:rsid w:val="008E47FE"/>
    <w:rsid w:val="008E6934"/>
    <w:rsid w:val="008E6BAB"/>
    <w:rsid w:val="008E7B5B"/>
    <w:rsid w:val="008E7E45"/>
    <w:rsid w:val="008F166C"/>
    <w:rsid w:val="008F2577"/>
    <w:rsid w:val="008F2B27"/>
    <w:rsid w:val="008F489A"/>
    <w:rsid w:val="008F5A9D"/>
    <w:rsid w:val="008F725A"/>
    <w:rsid w:val="008F7596"/>
    <w:rsid w:val="0090050D"/>
    <w:rsid w:val="00900953"/>
    <w:rsid w:val="00901481"/>
    <w:rsid w:val="00903E74"/>
    <w:rsid w:val="009045A6"/>
    <w:rsid w:val="00906905"/>
    <w:rsid w:val="00911265"/>
    <w:rsid w:val="00913B45"/>
    <w:rsid w:val="00914016"/>
    <w:rsid w:val="009174E9"/>
    <w:rsid w:val="00917D12"/>
    <w:rsid w:val="00920D09"/>
    <w:rsid w:val="0092580D"/>
    <w:rsid w:val="00925C2F"/>
    <w:rsid w:val="009262EB"/>
    <w:rsid w:val="00926E93"/>
    <w:rsid w:val="00930E0B"/>
    <w:rsid w:val="00932877"/>
    <w:rsid w:val="00933AEA"/>
    <w:rsid w:val="00933C58"/>
    <w:rsid w:val="00940C03"/>
    <w:rsid w:val="00947CC4"/>
    <w:rsid w:val="00951D04"/>
    <w:rsid w:val="00955429"/>
    <w:rsid w:val="00956DC3"/>
    <w:rsid w:val="00956F5C"/>
    <w:rsid w:val="00960305"/>
    <w:rsid w:val="0096138B"/>
    <w:rsid w:val="0096172B"/>
    <w:rsid w:val="00963B82"/>
    <w:rsid w:val="00964E4B"/>
    <w:rsid w:val="00966E5B"/>
    <w:rsid w:val="00967342"/>
    <w:rsid w:val="00970E48"/>
    <w:rsid w:val="009727CD"/>
    <w:rsid w:val="00977F4F"/>
    <w:rsid w:val="0098157F"/>
    <w:rsid w:val="009835E4"/>
    <w:rsid w:val="00990027"/>
    <w:rsid w:val="009952FF"/>
    <w:rsid w:val="009958AF"/>
    <w:rsid w:val="00995EE5"/>
    <w:rsid w:val="009A0F82"/>
    <w:rsid w:val="009A1FD5"/>
    <w:rsid w:val="009A254D"/>
    <w:rsid w:val="009A3242"/>
    <w:rsid w:val="009B026A"/>
    <w:rsid w:val="009B12F5"/>
    <w:rsid w:val="009B6971"/>
    <w:rsid w:val="009C04F8"/>
    <w:rsid w:val="009C0764"/>
    <w:rsid w:val="009C0F3F"/>
    <w:rsid w:val="009C3F5F"/>
    <w:rsid w:val="009C4AD5"/>
    <w:rsid w:val="009C5B13"/>
    <w:rsid w:val="009C6D55"/>
    <w:rsid w:val="009C7D3E"/>
    <w:rsid w:val="009C7FB3"/>
    <w:rsid w:val="009D1775"/>
    <w:rsid w:val="009D2243"/>
    <w:rsid w:val="009D280E"/>
    <w:rsid w:val="009D3B18"/>
    <w:rsid w:val="009E18E0"/>
    <w:rsid w:val="009E1AE4"/>
    <w:rsid w:val="009E3651"/>
    <w:rsid w:val="009E4219"/>
    <w:rsid w:val="009E630A"/>
    <w:rsid w:val="009E65C6"/>
    <w:rsid w:val="009F1692"/>
    <w:rsid w:val="009F1D03"/>
    <w:rsid w:val="009F3F68"/>
    <w:rsid w:val="009F4562"/>
    <w:rsid w:val="009F4BE3"/>
    <w:rsid w:val="009F62C8"/>
    <w:rsid w:val="00A0093B"/>
    <w:rsid w:val="00A035C4"/>
    <w:rsid w:val="00A04A22"/>
    <w:rsid w:val="00A062E1"/>
    <w:rsid w:val="00A064B1"/>
    <w:rsid w:val="00A101DC"/>
    <w:rsid w:val="00A10455"/>
    <w:rsid w:val="00A118CA"/>
    <w:rsid w:val="00A119B0"/>
    <w:rsid w:val="00A12527"/>
    <w:rsid w:val="00A13B6F"/>
    <w:rsid w:val="00A14AA1"/>
    <w:rsid w:val="00A15C64"/>
    <w:rsid w:val="00A20C1A"/>
    <w:rsid w:val="00A230ED"/>
    <w:rsid w:val="00A2465F"/>
    <w:rsid w:val="00A275F9"/>
    <w:rsid w:val="00A30208"/>
    <w:rsid w:val="00A34148"/>
    <w:rsid w:val="00A36DA0"/>
    <w:rsid w:val="00A371E6"/>
    <w:rsid w:val="00A37692"/>
    <w:rsid w:val="00A40A2D"/>
    <w:rsid w:val="00A41BD9"/>
    <w:rsid w:val="00A50058"/>
    <w:rsid w:val="00A51622"/>
    <w:rsid w:val="00A51F23"/>
    <w:rsid w:val="00A55169"/>
    <w:rsid w:val="00A55388"/>
    <w:rsid w:val="00A56F3D"/>
    <w:rsid w:val="00A578C5"/>
    <w:rsid w:val="00A610A3"/>
    <w:rsid w:val="00A62C59"/>
    <w:rsid w:val="00A65FCB"/>
    <w:rsid w:val="00A6739D"/>
    <w:rsid w:val="00A72812"/>
    <w:rsid w:val="00A740D5"/>
    <w:rsid w:val="00A741C6"/>
    <w:rsid w:val="00A75638"/>
    <w:rsid w:val="00A80C06"/>
    <w:rsid w:val="00A86177"/>
    <w:rsid w:val="00A861E2"/>
    <w:rsid w:val="00A87A5A"/>
    <w:rsid w:val="00A9079D"/>
    <w:rsid w:val="00A92747"/>
    <w:rsid w:val="00A93901"/>
    <w:rsid w:val="00A94B11"/>
    <w:rsid w:val="00A95542"/>
    <w:rsid w:val="00A979BA"/>
    <w:rsid w:val="00A97A52"/>
    <w:rsid w:val="00AA31A7"/>
    <w:rsid w:val="00AA4369"/>
    <w:rsid w:val="00AA4D2B"/>
    <w:rsid w:val="00AA56B9"/>
    <w:rsid w:val="00AA5A81"/>
    <w:rsid w:val="00AA69DE"/>
    <w:rsid w:val="00AB0538"/>
    <w:rsid w:val="00AB072C"/>
    <w:rsid w:val="00AB0C01"/>
    <w:rsid w:val="00AB0D9C"/>
    <w:rsid w:val="00AB1222"/>
    <w:rsid w:val="00AB1B0C"/>
    <w:rsid w:val="00AB2988"/>
    <w:rsid w:val="00AB437E"/>
    <w:rsid w:val="00AB43A0"/>
    <w:rsid w:val="00AB5B85"/>
    <w:rsid w:val="00AB5D50"/>
    <w:rsid w:val="00AB77A7"/>
    <w:rsid w:val="00AC0A19"/>
    <w:rsid w:val="00AC181A"/>
    <w:rsid w:val="00AC3603"/>
    <w:rsid w:val="00AC5966"/>
    <w:rsid w:val="00AD301E"/>
    <w:rsid w:val="00AD4162"/>
    <w:rsid w:val="00AD583B"/>
    <w:rsid w:val="00AD747A"/>
    <w:rsid w:val="00AE1169"/>
    <w:rsid w:val="00AE11D2"/>
    <w:rsid w:val="00AE3544"/>
    <w:rsid w:val="00AE5799"/>
    <w:rsid w:val="00AE653F"/>
    <w:rsid w:val="00AE6B3A"/>
    <w:rsid w:val="00AF17A9"/>
    <w:rsid w:val="00AF1F99"/>
    <w:rsid w:val="00AF35C6"/>
    <w:rsid w:val="00AF4AF1"/>
    <w:rsid w:val="00AF6DD0"/>
    <w:rsid w:val="00B013BF"/>
    <w:rsid w:val="00B031C5"/>
    <w:rsid w:val="00B0394B"/>
    <w:rsid w:val="00B04F5B"/>
    <w:rsid w:val="00B111E7"/>
    <w:rsid w:val="00B12346"/>
    <w:rsid w:val="00B1281E"/>
    <w:rsid w:val="00B13E1F"/>
    <w:rsid w:val="00B144E5"/>
    <w:rsid w:val="00B1495B"/>
    <w:rsid w:val="00B14E96"/>
    <w:rsid w:val="00B14F15"/>
    <w:rsid w:val="00B163C7"/>
    <w:rsid w:val="00B173BB"/>
    <w:rsid w:val="00B17BCB"/>
    <w:rsid w:val="00B20239"/>
    <w:rsid w:val="00B21130"/>
    <w:rsid w:val="00B21B7B"/>
    <w:rsid w:val="00B21ED7"/>
    <w:rsid w:val="00B2389F"/>
    <w:rsid w:val="00B247A4"/>
    <w:rsid w:val="00B249D7"/>
    <w:rsid w:val="00B26009"/>
    <w:rsid w:val="00B30468"/>
    <w:rsid w:val="00B31E19"/>
    <w:rsid w:val="00B31EE2"/>
    <w:rsid w:val="00B33751"/>
    <w:rsid w:val="00B40225"/>
    <w:rsid w:val="00B40BA9"/>
    <w:rsid w:val="00B4211A"/>
    <w:rsid w:val="00B425EF"/>
    <w:rsid w:val="00B46A7D"/>
    <w:rsid w:val="00B5273F"/>
    <w:rsid w:val="00B6006D"/>
    <w:rsid w:val="00B653B4"/>
    <w:rsid w:val="00B7293F"/>
    <w:rsid w:val="00B73EC4"/>
    <w:rsid w:val="00B74FE3"/>
    <w:rsid w:val="00B753BF"/>
    <w:rsid w:val="00B75629"/>
    <w:rsid w:val="00B81646"/>
    <w:rsid w:val="00B85D4C"/>
    <w:rsid w:val="00B9247A"/>
    <w:rsid w:val="00B92644"/>
    <w:rsid w:val="00BA2C97"/>
    <w:rsid w:val="00BA3209"/>
    <w:rsid w:val="00BA3C0C"/>
    <w:rsid w:val="00BA4385"/>
    <w:rsid w:val="00BA7ED0"/>
    <w:rsid w:val="00BB0BED"/>
    <w:rsid w:val="00BB5A56"/>
    <w:rsid w:val="00BB7622"/>
    <w:rsid w:val="00BB7D9C"/>
    <w:rsid w:val="00BC17B8"/>
    <w:rsid w:val="00BC3925"/>
    <w:rsid w:val="00BC527F"/>
    <w:rsid w:val="00BD0472"/>
    <w:rsid w:val="00BD057E"/>
    <w:rsid w:val="00BD2C36"/>
    <w:rsid w:val="00BD6110"/>
    <w:rsid w:val="00BD6710"/>
    <w:rsid w:val="00BD6D61"/>
    <w:rsid w:val="00BD6E40"/>
    <w:rsid w:val="00BD7C24"/>
    <w:rsid w:val="00BE016F"/>
    <w:rsid w:val="00BE024F"/>
    <w:rsid w:val="00BE225E"/>
    <w:rsid w:val="00BE24C6"/>
    <w:rsid w:val="00BE31AA"/>
    <w:rsid w:val="00BE3318"/>
    <w:rsid w:val="00BE5470"/>
    <w:rsid w:val="00BE7AF7"/>
    <w:rsid w:val="00BE7C24"/>
    <w:rsid w:val="00BF104C"/>
    <w:rsid w:val="00BF1F2A"/>
    <w:rsid w:val="00BF36BB"/>
    <w:rsid w:val="00BF37F1"/>
    <w:rsid w:val="00BF449A"/>
    <w:rsid w:val="00BF6793"/>
    <w:rsid w:val="00BF7AF2"/>
    <w:rsid w:val="00C00488"/>
    <w:rsid w:val="00C01F81"/>
    <w:rsid w:val="00C03B4F"/>
    <w:rsid w:val="00C0694D"/>
    <w:rsid w:val="00C10CC4"/>
    <w:rsid w:val="00C129BE"/>
    <w:rsid w:val="00C14221"/>
    <w:rsid w:val="00C15D0C"/>
    <w:rsid w:val="00C16C6C"/>
    <w:rsid w:val="00C17EB0"/>
    <w:rsid w:val="00C25E2A"/>
    <w:rsid w:val="00C26CB8"/>
    <w:rsid w:val="00C27826"/>
    <w:rsid w:val="00C302D4"/>
    <w:rsid w:val="00C303C4"/>
    <w:rsid w:val="00C3226B"/>
    <w:rsid w:val="00C34E91"/>
    <w:rsid w:val="00C34F6E"/>
    <w:rsid w:val="00C35C61"/>
    <w:rsid w:val="00C36163"/>
    <w:rsid w:val="00C368B2"/>
    <w:rsid w:val="00C40707"/>
    <w:rsid w:val="00C436B1"/>
    <w:rsid w:val="00C44A4A"/>
    <w:rsid w:val="00C44F72"/>
    <w:rsid w:val="00C50F16"/>
    <w:rsid w:val="00C51B07"/>
    <w:rsid w:val="00C52A86"/>
    <w:rsid w:val="00C55A90"/>
    <w:rsid w:val="00C56E20"/>
    <w:rsid w:val="00C57FC3"/>
    <w:rsid w:val="00C61086"/>
    <w:rsid w:val="00C67A92"/>
    <w:rsid w:val="00C71AAE"/>
    <w:rsid w:val="00C735C6"/>
    <w:rsid w:val="00C748B6"/>
    <w:rsid w:val="00C769BA"/>
    <w:rsid w:val="00C77075"/>
    <w:rsid w:val="00C8000B"/>
    <w:rsid w:val="00C80A0B"/>
    <w:rsid w:val="00C80C33"/>
    <w:rsid w:val="00C80D32"/>
    <w:rsid w:val="00C81F9D"/>
    <w:rsid w:val="00C82BD8"/>
    <w:rsid w:val="00C837B0"/>
    <w:rsid w:val="00C8582D"/>
    <w:rsid w:val="00C90227"/>
    <w:rsid w:val="00C93EFC"/>
    <w:rsid w:val="00C95389"/>
    <w:rsid w:val="00C962C0"/>
    <w:rsid w:val="00C97D4B"/>
    <w:rsid w:val="00CA4763"/>
    <w:rsid w:val="00CA5ED6"/>
    <w:rsid w:val="00CB009E"/>
    <w:rsid w:val="00CB1DA3"/>
    <w:rsid w:val="00CB23F3"/>
    <w:rsid w:val="00CB2FC4"/>
    <w:rsid w:val="00CB56DC"/>
    <w:rsid w:val="00CB57F5"/>
    <w:rsid w:val="00CB61BB"/>
    <w:rsid w:val="00CB68DA"/>
    <w:rsid w:val="00CB7A00"/>
    <w:rsid w:val="00CC0172"/>
    <w:rsid w:val="00CC04C5"/>
    <w:rsid w:val="00CC3747"/>
    <w:rsid w:val="00CC3C00"/>
    <w:rsid w:val="00CC49CD"/>
    <w:rsid w:val="00CC5064"/>
    <w:rsid w:val="00CC68E2"/>
    <w:rsid w:val="00CD064B"/>
    <w:rsid w:val="00CD1318"/>
    <w:rsid w:val="00CD2A16"/>
    <w:rsid w:val="00CD3778"/>
    <w:rsid w:val="00CD715F"/>
    <w:rsid w:val="00CE4BB6"/>
    <w:rsid w:val="00CE535D"/>
    <w:rsid w:val="00CE616E"/>
    <w:rsid w:val="00CF1EB5"/>
    <w:rsid w:val="00CF524D"/>
    <w:rsid w:val="00CF6E99"/>
    <w:rsid w:val="00D01282"/>
    <w:rsid w:val="00D01A3B"/>
    <w:rsid w:val="00D036E6"/>
    <w:rsid w:val="00D043CA"/>
    <w:rsid w:val="00D05612"/>
    <w:rsid w:val="00D05EA8"/>
    <w:rsid w:val="00D068DA"/>
    <w:rsid w:val="00D06FA2"/>
    <w:rsid w:val="00D12691"/>
    <w:rsid w:val="00D12790"/>
    <w:rsid w:val="00D14373"/>
    <w:rsid w:val="00D2193B"/>
    <w:rsid w:val="00D22D7B"/>
    <w:rsid w:val="00D25EE0"/>
    <w:rsid w:val="00D26404"/>
    <w:rsid w:val="00D272F7"/>
    <w:rsid w:val="00D2756F"/>
    <w:rsid w:val="00D276E3"/>
    <w:rsid w:val="00D32EE8"/>
    <w:rsid w:val="00D33832"/>
    <w:rsid w:val="00D347B0"/>
    <w:rsid w:val="00D35A8D"/>
    <w:rsid w:val="00D3679C"/>
    <w:rsid w:val="00D40555"/>
    <w:rsid w:val="00D44B03"/>
    <w:rsid w:val="00D4577A"/>
    <w:rsid w:val="00D46351"/>
    <w:rsid w:val="00D5045F"/>
    <w:rsid w:val="00D50A28"/>
    <w:rsid w:val="00D50C7F"/>
    <w:rsid w:val="00D54EDE"/>
    <w:rsid w:val="00D605A3"/>
    <w:rsid w:val="00D62406"/>
    <w:rsid w:val="00D629EB"/>
    <w:rsid w:val="00D62AA5"/>
    <w:rsid w:val="00D636DC"/>
    <w:rsid w:val="00D645A0"/>
    <w:rsid w:val="00D655B8"/>
    <w:rsid w:val="00D65E7D"/>
    <w:rsid w:val="00D66C8C"/>
    <w:rsid w:val="00D67991"/>
    <w:rsid w:val="00D67C24"/>
    <w:rsid w:val="00D701C4"/>
    <w:rsid w:val="00D70269"/>
    <w:rsid w:val="00D703D3"/>
    <w:rsid w:val="00D70575"/>
    <w:rsid w:val="00D7204A"/>
    <w:rsid w:val="00D741C2"/>
    <w:rsid w:val="00D75132"/>
    <w:rsid w:val="00D75BD2"/>
    <w:rsid w:val="00D77353"/>
    <w:rsid w:val="00D77A04"/>
    <w:rsid w:val="00D80228"/>
    <w:rsid w:val="00D8230A"/>
    <w:rsid w:val="00D83E4F"/>
    <w:rsid w:val="00D84D19"/>
    <w:rsid w:val="00D84E7E"/>
    <w:rsid w:val="00D85E07"/>
    <w:rsid w:val="00D85F10"/>
    <w:rsid w:val="00D86CC6"/>
    <w:rsid w:val="00D878D2"/>
    <w:rsid w:val="00D928FD"/>
    <w:rsid w:val="00D960A3"/>
    <w:rsid w:val="00D96807"/>
    <w:rsid w:val="00D978E4"/>
    <w:rsid w:val="00DA5C40"/>
    <w:rsid w:val="00DA630E"/>
    <w:rsid w:val="00DA7A75"/>
    <w:rsid w:val="00DB3C33"/>
    <w:rsid w:val="00DB5C4C"/>
    <w:rsid w:val="00DB7E83"/>
    <w:rsid w:val="00DC0434"/>
    <w:rsid w:val="00DC09B1"/>
    <w:rsid w:val="00DC149D"/>
    <w:rsid w:val="00DC1B7C"/>
    <w:rsid w:val="00DC1C24"/>
    <w:rsid w:val="00DC2C49"/>
    <w:rsid w:val="00DC31A8"/>
    <w:rsid w:val="00DC3903"/>
    <w:rsid w:val="00DC4035"/>
    <w:rsid w:val="00DC5A38"/>
    <w:rsid w:val="00DD6BA7"/>
    <w:rsid w:val="00DD79E5"/>
    <w:rsid w:val="00DE057F"/>
    <w:rsid w:val="00DE3738"/>
    <w:rsid w:val="00DE6158"/>
    <w:rsid w:val="00DF164F"/>
    <w:rsid w:val="00DF1989"/>
    <w:rsid w:val="00DF4455"/>
    <w:rsid w:val="00DF58FF"/>
    <w:rsid w:val="00DF63F7"/>
    <w:rsid w:val="00DF743D"/>
    <w:rsid w:val="00DF75D9"/>
    <w:rsid w:val="00E017E7"/>
    <w:rsid w:val="00E02346"/>
    <w:rsid w:val="00E02529"/>
    <w:rsid w:val="00E0370A"/>
    <w:rsid w:val="00E10F6F"/>
    <w:rsid w:val="00E12043"/>
    <w:rsid w:val="00E12DCE"/>
    <w:rsid w:val="00E13710"/>
    <w:rsid w:val="00E1399F"/>
    <w:rsid w:val="00E14685"/>
    <w:rsid w:val="00E30810"/>
    <w:rsid w:val="00E32A48"/>
    <w:rsid w:val="00E32FAC"/>
    <w:rsid w:val="00E34A0D"/>
    <w:rsid w:val="00E3748F"/>
    <w:rsid w:val="00E43DBD"/>
    <w:rsid w:val="00E43EDF"/>
    <w:rsid w:val="00E44BEE"/>
    <w:rsid w:val="00E45CDF"/>
    <w:rsid w:val="00E47966"/>
    <w:rsid w:val="00E509F8"/>
    <w:rsid w:val="00E52379"/>
    <w:rsid w:val="00E52957"/>
    <w:rsid w:val="00E60170"/>
    <w:rsid w:val="00E6096A"/>
    <w:rsid w:val="00E66D64"/>
    <w:rsid w:val="00E71E4E"/>
    <w:rsid w:val="00E7266F"/>
    <w:rsid w:val="00E74C25"/>
    <w:rsid w:val="00E76852"/>
    <w:rsid w:val="00E82930"/>
    <w:rsid w:val="00E83D6D"/>
    <w:rsid w:val="00E84C62"/>
    <w:rsid w:val="00E84FA4"/>
    <w:rsid w:val="00E87745"/>
    <w:rsid w:val="00E87A3F"/>
    <w:rsid w:val="00E904A2"/>
    <w:rsid w:val="00E912B3"/>
    <w:rsid w:val="00E91DBD"/>
    <w:rsid w:val="00E9253C"/>
    <w:rsid w:val="00E94665"/>
    <w:rsid w:val="00E947D3"/>
    <w:rsid w:val="00E96FBB"/>
    <w:rsid w:val="00E970CA"/>
    <w:rsid w:val="00EA3ED2"/>
    <w:rsid w:val="00EA4465"/>
    <w:rsid w:val="00EA4DD1"/>
    <w:rsid w:val="00EA6087"/>
    <w:rsid w:val="00EA6B5E"/>
    <w:rsid w:val="00EA75B1"/>
    <w:rsid w:val="00EB1080"/>
    <w:rsid w:val="00EB325F"/>
    <w:rsid w:val="00EB3708"/>
    <w:rsid w:val="00EB377B"/>
    <w:rsid w:val="00EB4A60"/>
    <w:rsid w:val="00EB57B1"/>
    <w:rsid w:val="00EC1AAC"/>
    <w:rsid w:val="00EC36A6"/>
    <w:rsid w:val="00EC4AC7"/>
    <w:rsid w:val="00EC6EFF"/>
    <w:rsid w:val="00ED0911"/>
    <w:rsid w:val="00ED515D"/>
    <w:rsid w:val="00ED672A"/>
    <w:rsid w:val="00ED708B"/>
    <w:rsid w:val="00ED73B4"/>
    <w:rsid w:val="00ED75D0"/>
    <w:rsid w:val="00EE5671"/>
    <w:rsid w:val="00EE6A9A"/>
    <w:rsid w:val="00EF0636"/>
    <w:rsid w:val="00EF1213"/>
    <w:rsid w:val="00EF18D8"/>
    <w:rsid w:val="00EF4AA8"/>
    <w:rsid w:val="00EF505D"/>
    <w:rsid w:val="00EF5D0D"/>
    <w:rsid w:val="00F01564"/>
    <w:rsid w:val="00F02805"/>
    <w:rsid w:val="00F0287D"/>
    <w:rsid w:val="00F02A38"/>
    <w:rsid w:val="00F04327"/>
    <w:rsid w:val="00F04499"/>
    <w:rsid w:val="00F0454B"/>
    <w:rsid w:val="00F0656C"/>
    <w:rsid w:val="00F11A42"/>
    <w:rsid w:val="00F13D37"/>
    <w:rsid w:val="00F17882"/>
    <w:rsid w:val="00F242A9"/>
    <w:rsid w:val="00F245E2"/>
    <w:rsid w:val="00F2468E"/>
    <w:rsid w:val="00F24EBC"/>
    <w:rsid w:val="00F26E76"/>
    <w:rsid w:val="00F27460"/>
    <w:rsid w:val="00F303D7"/>
    <w:rsid w:val="00F31C61"/>
    <w:rsid w:val="00F332B6"/>
    <w:rsid w:val="00F350C2"/>
    <w:rsid w:val="00F422F1"/>
    <w:rsid w:val="00F42557"/>
    <w:rsid w:val="00F428DB"/>
    <w:rsid w:val="00F4299E"/>
    <w:rsid w:val="00F45491"/>
    <w:rsid w:val="00F45EAD"/>
    <w:rsid w:val="00F52665"/>
    <w:rsid w:val="00F53098"/>
    <w:rsid w:val="00F5336E"/>
    <w:rsid w:val="00F5500C"/>
    <w:rsid w:val="00F62A13"/>
    <w:rsid w:val="00F633BC"/>
    <w:rsid w:val="00F639C8"/>
    <w:rsid w:val="00F63E47"/>
    <w:rsid w:val="00F64931"/>
    <w:rsid w:val="00F66FBA"/>
    <w:rsid w:val="00F67CFA"/>
    <w:rsid w:val="00F70FB1"/>
    <w:rsid w:val="00F7117D"/>
    <w:rsid w:val="00F725F5"/>
    <w:rsid w:val="00F73490"/>
    <w:rsid w:val="00F734AB"/>
    <w:rsid w:val="00F75740"/>
    <w:rsid w:val="00F80439"/>
    <w:rsid w:val="00F83C28"/>
    <w:rsid w:val="00F8637D"/>
    <w:rsid w:val="00F865ED"/>
    <w:rsid w:val="00F86B73"/>
    <w:rsid w:val="00F86C05"/>
    <w:rsid w:val="00F904AD"/>
    <w:rsid w:val="00F94878"/>
    <w:rsid w:val="00F96754"/>
    <w:rsid w:val="00FA04FA"/>
    <w:rsid w:val="00FA4B0E"/>
    <w:rsid w:val="00FA5629"/>
    <w:rsid w:val="00FB1ED9"/>
    <w:rsid w:val="00FB396D"/>
    <w:rsid w:val="00FB49ED"/>
    <w:rsid w:val="00FB4E10"/>
    <w:rsid w:val="00FC0D9A"/>
    <w:rsid w:val="00FC113C"/>
    <w:rsid w:val="00FC11D3"/>
    <w:rsid w:val="00FC135D"/>
    <w:rsid w:val="00FC4188"/>
    <w:rsid w:val="00FC76BA"/>
    <w:rsid w:val="00FC7A07"/>
    <w:rsid w:val="00FD0843"/>
    <w:rsid w:val="00FD32B2"/>
    <w:rsid w:val="00FD56D5"/>
    <w:rsid w:val="00FD5E08"/>
    <w:rsid w:val="00FD5EDE"/>
    <w:rsid w:val="00FD6099"/>
    <w:rsid w:val="00FE2A61"/>
    <w:rsid w:val="00FE2B54"/>
    <w:rsid w:val="00FE36C5"/>
    <w:rsid w:val="00FE72A4"/>
    <w:rsid w:val="00FF0A0B"/>
    <w:rsid w:val="00FF0AEE"/>
    <w:rsid w:val="00FF1CB3"/>
    <w:rsid w:val="00FF4167"/>
    <w:rsid w:val="00FF5E6F"/>
    <w:rsid w:val="00FF6DC4"/>
    <w:rsid w:val="00FF7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16F"/>
    <w:rPr>
      <w:sz w:val="20"/>
      <w:szCs w:val="20"/>
    </w:rPr>
  </w:style>
  <w:style w:type="character" w:styleId="FootnoteReference">
    <w:name w:val="footnote reference"/>
    <w:basedOn w:val="DefaultParagraphFont"/>
    <w:uiPriority w:val="99"/>
    <w:semiHidden/>
    <w:unhideWhenUsed/>
    <w:rsid w:val="00BE016F"/>
    <w:rPr>
      <w:vertAlign w:val="superscript"/>
    </w:rPr>
  </w:style>
  <w:style w:type="paragraph" w:styleId="NormalWeb">
    <w:name w:val="Normal (Web)"/>
    <w:basedOn w:val="Normal"/>
    <w:uiPriority w:val="99"/>
    <w:semiHidden/>
    <w:unhideWhenUsed/>
    <w:rsid w:val="00CE4B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E4BB6"/>
    <w:rPr>
      <w:i/>
      <w:iCs/>
    </w:rPr>
  </w:style>
  <w:style w:type="paragraph" w:styleId="BalloonText">
    <w:name w:val="Balloon Text"/>
    <w:basedOn w:val="Normal"/>
    <w:link w:val="BalloonTextChar"/>
    <w:uiPriority w:val="99"/>
    <w:semiHidden/>
    <w:unhideWhenUsed/>
    <w:rsid w:val="007A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9F"/>
    <w:rPr>
      <w:rFonts w:ascii="Tahoma" w:hAnsi="Tahoma" w:cs="Tahoma"/>
      <w:sz w:val="16"/>
      <w:szCs w:val="16"/>
    </w:rPr>
  </w:style>
  <w:style w:type="paragraph" w:customStyle="1" w:styleId="Default">
    <w:name w:val="Default"/>
    <w:rsid w:val="007A0D9F"/>
    <w:pPr>
      <w:autoSpaceDE w:val="0"/>
      <w:autoSpaceDN w:val="0"/>
      <w:adjustRightInd w:val="0"/>
      <w:spacing w:after="0" w:line="240" w:lineRule="auto"/>
    </w:pPr>
    <w:rPr>
      <w:rFonts w:ascii="Calibri" w:hAnsi="Calibri" w:cs="Calibri"/>
      <w:color w:val="000000"/>
      <w:sz w:val="24"/>
      <w:szCs w:val="24"/>
    </w:rPr>
  </w:style>
  <w:style w:type="character" w:customStyle="1" w:styleId="CharSectno">
    <w:name w:val="CharSectno"/>
    <w:basedOn w:val="DefaultParagraphFont"/>
    <w:qFormat/>
    <w:rsid w:val="00336BB8"/>
  </w:style>
  <w:style w:type="paragraph" w:customStyle="1" w:styleId="paragraph">
    <w:name w:val="paragraph"/>
    <w:aliases w:val="a"/>
    <w:basedOn w:val="Normal"/>
    <w:link w:val="paragraphChar"/>
    <w:rsid w:val="00336BB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336BB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336B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336BB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
    <w:name w:val="ActHead 5"/>
    <w:aliases w:val="s"/>
    <w:basedOn w:val="Normal"/>
    <w:next w:val="subsection"/>
    <w:qFormat/>
    <w:rsid w:val="00336BB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336BB8"/>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336BB8"/>
    <w:rPr>
      <w:rFonts w:ascii="Times New Roman" w:eastAsia="Times New Roman" w:hAnsi="Times New Roman" w:cs="Times New Roman"/>
      <w:szCs w:val="20"/>
      <w:lang w:eastAsia="en-AU"/>
    </w:rPr>
  </w:style>
  <w:style w:type="character" w:customStyle="1" w:styleId="CharSubdText">
    <w:name w:val="CharSubdText"/>
    <w:basedOn w:val="DefaultParagraphFont"/>
    <w:uiPriority w:val="1"/>
    <w:qFormat/>
    <w:rsid w:val="00785704"/>
  </w:style>
  <w:style w:type="paragraph" w:customStyle="1" w:styleId="Brief-BULLET">
    <w:name w:val="Brief - BULLET"/>
    <w:basedOn w:val="Normal"/>
    <w:rsid w:val="00B74FE3"/>
    <w:pPr>
      <w:numPr>
        <w:numId w:val="1"/>
      </w:numPr>
      <w:spacing w:after="0" w:line="240" w:lineRule="auto"/>
    </w:pPr>
    <w:rPr>
      <w:rFonts w:ascii="Calibri" w:eastAsia="Times New Roman" w:hAnsi="Calibri" w:cs="Times New Roman"/>
      <w:sz w:val="24"/>
      <w:szCs w:val="24"/>
      <w:lang w:eastAsia="en-AU"/>
    </w:rPr>
  </w:style>
  <w:style w:type="character" w:styleId="Hyperlink">
    <w:name w:val="Hyperlink"/>
    <w:basedOn w:val="DefaultParagraphFont"/>
    <w:unhideWhenUsed/>
    <w:rsid w:val="008663FD"/>
    <w:rPr>
      <w:color w:val="0000FF" w:themeColor="hyperlink"/>
      <w:u w:val="single"/>
    </w:rPr>
  </w:style>
  <w:style w:type="paragraph" w:styleId="ListParagraph">
    <w:name w:val="List Paragraph"/>
    <w:basedOn w:val="Normal"/>
    <w:uiPriority w:val="34"/>
    <w:qFormat/>
    <w:rsid w:val="00A95542"/>
    <w:pPr>
      <w:ind w:left="720"/>
      <w:contextualSpacing/>
    </w:pPr>
  </w:style>
  <w:style w:type="paragraph" w:customStyle="1" w:styleId="Pa1">
    <w:name w:val="Pa1"/>
    <w:basedOn w:val="Default"/>
    <w:next w:val="Default"/>
    <w:uiPriority w:val="99"/>
    <w:rsid w:val="00E30810"/>
    <w:pPr>
      <w:spacing w:line="241" w:lineRule="atLeast"/>
    </w:pPr>
    <w:rPr>
      <w:rFonts w:ascii="GoodDog" w:hAnsi="GoodDog" w:cstheme="minorBidi"/>
      <w:color w:val="auto"/>
    </w:rPr>
  </w:style>
  <w:style w:type="character" w:customStyle="1" w:styleId="A2">
    <w:name w:val="A2"/>
    <w:uiPriority w:val="99"/>
    <w:rsid w:val="00E30810"/>
    <w:rPr>
      <w:rFonts w:cs="GoodDog"/>
      <w:color w:val="000000"/>
      <w:sz w:val="84"/>
      <w:szCs w:val="84"/>
    </w:rPr>
  </w:style>
  <w:style w:type="character" w:customStyle="1" w:styleId="A3">
    <w:name w:val="A3"/>
    <w:uiPriority w:val="99"/>
    <w:rsid w:val="00E30810"/>
    <w:rPr>
      <w:rFonts w:ascii="Memphis Medium" w:hAnsi="Memphis Medium" w:cs="Memphis Medium"/>
      <w:b/>
      <w:bCs/>
      <w:color w:val="000000"/>
      <w:sz w:val="34"/>
      <w:szCs w:val="34"/>
    </w:rPr>
  </w:style>
  <w:style w:type="character" w:customStyle="1" w:styleId="A1">
    <w:name w:val="A1"/>
    <w:uiPriority w:val="99"/>
    <w:rsid w:val="00E30810"/>
    <w:rPr>
      <w:rFonts w:cs="Memphis Medium"/>
      <w:b/>
      <w:bCs/>
      <w:color w:val="000000"/>
      <w:sz w:val="26"/>
      <w:szCs w:val="26"/>
    </w:rPr>
  </w:style>
  <w:style w:type="paragraph" w:styleId="PlainText">
    <w:name w:val="Plain Text"/>
    <w:basedOn w:val="Normal"/>
    <w:link w:val="PlainTextChar"/>
    <w:uiPriority w:val="99"/>
    <w:semiHidden/>
    <w:unhideWhenUsed/>
    <w:rsid w:val="00E3081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30810"/>
    <w:rPr>
      <w:rFonts w:ascii="Calibri" w:hAnsi="Calibri" w:cs="Consolas"/>
      <w:szCs w:val="21"/>
    </w:rPr>
  </w:style>
  <w:style w:type="character" w:customStyle="1" w:styleId="slug-vol">
    <w:name w:val="slug-vol"/>
    <w:basedOn w:val="DefaultParagraphFont"/>
    <w:rsid w:val="0049013E"/>
  </w:style>
  <w:style w:type="character" w:customStyle="1" w:styleId="slug-issue">
    <w:name w:val="slug-issue"/>
    <w:basedOn w:val="DefaultParagraphFont"/>
    <w:rsid w:val="0049013E"/>
  </w:style>
  <w:style w:type="character" w:customStyle="1" w:styleId="slug-pages5">
    <w:name w:val="slug-pages5"/>
    <w:basedOn w:val="DefaultParagraphFont"/>
    <w:rsid w:val="008F2577"/>
    <w:rPr>
      <w:b w:val="0"/>
      <w:bCs w:val="0"/>
    </w:rPr>
  </w:style>
  <w:style w:type="paragraph" w:customStyle="1" w:styleId="portfolio-name1">
    <w:name w:val="portfolio-name1"/>
    <w:basedOn w:val="Normal"/>
    <w:rsid w:val="00022151"/>
    <w:pPr>
      <w:spacing w:before="480" w:after="0" w:line="336" w:lineRule="atLeast"/>
      <w:jc w:val="both"/>
    </w:pPr>
    <w:rPr>
      <w:rFonts w:ascii="Times New Roman" w:eastAsia="Times New Roman" w:hAnsi="Times New Roman" w:cs="Times New Roman"/>
      <w:b/>
      <w:bCs/>
      <w:color w:val="1373C4"/>
      <w:sz w:val="29"/>
      <w:szCs w:val="29"/>
      <w:lang w:eastAsia="en-AU"/>
    </w:rPr>
  </w:style>
  <w:style w:type="paragraph" w:customStyle="1" w:styleId="Bulletform">
    <w:name w:val="Bullet form"/>
    <w:basedOn w:val="Normal"/>
    <w:rsid w:val="00FB4E10"/>
    <w:pPr>
      <w:numPr>
        <w:numId w:val="2"/>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Header">
    <w:name w:val="header"/>
    <w:basedOn w:val="Normal"/>
    <w:link w:val="HeaderChar"/>
    <w:uiPriority w:val="99"/>
    <w:unhideWhenUsed/>
    <w:rsid w:val="00BF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93"/>
  </w:style>
  <w:style w:type="paragraph" w:styleId="Footer">
    <w:name w:val="footer"/>
    <w:basedOn w:val="Normal"/>
    <w:link w:val="FooterChar"/>
    <w:uiPriority w:val="99"/>
    <w:unhideWhenUsed/>
    <w:rsid w:val="00BF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93"/>
  </w:style>
  <w:style w:type="paragraph" w:customStyle="1" w:styleId="FooterRight">
    <w:name w:val="Footer Right"/>
    <w:basedOn w:val="Footer"/>
    <w:uiPriority w:val="35"/>
    <w:qFormat/>
    <w:rsid w:val="00BF6793"/>
    <w:pPr>
      <w:pBdr>
        <w:top w:val="dashed" w:sz="4" w:space="18" w:color="7F7F7F"/>
      </w:pBdr>
      <w:tabs>
        <w:tab w:val="clear" w:pos="4513"/>
        <w:tab w:val="clear" w:pos="9026"/>
        <w:tab w:val="center" w:pos="4320"/>
        <w:tab w:val="right" w:pos="8640"/>
      </w:tabs>
      <w:spacing w:after="200"/>
      <w:contextualSpacing/>
      <w:jc w:val="right"/>
    </w:pPr>
    <w:rPr>
      <w:rFonts w:cs="Times New Roman"/>
      <w:color w:val="7F7F7F" w:themeColor="text1" w:themeTint="80"/>
      <w:sz w:val="20"/>
      <w:szCs w:val="18"/>
      <w:lang w:val="en-US" w:eastAsia="ja-JP"/>
    </w:rPr>
  </w:style>
  <w:style w:type="paragraph" w:customStyle="1" w:styleId="FooterEven">
    <w:name w:val="Footer Even"/>
    <w:basedOn w:val="Normal"/>
    <w:qFormat/>
    <w:rsid w:val="0037576B"/>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customStyle="1" w:styleId="FooterOdd">
    <w:name w:val="Footer Odd"/>
    <w:basedOn w:val="Normal"/>
    <w:qFormat/>
    <w:rsid w:val="0037576B"/>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16F"/>
    <w:rPr>
      <w:sz w:val="20"/>
      <w:szCs w:val="20"/>
    </w:rPr>
  </w:style>
  <w:style w:type="character" w:styleId="FootnoteReference">
    <w:name w:val="footnote reference"/>
    <w:basedOn w:val="DefaultParagraphFont"/>
    <w:uiPriority w:val="99"/>
    <w:semiHidden/>
    <w:unhideWhenUsed/>
    <w:rsid w:val="00BE016F"/>
    <w:rPr>
      <w:vertAlign w:val="superscript"/>
    </w:rPr>
  </w:style>
  <w:style w:type="paragraph" w:styleId="NormalWeb">
    <w:name w:val="Normal (Web)"/>
    <w:basedOn w:val="Normal"/>
    <w:uiPriority w:val="99"/>
    <w:semiHidden/>
    <w:unhideWhenUsed/>
    <w:rsid w:val="00CE4B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E4BB6"/>
    <w:rPr>
      <w:i/>
      <w:iCs/>
    </w:rPr>
  </w:style>
  <w:style w:type="paragraph" w:styleId="BalloonText">
    <w:name w:val="Balloon Text"/>
    <w:basedOn w:val="Normal"/>
    <w:link w:val="BalloonTextChar"/>
    <w:uiPriority w:val="99"/>
    <w:semiHidden/>
    <w:unhideWhenUsed/>
    <w:rsid w:val="007A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9F"/>
    <w:rPr>
      <w:rFonts w:ascii="Tahoma" w:hAnsi="Tahoma" w:cs="Tahoma"/>
      <w:sz w:val="16"/>
      <w:szCs w:val="16"/>
    </w:rPr>
  </w:style>
  <w:style w:type="paragraph" w:customStyle="1" w:styleId="Default">
    <w:name w:val="Default"/>
    <w:rsid w:val="007A0D9F"/>
    <w:pPr>
      <w:autoSpaceDE w:val="0"/>
      <w:autoSpaceDN w:val="0"/>
      <w:adjustRightInd w:val="0"/>
      <w:spacing w:after="0" w:line="240" w:lineRule="auto"/>
    </w:pPr>
    <w:rPr>
      <w:rFonts w:ascii="Calibri" w:hAnsi="Calibri" w:cs="Calibri"/>
      <w:color w:val="000000"/>
      <w:sz w:val="24"/>
      <w:szCs w:val="24"/>
    </w:rPr>
  </w:style>
  <w:style w:type="character" w:customStyle="1" w:styleId="CharSectno">
    <w:name w:val="CharSectno"/>
    <w:basedOn w:val="DefaultParagraphFont"/>
    <w:qFormat/>
    <w:rsid w:val="00336BB8"/>
  </w:style>
  <w:style w:type="paragraph" w:customStyle="1" w:styleId="paragraph">
    <w:name w:val="paragraph"/>
    <w:aliases w:val="a"/>
    <w:basedOn w:val="Normal"/>
    <w:link w:val="paragraphChar"/>
    <w:rsid w:val="00336BB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336BB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336B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336BB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
    <w:name w:val="ActHead 5"/>
    <w:aliases w:val="s"/>
    <w:basedOn w:val="Normal"/>
    <w:next w:val="subsection"/>
    <w:qFormat/>
    <w:rsid w:val="00336BB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336BB8"/>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336BB8"/>
    <w:rPr>
      <w:rFonts w:ascii="Times New Roman" w:eastAsia="Times New Roman" w:hAnsi="Times New Roman" w:cs="Times New Roman"/>
      <w:szCs w:val="20"/>
      <w:lang w:eastAsia="en-AU"/>
    </w:rPr>
  </w:style>
  <w:style w:type="character" w:customStyle="1" w:styleId="CharSubdText">
    <w:name w:val="CharSubdText"/>
    <w:basedOn w:val="DefaultParagraphFont"/>
    <w:uiPriority w:val="1"/>
    <w:qFormat/>
    <w:rsid w:val="00785704"/>
  </w:style>
  <w:style w:type="paragraph" w:customStyle="1" w:styleId="Brief-BULLET">
    <w:name w:val="Brief - BULLET"/>
    <w:basedOn w:val="Normal"/>
    <w:rsid w:val="00B74FE3"/>
    <w:pPr>
      <w:numPr>
        <w:numId w:val="1"/>
      </w:numPr>
      <w:spacing w:after="0" w:line="240" w:lineRule="auto"/>
    </w:pPr>
    <w:rPr>
      <w:rFonts w:ascii="Calibri" w:eastAsia="Times New Roman" w:hAnsi="Calibri" w:cs="Times New Roman"/>
      <w:sz w:val="24"/>
      <w:szCs w:val="24"/>
      <w:lang w:eastAsia="en-AU"/>
    </w:rPr>
  </w:style>
  <w:style w:type="character" w:styleId="Hyperlink">
    <w:name w:val="Hyperlink"/>
    <w:basedOn w:val="DefaultParagraphFont"/>
    <w:unhideWhenUsed/>
    <w:rsid w:val="008663FD"/>
    <w:rPr>
      <w:color w:val="0000FF" w:themeColor="hyperlink"/>
      <w:u w:val="single"/>
    </w:rPr>
  </w:style>
  <w:style w:type="paragraph" w:styleId="ListParagraph">
    <w:name w:val="List Paragraph"/>
    <w:basedOn w:val="Normal"/>
    <w:uiPriority w:val="34"/>
    <w:qFormat/>
    <w:rsid w:val="00A95542"/>
    <w:pPr>
      <w:ind w:left="720"/>
      <w:contextualSpacing/>
    </w:pPr>
  </w:style>
  <w:style w:type="paragraph" w:customStyle="1" w:styleId="Pa1">
    <w:name w:val="Pa1"/>
    <w:basedOn w:val="Default"/>
    <w:next w:val="Default"/>
    <w:uiPriority w:val="99"/>
    <w:rsid w:val="00E30810"/>
    <w:pPr>
      <w:spacing w:line="241" w:lineRule="atLeast"/>
    </w:pPr>
    <w:rPr>
      <w:rFonts w:ascii="GoodDog" w:hAnsi="GoodDog" w:cstheme="minorBidi"/>
      <w:color w:val="auto"/>
    </w:rPr>
  </w:style>
  <w:style w:type="character" w:customStyle="1" w:styleId="A2">
    <w:name w:val="A2"/>
    <w:uiPriority w:val="99"/>
    <w:rsid w:val="00E30810"/>
    <w:rPr>
      <w:rFonts w:cs="GoodDog"/>
      <w:color w:val="000000"/>
      <w:sz w:val="84"/>
      <w:szCs w:val="84"/>
    </w:rPr>
  </w:style>
  <w:style w:type="character" w:customStyle="1" w:styleId="A3">
    <w:name w:val="A3"/>
    <w:uiPriority w:val="99"/>
    <w:rsid w:val="00E30810"/>
    <w:rPr>
      <w:rFonts w:ascii="Memphis Medium" w:hAnsi="Memphis Medium" w:cs="Memphis Medium"/>
      <w:b/>
      <w:bCs/>
      <w:color w:val="000000"/>
      <w:sz w:val="34"/>
      <w:szCs w:val="34"/>
    </w:rPr>
  </w:style>
  <w:style w:type="character" w:customStyle="1" w:styleId="A1">
    <w:name w:val="A1"/>
    <w:uiPriority w:val="99"/>
    <w:rsid w:val="00E30810"/>
    <w:rPr>
      <w:rFonts w:cs="Memphis Medium"/>
      <w:b/>
      <w:bCs/>
      <w:color w:val="000000"/>
      <w:sz w:val="26"/>
      <w:szCs w:val="26"/>
    </w:rPr>
  </w:style>
  <w:style w:type="paragraph" w:styleId="PlainText">
    <w:name w:val="Plain Text"/>
    <w:basedOn w:val="Normal"/>
    <w:link w:val="PlainTextChar"/>
    <w:uiPriority w:val="99"/>
    <w:semiHidden/>
    <w:unhideWhenUsed/>
    <w:rsid w:val="00E3081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30810"/>
    <w:rPr>
      <w:rFonts w:ascii="Calibri" w:hAnsi="Calibri" w:cs="Consolas"/>
      <w:szCs w:val="21"/>
    </w:rPr>
  </w:style>
  <w:style w:type="character" w:customStyle="1" w:styleId="slug-vol">
    <w:name w:val="slug-vol"/>
    <w:basedOn w:val="DefaultParagraphFont"/>
    <w:rsid w:val="0049013E"/>
  </w:style>
  <w:style w:type="character" w:customStyle="1" w:styleId="slug-issue">
    <w:name w:val="slug-issue"/>
    <w:basedOn w:val="DefaultParagraphFont"/>
    <w:rsid w:val="0049013E"/>
  </w:style>
  <w:style w:type="character" w:customStyle="1" w:styleId="slug-pages5">
    <w:name w:val="slug-pages5"/>
    <w:basedOn w:val="DefaultParagraphFont"/>
    <w:rsid w:val="008F2577"/>
    <w:rPr>
      <w:b w:val="0"/>
      <w:bCs w:val="0"/>
    </w:rPr>
  </w:style>
  <w:style w:type="paragraph" w:customStyle="1" w:styleId="portfolio-name1">
    <w:name w:val="portfolio-name1"/>
    <w:basedOn w:val="Normal"/>
    <w:rsid w:val="00022151"/>
    <w:pPr>
      <w:spacing w:before="480" w:after="0" w:line="336" w:lineRule="atLeast"/>
      <w:jc w:val="both"/>
    </w:pPr>
    <w:rPr>
      <w:rFonts w:ascii="Times New Roman" w:eastAsia="Times New Roman" w:hAnsi="Times New Roman" w:cs="Times New Roman"/>
      <w:b/>
      <w:bCs/>
      <w:color w:val="1373C4"/>
      <w:sz w:val="29"/>
      <w:szCs w:val="29"/>
      <w:lang w:eastAsia="en-AU"/>
    </w:rPr>
  </w:style>
  <w:style w:type="paragraph" w:customStyle="1" w:styleId="Bulletform">
    <w:name w:val="Bullet form"/>
    <w:basedOn w:val="Normal"/>
    <w:rsid w:val="00FB4E10"/>
    <w:pPr>
      <w:numPr>
        <w:numId w:val="2"/>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Header">
    <w:name w:val="header"/>
    <w:basedOn w:val="Normal"/>
    <w:link w:val="HeaderChar"/>
    <w:uiPriority w:val="99"/>
    <w:unhideWhenUsed/>
    <w:rsid w:val="00BF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93"/>
  </w:style>
  <w:style w:type="paragraph" w:styleId="Footer">
    <w:name w:val="footer"/>
    <w:basedOn w:val="Normal"/>
    <w:link w:val="FooterChar"/>
    <w:uiPriority w:val="99"/>
    <w:unhideWhenUsed/>
    <w:rsid w:val="00BF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93"/>
  </w:style>
  <w:style w:type="paragraph" w:customStyle="1" w:styleId="FooterRight">
    <w:name w:val="Footer Right"/>
    <w:basedOn w:val="Footer"/>
    <w:uiPriority w:val="35"/>
    <w:qFormat/>
    <w:rsid w:val="00BF6793"/>
    <w:pPr>
      <w:pBdr>
        <w:top w:val="dashed" w:sz="4" w:space="18" w:color="7F7F7F"/>
      </w:pBdr>
      <w:tabs>
        <w:tab w:val="clear" w:pos="4513"/>
        <w:tab w:val="clear" w:pos="9026"/>
        <w:tab w:val="center" w:pos="4320"/>
        <w:tab w:val="right" w:pos="8640"/>
      </w:tabs>
      <w:spacing w:after="200"/>
      <w:contextualSpacing/>
      <w:jc w:val="right"/>
    </w:pPr>
    <w:rPr>
      <w:rFonts w:cs="Times New Roman"/>
      <w:color w:val="7F7F7F" w:themeColor="text1" w:themeTint="80"/>
      <w:sz w:val="20"/>
      <w:szCs w:val="18"/>
      <w:lang w:val="en-US" w:eastAsia="ja-JP"/>
    </w:rPr>
  </w:style>
  <w:style w:type="paragraph" w:customStyle="1" w:styleId="FooterEven">
    <w:name w:val="Footer Even"/>
    <w:basedOn w:val="Normal"/>
    <w:qFormat/>
    <w:rsid w:val="0037576B"/>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customStyle="1" w:styleId="FooterOdd">
    <w:name w:val="Footer Odd"/>
    <w:basedOn w:val="Normal"/>
    <w:qFormat/>
    <w:rsid w:val="0037576B"/>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981265">
      <w:bodyDiv w:val="1"/>
      <w:marLeft w:val="0"/>
      <w:marRight w:val="0"/>
      <w:marTop w:val="0"/>
      <w:marBottom w:val="0"/>
      <w:divBdr>
        <w:top w:val="none" w:sz="0" w:space="0" w:color="auto"/>
        <w:left w:val="none" w:sz="0" w:space="0" w:color="auto"/>
        <w:bottom w:val="none" w:sz="0" w:space="0" w:color="auto"/>
        <w:right w:val="none" w:sz="0" w:space="0" w:color="auto"/>
      </w:divBdr>
      <w:divsChild>
        <w:div w:id="1372654808">
          <w:marLeft w:val="0"/>
          <w:marRight w:val="0"/>
          <w:marTop w:val="0"/>
          <w:marBottom w:val="0"/>
          <w:divBdr>
            <w:top w:val="none" w:sz="0" w:space="0" w:color="auto"/>
            <w:left w:val="none" w:sz="0" w:space="0" w:color="auto"/>
            <w:bottom w:val="none" w:sz="0" w:space="0" w:color="auto"/>
            <w:right w:val="none" w:sz="0" w:space="0" w:color="auto"/>
          </w:divBdr>
          <w:divsChild>
            <w:div w:id="444813376">
              <w:marLeft w:val="0"/>
              <w:marRight w:val="0"/>
              <w:marTop w:val="0"/>
              <w:marBottom w:val="0"/>
              <w:divBdr>
                <w:top w:val="none" w:sz="0" w:space="0" w:color="auto"/>
                <w:left w:val="none" w:sz="0" w:space="0" w:color="auto"/>
                <w:bottom w:val="none" w:sz="0" w:space="0" w:color="auto"/>
                <w:right w:val="none" w:sz="0" w:space="0" w:color="auto"/>
              </w:divBdr>
              <w:divsChild>
                <w:div w:id="1231621985">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96981563">
      <w:bodyDiv w:val="1"/>
      <w:marLeft w:val="0"/>
      <w:marRight w:val="0"/>
      <w:marTop w:val="0"/>
      <w:marBottom w:val="0"/>
      <w:divBdr>
        <w:top w:val="none" w:sz="0" w:space="0" w:color="auto"/>
        <w:left w:val="none" w:sz="0" w:space="0" w:color="auto"/>
        <w:bottom w:val="none" w:sz="0" w:space="0" w:color="auto"/>
        <w:right w:val="none" w:sz="0" w:space="0" w:color="auto"/>
      </w:divBdr>
      <w:divsChild>
        <w:div w:id="2002076885">
          <w:marLeft w:val="0"/>
          <w:marRight w:val="0"/>
          <w:marTop w:val="0"/>
          <w:marBottom w:val="0"/>
          <w:divBdr>
            <w:top w:val="none" w:sz="0" w:space="0" w:color="auto"/>
            <w:left w:val="none" w:sz="0" w:space="0" w:color="auto"/>
            <w:bottom w:val="none" w:sz="0" w:space="0" w:color="auto"/>
            <w:right w:val="none" w:sz="0" w:space="0" w:color="auto"/>
          </w:divBdr>
          <w:divsChild>
            <w:div w:id="858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fk.on.ca/PDFs/Research_Ken/ReversingBrainDrain.pdf" TargetMode="External"/><Relationship Id="rId18" Type="http://schemas.openxmlformats.org/officeDocument/2006/relationships/hyperlink" Target="http://insights.unimelb.edu.au/vol10/03_Hill_Borland.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iencemag.org/content/333/6045/982.abstract" TargetMode="External"/><Relationship Id="rId7" Type="http://schemas.openxmlformats.org/officeDocument/2006/relationships/footnotes" Target="footnotes.xml"/><Relationship Id="rId12" Type="http://schemas.openxmlformats.org/officeDocument/2006/relationships/hyperlink" Target="http://www.budget.gov.au/2009-10/content/bp2/html/bp2_expense-13.htm" TargetMode="External"/><Relationship Id="rId17" Type="http://schemas.openxmlformats.org/officeDocument/2006/relationships/hyperlink" Target="http://jenni.uchicago.edu/human-inequality/papers/Heckman_final_all_wp_2007-03-22c_jsb.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education.gov.au/system/files/doc/other/a_guide_to_special_child_care_benefit.pdf" TargetMode="External"/><Relationship Id="rId20" Type="http://schemas.openxmlformats.org/officeDocument/2006/relationships/hyperlink" Target="http://www.developingchild.harvard.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iatrics.aappublications.org/content/129/1/e224.full.pdf+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developingchild.harvard.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0.emf"/><Relationship Id="rId19" Type="http://schemas.openxmlformats.org/officeDocument/2006/relationships/hyperlink" Target="http://www.developingchild.harvard.ed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dss.gov.au/sites/default/files/documents/05_2013/nfpac_ar_final_v4.pdf" TargetMode="External"/><Relationship Id="rId22" Type="http://schemas.openxmlformats.org/officeDocument/2006/relationships/hyperlink" Target="http://www.stanford.edu/group/scspi/_media/pdf/pathways/winter_2011/PathwaysWinter11_Shonkoff.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5051-03F1-449F-A2BF-104C2E84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4364</Words>
  <Characters>24964</Characters>
  <Application>Microsoft Office Word</Application>
  <DocSecurity>0</DocSecurity>
  <Lines>409</Lines>
  <Paragraphs>129</Paragraphs>
  <ScaleCrop>false</ScaleCrop>
  <HeadingPairs>
    <vt:vector size="2" baseType="variant">
      <vt:variant>
        <vt:lpstr>Title</vt:lpstr>
      </vt:variant>
      <vt:variant>
        <vt:i4>1</vt:i4>
      </vt:variant>
    </vt:vector>
  </HeadingPairs>
  <TitlesOfParts>
    <vt:vector size="1" baseType="lpstr">
      <vt:lpstr>Submission 47 - Antipodean Family Foundation - Childcare and Early Childhood Learning - Public inquiry</vt:lpstr>
    </vt:vector>
  </TitlesOfParts>
  <Company>Antipodean Family Foundation</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Antipodean Family Foundation - Childcare and Early Childhood Learning - Public inquiry</dc:title>
  <dc:creator>Antipodean Family Foundation</dc:creator>
  <cp:lastModifiedBy>Productivity Commission</cp:lastModifiedBy>
  <cp:revision>2</cp:revision>
  <cp:lastPrinted>2014-01-26T03:17:00Z</cp:lastPrinted>
  <dcterms:created xsi:type="dcterms:W3CDTF">2014-01-29T00:38:00Z</dcterms:created>
  <dcterms:modified xsi:type="dcterms:W3CDTF">2014-01-29T00:38:00Z</dcterms:modified>
</cp:coreProperties>
</file>