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CE" w:rsidRDefault="007E0725" w:rsidP="007E0725">
      <w:pPr>
        <w:jc w:val="right"/>
        <w:rPr>
          <w:b/>
        </w:rPr>
      </w:pPr>
      <w:bookmarkStart w:id="0" w:name="_Toc350522574"/>
      <w:bookmarkStart w:id="1" w:name="_Toc350522609"/>
      <w:r>
        <w:rPr>
          <w:b/>
          <w:noProof/>
          <w:lang w:eastAsia="en-AU"/>
        </w:rPr>
        <w:drawing>
          <wp:inline distT="0" distB="0" distL="0" distR="0" wp14:anchorId="56162025" wp14:editId="29DC12EB">
            <wp:extent cx="1316736"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logo_Horizontal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736" cy="381000"/>
                    </a:xfrm>
                    <a:prstGeom prst="rect">
                      <a:avLst/>
                    </a:prstGeom>
                  </pic:spPr>
                </pic:pic>
              </a:graphicData>
            </a:graphic>
          </wp:inline>
        </w:drawing>
      </w:r>
    </w:p>
    <w:p w:rsidR="00E630CE" w:rsidRDefault="00E630CE" w:rsidP="00E630CE"/>
    <w:p w:rsidR="00E630CE" w:rsidRDefault="00E630CE" w:rsidP="00E630CE"/>
    <w:p w:rsidR="00E630CE" w:rsidRDefault="00E630CE" w:rsidP="00E630CE"/>
    <w:p w:rsidR="00E630CE" w:rsidRDefault="00E630CE" w:rsidP="00E630CE"/>
    <w:p w:rsidR="00E630CE" w:rsidRDefault="00E630CE" w:rsidP="00E630CE"/>
    <w:p w:rsidR="00E630CE" w:rsidRDefault="00E630CE" w:rsidP="00E630CE"/>
    <w:p w:rsidR="00E630CE" w:rsidRDefault="00E630CE" w:rsidP="00E630CE"/>
    <w:p w:rsidR="00E630CE" w:rsidRDefault="00E630CE" w:rsidP="00E630CE"/>
    <w:p w:rsidR="00E630CE" w:rsidRDefault="00E630CE" w:rsidP="00E630CE"/>
    <w:p w:rsidR="007E0725" w:rsidRDefault="007E0725" w:rsidP="00E630CE"/>
    <w:p w:rsidR="00E630CE" w:rsidRDefault="00E630CE" w:rsidP="00E630CE"/>
    <w:p w:rsidR="00E630CE" w:rsidRDefault="00E630CE" w:rsidP="00E630CE"/>
    <w:p w:rsidR="00E630CE" w:rsidRDefault="00E630CE" w:rsidP="00E630CE"/>
    <w:p w:rsidR="00E630CE" w:rsidRDefault="00E630CE" w:rsidP="00E630CE"/>
    <w:p w:rsidR="00E630CE" w:rsidRPr="00C57956" w:rsidRDefault="00304C4E" w:rsidP="00E630CE">
      <w:pPr>
        <w:pStyle w:val="Title"/>
        <w:rPr>
          <w:color w:val="31849B"/>
        </w:rPr>
      </w:pPr>
      <w:r>
        <w:rPr>
          <w:color w:val="31849B"/>
        </w:rPr>
        <w:t xml:space="preserve">Productivity Commission: </w:t>
      </w:r>
      <w:r w:rsidRPr="00304C4E">
        <w:rPr>
          <w:color w:val="31849B"/>
        </w:rPr>
        <w:t xml:space="preserve">Childcare and </w:t>
      </w:r>
      <w:r w:rsidR="007F5BE0">
        <w:rPr>
          <w:color w:val="31849B"/>
        </w:rPr>
        <w:t xml:space="preserve">   </w:t>
      </w:r>
      <w:r w:rsidRPr="00304C4E">
        <w:rPr>
          <w:color w:val="31849B"/>
        </w:rPr>
        <w:t>Early Childhood Learning</w:t>
      </w:r>
      <w:r>
        <w:rPr>
          <w:color w:val="31849B"/>
        </w:rPr>
        <w:t xml:space="preserve"> </w:t>
      </w:r>
    </w:p>
    <w:p w:rsidR="00E630CE" w:rsidRPr="00E630CE" w:rsidRDefault="00304C4E" w:rsidP="00E630CE">
      <w:pPr>
        <w:rPr>
          <w:color w:val="808080" w:themeColor="background1" w:themeShade="80"/>
          <w:sz w:val="36"/>
          <w:szCs w:val="36"/>
        </w:rPr>
      </w:pPr>
      <w:r>
        <w:rPr>
          <w:color w:val="808080" w:themeColor="background1" w:themeShade="80"/>
          <w:sz w:val="36"/>
          <w:szCs w:val="36"/>
        </w:rPr>
        <w:t>February 2014</w:t>
      </w:r>
    </w:p>
    <w:p w:rsidR="00E630CE" w:rsidRDefault="00E630CE" w:rsidP="00E630CE"/>
    <w:p w:rsidR="00E630CE" w:rsidRDefault="00E630CE" w:rsidP="00E630CE"/>
    <w:p w:rsidR="00E630CE" w:rsidRDefault="00E630CE" w:rsidP="00E630CE"/>
    <w:p w:rsidR="00E630CE" w:rsidRDefault="00E630CE" w:rsidP="00E630CE"/>
    <w:p w:rsidR="00E630CE" w:rsidRDefault="00E630CE" w:rsidP="00E630CE"/>
    <w:p w:rsidR="00E630CE" w:rsidRDefault="00E630CE" w:rsidP="00E630CE"/>
    <w:p w:rsidR="00625073" w:rsidRDefault="00625073" w:rsidP="00E630CE"/>
    <w:p w:rsidR="00E630CE" w:rsidRDefault="00E630CE" w:rsidP="00E630CE"/>
    <w:p w:rsidR="00E630CE" w:rsidRDefault="00E630CE" w:rsidP="00E630CE"/>
    <w:p w:rsidR="00E630CE" w:rsidRDefault="00E630CE" w:rsidP="00E630CE"/>
    <w:p w:rsidR="00E630CE" w:rsidRDefault="00E630CE" w:rsidP="00E630CE"/>
    <w:p w:rsidR="00625073" w:rsidRDefault="00625073" w:rsidP="00E630CE"/>
    <w:p w:rsidR="00625073" w:rsidRDefault="00625073" w:rsidP="00E630CE"/>
    <w:p w:rsidR="00625073" w:rsidRDefault="00625073" w:rsidP="00E630CE"/>
    <w:p w:rsidR="00625073" w:rsidRDefault="00625073" w:rsidP="00E630CE"/>
    <w:p w:rsidR="00625073" w:rsidRDefault="00625073" w:rsidP="00E630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8"/>
      </w:tblGrid>
      <w:tr w:rsidR="00E5398F" w:rsidTr="00E5398F">
        <w:trPr>
          <w:trHeight w:val="2192"/>
        </w:trPr>
        <w:tc>
          <w:tcPr>
            <w:tcW w:w="5495" w:type="dxa"/>
          </w:tcPr>
          <w:p w:rsidR="00E5398F" w:rsidRPr="00B40EC4" w:rsidRDefault="00E5398F" w:rsidP="00E5398F">
            <w:pPr>
              <w:pStyle w:val="PreparedFor"/>
              <w:spacing w:before="120"/>
              <w:rPr>
                <w:color w:val="777777"/>
              </w:rPr>
            </w:pPr>
            <w:r>
              <w:rPr>
                <w:color w:val="777777"/>
              </w:rPr>
              <w:t>Submitted</w:t>
            </w:r>
            <w:r w:rsidRPr="00B40EC4">
              <w:rPr>
                <w:color w:val="777777"/>
              </w:rPr>
              <w:t xml:space="preserve"> </w:t>
            </w:r>
            <w:r>
              <w:rPr>
                <w:color w:val="777777"/>
              </w:rPr>
              <w:t>by</w:t>
            </w:r>
            <w:r w:rsidRPr="00B40EC4">
              <w:rPr>
                <w:color w:val="777777"/>
              </w:rPr>
              <w:t>:</w:t>
            </w:r>
          </w:p>
          <w:p w:rsidR="00E5398F" w:rsidRPr="00E630CE" w:rsidRDefault="00E5398F" w:rsidP="00E5398F">
            <w:pPr>
              <w:pStyle w:val="Organisation"/>
              <w:spacing w:before="120"/>
              <w:rPr>
                <w:rFonts w:ascii="Calibri" w:eastAsiaTheme="minorHAnsi" w:hAnsi="Calibri" w:cs="Calibri"/>
                <w:b w:val="0"/>
                <w:color w:val="808080" w:themeColor="background1" w:themeShade="80"/>
                <w:sz w:val="28"/>
                <w:szCs w:val="28"/>
              </w:rPr>
            </w:pPr>
            <w:r w:rsidRPr="00E630CE">
              <w:rPr>
                <w:rFonts w:ascii="Calibri" w:eastAsiaTheme="minorHAnsi" w:hAnsi="Calibri" w:cs="Calibri"/>
                <w:b w:val="0"/>
                <w:color w:val="808080" w:themeColor="background1" w:themeShade="80"/>
                <w:sz w:val="28"/>
                <w:szCs w:val="28"/>
              </w:rPr>
              <w:t>AMES</w:t>
            </w:r>
          </w:p>
          <w:p w:rsidR="00E5398F" w:rsidRPr="00E630CE" w:rsidRDefault="00E5398F" w:rsidP="00E5398F">
            <w:pPr>
              <w:pStyle w:val="Organisation"/>
              <w:spacing w:before="120"/>
              <w:rPr>
                <w:rFonts w:ascii="Calibri" w:eastAsiaTheme="minorHAnsi" w:hAnsi="Calibri" w:cs="Calibri"/>
                <w:b w:val="0"/>
                <w:color w:val="808080" w:themeColor="background1" w:themeShade="80"/>
                <w:sz w:val="28"/>
                <w:szCs w:val="28"/>
              </w:rPr>
            </w:pPr>
            <w:r w:rsidRPr="00E630CE">
              <w:rPr>
                <w:rFonts w:ascii="Calibri" w:eastAsiaTheme="minorHAnsi" w:hAnsi="Calibri" w:cs="Calibri"/>
                <w:b w:val="0"/>
                <w:color w:val="808080" w:themeColor="background1" w:themeShade="80"/>
                <w:sz w:val="28"/>
                <w:szCs w:val="28"/>
              </w:rPr>
              <w:t>1 L</w:t>
            </w:r>
            <w:r w:rsidR="007F5BE0">
              <w:rPr>
                <w:rFonts w:ascii="Calibri" w:eastAsiaTheme="minorHAnsi" w:hAnsi="Calibri" w:cs="Calibri"/>
                <w:b w:val="0"/>
                <w:color w:val="808080" w:themeColor="background1" w:themeShade="80"/>
                <w:sz w:val="28"/>
                <w:szCs w:val="28"/>
              </w:rPr>
              <w:t>i</w:t>
            </w:r>
            <w:r w:rsidRPr="00E630CE">
              <w:rPr>
                <w:rFonts w:ascii="Calibri" w:eastAsiaTheme="minorHAnsi" w:hAnsi="Calibri" w:cs="Calibri"/>
                <w:b w:val="0"/>
                <w:color w:val="808080" w:themeColor="background1" w:themeShade="80"/>
                <w:sz w:val="28"/>
                <w:szCs w:val="28"/>
              </w:rPr>
              <w:t>t</w:t>
            </w:r>
            <w:r w:rsidR="007F5BE0">
              <w:rPr>
                <w:rFonts w:ascii="Calibri" w:eastAsiaTheme="minorHAnsi" w:hAnsi="Calibri" w:cs="Calibri"/>
                <w:b w:val="0"/>
                <w:color w:val="808080" w:themeColor="background1" w:themeShade="80"/>
                <w:sz w:val="28"/>
                <w:szCs w:val="28"/>
              </w:rPr>
              <w:t>tle</w:t>
            </w:r>
            <w:r w:rsidRPr="00E630CE">
              <w:rPr>
                <w:rFonts w:ascii="Calibri" w:eastAsiaTheme="minorHAnsi" w:hAnsi="Calibri" w:cs="Calibri"/>
                <w:b w:val="0"/>
                <w:color w:val="808080" w:themeColor="background1" w:themeShade="80"/>
                <w:sz w:val="28"/>
                <w:szCs w:val="28"/>
              </w:rPr>
              <w:t xml:space="preserve"> Collins Street</w:t>
            </w:r>
          </w:p>
          <w:p w:rsidR="00E5398F" w:rsidRDefault="00E5398F" w:rsidP="00E5398F">
            <w:pPr>
              <w:pStyle w:val="Organisation"/>
              <w:spacing w:before="120"/>
              <w:rPr>
                <w:color w:val="777777"/>
              </w:rPr>
            </w:pPr>
            <w:r w:rsidRPr="00E630CE">
              <w:rPr>
                <w:rFonts w:ascii="Calibri" w:eastAsiaTheme="minorHAnsi" w:hAnsi="Calibri" w:cs="Calibri"/>
                <w:b w:val="0"/>
                <w:color w:val="808080" w:themeColor="background1" w:themeShade="80"/>
                <w:sz w:val="28"/>
                <w:szCs w:val="28"/>
              </w:rPr>
              <w:t>Melbourne 3000</w:t>
            </w:r>
          </w:p>
        </w:tc>
        <w:tc>
          <w:tcPr>
            <w:tcW w:w="4678" w:type="dxa"/>
          </w:tcPr>
          <w:p w:rsidR="00E5398F" w:rsidRPr="00625073" w:rsidRDefault="00E5398F" w:rsidP="00E5398F">
            <w:pPr>
              <w:pStyle w:val="Bodypara"/>
              <w:rPr>
                <w:sz w:val="36"/>
                <w:szCs w:val="36"/>
              </w:rPr>
            </w:pPr>
          </w:p>
        </w:tc>
      </w:tr>
    </w:tbl>
    <w:p w:rsidR="00FC11F0" w:rsidRDefault="00FC11F0" w:rsidP="00E630CE">
      <w:pPr>
        <w:pStyle w:val="BodyText"/>
        <w:sectPr w:rsidR="00FC11F0" w:rsidSect="00BC60DC">
          <w:footerReference w:type="default" r:id="rId10"/>
          <w:pgSz w:w="11906" w:h="16838"/>
          <w:pgMar w:top="1440" w:right="849" w:bottom="1440" w:left="1080" w:header="708" w:footer="350" w:gutter="0"/>
          <w:cols w:space="708"/>
          <w:titlePg/>
          <w:docGrid w:linePitch="360"/>
        </w:sectPr>
      </w:pPr>
    </w:p>
    <w:p w:rsidR="00684286" w:rsidRDefault="00684286" w:rsidP="0019184A">
      <w:pPr>
        <w:pStyle w:val="Heading1"/>
      </w:pPr>
      <w:r>
        <w:lastRenderedPageBreak/>
        <w:t>About AMES</w:t>
      </w:r>
      <w:bookmarkEnd w:id="0"/>
    </w:p>
    <w:p w:rsidR="005037C2" w:rsidRPr="00DA5D27" w:rsidRDefault="005037C2" w:rsidP="0019184A">
      <w:pPr>
        <w:pStyle w:val="Bodypara"/>
        <w:rPr>
          <w:sz w:val="22"/>
          <w:szCs w:val="22"/>
        </w:rPr>
      </w:pPr>
    </w:p>
    <w:p w:rsidR="005037C2" w:rsidRPr="00320EDF" w:rsidRDefault="00684286" w:rsidP="008945B0">
      <w:pPr>
        <w:pStyle w:val="Bodypara"/>
        <w:rPr>
          <w:sz w:val="22"/>
          <w:szCs w:val="22"/>
        </w:rPr>
      </w:pPr>
      <w:r w:rsidRPr="00320EDF">
        <w:rPr>
          <w:sz w:val="22"/>
          <w:szCs w:val="22"/>
        </w:rPr>
        <w:t xml:space="preserve">AMES is a specialist organisation providing settlement services, English language and vocational training and employment services to newly arrived refugees and migrants in their initial phase of settlement, and to longer term migrants who require support to gain employment.  AMES provides services in Victoria, works with over 50,000 people a year and has over 60 years’ experience. </w:t>
      </w:r>
    </w:p>
    <w:p w:rsidR="005037C2" w:rsidRPr="00320EDF" w:rsidRDefault="005037C2" w:rsidP="008945B0">
      <w:pPr>
        <w:pStyle w:val="Bodypara"/>
        <w:rPr>
          <w:sz w:val="22"/>
          <w:szCs w:val="22"/>
        </w:rPr>
      </w:pPr>
    </w:p>
    <w:p w:rsidR="00684286" w:rsidRPr="00320EDF" w:rsidRDefault="00684286" w:rsidP="008945B0">
      <w:pPr>
        <w:pStyle w:val="Bodypara"/>
        <w:rPr>
          <w:sz w:val="22"/>
          <w:szCs w:val="22"/>
        </w:rPr>
      </w:pPr>
      <w:r w:rsidRPr="00320EDF">
        <w:rPr>
          <w:sz w:val="22"/>
          <w:szCs w:val="22"/>
        </w:rPr>
        <w:t>The primary focus of AMES services is to transition refugees and migrants to successful settlement in Australia.</w:t>
      </w:r>
      <w:r w:rsidR="00025292" w:rsidRPr="00320EDF">
        <w:rPr>
          <w:sz w:val="22"/>
          <w:szCs w:val="22"/>
        </w:rPr>
        <w:t xml:space="preserve"> </w:t>
      </w:r>
      <w:r w:rsidR="007F5BE0">
        <w:rPr>
          <w:sz w:val="22"/>
          <w:szCs w:val="22"/>
        </w:rPr>
        <w:t xml:space="preserve"> </w:t>
      </w:r>
      <w:r w:rsidR="00025292" w:rsidRPr="00320EDF">
        <w:rPr>
          <w:sz w:val="22"/>
          <w:szCs w:val="22"/>
        </w:rPr>
        <w:t>AMES delivers a number of co</w:t>
      </w:r>
      <w:bookmarkStart w:id="2" w:name="_GoBack"/>
      <w:bookmarkEnd w:id="2"/>
      <w:r w:rsidR="00025292" w:rsidRPr="00320EDF">
        <w:rPr>
          <w:sz w:val="22"/>
          <w:szCs w:val="22"/>
        </w:rPr>
        <w:t>ntracts for government to deliver these services.</w:t>
      </w:r>
    </w:p>
    <w:p w:rsidR="00025292" w:rsidRPr="00320EDF" w:rsidRDefault="00025292" w:rsidP="008945B0">
      <w:pPr>
        <w:pStyle w:val="Bodypara"/>
        <w:rPr>
          <w:sz w:val="22"/>
          <w:szCs w:val="22"/>
        </w:rPr>
      </w:pPr>
    </w:p>
    <w:p w:rsidR="00684286" w:rsidRPr="00320EDF" w:rsidRDefault="00684286" w:rsidP="008945B0">
      <w:pPr>
        <w:pStyle w:val="Bodypara"/>
        <w:rPr>
          <w:sz w:val="22"/>
          <w:szCs w:val="22"/>
        </w:rPr>
      </w:pPr>
      <w:r w:rsidRPr="00320EDF">
        <w:rPr>
          <w:sz w:val="22"/>
          <w:szCs w:val="22"/>
        </w:rPr>
        <w:t xml:space="preserve">AMES is a Victorian Government Statutory Authority reporting to the Department of Education and Early Childhood Development (DEECD). </w:t>
      </w:r>
    </w:p>
    <w:p w:rsidR="005037C2" w:rsidRPr="002B0E49" w:rsidRDefault="005037C2" w:rsidP="0019184A">
      <w:pPr>
        <w:pStyle w:val="Bodypara"/>
        <w:rPr>
          <w:sz w:val="22"/>
          <w:szCs w:val="22"/>
        </w:rPr>
      </w:pPr>
    </w:p>
    <w:p w:rsidR="00304C4E" w:rsidRDefault="005037C2" w:rsidP="005037C2">
      <w:pPr>
        <w:pStyle w:val="Heading1"/>
      </w:pPr>
      <w:r>
        <w:t xml:space="preserve">Submission Summary </w:t>
      </w:r>
    </w:p>
    <w:p w:rsidR="005037C2" w:rsidRPr="00DA5D27" w:rsidRDefault="005037C2" w:rsidP="0019184A">
      <w:pPr>
        <w:pStyle w:val="Bodypara"/>
        <w:rPr>
          <w:sz w:val="22"/>
          <w:szCs w:val="22"/>
        </w:rPr>
      </w:pPr>
    </w:p>
    <w:p w:rsidR="00304C4E" w:rsidRPr="00320EDF" w:rsidRDefault="0039268B" w:rsidP="008945B0">
      <w:pPr>
        <w:pStyle w:val="Bodypara"/>
        <w:rPr>
          <w:sz w:val="22"/>
          <w:szCs w:val="22"/>
        </w:rPr>
      </w:pPr>
      <w:r w:rsidRPr="00320EDF">
        <w:rPr>
          <w:sz w:val="22"/>
          <w:szCs w:val="22"/>
        </w:rPr>
        <w:t xml:space="preserve">This </w:t>
      </w:r>
      <w:r w:rsidR="00304C4E" w:rsidRPr="00320EDF">
        <w:rPr>
          <w:sz w:val="22"/>
          <w:szCs w:val="22"/>
        </w:rPr>
        <w:t xml:space="preserve">brief </w:t>
      </w:r>
      <w:r w:rsidRPr="00320EDF">
        <w:rPr>
          <w:sz w:val="22"/>
          <w:szCs w:val="22"/>
        </w:rPr>
        <w:t xml:space="preserve">response </w:t>
      </w:r>
      <w:r w:rsidR="00304C4E" w:rsidRPr="00320EDF">
        <w:rPr>
          <w:sz w:val="22"/>
          <w:szCs w:val="22"/>
        </w:rPr>
        <w:t>is based on experience in working with this newly arrived client group</w:t>
      </w:r>
      <w:r w:rsidR="00E5398F" w:rsidRPr="00320EDF">
        <w:rPr>
          <w:sz w:val="22"/>
          <w:szCs w:val="22"/>
        </w:rPr>
        <w:t xml:space="preserve"> and specifically in the provision of child care in the Adult Migrant English Program. </w:t>
      </w:r>
    </w:p>
    <w:p w:rsidR="00E5398F" w:rsidRPr="00320EDF" w:rsidRDefault="00E5398F" w:rsidP="008945B0">
      <w:pPr>
        <w:pStyle w:val="Bodypara"/>
        <w:rPr>
          <w:sz w:val="22"/>
          <w:szCs w:val="22"/>
        </w:rPr>
      </w:pPr>
    </w:p>
    <w:p w:rsidR="003C78B2" w:rsidRPr="00320EDF" w:rsidRDefault="0020433D" w:rsidP="008945B0">
      <w:pPr>
        <w:pStyle w:val="Bodypara"/>
        <w:rPr>
          <w:sz w:val="22"/>
          <w:szCs w:val="22"/>
        </w:rPr>
      </w:pPr>
      <w:r w:rsidRPr="00320EDF">
        <w:rPr>
          <w:sz w:val="22"/>
          <w:szCs w:val="22"/>
        </w:rPr>
        <w:t>The response provides information in the following areas.</w:t>
      </w:r>
    </w:p>
    <w:p w:rsidR="0020433D" w:rsidRPr="00320EDF" w:rsidRDefault="0020433D" w:rsidP="0019184A">
      <w:pPr>
        <w:pStyle w:val="Bodypara"/>
        <w:rPr>
          <w:sz w:val="22"/>
          <w:szCs w:val="22"/>
        </w:rPr>
      </w:pPr>
    </w:p>
    <w:p w:rsidR="0020433D" w:rsidRPr="00320EDF" w:rsidRDefault="0020433D" w:rsidP="0020433D">
      <w:pPr>
        <w:pStyle w:val="Bodypara"/>
        <w:numPr>
          <w:ilvl w:val="0"/>
          <w:numId w:val="22"/>
        </w:numPr>
        <w:rPr>
          <w:sz w:val="22"/>
          <w:szCs w:val="22"/>
        </w:rPr>
      </w:pPr>
      <w:r w:rsidRPr="00320EDF">
        <w:rPr>
          <w:sz w:val="22"/>
          <w:szCs w:val="22"/>
        </w:rPr>
        <w:t xml:space="preserve">Provision of child care in the Adult Migrant English Program (AMEP) </w:t>
      </w:r>
    </w:p>
    <w:p w:rsidR="0020433D" w:rsidRPr="00320EDF" w:rsidRDefault="0020433D" w:rsidP="0020433D">
      <w:pPr>
        <w:pStyle w:val="Bodypara"/>
        <w:numPr>
          <w:ilvl w:val="0"/>
          <w:numId w:val="22"/>
        </w:numPr>
        <w:rPr>
          <w:sz w:val="22"/>
          <w:szCs w:val="22"/>
        </w:rPr>
      </w:pPr>
      <w:r w:rsidRPr="00320EDF">
        <w:rPr>
          <w:sz w:val="22"/>
          <w:szCs w:val="22"/>
        </w:rPr>
        <w:t>Accessibility to child care for newly arrived migrants and refugees</w:t>
      </w:r>
    </w:p>
    <w:p w:rsidR="0020433D" w:rsidRPr="00320EDF" w:rsidRDefault="00E5398F" w:rsidP="0020433D">
      <w:pPr>
        <w:pStyle w:val="Bodypara"/>
        <w:numPr>
          <w:ilvl w:val="0"/>
          <w:numId w:val="22"/>
        </w:numPr>
        <w:rPr>
          <w:sz w:val="22"/>
          <w:szCs w:val="22"/>
        </w:rPr>
      </w:pPr>
      <w:r w:rsidRPr="00320EDF">
        <w:rPr>
          <w:sz w:val="22"/>
          <w:szCs w:val="22"/>
        </w:rPr>
        <w:t>A</w:t>
      </w:r>
      <w:r w:rsidR="0020433D" w:rsidRPr="00320EDF">
        <w:rPr>
          <w:sz w:val="22"/>
          <w:szCs w:val="22"/>
        </w:rPr>
        <w:t xml:space="preserve"> model to </w:t>
      </w:r>
      <w:r w:rsidRPr="00320EDF">
        <w:rPr>
          <w:sz w:val="22"/>
          <w:szCs w:val="22"/>
        </w:rPr>
        <w:t xml:space="preserve">address training needs </w:t>
      </w:r>
      <w:r w:rsidR="005037C2" w:rsidRPr="00320EDF">
        <w:rPr>
          <w:sz w:val="22"/>
          <w:szCs w:val="22"/>
        </w:rPr>
        <w:t>in the child care industry</w:t>
      </w:r>
    </w:p>
    <w:p w:rsidR="005037C2" w:rsidRPr="00320EDF" w:rsidRDefault="005037C2" w:rsidP="00025292">
      <w:pPr>
        <w:pStyle w:val="Bodypara"/>
        <w:rPr>
          <w:sz w:val="22"/>
          <w:szCs w:val="22"/>
        </w:rPr>
      </w:pPr>
    </w:p>
    <w:p w:rsidR="00025292" w:rsidRPr="00320EDF" w:rsidRDefault="00025292" w:rsidP="00025292">
      <w:pPr>
        <w:pStyle w:val="Bodypara"/>
        <w:rPr>
          <w:sz w:val="22"/>
          <w:szCs w:val="22"/>
        </w:rPr>
      </w:pPr>
      <w:r w:rsidRPr="00320EDF">
        <w:rPr>
          <w:sz w:val="22"/>
          <w:szCs w:val="22"/>
        </w:rPr>
        <w:t xml:space="preserve">AMES strongly supports the provision of child care in the AMEP. </w:t>
      </w:r>
      <w:r w:rsidR="007F5BE0">
        <w:rPr>
          <w:sz w:val="22"/>
          <w:szCs w:val="22"/>
        </w:rPr>
        <w:t xml:space="preserve"> </w:t>
      </w:r>
      <w:r w:rsidRPr="00320EDF">
        <w:rPr>
          <w:sz w:val="22"/>
          <w:szCs w:val="22"/>
        </w:rPr>
        <w:t xml:space="preserve">The impact of assisting people to settle effectively through availability of this service is significant. </w:t>
      </w:r>
      <w:r w:rsidR="007F5BE0">
        <w:rPr>
          <w:sz w:val="22"/>
          <w:szCs w:val="22"/>
        </w:rPr>
        <w:t xml:space="preserve"> </w:t>
      </w:r>
      <w:r w:rsidRPr="00320EDF">
        <w:rPr>
          <w:sz w:val="22"/>
          <w:szCs w:val="22"/>
        </w:rPr>
        <w:t xml:space="preserve">It allows new arrivals with pre-school children to take advantage of the multiple benefits of the AMEP as a settlement program. </w:t>
      </w:r>
      <w:r w:rsidR="007F5BE0">
        <w:rPr>
          <w:sz w:val="22"/>
          <w:szCs w:val="22"/>
        </w:rPr>
        <w:t xml:space="preserve"> </w:t>
      </w:r>
      <w:r w:rsidRPr="00320EDF">
        <w:rPr>
          <w:sz w:val="22"/>
          <w:szCs w:val="22"/>
        </w:rPr>
        <w:t xml:space="preserve">Equally it contributes to early learning and readiness of newly arrived children for school in Australia. </w:t>
      </w:r>
    </w:p>
    <w:p w:rsidR="005037C2" w:rsidRPr="00320EDF" w:rsidRDefault="005037C2" w:rsidP="00025292">
      <w:pPr>
        <w:pStyle w:val="Bodypara"/>
        <w:rPr>
          <w:sz w:val="22"/>
          <w:szCs w:val="22"/>
        </w:rPr>
      </w:pPr>
    </w:p>
    <w:p w:rsidR="005037C2" w:rsidRDefault="005037C2" w:rsidP="00025292">
      <w:pPr>
        <w:pStyle w:val="Bodypara"/>
      </w:pPr>
      <w:r w:rsidRPr="00320EDF">
        <w:rPr>
          <w:sz w:val="22"/>
          <w:szCs w:val="22"/>
        </w:rPr>
        <w:t>AMES makes the following recommendations as part of this submission</w:t>
      </w:r>
      <w:r>
        <w:t xml:space="preserve">. </w:t>
      </w:r>
    </w:p>
    <w:p w:rsidR="005037C2" w:rsidRPr="00E40404" w:rsidRDefault="005037C2" w:rsidP="00025292">
      <w:pPr>
        <w:pStyle w:val="Bodypara"/>
        <w:rPr>
          <w:sz w:val="22"/>
          <w:szCs w:val="22"/>
        </w:rPr>
      </w:pPr>
    </w:p>
    <w:p w:rsidR="0020433D" w:rsidRPr="00320EDF" w:rsidRDefault="00901E34" w:rsidP="005037C2">
      <w:pPr>
        <w:pStyle w:val="Bodypara"/>
        <w:numPr>
          <w:ilvl w:val="0"/>
          <w:numId w:val="25"/>
        </w:numPr>
        <w:rPr>
          <w:sz w:val="22"/>
          <w:szCs w:val="22"/>
        </w:rPr>
      </w:pPr>
      <w:r>
        <w:rPr>
          <w:sz w:val="22"/>
          <w:szCs w:val="22"/>
        </w:rPr>
        <w:t>R</w:t>
      </w:r>
      <w:r w:rsidR="005037C2" w:rsidRPr="00320EDF">
        <w:rPr>
          <w:sz w:val="22"/>
          <w:szCs w:val="22"/>
        </w:rPr>
        <w:t>egulation of the child care industry be reviewed in the context of capacity to contribute to safety, security and quality care for children to ensure that resources are directed in areas that can positively impact on quality</w:t>
      </w:r>
      <w:r w:rsidR="007F5BE0">
        <w:rPr>
          <w:sz w:val="22"/>
          <w:szCs w:val="22"/>
        </w:rPr>
        <w:t>.</w:t>
      </w:r>
    </w:p>
    <w:p w:rsidR="005037C2" w:rsidRPr="00320EDF" w:rsidRDefault="005037C2" w:rsidP="005037C2">
      <w:pPr>
        <w:pStyle w:val="Bodypara"/>
        <w:ind w:left="720"/>
        <w:rPr>
          <w:sz w:val="22"/>
          <w:szCs w:val="22"/>
        </w:rPr>
      </w:pPr>
    </w:p>
    <w:p w:rsidR="005037C2" w:rsidRPr="00320EDF" w:rsidRDefault="00901E34" w:rsidP="005037C2">
      <w:pPr>
        <w:pStyle w:val="Bodypara"/>
        <w:numPr>
          <w:ilvl w:val="0"/>
          <w:numId w:val="25"/>
        </w:numPr>
        <w:rPr>
          <w:sz w:val="22"/>
          <w:szCs w:val="22"/>
        </w:rPr>
      </w:pPr>
      <w:r>
        <w:rPr>
          <w:sz w:val="22"/>
          <w:szCs w:val="22"/>
        </w:rPr>
        <w:t>R</w:t>
      </w:r>
      <w:r w:rsidR="005037C2" w:rsidRPr="00320EDF">
        <w:rPr>
          <w:sz w:val="22"/>
          <w:szCs w:val="22"/>
        </w:rPr>
        <w:t xml:space="preserve">esources available for child care subsidies be targeted to low income earners where the barriers faced by high child care costs will have the highest impact on decisions and ability to </w:t>
      </w:r>
      <w:r w:rsidR="00B63B13">
        <w:rPr>
          <w:sz w:val="22"/>
          <w:szCs w:val="22"/>
        </w:rPr>
        <w:t xml:space="preserve">train, learn English and </w:t>
      </w:r>
      <w:r w:rsidR="005037C2" w:rsidRPr="00320EDF">
        <w:rPr>
          <w:sz w:val="22"/>
          <w:szCs w:val="22"/>
        </w:rPr>
        <w:t xml:space="preserve">enter the workforce. </w:t>
      </w:r>
    </w:p>
    <w:p w:rsidR="005037C2" w:rsidRPr="00320EDF" w:rsidRDefault="005037C2" w:rsidP="005037C2">
      <w:pPr>
        <w:pStyle w:val="ListParagraph"/>
        <w:numPr>
          <w:ilvl w:val="0"/>
          <w:numId w:val="0"/>
        </w:numPr>
        <w:ind w:left="360"/>
        <w:rPr>
          <w:sz w:val="22"/>
          <w:szCs w:val="22"/>
        </w:rPr>
      </w:pPr>
    </w:p>
    <w:p w:rsidR="005037C2" w:rsidRPr="00320EDF" w:rsidRDefault="00901E34" w:rsidP="005037C2">
      <w:pPr>
        <w:pStyle w:val="Bodypara"/>
        <w:numPr>
          <w:ilvl w:val="0"/>
          <w:numId w:val="25"/>
        </w:numPr>
        <w:rPr>
          <w:sz w:val="22"/>
          <w:szCs w:val="22"/>
        </w:rPr>
      </w:pPr>
      <w:r>
        <w:rPr>
          <w:sz w:val="22"/>
          <w:szCs w:val="22"/>
        </w:rPr>
        <w:t>M</w:t>
      </w:r>
      <w:r w:rsidR="005037C2" w:rsidRPr="00320EDF">
        <w:rPr>
          <w:sz w:val="22"/>
          <w:szCs w:val="22"/>
        </w:rPr>
        <w:t xml:space="preserve">odels to increase the participation and success rates of learners who require concurrent English language support with vocational training </w:t>
      </w:r>
      <w:r w:rsidR="008945B0" w:rsidRPr="00320EDF">
        <w:rPr>
          <w:sz w:val="22"/>
          <w:szCs w:val="22"/>
        </w:rPr>
        <w:t xml:space="preserve">to gain the required qualifications to work in the child care industry </w:t>
      </w:r>
      <w:r>
        <w:rPr>
          <w:sz w:val="22"/>
          <w:szCs w:val="22"/>
        </w:rPr>
        <w:t>be</w:t>
      </w:r>
      <w:r w:rsidR="005037C2" w:rsidRPr="00320EDF">
        <w:rPr>
          <w:sz w:val="22"/>
          <w:szCs w:val="22"/>
        </w:rPr>
        <w:t xml:space="preserve"> further developed and implemented. </w:t>
      </w:r>
    </w:p>
    <w:p w:rsidR="005037C2" w:rsidRDefault="005037C2" w:rsidP="00025292">
      <w:pPr>
        <w:pStyle w:val="Bodypara"/>
      </w:pPr>
    </w:p>
    <w:p w:rsidR="00320EDF" w:rsidRDefault="00320EDF" w:rsidP="00025292">
      <w:pPr>
        <w:pStyle w:val="Bodypara"/>
      </w:pPr>
    </w:p>
    <w:p w:rsidR="00320EDF" w:rsidRDefault="00320EDF" w:rsidP="00025292">
      <w:pPr>
        <w:pStyle w:val="Bodypara"/>
      </w:pPr>
    </w:p>
    <w:p w:rsidR="00320EDF" w:rsidRPr="00025292" w:rsidRDefault="00320EDF" w:rsidP="00025292">
      <w:pPr>
        <w:pStyle w:val="Bodypara"/>
      </w:pPr>
    </w:p>
    <w:p w:rsidR="0020433D" w:rsidRDefault="0020433D" w:rsidP="0020433D">
      <w:pPr>
        <w:pStyle w:val="Heading1"/>
      </w:pPr>
      <w:r>
        <w:lastRenderedPageBreak/>
        <w:t xml:space="preserve">Provision of child care </w:t>
      </w:r>
      <w:r w:rsidR="00E5398F">
        <w:t>in the Adult Migrant English Program (AMEP)</w:t>
      </w:r>
    </w:p>
    <w:p w:rsidR="000F1BE5" w:rsidRPr="00DA5D27" w:rsidRDefault="000F1BE5" w:rsidP="007F5BE0">
      <w:pPr>
        <w:pStyle w:val="Bodypara"/>
        <w:rPr>
          <w:rFonts w:cstheme="minorHAnsi"/>
          <w:b/>
          <w:color w:val="FF0000"/>
          <w:sz w:val="22"/>
          <w:szCs w:val="22"/>
        </w:rPr>
      </w:pPr>
    </w:p>
    <w:p w:rsidR="0020433D" w:rsidRPr="000F1BE5" w:rsidRDefault="0020433D" w:rsidP="007F5BE0">
      <w:pPr>
        <w:pStyle w:val="Bodypara"/>
        <w:rPr>
          <w:rFonts w:asciiTheme="minorHAnsi" w:hAnsiTheme="minorHAnsi" w:cstheme="minorHAnsi"/>
          <w:b/>
          <w:color w:val="C00000"/>
        </w:rPr>
      </w:pPr>
      <w:r w:rsidRPr="000F1BE5">
        <w:rPr>
          <w:rFonts w:asciiTheme="minorHAnsi" w:hAnsiTheme="minorHAnsi" w:cstheme="minorHAnsi"/>
          <w:b/>
          <w:color w:val="C00000"/>
        </w:rPr>
        <w:t>The AMEP</w:t>
      </w:r>
    </w:p>
    <w:p w:rsidR="000F1BE5" w:rsidRDefault="000F1BE5" w:rsidP="007F5BE0">
      <w:pPr>
        <w:pStyle w:val="Bodypara"/>
        <w:rPr>
          <w:sz w:val="22"/>
          <w:szCs w:val="22"/>
        </w:rPr>
      </w:pPr>
    </w:p>
    <w:p w:rsidR="0020433D" w:rsidRPr="000F1BE5" w:rsidRDefault="00954545" w:rsidP="007F5BE0">
      <w:pPr>
        <w:pStyle w:val="Bodypara"/>
        <w:rPr>
          <w:sz w:val="22"/>
          <w:szCs w:val="22"/>
        </w:rPr>
      </w:pPr>
      <w:r w:rsidRPr="000F1BE5">
        <w:rPr>
          <w:sz w:val="22"/>
          <w:szCs w:val="22"/>
        </w:rPr>
        <w:t>Migrants and r</w:t>
      </w:r>
      <w:r w:rsidR="0020433D" w:rsidRPr="000F1BE5">
        <w:rPr>
          <w:sz w:val="22"/>
          <w:szCs w:val="22"/>
        </w:rPr>
        <w:t xml:space="preserve">efugees </w:t>
      </w:r>
      <w:r w:rsidR="00F53323" w:rsidRPr="000F1BE5">
        <w:rPr>
          <w:sz w:val="22"/>
          <w:szCs w:val="22"/>
        </w:rPr>
        <w:t xml:space="preserve">who have low levels of English </w:t>
      </w:r>
      <w:r w:rsidRPr="000F1BE5">
        <w:rPr>
          <w:sz w:val="22"/>
          <w:szCs w:val="22"/>
        </w:rPr>
        <w:t xml:space="preserve">on arrival in Australia </w:t>
      </w:r>
      <w:r w:rsidR="0020433D" w:rsidRPr="000F1BE5">
        <w:rPr>
          <w:sz w:val="22"/>
          <w:szCs w:val="22"/>
        </w:rPr>
        <w:t xml:space="preserve">are eligible for 510 hours of English language tuition </w:t>
      </w:r>
      <w:r w:rsidR="00F53323" w:rsidRPr="000F1BE5">
        <w:rPr>
          <w:sz w:val="22"/>
          <w:szCs w:val="22"/>
        </w:rPr>
        <w:t xml:space="preserve">funded by the Australian Government. </w:t>
      </w:r>
      <w:r w:rsidR="000F1BE5">
        <w:rPr>
          <w:sz w:val="22"/>
          <w:szCs w:val="22"/>
        </w:rPr>
        <w:t xml:space="preserve"> </w:t>
      </w:r>
      <w:r w:rsidRPr="000F1BE5">
        <w:rPr>
          <w:sz w:val="22"/>
          <w:szCs w:val="22"/>
        </w:rPr>
        <w:t>(Spouses of clients arriving on Skilled Visas pay for access to the AMEP</w:t>
      </w:r>
      <w:r w:rsidR="000F1BE5">
        <w:rPr>
          <w:sz w:val="22"/>
          <w:szCs w:val="22"/>
        </w:rPr>
        <w:t>.</w:t>
      </w:r>
      <w:r w:rsidR="00E5398F" w:rsidRPr="000F1BE5">
        <w:rPr>
          <w:sz w:val="22"/>
          <w:szCs w:val="22"/>
        </w:rPr>
        <w:t>)</w:t>
      </w:r>
      <w:r w:rsidRPr="000F1BE5">
        <w:rPr>
          <w:sz w:val="22"/>
          <w:szCs w:val="22"/>
        </w:rPr>
        <w:t xml:space="preserve">  </w:t>
      </w:r>
      <w:r w:rsidR="00F53323" w:rsidRPr="000F1BE5">
        <w:rPr>
          <w:sz w:val="22"/>
          <w:szCs w:val="22"/>
        </w:rPr>
        <w:t xml:space="preserve">In some cases clients arriving under the Humanitarian Program are eligible for an additional 200 hours. </w:t>
      </w:r>
      <w:r w:rsidR="000F1BE5">
        <w:rPr>
          <w:sz w:val="22"/>
          <w:szCs w:val="22"/>
        </w:rPr>
        <w:t xml:space="preserve"> </w:t>
      </w:r>
      <w:r w:rsidR="00F53323" w:rsidRPr="000F1BE5">
        <w:rPr>
          <w:sz w:val="22"/>
          <w:szCs w:val="22"/>
        </w:rPr>
        <w:t xml:space="preserve">To ensure that the program is accessible to all eligible clients child care is provided as part of the program. </w:t>
      </w:r>
    </w:p>
    <w:p w:rsidR="00F53323" w:rsidRPr="000F1BE5" w:rsidRDefault="00F53323" w:rsidP="007F5BE0">
      <w:pPr>
        <w:pStyle w:val="Bodypara"/>
        <w:rPr>
          <w:sz w:val="22"/>
          <w:szCs w:val="22"/>
        </w:rPr>
      </w:pPr>
    </w:p>
    <w:p w:rsidR="00D441E0" w:rsidRPr="000F1BE5" w:rsidRDefault="00F53323" w:rsidP="007F5BE0">
      <w:pPr>
        <w:pStyle w:val="Bodypara"/>
        <w:rPr>
          <w:sz w:val="22"/>
          <w:szCs w:val="22"/>
        </w:rPr>
      </w:pPr>
      <w:r w:rsidRPr="000F1BE5">
        <w:rPr>
          <w:sz w:val="22"/>
          <w:szCs w:val="22"/>
        </w:rPr>
        <w:t xml:space="preserve">Clients can access </w:t>
      </w:r>
      <w:r w:rsidR="0027770D" w:rsidRPr="000F1BE5">
        <w:rPr>
          <w:sz w:val="22"/>
          <w:szCs w:val="22"/>
        </w:rPr>
        <w:t>child</w:t>
      </w:r>
      <w:r w:rsidR="000F1BE5">
        <w:rPr>
          <w:sz w:val="22"/>
          <w:szCs w:val="22"/>
        </w:rPr>
        <w:t xml:space="preserve"> </w:t>
      </w:r>
      <w:r w:rsidR="0027770D" w:rsidRPr="000F1BE5">
        <w:rPr>
          <w:sz w:val="22"/>
          <w:szCs w:val="22"/>
        </w:rPr>
        <w:t>care services</w:t>
      </w:r>
      <w:r w:rsidR="00E5398F" w:rsidRPr="000F1BE5">
        <w:rPr>
          <w:sz w:val="22"/>
          <w:szCs w:val="22"/>
        </w:rPr>
        <w:t xml:space="preserve"> for</w:t>
      </w:r>
      <w:r w:rsidR="0027770D" w:rsidRPr="000F1BE5">
        <w:rPr>
          <w:sz w:val="22"/>
          <w:szCs w:val="22"/>
        </w:rPr>
        <w:t xml:space="preserve"> pre-school children </w:t>
      </w:r>
      <w:r w:rsidRPr="000F1BE5">
        <w:rPr>
          <w:sz w:val="22"/>
          <w:szCs w:val="22"/>
        </w:rPr>
        <w:t xml:space="preserve">for the time in which they are attending their AMEP class. </w:t>
      </w:r>
      <w:r w:rsidR="000F1BE5">
        <w:rPr>
          <w:sz w:val="22"/>
          <w:szCs w:val="22"/>
        </w:rPr>
        <w:t xml:space="preserve"> </w:t>
      </w:r>
      <w:r w:rsidRPr="000F1BE5">
        <w:rPr>
          <w:sz w:val="22"/>
          <w:szCs w:val="22"/>
        </w:rPr>
        <w:t xml:space="preserve">This provides a very significant benefit to clients who are focussed on learning English as part of their settlement in Australia and is an excellent component of the AMEP. </w:t>
      </w:r>
    </w:p>
    <w:p w:rsidR="00D441E0" w:rsidRPr="00E40404" w:rsidRDefault="00D441E0" w:rsidP="0019184A">
      <w:pPr>
        <w:pStyle w:val="Bodypara"/>
        <w:rPr>
          <w:sz w:val="22"/>
          <w:szCs w:val="22"/>
        </w:rPr>
      </w:pPr>
    </w:p>
    <w:p w:rsidR="00F53323" w:rsidRPr="00320EDF" w:rsidRDefault="00871AC6" w:rsidP="0019184A">
      <w:pPr>
        <w:pStyle w:val="Bodypara"/>
        <w:rPr>
          <w:sz w:val="22"/>
          <w:szCs w:val="22"/>
        </w:rPr>
      </w:pPr>
      <w:r w:rsidRPr="00320EDF">
        <w:rPr>
          <w:sz w:val="22"/>
          <w:szCs w:val="22"/>
        </w:rPr>
        <w:t>Without this access to funded child care it is likely that many of the clients with child care responsibilities would be unable to take advantage of the opportunity to learn English</w:t>
      </w:r>
      <w:r w:rsidR="00D441E0" w:rsidRPr="00320EDF">
        <w:rPr>
          <w:sz w:val="22"/>
          <w:szCs w:val="22"/>
        </w:rPr>
        <w:t xml:space="preserve">, gain information to assist in initial orientation, meet other people in their classes and develop a sense of belonging that contributes to their settlement in Australia. </w:t>
      </w:r>
      <w:r w:rsidR="000F1BE5">
        <w:rPr>
          <w:sz w:val="22"/>
          <w:szCs w:val="22"/>
        </w:rPr>
        <w:t xml:space="preserve"> </w:t>
      </w:r>
      <w:r w:rsidR="00140EBC" w:rsidRPr="00320EDF">
        <w:rPr>
          <w:sz w:val="22"/>
          <w:szCs w:val="22"/>
        </w:rPr>
        <w:t xml:space="preserve">The benefits of this </w:t>
      </w:r>
      <w:r w:rsidR="00E5398F" w:rsidRPr="00320EDF">
        <w:rPr>
          <w:sz w:val="22"/>
          <w:szCs w:val="22"/>
        </w:rPr>
        <w:t>broader settlement knowledge that forms part of the AMEP</w:t>
      </w:r>
      <w:r w:rsidR="00140EBC" w:rsidRPr="00320EDF">
        <w:rPr>
          <w:sz w:val="22"/>
          <w:szCs w:val="22"/>
        </w:rPr>
        <w:t xml:space="preserve"> in addition to English language learning</w:t>
      </w:r>
      <w:r w:rsidR="00E5398F" w:rsidRPr="00320EDF">
        <w:rPr>
          <w:sz w:val="22"/>
          <w:szCs w:val="22"/>
        </w:rPr>
        <w:t xml:space="preserve"> cannot be underestimated</w:t>
      </w:r>
      <w:r w:rsidR="00140EBC" w:rsidRPr="00320EDF">
        <w:rPr>
          <w:sz w:val="22"/>
          <w:szCs w:val="22"/>
        </w:rPr>
        <w:t xml:space="preserve">. </w:t>
      </w:r>
      <w:r w:rsidR="00E5398F" w:rsidRPr="00320EDF">
        <w:rPr>
          <w:sz w:val="22"/>
          <w:szCs w:val="22"/>
        </w:rPr>
        <w:t xml:space="preserve"> </w:t>
      </w:r>
    </w:p>
    <w:p w:rsidR="00922CA6" w:rsidRPr="00E40404" w:rsidRDefault="00922CA6" w:rsidP="0019184A">
      <w:pPr>
        <w:pStyle w:val="Bodypara"/>
        <w:rPr>
          <w:sz w:val="22"/>
          <w:szCs w:val="22"/>
        </w:rPr>
      </w:pPr>
    </w:p>
    <w:p w:rsidR="00922CA6" w:rsidRPr="00320EDF" w:rsidRDefault="00140EBC" w:rsidP="0019184A">
      <w:pPr>
        <w:pStyle w:val="Bodypara"/>
        <w:rPr>
          <w:sz w:val="22"/>
          <w:szCs w:val="22"/>
        </w:rPr>
      </w:pPr>
      <w:r w:rsidRPr="00320EDF">
        <w:rPr>
          <w:sz w:val="22"/>
          <w:szCs w:val="22"/>
        </w:rPr>
        <w:t xml:space="preserve">Provision of child care </w:t>
      </w:r>
      <w:r w:rsidR="00922CA6" w:rsidRPr="00320EDF">
        <w:rPr>
          <w:sz w:val="22"/>
          <w:szCs w:val="22"/>
        </w:rPr>
        <w:t xml:space="preserve">also provides significant benefit to the children who are exposed to opportunities for early learning, preparation for schooling in Australia and in most cases the opportunity to spend time in an English speaking environment. </w:t>
      </w:r>
      <w:r w:rsidR="00B63B13">
        <w:rPr>
          <w:sz w:val="22"/>
          <w:szCs w:val="22"/>
        </w:rPr>
        <w:t>These benefit</w:t>
      </w:r>
      <w:r w:rsidR="002E4977" w:rsidRPr="00320EDF">
        <w:rPr>
          <w:sz w:val="22"/>
          <w:szCs w:val="22"/>
        </w:rPr>
        <w:t xml:space="preserve"> children in their adjustment to Australia and preparation for education that will be the foundation of their future </w:t>
      </w:r>
      <w:r w:rsidRPr="00320EDF">
        <w:rPr>
          <w:sz w:val="22"/>
          <w:szCs w:val="22"/>
        </w:rPr>
        <w:t>are</w:t>
      </w:r>
      <w:r w:rsidR="002E4977" w:rsidRPr="00320EDF">
        <w:rPr>
          <w:sz w:val="22"/>
          <w:szCs w:val="22"/>
        </w:rPr>
        <w:t xml:space="preserve"> a sound investment.  </w:t>
      </w:r>
    </w:p>
    <w:p w:rsidR="000F1BE5" w:rsidRPr="00DA5D27" w:rsidRDefault="000F1BE5" w:rsidP="000F1BE5">
      <w:pPr>
        <w:pStyle w:val="Heading2"/>
        <w:spacing w:before="60" w:after="60"/>
        <w:rPr>
          <w:rFonts w:ascii="Arial Narrow" w:hAnsi="Arial Narrow"/>
          <w:sz w:val="22"/>
          <w:szCs w:val="22"/>
        </w:rPr>
      </w:pPr>
    </w:p>
    <w:p w:rsidR="00582F57" w:rsidRDefault="00922CA6" w:rsidP="000F1BE5">
      <w:pPr>
        <w:pStyle w:val="Heading2"/>
        <w:spacing w:before="60" w:after="60"/>
      </w:pPr>
      <w:r>
        <w:t>Demographics in the AMEP</w:t>
      </w:r>
    </w:p>
    <w:p w:rsidR="000F1BE5" w:rsidRDefault="000F1BE5" w:rsidP="0019184A">
      <w:pPr>
        <w:pStyle w:val="Bodypara"/>
        <w:rPr>
          <w:sz w:val="22"/>
          <w:szCs w:val="22"/>
        </w:rPr>
      </w:pPr>
    </w:p>
    <w:p w:rsidR="008945B0" w:rsidRPr="00320EDF" w:rsidRDefault="00140EBC" w:rsidP="0019184A">
      <w:pPr>
        <w:pStyle w:val="Bodypara"/>
        <w:rPr>
          <w:sz w:val="22"/>
          <w:szCs w:val="22"/>
        </w:rPr>
      </w:pPr>
      <w:r w:rsidRPr="00320EDF">
        <w:rPr>
          <w:sz w:val="22"/>
          <w:szCs w:val="22"/>
        </w:rPr>
        <w:t xml:space="preserve">The importance of child care is highlighted in the demographics of the AMEP. </w:t>
      </w:r>
      <w:r w:rsidR="000F1BE5">
        <w:rPr>
          <w:sz w:val="22"/>
          <w:szCs w:val="22"/>
        </w:rPr>
        <w:t xml:space="preserve"> </w:t>
      </w:r>
      <w:r w:rsidR="00582F57" w:rsidRPr="00320EDF">
        <w:rPr>
          <w:sz w:val="22"/>
          <w:szCs w:val="22"/>
        </w:rPr>
        <w:t>There are significant numbers of women and a large proportion</w:t>
      </w:r>
      <w:r w:rsidR="007D7473" w:rsidRPr="00320EDF">
        <w:rPr>
          <w:sz w:val="22"/>
          <w:szCs w:val="22"/>
        </w:rPr>
        <w:t xml:space="preserve"> of clients who are in an</w:t>
      </w:r>
      <w:r w:rsidR="00157DE9" w:rsidRPr="00320EDF">
        <w:rPr>
          <w:sz w:val="22"/>
          <w:szCs w:val="22"/>
        </w:rPr>
        <w:t xml:space="preserve"> age bracket where they are likely to have young children</w:t>
      </w:r>
      <w:r w:rsidR="00582F57" w:rsidRPr="00320EDF">
        <w:rPr>
          <w:sz w:val="22"/>
          <w:szCs w:val="22"/>
        </w:rPr>
        <w:t xml:space="preserve">. </w:t>
      </w:r>
    </w:p>
    <w:p w:rsidR="000F1BE5" w:rsidRDefault="000F1BE5" w:rsidP="0019184A">
      <w:pPr>
        <w:pStyle w:val="Bodypara"/>
        <w:rPr>
          <w:sz w:val="22"/>
          <w:szCs w:val="22"/>
        </w:rPr>
      </w:pPr>
    </w:p>
    <w:p w:rsidR="00C7416D" w:rsidRPr="00320EDF" w:rsidRDefault="00157DE9" w:rsidP="0019184A">
      <w:pPr>
        <w:pStyle w:val="Bodypara"/>
        <w:rPr>
          <w:sz w:val="22"/>
          <w:szCs w:val="22"/>
        </w:rPr>
      </w:pPr>
      <w:r w:rsidRPr="00320EDF">
        <w:rPr>
          <w:sz w:val="22"/>
          <w:szCs w:val="22"/>
        </w:rPr>
        <w:t>T</w:t>
      </w:r>
      <w:r w:rsidR="00C7416D" w:rsidRPr="00320EDF">
        <w:rPr>
          <w:sz w:val="22"/>
          <w:szCs w:val="22"/>
        </w:rPr>
        <w:t xml:space="preserve">ables </w:t>
      </w:r>
      <w:r w:rsidRPr="00320EDF">
        <w:rPr>
          <w:sz w:val="22"/>
          <w:szCs w:val="22"/>
        </w:rPr>
        <w:t xml:space="preserve">1 and 2 </w:t>
      </w:r>
      <w:r w:rsidR="00C7416D" w:rsidRPr="00320EDF">
        <w:rPr>
          <w:sz w:val="22"/>
          <w:szCs w:val="22"/>
        </w:rPr>
        <w:t>indicate that:</w:t>
      </w:r>
    </w:p>
    <w:p w:rsidR="00C7416D" w:rsidRPr="00320EDF" w:rsidRDefault="00C7416D" w:rsidP="00C7416D">
      <w:pPr>
        <w:pStyle w:val="ListParagraph"/>
        <w:rPr>
          <w:sz w:val="22"/>
          <w:szCs w:val="22"/>
        </w:rPr>
      </w:pPr>
      <w:r w:rsidRPr="00320EDF">
        <w:rPr>
          <w:sz w:val="22"/>
          <w:szCs w:val="22"/>
        </w:rPr>
        <w:t xml:space="preserve"> the percentage of women in the AMEP has been within the range of 61% to 67% over the last 5 years</w:t>
      </w:r>
    </w:p>
    <w:p w:rsidR="00140EBC" w:rsidRPr="00320EDF" w:rsidRDefault="00C7416D" w:rsidP="00320EDF">
      <w:pPr>
        <w:pStyle w:val="ListParagraph"/>
        <w:rPr>
          <w:sz w:val="22"/>
          <w:szCs w:val="22"/>
        </w:rPr>
      </w:pPr>
      <w:r w:rsidRPr="00320EDF">
        <w:rPr>
          <w:sz w:val="22"/>
          <w:szCs w:val="22"/>
        </w:rPr>
        <w:t xml:space="preserve"> </w:t>
      </w:r>
      <w:r w:rsidR="00157DE9" w:rsidRPr="00320EDF">
        <w:rPr>
          <w:sz w:val="22"/>
          <w:szCs w:val="22"/>
        </w:rPr>
        <w:t>the percentage of clients 45 years or younger has been within the range of 73% to 76%</w:t>
      </w:r>
    </w:p>
    <w:p w:rsidR="00320EDF" w:rsidRPr="000F1BE5" w:rsidRDefault="00320EDF" w:rsidP="00435F84">
      <w:pPr>
        <w:pStyle w:val="Bodypara"/>
        <w:rPr>
          <w:sz w:val="22"/>
          <w:szCs w:val="22"/>
        </w:rPr>
      </w:pPr>
    </w:p>
    <w:p w:rsidR="00157DE9" w:rsidRPr="00320EDF" w:rsidRDefault="00435F84" w:rsidP="00435F84">
      <w:pPr>
        <w:pStyle w:val="Bodypara"/>
        <w:rPr>
          <w:sz w:val="22"/>
          <w:szCs w:val="22"/>
        </w:rPr>
      </w:pPr>
      <w:r w:rsidRPr="00320EDF">
        <w:rPr>
          <w:sz w:val="22"/>
          <w:szCs w:val="22"/>
        </w:rPr>
        <w:t xml:space="preserve">Full year figures are provided for 2009 to 2012. </w:t>
      </w:r>
      <w:r w:rsidR="000F1BE5">
        <w:rPr>
          <w:sz w:val="22"/>
          <w:szCs w:val="22"/>
        </w:rPr>
        <w:t xml:space="preserve"> </w:t>
      </w:r>
      <w:r w:rsidRPr="00320EDF">
        <w:rPr>
          <w:sz w:val="22"/>
          <w:szCs w:val="22"/>
        </w:rPr>
        <w:t xml:space="preserve">2013 includes clients up to end September. </w:t>
      </w:r>
      <w:r w:rsidR="000F1BE5">
        <w:rPr>
          <w:sz w:val="22"/>
          <w:szCs w:val="22"/>
        </w:rPr>
        <w:t xml:space="preserve"> </w:t>
      </w:r>
      <w:r w:rsidR="00062C44" w:rsidRPr="00320EDF">
        <w:rPr>
          <w:sz w:val="22"/>
          <w:szCs w:val="22"/>
        </w:rPr>
        <w:t xml:space="preserve">Clients recorded are those in AMES AMEP contract regions in Victoria. </w:t>
      </w:r>
      <w:r w:rsidR="000F1BE5">
        <w:rPr>
          <w:sz w:val="22"/>
          <w:szCs w:val="22"/>
        </w:rPr>
        <w:t xml:space="preserve"> </w:t>
      </w:r>
      <w:r w:rsidR="00062C44" w:rsidRPr="00320EDF">
        <w:rPr>
          <w:sz w:val="22"/>
          <w:szCs w:val="22"/>
        </w:rPr>
        <w:t xml:space="preserve">These represent </w:t>
      </w:r>
      <w:r w:rsidR="004B704E" w:rsidRPr="00320EDF">
        <w:rPr>
          <w:sz w:val="22"/>
          <w:szCs w:val="22"/>
        </w:rPr>
        <w:t xml:space="preserve">clients in 7 of the 8 contract regions in Victoria and an estimated </w:t>
      </w:r>
      <w:r w:rsidR="00062C44" w:rsidRPr="00320EDF">
        <w:rPr>
          <w:sz w:val="22"/>
          <w:szCs w:val="22"/>
        </w:rPr>
        <w:t>30% of national provision.</w:t>
      </w:r>
    </w:p>
    <w:p w:rsidR="00435F84" w:rsidRPr="000F1BE5" w:rsidRDefault="00435F84" w:rsidP="00435F84">
      <w:pPr>
        <w:pStyle w:val="Bodypara"/>
        <w:rPr>
          <w:sz w:val="22"/>
          <w:szCs w:val="22"/>
        </w:rPr>
      </w:pPr>
    </w:p>
    <w:p w:rsidR="00062B54" w:rsidRPr="000F1BE5" w:rsidRDefault="00157DE9" w:rsidP="000F1BE5">
      <w:pPr>
        <w:spacing w:after="120" w:line="240" w:lineRule="auto"/>
        <w:rPr>
          <w:rFonts w:ascii="Arial Narrow" w:eastAsia="Times New Roman" w:hAnsi="Arial Narrow" w:cs="Times New Roman"/>
          <w:color w:val="000000"/>
          <w:sz w:val="22"/>
          <w:szCs w:val="22"/>
          <w:lang w:eastAsia="en-AU"/>
        </w:rPr>
      </w:pPr>
      <w:r w:rsidRPr="000F1BE5">
        <w:rPr>
          <w:rFonts w:ascii="Arial Narrow" w:eastAsia="Times New Roman" w:hAnsi="Arial Narrow" w:cs="Times New Roman"/>
          <w:color w:val="000000"/>
          <w:sz w:val="22"/>
          <w:szCs w:val="22"/>
          <w:lang w:eastAsia="en-AU"/>
        </w:rPr>
        <w:t>Table 1:</w:t>
      </w:r>
      <w:r w:rsidR="00435F84" w:rsidRPr="000F1BE5">
        <w:rPr>
          <w:rFonts w:ascii="Arial Narrow" w:eastAsia="Times New Roman" w:hAnsi="Arial Narrow" w:cs="Times New Roman"/>
          <w:color w:val="000000"/>
          <w:sz w:val="22"/>
          <w:szCs w:val="22"/>
          <w:lang w:eastAsia="en-AU"/>
        </w:rPr>
        <w:t xml:space="preserve"> </w:t>
      </w:r>
      <w:r w:rsidR="00C7416D" w:rsidRPr="000F1BE5">
        <w:rPr>
          <w:rFonts w:ascii="Arial Narrow" w:eastAsia="Times New Roman" w:hAnsi="Arial Narrow" w:cs="Times New Roman"/>
          <w:color w:val="000000"/>
          <w:sz w:val="22"/>
          <w:szCs w:val="22"/>
          <w:lang w:eastAsia="en-AU"/>
        </w:rPr>
        <w:t>AMEP Clients by Gender</w:t>
      </w:r>
    </w:p>
    <w:tbl>
      <w:tblPr>
        <w:tblW w:w="9020" w:type="dxa"/>
        <w:tblInd w:w="93" w:type="dxa"/>
        <w:tblLook w:val="04A0" w:firstRow="1" w:lastRow="0" w:firstColumn="1" w:lastColumn="0" w:noHBand="0" w:noVBand="1"/>
      </w:tblPr>
      <w:tblGrid>
        <w:gridCol w:w="820"/>
        <w:gridCol w:w="820"/>
        <w:gridCol w:w="820"/>
        <w:gridCol w:w="820"/>
        <w:gridCol w:w="820"/>
        <w:gridCol w:w="820"/>
        <w:gridCol w:w="820"/>
        <w:gridCol w:w="820"/>
        <w:gridCol w:w="820"/>
        <w:gridCol w:w="820"/>
        <w:gridCol w:w="820"/>
      </w:tblGrid>
      <w:tr w:rsidR="00C7416D" w:rsidRPr="000F1BE5" w:rsidTr="00C7416D">
        <w:trPr>
          <w:trHeight w:val="300"/>
        </w:trPr>
        <w:tc>
          <w:tcPr>
            <w:tcW w:w="820" w:type="dxa"/>
            <w:tcBorders>
              <w:top w:val="single" w:sz="4" w:space="0" w:color="808080"/>
              <w:left w:val="single" w:sz="4" w:space="0" w:color="808080"/>
              <w:bottom w:val="single" w:sz="4" w:space="0" w:color="808080"/>
              <w:right w:val="single" w:sz="4" w:space="0" w:color="808080"/>
            </w:tcBorders>
            <w:shd w:val="clear" w:color="000000" w:fill="F2F2F2"/>
          </w:tcPr>
          <w:p w:rsidR="00C7416D" w:rsidRPr="003E25C5" w:rsidRDefault="00C7416D" w:rsidP="000F1BE5">
            <w:pPr>
              <w:spacing w:before="20" w:after="20" w:line="240" w:lineRule="auto"/>
              <w:jc w:val="right"/>
              <w:rPr>
                <w:rFonts w:ascii="Arial Narrow" w:eastAsia="Times New Roman" w:hAnsi="Arial Narrow" w:cs="Times New Roman"/>
                <w:color w:val="000000"/>
                <w:sz w:val="20"/>
                <w:szCs w:val="20"/>
                <w:lang w:eastAsia="en-AU"/>
              </w:rPr>
            </w:pPr>
          </w:p>
        </w:tc>
        <w:tc>
          <w:tcPr>
            <w:tcW w:w="820" w:type="dxa"/>
            <w:tcBorders>
              <w:top w:val="single" w:sz="4" w:space="0" w:color="808080"/>
              <w:left w:val="single" w:sz="4" w:space="0" w:color="808080"/>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2009</w:t>
            </w:r>
          </w:p>
        </w:tc>
        <w:tc>
          <w:tcPr>
            <w:tcW w:w="820"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2009</w:t>
            </w:r>
          </w:p>
        </w:tc>
        <w:tc>
          <w:tcPr>
            <w:tcW w:w="820"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2010</w:t>
            </w:r>
          </w:p>
        </w:tc>
        <w:tc>
          <w:tcPr>
            <w:tcW w:w="820"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2010</w:t>
            </w:r>
          </w:p>
        </w:tc>
        <w:tc>
          <w:tcPr>
            <w:tcW w:w="820"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2011</w:t>
            </w:r>
          </w:p>
        </w:tc>
        <w:tc>
          <w:tcPr>
            <w:tcW w:w="820"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2011</w:t>
            </w:r>
          </w:p>
        </w:tc>
        <w:tc>
          <w:tcPr>
            <w:tcW w:w="820"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2012</w:t>
            </w:r>
          </w:p>
        </w:tc>
        <w:tc>
          <w:tcPr>
            <w:tcW w:w="820"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2012</w:t>
            </w:r>
          </w:p>
        </w:tc>
        <w:tc>
          <w:tcPr>
            <w:tcW w:w="820"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2013</w:t>
            </w:r>
          </w:p>
        </w:tc>
        <w:tc>
          <w:tcPr>
            <w:tcW w:w="820"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2013</w:t>
            </w:r>
          </w:p>
        </w:tc>
      </w:tr>
      <w:tr w:rsidR="00C7416D" w:rsidRPr="000F1BE5" w:rsidTr="00C7416D">
        <w:trPr>
          <w:trHeight w:val="300"/>
        </w:trPr>
        <w:tc>
          <w:tcPr>
            <w:tcW w:w="820" w:type="dxa"/>
            <w:tcBorders>
              <w:top w:val="nil"/>
              <w:left w:val="single" w:sz="4" w:space="0" w:color="808080"/>
              <w:bottom w:val="single" w:sz="4" w:space="0" w:color="808080"/>
              <w:right w:val="single" w:sz="4" w:space="0" w:color="808080"/>
            </w:tcBorders>
            <w:shd w:val="clear" w:color="000000" w:fill="FFFFFF"/>
          </w:tcPr>
          <w:p w:rsidR="00C7416D" w:rsidRPr="003E25C5" w:rsidRDefault="00C7416D" w:rsidP="003E25C5">
            <w:pPr>
              <w:spacing w:before="20" w:after="20" w:line="240" w:lineRule="auto"/>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Female</w:t>
            </w:r>
          </w:p>
        </w:tc>
        <w:tc>
          <w:tcPr>
            <w:tcW w:w="820" w:type="dxa"/>
            <w:tcBorders>
              <w:top w:val="nil"/>
              <w:left w:val="single" w:sz="4" w:space="0" w:color="808080"/>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10418</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66.8%</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10217</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65.5%</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9385</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63.7%</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9353</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61.2%</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8359</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60.9%</w:t>
            </w:r>
          </w:p>
        </w:tc>
      </w:tr>
      <w:tr w:rsidR="00C7416D" w:rsidRPr="000F1BE5" w:rsidTr="00C7416D">
        <w:trPr>
          <w:trHeight w:val="300"/>
        </w:trPr>
        <w:tc>
          <w:tcPr>
            <w:tcW w:w="820" w:type="dxa"/>
            <w:tcBorders>
              <w:top w:val="nil"/>
              <w:left w:val="single" w:sz="4" w:space="0" w:color="808080"/>
              <w:bottom w:val="single" w:sz="4" w:space="0" w:color="808080"/>
              <w:right w:val="single" w:sz="4" w:space="0" w:color="808080"/>
            </w:tcBorders>
            <w:shd w:val="clear" w:color="000000" w:fill="FFFFFF"/>
          </w:tcPr>
          <w:p w:rsidR="00C7416D" w:rsidRPr="003E25C5" w:rsidRDefault="00C7416D" w:rsidP="003E25C5">
            <w:pPr>
              <w:spacing w:before="20" w:after="20" w:line="240" w:lineRule="auto"/>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Male</w:t>
            </w:r>
          </w:p>
        </w:tc>
        <w:tc>
          <w:tcPr>
            <w:tcW w:w="820" w:type="dxa"/>
            <w:tcBorders>
              <w:top w:val="nil"/>
              <w:left w:val="single" w:sz="4" w:space="0" w:color="808080"/>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5167</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33.2%</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5382</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34.5%</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5344</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36.3%</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5930</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38.8%</w:t>
            </w:r>
          </w:p>
        </w:tc>
        <w:tc>
          <w:tcPr>
            <w:tcW w:w="820"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5365</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39.1%</w:t>
            </w:r>
          </w:p>
        </w:tc>
      </w:tr>
      <w:tr w:rsidR="00C7416D" w:rsidRPr="000F1BE5" w:rsidTr="00C7416D">
        <w:trPr>
          <w:trHeight w:val="300"/>
        </w:trPr>
        <w:tc>
          <w:tcPr>
            <w:tcW w:w="820" w:type="dxa"/>
            <w:tcBorders>
              <w:top w:val="nil"/>
              <w:left w:val="single" w:sz="4" w:space="0" w:color="808080"/>
              <w:bottom w:val="single" w:sz="4" w:space="0" w:color="808080"/>
              <w:right w:val="single" w:sz="4" w:space="0" w:color="808080"/>
            </w:tcBorders>
          </w:tcPr>
          <w:p w:rsidR="00C7416D" w:rsidRPr="003E25C5" w:rsidRDefault="00C7416D" w:rsidP="003E25C5">
            <w:pPr>
              <w:spacing w:before="20" w:after="20" w:line="240" w:lineRule="auto"/>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Total</w:t>
            </w:r>
          </w:p>
        </w:tc>
        <w:tc>
          <w:tcPr>
            <w:tcW w:w="820" w:type="dxa"/>
            <w:tcBorders>
              <w:top w:val="nil"/>
              <w:left w:val="single" w:sz="4" w:space="0" w:color="808080"/>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15585</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100%</w:t>
            </w:r>
          </w:p>
        </w:tc>
        <w:tc>
          <w:tcPr>
            <w:tcW w:w="82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15599</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100%</w:t>
            </w:r>
          </w:p>
        </w:tc>
        <w:tc>
          <w:tcPr>
            <w:tcW w:w="82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14729</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100%</w:t>
            </w:r>
          </w:p>
        </w:tc>
        <w:tc>
          <w:tcPr>
            <w:tcW w:w="82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15283</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100%</w:t>
            </w:r>
          </w:p>
        </w:tc>
        <w:tc>
          <w:tcPr>
            <w:tcW w:w="82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13724</w:t>
            </w:r>
          </w:p>
        </w:tc>
        <w:tc>
          <w:tcPr>
            <w:tcW w:w="82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line="240" w:lineRule="auto"/>
              <w:jc w:val="right"/>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100%</w:t>
            </w:r>
          </w:p>
        </w:tc>
      </w:tr>
    </w:tbl>
    <w:p w:rsidR="008945B0" w:rsidRPr="000F1BE5" w:rsidRDefault="00C7416D" w:rsidP="0019184A">
      <w:pPr>
        <w:pStyle w:val="Bodypara"/>
        <w:rPr>
          <w:rFonts w:eastAsia="Times New Roman" w:cs="Times New Roman"/>
          <w:sz w:val="22"/>
          <w:szCs w:val="22"/>
          <w:lang w:eastAsia="en-AU"/>
        </w:rPr>
      </w:pPr>
      <w:r w:rsidRPr="000F1BE5">
        <w:rPr>
          <w:rFonts w:eastAsia="Times New Roman" w:cs="Times New Roman"/>
          <w:sz w:val="22"/>
          <w:szCs w:val="22"/>
          <w:lang w:eastAsia="en-AU"/>
        </w:rPr>
        <w:t xml:space="preserve">Source: ARMS reports </w:t>
      </w:r>
    </w:p>
    <w:p w:rsidR="00320EDF" w:rsidRDefault="00320EDF" w:rsidP="0019184A">
      <w:pPr>
        <w:pStyle w:val="Bodypara"/>
        <w:rPr>
          <w:rFonts w:eastAsia="Times New Roman" w:cs="Times New Roman"/>
          <w:sz w:val="22"/>
          <w:szCs w:val="22"/>
          <w:lang w:eastAsia="en-AU"/>
        </w:rPr>
      </w:pPr>
    </w:p>
    <w:p w:rsidR="000F1BE5" w:rsidRDefault="000F1BE5" w:rsidP="0019184A">
      <w:pPr>
        <w:pStyle w:val="Bodypara"/>
        <w:rPr>
          <w:rFonts w:eastAsia="Times New Roman" w:cs="Times New Roman"/>
          <w:sz w:val="22"/>
          <w:szCs w:val="22"/>
          <w:lang w:eastAsia="en-AU"/>
        </w:rPr>
      </w:pPr>
    </w:p>
    <w:p w:rsidR="000F1BE5" w:rsidRPr="000F1BE5" w:rsidRDefault="000F1BE5" w:rsidP="0019184A">
      <w:pPr>
        <w:pStyle w:val="Bodypara"/>
        <w:rPr>
          <w:rFonts w:eastAsia="Times New Roman" w:cs="Times New Roman"/>
          <w:sz w:val="22"/>
          <w:szCs w:val="22"/>
          <w:lang w:eastAsia="en-AU"/>
        </w:rPr>
      </w:pPr>
    </w:p>
    <w:p w:rsidR="00C7416D" w:rsidRPr="000F1BE5" w:rsidRDefault="00157DE9" w:rsidP="000F1BE5">
      <w:pPr>
        <w:spacing w:after="120" w:line="240" w:lineRule="auto"/>
        <w:rPr>
          <w:rFonts w:ascii="Arial Narrow" w:eastAsia="Times New Roman" w:hAnsi="Arial Narrow" w:cs="Times New Roman"/>
          <w:color w:val="000000"/>
          <w:sz w:val="22"/>
          <w:szCs w:val="22"/>
          <w:lang w:eastAsia="en-AU"/>
        </w:rPr>
      </w:pPr>
      <w:r w:rsidRPr="000F1BE5">
        <w:rPr>
          <w:rFonts w:ascii="Arial Narrow" w:eastAsia="Times New Roman" w:hAnsi="Arial Narrow" w:cs="Times New Roman"/>
          <w:color w:val="000000"/>
          <w:sz w:val="22"/>
          <w:szCs w:val="22"/>
          <w:lang w:eastAsia="en-AU"/>
        </w:rPr>
        <w:lastRenderedPageBreak/>
        <w:t xml:space="preserve">Table 2: </w:t>
      </w:r>
      <w:r w:rsidR="00C7416D" w:rsidRPr="000F1BE5">
        <w:rPr>
          <w:rFonts w:ascii="Arial Narrow" w:eastAsia="Times New Roman" w:hAnsi="Arial Narrow" w:cs="Times New Roman"/>
          <w:color w:val="000000"/>
          <w:sz w:val="22"/>
          <w:szCs w:val="22"/>
          <w:lang w:eastAsia="en-AU"/>
        </w:rPr>
        <w:t>AMEP Clients by Age</w:t>
      </w:r>
    </w:p>
    <w:tbl>
      <w:tblPr>
        <w:tblW w:w="9356" w:type="dxa"/>
        <w:tblInd w:w="108" w:type="dxa"/>
        <w:tblLook w:val="04A0" w:firstRow="1" w:lastRow="0" w:firstColumn="1" w:lastColumn="0" w:noHBand="0" w:noVBand="1"/>
      </w:tblPr>
      <w:tblGrid>
        <w:gridCol w:w="1211"/>
        <w:gridCol w:w="774"/>
        <w:gridCol w:w="850"/>
        <w:gridCol w:w="851"/>
        <w:gridCol w:w="785"/>
        <w:gridCol w:w="774"/>
        <w:gridCol w:w="851"/>
        <w:gridCol w:w="850"/>
        <w:gridCol w:w="785"/>
        <w:gridCol w:w="774"/>
        <w:gridCol w:w="851"/>
      </w:tblGrid>
      <w:tr w:rsidR="00C7416D" w:rsidRPr="000F1BE5" w:rsidTr="00B7542E">
        <w:trPr>
          <w:trHeight w:val="300"/>
        </w:trPr>
        <w:tc>
          <w:tcPr>
            <w:tcW w:w="1211" w:type="dxa"/>
            <w:tcBorders>
              <w:top w:val="single" w:sz="4" w:space="0" w:color="808080"/>
              <w:left w:val="single" w:sz="4" w:space="0" w:color="808080"/>
              <w:bottom w:val="single" w:sz="4" w:space="0" w:color="808080"/>
              <w:right w:val="single" w:sz="4" w:space="0" w:color="808080"/>
            </w:tcBorders>
            <w:shd w:val="clear" w:color="000000" w:fill="F2F2F2"/>
          </w:tcPr>
          <w:p w:rsidR="00C7416D" w:rsidRPr="003E25C5" w:rsidRDefault="00C7416D" w:rsidP="003E25C5">
            <w:pPr>
              <w:spacing w:before="20" w:after="20"/>
              <w:rPr>
                <w:rFonts w:ascii="Arial Narrow" w:hAnsi="Arial Narrow"/>
                <w:sz w:val="20"/>
                <w:szCs w:val="20"/>
                <w:lang w:eastAsia="en-AU"/>
              </w:rPr>
            </w:pPr>
          </w:p>
        </w:tc>
        <w:tc>
          <w:tcPr>
            <w:tcW w:w="774" w:type="dxa"/>
            <w:tcBorders>
              <w:top w:val="single" w:sz="4" w:space="0" w:color="808080"/>
              <w:left w:val="single" w:sz="4" w:space="0" w:color="808080"/>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2009</w:t>
            </w:r>
          </w:p>
        </w:tc>
        <w:tc>
          <w:tcPr>
            <w:tcW w:w="850"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2009</w:t>
            </w:r>
          </w:p>
        </w:tc>
        <w:tc>
          <w:tcPr>
            <w:tcW w:w="851"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2010</w:t>
            </w:r>
          </w:p>
        </w:tc>
        <w:tc>
          <w:tcPr>
            <w:tcW w:w="785"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2020</w:t>
            </w:r>
          </w:p>
        </w:tc>
        <w:tc>
          <w:tcPr>
            <w:tcW w:w="774"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2011</w:t>
            </w:r>
          </w:p>
        </w:tc>
        <w:tc>
          <w:tcPr>
            <w:tcW w:w="851"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2011</w:t>
            </w:r>
          </w:p>
        </w:tc>
        <w:tc>
          <w:tcPr>
            <w:tcW w:w="850"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2012</w:t>
            </w:r>
          </w:p>
        </w:tc>
        <w:tc>
          <w:tcPr>
            <w:tcW w:w="785"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2012</w:t>
            </w:r>
          </w:p>
        </w:tc>
        <w:tc>
          <w:tcPr>
            <w:tcW w:w="774" w:type="dxa"/>
            <w:tcBorders>
              <w:top w:val="single" w:sz="4" w:space="0" w:color="808080"/>
              <w:left w:val="nil"/>
              <w:bottom w:val="single" w:sz="4" w:space="0" w:color="808080"/>
              <w:right w:val="single" w:sz="4" w:space="0" w:color="808080"/>
            </w:tcBorders>
            <w:shd w:val="clear" w:color="000000" w:fill="F2F2F2"/>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2013</w:t>
            </w:r>
          </w:p>
        </w:tc>
        <w:tc>
          <w:tcPr>
            <w:tcW w:w="851" w:type="dxa"/>
            <w:tcBorders>
              <w:top w:val="single" w:sz="4" w:space="0" w:color="808080"/>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2013</w:t>
            </w:r>
          </w:p>
        </w:tc>
      </w:tr>
      <w:tr w:rsidR="00C7416D" w:rsidRPr="000F1BE5" w:rsidTr="00B7542E">
        <w:trPr>
          <w:trHeight w:val="300"/>
        </w:trPr>
        <w:tc>
          <w:tcPr>
            <w:tcW w:w="1211" w:type="dxa"/>
            <w:tcBorders>
              <w:top w:val="nil"/>
              <w:left w:val="single" w:sz="4" w:space="0" w:color="808080"/>
              <w:bottom w:val="single" w:sz="4" w:space="0" w:color="808080"/>
              <w:right w:val="single" w:sz="4" w:space="0" w:color="808080"/>
            </w:tcBorders>
          </w:tcPr>
          <w:p w:rsidR="00C7416D" w:rsidRPr="003E25C5" w:rsidRDefault="00DD0CA6" w:rsidP="003E25C5">
            <w:pPr>
              <w:spacing w:before="20" w:after="20"/>
              <w:rPr>
                <w:rFonts w:ascii="Arial Narrow" w:hAnsi="Arial Narrow"/>
                <w:sz w:val="20"/>
                <w:szCs w:val="20"/>
              </w:rPr>
            </w:pPr>
            <w:r w:rsidRPr="003E25C5">
              <w:rPr>
                <w:rFonts w:ascii="Arial Narrow" w:hAnsi="Arial Narrow"/>
                <w:sz w:val="20"/>
                <w:szCs w:val="20"/>
              </w:rPr>
              <w:t>Under 25</w:t>
            </w:r>
          </w:p>
        </w:tc>
        <w:tc>
          <w:tcPr>
            <w:tcW w:w="774" w:type="dxa"/>
            <w:tcBorders>
              <w:top w:val="nil"/>
              <w:left w:val="single" w:sz="4" w:space="0" w:color="808080"/>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1530</w:t>
            </w:r>
          </w:p>
        </w:tc>
        <w:tc>
          <w:tcPr>
            <w:tcW w:w="85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9.8%</w:t>
            </w:r>
          </w:p>
        </w:tc>
        <w:tc>
          <w:tcPr>
            <w:tcW w:w="851"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1940</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12.4%</w:t>
            </w:r>
          </w:p>
        </w:tc>
        <w:tc>
          <w:tcPr>
            <w:tcW w:w="774"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2229</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15.1%</w:t>
            </w:r>
          </w:p>
        </w:tc>
        <w:tc>
          <w:tcPr>
            <w:tcW w:w="85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2291</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15.0%</w:t>
            </w:r>
          </w:p>
        </w:tc>
        <w:tc>
          <w:tcPr>
            <w:tcW w:w="774"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1933</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14.1%</w:t>
            </w:r>
          </w:p>
        </w:tc>
      </w:tr>
      <w:tr w:rsidR="00C7416D" w:rsidRPr="000F1BE5" w:rsidTr="00B7542E">
        <w:trPr>
          <w:trHeight w:val="300"/>
        </w:trPr>
        <w:tc>
          <w:tcPr>
            <w:tcW w:w="1211" w:type="dxa"/>
            <w:tcBorders>
              <w:top w:val="nil"/>
              <w:left w:val="single" w:sz="4" w:space="0" w:color="808080"/>
              <w:bottom w:val="single" w:sz="4" w:space="0" w:color="808080"/>
              <w:right w:val="single" w:sz="4" w:space="0" w:color="808080"/>
            </w:tcBorders>
          </w:tcPr>
          <w:p w:rsidR="00C7416D" w:rsidRPr="003E25C5" w:rsidRDefault="00C7416D" w:rsidP="003E25C5">
            <w:pPr>
              <w:spacing w:before="20" w:after="20"/>
              <w:rPr>
                <w:rFonts w:ascii="Arial Narrow" w:hAnsi="Arial Narrow"/>
                <w:sz w:val="20"/>
                <w:szCs w:val="20"/>
                <w:lang w:eastAsia="en-AU"/>
              </w:rPr>
            </w:pPr>
            <w:r w:rsidRPr="003E25C5">
              <w:rPr>
                <w:rFonts w:ascii="Arial Narrow" w:hAnsi="Arial Narrow"/>
                <w:sz w:val="20"/>
                <w:szCs w:val="20"/>
                <w:lang w:eastAsia="en-AU"/>
              </w:rPr>
              <w:t>25</w:t>
            </w:r>
            <w:r w:rsidR="00157DE9" w:rsidRPr="003E25C5">
              <w:rPr>
                <w:rFonts w:ascii="Arial Narrow" w:hAnsi="Arial Narrow"/>
                <w:sz w:val="20"/>
                <w:szCs w:val="20"/>
                <w:lang w:eastAsia="en-AU"/>
              </w:rPr>
              <w:t>.01</w:t>
            </w:r>
            <w:r w:rsidRPr="003E25C5">
              <w:rPr>
                <w:rFonts w:ascii="Arial Narrow" w:hAnsi="Arial Narrow"/>
                <w:sz w:val="20"/>
                <w:szCs w:val="20"/>
                <w:lang w:eastAsia="en-AU"/>
              </w:rPr>
              <w:t>-45</w:t>
            </w:r>
          </w:p>
        </w:tc>
        <w:tc>
          <w:tcPr>
            <w:tcW w:w="774" w:type="dxa"/>
            <w:tcBorders>
              <w:top w:val="nil"/>
              <w:left w:val="single" w:sz="4" w:space="0" w:color="808080"/>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9974</w:t>
            </w:r>
          </w:p>
        </w:tc>
        <w:tc>
          <w:tcPr>
            <w:tcW w:w="85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64.0%</w:t>
            </w:r>
          </w:p>
        </w:tc>
        <w:tc>
          <w:tcPr>
            <w:tcW w:w="851"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9599</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61.5%</w:t>
            </w:r>
          </w:p>
        </w:tc>
        <w:tc>
          <w:tcPr>
            <w:tcW w:w="774"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8683</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59.0%</w:t>
            </w:r>
          </w:p>
        </w:tc>
        <w:tc>
          <w:tcPr>
            <w:tcW w:w="85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8936</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58.5%</w:t>
            </w:r>
          </w:p>
        </w:tc>
        <w:tc>
          <w:tcPr>
            <w:tcW w:w="774"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8018</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58.4%</w:t>
            </w:r>
          </w:p>
        </w:tc>
      </w:tr>
      <w:tr w:rsidR="00C7416D" w:rsidRPr="000F1BE5" w:rsidTr="00B7542E">
        <w:trPr>
          <w:trHeight w:val="300"/>
        </w:trPr>
        <w:tc>
          <w:tcPr>
            <w:tcW w:w="1211" w:type="dxa"/>
            <w:tcBorders>
              <w:top w:val="nil"/>
              <w:left w:val="single" w:sz="4" w:space="0" w:color="808080"/>
              <w:bottom w:val="single" w:sz="4" w:space="0" w:color="808080"/>
              <w:right w:val="single" w:sz="4" w:space="0" w:color="808080"/>
            </w:tcBorders>
          </w:tcPr>
          <w:p w:rsidR="00C7416D" w:rsidRPr="003E25C5" w:rsidRDefault="00C7416D" w:rsidP="003E25C5">
            <w:pPr>
              <w:spacing w:before="20" w:after="20"/>
              <w:rPr>
                <w:rFonts w:ascii="Arial Narrow" w:hAnsi="Arial Narrow"/>
                <w:sz w:val="20"/>
                <w:szCs w:val="20"/>
                <w:lang w:eastAsia="en-AU"/>
              </w:rPr>
            </w:pPr>
            <w:r w:rsidRPr="003E25C5">
              <w:rPr>
                <w:rFonts w:ascii="Arial Narrow" w:hAnsi="Arial Narrow"/>
                <w:sz w:val="20"/>
                <w:szCs w:val="20"/>
                <w:lang w:eastAsia="en-AU"/>
              </w:rPr>
              <w:t>45</w:t>
            </w:r>
            <w:r w:rsidR="00157DE9" w:rsidRPr="003E25C5">
              <w:rPr>
                <w:rFonts w:ascii="Arial Narrow" w:hAnsi="Arial Narrow"/>
                <w:sz w:val="20"/>
                <w:szCs w:val="20"/>
                <w:lang w:eastAsia="en-AU"/>
              </w:rPr>
              <w:t>.01</w:t>
            </w:r>
            <w:r w:rsidRPr="003E25C5">
              <w:rPr>
                <w:rFonts w:ascii="Arial Narrow" w:hAnsi="Arial Narrow"/>
                <w:sz w:val="20"/>
                <w:szCs w:val="20"/>
                <w:lang w:eastAsia="en-AU"/>
              </w:rPr>
              <w:t>-65</w:t>
            </w:r>
          </w:p>
        </w:tc>
        <w:tc>
          <w:tcPr>
            <w:tcW w:w="774" w:type="dxa"/>
            <w:tcBorders>
              <w:top w:val="nil"/>
              <w:left w:val="single" w:sz="4" w:space="0" w:color="808080"/>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3494</w:t>
            </w:r>
          </w:p>
        </w:tc>
        <w:tc>
          <w:tcPr>
            <w:tcW w:w="85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22.4%</w:t>
            </w:r>
          </w:p>
        </w:tc>
        <w:tc>
          <w:tcPr>
            <w:tcW w:w="851"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3497</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22.4%</w:t>
            </w:r>
          </w:p>
        </w:tc>
        <w:tc>
          <w:tcPr>
            <w:tcW w:w="774"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3306</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22.4%</w:t>
            </w:r>
          </w:p>
        </w:tc>
        <w:tc>
          <w:tcPr>
            <w:tcW w:w="85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3559</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23.3%</w:t>
            </w:r>
          </w:p>
        </w:tc>
        <w:tc>
          <w:tcPr>
            <w:tcW w:w="774"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3306</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24.1%</w:t>
            </w:r>
          </w:p>
        </w:tc>
      </w:tr>
      <w:tr w:rsidR="00C7416D" w:rsidRPr="000F1BE5" w:rsidTr="00B7542E">
        <w:trPr>
          <w:trHeight w:val="300"/>
        </w:trPr>
        <w:tc>
          <w:tcPr>
            <w:tcW w:w="1211" w:type="dxa"/>
            <w:tcBorders>
              <w:top w:val="nil"/>
              <w:left w:val="single" w:sz="4" w:space="0" w:color="808080"/>
              <w:bottom w:val="single" w:sz="4" w:space="0" w:color="808080"/>
              <w:right w:val="single" w:sz="4" w:space="0" w:color="808080"/>
            </w:tcBorders>
          </w:tcPr>
          <w:p w:rsidR="00C7416D" w:rsidRPr="003E25C5" w:rsidRDefault="00157DE9" w:rsidP="003E25C5">
            <w:pPr>
              <w:spacing w:before="20" w:after="20"/>
              <w:rPr>
                <w:rFonts w:ascii="Arial Narrow" w:hAnsi="Arial Narrow"/>
                <w:sz w:val="20"/>
                <w:szCs w:val="20"/>
                <w:lang w:eastAsia="en-AU"/>
              </w:rPr>
            </w:pPr>
            <w:r w:rsidRPr="003E25C5">
              <w:rPr>
                <w:rFonts w:ascii="Arial Narrow" w:hAnsi="Arial Narrow"/>
                <w:sz w:val="20"/>
                <w:szCs w:val="20"/>
                <w:lang w:eastAsia="en-AU"/>
              </w:rPr>
              <w:t>Over 65</w:t>
            </w:r>
          </w:p>
        </w:tc>
        <w:tc>
          <w:tcPr>
            <w:tcW w:w="774" w:type="dxa"/>
            <w:tcBorders>
              <w:top w:val="nil"/>
              <w:left w:val="single" w:sz="4" w:space="0" w:color="808080"/>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584</w:t>
            </w:r>
          </w:p>
        </w:tc>
        <w:tc>
          <w:tcPr>
            <w:tcW w:w="85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3.7%</w:t>
            </w:r>
          </w:p>
        </w:tc>
        <w:tc>
          <w:tcPr>
            <w:tcW w:w="851"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563</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3.6%</w:t>
            </w:r>
          </w:p>
        </w:tc>
        <w:tc>
          <w:tcPr>
            <w:tcW w:w="774"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511</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3.5%</w:t>
            </w:r>
          </w:p>
        </w:tc>
        <w:tc>
          <w:tcPr>
            <w:tcW w:w="85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497</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3.3%</w:t>
            </w:r>
          </w:p>
        </w:tc>
        <w:tc>
          <w:tcPr>
            <w:tcW w:w="774" w:type="dxa"/>
            <w:tcBorders>
              <w:top w:val="nil"/>
              <w:left w:val="nil"/>
              <w:bottom w:val="single" w:sz="4" w:space="0" w:color="808080"/>
              <w:right w:val="single" w:sz="4" w:space="0" w:color="808080"/>
            </w:tcBorders>
            <w:shd w:val="clear" w:color="000000" w:fill="FFFFFF"/>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467</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3.4%</w:t>
            </w:r>
          </w:p>
        </w:tc>
      </w:tr>
      <w:tr w:rsidR="00C7416D" w:rsidRPr="000F1BE5" w:rsidTr="00B7542E">
        <w:trPr>
          <w:trHeight w:val="300"/>
        </w:trPr>
        <w:tc>
          <w:tcPr>
            <w:tcW w:w="1211" w:type="dxa"/>
            <w:tcBorders>
              <w:top w:val="nil"/>
              <w:left w:val="single" w:sz="4" w:space="0" w:color="808080"/>
              <w:bottom w:val="single" w:sz="4" w:space="0" w:color="808080"/>
              <w:right w:val="single" w:sz="4" w:space="0" w:color="808080"/>
            </w:tcBorders>
          </w:tcPr>
          <w:p w:rsidR="00C7416D" w:rsidRPr="003E25C5" w:rsidRDefault="00C7416D" w:rsidP="003E25C5">
            <w:pPr>
              <w:spacing w:before="20" w:after="20"/>
              <w:rPr>
                <w:rFonts w:ascii="Arial Narrow" w:hAnsi="Arial Narrow"/>
                <w:sz w:val="20"/>
                <w:szCs w:val="20"/>
                <w:lang w:eastAsia="en-AU"/>
              </w:rPr>
            </w:pPr>
          </w:p>
        </w:tc>
        <w:tc>
          <w:tcPr>
            <w:tcW w:w="774" w:type="dxa"/>
            <w:tcBorders>
              <w:top w:val="nil"/>
              <w:left w:val="single" w:sz="4" w:space="0" w:color="808080"/>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15582</w:t>
            </w:r>
          </w:p>
        </w:tc>
        <w:tc>
          <w:tcPr>
            <w:tcW w:w="850"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100%</w:t>
            </w:r>
          </w:p>
        </w:tc>
        <w:tc>
          <w:tcPr>
            <w:tcW w:w="851"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15599</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100%</w:t>
            </w:r>
          </w:p>
        </w:tc>
        <w:tc>
          <w:tcPr>
            <w:tcW w:w="774"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14729</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100%</w:t>
            </w:r>
          </w:p>
        </w:tc>
        <w:tc>
          <w:tcPr>
            <w:tcW w:w="850"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15283</w:t>
            </w:r>
          </w:p>
        </w:tc>
        <w:tc>
          <w:tcPr>
            <w:tcW w:w="785"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100%</w:t>
            </w:r>
          </w:p>
        </w:tc>
        <w:tc>
          <w:tcPr>
            <w:tcW w:w="774" w:type="dxa"/>
            <w:tcBorders>
              <w:top w:val="nil"/>
              <w:left w:val="nil"/>
              <w:bottom w:val="single" w:sz="4" w:space="0" w:color="808080"/>
              <w:right w:val="single" w:sz="4" w:space="0" w:color="808080"/>
            </w:tcBorders>
            <w:shd w:val="clear" w:color="auto" w:fill="auto"/>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13724</w:t>
            </w:r>
          </w:p>
        </w:tc>
        <w:tc>
          <w:tcPr>
            <w:tcW w:w="851" w:type="dxa"/>
            <w:tcBorders>
              <w:top w:val="nil"/>
              <w:left w:val="nil"/>
              <w:bottom w:val="single" w:sz="4" w:space="0" w:color="808080"/>
              <w:right w:val="single" w:sz="4" w:space="0" w:color="808080"/>
            </w:tcBorders>
            <w:shd w:val="clear" w:color="000000" w:fill="EEECE1"/>
            <w:noWrap/>
            <w:vAlign w:val="bottom"/>
            <w:hideMark/>
          </w:tcPr>
          <w:p w:rsidR="00C7416D" w:rsidRPr="003E25C5" w:rsidRDefault="00C7416D" w:rsidP="003E25C5">
            <w:pPr>
              <w:spacing w:before="20" w:after="20"/>
              <w:jc w:val="right"/>
              <w:rPr>
                <w:rFonts w:ascii="Arial Narrow" w:hAnsi="Arial Narrow"/>
                <w:sz w:val="20"/>
                <w:szCs w:val="20"/>
                <w:lang w:eastAsia="en-AU"/>
              </w:rPr>
            </w:pPr>
            <w:r w:rsidRPr="003E25C5">
              <w:rPr>
                <w:rFonts w:ascii="Arial Narrow" w:hAnsi="Arial Narrow"/>
                <w:sz w:val="20"/>
                <w:szCs w:val="20"/>
                <w:lang w:eastAsia="en-AU"/>
              </w:rPr>
              <w:t>100%</w:t>
            </w:r>
          </w:p>
        </w:tc>
      </w:tr>
    </w:tbl>
    <w:p w:rsidR="00C7416D" w:rsidRPr="000F1BE5" w:rsidRDefault="00C7416D" w:rsidP="000F1BE5">
      <w:pPr>
        <w:spacing w:before="60" w:after="60" w:line="240" w:lineRule="auto"/>
        <w:rPr>
          <w:rFonts w:ascii="Arial Narrow" w:eastAsia="Times New Roman" w:hAnsi="Arial Narrow" w:cs="Times New Roman"/>
          <w:color w:val="000000"/>
          <w:sz w:val="22"/>
          <w:szCs w:val="22"/>
          <w:lang w:eastAsia="en-AU"/>
        </w:rPr>
      </w:pPr>
      <w:r w:rsidRPr="000F1BE5">
        <w:rPr>
          <w:rFonts w:ascii="Arial Narrow" w:eastAsia="Times New Roman" w:hAnsi="Arial Narrow" w:cs="Times New Roman"/>
          <w:color w:val="000000"/>
          <w:sz w:val="22"/>
          <w:szCs w:val="22"/>
          <w:lang w:eastAsia="en-AU"/>
        </w:rPr>
        <w:t xml:space="preserve">Source: ARMS reports </w:t>
      </w:r>
    </w:p>
    <w:p w:rsidR="00AE70E1" w:rsidRPr="00DA5D27" w:rsidRDefault="00AE70E1" w:rsidP="00AE70E1">
      <w:pPr>
        <w:pStyle w:val="Bodypara"/>
        <w:rPr>
          <w:sz w:val="22"/>
          <w:szCs w:val="22"/>
        </w:rPr>
      </w:pPr>
    </w:p>
    <w:p w:rsidR="00AE70E1" w:rsidRPr="00101FED" w:rsidRDefault="00AE70E1" w:rsidP="00AE70E1">
      <w:pPr>
        <w:pStyle w:val="Bodypara"/>
        <w:rPr>
          <w:sz w:val="22"/>
          <w:szCs w:val="22"/>
        </w:rPr>
      </w:pPr>
      <w:r w:rsidRPr="00101FED">
        <w:rPr>
          <w:sz w:val="22"/>
          <w:szCs w:val="22"/>
        </w:rPr>
        <w:t xml:space="preserve">AMES strongly supports the provision of child care in the AMEP. </w:t>
      </w:r>
      <w:r w:rsidR="003E25C5">
        <w:rPr>
          <w:sz w:val="22"/>
          <w:szCs w:val="22"/>
        </w:rPr>
        <w:t xml:space="preserve"> </w:t>
      </w:r>
      <w:r w:rsidRPr="00101FED">
        <w:rPr>
          <w:sz w:val="22"/>
          <w:szCs w:val="22"/>
        </w:rPr>
        <w:t>The impact of assisting people to settle effectively through availability of this service is significant a</w:t>
      </w:r>
      <w:r w:rsidR="00140EBC" w:rsidRPr="00101FED">
        <w:rPr>
          <w:sz w:val="22"/>
          <w:szCs w:val="22"/>
        </w:rPr>
        <w:t>nd allows new arrivals with pre-</w:t>
      </w:r>
      <w:r w:rsidRPr="00101FED">
        <w:rPr>
          <w:sz w:val="22"/>
          <w:szCs w:val="22"/>
        </w:rPr>
        <w:t xml:space="preserve">school children to take advantage of the multiple benefits of the AMEP as a settlement program. </w:t>
      </w:r>
    </w:p>
    <w:p w:rsidR="003E25C5" w:rsidRPr="00DA5D27" w:rsidRDefault="003E25C5" w:rsidP="003E25C5">
      <w:pPr>
        <w:pStyle w:val="Heading2"/>
        <w:spacing w:before="60" w:after="60"/>
        <w:rPr>
          <w:rFonts w:ascii="Arial Narrow" w:hAnsi="Arial Narrow"/>
          <w:sz w:val="22"/>
          <w:szCs w:val="22"/>
        </w:rPr>
      </w:pPr>
    </w:p>
    <w:p w:rsidR="00C7416D" w:rsidRDefault="00922CA6" w:rsidP="003E25C5">
      <w:pPr>
        <w:pStyle w:val="Heading2"/>
        <w:spacing w:before="60" w:after="60"/>
      </w:pPr>
      <w:r>
        <w:t>Access to child care in the AMEP</w:t>
      </w:r>
    </w:p>
    <w:p w:rsidR="003E25C5" w:rsidRDefault="003E25C5" w:rsidP="003E25C5">
      <w:pPr>
        <w:pStyle w:val="Bodypara"/>
        <w:rPr>
          <w:sz w:val="22"/>
          <w:szCs w:val="22"/>
        </w:rPr>
      </w:pPr>
    </w:p>
    <w:p w:rsidR="00320EDF" w:rsidRPr="00101FED" w:rsidRDefault="0027770D" w:rsidP="003E25C5">
      <w:pPr>
        <w:pStyle w:val="Bodypara"/>
        <w:rPr>
          <w:sz w:val="22"/>
          <w:szCs w:val="22"/>
        </w:rPr>
      </w:pPr>
      <w:r w:rsidRPr="00101FED">
        <w:rPr>
          <w:sz w:val="22"/>
          <w:szCs w:val="22"/>
        </w:rPr>
        <w:t xml:space="preserve">In 2013, AMES managed placements for </w:t>
      </w:r>
      <w:r w:rsidR="00B7542E" w:rsidRPr="00101FED">
        <w:rPr>
          <w:sz w:val="22"/>
          <w:szCs w:val="22"/>
        </w:rPr>
        <w:t xml:space="preserve">1586 </w:t>
      </w:r>
      <w:r w:rsidRPr="00101FED">
        <w:rPr>
          <w:sz w:val="22"/>
          <w:szCs w:val="22"/>
        </w:rPr>
        <w:t>children</w:t>
      </w:r>
      <w:r w:rsidR="00B7542E" w:rsidRPr="00101FED">
        <w:rPr>
          <w:sz w:val="22"/>
          <w:szCs w:val="22"/>
        </w:rPr>
        <w:t xml:space="preserve">. </w:t>
      </w:r>
      <w:r w:rsidRPr="00101FED">
        <w:rPr>
          <w:sz w:val="22"/>
          <w:szCs w:val="22"/>
        </w:rPr>
        <w:t xml:space="preserve"> Child</w:t>
      </w:r>
      <w:r w:rsidR="003E25C5">
        <w:rPr>
          <w:sz w:val="22"/>
          <w:szCs w:val="22"/>
        </w:rPr>
        <w:t xml:space="preserve"> </w:t>
      </w:r>
      <w:r w:rsidRPr="00101FED">
        <w:rPr>
          <w:sz w:val="22"/>
          <w:szCs w:val="22"/>
        </w:rPr>
        <w:t xml:space="preserve">care services are provided in long day care centres, occasional care centres, family day care and kindergartens. </w:t>
      </w:r>
      <w:r w:rsidR="003E25C5">
        <w:rPr>
          <w:sz w:val="22"/>
          <w:szCs w:val="22"/>
        </w:rPr>
        <w:t xml:space="preserve"> </w:t>
      </w:r>
      <w:r w:rsidR="00AE70E1" w:rsidRPr="00101FED">
        <w:rPr>
          <w:sz w:val="22"/>
          <w:szCs w:val="22"/>
        </w:rPr>
        <w:t xml:space="preserve">Child care is provided for AMEP students across the whole of Victoria ensuring that access for students in regional Victoria is included. </w:t>
      </w:r>
      <w:r w:rsidR="003E25C5">
        <w:rPr>
          <w:sz w:val="22"/>
          <w:szCs w:val="22"/>
        </w:rPr>
        <w:t xml:space="preserve"> </w:t>
      </w:r>
      <w:r w:rsidR="00320EDF" w:rsidRPr="00101FED">
        <w:rPr>
          <w:sz w:val="22"/>
          <w:szCs w:val="22"/>
        </w:rPr>
        <w:t xml:space="preserve">The breakdown of placements across the range of child care options is provided in Table 3.  </w:t>
      </w:r>
    </w:p>
    <w:p w:rsidR="0030736E" w:rsidRPr="00DA5D27" w:rsidRDefault="0030736E" w:rsidP="0027770D">
      <w:pPr>
        <w:pStyle w:val="Bodypara"/>
        <w:rPr>
          <w:sz w:val="22"/>
          <w:szCs w:val="22"/>
        </w:rPr>
      </w:pPr>
    </w:p>
    <w:p w:rsidR="00051BC5" w:rsidRPr="003E25C5" w:rsidRDefault="00797229" w:rsidP="003E25C5">
      <w:pPr>
        <w:spacing w:after="120" w:line="240" w:lineRule="auto"/>
        <w:rPr>
          <w:rFonts w:ascii="Arial Narrow" w:eastAsia="Times New Roman" w:hAnsi="Arial Narrow" w:cs="Times New Roman"/>
          <w:color w:val="000000"/>
          <w:sz w:val="22"/>
          <w:szCs w:val="22"/>
          <w:lang w:eastAsia="en-AU"/>
        </w:rPr>
      </w:pPr>
      <w:r w:rsidRPr="003E25C5">
        <w:rPr>
          <w:rFonts w:ascii="Arial Narrow" w:eastAsia="Times New Roman" w:hAnsi="Arial Narrow" w:cs="Times New Roman"/>
          <w:color w:val="000000"/>
          <w:sz w:val="22"/>
          <w:szCs w:val="22"/>
          <w:lang w:eastAsia="en-AU"/>
        </w:rPr>
        <w:t xml:space="preserve">Table 3: AMEP </w:t>
      </w:r>
      <w:r w:rsidR="003E25C5">
        <w:rPr>
          <w:rFonts w:ascii="Arial Narrow" w:eastAsia="Times New Roman" w:hAnsi="Arial Narrow" w:cs="Times New Roman"/>
          <w:color w:val="000000"/>
          <w:sz w:val="22"/>
          <w:szCs w:val="22"/>
          <w:lang w:eastAsia="en-AU"/>
        </w:rPr>
        <w:t>C</w:t>
      </w:r>
      <w:r w:rsidR="00B7542E" w:rsidRPr="003E25C5">
        <w:rPr>
          <w:rFonts w:ascii="Arial Narrow" w:eastAsia="Times New Roman" w:hAnsi="Arial Narrow" w:cs="Times New Roman"/>
          <w:color w:val="000000"/>
          <w:sz w:val="22"/>
          <w:szCs w:val="22"/>
          <w:lang w:eastAsia="en-AU"/>
        </w:rPr>
        <w:t xml:space="preserve">hild </w:t>
      </w:r>
      <w:r w:rsidR="003E25C5">
        <w:rPr>
          <w:rFonts w:ascii="Arial Narrow" w:eastAsia="Times New Roman" w:hAnsi="Arial Narrow" w:cs="Times New Roman"/>
          <w:color w:val="000000"/>
          <w:sz w:val="22"/>
          <w:szCs w:val="22"/>
          <w:lang w:eastAsia="en-AU"/>
        </w:rPr>
        <w:t>C</w:t>
      </w:r>
      <w:r w:rsidR="00B7542E" w:rsidRPr="003E25C5">
        <w:rPr>
          <w:rFonts w:ascii="Arial Narrow" w:eastAsia="Times New Roman" w:hAnsi="Arial Narrow" w:cs="Times New Roman"/>
          <w:color w:val="000000"/>
          <w:sz w:val="22"/>
          <w:szCs w:val="22"/>
          <w:lang w:eastAsia="en-AU"/>
        </w:rPr>
        <w:t xml:space="preserve">are by </w:t>
      </w:r>
      <w:r w:rsidR="003E25C5">
        <w:rPr>
          <w:rFonts w:ascii="Arial Narrow" w:eastAsia="Times New Roman" w:hAnsi="Arial Narrow" w:cs="Times New Roman"/>
          <w:color w:val="000000"/>
          <w:sz w:val="22"/>
          <w:szCs w:val="22"/>
          <w:lang w:eastAsia="en-AU"/>
        </w:rPr>
        <w:t>P</w:t>
      </w:r>
      <w:r w:rsidR="00B7542E" w:rsidRPr="003E25C5">
        <w:rPr>
          <w:rFonts w:ascii="Arial Narrow" w:eastAsia="Times New Roman" w:hAnsi="Arial Narrow" w:cs="Times New Roman"/>
          <w:color w:val="000000"/>
          <w:sz w:val="22"/>
          <w:szCs w:val="22"/>
          <w:lang w:eastAsia="en-AU"/>
        </w:rPr>
        <w:t xml:space="preserve">lacement </w:t>
      </w:r>
      <w:r w:rsidR="003E25C5">
        <w:rPr>
          <w:rFonts w:ascii="Arial Narrow" w:eastAsia="Times New Roman" w:hAnsi="Arial Narrow" w:cs="Times New Roman"/>
          <w:color w:val="000000"/>
          <w:sz w:val="22"/>
          <w:szCs w:val="22"/>
          <w:lang w:eastAsia="en-AU"/>
        </w:rPr>
        <w:t>T</w:t>
      </w:r>
      <w:r w:rsidR="00B7542E" w:rsidRPr="003E25C5">
        <w:rPr>
          <w:rFonts w:ascii="Arial Narrow" w:eastAsia="Times New Roman" w:hAnsi="Arial Narrow" w:cs="Times New Roman"/>
          <w:color w:val="000000"/>
          <w:sz w:val="22"/>
          <w:szCs w:val="22"/>
          <w:lang w:eastAsia="en-AU"/>
        </w:rPr>
        <w:t>ype</w:t>
      </w:r>
    </w:p>
    <w:tbl>
      <w:tblPr>
        <w:tblStyle w:val="TableGrid"/>
        <w:tblW w:w="0" w:type="auto"/>
        <w:tblLayout w:type="fixed"/>
        <w:tblLook w:val="04A0" w:firstRow="1" w:lastRow="0" w:firstColumn="1" w:lastColumn="0" w:noHBand="0" w:noVBand="1"/>
      </w:tblPr>
      <w:tblGrid>
        <w:gridCol w:w="2093"/>
        <w:gridCol w:w="2268"/>
        <w:gridCol w:w="2551"/>
      </w:tblGrid>
      <w:tr w:rsidR="00051BC5" w:rsidRPr="003E25C5" w:rsidTr="00B7542E">
        <w:tc>
          <w:tcPr>
            <w:tcW w:w="2093" w:type="dxa"/>
            <w:shd w:val="clear" w:color="auto" w:fill="D9D9D9" w:themeFill="background1" w:themeFillShade="D9"/>
            <w:vAlign w:val="bottom"/>
          </w:tcPr>
          <w:p w:rsidR="00051BC5" w:rsidRPr="003E25C5" w:rsidRDefault="00051BC5" w:rsidP="003E25C5">
            <w:pPr>
              <w:spacing w:before="20" w:after="20"/>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Placement Type</w:t>
            </w:r>
          </w:p>
        </w:tc>
        <w:tc>
          <w:tcPr>
            <w:tcW w:w="2268" w:type="dxa"/>
            <w:shd w:val="clear" w:color="auto" w:fill="D9D9D9" w:themeFill="background1" w:themeFillShade="D9"/>
          </w:tcPr>
          <w:p w:rsidR="00051BC5" w:rsidRPr="003E25C5" w:rsidRDefault="003E25C5" w:rsidP="003E25C5">
            <w:pPr>
              <w:pStyle w:val="Bodypara"/>
              <w:spacing w:before="20" w:after="20"/>
              <w:jc w:val="center"/>
              <w:rPr>
                <w:rFonts w:eastAsia="Times New Roman" w:cs="Times New Roman"/>
                <w:sz w:val="20"/>
                <w:szCs w:val="20"/>
                <w:lang w:eastAsia="en-AU"/>
              </w:rPr>
            </w:pPr>
            <w:r>
              <w:rPr>
                <w:rFonts w:eastAsia="Times New Roman" w:cs="Times New Roman"/>
                <w:sz w:val="20"/>
                <w:szCs w:val="20"/>
                <w:lang w:eastAsia="en-AU"/>
              </w:rPr>
              <w:t>Placement</w:t>
            </w:r>
            <w:r w:rsidR="00051BC5" w:rsidRPr="003E25C5">
              <w:rPr>
                <w:rFonts w:eastAsia="Times New Roman" w:cs="Times New Roman"/>
                <w:sz w:val="20"/>
                <w:szCs w:val="20"/>
                <w:lang w:eastAsia="en-AU"/>
              </w:rPr>
              <w:t xml:space="preserve"> Numbers</w:t>
            </w:r>
          </w:p>
        </w:tc>
        <w:tc>
          <w:tcPr>
            <w:tcW w:w="2551" w:type="dxa"/>
            <w:shd w:val="clear" w:color="auto" w:fill="D9D9D9" w:themeFill="background1" w:themeFillShade="D9"/>
          </w:tcPr>
          <w:p w:rsidR="00051BC5" w:rsidRPr="003E25C5" w:rsidRDefault="00B7542E"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 xml:space="preserve">% </w:t>
            </w:r>
            <w:r w:rsidR="00051BC5" w:rsidRPr="003E25C5">
              <w:rPr>
                <w:rFonts w:eastAsia="Times New Roman" w:cs="Times New Roman"/>
                <w:sz w:val="20"/>
                <w:szCs w:val="20"/>
                <w:lang w:eastAsia="en-AU"/>
              </w:rPr>
              <w:t>of total placement</w:t>
            </w:r>
          </w:p>
        </w:tc>
      </w:tr>
      <w:tr w:rsidR="00051BC5" w:rsidRPr="003E25C5" w:rsidTr="00B7542E">
        <w:tc>
          <w:tcPr>
            <w:tcW w:w="2093" w:type="dxa"/>
            <w:vAlign w:val="bottom"/>
          </w:tcPr>
          <w:p w:rsidR="00051BC5" w:rsidRPr="003E25C5" w:rsidRDefault="00051BC5" w:rsidP="003E25C5">
            <w:pPr>
              <w:spacing w:before="20" w:after="20"/>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Long Day Care</w:t>
            </w:r>
          </w:p>
        </w:tc>
        <w:tc>
          <w:tcPr>
            <w:tcW w:w="2268" w:type="dxa"/>
          </w:tcPr>
          <w:p w:rsidR="00051BC5" w:rsidRPr="003E25C5" w:rsidRDefault="00051BC5"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1001</w:t>
            </w:r>
          </w:p>
        </w:tc>
        <w:tc>
          <w:tcPr>
            <w:tcW w:w="2551" w:type="dxa"/>
          </w:tcPr>
          <w:p w:rsidR="00051BC5" w:rsidRPr="003E25C5" w:rsidRDefault="00B7542E"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63%</w:t>
            </w:r>
          </w:p>
        </w:tc>
      </w:tr>
      <w:tr w:rsidR="00051BC5" w:rsidRPr="003E25C5" w:rsidTr="00B7542E">
        <w:tc>
          <w:tcPr>
            <w:tcW w:w="2093" w:type="dxa"/>
            <w:vAlign w:val="bottom"/>
          </w:tcPr>
          <w:p w:rsidR="00051BC5" w:rsidRPr="003E25C5" w:rsidRDefault="00051BC5" w:rsidP="003E25C5">
            <w:pPr>
              <w:spacing w:before="20" w:after="20"/>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Occasional</w:t>
            </w:r>
            <w:r w:rsidR="00901E34" w:rsidRPr="003E25C5">
              <w:rPr>
                <w:rFonts w:ascii="Arial Narrow" w:eastAsia="Times New Roman" w:hAnsi="Arial Narrow" w:cs="Times New Roman"/>
                <w:color w:val="000000"/>
                <w:sz w:val="20"/>
                <w:szCs w:val="20"/>
                <w:lang w:eastAsia="en-AU"/>
              </w:rPr>
              <w:t xml:space="preserve"> Care</w:t>
            </w:r>
          </w:p>
        </w:tc>
        <w:tc>
          <w:tcPr>
            <w:tcW w:w="2268" w:type="dxa"/>
          </w:tcPr>
          <w:p w:rsidR="00051BC5" w:rsidRPr="003E25C5" w:rsidRDefault="00051BC5"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266</w:t>
            </w:r>
          </w:p>
        </w:tc>
        <w:tc>
          <w:tcPr>
            <w:tcW w:w="2551" w:type="dxa"/>
          </w:tcPr>
          <w:p w:rsidR="00051BC5" w:rsidRPr="003E25C5" w:rsidRDefault="00B7542E"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17%</w:t>
            </w:r>
          </w:p>
        </w:tc>
      </w:tr>
      <w:tr w:rsidR="00051BC5" w:rsidRPr="003E25C5" w:rsidTr="00B7542E">
        <w:tc>
          <w:tcPr>
            <w:tcW w:w="2093" w:type="dxa"/>
            <w:vAlign w:val="bottom"/>
          </w:tcPr>
          <w:p w:rsidR="00051BC5" w:rsidRPr="003E25C5" w:rsidRDefault="00051BC5" w:rsidP="003E25C5">
            <w:pPr>
              <w:spacing w:before="20" w:after="20"/>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 xml:space="preserve">Family Day Care </w:t>
            </w:r>
          </w:p>
        </w:tc>
        <w:tc>
          <w:tcPr>
            <w:tcW w:w="2268" w:type="dxa"/>
          </w:tcPr>
          <w:p w:rsidR="00051BC5" w:rsidRPr="003E25C5" w:rsidRDefault="00051BC5"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204</w:t>
            </w:r>
          </w:p>
        </w:tc>
        <w:tc>
          <w:tcPr>
            <w:tcW w:w="2551" w:type="dxa"/>
          </w:tcPr>
          <w:p w:rsidR="00051BC5" w:rsidRPr="003E25C5" w:rsidRDefault="00B7542E"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13%</w:t>
            </w:r>
          </w:p>
        </w:tc>
      </w:tr>
      <w:tr w:rsidR="00051BC5" w:rsidRPr="003E25C5" w:rsidTr="00B7542E">
        <w:tc>
          <w:tcPr>
            <w:tcW w:w="2093" w:type="dxa"/>
            <w:vAlign w:val="bottom"/>
          </w:tcPr>
          <w:p w:rsidR="00051BC5" w:rsidRPr="003E25C5" w:rsidRDefault="00051BC5" w:rsidP="003E25C5">
            <w:pPr>
              <w:spacing w:before="20" w:after="20"/>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 xml:space="preserve">Half Day Care </w:t>
            </w:r>
          </w:p>
        </w:tc>
        <w:tc>
          <w:tcPr>
            <w:tcW w:w="2268" w:type="dxa"/>
          </w:tcPr>
          <w:p w:rsidR="00051BC5" w:rsidRPr="003E25C5" w:rsidRDefault="00051BC5"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92</w:t>
            </w:r>
          </w:p>
        </w:tc>
        <w:tc>
          <w:tcPr>
            <w:tcW w:w="2551" w:type="dxa"/>
          </w:tcPr>
          <w:p w:rsidR="00051BC5" w:rsidRPr="003E25C5" w:rsidRDefault="00B7542E"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6%</w:t>
            </w:r>
          </w:p>
        </w:tc>
      </w:tr>
      <w:tr w:rsidR="00051BC5" w:rsidRPr="003E25C5" w:rsidTr="00B7542E">
        <w:tc>
          <w:tcPr>
            <w:tcW w:w="2093" w:type="dxa"/>
            <w:vAlign w:val="bottom"/>
          </w:tcPr>
          <w:p w:rsidR="00051BC5" w:rsidRPr="003E25C5" w:rsidRDefault="00051BC5" w:rsidP="003E25C5">
            <w:pPr>
              <w:spacing w:before="20" w:after="20"/>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 xml:space="preserve">Not stated </w:t>
            </w:r>
          </w:p>
        </w:tc>
        <w:tc>
          <w:tcPr>
            <w:tcW w:w="2268" w:type="dxa"/>
          </w:tcPr>
          <w:p w:rsidR="00051BC5" w:rsidRPr="003E25C5" w:rsidRDefault="00051BC5"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23</w:t>
            </w:r>
          </w:p>
        </w:tc>
        <w:tc>
          <w:tcPr>
            <w:tcW w:w="2551" w:type="dxa"/>
          </w:tcPr>
          <w:p w:rsidR="00051BC5" w:rsidRPr="003E25C5" w:rsidRDefault="00B7542E"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1%</w:t>
            </w:r>
          </w:p>
        </w:tc>
      </w:tr>
      <w:tr w:rsidR="00051BC5" w:rsidRPr="003E25C5" w:rsidTr="00B7542E">
        <w:tc>
          <w:tcPr>
            <w:tcW w:w="2093" w:type="dxa"/>
            <w:vAlign w:val="bottom"/>
          </w:tcPr>
          <w:p w:rsidR="00051BC5" w:rsidRPr="003E25C5" w:rsidRDefault="00051BC5" w:rsidP="003E25C5">
            <w:pPr>
              <w:spacing w:before="20" w:after="20"/>
              <w:rPr>
                <w:rFonts w:ascii="Arial Narrow" w:eastAsia="Times New Roman" w:hAnsi="Arial Narrow" w:cs="Times New Roman"/>
                <w:color w:val="000000"/>
                <w:sz w:val="20"/>
                <w:szCs w:val="20"/>
                <w:lang w:eastAsia="en-AU"/>
              </w:rPr>
            </w:pPr>
            <w:r w:rsidRPr="003E25C5">
              <w:rPr>
                <w:rFonts w:ascii="Arial Narrow" w:eastAsia="Times New Roman" w:hAnsi="Arial Narrow" w:cs="Times New Roman"/>
                <w:color w:val="000000"/>
                <w:sz w:val="20"/>
                <w:szCs w:val="20"/>
                <w:lang w:eastAsia="en-AU"/>
              </w:rPr>
              <w:t xml:space="preserve">Total </w:t>
            </w:r>
          </w:p>
        </w:tc>
        <w:tc>
          <w:tcPr>
            <w:tcW w:w="2268" w:type="dxa"/>
          </w:tcPr>
          <w:p w:rsidR="00051BC5" w:rsidRPr="003E25C5" w:rsidRDefault="00051BC5"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1586</w:t>
            </w:r>
          </w:p>
        </w:tc>
        <w:tc>
          <w:tcPr>
            <w:tcW w:w="2551" w:type="dxa"/>
          </w:tcPr>
          <w:p w:rsidR="00051BC5" w:rsidRPr="003E25C5" w:rsidRDefault="00B7542E" w:rsidP="003E25C5">
            <w:pPr>
              <w:pStyle w:val="Bodypara"/>
              <w:spacing w:before="20" w:after="20"/>
              <w:jc w:val="center"/>
              <w:rPr>
                <w:rFonts w:eastAsia="Times New Roman" w:cs="Times New Roman"/>
                <w:sz w:val="20"/>
                <w:szCs w:val="20"/>
                <w:lang w:eastAsia="en-AU"/>
              </w:rPr>
            </w:pPr>
            <w:r w:rsidRPr="003E25C5">
              <w:rPr>
                <w:rFonts w:eastAsia="Times New Roman" w:cs="Times New Roman"/>
                <w:sz w:val="20"/>
                <w:szCs w:val="20"/>
                <w:lang w:eastAsia="en-AU"/>
              </w:rPr>
              <w:t>100%</w:t>
            </w:r>
          </w:p>
        </w:tc>
      </w:tr>
    </w:tbl>
    <w:p w:rsidR="00B7542E" w:rsidRPr="003E25C5" w:rsidRDefault="00B7542E" w:rsidP="00B7542E">
      <w:pPr>
        <w:pStyle w:val="Bodypara"/>
        <w:rPr>
          <w:rFonts w:eastAsia="Times New Roman" w:cs="Times New Roman"/>
          <w:sz w:val="22"/>
          <w:szCs w:val="22"/>
          <w:lang w:eastAsia="en-AU"/>
        </w:rPr>
      </w:pPr>
      <w:r w:rsidRPr="003E25C5">
        <w:rPr>
          <w:rFonts w:eastAsia="Times New Roman" w:cs="Times New Roman"/>
          <w:sz w:val="22"/>
          <w:szCs w:val="22"/>
          <w:lang w:eastAsia="en-AU"/>
        </w:rPr>
        <w:t>Source: ARMS reports – Clients in AMES AMEP contract regions in Victoria</w:t>
      </w:r>
      <w:r w:rsidR="00797229" w:rsidRPr="003E25C5">
        <w:rPr>
          <w:rFonts w:eastAsia="Times New Roman" w:cs="Times New Roman"/>
          <w:sz w:val="22"/>
          <w:szCs w:val="22"/>
          <w:lang w:eastAsia="en-AU"/>
        </w:rPr>
        <w:t xml:space="preserve"> (2013) </w:t>
      </w:r>
    </w:p>
    <w:p w:rsidR="005F754A" w:rsidRPr="00DA5D27" w:rsidRDefault="005F754A" w:rsidP="0027770D">
      <w:pPr>
        <w:pStyle w:val="Bodypara"/>
        <w:rPr>
          <w:sz w:val="22"/>
          <w:szCs w:val="22"/>
        </w:rPr>
      </w:pPr>
    </w:p>
    <w:p w:rsidR="0027770D" w:rsidRDefault="00D56F62" w:rsidP="0027770D">
      <w:pPr>
        <w:pStyle w:val="Bodypara"/>
        <w:rPr>
          <w:sz w:val="22"/>
          <w:szCs w:val="22"/>
        </w:rPr>
      </w:pPr>
      <w:r w:rsidRPr="00101FED">
        <w:rPr>
          <w:sz w:val="22"/>
          <w:szCs w:val="22"/>
        </w:rPr>
        <w:t>While AMES successfully places large numbers of chi</w:t>
      </w:r>
      <w:r w:rsidR="008945B0" w:rsidRPr="00101FED">
        <w:rPr>
          <w:sz w:val="22"/>
          <w:szCs w:val="22"/>
        </w:rPr>
        <w:t xml:space="preserve">ldren the following are areas </w:t>
      </w:r>
      <w:r w:rsidR="0030736E" w:rsidRPr="00101FED">
        <w:rPr>
          <w:sz w:val="22"/>
          <w:szCs w:val="22"/>
        </w:rPr>
        <w:t xml:space="preserve">for </w:t>
      </w:r>
      <w:r w:rsidR="00AF482B" w:rsidRPr="00101FED">
        <w:rPr>
          <w:sz w:val="22"/>
          <w:szCs w:val="22"/>
        </w:rPr>
        <w:t xml:space="preserve">consideration </w:t>
      </w:r>
      <w:r w:rsidR="0030736E" w:rsidRPr="00101FED">
        <w:rPr>
          <w:sz w:val="22"/>
          <w:szCs w:val="22"/>
        </w:rPr>
        <w:t xml:space="preserve">by </w:t>
      </w:r>
      <w:r w:rsidRPr="00101FED">
        <w:rPr>
          <w:sz w:val="22"/>
          <w:szCs w:val="22"/>
        </w:rPr>
        <w:t>the Commission.</w:t>
      </w:r>
    </w:p>
    <w:p w:rsidR="00901E34" w:rsidRPr="00101FED" w:rsidRDefault="00901E34" w:rsidP="0027770D">
      <w:pPr>
        <w:pStyle w:val="Bodypara"/>
        <w:rPr>
          <w:sz w:val="22"/>
          <w:szCs w:val="22"/>
        </w:rPr>
      </w:pPr>
    </w:p>
    <w:p w:rsidR="00AE70E1" w:rsidRDefault="00AE70E1" w:rsidP="00D56F62">
      <w:pPr>
        <w:pStyle w:val="ListParagraph"/>
        <w:rPr>
          <w:sz w:val="22"/>
          <w:szCs w:val="22"/>
        </w:rPr>
      </w:pPr>
      <w:r w:rsidRPr="00101FED">
        <w:rPr>
          <w:sz w:val="22"/>
          <w:szCs w:val="22"/>
        </w:rPr>
        <w:t>At times it is difficult to find affordable child care places</w:t>
      </w:r>
      <w:r w:rsidR="00710163" w:rsidRPr="00101FED">
        <w:rPr>
          <w:sz w:val="22"/>
          <w:szCs w:val="22"/>
        </w:rPr>
        <w:t xml:space="preserve"> resulting in parents being required to wait before commencing their AMEP class. </w:t>
      </w:r>
    </w:p>
    <w:p w:rsidR="00901E34" w:rsidRPr="00E40404" w:rsidRDefault="00901E34" w:rsidP="00901E34">
      <w:pPr>
        <w:pStyle w:val="ListParagraph"/>
        <w:numPr>
          <w:ilvl w:val="0"/>
          <w:numId w:val="0"/>
        </w:numPr>
        <w:ind w:left="360"/>
        <w:rPr>
          <w:sz w:val="22"/>
          <w:szCs w:val="22"/>
        </w:rPr>
      </w:pPr>
    </w:p>
    <w:p w:rsidR="00D56F62" w:rsidRDefault="00D56F62" w:rsidP="00D56F62">
      <w:pPr>
        <w:pStyle w:val="ListParagraph"/>
        <w:rPr>
          <w:sz w:val="22"/>
          <w:szCs w:val="22"/>
        </w:rPr>
      </w:pPr>
      <w:r w:rsidRPr="00101FED">
        <w:rPr>
          <w:sz w:val="22"/>
          <w:szCs w:val="22"/>
        </w:rPr>
        <w:t xml:space="preserve">The increased </w:t>
      </w:r>
      <w:r w:rsidR="0030736E" w:rsidRPr="00101FED">
        <w:rPr>
          <w:sz w:val="22"/>
          <w:szCs w:val="22"/>
        </w:rPr>
        <w:t xml:space="preserve">regulatory </w:t>
      </w:r>
      <w:r w:rsidRPr="00101FED">
        <w:rPr>
          <w:sz w:val="22"/>
          <w:szCs w:val="22"/>
        </w:rPr>
        <w:t>requirements for people undertaking Family Day Care has resulted in a decre</w:t>
      </w:r>
      <w:r w:rsidR="0030736E" w:rsidRPr="00101FED">
        <w:rPr>
          <w:sz w:val="22"/>
          <w:szCs w:val="22"/>
        </w:rPr>
        <w:t>ase in availability of this type</w:t>
      </w:r>
      <w:r w:rsidRPr="00101FED">
        <w:rPr>
          <w:sz w:val="22"/>
          <w:szCs w:val="22"/>
        </w:rPr>
        <w:t xml:space="preserve"> of child care. </w:t>
      </w:r>
      <w:r w:rsidR="00163CDA">
        <w:rPr>
          <w:sz w:val="22"/>
          <w:szCs w:val="22"/>
        </w:rPr>
        <w:t xml:space="preserve"> </w:t>
      </w:r>
      <w:r w:rsidRPr="00101FED">
        <w:rPr>
          <w:sz w:val="22"/>
          <w:szCs w:val="22"/>
        </w:rPr>
        <w:t xml:space="preserve">There is now a requirement for carers to have </w:t>
      </w:r>
      <w:r w:rsidR="00605FA8" w:rsidRPr="00605FA8">
        <w:rPr>
          <w:sz w:val="22"/>
          <w:szCs w:val="22"/>
        </w:rPr>
        <w:t>or be working towards</w:t>
      </w:r>
      <w:r w:rsidR="00605FA8">
        <w:rPr>
          <w:color w:val="FF0000"/>
        </w:rPr>
        <w:t xml:space="preserve"> </w:t>
      </w:r>
      <w:r w:rsidRPr="00101FED">
        <w:rPr>
          <w:sz w:val="22"/>
          <w:szCs w:val="22"/>
        </w:rPr>
        <w:t>Certificate 3 in Children’</w:t>
      </w:r>
      <w:r w:rsidR="004938D9" w:rsidRPr="00101FED">
        <w:rPr>
          <w:sz w:val="22"/>
          <w:szCs w:val="22"/>
        </w:rPr>
        <w:t>s Services</w:t>
      </w:r>
      <w:r w:rsidR="00AF482B" w:rsidRPr="00101FED">
        <w:rPr>
          <w:sz w:val="22"/>
          <w:szCs w:val="22"/>
        </w:rPr>
        <w:t xml:space="preserve">. </w:t>
      </w:r>
      <w:r w:rsidR="00163CDA">
        <w:rPr>
          <w:sz w:val="22"/>
          <w:szCs w:val="22"/>
        </w:rPr>
        <w:t xml:space="preserve"> </w:t>
      </w:r>
      <w:r w:rsidR="00AF482B" w:rsidRPr="00101FED">
        <w:rPr>
          <w:sz w:val="22"/>
          <w:szCs w:val="22"/>
        </w:rPr>
        <w:t xml:space="preserve">This </w:t>
      </w:r>
      <w:r w:rsidR="004938D9" w:rsidRPr="00101FED">
        <w:rPr>
          <w:sz w:val="22"/>
          <w:szCs w:val="22"/>
        </w:rPr>
        <w:t xml:space="preserve">has resulted in </w:t>
      </w:r>
      <w:r w:rsidR="00AF482B" w:rsidRPr="00101FED">
        <w:rPr>
          <w:sz w:val="22"/>
          <w:szCs w:val="22"/>
        </w:rPr>
        <w:t xml:space="preserve">a diminished </w:t>
      </w:r>
      <w:r w:rsidR="008945B0" w:rsidRPr="00101FED">
        <w:rPr>
          <w:sz w:val="22"/>
          <w:szCs w:val="22"/>
        </w:rPr>
        <w:t xml:space="preserve">number </w:t>
      </w:r>
      <w:r w:rsidR="004938D9" w:rsidRPr="00101FED">
        <w:rPr>
          <w:sz w:val="22"/>
          <w:szCs w:val="22"/>
        </w:rPr>
        <w:t>of carers from AMEP client community groups as</w:t>
      </w:r>
      <w:r w:rsidR="00AF482B" w:rsidRPr="00101FED">
        <w:rPr>
          <w:sz w:val="22"/>
          <w:szCs w:val="22"/>
        </w:rPr>
        <w:t xml:space="preserve"> a number of these</w:t>
      </w:r>
      <w:r w:rsidR="004938D9" w:rsidRPr="00101FED">
        <w:rPr>
          <w:sz w:val="22"/>
          <w:szCs w:val="22"/>
        </w:rPr>
        <w:t xml:space="preserve"> carers do not have Certificate 3. </w:t>
      </w:r>
      <w:r w:rsidRPr="00101FED">
        <w:rPr>
          <w:sz w:val="22"/>
          <w:szCs w:val="22"/>
        </w:rPr>
        <w:t xml:space="preserve"> AMES is exploring ways to deliver Certificate 3 to clients who do not have English as their first language to ensure that </w:t>
      </w:r>
      <w:r w:rsidR="0030736E" w:rsidRPr="00101FED">
        <w:rPr>
          <w:sz w:val="22"/>
          <w:szCs w:val="22"/>
        </w:rPr>
        <w:t xml:space="preserve">existing </w:t>
      </w:r>
      <w:r w:rsidRPr="00101FED">
        <w:rPr>
          <w:sz w:val="22"/>
          <w:szCs w:val="22"/>
        </w:rPr>
        <w:t>carers can remain in work or that other newly arrived women can successfully complete the course.</w:t>
      </w:r>
      <w:r w:rsidR="008945B0" w:rsidRPr="00101FED">
        <w:rPr>
          <w:sz w:val="22"/>
          <w:szCs w:val="22"/>
        </w:rPr>
        <w:t xml:space="preserve"> </w:t>
      </w:r>
      <w:r w:rsidR="00163CDA">
        <w:rPr>
          <w:sz w:val="22"/>
          <w:szCs w:val="22"/>
        </w:rPr>
        <w:t xml:space="preserve"> (AMES experience is that </w:t>
      </w:r>
      <w:r w:rsidR="008945B0" w:rsidRPr="00101FED">
        <w:rPr>
          <w:sz w:val="22"/>
          <w:szCs w:val="22"/>
        </w:rPr>
        <w:t>it</w:t>
      </w:r>
      <w:r w:rsidR="00163CDA">
        <w:rPr>
          <w:sz w:val="22"/>
          <w:szCs w:val="22"/>
        </w:rPr>
        <w:t xml:space="preserve"> is</w:t>
      </w:r>
      <w:r w:rsidR="008945B0" w:rsidRPr="00101FED">
        <w:rPr>
          <w:sz w:val="22"/>
          <w:szCs w:val="22"/>
        </w:rPr>
        <w:t xml:space="preserve"> women </w:t>
      </w:r>
      <w:r w:rsidR="00A54AF9" w:rsidRPr="00101FED">
        <w:rPr>
          <w:sz w:val="22"/>
          <w:szCs w:val="22"/>
        </w:rPr>
        <w:t xml:space="preserve">who are </w:t>
      </w:r>
      <w:r w:rsidR="008945B0" w:rsidRPr="00101FED">
        <w:rPr>
          <w:sz w:val="22"/>
          <w:szCs w:val="22"/>
        </w:rPr>
        <w:t>doing this work</w:t>
      </w:r>
      <w:r w:rsidR="00A54AF9" w:rsidRPr="00101FED">
        <w:rPr>
          <w:sz w:val="22"/>
          <w:szCs w:val="22"/>
        </w:rPr>
        <w:t xml:space="preserve"> in newly arrived communities</w:t>
      </w:r>
      <w:r w:rsidR="00163CDA">
        <w:rPr>
          <w:sz w:val="22"/>
          <w:szCs w:val="22"/>
        </w:rPr>
        <w:t>.</w:t>
      </w:r>
      <w:r w:rsidR="008945B0" w:rsidRPr="00101FED">
        <w:rPr>
          <w:sz w:val="22"/>
          <w:szCs w:val="22"/>
        </w:rPr>
        <w:t>)</w:t>
      </w:r>
    </w:p>
    <w:p w:rsidR="00901E34" w:rsidRPr="00E40404" w:rsidRDefault="00901E34" w:rsidP="00901E34">
      <w:pPr>
        <w:pStyle w:val="ListParagraph"/>
        <w:numPr>
          <w:ilvl w:val="0"/>
          <w:numId w:val="0"/>
        </w:numPr>
        <w:ind w:left="360"/>
        <w:rPr>
          <w:sz w:val="22"/>
          <w:szCs w:val="22"/>
        </w:rPr>
      </w:pPr>
    </w:p>
    <w:p w:rsidR="00D56F62" w:rsidRDefault="00D56F62" w:rsidP="00D56F62">
      <w:pPr>
        <w:pStyle w:val="ListParagraph"/>
        <w:rPr>
          <w:sz w:val="22"/>
          <w:szCs w:val="22"/>
        </w:rPr>
      </w:pPr>
      <w:r w:rsidRPr="00101FED">
        <w:rPr>
          <w:sz w:val="22"/>
          <w:szCs w:val="22"/>
        </w:rPr>
        <w:t>There is anecdotal evidence to suggest that with increased regulation</w:t>
      </w:r>
      <w:r w:rsidR="00AF482B" w:rsidRPr="00101FED">
        <w:rPr>
          <w:sz w:val="22"/>
          <w:szCs w:val="22"/>
        </w:rPr>
        <w:t>,</w:t>
      </w:r>
      <w:r w:rsidRPr="00101FED">
        <w:rPr>
          <w:sz w:val="22"/>
          <w:szCs w:val="22"/>
        </w:rPr>
        <w:t xml:space="preserve"> local councils and other local organisations are withdrawing from the delivery of child care services where this is not their core business. </w:t>
      </w:r>
      <w:r w:rsidR="00163CDA">
        <w:rPr>
          <w:sz w:val="22"/>
          <w:szCs w:val="22"/>
        </w:rPr>
        <w:t xml:space="preserve"> </w:t>
      </w:r>
      <w:r w:rsidR="007F29E6" w:rsidRPr="00101FED">
        <w:rPr>
          <w:sz w:val="22"/>
          <w:szCs w:val="22"/>
        </w:rPr>
        <w:t>For</w:t>
      </w:r>
      <w:r w:rsidRPr="00101FED">
        <w:rPr>
          <w:sz w:val="22"/>
          <w:szCs w:val="22"/>
        </w:rPr>
        <w:t xml:space="preserve"> example one regional TAFE Institute </w:t>
      </w:r>
      <w:r w:rsidR="00605FA8" w:rsidRPr="00605FA8">
        <w:rPr>
          <w:sz w:val="22"/>
          <w:szCs w:val="22"/>
        </w:rPr>
        <w:t>is closing</w:t>
      </w:r>
      <w:r w:rsidR="00605FA8">
        <w:rPr>
          <w:color w:val="FF0000"/>
        </w:rPr>
        <w:t xml:space="preserve"> </w:t>
      </w:r>
      <w:r w:rsidR="007F29E6" w:rsidRPr="00101FED">
        <w:rPr>
          <w:sz w:val="22"/>
          <w:szCs w:val="22"/>
        </w:rPr>
        <w:t xml:space="preserve">its child care facility. </w:t>
      </w:r>
      <w:r w:rsidR="00163CDA">
        <w:rPr>
          <w:sz w:val="22"/>
          <w:szCs w:val="22"/>
        </w:rPr>
        <w:t xml:space="preserve"> </w:t>
      </w:r>
      <w:r w:rsidR="007F29E6" w:rsidRPr="00101FED">
        <w:rPr>
          <w:sz w:val="22"/>
          <w:szCs w:val="22"/>
        </w:rPr>
        <w:t>AMES previously placed AMEP children in this facility.</w:t>
      </w:r>
    </w:p>
    <w:p w:rsidR="00901E34" w:rsidRPr="00901E34" w:rsidRDefault="00901E34" w:rsidP="00901E34">
      <w:pPr>
        <w:pStyle w:val="ListParagraph"/>
        <w:numPr>
          <w:ilvl w:val="0"/>
          <w:numId w:val="0"/>
        </w:numPr>
        <w:ind w:left="360"/>
        <w:rPr>
          <w:sz w:val="18"/>
          <w:szCs w:val="18"/>
        </w:rPr>
      </w:pPr>
    </w:p>
    <w:p w:rsidR="007F29E6" w:rsidRPr="00101FED" w:rsidRDefault="004938D9" w:rsidP="00D56F62">
      <w:pPr>
        <w:pStyle w:val="ListParagraph"/>
        <w:rPr>
          <w:sz w:val="22"/>
          <w:szCs w:val="22"/>
        </w:rPr>
      </w:pPr>
      <w:r w:rsidRPr="00101FED">
        <w:rPr>
          <w:sz w:val="22"/>
          <w:szCs w:val="22"/>
        </w:rPr>
        <w:lastRenderedPageBreak/>
        <w:t xml:space="preserve">Long Day Care Centres mainly offer whole day places while attendance at the AMEP requires less than </w:t>
      </w:r>
      <w:r w:rsidR="00605FA8">
        <w:rPr>
          <w:sz w:val="22"/>
          <w:szCs w:val="22"/>
        </w:rPr>
        <w:t xml:space="preserve">a </w:t>
      </w:r>
      <w:r w:rsidRPr="00101FED">
        <w:rPr>
          <w:sz w:val="22"/>
          <w:szCs w:val="22"/>
        </w:rPr>
        <w:t xml:space="preserve">whole day – for example from 8.30 to 1.30 if an AMEP class is from 9.00 to 1.00. </w:t>
      </w:r>
      <w:r w:rsidR="00666E7F">
        <w:rPr>
          <w:sz w:val="22"/>
          <w:szCs w:val="22"/>
        </w:rPr>
        <w:t xml:space="preserve"> </w:t>
      </w:r>
      <w:r w:rsidRPr="00101FED">
        <w:rPr>
          <w:sz w:val="22"/>
          <w:szCs w:val="22"/>
        </w:rPr>
        <w:t>This results in places needing to b</w:t>
      </w:r>
      <w:r w:rsidR="00A54AF9" w:rsidRPr="00101FED">
        <w:rPr>
          <w:sz w:val="22"/>
          <w:szCs w:val="22"/>
        </w:rPr>
        <w:t>e paid for, but not utilised, for the whole day</w:t>
      </w:r>
      <w:r w:rsidR="00666E7F">
        <w:rPr>
          <w:sz w:val="22"/>
          <w:szCs w:val="22"/>
        </w:rPr>
        <w:t>.</w:t>
      </w:r>
      <w:r w:rsidRPr="00101FED">
        <w:rPr>
          <w:sz w:val="22"/>
          <w:szCs w:val="22"/>
        </w:rPr>
        <w:t xml:space="preserve"> </w:t>
      </w:r>
    </w:p>
    <w:p w:rsidR="004938D9" w:rsidRPr="00101FED" w:rsidRDefault="004938D9" w:rsidP="004938D9">
      <w:pPr>
        <w:pStyle w:val="Bodypara"/>
        <w:rPr>
          <w:sz w:val="22"/>
          <w:szCs w:val="22"/>
        </w:rPr>
      </w:pPr>
    </w:p>
    <w:p w:rsidR="00710163" w:rsidRPr="00101FED" w:rsidRDefault="004938D9" w:rsidP="00710163">
      <w:pPr>
        <w:pStyle w:val="Bodypara"/>
        <w:rPr>
          <w:sz w:val="22"/>
          <w:szCs w:val="22"/>
        </w:rPr>
      </w:pPr>
      <w:r w:rsidRPr="00101FED">
        <w:rPr>
          <w:sz w:val="22"/>
          <w:szCs w:val="22"/>
        </w:rPr>
        <w:t xml:space="preserve">AMES supports regulation in the child care industry and the need for sufficient standards to ensure safe and secure care that supports children’s development. </w:t>
      </w:r>
      <w:r w:rsidR="00B205E8">
        <w:rPr>
          <w:sz w:val="22"/>
          <w:szCs w:val="22"/>
        </w:rPr>
        <w:t xml:space="preserve"> </w:t>
      </w:r>
      <w:r w:rsidRPr="00101FED">
        <w:rPr>
          <w:sz w:val="22"/>
          <w:szCs w:val="22"/>
        </w:rPr>
        <w:t xml:space="preserve">AMES is not </w:t>
      </w:r>
      <w:r w:rsidR="00710163" w:rsidRPr="00101FED">
        <w:rPr>
          <w:sz w:val="22"/>
          <w:szCs w:val="22"/>
        </w:rPr>
        <w:t xml:space="preserve">a provider of child care and therefore does not have detailed expertise in the area of </w:t>
      </w:r>
      <w:r w:rsidRPr="00101FED">
        <w:rPr>
          <w:sz w:val="22"/>
          <w:szCs w:val="22"/>
        </w:rPr>
        <w:t>child care regulation</w:t>
      </w:r>
      <w:r w:rsidR="00710163" w:rsidRPr="00101FED">
        <w:rPr>
          <w:sz w:val="22"/>
          <w:szCs w:val="22"/>
        </w:rPr>
        <w:t xml:space="preserve">. </w:t>
      </w:r>
      <w:r w:rsidR="00B205E8">
        <w:rPr>
          <w:sz w:val="22"/>
          <w:szCs w:val="22"/>
        </w:rPr>
        <w:t xml:space="preserve"> </w:t>
      </w:r>
      <w:r w:rsidR="00AF482B" w:rsidRPr="00101FED">
        <w:rPr>
          <w:sz w:val="22"/>
          <w:szCs w:val="22"/>
        </w:rPr>
        <w:t xml:space="preserve">Hence, </w:t>
      </w:r>
      <w:r w:rsidR="00710163" w:rsidRPr="00101FED">
        <w:rPr>
          <w:sz w:val="22"/>
          <w:szCs w:val="22"/>
        </w:rPr>
        <w:t xml:space="preserve">AMES </w:t>
      </w:r>
      <w:r w:rsidRPr="00101FED">
        <w:rPr>
          <w:sz w:val="22"/>
          <w:szCs w:val="22"/>
        </w:rPr>
        <w:t xml:space="preserve">cannot provide </w:t>
      </w:r>
      <w:r w:rsidR="0030736E" w:rsidRPr="00101FED">
        <w:rPr>
          <w:sz w:val="22"/>
          <w:szCs w:val="22"/>
        </w:rPr>
        <w:t xml:space="preserve">substantial </w:t>
      </w:r>
      <w:r w:rsidR="00710163" w:rsidRPr="00101FED">
        <w:rPr>
          <w:sz w:val="22"/>
          <w:szCs w:val="22"/>
        </w:rPr>
        <w:t xml:space="preserve">input </w:t>
      </w:r>
      <w:r w:rsidRPr="00101FED">
        <w:rPr>
          <w:sz w:val="22"/>
          <w:szCs w:val="22"/>
        </w:rPr>
        <w:t xml:space="preserve">on </w:t>
      </w:r>
      <w:r w:rsidR="00B9138E" w:rsidRPr="00101FED">
        <w:rPr>
          <w:sz w:val="22"/>
          <w:szCs w:val="22"/>
        </w:rPr>
        <w:t xml:space="preserve">the most appropriate way to manage the child care industry. </w:t>
      </w:r>
      <w:r w:rsidR="00B205E8">
        <w:rPr>
          <w:sz w:val="22"/>
          <w:szCs w:val="22"/>
        </w:rPr>
        <w:t xml:space="preserve"> </w:t>
      </w:r>
      <w:r w:rsidR="00710163" w:rsidRPr="00101FED">
        <w:rPr>
          <w:sz w:val="22"/>
          <w:szCs w:val="22"/>
        </w:rPr>
        <w:t xml:space="preserve">However, as a service user in the AMEP, AMES makes the following recommendation on any assessment </w:t>
      </w:r>
      <w:r w:rsidR="00AF482B" w:rsidRPr="00101FED">
        <w:rPr>
          <w:sz w:val="22"/>
          <w:szCs w:val="22"/>
        </w:rPr>
        <w:t xml:space="preserve">of </w:t>
      </w:r>
      <w:r w:rsidR="00710163" w:rsidRPr="00101FED">
        <w:rPr>
          <w:sz w:val="22"/>
          <w:szCs w:val="22"/>
        </w:rPr>
        <w:t>regulation</w:t>
      </w:r>
      <w:r w:rsidR="00AF482B" w:rsidRPr="00101FED">
        <w:rPr>
          <w:sz w:val="22"/>
          <w:szCs w:val="22"/>
        </w:rPr>
        <w:t xml:space="preserve"> requirements</w:t>
      </w:r>
      <w:r w:rsidR="00710163" w:rsidRPr="00101FED">
        <w:rPr>
          <w:sz w:val="22"/>
          <w:szCs w:val="22"/>
        </w:rPr>
        <w:t xml:space="preserve"> in the industry. </w:t>
      </w:r>
    </w:p>
    <w:p w:rsidR="00101FED" w:rsidRPr="00E40404" w:rsidRDefault="00101FED" w:rsidP="004938D9">
      <w:pPr>
        <w:pStyle w:val="Bodypara"/>
        <w:rPr>
          <w:sz w:val="22"/>
          <w:szCs w:val="22"/>
        </w:rPr>
      </w:pPr>
    </w:p>
    <w:p w:rsidR="006D50B1" w:rsidRPr="006D50B1" w:rsidRDefault="006D50B1" w:rsidP="006D50B1">
      <w:pPr>
        <w:pStyle w:val="Heading3"/>
        <w:rPr>
          <w:sz w:val="24"/>
          <w:szCs w:val="24"/>
        </w:rPr>
      </w:pPr>
      <w:r w:rsidRPr="006D50B1">
        <w:rPr>
          <w:sz w:val="24"/>
          <w:szCs w:val="24"/>
        </w:rPr>
        <w:t>Recommendation</w:t>
      </w:r>
    </w:p>
    <w:p w:rsidR="00DA5D27" w:rsidRDefault="00DA5D27" w:rsidP="00DA5D27">
      <w:pPr>
        <w:pStyle w:val="Bodypara"/>
        <w:rPr>
          <w:sz w:val="22"/>
          <w:szCs w:val="22"/>
        </w:rPr>
      </w:pPr>
    </w:p>
    <w:p w:rsidR="00B9138E" w:rsidRPr="00101FED" w:rsidRDefault="00101FED" w:rsidP="00DA5D27">
      <w:pPr>
        <w:pStyle w:val="Bodypara"/>
        <w:rPr>
          <w:sz w:val="22"/>
          <w:szCs w:val="22"/>
        </w:rPr>
      </w:pPr>
      <w:r>
        <w:rPr>
          <w:sz w:val="22"/>
          <w:szCs w:val="22"/>
        </w:rPr>
        <w:t>AMES recommends that any review of r</w:t>
      </w:r>
      <w:r w:rsidR="00B9138E" w:rsidRPr="00101FED">
        <w:rPr>
          <w:sz w:val="22"/>
          <w:szCs w:val="22"/>
        </w:rPr>
        <w:t xml:space="preserve">egulation </w:t>
      </w:r>
      <w:r>
        <w:rPr>
          <w:sz w:val="22"/>
          <w:szCs w:val="22"/>
        </w:rPr>
        <w:t xml:space="preserve">of the child care industry be undertaken </w:t>
      </w:r>
      <w:r w:rsidR="00B9138E" w:rsidRPr="00101FED">
        <w:rPr>
          <w:sz w:val="22"/>
          <w:szCs w:val="22"/>
        </w:rPr>
        <w:t xml:space="preserve">in the context of </w:t>
      </w:r>
      <w:r>
        <w:rPr>
          <w:sz w:val="22"/>
          <w:szCs w:val="22"/>
        </w:rPr>
        <w:t xml:space="preserve">capacity </w:t>
      </w:r>
      <w:r w:rsidR="00B63B13">
        <w:rPr>
          <w:sz w:val="22"/>
          <w:szCs w:val="22"/>
        </w:rPr>
        <w:t xml:space="preserve">to </w:t>
      </w:r>
      <w:r w:rsidR="00B9138E" w:rsidRPr="00101FED">
        <w:rPr>
          <w:sz w:val="22"/>
          <w:szCs w:val="22"/>
        </w:rPr>
        <w:t>contribute to safety, security and quality care for children</w:t>
      </w:r>
      <w:r w:rsidR="00710163" w:rsidRPr="00101FED">
        <w:rPr>
          <w:sz w:val="22"/>
          <w:szCs w:val="22"/>
        </w:rPr>
        <w:t xml:space="preserve"> to ensure that resources are directed in areas that can positively impact on quality</w:t>
      </w:r>
      <w:r w:rsidR="00B9138E" w:rsidRPr="00101FED">
        <w:rPr>
          <w:sz w:val="22"/>
          <w:szCs w:val="22"/>
        </w:rPr>
        <w:t xml:space="preserve">. </w:t>
      </w:r>
      <w:r w:rsidR="00DA5D27">
        <w:rPr>
          <w:sz w:val="22"/>
          <w:szCs w:val="22"/>
        </w:rPr>
        <w:t xml:space="preserve"> </w:t>
      </w:r>
      <w:r w:rsidR="00B9138E" w:rsidRPr="00101FED">
        <w:rPr>
          <w:sz w:val="22"/>
          <w:szCs w:val="22"/>
        </w:rPr>
        <w:t xml:space="preserve">Where specific regulations </w:t>
      </w:r>
      <w:r w:rsidR="00AF482B" w:rsidRPr="00101FED">
        <w:rPr>
          <w:sz w:val="22"/>
          <w:szCs w:val="22"/>
        </w:rPr>
        <w:t>result in a positive impact</w:t>
      </w:r>
      <w:r w:rsidR="00895C4D" w:rsidRPr="00101FED">
        <w:rPr>
          <w:sz w:val="22"/>
          <w:szCs w:val="22"/>
        </w:rPr>
        <w:t>,</w:t>
      </w:r>
      <w:r w:rsidR="00B9138E" w:rsidRPr="00101FED">
        <w:rPr>
          <w:sz w:val="22"/>
          <w:szCs w:val="22"/>
        </w:rPr>
        <w:t xml:space="preserve"> regulations should be retained.  Where there are </w:t>
      </w:r>
      <w:r w:rsidR="00710163" w:rsidRPr="00101FED">
        <w:rPr>
          <w:sz w:val="22"/>
          <w:szCs w:val="22"/>
        </w:rPr>
        <w:t xml:space="preserve">current </w:t>
      </w:r>
      <w:r w:rsidR="00B9138E" w:rsidRPr="00101FED">
        <w:rPr>
          <w:sz w:val="22"/>
          <w:szCs w:val="22"/>
        </w:rPr>
        <w:t xml:space="preserve">processes or regulations that </w:t>
      </w:r>
      <w:r w:rsidR="00895C4D" w:rsidRPr="00101FED">
        <w:rPr>
          <w:sz w:val="22"/>
          <w:szCs w:val="22"/>
        </w:rPr>
        <w:t xml:space="preserve">increase administration but do not necessarily impact on quality of care these should be reviewed. </w:t>
      </w:r>
    </w:p>
    <w:p w:rsidR="00351FC7" w:rsidRPr="00101FED" w:rsidRDefault="00351FC7" w:rsidP="00DA5D27">
      <w:pPr>
        <w:pStyle w:val="Bodypara"/>
        <w:rPr>
          <w:sz w:val="22"/>
          <w:szCs w:val="22"/>
        </w:rPr>
      </w:pPr>
    </w:p>
    <w:p w:rsidR="00922CA6" w:rsidRDefault="00922CA6" w:rsidP="00DA5D27">
      <w:pPr>
        <w:pStyle w:val="Heading1"/>
        <w:spacing w:before="60" w:after="60"/>
      </w:pPr>
      <w:r>
        <w:t>Accessibility to child care for newly arrived migrants and refugees</w:t>
      </w:r>
    </w:p>
    <w:p w:rsidR="00DA5D27" w:rsidRPr="00DA5D27" w:rsidRDefault="00DA5D27" w:rsidP="00DA5D27">
      <w:pPr>
        <w:pStyle w:val="Heading2"/>
        <w:spacing w:before="60" w:after="60"/>
        <w:rPr>
          <w:rFonts w:ascii="Arial Narrow" w:hAnsi="Arial Narrow"/>
          <w:sz w:val="22"/>
          <w:szCs w:val="22"/>
        </w:rPr>
      </w:pPr>
    </w:p>
    <w:p w:rsidR="00351FC7" w:rsidRDefault="00351FC7" w:rsidP="00DA5D27">
      <w:pPr>
        <w:pStyle w:val="Heading2"/>
        <w:spacing w:before="60" w:after="60"/>
      </w:pPr>
      <w:r>
        <w:t>Child care and workforce participation</w:t>
      </w:r>
    </w:p>
    <w:p w:rsidR="00DA5D27" w:rsidRDefault="00DA5D27" w:rsidP="00DA5D27">
      <w:pPr>
        <w:pStyle w:val="Bodypara"/>
        <w:rPr>
          <w:sz w:val="22"/>
          <w:szCs w:val="22"/>
        </w:rPr>
      </w:pPr>
    </w:p>
    <w:p w:rsidR="00351FC7" w:rsidRPr="00101FED" w:rsidRDefault="00A54AF9" w:rsidP="00DA5D27">
      <w:pPr>
        <w:pStyle w:val="Bodypara"/>
        <w:rPr>
          <w:sz w:val="22"/>
          <w:szCs w:val="22"/>
        </w:rPr>
      </w:pPr>
      <w:r w:rsidRPr="00101FED">
        <w:rPr>
          <w:sz w:val="22"/>
          <w:szCs w:val="22"/>
        </w:rPr>
        <w:t xml:space="preserve">Accessibility to child care is frequently a necessary component to achieve the goal of participation and economic contribution following exit from the AMEP. </w:t>
      </w:r>
    </w:p>
    <w:p w:rsidR="00A54AF9" w:rsidRPr="00101FED" w:rsidRDefault="00A54AF9" w:rsidP="00DA5D27">
      <w:pPr>
        <w:pStyle w:val="Bodypara"/>
        <w:rPr>
          <w:sz w:val="22"/>
          <w:szCs w:val="22"/>
        </w:rPr>
      </w:pPr>
    </w:p>
    <w:p w:rsidR="002377AF" w:rsidRPr="00101FED" w:rsidRDefault="002377AF" w:rsidP="00DA5D27">
      <w:pPr>
        <w:pStyle w:val="Bodypara"/>
        <w:rPr>
          <w:sz w:val="22"/>
          <w:szCs w:val="22"/>
        </w:rPr>
      </w:pPr>
      <w:r w:rsidRPr="00101FED">
        <w:rPr>
          <w:sz w:val="22"/>
          <w:szCs w:val="22"/>
        </w:rPr>
        <w:t>A longitudinal study with AMEP clients undertaken by AMES from 2008 to 2010</w:t>
      </w:r>
      <w:r w:rsidRPr="00101FED">
        <w:rPr>
          <w:sz w:val="22"/>
          <w:szCs w:val="22"/>
          <w:vertAlign w:val="superscript"/>
        </w:rPr>
        <w:footnoteReference w:id="1"/>
      </w:r>
      <w:r w:rsidRPr="00101FED">
        <w:rPr>
          <w:sz w:val="22"/>
          <w:szCs w:val="22"/>
        </w:rPr>
        <w:t xml:space="preserve"> indicated that 95% were intending to work in Australia. </w:t>
      </w:r>
      <w:r w:rsidR="00DA5D27">
        <w:rPr>
          <w:sz w:val="22"/>
          <w:szCs w:val="22"/>
        </w:rPr>
        <w:t xml:space="preserve"> </w:t>
      </w:r>
      <w:r w:rsidRPr="00101FED">
        <w:rPr>
          <w:sz w:val="22"/>
          <w:szCs w:val="22"/>
        </w:rPr>
        <w:t xml:space="preserve">This is in the context of only 58% of all women </w:t>
      </w:r>
      <w:r w:rsidR="00AF482B" w:rsidRPr="00101FED">
        <w:rPr>
          <w:sz w:val="22"/>
          <w:szCs w:val="22"/>
        </w:rPr>
        <w:t xml:space="preserve">in this study </w:t>
      </w:r>
      <w:r w:rsidRPr="00101FED">
        <w:rPr>
          <w:sz w:val="22"/>
          <w:szCs w:val="22"/>
        </w:rPr>
        <w:t xml:space="preserve">having worked in their home country and of the group who came on Humanitarian visas only 12% had worked. </w:t>
      </w:r>
      <w:r w:rsidR="00DA5D27">
        <w:rPr>
          <w:sz w:val="22"/>
          <w:szCs w:val="22"/>
        </w:rPr>
        <w:t xml:space="preserve"> </w:t>
      </w:r>
      <w:r w:rsidRPr="00101FED">
        <w:rPr>
          <w:sz w:val="22"/>
          <w:szCs w:val="22"/>
        </w:rPr>
        <w:t>This indicates significantly changed aspirations</w:t>
      </w:r>
      <w:r w:rsidR="00C56178" w:rsidRPr="00101FED">
        <w:rPr>
          <w:sz w:val="22"/>
          <w:szCs w:val="22"/>
        </w:rPr>
        <w:t xml:space="preserve"> and a determination to contribute </w:t>
      </w:r>
      <w:r w:rsidR="0030736E" w:rsidRPr="00101FED">
        <w:rPr>
          <w:sz w:val="22"/>
          <w:szCs w:val="22"/>
        </w:rPr>
        <w:t xml:space="preserve">economically </w:t>
      </w:r>
      <w:r w:rsidR="00C56178" w:rsidRPr="00101FED">
        <w:rPr>
          <w:sz w:val="22"/>
          <w:szCs w:val="22"/>
        </w:rPr>
        <w:t xml:space="preserve">and settle effectively. </w:t>
      </w:r>
      <w:r w:rsidRPr="00101FED">
        <w:rPr>
          <w:sz w:val="22"/>
          <w:szCs w:val="22"/>
        </w:rPr>
        <w:t xml:space="preserve"> </w:t>
      </w:r>
    </w:p>
    <w:p w:rsidR="00C56178" w:rsidRPr="00101FED" w:rsidRDefault="00C56178" w:rsidP="00DA5D27">
      <w:pPr>
        <w:pStyle w:val="Bodypara"/>
        <w:rPr>
          <w:sz w:val="22"/>
          <w:szCs w:val="22"/>
        </w:rPr>
      </w:pPr>
    </w:p>
    <w:p w:rsidR="002377AF" w:rsidRPr="00101FED" w:rsidRDefault="00C56178" w:rsidP="00DA5D27">
      <w:pPr>
        <w:pStyle w:val="Bodypara"/>
        <w:rPr>
          <w:sz w:val="22"/>
          <w:szCs w:val="22"/>
        </w:rPr>
      </w:pPr>
      <w:r w:rsidRPr="00101FED">
        <w:rPr>
          <w:sz w:val="22"/>
          <w:szCs w:val="22"/>
        </w:rPr>
        <w:t>This</w:t>
      </w:r>
      <w:r w:rsidR="000B1511" w:rsidRPr="00101FED">
        <w:rPr>
          <w:sz w:val="22"/>
          <w:szCs w:val="22"/>
        </w:rPr>
        <w:t xml:space="preserve"> importance of work in </w:t>
      </w:r>
      <w:r w:rsidR="00E15341" w:rsidRPr="00101FED">
        <w:rPr>
          <w:sz w:val="22"/>
          <w:szCs w:val="22"/>
        </w:rPr>
        <w:t xml:space="preserve">contributing and </w:t>
      </w:r>
      <w:r w:rsidR="000B1511" w:rsidRPr="00101FED">
        <w:rPr>
          <w:sz w:val="22"/>
          <w:szCs w:val="22"/>
        </w:rPr>
        <w:t xml:space="preserve">feeling settled in Australia is </w:t>
      </w:r>
      <w:r w:rsidR="00E15341" w:rsidRPr="00101FED">
        <w:rPr>
          <w:sz w:val="22"/>
          <w:szCs w:val="22"/>
        </w:rPr>
        <w:t xml:space="preserve">underlined by feedback in </w:t>
      </w:r>
      <w:r w:rsidR="00710163" w:rsidRPr="00101FED">
        <w:rPr>
          <w:sz w:val="22"/>
          <w:szCs w:val="22"/>
        </w:rPr>
        <w:t xml:space="preserve">interviews </w:t>
      </w:r>
      <w:r w:rsidR="00E15341" w:rsidRPr="00101FED">
        <w:rPr>
          <w:sz w:val="22"/>
          <w:szCs w:val="22"/>
        </w:rPr>
        <w:t xml:space="preserve">undertaken by AMES with clients </w:t>
      </w:r>
      <w:r w:rsidRPr="00101FED">
        <w:rPr>
          <w:sz w:val="22"/>
          <w:szCs w:val="22"/>
        </w:rPr>
        <w:t xml:space="preserve">in the longitudinal study. </w:t>
      </w:r>
    </w:p>
    <w:p w:rsidR="002377AF" w:rsidRPr="00DA5D27" w:rsidRDefault="002377AF" w:rsidP="00DA5D27">
      <w:pPr>
        <w:spacing w:before="60" w:after="60"/>
        <w:rPr>
          <w:rFonts w:ascii="Arial Narrow" w:hAnsi="Arial Narrow"/>
          <w:sz w:val="22"/>
          <w:szCs w:val="22"/>
        </w:rPr>
      </w:pPr>
    </w:p>
    <w:p w:rsidR="00C56178" w:rsidRDefault="00C56178" w:rsidP="00DA5D27">
      <w:pPr>
        <w:pStyle w:val="Quote"/>
        <w:spacing w:before="60" w:after="60"/>
      </w:pPr>
      <w:r w:rsidRPr="00797205">
        <w:t>I hope to find a job for my daily expenses, not to rely on Centrelink benefits and feel independent</w:t>
      </w:r>
      <w:r w:rsidR="006D50B1">
        <w:t>.</w:t>
      </w:r>
    </w:p>
    <w:p w:rsidR="00C56178" w:rsidRPr="006D50B1" w:rsidRDefault="00A54AF9" w:rsidP="00C56178">
      <w:pPr>
        <w:pStyle w:val="Quote2"/>
        <w:rPr>
          <w:rFonts w:ascii="Arial Narrow" w:hAnsi="Arial Narrow"/>
          <w:sz w:val="22"/>
          <w:szCs w:val="22"/>
        </w:rPr>
      </w:pPr>
      <w:r w:rsidRPr="006D50B1">
        <w:rPr>
          <w:rFonts w:ascii="Arial Narrow" w:hAnsi="Arial Narrow"/>
          <w:sz w:val="18"/>
          <w:szCs w:val="18"/>
        </w:rPr>
        <w:t>Refugee, Vietnam</w:t>
      </w:r>
      <w:r w:rsidR="00C56178" w:rsidRPr="006D50B1">
        <w:rPr>
          <w:rFonts w:ascii="Arial Narrow" w:hAnsi="Arial Narrow"/>
          <w:sz w:val="18"/>
          <w:szCs w:val="18"/>
        </w:rPr>
        <w:t xml:space="preserve"> </w:t>
      </w:r>
      <w:r w:rsidR="00C56178" w:rsidRPr="006D50B1">
        <w:rPr>
          <w:rFonts w:ascii="Arial Narrow" w:hAnsi="Arial Narrow"/>
          <w:sz w:val="18"/>
          <w:szCs w:val="18"/>
        </w:rPr>
        <w:br/>
      </w:r>
    </w:p>
    <w:p w:rsidR="00C56178" w:rsidRDefault="00C56178" w:rsidP="00C56178">
      <w:pPr>
        <w:pStyle w:val="Quote"/>
      </w:pPr>
      <w:r w:rsidRPr="004C5A69">
        <w:t>I will do anything. I need money – I have two children</w:t>
      </w:r>
      <w:r w:rsidR="006D50B1">
        <w:t>.  I</w:t>
      </w:r>
      <w:r w:rsidRPr="004C5A69">
        <w:t xml:space="preserve"> think my English is not enough for many jobs so I will take whatever I can get.</w:t>
      </w:r>
    </w:p>
    <w:p w:rsidR="00C56178" w:rsidRPr="006D50B1" w:rsidRDefault="00A54AF9" w:rsidP="00C56178">
      <w:pPr>
        <w:pStyle w:val="Quote2"/>
        <w:rPr>
          <w:rFonts w:ascii="Arial Narrow" w:hAnsi="Arial Narrow"/>
          <w:sz w:val="22"/>
          <w:szCs w:val="22"/>
        </w:rPr>
      </w:pPr>
      <w:r w:rsidRPr="006D50B1">
        <w:rPr>
          <w:rFonts w:ascii="Arial Narrow" w:hAnsi="Arial Narrow"/>
          <w:sz w:val="18"/>
          <w:szCs w:val="18"/>
        </w:rPr>
        <w:t>Refugee, Sri Lanka</w:t>
      </w:r>
      <w:r w:rsidR="00C56178" w:rsidRPr="006D50B1">
        <w:rPr>
          <w:rFonts w:ascii="Arial Narrow" w:hAnsi="Arial Narrow"/>
          <w:sz w:val="18"/>
          <w:szCs w:val="18"/>
        </w:rPr>
        <w:br/>
      </w:r>
    </w:p>
    <w:p w:rsidR="00C56178" w:rsidRDefault="00C56178" w:rsidP="00C56178">
      <w:pPr>
        <w:pStyle w:val="Quote"/>
      </w:pPr>
      <w:r w:rsidRPr="004C5A69">
        <w:t>Language learning is very important for health, banking, Centrelink, making friends, socialising and living in the community, communicating with others. English language is important for every purpose because if we don’t know English language how can we do everyday thin</w:t>
      </w:r>
      <w:r w:rsidR="006D50B1">
        <w:t>gs, especially in the work place.</w:t>
      </w:r>
    </w:p>
    <w:p w:rsidR="00C56178" w:rsidRPr="006D50B1" w:rsidRDefault="00C56178" w:rsidP="00C56178">
      <w:pPr>
        <w:pStyle w:val="Quote2"/>
        <w:rPr>
          <w:rFonts w:ascii="Arial Narrow" w:hAnsi="Arial Narrow"/>
          <w:sz w:val="18"/>
          <w:szCs w:val="18"/>
        </w:rPr>
      </w:pPr>
      <w:r w:rsidRPr="006D50B1">
        <w:rPr>
          <w:rFonts w:ascii="Arial Narrow" w:hAnsi="Arial Narrow"/>
          <w:sz w:val="18"/>
          <w:szCs w:val="18"/>
        </w:rPr>
        <w:t>Migrant, Cambodia</w:t>
      </w:r>
      <w:r w:rsidRPr="006D50B1">
        <w:rPr>
          <w:rFonts w:ascii="Arial Narrow" w:hAnsi="Arial Narrow"/>
          <w:sz w:val="18"/>
          <w:szCs w:val="18"/>
        </w:rPr>
        <w:br/>
      </w:r>
    </w:p>
    <w:p w:rsidR="0020433D" w:rsidRPr="006D50B1" w:rsidRDefault="00351FC7" w:rsidP="006D50B1">
      <w:pPr>
        <w:pStyle w:val="Heading2"/>
        <w:spacing w:before="60" w:after="60"/>
      </w:pPr>
      <w:r w:rsidRPr="006D50B1">
        <w:lastRenderedPageBreak/>
        <w:t xml:space="preserve">Challenges for new arrivals in organising child care </w:t>
      </w:r>
    </w:p>
    <w:p w:rsidR="006D50B1" w:rsidRPr="006D50B1" w:rsidRDefault="006D50B1" w:rsidP="006D50B1">
      <w:pPr>
        <w:pStyle w:val="Bodypara"/>
        <w:rPr>
          <w:sz w:val="22"/>
          <w:szCs w:val="22"/>
        </w:rPr>
      </w:pPr>
    </w:p>
    <w:p w:rsidR="00A54AF9" w:rsidRPr="006D50B1" w:rsidRDefault="00A54AF9" w:rsidP="006D50B1">
      <w:pPr>
        <w:pStyle w:val="Bodypara"/>
        <w:rPr>
          <w:sz w:val="22"/>
          <w:szCs w:val="22"/>
        </w:rPr>
      </w:pPr>
      <w:r w:rsidRPr="006D50B1">
        <w:rPr>
          <w:sz w:val="22"/>
          <w:szCs w:val="22"/>
        </w:rPr>
        <w:t xml:space="preserve">For Australian born parents who want to return to work, understanding child care systems, the need to place children on waiting lists and the complexity of child care subsidies can be challenging. </w:t>
      </w:r>
      <w:r w:rsidR="006D50B1">
        <w:rPr>
          <w:sz w:val="22"/>
          <w:szCs w:val="22"/>
        </w:rPr>
        <w:t xml:space="preserve"> </w:t>
      </w:r>
      <w:r w:rsidRPr="006D50B1">
        <w:rPr>
          <w:sz w:val="22"/>
          <w:szCs w:val="22"/>
        </w:rPr>
        <w:t>These parents will also often rely on family and other networks to manage their child</w:t>
      </w:r>
      <w:r w:rsidR="006D50B1">
        <w:rPr>
          <w:sz w:val="22"/>
          <w:szCs w:val="22"/>
        </w:rPr>
        <w:t xml:space="preserve"> </w:t>
      </w:r>
      <w:r w:rsidRPr="006D50B1">
        <w:rPr>
          <w:sz w:val="22"/>
          <w:szCs w:val="22"/>
        </w:rPr>
        <w:t xml:space="preserve">care.  </w:t>
      </w:r>
    </w:p>
    <w:p w:rsidR="00A54AF9" w:rsidRPr="006D50B1" w:rsidRDefault="00A54AF9" w:rsidP="006D50B1">
      <w:pPr>
        <w:pStyle w:val="Bodypara"/>
        <w:rPr>
          <w:sz w:val="22"/>
          <w:szCs w:val="22"/>
        </w:rPr>
      </w:pPr>
    </w:p>
    <w:p w:rsidR="00B71D65" w:rsidRPr="006D50B1" w:rsidRDefault="0020433D" w:rsidP="006D50B1">
      <w:pPr>
        <w:pStyle w:val="Bodypara"/>
        <w:rPr>
          <w:sz w:val="22"/>
          <w:szCs w:val="22"/>
        </w:rPr>
      </w:pPr>
      <w:r w:rsidRPr="006D50B1">
        <w:rPr>
          <w:sz w:val="22"/>
          <w:szCs w:val="22"/>
        </w:rPr>
        <w:t xml:space="preserve">New arrivals do not have the same networks and contacts to organise child care and </w:t>
      </w:r>
      <w:r w:rsidR="00C56178" w:rsidRPr="006D50B1">
        <w:rPr>
          <w:sz w:val="22"/>
          <w:szCs w:val="22"/>
        </w:rPr>
        <w:t xml:space="preserve">do not have the same knowledge and </w:t>
      </w:r>
      <w:r w:rsidRPr="006D50B1">
        <w:rPr>
          <w:sz w:val="22"/>
          <w:szCs w:val="22"/>
        </w:rPr>
        <w:t>understand</w:t>
      </w:r>
      <w:r w:rsidR="00C56178" w:rsidRPr="006D50B1">
        <w:rPr>
          <w:sz w:val="22"/>
          <w:szCs w:val="22"/>
        </w:rPr>
        <w:t xml:space="preserve">ing of </w:t>
      </w:r>
      <w:r w:rsidRPr="006D50B1">
        <w:rPr>
          <w:sz w:val="22"/>
          <w:szCs w:val="22"/>
        </w:rPr>
        <w:t xml:space="preserve">systems as parents who were born or who have been resident </w:t>
      </w:r>
      <w:r w:rsidR="00AF482B" w:rsidRPr="006D50B1">
        <w:rPr>
          <w:sz w:val="22"/>
          <w:szCs w:val="22"/>
        </w:rPr>
        <w:t xml:space="preserve">in Australia </w:t>
      </w:r>
      <w:r w:rsidRPr="006D50B1">
        <w:rPr>
          <w:sz w:val="22"/>
          <w:szCs w:val="22"/>
        </w:rPr>
        <w:t>for a long period</w:t>
      </w:r>
      <w:r w:rsidR="00C56178" w:rsidRPr="006D50B1">
        <w:rPr>
          <w:sz w:val="22"/>
          <w:szCs w:val="22"/>
        </w:rPr>
        <w:t xml:space="preserve">. </w:t>
      </w:r>
    </w:p>
    <w:p w:rsidR="00351FC7" w:rsidRPr="006D50B1" w:rsidRDefault="00351FC7" w:rsidP="006D50B1">
      <w:pPr>
        <w:pStyle w:val="Bodypara"/>
        <w:rPr>
          <w:sz w:val="22"/>
          <w:szCs w:val="22"/>
        </w:rPr>
      </w:pPr>
    </w:p>
    <w:p w:rsidR="00320EDF" w:rsidRPr="006D50B1" w:rsidRDefault="00C56178" w:rsidP="006D50B1">
      <w:pPr>
        <w:pStyle w:val="Bodypara"/>
        <w:rPr>
          <w:sz w:val="22"/>
          <w:szCs w:val="22"/>
        </w:rPr>
      </w:pPr>
      <w:r w:rsidRPr="006D50B1">
        <w:rPr>
          <w:sz w:val="22"/>
          <w:szCs w:val="22"/>
        </w:rPr>
        <w:t>W</w:t>
      </w:r>
      <w:r w:rsidR="0020433D" w:rsidRPr="006D50B1">
        <w:rPr>
          <w:sz w:val="22"/>
          <w:szCs w:val="22"/>
        </w:rPr>
        <w:t xml:space="preserve">ithout this understanding </w:t>
      </w:r>
      <w:r w:rsidR="0010269B" w:rsidRPr="006D50B1">
        <w:rPr>
          <w:sz w:val="22"/>
          <w:szCs w:val="22"/>
        </w:rPr>
        <w:t xml:space="preserve">of systems and often a lack of wide family support </w:t>
      </w:r>
      <w:r w:rsidR="0030736E" w:rsidRPr="006D50B1">
        <w:rPr>
          <w:sz w:val="22"/>
          <w:szCs w:val="22"/>
        </w:rPr>
        <w:t xml:space="preserve">it </w:t>
      </w:r>
      <w:r w:rsidR="0020433D" w:rsidRPr="006D50B1">
        <w:rPr>
          <w:sz w:val="22"/>
          <w:szCs w:val="22"/>
        </w:rPr>
        <w:t xml:space="preserve">is </w:t>
      </w:r>
      <w:r w:rsidR="0030736E" w:rsidRPr="006D50B1">
        <w:rPr>
          <w:sz w:val="22"/>
          <w:szCs w:val="22"/>
        </w:rPr>
        <w:t xml:space="preserve">more difficult </w:t>
      </w:r>
      <w:r w:rsidR="0020433D" w:rsidRPr="006D50B1">
        <w:rPr>
          <w:sz w:val="22"/>
          <w:szCs w:val="22"/>
        </w:rPr>
        <w:t xml:space="preserve">to identify possible child care options </w:t>
      </w:r>
      <w:r w:rsidRPr="006D50B1">
        <w:rPr>
          <w:sz w:val="22"/>
          <w:szCs w:val="22"/>
        </w:rPr>
        <w:t>as part of plans to enter the workforce</w:t>
      </w:r>
      <w:r w:rsidR="0058056D" w:rsidRPr="006D50B1">
        <w:rPr>
          <w:sz w:val="22"/>
          <w:szCs w:val="22"/>
        </w:rPr>
        <w:t xml:space="preserve">. </w:t>
      </w:r>
      <w:r w:rsidR="006D50B1">
        <w:rPr>
          <w:sz w:val="22"/>
          <w:szCs w:val="22"/>
        </w:rPr>
        <w:t xml:space="preserve"> </w:t>
      </w:r>
      <w:r w:rsidR="00AF482B" w:rsidRPr="006D50B1">
        <w:rPr>
          <w:sz w:val="22"/>
          <w:szCs w:val="22"/>
        </w:rPr>
        <w:t xml:space="preserve">Finding employment </w:t>
      </w:r>
      <w:r w:rsidR="0058056D" w:rsidRPr="006D50B1">
        <w:rPr>
          <w:sz w:val="22"/>
          <w:szCs w:val="22"/>
        </w:rPr>
        <w:t xml:space="preserve">is nevertheless </w:t>
      </w:r>
      <w:r w:rsidR="0020433D" w:rsidRPr="006D50B1">
        <w:rPr>
          <w:sz w:val="22"/>
          <w:szCs w:val="22"/>
        </w:rPr>
        <w:t>very important for integration into Australian society</w:t>
      </w:r>
      <w:r w:rsidR="00AF482B" w:rsidRPr="006D50B1">
        <w:rPr>
          <w:sz w:val="22"/>
          <w:szCs w:val="22"/>
        </w:rPr>
        <w:t xml:space="preserve"> and an important component of successful settlement for individuals</w:t>
      </w:r>
      <w:r w:rsidR="00320EDF" w:rsidRPr="006D50B1">
        <w:rPr>
          <w:sz w:val="22"/>
          <w:szCs w:val="22"/>
        </w:rPr>
        <w:t xml:space="preserve">. </w:t>
      </w:r>
    </w:p>
    <w:p w:rsidR="006D50B1" w:rsidRPr="006D50B1" w:rsidRDefault="006D50B1" w:rsidP="006D50B1">
      <w:pPr>
        <w:pStyle w:val="Heading2"/>
        <w:spacing w:before="60" w:after="60"/>
        <w:rPr>
          <w:rFonts w:ascii="Arial Narrow" w:hAnsi="Arial Narrow"/>
          <w:sz w:val="22"/>
          <w:szCs w:val="22"/>
        </w:rPr>
      </w:pPr>
    </w:p>
    <w:p w:rsidR="0058056D" w:rsidRDefault="00320EDF" w:rsidP="006D50B1">
      <w:pPr>
        <w:pStyle w:val="Heading2"/>
        <w:spacing w:before="60" w:after="60"/>
      </w:pPr>
      <w:r>
        <w:t>Child care cost impacts for new arrivals</w:t>
      </w:r>
    </w:p>
    <w:p w:rsidR="006D50B1" w:rsidRDefault="006D50B1" w:rsidP="006D50B1">
      <w:pPr>
        <w:pStyle w:val="Bodypara"/>
        <w:rPr>
          <w:sz w:val="22"/>
          <w:szCs w:val="22"/>
        </w:rPr>
      </w:pPr>
    </w:p>
    <w:p w:rsidR="00A221AF" w:rsidRPr="00101FED" w:rsidRDefault="0058056D" w:rsidP="006D50B1">
      <w:pPr>
        <w:pStyle w:val="Bodypara"/>
        <w:rPr>
          <w:sz w:val="22"/>
          <w:szCs w:val="22"/>
        </w:rPr>
      </w:pPr>
      <w:r w:rsidRPr="00101FED">
        <w:rPr>
          <w:sz w:val="22"/>
          <w:szCs w:val="22"/>
        </w:rPr>
        <w:t>Child care is expensive for newly arrived migrants and refugees.</w:t>
      </w:r>
      <w:r w:rsidR="006D50B1">
        <w:rPr>
          <w:sz w:val="22"/>
          <w:szCs w:val="22"/>
        </w:rPr>
        <w:t xml:space="preserve"> </w:t>
      </w:r>
      <w:r w:rsidRPr="00101FED">
        <w:rPr>
          <w:sz w:val="22"/>
          <w:szCs w:val="22"/>
        </w:rPr>
        <w:t xml:space="preserve"> In AMES experience migrants and refugees who arrive with low levels of English often commence work in Australia</w:t>
      </w:r>
      <w:r w:rsidR="00162C21" w:rsidRPr="00101FED">
        <w:rPr>
          <w:sz w:val="22"/>
          <w:szCs w:val="22"/>
        </w:rPr>
        <w:t xml:space="preserve"> in entry level employment, on</w:t>
      </w:r>
      <w:r w:rsidRPr="00101FED">
        <w:rPr>
          <w:sz w:val="22"/>
          <w:szCs w:val="22"/>
        </w:rPr>
        <w:t xml:space="preserve"> pay </w:t>
      </w:r>
      <w:r w:rsidR="0010269B" w:rsidRPr="00101FED">
        <w:rPr>
          <w:sz w:val="22"/>
          <w:szCs w:val="22"/>
        </w:rPr>
        <w:t xml:space="preserve">low </w:t>
      </w:r>
      <w:r w:rsidRPr="00101FED">
        <w:rPr>
          <w:sz w:val="22"/>
          <w:szCs w:val="22"/>
        </w:rPr>
        <w:t xml:space="preserve">scales and in </w:t>
      </w:r>
      <w:r w:rsidR="00162C21" w:rsidRPr="00101FED">
        <w:rPr>
          <w:sz w:val="22"/>
          <w:szCs w:val="22"/>
        </w:rPr>
        <w:t xml:space="preserve">conditions of employment that are insecure. </w:t>
      </w:r>
      <w:r w:rsidR="006D50B1">
        <w:rPr>
          <w:sz w:val="22"/>
          <w:szCs w:val="22"/>
        </w:rPr>
        <w:t xml:space="preserve"> </w:t>
      </w:r>
      <w:r w:rsidR="00162C21" w:rsidRPr="00101FED">
        <w:rPr>
          <w:sz w:val="22"/>
          <w:szCs w:val="22"/>
        </w:rPr>
        <w:t xml:space="preserve">While this work frequently does not utilise skills it is viewed as a first step in the Australian labour market and a way to gain Australian work experience. </w:t>
      </w:r>
    </w:p>
    <w:p w:rsidR="00A221AF" w:rsidRPr="00101FED" w:rsidRDefault="00A221AF" w:rsidP="006D50B1">
      <w:pPr>
        <w:pStyle w:val="Bodypara"/>
        <w:rPr>
          <w:sz w:val="22"/>
          <w:szCs w:val="22"/>
        </w:rPr>
      </w:pPr>
    </w:p>
    <w:p w:rsidR="0020433D" w:rsidRPr="00101FED" w:rsidRDefault="000B2508" w:rsidP="006D50B1">
      <w:pPr>
        <w:pStyle w:val="Bodypara"/>
        <w:rPr>
          <w:sz w:val="22"/>
          <w:szCs w:val="22"/>
        </w:rPr>
      </w:pPr>
      <w:r w:rsidRPr="00101FED">
        <w:rPr>
          <w:sz w:val="22"/>
          <w:szCs w:val="22"/>
        </w:rPr>
        <w:t xml:space="preserve">During the period of the longitudinal study 40% of participants found some paid employment and there was a steady increase over the three waves of the study. </w:t>
      </w:r>
      <w:r w:rsidR="006D50B1">
        <w:rPr>
          <w:sz w:val="22"/>
          <w:szCs w:val="22"/>
        </w:rPr>
        <w:t xml:space="preserve"> </w:t>
      </w:r>
      <w:r w:rsidR="00A221AF" w:rsidRPr="00101FED">
        <w:rPr>
          <w:sz w:val="22"/>
          <w:szCs w:val="22"/>
        </w:rPr>
        <w:t xml:space="preserve">Jobs were often at a lower skill level than overseas jobs and pathways into work were largely through non-professional jobs. </w:t>
      </w:r>
      <w:r w:rsidR="006D50B1">
        <w:rPr>
          <w:sz w:val="22"/>
          <w:szCs w:val="22"/>
        </w:rPr>
        <w:t xml:space="preserve"> </w:t>
      </w:r>
      <w:r w:rsidR="00A221AF" w:rsidRPr="00101FED">
        <w:rPr>
          <w:sz w:val="22"/>
          <w:szCs w:val="22"/>
        </w:rPr>
        <w:t xml:space="preserve">Of the 47% of migrants who came with professional qualifications only 18% had found work in a professional area in Australia. </w:t>
      </w:r>
      <w:r w:rsidR="006D50B1">
        <w:rPr>
          <w:sz w:val="22"/>
          <w:szCs w:val="22"/>
        </w:rPr>
        <w:t xml:space="preserve"> </w:t>
      </w:r>
      <w:r w:rsidR="00A221AF" w:rsidRPr="00101FED">
        <w:rPr>
          <w:sz w:val="22"/>
          <w:szCs w:val="22"/>
        </w:rPr>
        <w:t xml:space="preserve">Of the 6% of refugees with professional qualifications in the study sample none had gained professional employment by the last wave of the study. </w:t>
      </w:r>
    </w:p>
    <w:p w:rsidR="0010269B" w:rsidRPr="00101FED" w:rsidRDefault="0010269B" w:rsidP="006D50B1">
      <w:pPr>
        <w:pStyle w:val="Bodypara"/>
        <w:rPr>
          <w:sz w:val="22"/>
          <w:szCs w:val="22"/>
        </w:rPr>
      </w:pPr>
    </w:p>
    <w:p w:rsidR="00A221AF" w:rsidRPr="00101FED" w:rsidRDefault="0010269B" w:rsidP="006D50B1">
      <w:pPr>
        <w:pStyle w:val="Bodypara"/>
        <w:rPr>
          <w:sz w:val="22"/>
          <w:szCs w:val="22"/>
        </w:rPr>
      </w:pPr>
      <w:r w:rsidRPr="00101FED">
        <w:rPr>
          <w:sz w:val="22"/>
          <w:szCs w:val="22"/>
        </w:rPr>
        <w:t xml:space="preserve">This lack of secure and adequate income to cover the high costs of child care </w:t>
      </w:r>
      <w:r w:rsidR="00A221AF" w:rsidRPr="00101FED">
        <w:rPr>
          <w:sz w:val="22"/>
          <w:szCs w:val="22"/>
        </w:rPr>
        <w:t>can impede the ability to enter the workforce. This can have negative impacts on settlement for individuals</w:t>
      </w:r>
      <w:r w:rsidR="00173FBC" w:rsidRPr="00101FED">
        <w:rPr>
          <w:sz w:val="22"/>
          <w:szCs w:val="22"/>
        </w:rPr>
        <w:t xml:space="preserve">. </w:t>
      </w:r>
      <w:r w:rsidR="006D50B1">
        <w:rPr>
          <w:sz w:val="22"/>
          <w:szCs w:val="22"/>
        </w:rPr>
        <w:t xml:space="preserve"> </w:t>
      </w:r>
      <w:r w:rsidR="006565DA" w:rsidRPr="00101FED">
        <w:rPr>
          <w:sz w:val="22"/>
          <w:szCs w:val="22"/>
        </w:rPr>
        <w:t xml:space="preserve">It </w:t>
      </w:r>
      <w:r w:rsidR="00173FBC" w:rsidRPr="00101FED">
        <w:rPr>
          <w:sz w:val="22"/>
          <w:szCs w:val="22"/>
        </w:rPr>
        <w:t>can have fl</w:t>
      </w:r>
      <w:r w:rsidR="00147A6F" w:rsidRPr="00101FED">
        <w:rPr>
          <w:sz w:val="22"/>
          <w:szCs w:val="22"/>
        </w:rPr>
        <w:t>ow on effects in terms of the length of time out of work that compounds future ability to find a job and the potential impacts of intergenerational unemployment</w:t>
      </w:r>
      <w:r w:rsidR="006565DA" w:rsidRPr="00101FED">
        <w:rPr>
          <w:sz w:val="22"/>
          <w:szCs w:val="22"/>
        </w:rPr>
        <w:t xml:space="preserve"> that have been well documented elsewhere</w:t>
      </w:r>
      <w:r w:rsidR="00147A6F" w:rsidRPr="00101FED">
        <w:rPr>
          <w:sz w:val="22"/>
          <w:szCs w:val="22"/>
        </w:rPr>
        <w:t xml:space="preserve">. </w:t>
      </w:r>
      <w:r w:rsidR="00A221AF" w:rsidRPr="00101FED">
        <w:rPr>
          <w:sz w:val="22"/>
          <w:szCs w:val="22"/>
        </w:rPr>
        <w:t xml:space="preserve"> </w:t>
      </w:r>
      <w:r w:rsidR="00147A6F" w:rsidRPr="00101FED">
        <w:rPr>
          <w:sz w:val="22"/>
          <w:szCs w:val="22"/>
        </w:rPr>
        <w:t xml:space="preserve">It can also </w:t>
      </w:r>
      <w:r w:rsidR="00A221AF" w:rsidRPr="00101FED">
        <w:rPr>
          <w:sz w:val="22"/>
          <w:szCs w:val="22"/>
        </w:rPr>
        <w:t xml:space="preserve">result in potential negative perceptions on the part of the wider Australian community </w:t>
      </w:r>
      <w:r w:rsidR="00147A6F" w:rsidRPr="00101FED">
        <w:rPr>
          <w:sz w:val="22"/>
          <w:szCs w:val="22"/>
        </w:rPr>
        <w:t xml:space="preserve">with respect to </w:t>
      </w:r>
      <w:r w:rsidR="00A221AF" w:rsidRPr="00101FED">
        <w:rPr>
          <w:sz w:val="22"/>
          <w:szCs w:val="22"/>
        </w:rPr>
        <w:t xml:space="preserve">the degree to which newly arrived migrants and refugees are contributing to Australia.  </w:t>
      </w:r>
    </w:p>
    <w:p w:rsidR="00101FED" w:rsidRPr="007145DC" w:rsidRDefault="00101FED" w:rsidP="007145DC">
      <w:pPr>
        <w:pStyle w:val="Heading3"/>
        <w:spacing w:before="60"/>
        <w:rPr>
          <w:rFonts w:ascii="Arial Narrow" w:hAnsi="Arial Narrow"/>
        </w:rPr>
      </w:pPr>
    </w:p>
    <w:p w:rsidR="00101FED" w:rsidRPr="006D50B1" w:rsidRDefault="00101FED" w:rsidP="007145DC">
      <w:pPr>
        <w:pStyle w:val="Heading3"/>
        <w:spacing w:before="60"/>
        <w:rPr>
          <w:sz w:val="24"/>
          <w:szCs w:val="24"/>
        </w:rPr>
      </w:pPr>
      <w:r w:rsidRPr="006D50B1">
        <w:rPr>
          <w:sz w:val="24"/>
          <w:szCs w:val="24"/>
        </w:rPr>
        <w:t>Recommendation</w:t>
      </w:r>
    </w:p>
    <w:p w:rsidR="007145DC" w:rsidRDefault="007145DC" w:rsidP="007145DC">
      <w:pPr>
        <w:pStyle w:val="Bodypara"/>
        <w:rPr>
          <w:sz w:val="22"/>
          <w:szCs w:val="22"/>
        </w:rPr>
      </w:pPr>
    </w:p>
    <w:p w:rsidR="00B00DA0" w:rsidRPr="00101FED" w:rsidRDefault="00A221AF" w:rsidP="007145DC">
      <w:pPr>
        <w:pStyle w:val="Bodypara"/>
        <w:rPr>
          <w:sz w:val="22"/>
          <w:szCs w:val="22"/>
        </w:rPr>
      </w:pPr>
      <w:r w:rsidRPr="00101FED">
        <w:rPr>
          <w:sz w:val="22"/>
          <w:szCs w:val="22"/>
        </w:rPr>
        <w:t>AMES recommends that the resources available for child care subsidies are targeted to low income earners where the barriers faced by high</w:t>
      </w:r>
      <w:r w:rsidR="00147A6F" w:rsidRPr="00101FED">
        <w:rPr>
          <w:sz w:val="22"/>
          <w:szCs w:val="22"/>
        </w:rPr>
        <w:t xml:space="preserve"> child care costs will have the highest impact o</w:t>
      </w:r>
      <w:r w:rsidRPr="00101FED">
        <w:rPr>
          <w:sz w:val="22"/>
          <w:szCs w:val="22"/>
        </w:rPr>
        <w:t xml:space="preserve">n decisions and ability to enter the workforce. </w:t>
      </w:r>
    </w:p>
    <w:p w:rsidR="0010269B" w:rsidRPr="007145DC" w:rsidRDefault="0010269B" w:rsidP="007145DC">
      <w:pPr>
        <w:pStyle w:val="Bodypara"/>
        <w:rPr>
          <w:sz w:val="22"/>
          <w:szCs w:val="22"/>
        </w:rPr>
      </w:pPr>
      <w:r>
        <w:t xml:space="preserve"> </w:t>
      </w:r>
    </w:p>
    <w:p w:rsidR="0010269B" w:rsidRPr="0010269B" w:rsidRDefault="00E5398F" w:rsidP="007145DC">
      <w:pPr>
        <w:pStyle w:val="Heading1"/>
        <w:spacing w:before="60" w:after="60"/>
      </w:pPr>
      <w:r>
        <w:t>A</w:t>
      </w:r>
      <w:r w:rsidR="0010269B" w:rsidRPr="0010269B">
        <w:t xml:space="preserve"> model to </w:t>
      </w:r>
      <w:r>
        <w:t>address training needs</w:t>
      </w:r>
      <w:r w:rsidR="005037C2">
        <w:t xml:space="preserve"> in the child care industry</w:t>
      </w:r>
    </w:p>
    <w:p w:rsidR="007145DC" w:rsidRDefault="007145DC" w:rsidP="007145DC">
      <w:pPr>
        <w:pStyle w:val="Bodypara"/>
        <w:rPr>
          <w:sz w:val="22"/>
          <w:szCs w:val="22"/>
        </w:rPr>
      </w:pPr>
    </w:p>
    <w:p w:rsidR="0010269B" w:rsidRPr="00101FED" w:rsidRDefault="00147A6F" w:rsidP="007145DC">
      <w:pPr>
        <w:pStyle w:val="Bodypara"/>
        <w:rPr>
          <w:sz w:val="22"/>
          <w:szCs w:val="22"/>
        </w:rPr>
      </w:pPr>
      <w:r w:rsidRPr="00101FED">
        <w:rPr>
          <w:sz w:val="22"/>
          <w:szCs w:val="22"/>
        </w:rPr>
        <w:t>To address</w:t>
      </w:r>
      <w:r w:rsidR="00941439" w:rsidRPr="00101FED">
        <w:rPr>
          <w:sz w:val="22"/>
          <w:szCs w:val="22"/>
        </w:rPr>
        <w:t xml:space="preserve"> the issue of new requirements for </w:t>
      </w:r>
      <w:r w:rsidR="0021311D" w:rsidRPr="00101FED">
        <w:rPr>
          <w:sz w:val="22"/>
          <w:szCs w:val="22"/>
        </w:rPr>
        <w:t xml:space="preserve">qualifications in </w:t>
      </w:r>
      <w:r w:rsidR="00941439" w:rsidRPr="00101FED">
        <w:rPr>
          <w:sz w:val="22"/>
          <w:szCs w:val="22"/>
        </w:rPr>
        <w:t>Certificate 3 in Children’s Services</w:t>
      </w:r>
      <w:r w:rsidR="0021311D" w:rsidRPr="00101FED">
        <w:rPr>
          <w:sz w:val="22"/>
          <w:szCs w:val="22"/>
        </w:rPr>
        <w:t xml:space="preserve">, </w:t>
      </w:r>
      <w:r w:rsidR="00941439" w:rsidRPr="00101FED">
        <w:rPr>
          <w:sz w:val="22"/>
          <w:szCs w:val="22"/>
        </w:rPr>
        <w:t xml:space="preserve">AMES is trialling a training delivery model that is appropriate for participants who do not speak English as their first language. </w:t>
      </w:r>
    </w:p>
    <w:p w:rsidR="00941439" w:rsidRPr="00101FED" w:rsidRDefault="00941439" w:rsidP="007145DC">
      <w:pPr>
        <w:pStyle w:val="Bodypara"/>
        <w:rPr>
          <w:sz w:val="22"/>
          <w:szCs w:val="22"/>
        </w:rPr>
      </w:pPr>
    </w:p>
    <w:p w:rsidR="00941439" w:rsidRPr="00101FED" w:rsidRDefault="00941439" w:rsidP="007145DC">
      <w:pPr>
        <w:pStyle w:val="Bodypara"/>
        <w:rPr>
          <w:sz w:val="22"/>
          <w:szCs w:val="22"/>
        </w:rPr>
      </w:pPr>
      <w:r w:rsidRPr="00101FED">
        <w:rPr>
          <w:sz w:val="22"/>
          <w:szCs w:val="22"/>
        </w:rPr>
        <w:t xml:space="preserve">This model has been trialled with a group of Karen </w:t>
      </w:r>
      <w:r w:rsidR="0053708E">
        <w:rPr>
          <w:sz w:val="22"/>
          <w:szCs w:val="22"/>
        </w:rPr>
        <w:t xml:space="preserve">and Chin </w:t>
      </w:r>
      <w:r w:rsidRPr="00101FED">
        <w:rPr>
          <w:sz w:val="22"/>
          <w:szCs w:val="22"/>
        </w:rPr>
        <w:t xml:space="preserve">women </w:t>
      </w:r>
      <w:r w:rsidR="0021311D" w:rsidRPr="00101FED">
        <w:rPr>
          <w:sz w:val="22"/>
          <w:szCs w:val="22"/>
        </w:rPr>
        <w:t xml:space="preserve">in the eastern suburbs of Melbourne where there is a significant settlement of newly arrived Karen </w:t>
      </w:r>
      <w:r w:rsidR="0053708E">
        <w:rPr>
          <w:sz w:val="22"/>
          <w:szCs w:val="22"/>
        </w:rPr>
        <w:t xml:space="preserve">and Chin </w:t>
      </w:r>
      <w:r w:rsidR="0021311D" w:rsidRPr="00101FED">
        <w:rPr>
          <w:sz w:val="22"/>
          <w:szCs w:val="22"/>
        </w:rPr>
        <w:t xml:space="preserve">refugees from Myanmar. </w:t>
      </w:r>
      <w:r w:rsidR="007145DC">
        <w:rPr>
          <w:sz w:val="22"/>
          <w:szCs w:val="22"/>
        </w:rPr>
        <w:t xml:space="preserve"> </w:t>
      </w:r>
      <w:r w:rsidR="0021311D" w:rsidRPr="00101FED">
        <w:rPr>
          <w:sz w:val="22"/>
          <w:szCs w:val="22"/>
        </w:rPr>
        <w:t xml:space="preserve">The model combines English language study with modules from the Certificate 3 in Children’s Services and is undertaken over a year rather than the usual six months to accommodate the need to improve English language at the same time as developing competence in child care. </w:t>
      </w:r>
      <w:r w:rsidR="0021311D" w:rsidRPr="00101FED">
        <w:rPr>
          <w:sz w:val="22"/>
          <w:szCs w:val="22"/>
        </w:rPr>
        <w:lastRenderedPageBreak/>
        <w:t xml:space="preserve">This contextualised English language learning that supports development of vocational context improves both English language competence and vocational skills. </w:t>
      </w:r>
    </w:p>
    <w:p w:rsidR="0021311D" w:rsidRPr="00101FED" w:rsidRDefault="0021311D" w:rsidP="007145DC">
      <w:pPr>
        <w:pStyle w:val="Bodypara"/>
        <w:rPr>
          <w:sz w:val="22"/>
          <w:szCs w:val="22"/>
        </w:rPr>
      </w:pPr>
    </w:p>
    <w:p w:rsidR="007F601A" w:rsidRPr="00101FED" w:rsidRDefault="0021311D" w:rsidP="007145DC">
      <w:pPr>
        <w:pStyle w:val="Bodypara"/>
        <w:rPr>
          <w:sz w:val="22"/>
          <w:szCs w:val="22"/>
        </w:rPr>
      </w:pPr>
      <w:r w:rsidRPr="00101FED">
        <w:rPr>
          <w:sz w:val="22"/>
          <w:szCs w:val="22"/>
        </w:rPr>
        <w:t xml:space="preserve">A number of these women have now completed the Certificate and are commencing work as Family Day Care providers who can provide child care places for AMEP students. </w:t>
      </w:r>
      <w:r w:rsidR="007145DC">
        <w:rPr>
          <w:sz w:val="22"/>
          <w:szCs w:val="22"/>
        </w:rPr>
        <w:t xml:space="preserve"> </w:t>
      </w:r>
      <w:r w:rsidR="007F601A" w:rsidRPr="00101FED">
        <w:rPr>
          <w:sz w:val="22"/>
          <w:szCs w:val="22"/>
        </w:rPr>
        <w:t xml:space="preserve">This delivers benefit to both the individuals in providing pathways to employment and for the AMEP in increasing the places available for Family Day Care. </w:t>
      </w:r>
    </w:p>
    <w:p w:rsidR="007F601A" w:rsidRPr="00101FED" w:rsidRDefault="007F601A" w:rsidP="007145DC">
      <w:pPr>
        <w:pStyle w:val="Bodypara"/>
        <w:rPr>
          <w:sz w:val="22"/>
          <w:szCs w:val="22"/>
        </w:rPr>
      </w:pPr>
    </w:p>
    <w:p w:rsidR="0021311D" w:rsidRPr="00101FED" w:rsidRDefault="007F601A" w:rsidP="007145DC">
      <w:pPr>
        <w:pStyle w:val="Bodypara"/>
        <w:rPr>
          <w:sz w:val="22"/>
          <w:szCs w:val="22"/>
        </w:rPr>
      </w:pPr>
      <w:r w:rsidRPr="00101FED">
        <w:rPr>
          <w:sz w:val="22"/>
          <w:szCs w:val="22"/>
        </w:rPr>
        <w:t xml:space="preserve">A further advantage may develop where Karen </w:t>
      </w:r>
      <w:r w:rsidR="0053708E">
        <w:rPr>
          <w:sz w:val="22"/>
          <w:szCs w:val="22"/>
        </w:rPr>
        <w:t xml:space="preserve">and Chin </w:t>
      </w:r>
      <w:r w:rsidRPr="00101FED">
        <w:rPr>
          <w:sz w:val="22"/>
          <w:szCs w:val="22"/>
        </w:rPr>
        <w:t xml:space="preserve">women commence work in Family Day Care and then use this experience to gain </w:t>
      </w:r>
      <w:r w:rsidR="006565DA" w:rsidRPr="00101FED">
        <w:rPr>
          <w:sz w:val="22"/>
          <w:szCs w:val="22"/>
        </w:rPr>
        <w:t xml:space="preserve">future </w:t>
      </w:r>
      <w:r w:rsidRPr="00101FED">
        <w:rPr>
          <w:sz w:val="22"/>
          <w:szCs w:val="22"/>
        </w:rPr>
        <w:t xml:space="preserve">work in a Child Care Centre. </w:t>
      </w:r>
      <w:r w:rsidR="007145DC">
        <w:rPr>
          <w:sz w:val="22"/>
          <w:szCs w:val="22"/>
        </w:rPr>
        <w:t xml:space="preserve"> </w:t>
      </w:r>
      <w:r w:rsidRPr="00101FED">
        <w:rPr>
          <w:sz w:val="22"/>
          <w:szCs w:val="22"/>
        </w:rPr>
        <w:t xml:space="preserve">In these cases it would provide a benefit of increasing diversity in staffing in long day care and provide an excellent environment for Karen </w:t>
      </w:r>
      <w:r w:rsidR="0053708E">
        <w:rPr>
          <w:sz w:val="22"/>
          <w:szCs w:val="22"/>
        </w:rPr>
        <w:t xml:space="preserve">and Chin </w:t>
      </w:r>
      <w:r w:rsidRPr="00101FED">
        <w:rPr>
          <w:sz w:val="22"/>
          <w:szCs w:val="22"/>
        </w:rPr>
        <w:t>children’s development where they have the support of worker</w:t>
      </w:r>
      <w:r w:rsidR="00B9493E">
        <w:rPr>
          <w:sz w:val="22"/>
          <w:szCs w:val="22"/>
        </w:rPr>
        <w:t>s from their culture</w:t>
      </w:r>
      <w:r w:rsidRPr="00101FED">
        <w:rPr>
          <w:sz w:val="22"/>
          <w:szCs w:val="22"/>
        </w:rPr>
        <w:t xml:space="preserve"> and also the </w:t>
      </w:r>
      <w:r w:rsidR="006565DA" w:rsidRPr="00101FED">
        <w:rPr>
          <w:sz w:val="22"/>
          <w:szCs w:val="22"/>
        </w:rPr>
        <w:t xml:space="preserve">advantages of integrating with </w:t>
      </w:r>
      <w:r w:rsidRPr="00101FED">
        <w:rPr>
          <w:sz w:val="22"/>
          <w:szCs w:val="22"/>
        </w:rPr>
        <w:t>children from other cultures and communicating in English to prepare them for school in Australia.</w:t>
      </w:r>
    </w:p>
    <w:p w:rsidR="007145DC" w:rsidRPr="007145DC" w:rsidRDefault="007145DC" w:rsidP="007145DC">
      <w:pPr>
        <w:pStyle w:val="Heading3"/>
        <w:spacing w:before="60"/>
        <w:rPr>
          <w:rFonts w:ascii="Arial Narrow" w:hAnsi="Arial Narrow"/>
        </w:rPr>
      </w:pPr>
    </w:p>
    <w:p w:rsidR="007F601A" w:rsidRPr="007145DC" w:rsidRDefault="00101FED" w:rsidP="007145DC">
      <w:pPr>
        <w:pStyle w:val="Heading3"/>
        <w:spacing w:before="60"/>
        <w:rPr>
          <w:sz w:val="24"/>
          <w:szCs w:val="24"/>
        </w:rPr>
      </w:pPr>
      <w:r w:rsidRPr="007145DC">
        <w:rPr>
          <w:sz w:val="24"/>
          <w:szCs w:val="24"/>
        </w:rPr>
        <w:t>Recommendation</w:t>
      </w:r>
    </w:p>
    <w:p w:rsidR="007145DC" w:rsidRDefault="007145DC" w:rsidP="007145DC">
      <w:pPr>
        <w:pStyle w:val="Bodypara"/>
        <w:rPr>
          <w:sz w:val="22"/>
          <w:szCs w:val="22"/>
        </w:rPr>
      </w:pPr>
    </w:p>
    <w:p w:rsidR="0021311D" w:rsidRPr="00101FED" w:rsidRDefault="007F601A" w:rsidP="007145DC">
      <w:pPr>
        <w:pStyle w:val="Bodypara"/>
        <w:rPr>
          <w:sz w:val="22"/>
          <w:szCs w:val="22"/>
        </w:rPr>
      </w:pPr>
      <w:r w:rsidRPr="00101FED">
        <w:rPr>
          <w:sz w:val="22"/>
          <w:szCs w:val="22"/>
        </w:rPr>
        <w:t>AMES recommends that models to increase the participation and success rates of learners who require concurrent English language support with vocational training are furt</w:t>
      </w:r>
      <w:r w:rsidR="006565DA" w:rsidRPr="00101FED">
        <w:rPr>
          <w:sz w:val="22"/>
          <w:szCs w:val="22"/>
        </w:rPr>
        <w:t xml:space="preserve">her developed and implemented. </w:t>
      </w:r>
    </w:p>
    <w:bookmarkEnd w:id="1"/>
    <w:p w:rsidR="00C56178" w:rsidRPr="00101FED" w:rsidRDefault="00C56178" w:rsidP="007145DC">
      <w:pPr>
        <w:spacing w:before="60" w:after="60"/>
        <w:rPr>
          <w:sz w:val="22"/>
          <w:szCs w:val="22"/>
        </w:rPr>
      </w:pPr>
    </w:p>
    <w:sectPr w:rsidR="00C56178" w:rsidRPr="00101FED" w:rsidSect="00FC11F0">
      <w:footerReference w:type="default" r:id="rId11"/>
      <w:pgSz w:w="11906" w:h="16838"/>
      <w:pgMar w:top="1440" w:right="849" w:bottom="1440" w:left="1080" w:header="708" w:footer="3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DA" w:rsidRDefault="00C07EDA" w:rsidP="00660484">
      <w:r>
        <w:separator/>
      </w:r>
    </w:p>
  </w:endnote>
  <w:endnote w:type="continuationSeparator" w:id="0">
    <w:p w:rsidR="00C07EDA" w:rsidRDefault="00C07EDA" w:rsidP="0066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sz w:val="16"/>
        <w:szCs w:val="16"/>
      </w:rPr>
      <w:id w:val="-1943758254"/>
      <w:docPartObj>
        <w:docPartGallery w:val="Page Numbers (Bottom of Page)"/>
        <w:docPartUnique/>
      </w:docPartObj>
    </w:sdtPr>
    <w:sdtEndPr/>
    <w:sdtContent>
      <w:sdt>
        <w:sdtPr>
          <w:rPr>
            <w:color w:val="A6A6A6" w:themeColor="background1" w:themeShade="A6"/>
            <w:sz w:val="16"/>
            <w:szCs w:val="16"/>
          </w:rPr>
          <w:id w:val="-1767309676"/>
          <w:docPartObj>
            <w:docPartGallery w:val="Page Numbers (Top of Page)"/>
            <w:docPartUnique/>
          </w:docPartObj>
        </w:sdtPr>
        <w:sdtEndPr/>
        <w:sdtContent>
          <w:p w:rsidR="00C07EDA" w:rsidRPr="00E630CE" w:rsidRDefault="00C07EDA" w:rsidP="00E630CE">
            <w:pPr>
              <w:pStyle w:val="Footer"/>
              <w:tabs>
                <w:tab w:val="clear" w:pos="4513"/>
                <w:tab w:val="clear" w:pos="9026"/>
                <w:tab w:val="right" w:pos="9214"/>
              </w:tabs>
              <w:rPr>
                <w:color w:val="A6A6A6" w:themeColor="background1" w:themeShade="A6"/>
                <w:sz w:val="16"/>
                <w:szCs w:val="16"/>
              </w:rPr>
            </w:pPr>
            <w:r w:rsidRPr="00595C55">
              <w:rPr>
                <w:color w:val="A6A6A6" w:themeColor="background1" w:themeShade="A6"/>
                <w:sz w:val="16"/>
                <w:szCs w:val="16"/>
              </w:rPr>
              <w:t xml:space="preserve">AMES response to </w:t>
            </w:r>
            <w:r>
              <w:rPr>
                <w:color w:val="A6A6A6" w:themeColor="background1" w:themeShade="A6"/>
                <w:sz w:val="16"/>
                <w:szCs w:val="16"/>
              </w:rPr>
              <w:t>the National Commission of Audit - November 2013</w:t>
            </w:r>
            <w:r>
              <w:rPr>
                <w:color w:val="A6A6A6" w:themeColor="background1" w:themeShade="A6"/>
                <w:sz w:val="16"/>
                <w:szCs w:val="16"/>
              </w:rPr>
              <w:tab/>
            </w:r>
            <w:r w:rsidRPr="00595C55">
              <w:rPr>
                <w:color w:val="A6A6A6" w:themeColor="background1" w:themeShade="A6"/>
                <w:sz w:val="16"/>
                <w:szCs w:val="16"/>
              </w:rPr>
              <w:t xml:space="preserve">Page </w:t>
            </w:r>
            <w:r>
              <w:rPr>
                <w:b/>
                <w:bCs/>
                <w:color w:val="A6A6A6" w:themeColor="background1" w:themeShade="A6"/>
                <w:sz w:val="16"/>
                <w:szCs w:val="16"/>
              </w:rPr>
              <w:fldChar w:fldCharType="begin"/>
            </w:r>
            <w:r>
              <w:rPr>
                <w:b/>
                <w:bCs/>
                <w:color w:val="A6A6A6" w:themeColor="background1" w:themeShade="A6"/>
                <w:sz w:val="16"/>
                <w:szCs w:val="16"/>
              </w:rPr>
              <w:instrText xml:space="preserve"> PAGE   \* MERGEFORMAT </w:instrText>
            </w:r>
            <w:r>
              <w:rPr>
                <w:b/>
                <w:bCs/>
                <w:color w:val="A6A6A6" w:themeColor="background1" w:themeShade="A6"/>
                <w:sz w:val="16"/>
                <w:szCs w:val="16"/>
              </w:rPr>
              <w:fldChar w:fldCharType="separate"/>
            </w:r>
            <w:r>
              <w:rPr>
                <w:b/>
                <w:bCs/>
                <w:noProof/>
                <w:color w:val="A6A6A6" w:themeColor="background1" w:themeShade="A6"/>
                <w:sz w:val="16"/>
                <w:szCs w:val="16"/>
              </w:rPr>
              <w:t>2</w:t>
            </w:r>
            <w:r>
              <w:rPr>
                <w:b/>
                <w:bCs/>
                <w:color w:val="A6A6A6" w:themeColor="background1" w:themeShade="A6"/>
                <w:sz w:val="16"/>
                <w:szCs w:val="16"/>
              </w:rPr>
              <w:fldChar w:fldCharType="end"/>
            </w:r>
            <w:r w:rsidRPr="00595C55">
              <w:rPr>
                <w:color w:val="A6A6A6" w:themeColor="background1" w:themeShade="A6"/>
                <w:sz w:val="16"/>
                <w:szCs w:val="16"/>
              </w:rPr>
              <w:t xml:space="preserve">of </w:t>
            </w:r>
            <w:r>
              <w:rPr>
                <w:b/>
                <w:bCs/>
                <w:color w:val="A6A6A6" w:themeColor="background1" w:themeShade="A6"/>
                <w:sz w:val="16"/>
                <w:szCs w:val="16"/>
              </w:rPr>
              <w:fldChar w:fldCharType="begin"/>
            </w:r>
            <w:r>
              <w:rPr>
                <w:b/>
                <w:bCs/>
                <w:color w:val="A6A6A6" w:themeColor="background1" w:themeShade="A6"/>
                <w:sz w:val="16"/>
                <w:szCs w:val="16"/>
              </w:rPr>
              <w:instrText xml:space="preserve"> SECTIONPAGES   \* MERGEFORMAT </w:instrText>
            </w:r>
            <w:r>
              <w:rPr>
                <w:b/>
                <w:bCs/>
                <w:color w:val="A6A6A6" w:themeColor="background1" w:themeShade="A6"/>
                <w:sz w:val="16"/>
                <w:szCs w:val="16"/>
              </w:rPr>
              <w:fldChar w:fldCharType="separate"/>
            </w:r>
            <w:r>
              <w:rPr>
                <w:b/>
                <w:bCs/>
                <w:noProof/>
                <w:color w:val="A6A6A6" w:themeColor="background1" w:themeShade="A6"/>
                <w:sz w:val="16"/>
                <w:szCs w:val="16"/>
              </w:rPr>
              <w:t>2</w:t>
            </w:r>
            <w:r>
              <w:rPr>
                <w:b/>
                <w:bCs/>
                <w:color w:val="A6A6A6" w:themeColor="background1" w:themeShade="A6"/>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sz w:val="16"/>
        <w:szCs w:val="16"/>
      </w:rPr>
      <w:id w:val="-41743871"/>
      <w:docPartObj>
        <w:docPartGallery w:val="Page Numbers (Bottom of Page)"/>
        <w:docPartUnique/>
      </w:docPartObj>
    </w:sdtPr>
    <w:sdtEndPr/>
    <w:sdtContent>
      <w:sdt>
        <w:sdtPr>
          <w:rPr>
            <w:color w:val="A6A6A6" w:themeColor="background1" w:themeShade="A6"/>
            <w:sz w:val="16"/>
            <w:szCs w:val="16"/>
          </w:rPr>
          <w:id w:val="99309517"/>
          <w:docPartObj>
            <w:docPartGallery w:val="Page Numbers (Top of Page)"/>
            <w:docPartUnique/>
          </w:docPartObj>
        </w:sdtPr>
        <w:sdtEndPr/>
        <w:sdtContent>
          <w:p w:rsidR="00C07EDA" w:rsidRPr="00E630CE" w:rsidRDefault="00C07EDA" w:rsidP="00E630CE">
            <w:pPr>
              <w:pStyle w:val="Footer"/>
              <w:tabs>
                <w:tab w:val="clear" w:pos="4513"/>
                <w:tab w:val="clear" w:pos="9026"/>
                <w:tab w:val="right" w:pos="9214"/>
              </w:tabs>
              <w:rPr>
                <w:color w:val="A6A6A6" w:themeColor="background1" w:themeShade="A6"/>
                <w:sz w:val="16"/>
                <w:szCs w:val="16"/>
              </w:rPr>
            </w:pPr>
            <w:r w:rsidRPr="00595C55">
              <w:rPr>
                <w:color w:val="A6A6A6" w:themeColor="background1" w:themeShade="A6"/>
                <w:sz w:val="16"/>
                <w:szCs w:val="16"/>
              </w:rPr>
              <w:t xml:space="preserve">AMES response to </w:t>
            </w:r>
            <w:r>
              <w:rPr>
                <w:color w:val="A6A6A6" w:themeColor="background1" w:themeShade="A6"/>
                <w:sz w:val="16"/>
                <w:szCs w:val="16"/>
              </w:rPr>
              <w:t>the Productivity Commission Child Care and Early Learning - February 2014</w:t>
            </w:r>
            <w:r>
              <w:rPr>
                <w:color w:val="A6A6A6" w:themeColor="background1" w:themeShade="A6"/>
                <w:sz w:val="16"/>
                <w:szCs w:val="16"/>
              </w:rPr>
              <w:tab/>
            </w:r>
            <w:r w:rsidRPr="00595C55">
              <w:rPr>
                <w:color w:val="A6A6A6" w:themeColor="background1" w:themeShade="A6"/>
                <w:sz w:val="16"/>
                <w:szCs w:val="16"/>
              </w:rPr>
              <w:t xml:space="preserve">Page </w:t>
            </w:r>
            <w:r>
              <w:rPr>
                <w:b/>
                <w:bCs/>
                <w:color w:val="A6A6A6" w:themeColor="background1" w:themeShade="A6"/>
                <w:sz w:val="16"/>
                <w:szCs w:val="16"/>
              </w:rPr>
              <w:fldChar w:fldCharType="begin"/>
            </w:r>
            <w:r>
              <w:rPr>
                <w:b/>
                <w:bCs/>
                <w:color w:val="A6A6A6" w:themeColor="background1" w:themeShade="A6"/>
                <w:sz w:val="16"/>
                <w:szCs w:val="16"/>
              </w:rPr>
              <w:instrText xml:space="preserve"> PAGE   \* MERGEFORMAT </w:instrText>
            </w:r>
            <w:r>
              <w:rPr>
                <w:b/>
                <w:bCs/>
                <w:color w:val="A6A6A6" w:themeColor="background1" w:themeShade="A6"/>
                <w:sz w:val="16"/>
                <w:szCs w:val="16"/>
              </w:rPr>
              <w:fldChar w:fldCharType="separate"/>
            </w:r>
            <w:r w:rsidR="00F43518">
              <w:rPr>
                <w:b/>
                <w:bCs/>
                <w:noProof/>
                <w:color w:val="A6A6A6" w:themeColor="background1" w:themeShade="A6"/>
                <w:sz w:val="16"/>
                <w:szCs w:val="16"/>
              </w:rPr>
              <w:t>1</w:t>
            </w:r>
            <w:r>
              <w:rPr>
                <w:b/>
                <w:bCs/>
                <w:color w:val="A6A6A6" w:themeColor="background1" w:themeShade="A6"/>
                <w:sz w:val="16"/>
                <w:szCs w:val="16"/>
              </w:rPr>
              <w:fldChar w:fldCharType="end"/>
            </w:r>
            <w:r>
              <w:rPr>
                <w:b/>
                <w:bCs/>
                <w:color w:val="A6A6A6" w:themeColor="background1" w:themeShade="A6"/>
                <w:sz w:val="16"/>
                <w:szCs w:val="16"/>
              </w:rPr>
              <w:t xml:space="preserve"> </w:t>
            </w:r>
            <w:r w:rsidRPr="00595C55">
              <w:rPr>
                <w:color w:val="A6A6A6" w:themeColor="background1" w:themeShade="A6"/>
                <w:sz w:val="16"/>
                <w:szCs w:val="16"/>
              </w:rPr>
              <w:t xml:space="preserve">of </w:t>
            </w:r>
            <w:r>
              <w:rPr>
                <w:b/>
                <w:bCs/>
                <w:color w:val="A6A6A6" w:themeColor="background1" w:themeShade="A6"/>
                <w:sz w:val="16"/>
                <w:szCs w:val="16"/>
              </w:rPr>
              <w:fldChar w:fldCharType="begin"/>
            </w:r>
            <w:r>
              <w:rPr>
                <w:b/>
                <w:bCs/>
                <w:color w:val="A6A6A6" w:themeColor="background1" w:themeShade="A6"/>
                <w:sz w:val="16"/>
                <w:szCs w:val="16"/>
              </w:rPr>
              <w:instrText xml:space="preserve"> SECTIONPAGES   \* MERGEFORMAT </w:instrText>
            </w:r>
            <w:r>
              <w:rPr>
                <w:b/>
                <w:bCs/>
                <w:color w:val="A6A6A6" w:themeColor="background1" w:themeShade="A6"/>
                <w:sz w:val="16"/>
                <w:szCs w:val="16"/>
              </w:rPr>
              <w:fldChar w:fldCharType="separate"/>
            </w:r>
            <w:r w:rsidR="00F43518">
              <w:rPr>
                <w:b/>
                <w:bCs/>
                <w:noProof/>
                <w:color w:val="A6A6A6" w:themeColor="background1" w:themeShade="A6"/>
                <w:sz w:val="16"/>
                <w:szCs w:val="16"/>
              </w:rPr>
              <w:t>6</w:t>
            </w:r>
            <w:r>
              <w:rPr>
                <w:b/>
                <w:bCs/>
                <w:color w:val="A6A6A6" w:themeColor="background1" w:themeShade="A6"/>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DA" w:rsidRDefault="00C07EDA" w:rsidP="00660484">
      <w:r>
        <w:separator/>
      </w:r>
    </w:p>
  </w:footnote>
  <w:footnote w:type="continuationSeparator" w:id="0">
    <w:p w:rsidR="00C07EDA" w:rsidRDefault="00C07EDA" w:rsidP="00660484">
      <w:r>
        <w:continuationSeparator/>
      </w:r>
    </w:p>
  </w:footnote>
  <w:footnote w:id="1">
    <w:p w:rsidR="00C07EDA" w:rsidRPr="004268F2" w:rsidRDefault="00C07EDA" w:rsidP="002377AF">
      <w:pPr>
        <w:pStyle w:val="FootnoteText"/>
      </w:pPr>
      <w:r w:rsidRPr="004268F2">
        <w:rPr>
          <w:rStyle w:val="FootnoteReference"/>
          <w:sz w:val="18"/>
          <w:szCs w:val="18"/>
        </w:rPr>
        <w:footnoteRef/>
      </w:r>
      <w:r w:rsidRPr="004268F2">
        <w:t>Word</w:t>
      </w:r>
      <w:r>
        <w:t>s to W</w:t>
      </w:r>
      <w:r w:rsidRPr="004268F2">
        <w:t>ork</w:t>
      </w:r>
      <w:r>
        <w:t>:</w:t>
      </w:r>
      <w:r w:rsidRPr="004268F2">
        <w:t xml:space="preserve"> </w:t>
      </w:r>
      <w:r>
        <w:t>Settling In and Finding Work. The Report of AMES Longitudinal Study 2008-2010. AMES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F61EAA"/>
    <w:lvl w:ilvl="0">
      <w:start w:val="1"/>
      <w:numFmt w:val="bullet"/>
      <w:pStyle w:val="ListBullet"/>
      <w:lvlText w:val=""/>
      <w:lvlJc w:val="left"/>
      <w:pPr>
        <w:tabs>
          <w:tab w:val="num" w:pos="284"/>
        </w:tabs>
        <w:ind w:left="284" w:hanging="284"/>
      </w:pPr>
      <w:rPr>
        <w:rFonts w:ascii="Wingdings" w:hAnsi="Wingdings" w:hint="default"/>
        <w:color w:val="333399"/>
      </w:rPr>
    </w:lvl>
  </w:abstractNum>
  <w:abstractNum w:abstractNumId="1">
    <w:nsid w:val="023313F9"/>
    <w:multiLevelType w:val="hybridMultilevel"/>
    <w:tmpl w:val="BEB84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AE54E3"/>
    <w:multiLevelType w:val="hybridMultilevel"/>
    <w:tmpl w:val="1FBCE226"/>
    <w:lvl w:ilvl="0" w:tplc="59F0D24A">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F6FBACC"/>
    <w:multiLevelType w:val="hybridMultilevel"/>
    <w:tmpl w:val="F99F90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997B84"/>
    <w:multiLevelType w:val="hybridMultilevel"/>
    <w:tmpl w:val="F3327CCC"/>
    <w:lvl w:ilvl="0" w:tplc="19C63DA8">
      <w:start w:val="1"/>
      <w:numFmt w:val="decimal"/>
      <w:lvlText w:val="%1."/>
      <w:lvlJc w:val="left"/>
      <w:pPr>
        <w:ind w:left="720" w:hanging="360"/>
      </w:pPr>
      <w:rPr>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D31F8E"/>
    <w:multiLevelType w:val="hybridMultilevel"/>
    <w:tmpl w:val="9F04D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7811D5"/>
    <w:multiLevelType w:val="hybridMultilevel"/>
    <w:tmpl w:val="F7807102"/>
    <w:lvl w:ilvl="0" w:tplc="B4D603CC">
      <w:numFmt w:val="bullet"/>
      <w:lvlText w:val="-"/>
      <w:lvlJc w:val="left"/>
      <w:pPr>
        <w:ind w:left="720" w:hanging="360"/>
      </w:pPr>
      <w:rPr>
        <w:rFonts w:ascii="Arial" w:eastAsiaTheme="minorHAnsi" w:hAnsi="Arial" w:cs="Arial" w:hint="default"/>
        <w:i/>
        <w:color w:val="C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64F40"/>
    <w:multiLevelType w:val="hybridMultilevel"/>
    <w:tmpl w:val="FF1C9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7616FE"/>
    <w:multiLevelType w:val="hybridMultilevel"/>
    <w:tmpl w:val="AA3C6FA8"/>
    <w:lvl w:ilvl="0" w:tplc="EFAADD8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A285B39"/>
    <w:multiLevelType w:val="hybridMultilevel"/>
    <w:tmpl w:val="AB36CE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37762C8"/>
    <w:multiLevelType w:val="hybridMultilevel"/>
    <w:tmpl w:val="D35AB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2E6D7F"/>
    <w:multiLevelType w:val="hybridMultilevel"/>
    <w:tmpl w:val="C5EA5A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D242654"/>
    <w:multiLevelType w:val="hybridMultilevel"/>
    <w:tmpl w:val="8A9AB2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53580E5C"/>
    <w:multiLevelType w:val="hybridMultilevel"/>
    <w:tmpl w:val="15CCA4E0"/>
    <w:lvl w:ilvl="0" w:tplc="0C09000F">
      <w:start w:val="1"/>
      <w:numFmt w:val="decimal"/>
      <w:lvlText w:val="%1."/>
      <w:lvlJc w:val="left"/>
      <w:pPr>
        <w:ind w:left="720" w:hanging="360"/>
      </w:pPr>
      <w:rPr>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5DF0808"/>
    <w:multiLevelType w:val="hybridMultilevel"/>
    <w:tmpl w:val="7DBCF678"/>
    <w:lvl w:ilvl="0" w:tplc="0B121D52">
      <w:start w:val="1"/>
      <w:numFmt w:val="bullet"/>
      <w:lvlText w:val=""/>
      <w:lvlJc w:val="left"/>
      <w:pPr>
        <w:ind w:left="360" w:hanging="360"/>
      </w:pPr>
      <w:rPr>
        <w:rFonts w:ascii="Wingdings" w:hAnsi="Wingdings" w:hint="default"/>
      </w:rPr>
    </w:lvl>
    <w:lvl w:ilvl="1" w:tplc="2F3C8E9E">
      <w:start w:val="1"/>
      <w:numFmt w:val="bullet"/>
      <w:lvlText w:val=""/>
      <w:lvlJc w:val="left"/>
      <w:pPr>
        <w:ind w:left="1080" w:hanging="360"/>
      </w:pPr>
      <w:rPr>
        <w:rFonts w:ascii="Wingdings" w:hAnsi="Wingdings" w:hint="default"/>
        <w:color w:val="215868" w:themeColor="accent5" w:themeShade="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8AE318D"/>
    <w:multiLevelType w:val="hybridMultilevel"/>
    <w:tmpl w:val="1C30AF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1F7512"/>
    <w:multiLevelType w:val="hybridMultilevel"/>
    <w:tmpl w:val="E01AE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AA0581"/>
    <w:multiLevelType w:val="hybridMultilevel"/>
    <w:tmpl w:val="5A165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5A74A67"/>
    <w:multiLevelType w:val="hybridMultilevel"/>
    <w:tmpl w:val="5A165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97D055C"/>
    <w:multiLevelType w:val="hybridMultilevel"/>
    <w:tmpl w:val="5A165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CF3019"/>
    <w:multiLevelType w:val="hybridMultilevel"/>
    <w:tmpl w:val="3516DCCA"/>
    <w:lvl w:ilvl="0" w:tplc="C3CC07BE">
      <w:start w:val="3"/>
      <w:numFmt w:val="decimal"/>
      <w:lvlText w:val="%1."/>
      <w:lvlJc w:val="left"/>
      <w:pPr>
        <w:ind w:left="502" w:hanging="360"/>
      </w:pPr>
      <w:rPr>
        <w:rFonts w:hint="default"/>
        <w:color w:val="948A54" w:themeColor="background2" w:themeShade="80"/>
        <w:sz w:val="32"/>
        <w:szCs w:val="3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9"/>
  </w:num>
  <w:num w:numId="2">
    <w:abstractNumId w:val="8"/>
  </w:num>
  <w:num w:numId="3">
    <w:abstractNumId w:val="0"/>
  </w:num>
  <w:num w:numId="4">
    <w:abstractNumId w:val="12"/>
  </w:num>
  <w:num w:numId="5">
    <w:abstractNumId w:val="11"/>
  </w:num>
  <w:num w:numId="6">
    <w:abstractNumId w:val="14"/>
  </w:num>
  <w:num w:numId="7">
    <w:abstractNumId w:val="8"/>
  </w:num>
  <w:num w:numId="8">
    <w:abstractNumId w:val="8"/>
  </w:num>
  <w:num w:numId="9">
    <w:abstractNumId w:val="8"/>
  </w:num>
  <w:num w:numId="10">
    <w:abstractNumId w:val="3"/>
  </w:num>
  <w:num w:numId="11">
    <w:abstractNumId w:val="6"/>
  </w:num>
  <w:num w:numId="12">
    <w:abstractNumId w:val="2"/>
  </w:num>
  <w:num w:numId="13">
    <w:abstractNumId w:val="4"/>
  </w:num>
  <w:num w:numId="14">
    <w:abstractNumId w:val="7"/>
  </w:num>
  <w:num w:numId="15">
    <w:abstractNumId w:val="5"/>
  </w:num>
  <w:num w:numId="16">
    <w:abstractNumId w:val="10"/>
  </w:num>
  <w:num w:numId="17">
    <w:abstractNumId w:val="1"/>
  </w:num>
  <w:num w:numId="18">
    <w:abstractNumId w:val="8"/>
  </w:num>
  <w:num w:numId="19">
    <w:abstractNumId w:val="20"/>
  </w:num>
  <w:num w:numId="20">
    <w:abstractNumId w:val="13"/>
  </w:num>
  <w:num w:numId="21">
    <w:abstractNumId w:val="15"/>
  </w:num>
  <w:num w:numId="22">
    <w:abstractNumId w:val="18"/>
  </w:num>
  <w:num w:numId="23">
    <w:abstractNumId w:val="17"/>
  </w:num>
  <w:num w:numId="24">
    <w:abstractNumId w:val="19"/>
  </w:num>
  <w:num w:numId="25">
    <w:abstractNumId w:val="16"/>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BF"/>
    <w:rsid w:val="00007AE6"/>
    <w:rsid w:val="000138A3"/>
    <w:rsid w:val="000153C5"/>
    <w:rsid w:val="000221E0"/>
    <w:rsid w:val="000222F7"/>
    <w:rsid w:val="00025292"/>
    <w:rsid w:val="000317FA"/>
    <w:rsid w:val="00051BC5"/>
    <w:rsid w:val="00062B54"/>
    <w:rsid w:val="00062C44"/>
    <w:rsid w:val="00063188"/>
    <w:rsid w:val="00066895"/>
    <w:rsid w:val="0007345C"/>
    <w:rsid w:val="000A2C6C"/>
    <w:rsid w:val="000A7D95"/>
    <w:rsid w:val="000B1511"/>
    <w:rsid w:val="000B2508"/>
    <w:rsid w:val="000D589A"/>
    <w:rsid w:val="000E67C5"/>
    <w:rsid w:val="000F1BE5"/>
    <w:rsid w:val="000F5770"/>
    <w:rsid w:val="00101FED"/>
    <w:rsid w:val="0010269B"/>
    <w:rsid w:val="001033CC"/>
    <w:rsid w:val="00106285"/>
    <w:rsid w:val="00113223"/>
    <w:rsid w:val="001133E6"/>
    <w:rsid w:val="00120E03"/>
    <w:rsid w:val="001228D2"/>
    <w:rsid w:val="00140EBC"/>
    <w:rsid w:val="00147A6F"/>
    <w:rsid w:val="00154B5F"/>
    <w:rsid w:val="00155BB8"/>
    <w:rsid w:val="00157CC1"/>
    <w:rsid w:val="00157DE9"/>
    <w:rsid w:val="00162C21"/>
    <w:rsid w:val="00163CDA"/>
    <w:rsid w:val="00173FBC"/>
    <w:rsid w:val="00174AB6"/>
    <w:rsid w:val="0019184A"/>
    <w:rsid w:val="00197429"/>
    <w:rsid w:val="001A01FD"/>
    <w:rsid w:val="001A0D1C"/>
    <w:rsid w:val="001B2AB4"/>
    <w:rsid w:val="001D03DB"/>
    <w:rsid w:val="001D2283"/>
    <w:rsid w:val="001E4725"/>
    <w:rsid w:val="001E4CD1"/>
    <w:rsid w:val="001F090D"/>
    <w:rsid w:val="0020186C"/>
    <w:rsid w:val="00203469"/>
    <w:rsid w:val="0020433D"/>
    <w:rsid w:val="00205717"/>
    <w:rsid w:val="002059BE"/>
    <w:rsid w:val="0021311D"/>
    <w:rsid w:val="00216636"/>
    <w:rsid w:val="00220D62"/>
    <w:rsid w:val="002363D1"/>
    <w:rsid w:val="002377AF"/>
    <w:rsid w:val="00250C0B"/>
    <w:rsid w:val="00256F54"/>
    <w:rsid w:val="00266E6E"/>
    <w:rsid w:val="00267F20"/>
    <w:rsid w:val="00274EFE"/>
    <w:rsid w:val="0027770D"/>
    <w:rsid w:val="00287190"/>
    <w:rsid w:val="00293695"/>
    <w:rsid w:val="002B0E49"/>
    <w:rsid w:val="002C4841"/>
    <w:rsid w:val="002E4977"/>
    <w:rsid w:val="002F12C3"/>
    <w:rsid w:val="002F5DB5"/>
    <w:rsid w:val="00304C4E"/>
    <w:rsid w:val="00305E81"/>
    <w:rsid w:val="0030736E"/>
    <w:rsid w:val="00317704"/>
    <w:rsid w:val="003179E7"/>
    <w:rsid w:val="00320EDF"/>
    <w:rsid w:val="003431F1"/>
    <w:rsid w:val="00351FC7"/>
    <w:rsid w:val="00370417"/>
    <w:rsid w:val="003717B5"/>
    <w:rsid w:val="003840C0"/>
    <w:rsid w:val="0039268B"/>
    <w:rsid w:val="003B292D"/>
    <w:rsid w:val="003C78B2"/>
    <w:rsid w:val="003C79F4"/>
    <w:rsid w:val="003D3CFD"/>
    <w:rsid w:val="003D4D88"/>
    <w:rsid w:val="003E25C5"/>
    <w:rsid w:val="003E3E47"/>
    <w:rsid w:val="003F646E"/>
    <w:rsid w:val="003F76DE"/>
    <w:rsid w:val="004023EB"/>
    <w:rsid w:val="00414D22"/>
    <w:rsid w:val="00422682"/>
    <w:rsid w:val="00435F84"/>
    <w:rsid w:val="00444A32"/>
    <w:rsid w:val="00450CA8"/>
    <w:rsid w:val="0046450D"/>
    <w:rsid w:val="00473B0C"/>
    <w:rsid w:val="00482348"/>
    <w:rsid w:val="004938D9"/>
    <w:rsid w:val="00497E9E"/>
    <w:rsid w:val="004A3A38"/>
    <w:rsid w:val="004B6E6F"/>
    <w:rsid w:val="004B704E"/>
    <w:rsid w:val="004D5D4E"/>
    <w:rsid w:val="004E1ACD"/>
    <w:rsid w:val="004F544F"/>
    <w:rsid w:val="0050045B"/>
    <w:rsid w:val="005037C2"/>
    <w:rsid w:val="0051551A"/>
    <w:rsid w:val="00534982"/>
    <w:rsid w:val="00534EEF"/>
    <w:rsid w:val="0053708E"/>
    <w:rsid w:val="00544EDD"/>
    <w:rsid w:val="00550FA0"/>
    <w:rsid w:val="00554319"/>
    <w:rsid w:val="00561382"/>
    <w:rsid w:val="005706AD"/>
    <w:rsid w:val="0058056D"/>
    <w:rsid w:val="00580660"/>
    <w:rsid w:val="00582F57"/>
    <w:rsid w:val="00583B69"/>
    <w:rsid w:val="00583C53"/>
    <w:rsid w:val="00585D28"/>
    <w:rsid w:val="005B784F"/>
    <w:rsid w:val="005C0FE9"/>
    <w:rsid w:val="005C23CE"/>
    <w:rsid w:val="005D2BFD"/>
    <w:rsid w:val="005F754A"/>
    <w:rsid w:val="006035A5"/>
    <w:rsid w:val="00605FA8"/>
    <w:rsid w:val="006149BC"/>
    <w:rsid w:val="00615519"/>
    <w:rsid w:val="00615D2D"/>
    <w:rsid w:val="00620147"/>
    <w:rsid w:val="00625073"/>
    <w:rsid w:val="0062695B"/>
    <w:rsid w:val="00632C73"/>
    <w:rsid w:val="006462C1"/>
    <w:rsid w:val="006565DA"/>
    <w:rsid w:val="00660484"/>
    <w:rsid w:val="00666799"/>
    <w:rsid w:val="00666E7F"/>
    <w:rsid w:val="00675F05"/>
    <w:rsid w:val="00682F04"/>
    <w:rsid w:val="0068334B"/>
    <w:rsid w:val="00684092"/>
    <w:rsid w:val="00684286"/>
    <w:rsid w:val="006908D3"/>
    <w:rsid w:val="006B3619"/>
    <w:rsid w:val="006B6C07"/>
    <w:rsid w:val="006C40B3"/>
    <w:rsid w:val="006C4E56"/>
    <w:rsid w:val="006D0904"/>
    <w:rsid w:val="006D50B1"/>
    <w:rsid w:val="006E188B"/>
    <w:rsid w:val="006E5EBF"/>
    <w:rsid w:val="006F7A10"/>
    <w:rsid w:val="00702827"/>
    <w:rsid w:val="00707FB5"/>
    <w:rsid w:val="00710163"/>
    <w:rsid w:val="00710A60"/>
    <w:rsid w:val="007145DC"/>
    <w:rsid w:val="00722001"/>
    <w:rsid w:val="0072382D"/>
    <w:rsid w:val="00726839"/>
    <w:rsid w:val="00746909"/>
    <w:rsid w:val="00755C36"/>
    <w:rsid w:val="00773B54"/>
    <w:rsid w:val="007759EE"/>
    <w:rsid w:val="00782794"/>
    <w:rsid w:val="00792058"/>
    <w:rsid w:val="00797229"/>
    <w:rsid w:val="007B0059"/>
    <w:rsid w:val="007B714D"/>
    <w:rsid w:val="007D0CA6"/>
    <w:rsid w:val="007D17C7"/>
    <w:rsid w:val="007D2C39"/>
    <w:rsid w:val="007D7473"/>
    <w:rsid w:val="007E0725"/>
    <w:rsid w:val="007E7379"/>
    <w:rsid w:val="007F29E6"/>
    <w:rsid w:val="007F3A50"/>
    <w:rsid w:val="007F5BE0"/>
    <w:rsid w:val="007F601A"/>
    <w:rsid w:val="00805526"/>
    <w:rsid w:val="008067F1"/>
    <w:rsid w:val="008113C8"/>
    <w:rsid w:val="008168AE"/>
    <w:rsid w:val="00822159"/>
    <w:rsid w:val="008226BF"/>
    <w:rsid w:val="00822D9D"/>
    <w:rsid w:val="008241A8"/>
    <w:rsid w:val="00835CA5"/>
    <w:rsid w:val="00851893"/>
    <w:rsid w:val="0086671C"/>
    <w:rsid w:val="00871AC6"/>
    <w:rsid w:val="00872587"/>
    <w:rsid w:val="00874B3A"/>
    <w:rsid w:val="00880222"/>
    <w:rsid w:val="00880CBA"/>
    <w:rsid w:val="00881D0D"/>
    <w:rsid w:val="00893B3D"/>
    <w:rsid w:val="008945B0"/>
    <w:rsid w:val="00895C4D"/>
    <w:rsid w:val="008A4557"/>
    <w:rsid w:val="008A589E"/>
    <w:rsid w:val="008A78A0"/>
    <w:rsid w:val="008A7994"/>
    <w:rsid w:val="008B018F"/>
    <w:rsid w:val="008B45B8"/>
    <w:rsid w:val="008D44D9"/>
    <w:rsid w:val="008E64BF"/>
    <w:rsid w:val="008F0D5C"/>
    <w:rsid w:val="008F21E4"/>
    <w:rsid w:val="008F23F9"/>
    <w:rsid w:val="008F668D"/>
    <w:rsid w:val="009018C2"/>
    <w:rsid w:val="00901E34"/>
    <w:rsid w:val="00906584"/>
    <w:rsid w:val="00912CFE"/>
    <w:rsid w:val="009143A5"/>
    <w:rsid w:val="00922CA6"/>
    <w:rsid w:val="00930002"/>
    <w:rsid w:val="00941439"/>
    <w:rsid w:val="00954545"/>
    <w:rsid w:val="00956635"/>
    <w:rsid w:val="00961B8F"/>
    <w:rsid w:val="009673F0"/>
    <w:rsid w:val="009719D4"/>
    <w:rsid w:val="00972135"/>
    <w:rsid w:val="009771F1"/>
    <w:rsid w:val="00997481"/>
    <w:rsid w:val="009A097D"/>
    <w:rsid w:val="009A4764"/>
    <w:rsid w:val="009B382F"/>
    <w:rsid w:val="009C08BE"/>
    <w:rsid w:val="009C1154"/>
    <w:rsid w:val="009D2910"/>
    <w:rsid w:val="009E1E3D"/>
    <w:rsid w:val="009E23C8"/>
    <w:rsid w:val="00A01496"/>
    <w:rsid w:val="00A02E54"/>
    <w:rsid w:val="00A04426"/>
    <w:rsid w:val="00A06554"/>
    <w:rsid w:val="00A12332"/>
    <w:rsid w:val="00A13A3D"/>
    <w:rsid w:val="00A15E98"/>
    <w:rsid w:val="00A174D6"/>
    <w:rsid w:val="00A221AF"/>
    <w:rsid w:val="00A25DFF"/>
    <w:rsid w:val="00A5246F"/>
    <w:rsid w:val="00A54AF9"/>
    <w:rsid w:val="00A605DA"/>
    <w:rsid w:val="00A67464"/>
    <w:rsid w:val="00A67553"/>
    <w:rsid w:val="00A80D63"/>
    <w:rsid w:val="00A87E30"/>
    <w:rsid w:val="00A87E91"/>
    <w:rsid w:val="00AA0261"/>
    <w:rsid w:val="00AC4144"/>
    <w:rsid w:val="00AC4C24"/>
    <w:rsid w:val="00AD4AB8"/>
    <w:rsid w:val="00AD7E41"/>
    <w:rsid w:val="00AE70E1"/>
    <w:rsid w:val="00AF482B"/>
    <w:rsid w:val="00B00DA0"/>
    <w:rsid w:val="00B0582D"/>
    <w:rsid w:val="00B179B4"/>
    <w:rsid w:val="00B205E8"/>
    <w:rsid w:val="00B40A74"/>
    <w:rsid w:val="00B41257"/>
    <w:rsid w:val="00B53BDF"/>
    <w:rsid w:val="00B63B13"/>
    <w:rsid w:val="00B679DD"/>
    <w:rsid w:val="00B71D65"/>
    <w:rsid w:val="00B750F0"/>
    <w:rsid w:val="00B7542E"/>
    <w:rsid w:val="00B803F3"/>
    <w:rsid w:val="00B8594D"/>
    <w:rsid w:val="00B9138E"/>
    <w:rsid w:val="00B9493E"/>
    <w:rsid w:val="00BA650D"/>
    <w:rsid w:val="00BB4F6B"/>
    <w:rsid w:val="00BC60DC"/>
    <w:rsid w:val="00BC6582"/>
    <w:rsid w:val="00BD3855"/>
    <w:rsid w:val="00BD6683"/>
    <w:rsid w:val="00BF177F"/>
    <w:rsid w:val="00C07EDA"/>
    <w:rsid w:val="00C11997"/>
    <w:rsid w:val="00C30D3B"/>
    <w:rsid w:val="00C40058"/>
    <w:rsid w:val="00C40A53"/>
    <w:rsid w:val="00C56178"/>
    <w:rsid w:val="00C73F4E"/>
    <w:rsid w:val="00C7416D"/>
    <w:rsid w:val="00C818B7"/>
    <w:rsid w:val="00C949DD"/>
    <w:rsid w:val="00CC2E33"/>
    <w:rsid w:val="00CC6970"/>
    <w:rsid w:val="00CD014E"/>
    <w:rsid w:val="00CD1675"/>
    <w:rsid w:val="00D06E74"/>
    <w:rsid w:val="00D15591"/>
    <w:rsid w:val="00D441E0"/>
    <w:rsid w:val="00D51C64"/>
    <w:rsid w:val="00D56F62"/>
    <w:rsid w:val="00D67E8B"/>
    <w:rsid w:val="00D70546"/>
    <w:rsid w:val="00D8050D"/>
    <w:rsid w:val="00D81737"/>
    <w:rsid w:val="00DA5D27"/>
    <w:rsid w:val="00DC5D7B"/>
    <w:rsid w:val="00DD0CA6"/>
    <w:rsid w:val="00DD169D"/>
    <w:rsid w:val="00DE34FC"/>
    <w:rsid w:val="00DE3AF6"/>
    <w:rsid w:val="00DF01C0"/>
    <w:rsid w:val="00DF4F32"/>
    <w:rsid w:val="00DF70F7"/>
    <w:rsid w:val="00E1061E"/>
    <w:rsid w:val="00E15341"/>
    <w:rsid w:val="00E17D06"/>
    <w:rsid w:val="00E333B3"/>
    <w:rsid w:val="00E40404"/>
    <w:rsid w:val="00E46B21"/>
    <w:rsid w:val="00E523D0"/>
    <w:rsid w:val="00E5398F"/>
    <w:rsid w:val="00E630CE"/>
    <w:rsid w:val="00E74780"/>
    <w:rsid w:val="00E805D6"/>
    <w:rsid w:val="00E80970"/>
    <w:rsid w:val="00E81316"/>
    <w:rsid w:val="00E90E83"/>
    <w:rsid w:val="00E91D42"/>
    <w:rsid w:val="00E95AC1"/>
    <w:rsid w:val="00E975E7"/>
    <w:rsid w:val="00EA0950"/>
    <w:rsid w:val="00EC6C8B"/>
    <w:rsid w:val="00ED4C4D"/>
    <w:rsid w:val="00EE2D8B"/>
    <w:rsid w:val="00EE6AAC"/>
    <w:rsid w:val="00EF14D1"/>
    <w:rsid w:val="00F05902"/>
    <w:rsid w:val="00F06700"/>
    <w:rsid w:val="00F42609"/>
    <w:rsid w:val="00F43518"/>
    <w:rsid w:val="00F4359E"/>
    <w:rsid w:val="00F46033"/>
    <w:rsid w:val="00F53323"/>
    <w:rsid w:val="00F62295"/>
    <w:rsid w:val="00F71C0F"/>
    <w:rsid w:val="00F73FAF"/>
    <w:rsid w:val="00F836E7"/>
    <w:rsid w:val="00F8781A"/>
    <w:rsid w:val="00FA49EC"/>
    <w:rsid w:val="00FB5ADA"/>
    <w:rsid w:val="00FC11F0"/>
    <w:rsid w:val="00FC6086"/>
    <w:rsid w:val="00FE71B5"/>
    <w:rsid w:val="00FF19FF"/>
    <w:rsid w:val="00FF7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DF"/>
    <w:pPr>
      <w:spacing w:after="0"/>
    </w:pPr>
    <w:rPr>
      <w:sz w:val="21"/>
      <w:szCs w:val="21"/>
    </w:rPr>
  </w:style>
  <w:style w:type="paragraph" w:styleId="Heading1">
    <w:name w:val="heading 1"/>
    <w:basedOn w:val="Title"/>
    <w:next w:val="Normal"/>
    <w:link w:val="Heading1Char"/>
    <w:uiPriority w:val="9"/>
    <w:qFormat/>
    <w:rsid w:val="00320EDF"/>
    <w:pPr>
      <w:spacing w:after="120"/>
      <w:outlineLvl w:val="0"/>
    </w:pPr>
    <w:rPr>
      <w:sz w:val="32"/>
      <w:szCs w:val="32"/>
    </w:rPr>
  </w:style>
  <w:style w:type="paragraph" w:styleId="Heading2">
    <w:name w:val="heading 2"/>
    <w:basedOn w:val="Normal"/>
    <w:next w:val="Normal"/>
    <w:link w:val="Heading2Char"/>
    <w:uiPriority w:val="9"/>
    <w:unhideWhenUsed/>
    <w:qFormat/>
    <w:rsid w:val="00320EDF"/>
    <w:pPr>
      <w:keepNext/>
      <w:spacing w:before="200"/>
      <w:outlineLvl w:val="1"/>
    </w:pPr>
    <w:rPr>
      <w:b/>
      <w:color w:val="C00000"/>
      <w:sz w:val="24"/>
      <w:szCs w:val="24"/>
    </w:rPr>
  </w:style>
  <w:style w:type="paragraph" w:styleId="Heading3">
    <w:name w:val="heading 3"/>
    <w:basedOn w:val="Normal"/>
    <w:next w:val="Normal"/>
    <w:link w:val="Heading3Char"/>
    <w:uiPriority w:val="9"/>
    <w:unhideWhenUsed/>
    <w:qFormat/>
    <w:rsid w:val="00320EDF"/>
    <w:pPr>
      <w:keepNext/>
      <w:spacing w:before="120" w:after="60"/>
      <w:ind w:left="357" w:hanging="357"/>
      <w:outlineLvl w:val="2"/>
    </w:pPr>
    <w:rPr>
      <w:rFonts w:eastAsiaTheme="majorEastAsia" w:cstheme="minorHAnsi"/>
      <w:b/>
      <w:bCs/>
      <w:color w:val="948A54" w:themeColor="background2" w:themeShade="80"/>
      <w:sz w:val="22"/>
      <w:szCs w:val="22"/>
    </w:rPr>
  </w:style>
  <w:style w:type="paragraph" w:styleId="Heading4">
    <w:name w:val="heading 4"/>
    <w:basedOn w:val="Normal"/>
    <w:next w:val="Normal"/>
    <w:link w:val="Heading4Char"/>
    <w:uiPriority w:val="9"/>
    <w:unhideWhenUsed/>
    <w:qFormat/>
    <w:rsid w:val="00320EDF"/>
    <w:pPr>
      <w:keepNext/>
      <w:keepLines/>
      <w:spacing w:before="120"/>
      <w:outlineLvl w:val="3"/>
    </w:pPr>
    <w:rPr>
      <w:rFonts w:eastAsiaTheme="majorEastAsia" w:cstheme="minorHAnsi"/>
      <w:b/>
      <w:bCs/>
      <w:i/>
      <w:iCs/>
      <w:color w:val="C0504D" w:themeColor="accent2"/>
      <w:sz w:val="22"/>
      <w:szCs w:val="22"/>
    </w:rPr>
  </w:style>
  <w:style w:type="paragraph" w:styleId="Heading5">
    <w:name w:val="heading 5"/>
    <w:basedOn w:val="Normal"/>
    <w:next w:val="Normal"/>
    <w:link w:val="Heading5Char"/>
    <w:uiPriority w:val="9"/>
    <w:unhideWhenUsed/>
    <w:qFormat/>
    <w:rsid w:val="00320EDF"/>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320EDF"/>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20EDF"/>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320ED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20E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20EDF"/>
    <w:pPr>
      <w:pBdr>
        <w:bottom w:val="single" w:sz="12" w:space="4" w:color="C00000"/>
      </w:pBdr>
      <w:spacing w:after="300" w:line="240" w:lineRule="auto"/>
      <w:contextualSpacing/>
    </w:pPr>
    <w:rPr>
      <w:rFonts w:eastAsiaTheme="majorEastAsia" w:cstheme="minorHAnsi"/>
      <w:color w:val="948A54" w:themeColor="background2" w:themeShade="80"/>
      <w:spacing w:val="5"/>
      <w:kern w:val="28"/>
      <w:sz w:val="52"/>
      <w:szCs w:val="52"/>
    </w:rPr>
  </w:style>
  <w:style w:type="character" w:customStyle="1" w:styleId="TitleChar">
    <w:name w:val="Title Char"/>
    <w:basedOn w:val="DefaultParagraphFont"/>
    <w:link w:val="Title"/>
    <w:rsid w:val="00320EDF"/>
    <w:rPr>
      <w:rFonts w:eastAsiaTheme="majorEastAsia" w:cstheme="minorHAnsi"/>
      <w:color w:val="948A54" w:themeColor="background2" w:themeShade="80"/>
      <w:spacing w:val="5"/>
      <w:kern w:val="28"/>
      <w:sz w:val="52"/>
      <w:szCs w:val="52"/>
    </w:rPr>
  </w:style>
  <w:style w:type="paragraph" w:styleId="ListParagraph">
    <w:name w:val="List Paragraph"/>
    <w:basedOn w:val="Normal"/>
    <w:uiPriority w:val="34"/>
    <w:qFormat/>
    <w:rsid w:val="00320EDF"/>
    <w:pPr>
      <w:numPr>
        <w:numId w:val="26"/>
      </w:numPr>
      <w:spacing w:before="60" w:after="60" w:line="240" w:lineRule="auto"/>
    </w:pPr>
    <w:rPr>
      <w:rFonts w:ascii="Arial Narrow" w:hAnsi="Arial Narrow"/>
      <w:sz w:val="24"/>
      <w:szCs w:val="24"/>
    </w:rPr>
  </w:style>
  <w:style w:type="character" w:customStyle="1" w:styleId="Heading2Char">
    <w:name w:val="Heading 2 Char"/>
    <w:basedOn w:val="DefaultParagraphFont"/>
    <w:link w:val="Heading2"/>
    <w:uiPriority w:val="9"/>
    <w:rsid w:val="00320EDF"/>
    <w:rPr>
      <w:b/>
      <w:color w:val="C00000"/>
      <w:sz w:val="24"/>
      <w:szCs w:val="24"/>
    </w:rPr>
  </w:style>
  <w:style w:type="paragraph" w:styleId="FootnoteText">
    <w:name w:val="footnote text"/>
    <w:basedOn w:val="Normal"/>
    <w:link w:val="FootnoteTextChar"/>
    <w:unhideWhenUsed/>
    <w:rsid w:val="00FB5ADA"/>
    <w:pPr>
      <w:spacing w:line="240" w:lineRule="auto"/>
    </w:pPr>
    <w:rPr>
      <w:sz w:val="20"/>
      <w:szCs w:val="20"/>
    </w:rPr>
  </w:style>
  <w:style w:type="character" w:customStyle="1" w:styleId="FootnoteTextChar">
    <w:name w:val="Footnote Text Char"/>
    <w:basedOn w:val="DefaultParagraphFont"/>
    <w:link w:val="FootnoteText"/>
    <w:rsid w:val="00FB5ADA"/>
    <w:rPr>
      <w:sz w:val="20"/>
      <w:szCs w:val="20"/>
    </w:rPr>
  </w:style>
  <w:style w:type="character" w:styleId="FootnoteReference">
    <w:name w:val="footnote reference"/>
    <w:basedOn w:val="DefaultParagraphFont"/>
    <w:uiPriority w:val="99"/>
    <w:unhideWhenUsed/>
    <w:rsid w:val="00FB5ADA"/>
    <w:rPr>
      <w:vertAlign w:val="superscript"/>
    </w:rPr>
  </w:style>
  <w:style w:type="character" w:customStyle="1" w:styleId="Heading3Char">
    <w:name w:val="Heading 3 Char"/>
    <w:basedOn w:val="DefaultParagraphFont"/>
    <w:link w:val="Heading3"/>
    <w:uiPriority w:val="9"/>
    <w:rsid w:val="00320EDF"/>
    <w:rPr>
      <w:rFonts w:eastAsiaTheme="majorEastAsia" w:cstheme="minorHAnsi"/>
      <w:b/>
      <w:bCs/>
      <w:color w:val="948A54" w:themeColor="background2" w:themeShade="80"/>
    </w:rPr>
  </w:style>
  <w:style w:type="character" w:customStyle="1" w:styleId="Heading4Char">
    <w:name w:val="Heading 4 Char"/>
    <w:basedOn w:val="DefaultParagraphFont"/>
    <w:link w:val="Heading4"/>
    <w:uiPriority w:val="9"/>
    <w:rsid w:val="00320EDF"/>
    <w:rPr>
      <w:rFonts w:eastAsiaTheme="majorEastAsia" w:cstheme="minorHAnsi"/>
      <w:b/>
      <w:bCs/>
      <w:i/>
      <w:iCs/>
      <w:color w:val="C0504D" w:themeColor="accent2"/>
    </w:rPr>
  </w:style>
  <w:style w:type="character" w:customStyle="1" w:styleId="Heading5Char">
    <w:name w:val="Heading 5 Char"/>
    <w:basedOn w:val="DefaultParagraphFont"/>
    <w:link w:val="Heading5"/>
    <w:uiPriority w:val="9"/>
    <w:rsid w:val="00320E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0E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0E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20E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20EDF"/>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320EDF"/>
    <w:rPr>
      <w:i/>
      <w:iCs/>
    </w:rPr>
  </w:style>
  <w:style w:type="character" w:styleId="SubtleEmphasis">
    <w:name w:val="Subtle Emphasis"/>
    <w:basedOn w:val="DefaultParagraphFont"/>
    <w:uiPriority w:val="19"/>
    <w:qFormat/>
    <w:rsid w:val="00320EDF"/>
    <w:rPr>
      <w:i/>
      <w:iCs/>
      <w:color w:val="808080" w:themeColor="text1" w:themeTint="7F"/>
    </w:rPr>
  </w:style>
  <w:style w:type="paragraph" w:styleId="Subtitle">
    <w:name w:val="Subtitle"/>
    <w:basedOn w:val="Normal"/>
    <w:next w:val="Normal"/>
    <w:link w:val="SubtitleChar"/>
    <w:uiPriority w:val="11"/>
    <w:qFormat/>
    <w:rsid w:val="00320E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0E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320EDF"/>
    <w:rPr>
      <w:b/>
      <w:bCs/>
      <w:i/>
      <w:iCs/>
      <w:color w:val="4F81BD" w:themeColor="accent1"/>
    </w:rPr>
  </w:style>
  <w:style w:type="paragraph" w:styleId="NormalWeb">
    <w:name w:val="Normal (Web)"/>
    <w:basedOn w:val="Normal"/>
    <w:uiPriority w:val="99"/>
    <w:unhideWhenUsed/>
    <w:rsid w:val="007E73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7E73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79"/>
    <w:rPr>
      <w:rFonts w:ascii="Tahoma" w:hAnsi="Tahoma" w:cs="Tahoma"/>
      <w:sz w:val="16"/>
      <w:szCs w:val="16"/>
    </w:rPr>
  </w:style>
  <w:style w:type="paragraph" w:styleId="Header">
    <w:name w:val="header"/>
    <w:basedOn w:val="Normal"/>
    <w:link w:val="HeaderChar"/>
    <w:uiPriority w:val="99"/>
    <w:unhideWhenUsed/>
    <w:rsid w:val="00F4359E"/>
    <w:pPr>
      <w:tabs>
        <w:tab w:val="center" w:pos="4513"/>
        <w:tab w:val="right" w:pos="9026"/>
      </w:tabs>
      <w:spacing w:line="240" w:lineRule="auto"/>
    </w:pPr>
  </w:style>
  <w:style w:type="character" w:customStyle="1" w:styleId="HeaderChar">
    <w:name w:val="Header Char"/>
    <w:basedOn w:val="DefaultParagraphFont"/>
    <w:link w:val="Header"/>
    <w:uiPriority w:val="99"/>
    <w:rsid w:val="00F4359E"/>
  </w:style>
  <w:style w:type="paragraph" w:styleId="Footer">
    <w:name w:val="footer"/>
    <w:basedOn w:val="Normal"/>
    <w:link w:val="FooterChar"/>
    <w:uiPriority w:val="99"/>
    <w:unhideWhenUsed/>
    <w:rsid w:val="00F4359E"/>
    <w:pPr>
      <w:tabs>
        <w:tab w:val="center" w:pos="4513"/>
        <w:tab w:val="right" w:pos="9026"/>
      </w:tabs>
      <w:spacing w:line="240" w:lineRule="auto"/>
    </w:pPr>
  </w:style>
  <w:style w:type="character" w:customStyle="1" w:styleId="FooterChar">
    <w:name w:val="Footer Char"/>
    <w:basedOn w:val="DefaultParagraphFont"/>
    <w:link w:val="Footer"/>
    <w:uiPriority w:val="99"/>
    <w:rsid w:val="00F4359E"/>
  </w:style>
  <w:style w:type="character" w:customStyle="1" w:styleId="Heading1Char">
    <w:name w:val="Heading 1 Char"/>
    <w:basedOn w:val="DefaultParagraphFont"/>
    <w:link w:val="Heading1"/>
    <w:uiPriority w:val="9"/>
    <w:rsid w:val="00320EDF"/>
    <w:rPr>
      <w:rFonts w:eastAsiaTheme="majorEastAsia" w:cstheme="minorHAnsi"/>
      <w:color w:val="948A54" w:themeColor="background2" w:themeShade="80"/>
      <w:spacing w:val="5"/>
      <w:kern w:val="28"/>
      <w:sz w:val="32"/>
      <w:szCs w:val="32"/>
    </w:rPr>
  </w:style>
  <w:style w:type="paragraph" w:customStyle="1" w:styleId="Bodypara">
    <w:name w:val="Body para"/>
    <w:basedOn w:val="Normal"/>
    <w:link w:val="BodyparaChar"/>
    <w:qFormat/>
    <w:rsid w:val="00320EDF"/>
    <w:pPr>
      <w:autoSpaceDE w:val="0"/>
      <w:autoSpaceDN w:val="0"/>
      <w:adjustRightInd w:val="0"/>
      <w:spacing w:before="60" w:after="60" w:line="240" w:lineRule="auto"/>
    </w:pPr>
    <w:rPr>
      <w:rFonts w:ascii="Arial Narrow" w:hAnsi="Arial Narrow" w:cs="Calibri"/>
      <w:color w:val="000000"/>
      <w:sz w:val="24"/>
      <w:szCs w:val="24"/>
    </w:rPr>
  </w:style>
  <w:style w:type="paragraph" w:customStyle="1" w:styleId="Default">
    <w:name w:val="Default"/>
    <w:rsid w:val="008F668D"/>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basedOn w:val="BodyText"/>
    <w:link w:val="BodytextChar"/>
    <w:qFormat/>
    <w:rsid w:val="00320EDF"/>
    <w:pPr>
      <w:widowControl w:val="0"/>
      <w:spacing w:after="240"/>
    </w:pPr>
    <w:rPr>
      <w:rFonts w:eastAsia="Times New Roman" w:cstheme="minorHAnsi"/>
    </w:rPr>
  </w:style>
  <w:style w:type="character" w:customStyle="1" w:styleId="BodytextChar">
    <w:name w:val="Body text Char"/>
    <w:basedOn w:val="BodyTextChar0"/>
    <w:link w:val="BodyText1"/>
    <w:rsid w:val="00320EDF"/>
    <w:rPr>
      <w:rFonts w:eastAsia="Times New Roman" w:cstheme="minorHAnsi"/>
      <w:sz w:val="21"/>
      <w:szCs w:val="21"/>
    </w:rPr>
  </w:style>
  <w:style w:type="paragraph" w:styleId="BodyText">
    <w:name w:val="Body Text"/>
    <w:basedOn w:val="Normal"/>
    <w:link w:val="BodyTextChar0"/>
    <w:uiPriority w:val="99"/>
    <w:semiHidden/>
    <w:unhideWhenUsed/>
    <w:rsid w:val="00710A60"/>
    <w:pPr>
      <w:spacing w:after="120"/>
    </w:pPr>
  </w:style>
  <w:style w:type="character" w:customStyle="1" w:styleId="BodyTextChar0">
    <w:name w:val="Body Text Char"/>
    <w:basedOn w:val="DefaultParagraphFont"/>
    <w:link w:val="BodyText"/>
    <w:uiPriority w:val="99"/>
    <w:semiHidden/>
    <w:rsid w:val="00710A60"/>
    <w:rPr>
      <w:sz w:val="21"/>
      <w:szCs w:val="21"/>
    </w:rPr>
  </w:style>
  <w:style w:type="paragraph" w:styleId="Quote">
    <w:name w:val="Quote"/>
    <w:basedOn w:val="Normal"/>
    <w:next w:val="Normal"/>
    <w:link w:val="QuoteChar"/>
    <w:qFormat/>
    <w:rsid w:val="00320EDF"/>
    <w:rPr>
      <w:i/>
      <w:iCs/>
      <w:color w:val="000000" w:themeColor="text1"/>
    </w:rPr>
  </w:style>
  <w:style w:type="character" w:customStyle="1" w:styleId="QuoteChar">
    <w:name w:val="Quote Char"/>
    <w:basedOn w:val="DefaultParagraphFont"/>
    <w:link w:val="Quote"/>
    <w:rsid w:val="00320EDF"/>
    <w:rPr>
      <w:i/>
      <w:iCs/>
      <w:color w:val="000000" w:themeColor="text1"/>
      <w:sz w:val="21"/>
      <w:szCs w:val="21"/>
    </w:rPr>
  </w:style>
  <w:style w:type="paragraph" w:styleId="ListBullet">
    <w:name w:val="List Bullet"/>
    <w:basedOn w:val="Normal"/>
    <w:rsid w:val="00287190"/>
    <w:pPr>
      <w:numPr>
        <w:numId w:val="3"/>
      </w:numPr>
      <w:spacing w:after="120" w:line="240" w:lineRule="auto"/>
    </w:pPr>
    <w:rPr>
      <w:rFonts w:ascii="Trebuchet MS" w:eastAsia="Times New Roman" w:hAnsi="Trebuchet MS" w:cs="Times New Roman"/>
      <w:sz w:val="20"/>
      <w:szCs w:val="24"/>
    </w:rPr>
  </w:style>
  <w:style w:type="table" w:styleId="TableGrid">
    <w:name w:val="Table Grid"/>
    <w:basedOn w:val="TableNormal"/>
    <w:uiPriority w:val="59"/>
    <w:rsid w:val="00626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949DD"/>
    <w:pPr>
      <w:spacing w:after="0" w:line="240" w:lineRule="auto"/>
    </w:pPr>
    <w:rPr>
      <w:sz w:val="21"/>
      <w:szCs w:val="21"/>
    </w:rPr>
  </w:style>
  <w:style w:type="character" w:customStyle="1" w:styleId="BodyparaChar">
    <w:name w:val="Body para Char"/>
    <w:basedOn w:val="DefaultParagraphFont"/>
    <w:link w:val="Bodypara"/>
    <w:rsid w:val="00320EDF"/>
    <w:rPr>
      <w:rFonts w:ascii="Arial Narrow" w:hAnsi="Arial Narrow" w:cs="Calibri"/>
      <w:color w:val="000000"/>
      <w:sz w:val="24"/>
      <w:szCs w:val="24"/>
    </w:rPr>
  </w:style>
  <w:style w:type="character" w:styleId="Hyperlink">
    <w:name w:val="Hyperlink"/>
    <w:basedOn w:val="DefaultParagraphFont"/>
    <w:uiPriority w:val="99"/>
    <w:unhideWhenUsed/>
    <w:rsid w:val="00684286"/>
    <w:rPr>
      <w:color w:val="0000FF" w:themeColor="hyperlink"/>
      <w:u w:val="single"/>
    </w:rPr>
  </w:style>
  <w:style w:type="paragraph" w:customStyle="1" w:styleId="Month">
    <w:name w:val="Month"/>
    <w:next w:val="BodyText"/>
    <w:rsid w:val="00E630CE"/>
    <w:pPr>
      <w:tabs>
        <w:tab w:val="left" w:pos="2268"/>
      </w:tabs>
      <w:spacing w:before="120" w:after="0" w:line="240" w:lineRule="auto"/>
    </w:pPr>
    <w:rPr>
      <w:rFonts w:ascii="Trebuchet MS" w:eastAsia="Times New Roman" w:hAnsi="Trebuchet MS" w:cs="Tahoma"/>
      <w:b/>
      <w:smallCaps/>
      <w:color w:val="808080"/>
      <w:sz w:val="36"/>
      <w:szCs w:val="36"/>
    </w:rPr>
  </w:style>
  <w:style w:type="paragraph" w:customStyle="1" w:styleId="PreparedFor">
    <w:name w:val="Prepared For"/>
    <w:next w:val="Organisation"/>
    <w:rsid w:val="00E630CE"/>
    <w:pPr>
      <w:spacing w:before="1800" w:after="0" w:line="240" w:lineRule="auto"/>
    </w:pPr>
    <w:rPr>
      <w:rFonts w:ascii="Tahoma" w:eastAsia="Times New Roman" w:hAnsi="Tahoma" w:cs="Tahoma"/>
      <w:smallCaps/>
      <w:color w:val="808080"/>
      <w:sz w:val="20"/>
      <w:szCs w:val="20"/>
    </w:rPr>
  </w:style>
  <w:style w:type="paragraph" w:customStyle="1" w:styleId="Organisation">
    <w:name w:val="Organisation"/>
    <w:basedOn w:val="Normal"/>
    <w:rsid w:val="00E630CE"/>
    <w:pPr>
      <w:spacing w:line="240" w:lineRule="auto"/>
    </w:pPr>
    <w:rPr>
      <w:rFonts w:ascii="Trebuchet MS" w:eastAsia="Times New Roman" w:hAnsi="Trebuchet MS" w:cs="Tahoma"/>
      <w:b/>
      <w:color w:val="808080"/>
      <w:sz w:val="40"/>
      <w:szCs w:val="44"/>
    </w:rPr>
  </w:style>
  <w:style w:type="paragraph" w:customStyle="1" w:styleId="Quote2">
    <w:name w:val="Quote2"/>
    <w:basedOn w:val="Normal"/>
    <w:qFormat/>
    <w:rsid w:val="00320EDF"/>
    <w:pPr>
      <w:spacing w:line="240" w:lineRule="auto"/>
      <w:jc w:val="right"/>
    </w:pPr>
    <w:rPr>
      <w:rFonts w:ascii="Arial" w:hAnsi="Arial" w:cs="Arial"/>
      <w:b/>
      <w:iCs/>
      <w:color w:val="808080" w:themeColor="text1" w:themeTint="7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DF"/>
    <w:pPr>
      <w:spacing w:after="0"/>
    </w:pPr>
    <w:rPr>
      <w:sz w:val="21"/>
      <w:szCs w:val="21"/>
    </w:rPr>
  </w:style>
  <w:style w:type="paragraph" w:styleId="Heading1">
    <w:name w:val="heading 1"/>
    <w:basedOn w:val="Title"/>
    <w:next w:val="Normal"/>
    <w:link w:val="Heading1Char"/>
    <w:uiPriority w:val="9"/>
    <w:qFormat/>
    <w:rsid w:val="00320EDF"/>
    <w:pPr>
      <w:spacing w:after="120"/>
      <w:outlineLvl w:val="0"/>
    </w:pPr>
    <w:rPr>
      <w:sz w:val="32"/>
      <w:szCs w:val="32"/>
    </w:rPr>
  </w:style>
  <w:style w:type="paragraph" w:styleId="Heading2">
    <w:name w:val="heading 2"/>
    <w:basedOn w:val="Normal"/>
    <w:next w:val="Normal"/>
    <w:link w:val="Heading2Char"/>
    <w:uiPriority w:val="9"/>
    <w:unhideWhenUsed/>
    <w:qFormat/>
    <w:rsid w:val="00320EDF"/>
    <w:pPr>
      <w:keepNext/>
      <w:spacing w:before="200"/>
      <w:outlineLvl w:val="1"/>
    </w:pPr>
    <w:rPr>
      <w:b/>
      <w:color w:val="C00000"/>
      <w:sz w:val="24"/>
      <w:szCs w:val="24"/>
    </w:rPr>
  </w:style>
  <w:style w:type="paragraph" w:styleId="Heading3">
    <w:name w:val="heading 3"/>
    <w:basedOn w:val="Normal"/>
    <w:next w:val="Normal"/>
    <w:link w:val="Heading3Char"/>
    <w:uiPriority w:val="9"/>
    <w:unhideWhenUsed/>
    <w:qFormat/>
    <w:rsid w:val="00320EDF"/>
    <w:pPr>
      <w:keepNext/>
      <w:spacing w:before="120" w:after="60"/>
      <w:ind w:left="357" w:hanging="357"/>
      <w:outlineLvl w:val="2"/>
    </w:pPr>
    <w:rPr>
      <w:rFonts w:eastAsiaTheme="majorEastAsia" w:cstheme="minorHAnsi"/>
      <w:b/>
      <w:bCs/>
      <w:color w:val="948A54" w:themeColor="background2" w:themeShade="80"/>
      <w:sz w:val="22"/>
      <w:szCs w:val="22"/>
    </w:rPr>
  </w:style>
  <w:style w:type="paragraph" w:styleId="Heading4">
    <w:name w:val="heading 4"/>
    <w:basedOn w:val="Normal"/>
    <w:next w:val="Normal"/>
    <w:link w:val="Heading4Char"/>
    <w:uiPriority w:val="9"/>
    <w:unhideWhenUsed/>
    <w:qFormat/>
    <w:rsid w:val="00320EDF"/>
    <w:pPr>
      <w:keepNext/>
      <w:keepLines/>
      <w:spacing w:before="120"/>
      <w:outlineLvl w:val="3"/>
    </w:pPr>
    <w:rPr>
      <w:rFonts w:eastAsiaTheme="majorEastAsia" w:cstheme="minorHAnsi"/>
      <w:b/>
      <w:bCs/>
      <w:i/>
      <w:iCs/>
      <w:color w:val="C0504D" w:themeColor="accent2"/>
      <w:sz w:val="22"/>
      <w:szCs w:val="22"/>
    </w:rPr>
  </w:style>
  <w:style w:type="paragraph" w:styleId="Heading5">
    <w:name w:val="heading 5"/>
    <w:basedOn w:val="Normal"/>
    <w:next w:val="Normal"/>
    <w:link w:val="Heading5Char"/>
    <w:uiPriority w:val="9"/>
    <w:unhideWhenUsed/>
    <w:qFormat/>
    <w:rsid w:val="00320EDF"/>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320EDF"/>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20EDF"/>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320ED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20E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20EDF"/>
    <w:pPr>
      <w:pBdr>
        <w:bottom w:val="single" w:sz="12" w:space="4" w:color="C00000"/>
      </w:pBdr>
      <w:spacing w:after="300" w:line="240" w:lineRule="auto"/>
      <w:contextualSpacing/>
    </w:pPr>
    <w:rPr>
      <w:rFonts w:eastAsiaTheme="majorEastAsia" w:cstheme="minorHAnsi"/>
      <w:color w:val="948A54" w:themeColor="background2" w:themeShade="80"/>
      <w:spacing w:val="5"/>
      <w:kern w:val="28"/>
      <w:sz w:val="52"/>
      <w:szCs w:val="52"/>
    </w:rPr>
  </w:style>
  <w:style w:type="character" w:customStyle="1" w:styleId="TitleChar">
    <w:name w:val="Title Char"/>
    <w:basedOn w:val="DefaultParagraphFont"/>
    <w:link w:val="Title"/>
    <w:rsid w:val="00320EDF"/>
    <w:rPr>
      <w:rFonts w:eastAsiaTheme="majorEastAsia" w:cstheme="minorHAnsi"/>
      <w:color w:val="948A54" w:themeColor="background2" w:themeShade="80"/>
      <w:spacing w:val="5"/>
      <w:kern w:val="28"/>
      <w:sz w:val="52"/>
      <w:szCs w:val="52"/>
    </w:rPr>
  </w:style>
  <w:style w:type="paragraph" w:styleId="ListParagraph">
    <w:name w:val="List Paragraph"/>
    <w:basedOn w:val="Normal"/>
    <w:uiPriority w:val="34"/>
    <w:qFormat/>
    <w:rsid w:val="00320EDF"/>
    <w:pPr>
      <w:numPr>
        <w:numId w:val="26"/>
      </w:numPr>
      <w:spacing w:before="60" w:after="60" w:line="240" w:lineRule="auto"/>
    </w:pPr>
    <w:rPr>
      <w:rFonts w:ascii="Arial Narrow" w:hAnsi="Arial Narrow"/>
      <w:sz w:val="24"/>
      <w:szCs w:val="24"/>
    </w:rPr>
  </w:style>
  <w:style w:type="character" w:customStyle="1" w:styleId="Heading2Char">
    <w:name w:val="Heading 2 Char"/>
    <w:basedOn w:val="DefaultParagraphFont"/>
    <w:link w:val="Heading2"/>
    <w:uiPriority w:val="9"/>
    <w:rsid w:val="00320EDF"/>
    <w:rPr>
      <w:b/>
      <w:color w:val="C00000"/>
      <w:sz w:val="24"/>
      <w:szCs w:val="24"/>
    </w:rPr>
  </w:style>
  <w:style w:type="paragraph" w:styleId="FootnoteText">
    <w:name w:val="footnote text"/>
    <w:basedOn w:val="Normal"/>
    <w:link w:val="FootnoteTextChar"/>
    <w:unhideWhenUsed/>
    <w:rsid w:val="00FB5ADA"/>
    <w:pPr>
      <w:spacing w:line="240" w:lineRule="auto"/>
    </w:pPr>
    <w:rPr>
      <w:sz w:val="20"/>
      <w:szCs w:val="20"/>
    </w:rPr>
  </w:style>
  <w:style w:type="character" w:customStyle="1" w:styleId="FootnoteTextChar">
    <w:name w:val="Footnote Text Char"/>
    <w:basedOn w:val="DefaultParagraphFont"/>
    <w:link w:val="FootnoteText"/>
    <w:rsid w:val="00FB5ADA"/>
    <w:rPr>
      <w:sz w:val="20"/>
      <w:szCs w:val="20"/>
    </w:rPr>
  </w:style>
  <w:style w:type="character" w:styleId="FootnoteReference">
    <w:name w:val="footnote reference"/>
    <w:basedOn w:val="DefaultParagraphFont"/>
    <w:uiPriority w:val="99"/>
    <w:unhideWhenUsed/>
    <w:rsid w:val="00FB5ADA"/>
    <w:rPr>
      <w:vertAlign w:val="superscript"/>
    </w:rPr>
  </w:style>
  <w:style w:type="character" w:customStyle="1" w:styleId="Heading3Char">
    <w:name w:val="Heading 3 Char"/>
    <w:basedOn w:val="DefaultParagraphFont"/>
    <w:link w:val="Heading3"/>
    <w:uiPriority w:val="9"/>
    <w:rsid w:val="00320EDF"/>
    <w:rPr>
      <w:rFonts w:eastAsiaTheme="majorEastAsia" w:cstheme="minorHAnsi"/>
      <w:b/>
      <w:bCs/>
      <w:color w:val="948A54" w:themeColor="background2" w:themeShade="80"/>
    </w:rPr>
  </w:style>
  <w:style w:type="character" w:customStyle="1" w:styleId="Heading4Char">
    <w:name w:val="Heading 4 Char"/>
    <w:basedOn w:val="DefaultParagraphFont"/>
    <w:link w:val="Heading4"/>
    <w:uiPriority w:val="9"/>
    <w:rsid w:val="00320EDF"/>
    <w:rPr>
      <w:rFonts w:eastAsiaTheme="majorEastAsia" w:cstheme="minorHAnsi"/>
      <w:b/>
      <w:bCs/>
      <w:i/>
      <w:iCs/>
      <w:color w:val="C0504D" w:themeColor="accent2"/>
    </w:rPr>
  </w:style>
  <w:style w:type="character" w:customStyle="1" w:styleId="Heading5Char">
    <w:name w:val="Heading 5 Char"/>
    <w:basedOn w:val="DefaultParagraphFont"/>
    <w:link w:val="Heading5"/>
    <w:uiPriority w:val="9"/>
    <w:rsid w:val="00320E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0E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0E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20E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20EDF"/>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320EDF"/>
    <w:rPr>
      <w:i/>
      <w:iCs/>
    </w:rPr>
  </w:style>
  <w:style w:type="character" w:styleId="SubtleEmphasis">
    <w:name w:val="Subtle Emphasis"/>
    <w:basedOn w:val="DefaultParagraphFont"/>
    <w:uiPriority w:val="19"/>
    <w:qFormat/>
    <w:rsid w:val="00320EDF"/>
    <w:rPr>
      <w:i/>
      <w:iCs/>
      <w:color w:val="808080" w:themeColor="text1" w:themeTint="7F"/>
    </w:rPr>
  </w:style>
  <w:style w:type="paragraph" w:styleId="Subtitle">
    <w:name w:val="Subtitle"/>
    <w:basedOn w:val="Normal"/>
    <w:next w:val="Normal"/>
    <w:link w:val="SubtitleChar"/>
    <w:uiPriority w:val="11"/>
    <w:qFormat/>
    <w:rsid w:val="00320E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0E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320EDF"/>
    <w:rPr>
      <w:b/>
      <w:bCs/>
      <w:i/>
      <w:iCs/>
      <w:color w:val="4F81BD" w:themeColor="accent1"/>
    </w:rPr>
  </w:style>
  <w:style w:type="paragraph" w:styleId="NormalWeb">
    <w:name w:val="Normal (Web)"/>
    <w:basedOn w:val="Normal"/>
    <w:uiPriority w:val="99"/>
    <w:unhideWhenUsed/>
    <w:rsid w:val="007E73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7E73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79"/>
    <w:rPr>
      <w:rFonts w:ascii="Tahoma" w:hAnsi="Tahoma" w:cs="Tahoma"/>
      <w:sz w:val="16"/>
      <w:szCs w:val="16"/>
    </w:rPr>
  </w:style>
  <w:style w:type="paragraph" w:styleId="Header">
    <w:name w:val="header"/>
    <w:basedOn w:val="Normal"/>
    <w:link w:val="HeaderChar"/>
    <w:uiPriority w:val="99"/>
    <w:unhideWhenUsed/>
    <w:rsid w:val="00F4359E"/>
    <w:pPr>
      <w:tabs>
        <w:tab w:val="center" w:pos="4513"/>
        <w:tab w:val="right" w:pos="9026"/>
      </w:tabs>
      <w:spacing w:line="240" w:lineRule="auto"/>
    </w:pPr>
  </w:style>
  <w:style w:type="character" w:customStyle="1" w:styleId="HeaderChar">
    <w:name w:val="Header Char"/>
    <w:basedOn w:val="DefaultParagraphFont"/>
    <w:link w:val="Header"/>
    <w:uiPriority w:val="99"/>
    <w:rsid w:val="00F4359E"/>
  </w:style>
  <w:style w:type="paragraph" w:styleId="Footer">
    <w:name w:val="footer"/>
    <w:basedOn w:val="Normal"/>
    <w:link w:val="FooterChar"/>
    <w:uiPriority w:val="99"/>
    <w:unhideWhenUsed/>
    <w:rsid w:val="00F4359E"/>
    <w:pPr>
      <w:tabs>
        <w:tab w:val="center" w:pos="4513"/>
        <w:tab w:val="right" w:pos="9026"/>
      </w:tabs>
      <w:spacing w:line="240" w:lineRule="auto"/>
    </w:pPr>
  </w:style>
  <w:style w:type="character" w:customStyle="1" w:styleId="FooterChar">
    <w:name w:val="Footer Char"/>
    <w:basedOn w:val="DefaultParagraphFont"/>
    <w:link w:val="Footer"/>
    <w:uiPriority w:val="99"/>
    <w:rsid w:val="00F4359E"/>
  </w:style>
  <w:style w:type="character" w:customStyle="1" w:styleId="Heading1Char">
    <w:name w:val="Heading 1 Char"/>
    <w:basedOn w:val="DefaultParagraphFont"/>
    <w:link w:val="Heading1"/>
    <w:uiPriority w:val="9"/>
    <w:rsid w:val="00320EDF"/>
    <w:rPr>
      <w:rFonts w:eastAsiaTheme="majorEastAsia" w:cstheme="minorHAnsi"/>
      <w:color w:val="948A54" w:themeColor="background2" w:themeShade="80"/>
      <w:spacing w:val="5"/>
      <w:kern w:val="28"/>
      <w:sz w:val="32"/>
      <w:szCs w:val="32"/>
    </w:rPr>
  </w:style>
  <w:style w:type="paragraph" w:customStyle="1" w:styleId="Bodypara">
    <w:name w:val="Body para"/>
    <w:basedOn w:val="Normal"/>
    <w:link w:val="BodyparaChar"/>
    <w:qFormat/>
    <w:rsid w:val="00320EDF"/>
    <w:pPr>
      <w:autoSpaceDE w:val="0"/>
      <w:autoSpaceDN w:val="0"/>
      <w:adjustRightInd w:val="0"/>
      <w:spacing w:before="60" w:after="60" w:line="240" w:lineRule="auto"/>
    </w:pPr>
    <w:rPr>
      <w:rFonts w:ascii="Arial Narrow" w:hAnsi="Arial Narrow" w:cs="Calibri"/>
      <w:color w:val="000000"/>
      <w:sz w:val="24"/>
      <w:szCs w:val="24"/>
    </w:rPr>
  </w:style>
  <w:style w:type="paragraph" w:customStyle="1" w:styleId="Default">
    <w:name w:val="Default"/>
    <w:rsid w:val="008F668D"/>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basedOn w:val="BodyText"/>
    <w:link w:val="BodytextChar"/>
    <w:qFormat/>
    <w:rsid w:val="00320EDF"/>
    <w:pPr>
      <w:widowControl w:val="0"/>
      <w:spacing w:after="240"/>
    </w:pPr>
    <w:rPr>
      <w:rFonts w:eastAsia="Times New Roman" w:cstheme="minorHAnsi"/>
    </w:rPr>
  </w:style>
  <w:style w:type="character" w:customStyle="1" w:styleId="BodytextChar">
    <w:name w:val="Body text Char"/>
    <w:basedOn w:val="BodyTextChar0"/>
    <w:link w:val="BodyText1"/>
    <w:rsid w:val="00320EDF"/>
    <w:rPr>
      <w:rFonts w:eastAsia="Times New Roman" w:cstheme="minorHAnsi"/>
      <w:sz w:val="21"/>
      <w:szCs w:val="21"/>
    </w:rPr>
  </w:style>
  <w:style w:type="paragraph" w:styleId="BodyText">
    <w:name w:val="Body Text"/>
    <w:basedOn w:val="Normal"/>
    <w:link w:val="BodyTextChar0"/>
    <w:uiPriority w:val="99"/>
    <w:semiHidden/>
    <w:unhideWhenUsed/>
    <w:rsid w:val="00710A60"/>
    <w:pPr>
      <w:spacing w:after="120"/>
    </w:pPr>
  </w:style>
  <w:style w:type="character" w:customStyle="1" w:styleId="BodyTextChar0">
    <w:name w:val="Body Text Char"/>
    <w:basedOn w:val="DefaultParagraphFont"/>
    <w:link w:val="BodyText"/>
    <w:uiPriority w:val="99"/>
    <w:semiHidden/>
    <w:rsid w:val="00710A60"/>
    <w:rPr>
      <w:sz w:val="21"/>
      <w:szCs w:val="21"/>
    </w:rPr>
  </w:style>
  <w:style w:type="paragraph" w:styleId="Quote">
    <w:name w:val="Quote"/>
    <w:basedOn w:val="Normal"/>
    <w:next w:val="Normal"/>
    <w:link w:val="QuoteChar"/>
    <w:qFormat/>
    <w:rsid w:val="00320EDF"/>
    <w:rPr>
      <w:i/>
      <w:iCs/>
      <w:color w:val="000000" w:themeColor="text1"/>
    </w:rPr>
  </w:style>
  <w:style w:type="character" w:customStyle="1" w:styleId="QuoteChar">
    <w:name w:val="Quote Char"/>
    <w:basedOn w:val="DefaultParagraphFont"/>
    <w:link w:val="Quote"/>
    <w:rsid w:val="00320EDF"/>
    <w:rPr>
      <w:i/>
      <w:iCs/>
      <w:color w:val="000000" w:themeColor="text1"/>
      <w:sz w:val="21"/>
      <w:szCs w:val="21"/>
    </w:rPr>
  </w:style>
  <w:style w:type="paragraph" w:styleId="ListBullet">
    <w:name w:val="List Bullet"/>
    <w:basedOn w:val="Normal"/>
    <w:rsid w:val="00287190"/>
    <w:pPr>
      <w:numPr>
        <w:numId w:val="3"/>
      </w:numPr>
      <w:spacing w:after="120" w:line="240" w:lineRule="auto"/>
    </w:pPr>
    <w:rPr>
      <w:rFonts w:ascii="Trebuchet MS" w:eastAsia="Times New Roman" w:hAnsi="Trebuchet MS" w:cs="Times New Roman"/>
      <w:sz w:val="20"/>
      <w:szCs w:val="24"/>
    </w:rPr>
  </w:style>
  <w:style w:type="table" w:styleId="TableGrid">
    <w:name w:val="Table Grid"/>
    <w:basedOn w:val="TableNormal"/>
    <w:uiPriority w:val="59"/>
    <w:rsid w:val="00626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949DD"/>
    <w:pPr>
      <w:spacing w:after="0" w:line="240" w:lineRule="auto"/>
    </w:pPr>
    <w:rPr>
      <w:sz w:val="21"/>
      <w:szCs w:val="21"/>
    </w:rPr>
  </w:style>
  <w:style w:type="character" w:customStyle="1" w:styleId="BodyparaChar">
    <w:name w:val="Body para Char"/>
    <w:basedOn w:val="DefaultParagraphFont"/>
    <w:link w:val="Bodypara"/>
    <w:rsid w:val="00320EDF"/>
    <w:rPr>
      <w:rFonts w:ascii="Arial Narrow" w:hAnsi="Arial Narrow" w:cs="Calibri"/>
      <w:color w:val="000000"/>
      <w:sz w:val="24"/>
      <w:szCs w:val="24"/>
    </w:rPr>
  </w:style>
  <w:style w:type="character" w:styleId="Hyperlink">
    <w:name w:val="Hyperlink"/>
    <w:basedOn w:val="DefaultParagraphFont"/>
    <w:uiPriority w:val="99"/>
    <w:unhideWhenUsed/>
    <w:rsid w:val="00684286"/>
    <w:rPr>
      <w:color w:val="0000FF" w:themeColor="hyperlink"/>
      <w:u w:val="single"/>
    </w:rPr>
  </w:style>
  <w:style w:type="paragraph" w:customStyle="1" w:styleId="Month">
    <w:name w:val="Month"/>
    <w:next w:val="BodyText"/>
    <w:rsid w:val="00E630CE"/>
    <w:pPr>
      <w:tabs>
        <w:tab w:val="left" w:pos="2268"/>
      </w:tabs>
      <w:spacing w:before="120" w:after="0" w:line="240" w:lineRule="auto"/>
    </w:pPr>
    <w:rPr>
      <w:rFonts w:ascii="Trebuchet MS" w:eastAsia="Times New Roman" w:hAnsi="Trebuchet MS" w:cs="Tahoma"/>
      <w:b/>
      <w:smallCaps/>
      <w:color w:val="808080"/>
      <w:sz w:val="36"/>
      <w:szCs w:val="36"/>
    </w:rPr>
  </w:style>
  <w:style w:type="paragraph" w:customStyle="1" w:styleId="PreparedFor">
    <w:name w:val="Prepared For"/>
    <w:next w:val="Organisation"/>
    <w:rsid w:val="00E630CE"/>
    <w:pPr>
      <w:spacing w:before="1800" w:after="0" w:line="240" w:lineRule="auto"/>
    </w:pPr>
    <w:rPr>
      <w:rFonts w:ascii="Tahoma" w:eastAsia="Times New Roman" w:hAnsi="Tahoma" w:cs="Tahoma"/>
      <w:smallCaps/>
      <w:color w:val="808080"/>
      <w:sz w:val="20"/>
      <w:szCs w:val="20"/>
    </w:rPr>
  </w:style>
  <w:style w:type="paragraph" w:customStyle="1" w:styleId="Organisation">
    <w:name w:val="Organisation"/>
    <w:basedOn w:val="Normal"/>
    <w:rsid w:val="00E630CE"/>
    <w:pPr>
      <w:spacing w:line="240" w:lineRule="auto"/>
    </w:pPr>
    <w:rPr>
      <w:rFonts w:ascii="Trebuchet MS" w:eastAsia="Times New Roman" w:hAnsi="Trebuchet MS" w:cs="Tahoma"/>
      <w:b/>
      <w:color w:val="808080"/>
      <w:sz w:val="40"/>
      <w:szCs w:val="44"/>
    </w:rPr>
  </w:style>
  <w:style w:type="paragraph" w:customStyle="1" w:styleId="Quote2">
    <w:name w:val="Quote2"/>
    <w:basedOn w:val="Normal"/>
    <w:qFormat/>
    <w:rsid w:val="00320EDF"/>
    <w:pPr>
      <w:spacing w:line="240" w:lineRule="auto"/>
      <w:jc w:val="right"/>
    </w:pPr>
    <w:rPr>
      <w:rFonts w:ascii="Arial" w:hAnsi="Arial" w:cs="Arial"/>
      <w:b/>
      <w:iCs/>
      <w:color w:val="808080" w:themeColor="text1" w:themeTint="7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133">
      <w:bodyDiv w:val="1"/>
      <w:marLeft w:val="0"/>
      <w:marRight w:val="0"/>
      <w:marTop w:val="0"/>
      <w:marBottom w:val="0"/>
      <w:divBdr>
        <w:top w:val="none" w:sz="0" w:space="0" w:color="auto"/>
        <w:left w:val="none" w:sz="0" w:space="0" w:color="auto"/>
        <w:bottom w:val="none" w:sz="0" w:space="0" w:color="auto"/>
        <w:right w:val="none" w:sz="0" w:space="0" w:color="auto"/>
      </w:divBdr>
    </w:div>
    <w:div w:id="193427792">
      <w:bodyDiv w:val="1"/>
      <w:marLeft w:val="0"/>
      <w:marRight w:val="0"/>
      <w:marTop w:val="0"/>
      <w:marBottom w:val="0"/>
      <w:divBdr>
        <w:top w:val="none" w:sz="0" w:space="0" w:color="auto"/>
        <w:left w:val="none" w:sz="0" w:space="0" w:color="auto"/>
        <w:bottom w:val="none" w:sz="0" w:space="0" w:color="auto"/>
        <w:right w:val="none" w:sz="0" w:space="0" w:color="auto"/>
      </w:divBdr>
    </w:div>
    <w:div w:id="528377718">
      <w:bodyDiv w:val="1"/>
      <w:marLeft w:val="0"/>
      <w:marRight w:val="0"/>
      <w:marTop w:val="0"/>
      <w:marBottom w:val="0"/>
      <w:divBdr>
        <w:top w:val="none" w:sz="0" w:space="0" w:color="auto"/>
        <w:left w:val="none" w:sz="0" w:space="0" w:color="auto"/>
        <w:bottom w:val="none" w:sz="0" w:space="0" w:color="auto"/>
        <w:right w:val="none" w:sz="0" w:space="0" w:color="auto"/>
      </w:divBdr>
    </w:div>
    <w:div w:id="902331120">
      <w:bodyDiv w:val="1"/>
      <w:marLeft w:val="0"/>
      <w:marRight w:val="0"/>
      <w:marTop w:val="0"/>
      <w:marBottom w:val="0"/>
      <w:divBdr>
        <w:top w:val="none" w:sz="0" w:space="0" w:color="auto"/>
        <w:left w:val="none" w:sz="0" w:space="0" w:color="auto"/>
        <w:bottom w:val="none" w:sz="0" w:space="0" w:color="auto"/>
        <w:right w:val="none" w:sz="0" w:space="0" w:color="auto"/>
      </w:divBdr>
    </w:div>
    <w:div w:id="925723169">
      <w:bodyDiv w:val="1"/>
      <w:marLeft w:val="0"/>
      <w:marRight w:val="0"/>
      <w:marTop w:val="0"/>
      <w:marBottom w:val="0"/>
      <w:divBdr>
        <w:top w:val="none" w:sz="0" w:space="0" w:color="auto"/>
        <w:left w:val="none" w:sz="0" w:space="0" w:color="auto"/>
        <w:bottom w:val="none" w:sz="0" w:space="0" w:color="auto"/>
        <w:right w:val="none" w:sz="0" w:space="0" w:color="auto"/>
      </w:divBdr>
    </w:div>
    <w:div w:id="1029716805">
      <w:bodyDiv w:val="1"/>
      <w:marLeft w:val="0"/>
      <w:marRight w:val="0"/>
      <w:marTop w:val="0"/>
      <w:marBottom w:val="0"/>
      <w:divBdr>
        <w:top w:val="none" w:sz="0" w:space="0" w:color="auto"/>
        <w:left w:val="none" w:sz="0" w:space="0" w:color="auto"/>
        <w:bottom w:val="none" w:sz="0" w:space="0" w:color="auto"/>
        <w:right w:val="none" w:sz="0" w:space="0" w:color="auto"/>
      </w:divBdr>
    </w:div>
    <w:div w:id="1260336927">
      <w:bodyDiv w:val="1"/>
      <w:marLeft w:val="0"/>
      <w:marRight w:val="0"/>
      <w:marTop w:val="0"/>
      <w:marBottom w:val="0"/>
      <w:divBdr>
        <w:top w:val="none" w:sz="0" w:space="0" w:color="auto"/>
        <w:left w:val="none" w:sz="0" w:space="0" w:color="auto"/>
        <w:bottom w:val="none" w:sz="0" w:space="0" w:color="auto"/>
        <w:right w:val="none" w:sz="0" w:space="0" w:color="auto"/>
      </w:divBdr>
    </w:div>
    <w:div w:id="1358236812">
      <w:bodyDiv w:val="1"/>
      <w:marLeft w:val="0"/>
      <w:marRight w:val="0"/>
      <w:marTop w:val="0"/>
      <w:marBottom w:val="0"/>
      <w:divBdr>
        <w:top w:val="none" w:sz="0" w:space="0" w:color="auto"/>
        <w:left w:val="none" w:sz="0" w:space="0" w:color="auto"/>
        <w:bottom w:val="none" w:sz="0" w:space="0" w:color="auto"/>
        <w:right w:val="none" w:sz="0" w:space="0" w:color="auto"/>
      </w:divBdr>
    </w:div>
    <w:div w:id="1506244730">
      <w:bodyDiv w:val="1"/>
      <w:marLeft w:val="0"/>
      <w:marRight w:val="0"/>
      <w:marTop w:val="0"/>
      <w:marBottom w:val="0"/>
      <w:divBdr>
        <w:top w:val="none" w:sz="0" w:space="0" w:color="auto"/>
        <w:left w:val="none" w:sz="0" w:space="0" w:color="auto"/>
        <w:bottom w:val="none" w:sz="0" w:space="0" w:color="auto"/>
        <w:right w:val="none" w:sz="0" w:space="0" w:color="auto"/>
      </w:divBdr>
    </w:div>
    <w:div w:id="1736972562">
      <w:bodyDiv w:val="1"/>
      <w:marLeft w:val="0"/>
      <w:marRight w:val="0"/>
      <w:marTop w:val="0"/>
      <w:marBottom w:val="0"/>
      <w:divBdr>
        <w:top w:val="none" w:sz="0" w:space="0" w:color="auto"/>
        <w:left w:val="none" w:sz="0" w:space="0" w:color="auto"/>
        <w:bottom w:val="none" w:sz="0" w:space="0" w:color="auto"/>
        <w:right w:val="none" w:sz="0" w:space="0" w:color="auto"/>
      </w:divBdr>
    </w:div>
    <w:div w:id="1767578977">
      <w:bodyDiv w:val="1"/>
      <w:marLeft w:val="0"/>
      <w:marRight w:val="0"/>
      <w:marTop w:val="0"/>
      <w:marBottom w:val="0"/>
      <w:divBdr>
        <w:top w:val="none" w:sz="0" w:space="0" w:color="auto"/>
        <w:left w:val="none" w:sz="0" w:space="0" w:color="auto"/>
        <w:bottom w:val="none" w:sz="0" w:space="0" w:color="auto"/>
        <w:right w:val="none" w:sz="0" w:space="0" w:color="auto"/>
      </w:divBdr>
    </w:div>
    <w:div w:id="1848716993">
      <w:bodyDiv w:val="1"/>
      <w:marLeft w:val="0"/>
      <w:marRight w:val="0"/>
      <w:marTop w:val="0"/>
      <w:marBottom w:val="0"/>
      <w:divBdr>
        <w:top w:val="none" w:sz="0" w:space="0" w:color="auto"/>
        <w:left w:val="none" w:sz="0" w:space="0" w:color="auto"/>
        <w:bottom w:val="none" w:sz="0" w:space="0" w:color="auto"/>
        <w:right w:val="none" w:sz="0" w:space="0" w:color="auto"/>
      </w:divBdr>
    </w:div>
    <w:div w:id="200323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70E2-6800-4CA6-B8C9-17B45F24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2572</Words>
  <Characters>13198</Characters>
  <Application>Microsoft Office Word</Application>
  <DocSecurity>0</DocSecurity>
  <Lines>412</Lines>
  <Paragraphs>246</Paragraphs>
  <ScaleCrop>false</ScaleCrop>
  <HeadingPairs>
    <vt:vector size="2" baseType="variant">
      <vt:variant>
        <vt:lpstr>Title</vt:lpstr>
      </vt:variant>
      <vt:variant>
        <vt:i4>1</vt:i4>
      </vt:variant>
    </vt:vector>
  </HeadingPairs>
  <TitlesOfParts>
    <vt:vector size="1" baseType="lpstr">
      <vt:lpstr>Submission 62 - AMES - Childcare and Early Childhood Learning - Public inquiry</vt:lpstr>
    </vt:vector>
  </TitlesOfParts>
  <Company>AMES</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AMES - Childcare and Early Childhood Learning - Public inquiry</dc:title>
  <dc:creator>AMES</dc:creator>
  <cp:lastModifiedBy>Productivity Commission</cp:lastModifiedBy>
  <cp:revision>2</cp:revision>
  <cp:lastPrinted>2014-01-07T23:03:00Z</cp:lastPrinted>
  <dcterms:created xsi:type="dcterms:W3CDTF">2014-01-29T22:27:00Z</dcterms:created>
  <dcterms:modified xsi:type="dcterms:W3CDTF">2014-01-29T22:27:00Z</dcterms:modified>
</cp:coreProperties>
</file>