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header4.xml" ContentType="application/vnd.openxmlformats-officedocument.wordprocessingml.header+xml"/>
  <Override PartName="/word/footer4.xml" ContentType="application/vnd.openxmlformats-officedocument.wordprocessingml.footer+xml"/>
  <Override PartName="/word/charts/chart8.xml" ContentType="application/vnd.openxmlformats-officedocument.drawingml.chart+xml"/>
  <Override PartName="/word/charts/chart9.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969BED" w14:textId="77777777" w:rsidR="004A4308" w:rsidRPr="00DD2634" w:rsidRDefault="0082556D" w:rsidP="0093558D">
      <w:pPr>
        <w:jc w:val="center"/>
      </w:pPr>
      <w:r w:rsidRPr="00DD2634">
        <w:rPr>
          <w:noProof/>
          <w:lang w:eastAsia="en-AU"/>
        </w:rPr>
        <w:drawing>
          <wp:inline distT="0" distB="0" distL="0" distR="0" wp14:anchorId="04969EC7" wp14:editId="04969EC8">
            <wp:extent cx="2247900" cy="561975"/>
            <wp:effectExtent l="0" t="0" r="0" b="9525"/>
            <wp:docPr id="3" name="Picture 3" descr="Australian Government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Technology Services Support Branch\Support, Accessibility and Strategy\Accessibility\Templates\DE - Department of Education\Inline\Dept Education_Inline.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47900" cy="561975"/>
                    </a:xfrm>
                    <a:prstGeom prst="rect">
                      <a:avLst/>
                    </a:prstGeom>
                    <a:noFill/>
                    <a:ln>
                      <a:noFill/>
                    </a:ln>
                  </pic:spPr>
                </pic:pic>
              </a:graphicData>
            </a:graphic>
          </wp:inline>
        </w:drawing>
      </w:r>
    </w:p>
    <w:p w14:paraId="04969BEE" w14:textId="77777777" w:rsidR="004A4308" w:rsidRPr="00DD2634" w:rsidRDefault="004A4308" w:rsidP="004A4308"/>
    <w:p w14:paraId="04969BEF" w14:textId="77777777" w:rsidR="004A4308" w:rsidRPr="00DD2634" w:rsidRDefault="004A4308" w:rsidP="004A4308"/>
    <w:p w14:paraId="04969BF0" w14:textId="77777777" w:rsidR="004A4308" w:rsidRPr="00DD2634" w:rsidRDefault="004A4308" w:rsidP="004A4308">
      <w:bookmarkStart w:id="0" w:name="_GoBack"/>
      <w:bookmarkEnd w:id="0"/>
    </w:p>
    <w:p w14:paraId="04969BF2" w14:textId="77777777" w:rsidR="004A4308" w:rsidRPr="00DD2634" w:rsidRDefault="004A4308" w:rsidP="004A4308">
      <w:pPr>
        <w:rPr>
          <w:spacing w:val="60"/>
          <w:sz w:val="52"/>
        </w:rPr>
      </w:pPr>
    </w:p>
    <w:p w14:paraId="320897C4" w14:textId="77777777" w:rsidR="004A5DDD" w:rsidRPr="00DD2634" w:rsidRDefault="004A5DDD" w:rsidP="004A4308"/>
    <w:p w14:paraId="04969BF3" w14:textId="77777777" w:rsidR="004A4308" w:rsidRPr="00DD2634" w:rsidRDefault="004A4308" w:rsidP="00BC28E0">
      <w:pPr>
        <w:jc w:val="center"/>
      </w:pPr>
    </w:p>
    <w:p w14:paraId="04969BF5" w14:textId="7CE94DB7" w:rsidR="00DB090B" w:rsidRPr="00DD2634" w:rsidRDefault="00DB090B" w:rsidP="0008505A">
      <w:pPr>
        <w:pStyle w:val="Title"/>
        <w:spacing w:line="360" w:lineRule="auto"/>
      </w:pPr>
      <w:r w:rsidRPr="00DD2634">
        <w:t>Submission to</w:t>
      </w:r>
      <w:r w:rsidR="00571C99" w:rsidRPr="00DD2634">
        <w:t xml:space="preserve"> the</w:t>
      </w:r>
      <w:r w:rsidR="0008505A" w:rsidRPr="00DD2634">
        <w:br/>
      </w:r>
      <w:r w:rsidRPr="00DD2634">
        <w:t>Productivity Commission Inquiry into</w:t>
      </w:r>
      <w:r w:rsidRPr="00DD2634">
        <w:br/>
        <w:t xml:space="preserve">Child Care and Early Childhood Learning </w:t>
      </w:r>
    </w:p>
    <w:p w14:paraId="04969BF6" w14:textId="77777777" w:rsidR="00571C99" w:rsidRPr="00DD2634" w:rsidRDefault="00571C99" w:rsidP="00571C99"/>
    <w:p w14:paraId="04969BF7" w14:textId="77777777" w:rsidR="00450EB2" w:rsidRPr="00DD2634" w:rsidRDefault="00450EB2" w:rsidP="00A57E47">
      <w:pPr>
        <w:jc w:val="right"/>
      </w:pPr>
    </w:p>
    <w:p w14:paraId="04969BF8" w14:textId="77777777" w:rsidR="00210EF4" w:rsidRPr="00DD2634" w:rsidRDefault="00210EF4" w:rsidP="00A57E47">
      <w:pPr>
        <w:jc w:val="right"/>
      </w:pPr>
    </w:p>
    <w:p w14:paraId="04969BF9" w14:textId="77777777" w:rsidR="00210EF4" w:rsidRPr="00DD2634" w:rsidRDefault="00210EF4" w:rsidP="00A57E47">
      <w:pPr>
        <w:jc w:val="right"/>
      </w:pPr>
    </w:p>
    <w:p w14:paraId="04969BFA" w14:textId="77777777" w:rsidR="00450EB2" w:rsidRPr="00DD2634" w:rsidRDefault="00450EB2" w:rsidP="00A57E47">
      <w:pPr>
        <w:jc w:val="right"/>
      </w:pPr>
    </w:p>
    <w:p w14:paraId="04969BFB" w14:textId="77777777" w:rsidR="00450EB2" w:rsidRPr="00DD2634" w:rsidRDefault="00450EB2" w:rsidP="00A57E47">
      <w:pPr>
        <w:jc w:val="right"/>
      </w:pPr>
    </w:p>
    <w:p w14:paraId="04969BFC" w14:textId="77777777" w:rsidR="00450EB2" w:rsidRPr="00DD2634" w:rsidRDefault="00450EB2" w:rsidP="00A57E47">
      <w:pPr>
        <w:jc w:val="right"/>
      </w:pPr>
    </w:p>
    <w:p w14:paraId="04969BFD" w14:textId="77777777" w:rsidR="00450EB2" w:rsidRPr="00DD2634" w:rsidRDefault="00450EB2" w:rsidP="00A57E47">
      <w:pPr>
        <w:jc w:val="right"/>
      </w:pPr>
    </w:p>
    <w:p w14:paraId="04969BFE" w14:textId="77777777" w:rsidR="00450EB2" w:rsidRPr="00DD2634" w:rsidRDefault="00450EB2" w:rsidP="00A57E47">
      <w:pPr>
        <w:jc w:val="right"/>
      </w:pPr>
    </w:p>
    <w:p w14:paraId="04969BFF" w14:textId="77777777" w:rsidR="006865A6" w:rsidRPr="00DD2634" w:rsidRDefault="006865A6" w:rsidP="00A57E47">
      <w:pPr>
        <w:jc w:val="right"/>
      </w:pPr>
    </w:p>
    <w:p w14:paraId="04969C00" w14:textId="2EBDE59E" w:rsidR="00210EF4" w:rsidRPr="00DD2634" w:rsidRDefault="00D84AE5" w:rsidP="00210EF4">
      <w:pPr>
        <w:jc w:val="right"/>
      </w:pPr>
      <w:r>
        <w:t>3 February 2014</w:t>
      </w:r>
    </w:p>
    <w:p w14:paraId="04969C01" w14:textId="77777777" w:rsidR="00210EF4" w:rsidRPr="00DD2634" w:rsidRDefault="00210EF4" w:rsidP="00210EF4"/>
    <w:p w14:paraId="04969C02" w14:textId="77777777" w:rsidR="00210EF4" w:rsidRPr="00DD2634" w:rsidRDefault="00210EF4" w:rsidP="00210EF4">
      <w:pPr>
        <w:sectPr w:rsidR="00210EF4" w:rsidRPr="00DD2634" w:rsidSect="00B01D41">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9" w:footer="822" w:gutter="0"/>
          <w:cols w:space="708"/>
          <w:docGrid w:linePitch="360"/>
        </w:sectPr>
      </w:pPr>
    </w:p>
    <w:p w14:paraId="04969C03" w14:textId="77777777" w:rsidR="00F50FA0" w:rsidRPr="00DD2634" w:rsidRDefault="00F50FA0" w:rsidP="00D661D0">
      <w:pPr>
        <w:pStyle w:val="Heading1unnumbered"/>
      </w:pPr>
      <w:r w:rsidRPr="00DD2634">
        <w:lastRenderedPageBreak/>
        <w:tab/>
      </w:r>
      <w:bookmarkStart w:id="1" w:name="_Toc373221241"/>
      <w:bookmarkStart w:id="2" w:name="_Toc377217306"/>
      <w:bookmarkStart w:id="3" w:name="_Toc379208168"/>
      <w:r w:rsidRPr="00DD2634">
        <w:t>Contents</w:t>
      </w:r>
      <w:bookmarkEnd w:id="1"/>
      <w:bookmarkEnd w:id="2"/>
      <w:bookmarkEnd w:id="3"/>
    </w:p>
    <w:p w14:paraId="201A6768" w14:textId="77777777" w:rsidR="000146DA" w:rsidRDefault="00605A89">
      <w:pPr>
        <w:pStyle w:val="TOC1"/>
        <w:rPr>
          <w:rFonts w:eastAsiaTheme="minorEastAsia"/>
          <w:b w:val="0"/>
          <w:lang w:eastAsia="en-AU"/>
        </w:rPr>
      </w:pPr>
      <w:r w:rsidRPr="00DD2634">
        <w:fldChar w:fldCharType="begin"/>
      </w:r>
      <w:r w:rsidRPr="00DD2634">
        <w:instrText xml:space="preserve"> TOC \o "1-2" \h \z \u </w:instrText>
      </w:r>
      <w:r w:rsidRPr="00DD2634">
        <w:fldChar w:fldCharType="separate"/>
      </w:r>
      <w:hyperlink w:anchor="_Toc379208168" w:history="1">
        <w:r w:rsidR="000146DA" w:rsidRPr="00397E65">
          <w:rPr>
            <w:rStyle w:val="Hyperlink"/>
          </w:rPr>
          <w:t>Contents</w:t>
        </w:r>
        <w:r w:rsidR="000146DA">
          <w:rPr>
            <w:webHidden/>
          </w:rPr>
          <w:tab/>
        </w:r>
        <w:r w:rsidR="000146DA">
          <w:rPr>
            <w:webHidden/>
          </w:rPr>
          <w:fldChar w:fldCharType="begin"/>
        </w:r>
        <w:r w:rsidR="000146DA">
          <w:rPr>
            <w:webHidden/>
          </w:rPr>
          <w:instrText xml:space="preserve"> PAGEREF _Toc379208168 \h </w:instrText>
        </w:r>
        <w:r w:rsidR="000146DA">
          <w:rPr>
            <w:webHidden/>
          </w:rPr>
        </w:r>
        <w:r w:rsidR="000146DA">
          <w:rPr>
            <w:webHidden/>
          </w:rPr>
          <w:fldChar w:fldCharType="separate"/>
        </w:r>
        <w:r w:rsidR="000146DA">
          <w:rPr>
            <w:webHidden/>
          </w:rPr>
          <w:t>2</w:t>
        </w:r>
        <w:r w:rsidR="000146DA">
          <w:rPr>
            <w:webHidden/>
          </w:rPr>
          <w:fldChar w:fldCharType="end"/>
        </w:r>
      </w:hyperlink>
    </w:p>
    <w:p w14:paraId="2FFDCD36" w14:textId="77777777" w:rsidR="000146DA" w:rsidRDefault="00045EEB">
      <w:pPr>
        <w:pStyle w:val="TOC1"/>
        <w:rPr>
          <w:rFonts w:eastAsiaTheme="minorEastAsia"/>
          <w:b w:val="0"/>
          <w:lang w:eastAsia="en-AU"/>
        </w:rPr>
      </w:pPr>
      <w:hyperlink w:anchor="_Toc379208169" w:history="1">
        <w:r w:rsidR="000146DA" w:rsidRPr="00397E65">
          <w:rPr>
            <w:rStyle w:val="Hyperlink"/>
          </w:rPr>
          <w:t>Tables</w:t>
        </w:r>
        <w:r w:rsidR="000146DA">
          <w:rPr>
            <w:webHidden/>
          </w:rPr>
          <w:tab/>
        </w:r>
        <w:r w:rsidR="000146DA">
          <w:rPr>
            <w:webHidden/>
          </w:rPr>
          <w:fldChar w:fldCharType="begin"/>
        </w:r>
        <w:r w:rsidR="000146DA">
          <w:rPr>
            <w:webHidden/>
          </w:rPr>
          <w:instrText xml:space="preserve"> PAGEREF _Toc379208169 \h </w:instrText>
        </w:r>
        <w:r w:rsidR="000146DA">
          <w:rPr>
            <w:webHidden/>
          </w:rPr>
        </w:r>
        <w:r w:rsidR="000146DA">
          <w:rPr>
            <w:webHidden/>
          </w:rPr>
          <w:fldChar w:fldCharType="separate"/>
        </w:r>
        <w:r w:rsidR="000146DA">
          <w:rPr>
            <w:webHidden/>
          </w:rPr>
          <w:t>2</w:t>
        </w:r>
        <w:r w:rsidR="000146DA">
          <w:rPr>
            <w:webHidden/>
          </w:rPr>
          <w:fldChar w:fldCharType="end"/>
        </w:r>
      </w:hyperlink>
    </w:p>
    <w:p w14:paraId="36B64E95" w14:textId="77777777" w:rsidR="000146DA" w:rsidRDefault="00045EEB">
      <w:pPr>
        <w:pStyle w:val="TOC1"/>
        <w:rPr>
          <w:rFonts w:eastAsiaTheme="minorEastAsia"/>
          <w:b w:val="0"/>
          <w:lang w:eastAsia="en-AU"/>
        </w:rPr>
      </w:pPr>
      <w:hyperlink w:anchor="_Toc379208170" w:history="1">
        <w:r w:rsidR="000146DA" w:rsidRPr="00397E65">
          <w:rPr>
            <w:rStyle w:val="Hyperlink"/>
          </w:rPr>
          <w:t>Figures</w:t>
        </w:r>
        <w:r w:rsidR="000146DA">
          <w:rPr>
            <w:webHidden/>
          </w:rPr>
          <w:tab/>
        </w:r>
        <w:r w:rsidR="000146DA">
          <w:rPr>
            <w:webHidden/>
          </w:rPr>
          <w:fldChar w:fldCharType="begin"/>
        </w:r>
        <w:r w:rsidR="000146DA">
          <w:rPr>
            <w:webHidden/>
          </w:rPr>
          <w:instrText xml:space="preserve"> PAGEREF _Toc379208170 \h </w:instrText>
        </w:r>
        <w:r w:rsidR="000146DA">
          <w:rPr>
            <w:webHidden/>
          </w:rPr>
        </w:r>
        <w:r w:rsidR="000146DA">
          <w:rPr>
            <w:webHidden/>
          </w:rPr>
          <w:fldChar w:fldCharType="separate"/>
        </w:r>
        <w:r w:rsidR="000146DA">
          <w:rPr>
            <w:webHidden/>
          </w:rPr>
          <w:t>2</w:t>
        </w:r>
        <w:r w:rsidR="000146DA">
          <w:rPr>
            <w:webHidden/>
          </w:rPr>
          <w:fldChar w:fldCharType="end"/>
        </w:r>
      </w:hyperlink>
    </w:p>
    <w:p w14:paraId="0AF18C4A" w14:textId="77777777" w:rsidR="000146DA" w:rsidRDefault="00045EEB">
      <w:pPr>
        <w:pStyle w:val="TOC1"/>
        <w:rPr>
          <w:rFonts w:eastAsiaTheme="minorEastAsia"/>
          <w:b w:val="0"/>
          <w:lang w:eastAsia="en-AU"/>
        </w:rPr>
      </w:pPr>
      <w:hyperlink w:anchor="_Toc379208171" w:history="1">
        <w:r w:rsidR="000146DA" w:rsidRPr="00397E65">
          <w:rPr>
            <w:rStyle w:val="Hyperlink"/>
          </w:rPr>
          <w:t>Acronyms</w:t>
        </w:r>
        <w:r w:rsidR="000146DA">
          <w:rPr>
            <w:webHidden/>
          </w:rPr>
          <w:tab/>
        </w:r>
        <w:r w:rsidR="000146DA">
          <w:rPr>
            <w:webHidden/>
          </w:rPr>
          <w:fldChar w:fldCharType="begin"/>
        </w:r>
        <w:r w:rsidR="000146DA">
          <w:rPr>
            <w:webHidden/>
          </w:rPr>
          <w:instrText xml:space="preserve"> PAGEREF _Toc379208171 \h </w:instrText>
        </w:r>
        <w:r w:rsidR="000146DA">
          <w:rPr>
            <w:webHidden/>
          </w:rPr>
        </w:r>
        <w:r w:rsidR="000146DA">
          <w:rPr>
            <w:webHidden/>
          </w:rPr>
          <w:fldChar w:fldCharType="separate"/>
        </w:r>
        <w:r w:rsidR="000146DA">
          <w:rPr>
            <w:webHidden/>
          </w:rPr>
          <w:t>3</w:t>
        </w:r>
        <w:r w:rsidR="000146DA">
          <w:rPr>
            <w:webHidden/>
          </w:rPr>
          <w:fldChar w:fldCharType="end"/>
        </w:r>
      </w:hyperlink>
    </w:p>
    <w:p w14:paraId="6F9FA468" w14:textId="77777777" w:rsidR="000146DA" w:rsidRDefault="00045EEB">
      <w:pPr>
        <w:pStyle w:val="TOC1"/>
        <w:rPr>
          <w:rFonts w:eastAsiaTheme="minorEastAsia"/>
          <w:b w:val="0"/>
          <w:lang w:eastAsia="en-AU"/>
        </w:rPr>
      </w:pPr>
      <w:hyperlink w:anchor="_Toc379208172" w:history="1">
        <w:r w:rsidR="000146DA" w:rsidRPr="00397E65">
          <w:rPr>
            <w:rStyle w:val="Hyperlink"/>
          </w:rPr>
          <w:t>1</w:t>
        </w:r>
        <w:r w:rsidR="000146DA">
          <w:rPr>
            <w:rFonts w:eastAsiaTheme="minorEastAsia"/>
            <w:b w:val="0"/>
            <w:lang w:eastAsia="en-AU"/>
          </w:rPr>
          <w:tab/>
        </w:r>
        <w:r w:rsidR="000146DA" w:rsidRPr="00397E65">
          <w:rPr>
            <w:rStyle w:val="Hyperlink"/>
          </w:rPr>
          <w:t>Introduction</w:t>
        </w:r>
        <w:r w:rsidR="000146DA">
          <w:rPr>
            <w:webHidden/>
          </w:rPr>
          <w:tab/>
        </w:r>
        <w:r w:rsidR="000146DA">
          <w:rPr>
            <w:webHidden/>
          </w:rPr>
          <w:fldChar w:fldCharType="begin"/>
        </w:r>
        <w:r w:rsidR="000146DA">
          <w:rPr>
            <w:webHidden/>
          </w:rPr>
          <w:instrText xml:space="preserve"> PAGEREF _Toc379208172 \h </w:instrText>
        </w:r>
        <w:r w:rsidR="000146DA">
          <w:rPr>
            <w:webHidden/>
          </w:rPr>
        </w:r>
        <w:r w:rsidR="000146DA">
          <w:rPr>
            <w:webHidden/>
          </w:rPr>
          <w:fldChar w:fldCharType="separate"/>
        </w:r>
        <w:r w:rsidR="000146DA">
          <w:rPr>
            <w:webHidden/>
          </w:rPr>
          <w:t>4</w:t>
        </w:r>
        <w:r w:rsidR="000146DA">
          <w:rPr>
            <w:webHidden/>
          </w:rPr>
          <w:fldChar w:fldCharType="end"/>
        </w:r>
      </w:hyperlink>
    </w:p>
    <w:p w14:paraId="5A732C74" w14:textId="77777777" w:rsidR="000146DA" w:rsidRDefault="00045EEB">
      <w:pPr>
        <w:pStyle w:val="TOC1"/>
        <w:rPr>
          <w:rFonts w:eastAsiaTheme="minorEastAsia"/>
          <w:b w:val="0"/>
          <w:lang w:eastAsia="en-AU"/>
        </w:rPr>
      </w:pPr>
      <w:hyperlink w:anchor="_Toc379208173" w:history="1">
        <w:r w:rsidR="000146DA" w:rsidRPr="00397E65">
          <w:rPr>
            <w:rStyle w:val="Hyperlink"/>
          </w:rPr>
          <w:t>2</w:t>
        </w:r>
        <w:r w:rsidR="000146DA">
          <w:rPr>
            <w:rFonts w:eastAsiaTheme="minorEastAsia"/>
            <w:b w:val="0"/>
            <w:lang w:eastAsia="en-AU"/>
          </w:rPr>
          <w:tab/>
        </w:r>
        <w:r w:rsidR="000146DA" w:rsidRPr="00397E65">
          <w:rPr>
            <w:rStyle w:val="Hyperlink"/>
          </w:rPr>
          <w:t>Australia’s child care and early childhood learning sector</w:t>
        </w:r>
        <w:r w:rsidR="000146DA">
          <w:rPr>
            <w:webHidden/>
          </w:rPr>
          <w:tab/>
        </w:r>
        <w:r w:rsidR="000146DA">
          <w:rPr>
            <w:webHidden/>
          </w:rPr>
          <w:fldChar w:fldCharType="begin"/>
        </w:r>
        <w:r w:rsidR="000146DA">
          <w:rPr>
            <w:webHidden/>
          </w:rPr>
          <w:instrText xml:space="preserve"> PAGEREF _Toc379208173 \h </w:instrText>
        </w:r>
        <w:r w:rsidR="000146DA">
          <w:rPr>
            <w:webHidden/>
          </w:rPr>
        </w:r>
        <w:r w:rsidR="000146DA">
          <w:rPr>
            <w:webHidden/>
          </w:rPr>
          <w:fldChar w:fldCharType="separate"/>
        </w:r>
        <w:r w:rsidR="000146DA">
          <w:rPr>
            <w:webHidden/>
          </w:rPr>
          <w:t>6</w:t>
        </w:r>
        <w:r w:rsidR="000146DA">
          <w:rPr>
            <w:webHidden/>
          </w:rPr>
          <w:fldChar w:fldCharType="end"/>
        </w:r>
      </w:hyperlink>
    </w:p>
    <w:p w14:paraId="0F7D55F4" w14:textId="77777777" w:rsidR="000146DA" w:rsidRDefault="00045EEB">
      <w:pPr>
        <w:pStyle w:val="TOC2"/>
        <w:rPr>
          <w:rFonts w:eastAsiaTheme="minorEastAsia"/>
          <w:sz w:val="22"/>
          <w:szCs w:val="22"/>
          <w:lang w:eastAsia="en-AU"/>
        </w:rPr>
      </w:pPr>
      <w:hyperlink w:anchor="_Toc379208174" w:history="1">
        <w:r w:rsidR="000146DA" w:rsidRPr="00397E65">
          <w:rPr>
            <w:rStyle w:val="Hyperlink"/>
          </w:rPr>
          <w:t>2.1</w:t>
        </w:r>
        <w:r w:rsidR="000146DA">
          <w:rPr>
            <w:rFonts w:eastAsiaTheme="minorEastAsia"/>
            <w:sz w:val="22"/>
            <w:szCs w:val="22"/>
            <w:lang w:eastAsia="en-AU"/>
          </w:rPr>
          <w:tab/>
        </w:r>
        <w:r w:rsidR="000146DA" w:rsidRPr="00397E65">
          <w:rPr>
            <w:rStyle w:val="Hyperlink"/>
          </w:rPr>
          <w:t>Defining the sector</w:t>
        </w:r>
        <w:r w:rsidR="000146DA">
          <w:rPr>
            <w:webHidden/>
          </w:rPr>
          <w:tab/>
        </w:r>
        <w:r w:rsidR="000146DA">
          <w:rPr>
            <w:webHidden/>
          </w:rPr>
          <w:fldChar w:fldCharType="begin"/>
        </w:r>
        <w:r w:rsidR="000146DA">
          <w:rPr>
            <w:webHidden/>
          </w:rPr>
          <w:instrText xml:space="preserve"> PAGEREF _Toc379208174 \h </w:instrText>
        </w:r>
        <w:r w:rsidR="000146DA">
          <w:rPr>
            <w:webHidden/>
          </w:rPr>
        </w:r>
        <w:r w:rsidR="000146DA">
          <w:rPr>
            <w:webHidden/>
          </w:rPr>
          <w:fldChar w:fldCharType="separate"/>
        </w:r>
        <w:r w:rsidR="000146DA">
          <w:rPr>
            <w:webHidden/>
          </w:rPr>
          <w:t>6</w:t>
        </w:r>
        <w:r w:rsidR="000146DA">
          <w:rPr>
            <w:webHidden/>
          </w:rPr>
          <w:fldChar w:fldCharType="end"/>
        </w:r>
      </w:hyperlink>
    </w:p>
    <w:p w14:paraId="56573620" w14:textId="77777777" w:rsidR="000146DA" w:rsidRDefault="00045EEB">
      <w:pPr>
        <w:pStyle w:val="TOC2"/>
        <w:rPr>
          <w:rFonts w:eastAsiaTheme="minorEastAsia"/>
          <w:sz w:val="22"/>
          <w:szCs w:val="22"/>
          <w:lang w:eastAsia="en-AU"/>
        </w:rPr>
      </w:pPr>
      <w:hyperlink w:anchor="_Toc379208175" w:history="1">
        <w:r w:rsidR="000146DA" w:rsidRPr="00397E65">
          <w:rPr>
            <w:rStyle w:val="Hyperlink"/>
          </w:rPr>
          <w:t>2.2</w:t>
        </w:r>
        <w:r w:rsidR="000146DA">
          <w:rPr>
            <w:rFonts w:eastAsiaTheme="minorEastAsia"/>
            <w:sz w:val="22"/>
            <w:szCs w:val="22"/>
            <w:lang w:eastAsia="en-AU"/>
          </w:rPr>
          <w:tab/>
        </w:r>
        <w:r w:rsidR="000146DA" w:rsidRPr="00397E65">
          <w:rPr>
            <w:rStyle w:val="Hyperlink"/>
          </w:rPr>
          <w:t>Recent CCECL sector trends</w:t>
        </w:r>
        <w:r w:rsidR="000146DA">
          <w:rPr>
            <w:webHidden/>
          </w:rPr>
          <w:tab/>
        </w:r>
        <w:r w:rsidR="000146DA">
          <w:rPr>
            <w:webHidden/>
          </w:rPr>
          <w:fldChar w:fldCharType="begin"/>
        </w:r>
        <w:r w:rsidR="000146DA">
          <w:rPr>
            <w:webHidden/>
          </w:rPr>
          <w:instrText xml:space="preserve"> PAGEREF _Toc379208175 \h </w:instrText>
        </w:r>
        <w:r w:rsidR="000146DA">
          <w:rPr>
            <w:webHidden/>
          </w:rPr>
        </w:r>
        <w:r w:rsidR="000146DA">
          <w:rPr>
            <w:webHidden/>
          </w:rPr>
          <w:fldChar w:fldCharType="separate"/>
        </w:r>
        <w:r w:rsidR="000146DA">
          <w:rPr>
            <w:webHidden/>
          </w:rPr>
          <w:t>6</w:t>
        </w:r>
        <w:r w:rsidR="000146DA">
          <w:rPr>
            <w:webHidden/>
          </w:rPr>
          <w:fldChar w:fldCharType="end"/>
        </w:r>
      </w:hyperlink>
    </w:p>
    <w:p w14:paraId="6AC44436" w14:textId="77777777" w:rsidR="000146DA" w:rsidRDefault="00045EEB">
      <w:pPr>
        <w:pStyle w:val="TOC2"/>
        <w:rPr>
          <w:rFonts w:eastAsiaTheme="minorEastAsia"/>
          <w:sz w:val="22"/>
          <w:szCs w:val="22"/>
          <w:lang w:eastAsia="en-AU"/>
        </w:rPr>
      </w:pPr>
      <w:hyperlink w:anchor="_Toc379208176" w:history="1">
        <w:r w:rsidR="000146DA" w:rsidRPr="00397E65">
          <w:rPr>
            <w:rStyle w:val="Hyperlink"/>
          </w:rPr>
          <w:t>2.3</w:t>
        </w:r>
        <w:r w:rsidR="000146DA">
          <w:rPr>
            <w:rFonts w:eastAsiaTheme="minorEastAsia"/>
            <w:sz w:val="22"/>
            <w:szCs w:val="22"/>
            <w:lang w:eastAsia="en-AU"/>
          </w:rPr>
          <w:tab/>
        </w:r>
        <w:r w:rsidR="000146DA" w:rsidRPr="00397E65">
          <w:rPr>
            <w:rStyle w:val="Hyperlink"/>
          </w:rPr>
          <w:t>Current CCECL services</w:t>
        </w:r>
        <w:r w:rsidR="000146DA">
          <w:rPr>
            <w:webHidden/>
          </w:rPr>
          <w:tab/>
        </w:r>
        <w:r w:rsidR="000146DA">
          <w:rPr>
            <w:webHidden/>
          </w:rPr>
          <w:fldChar w:fldCharType="begin"/>
        </w:r>
        <w:r w:rsidR="000146DA">
          <w:rPr>
            <w:webHidden/>
          </w:rPr>
          <w:instrText xml:space="preserve"> PAGEREF _Toc379208176 \h </w:instrText>
        </w:r>
        <w:r w:rsidR="000146DA">
          <w:rPr>
            <w:webHidden/>
          </w:rPr>
        </w:r>
        <w:r w:rsidR="000146DA">
          <w:rPr>
            <w:webHidden/>
          </w:rPr>
          <w:fldChar w:fldCharType="separate"/>
        </w:r>
        <w:r w:rsidR="000146DA">
          <w:rPr>
            <w:webHidden/>
          </w:rPr>
          <w:t>7</w:t>
        </w:r>
        <w:r w:rsidR="000146DA">
          <w:rPr>
            <w:webHidden/>
          </w:rPr>
          <w:fldChar w:fldCharType="end"/>
        </w:r>
      </w:hyperlink>
    </w:p>
    <w:p w14:paraId="0679BC9D" w14:textId="77777777" w:rsidR="000146DA" w:rsidRDefault="00045EEB">
      <w:pPr>
        <w:pStyle w:val="TOC2"/>
        <w:rPr>
          <w:rFonts w:eastAsiaTheme="minorEastAsia"/>
          <w:sz w:val="22"/>
          <w:szCs w:val="22"/>
          <w:lang w:eastAsia="en-AU"/>
        </w:rPr>
      </w:pPr>
      <w:hyperlink w:anchor="_Toc379208177" w:history="1">
        <w:r w:rsidR="000146DA" w:rsidRPr="00397E65">
          <w:rPr>
            <w:rStyle w:val="Hyperlink"/>
          </w:rPr>
          <w:t>2.4</w:t>
        </w:r>
        <w:r w:rsidR="000146DA">
          <w:rPr>
            <w:rFonts w:eastAsiaTheme="minorEastAsia"/>
            <w:sz w:val="22"/>
            <w:szCs w:val="22"/>
            <w:lang w:eastAsia="en-AU"/>
          </w:rPr>
          <w:tab/>
        </w:r>
        <w:r w:rsidR="000146DA" w:rsidRPr="00397E65">
          <w:rPr>
            <w:rStyle w:val="Hyperlink"/>
          </w:rPr>
          <w:t>Parents’ workforce participation</w:t>
        </w:r>
        <w:r w:rsidR="000146DA">
          <w:rPr>
            <w:webHidden/>
          </w:rPr>
          <w:tab/>
        </w:r>
        <w:r w:rsidR="000146DA">
          <w:rPr>
            <w:webHidden/>
          </w:rPr>
          <w:fldChar w:fldCharType="begin"/>
        </w:r>
        <w:r w:rsidR="000146DA">
          <w:rPr>
            <w:webHidden/>
          </w:rPr>
          <w:instrText xml:space="preserve"> PAGEREF _Toc379208177 \h </w:instrText>
        </w:r>
        <w:r w:rsidR="000146DA">
          <w:rPr>
            <w:webHidden/>
          </w:rPr>
        </w:r>
        <w:r w:rsidR="000146DA">
          <w:rPr>
            <w:webHidden/>
          </w:rPr>
          <w:fldChar w:fldCharType="separate"/>
        </w:r>
        <w:r w:rsidR="000146DA">
          <w:rPr>
            <w:webHidden/>
          </w:rPr>
          <w:t>9</w:t>
        </w:r>
        <w:r w:rsidR="000146DA">
          <w:rPr>
            <w:webHidden/>
          </w:rPr>
          <w:fldChar w:fldCharType="end"/>
        </w:r>
      </w:hyperlink>
    </w:p>
    <w:p w14:paraId="07458338" w14:textId="77777777" w:rsidR="000146DA" w:rsidRDefault="00045EEB">
      <w:pPr>
        <w:pStyle w:val="TOC2"/>
        <w:rPr>
          <w:rFonts w:eastAsiaTheme="minorEastAsia"/>
          <w:sz w:val="22"/>
          <w:szCs w:val="22"/>
          <w:lang w:eastAsia="en-AU"/>
        </w:rPr>
      </w:pPr>
      <w:hyperlink w:anchor="_Toc379208178" w:history="1">
        <w:r w:rsidR="000146DA" w:rsidRPr="00397E65">
          <w:rPr>
            <w:rStyle w:val="Hyperlink"/>
          </w:rPr>
          <w:t>2.5</w:t>
        </w:r>
        <w:r w:rsidR="000146DA">
          <w:rPr>
            <w:rFonts w:eastAsiaTheme="minorEastAsia"/>
            <w:sz w:val="22"/>
            <w:szCs w:val="22"/>
            <w:lang w:eastAsia="en-AU"/>
          </w:rPr>
          <w:tab/>
        </w:r>
        <w:r w:rsidR="000146DA" w:rsidRPr="00397E65">
          <w:rPr>
            <w:rStyle w:val="Hyperlink"/>
          </w:rPr>
          <w:t>Long term benefits for children and society</w:t>
        </w:r>
        <w:r w:rsidR="000146DA">
          <w:rPr>
            <w:webHidden/>
          </w:rPr>
          <w:tab/>
        </w:r>
        <w:r w:rsidR="000146DA">
          <w:rPr>
            <w:webHidden/>
          </w:rPr>
          <w:fldChar w:fldCharType="begin"/>
        </w:r>
        <w:r w:rsidR="000146DA">
          <w:rPr>
            <w:webHidden/>
          </w:rPr>
          <w:instrText xml:space="preserve"> PAGEREF _Toc379208178 \h </w:instrText>
        </w:r>
        <w:r w:rsidR="000146DA">
          <w:rPr>
            <w:webHidden/>
          </w:rPr>
        </w:r>
        <w:r w:rsidR="000146DA">
          <w:rPr>
            <w:webHidden/>
          </w:rPr>
          <w:fldChar w:fldCharType="separate"/>
        </w:r>
        <w:r w:rsidR="000146DA">
          <w:rPr>
            <w:webHidden/>
          </w:rPr>
          <w:t>13</w:t>
        </w:r>
        <w:r w:rsidR="000146DA">
          <w:rPr>
            <w:webHidden/>
          </w:rPr>
          <w:fldChar w:fldCharType="end"/>
        </w:r>
      </w:hyperlink>
    </w:p>
    <w:p w14:paraId="10C7A6F5" w14:textId="77777777" w:rsidR="000146DA" w:rsidRDefault="00045EEB">
      <w:pPr>
        <w:pStyle w:val="TOC1"/>
        <w:rPr>
          <w:rFonts w:eastAsiaTheme="minorEastAsia"/>
          <w:b w:val="0"/>
          <w:lang w:eastAsia="en-AU"/>
        </w:rPr>
      </w:pPr>
      <w:hyperlink w:anchor="_Toc379208179" w:history="1">
        <w:r w:rsidR="000146DA" w:rsidRPr="00397E65">
          <w:rPr>
            <w:rStyle w:val="Hyperlink"/>
          </w:rPr>
          <w:t>3</w:t>
        </w:r>
        <w:r w:rsidR="000146DA">
          <w:rPr>
            <w:rFonts w:eastAsiaTheme="minorEastAsia"/>
            <w:b w:val="0"/>
            <w:lang w:eastAsia="en-AU"/>
          </w:rPr>
          <w:tab/>
        </w:r>
        <w:r w:rsidR="000146DA" w:rsidRPr="00397E65">
          <w:rPr>
            <w:rStyle w:val="Hyperlink"/>
          </w:rPr>
          <w:t>Government’s role in child care and early childhood learning</w:t>
        </w:r>
        <w:r w:rsidR="000146DA">
          <w:rPr>
            <w:webHidden/>
          </w:rPr>
          <w:tab/>
        </w:r>
        <w:r w:rsidR="000146DA">
          <w:rPr>
            <w:webHidden/>
          </w:rPr>
          <w:fldChar w:fldCharType="begin"/>
        </w:r>
        <w:r w:rsidR="000146DA">
          <w:rPr>
            <w:webHidden/>
          </w:rPr>
          <w:instrText xml:space="preserve"> PAGEREF _Toc379208179 \h </w:instrText>
        </w:r>
        <w:r w:rsidR="000146DA">
          <w:rPr>
            <w:webHidden/>
          </w:rPr>
        </w:r>
        <w:r w:rsidR="000146DA">
          <w:rPr>
            <w:webHidden/>
          </w:rPr>
          <w:fldChar w:fldCharType="separate"/>
        </w:r>
        <w:r w:rsidR="000146DA">
          <w:rPr>
            <w:webHidden/>
          </w:rPr>
          <w:t>15</w:t>
        </w:r>
        <w:r w:rsidR="000146DA">
          <w:rPr>
            <w:webHidden/>
          </w:rPr>
          <w:fldChar w:fldCharType="end"/>
        </w:r>
      </w:hyperlink>
    </w:p>
    <w:p w14:paraId="565CAD8A" w14:textId="77777777" w:rsidR="000146DA" w:rsidRDefault="00045EEB">
      <w:pPr>
        <w:pStyle w:val="TOC2"/>
        <w:rPr>
          <w:rFonts w:eastAsiaTheme="minorEastAsia"/>
          <w:sz w:val="22"/>
          <w:szCs w:val="22"/>
          <w:lang w:eastAsia="en-AU"/>
        </w:rPr>
      </w:pPr>
      <w:hyperlink w:anchor="_Toc379208180" w:history="1">
        <w:r w:rsidR="000146DA" w:rsidRPr="00397E65">
          <w:rPr>
            <w:rStyle w:val="Hyperlink"/>
          </w:rPr>
          <w:t>3.1</w:t>
        </w:r>
        <w:r w:rsidR="000146DA">
          <w:rPr>
            <w:rFonts w:eastAsiaTheme="minorEastAsia"/>
            <w:sz w:val="22"/>
            <w:szCs w:val="22"/>
            <w:lang w:eastAsia="en-AU"/>
          </w:rPr>
          <w:tab/>
        </w:r>
        <w:r w:rsidR="000146DA" w:rsidRPr="00397E65">
          <w:rPr>
            <w:rStyle w:val="Hyperlink"/>
            <w:lang w:eastAsia="en-AU"/>
          </w:rPr>
          <w:t>Regulation</w:t>
        </w:r>
        <w:r w:rsidR="000146DA">
          <w:rPr>
            <w:webHidden/>
          </w:rPr>
          <w:tab/>
        </w:r>
        <w:r w:rsidR="000146DA">
          <w:rPr>
            <w:webHidden/>
          </w:rPr>
          <w:fldChar w:fldCharType="begin"/>
        </w:r>
        <w:r w:rsidR="000146DA">
          <w:rPr>
            <w:webHidden/>
          </w:rPr>
          <w:instrText xml:space="preserve"> PAGEREF _Toc379208180 \h </w:instrText>
        </w:r>
        <w:r w:rsidR="000146DA">
          <w:rPr>
            <w:webHidden/>
          </w:rPr>
        </w:r>
        <w:r w:rsidR="000146DA">
          <w:rPr>
            <w:webHidden/>
          </w:rPr>
          <w:fldChar w:fldCharType="separate"/>
        </w:r>
        <w:r w:rsidR="000146DA">
          <w:rPr>
            <w:webHidden/>
          </w:rPr>
          <w:t>15</w:t>
        </w:r>
        <w:r w:rsidR="000146DA">
          <w:rPr>
            <w:webHidden/>
          </w:rPr>
          <w:fldChar w:fldCharType="end"/>
        </w:r>
      </w:hyperlink>
    </w:p>
    <w:p w14:paraId="3C7A6B3D" w14:textId="77777777" w:rsidR="000146DA" w:rsidRDefault="00045EEB">
      <w:pPr>
        <w:pStyle w:val="TOC2"/>
        <w:rPr>
          <w:rFonts w:eastAsiaTheme="minorEastAsia"/>
          <w:sz w:val="22"/>
          <w:szCs w:val="22"/>
          <w:lang w:eastAsia="en-AU"/>
        </w:rPr>
      </w:pPr>
      <w:hyperlink w:anchor="_Toc379208181" w:history="1">
        <w:r w:rsidR="000146DA" w:rsidRPr="00397E65">
          <w:rPr>
            <w:rStyle w:val="Hyperlink"/>
          </w:rPr>
          <w:t>3.2</w:t>
        </w:r>
        <w:r w:rsidR="000146DA">
          <w:rPr>
            <w:rFonts w:eastAsiaTheme="minorEastAsia"/>
            <w:sz w:val="22"/>
            <w:szCs w:val="22"/>
            <w:lang w:eastAsia="en-AU"/>
          </w:rPr>
          <w:tab/>
        </w:r>
        <w:r w:rsidR="000146DA" w:rsidRPr="00397E65">
          <w:rPr>
            <w:rStyle w:val="Hyperlink"/>
          </w:rPr>
          <w:t>Funding</w:t>
        </w:r>
        <w:r w:rsidR="000146DA">
          <w:rPr>
            <w:webHidden/>
          </w:rPr>
          <w:tab/>
        </w:r>
        <w:r w:rsidR="000146DA">
          <w:rPr>
            <w:webHidden/>
          </w:rPr>
          <w:fldChar w:fldCharType="begin"/>
        </w:r>
        <w:r w:rsidR="000146DA">
          <w:rPr>
            <w:webHidden/>
          </w:rPr>
          <w:instrText xml:space="preserve"> PAGEREF _Toc379208181 \h </w:instrText>
        </w:r>
        <w:r w:rsidR="000146DA">
          <w:rPr>
            <w:webHidden/>
          </w:rPr>
        </w:r>
        <w:r w:rsidR="000146DA">
          <w:rPr>
            <w:webHidden/>
          </w:rPr>
          <w:fldChar w:fldCharType="separate"/>
        </w:r>
        <w:r w:rsidR="000146DA">
          <w:rPr>
            <w:webHidden/>
          </w:rPr>
          <w:t>16</w:t>
        </w:r>
        <w:r w:rsidR="000146DA">
          <w:rPr>
            <w:webHidden/>
          </w:rPr>
          <w:fldChar w:fldCharType="end"/>
        </w:r>
      </w:hyperlink>
    </w:p>
    <w:p w14:paraId="3F70D069" w14:textId="77777777" w:rsidR="000146DA" w:rsidRDefault="00045EEB">
      <w:pPr>
        <w:pStyle w:val="TOC2"/>
        <w:rPr>
          <w:rFonts w:eastAsiaTheme="minorEastAsia"/>
          <w:sz w:val="22"/>
          <w:szCs w:val="22"/>
          <w:lang w:eastAsia="en-AU"/>
        </w:rPr>
      </w:pPr>
      <w:hyperlink w:anchor="_Toc379208182" w:history="1">
        <w:r w:rsidR="000146DA" w:rsidRPr="00397E65">
          <w:rPr>
            <w:rStyle w:val="Hyperlink"/>
          </w:rPr>
          <w:t>3.3</w:t>
        </w:r>
        <w:r w:rsidR="000146DA">
          <w:rPr>
            <w:rFonts w:eastAsiaTheme="minorEastAsia"/>
            <w:sz w:val="22"/>
            <w:szCs w:val="22"/>
            <w:lang w:eastAsia="en-AU"/>
          </w:rPr>
          <w:tab/>
        </w:r>
        <w:r w:rsidR="000146DA" w:rsidRPr="00397E65">
          <w:rPr>
            <w:rStyle w:val="Hyperlink"/>
          </w:rPr>
          <w:t>Providing information for parents and providers</w:t>
        </w:r>
        <w:r w:rsidR="000146DA">
          <w:rPr>
            <w:webHidden/>
          </w:rPr>
          <w:tab/>
        </w:r>
        <w:r w:rsidR="000146DA">
          <w:rPr>
            <w:webHidden/>
          </w:rPr>
          <w:fldChar w:fldCharType="begin"/>
        </w:r>
        <w:r w:rsidR="000146DA">
          <w:rPr>
            <w:webHidden/>
          </w:rPr>
          <w:instrText xml:space="preserve"> PAGEREF _Toc379208182 \h </w:instrText>
        </w:r>
        <w:r w:rsidR="000146DA">
          <w:rPr>
            <w:webHidden/>
          </w:rPr>
        </w:r>
        <w:r w:rsidR="000146DA">
          <w:rPr>
            <w:webHidden/>
          </w:rPr>
          <w:fldChar w:fldCharType="separate"/>
        </w:r>
        <w:r w:rsidR="000146DA">
          <w:rPr>
            <w:webHidden/>
          </w:rPr>
          <w:t>18</w:t>
        </w:r>
        <w:r w:rsidR="000146DA">
          <w:rPr>
            <w:webHidden/>
          </w:rPr>
          <w:fldChar w:fldCharType="end"/>
        </w:r>
      </w:hyperlink>
    </w:p>
    <w:p w14:paraId="65F83066" w14:textId="77777777" w:rsidR="000146DA" w:rsidRDefault="00045EEB">
      <w:pPr>
        <w:pStyle w:val="TOC2"/>
        <w:rPr>
          <w:rFonts w:eastAsiaTheme="minorEastAsia"/>
          <w:sz w:val="22"/>
          <w:szCs w:val="22"/>
          <w:lang w:eastAsia="en-AU"/>
        </w:rPr>
      </w:pPr>
      <w:hyperlink w:anchor="_Toc379208183" w:history="1">
        <w:r w:rsidR="000146DA" w:rsidRPr="00397E65">
          <w:rPr>
            <w:rStyle w:val="Hyperlink"/>
          </w:rPr>
          <w:t>3.4</w:t>
        </w:r>
        <w:r w:rsidR="000146DA">
          <w:rPr>
            <w:rFonts w:eastAsiaTheme="minorEastAsia"/>
            <w:sz w:val="22"/>
            <w:szCs w:val="22"/>
            <w:lang w:eastAsia="en-AU"/>
          </w:rPr>
          <w:tab/>
        </w:r>
        <w:r w:rsidR="000146DA" w:rsidRPr="00397E65">
          <w:rPr>
            <w:rStyle w:val="Hyperlink"/>
          </w:rPr>
          <w:t>Setting national policies and standards</w:t>
        </w:r>
        <w:r w:rsidR="000146DA">
          <w:rPr>
            <w:webHidden/>
          </w:rPr>
          <w:tab/>
        </w:r>
        <w:r w:rsidR="000146DA">
          <w:rPr>
            <w:webHidden/>
          </w:rPr>
          <w:fldChar w:fldCharType="begin"/>
        </w:r>
        <w:r w:rsidR="000146DA">
          <w:rPr>
            <w:webHidden/>
          </w:rPr>
          <w:instrText xml:space="preserve"> PAGEREF _Toc379208183 \h </w:instrText>
        </w:r>
        <w:r w:rsidR="000146DA">
          <w:rPr>
            <w:webHidden/>
          </w:rPr>
        </w:r>
        <w:r w:rsidR="000146DA">
          <w:rPr>
            <w:webHidden/>
          </w:rPr>
          <w:fldChar w:fldCharType="separate"/>
        </w:r>
        <w:r w:rsidR="000146DA">
          <w:rPr>
            <w:webHidden/>
          </w:rPr>
          <w:t>19</w:t>
        </w:r>
        <w:r w:rsidR="000146DA">
          <w:rPr>
            <w:webHidden/>
          </w:rPr>
          <w:fldChar w:fldCharType="end"/>
        </w:r>
      </w:hyperlink>
    </w:p>
    <w:p w14:paraId="7D65943D" w14:textId="77777777" w:rsidR="000146DA" w:rsidRDefault="00045EEB">
      <w:pPr>
        <w:pStyle w:val="TOC1"/>
        <w:rPr>
          <w:rFonts w:eastAsiaTheme="minorEastAsia"/>
          <w:b w:val="0"/>
          <w:lang w:eastAsia="en-AU"/>
        </w:rPr>
      </w:pPr>
      <w:hyperlink w:anchor="_Toc379208184" w:history="1">
        <w:r w:rsidR="000146DA" w:rsidRPr="00397E65">
          <w:rPr>
            <w:rStyle w:val="Hyperlink"/>
          </w:rPr>
          <w:t>4</w:t>
        </w:r>
        <w:r w:rsidR="000146DA">
          <w:rPr>
            <w:rFonts w:eastAsiaTheme="minorEastAsia"/>
            <w:b w:val="0"/>
            <w:lang w:eastAsia="en-AU"/>
          </w:rPr>
          <w:tab/>
        </w:r>
        <w:r w:rsidR="000146DA" w:rsidRPr="00397E65">
          <w:rPr>
            <w:rStyle w:val="Hyperlink"/>
          </w:rPr>
          <w:t>Key issues for creating a sustainable CCECL system</w:t>
        </w:r>
        <w:r w:rsidR="000146DA">
          <w:rPr>
            <w:webHidden/>
          </w:rPr>
          <w:tab/>
        </w:r>
        <w:r w:rsidR="000146DA">
          <w:rPr>
            <w:webHidden/>
          </w:rPr>
          <w:fldChar w:fldCharType="begin"/>
        </w:r>
        <w:r w:rsidR="000146DA">
          <w:rPr>
            <w:webHidden/>
          </w:rPr>
          <w:instrText xml:space="preserve"> PAGEREF _Toc379208184 \h </w:instrText>
        </w:r>
        <w:r w:rsidR="000146DA">
          <w:rPr>
            <w:webHidden/>
          </w:rPr>
        </w:r>
        <w:r w:rsidR="000146DA">
          <w:rPr>
            <w:webHidden/>
          </w:rPr>
          <w:fldChar w:fldCharType="separate"/>
        </w:r>
        <w:r w:rsidR="000146DA">
          <w:rPr>
            <w:webHidden/>
          </w:rPr>
          <w:t>20</w:t>
        </w:r>
        <w:r w:rsidR="000146DA">
          <w:rPr>
            <w:webHidden/>
          </w:rPr>
          <w:fldChar w:fldCharType="end"/>
        </w:r>
      </w:hyperlink>
    </w:p>
    <w:p w14:paraId="3CF4EA89" w14:textId="77777777" w:rsidR="000146DA" w:rsidRDefault="00045EEB">
      <w:pPr>
        <w:pStyle w:val="TOC2"/>
        <w:rPr>
          <w:rFonts w:eastAsiaTheme="minorEastAsia"/>
          <w:sz w:val="22"/>
          <w:szCs w:val="22"/>
          <w:lang w:eastAsia="en-AU"/>
        </w:rPr>
      </w:pPr>
      <w:hyperlink w:anchor="_Toc379208185" w:history="1">
        <w:r w:rsidR="000146DA" w:rsidRPr="00397E65">
          <w:rPr>
            <w:rStyle w:val="Hyperlink"/>
          </w:rPr>
          <w:t>4.1</w:t>
        </w:r>
        <w:r w:rsidR="000146DA">
          <w:rPr>
            <w:rFonts w:eastAsiaTheme="minorEastAsia"/>
            <w:sz w:val="22"/>
            <w:szCs w:val="22"/>
            <w:lang w:eastAsia="en-AU"/>
          </w:rPr>
          <w:tab/>
        </w:r>
        <w:r w:rsidR="000146DA" w:rsidRPr="00397E65">
          <w:rPr>
            <w:rStyle w:val="Hyperlink"/>
          </w:rPr>
          <w:t>Under or over supply of child care in some communities</w:t>
        </w:r>
        <w:r w:rsidR="000146DA">
          <w:rPr>
            <w:webHidden/>
          </w:rPr>
          <w:tab/>
        </w:r>
        <w:r w:rsidR="000146DA">
          <w:rPr>
            <w:webHidden/>
          </w:rPr>
          <w:fldChar w:fldCharType="begin"/>
        </w:r>
        <w:r w:rsidR="000146DA">
          <w:rPr>
            <w:webHidden/>
          </w:rPr>
          <w:instrText xml:space="preserve"> PAGEREF _Toc379208185 \h </w:instrText>
        </w:r>
        <w:r w:rsidR="000146DA">
          <w:rPr>
            <w:webHidden/>
          </w:rPr>
        </w:r>
        <w:r w:rsidR="000146DA">
          <w:rPr>
            <w:webHidden/>
          </w:rPr>
          <w:fldChar w:fldCharType="separate"/>
        </w:r>
        <w:r w:rsidR="000146DA">
          <w:rPr>
            <w:webHidden/>
          </w:rPr>
          <w:t>20</w:t>
        </w:r>
        <w:r w:rsidR="000146DA">
          <w:rPr>
            <w:webHidden/>
          </w:rPr>
          <w:fldChar w:fldCharType="end"/>
        </w:r>
      </w:hyperlink>
    </w:p>
    <w:p w14:paraId="1AD665B6" w14:textId="77777777" w:rsidR="000146DA" w:rsidRDefault="00045EEB">
      <w:pPr>
        <w:pStyle w:val="TOC2"/>
        <w:rPr>
          <w:rFonts w:eastAsiaTheme="minorEastAsia"/>
          <w:sz w:val="22"/>
          <w:szCs w:val="22"/>
          <w:lang w:eastAsia="en-AU"/>
        </w:rPr>
      </w:pPr>
      <w:hyperlink w:anchor="_Toc379208186" w:history="1">
        <w:r w:rsidR="000146DA" w:rsidRPr="00397E65">
          <w:rPr>
            <w:rStyle w:val="Hyperlink"/>
          </w:rPr>
          <w:t>4.2</w:t>
        </w:r>
        <w:r w:rsidR="000146DA">
          <w:rPr>
            <w:rFonts w:eastAsiaTheme="minorEastAsia"/>
            <w:sz w:val="22"/>
            <w:szCs w:val="22"/>
            <w:lang w:eastAsia="en-AU"/>
          </w:rPr>
          <w:tab/>
        </w:r>
        <w:r w:rsidR="000146DA" w:rsidRPr="00397E65">
          <w:rPr>
            <w:rStyle w:val="Hyperlink"/>
          </w:rPr>
          <w:t>Some families lack sufficient information to make informed decisions</w:t>
        </w:r>
        <w:r w:rsidR="000146DA">
          <w:rPr>
            <w:webHidden/>
          </w:rPr>
          <w:tab/>
        </w:r>
        <w:r w:rsidR="000146DA">
          <w:rPr>
            <w:webHidden/>
          </w:rPr>
          <w:fldChar w:fldCharType="begin"/>
        </w:r>
        <w:r w:rsidR="000146DA">
          <w:rPr>
            <w:webHidden/>
          </w:rPr>
          <w:instrText xml:space="preserve"> PAGEREF _Toc379208186 \h </w:instrText>
        </w:r>
        <w:r w:rsidR="000146DA">
          <w:rPr>
            <w:webHidden/>
          </w:rPr>
        </w:r>
        <w:r w:rsidR="000146DA">
          <w:rPr>
            <w:webHidden/>
          </w:rPr>
          <w:fldChar w:fldCharType="separate"/>
        </w:r>
        <w:r w:rsidR="000146DA">
          <w:rPr>
            <w:webHidden/>
          </w:rPr>
          <w:t>21</w:t>
        </w:r>
        <w:r w:rsidR="000146DA">
          <w:rPr>
            <w:webHidden/>
          </w:rPr>
          <w:fldChar w:fldCharType="end"/>
        </w:r>
      </w:hyperlink>
    </w:p>
    <w:p w14:paraId="2E08A5B9" w14:textId="77777777" w:rsidR="000146DA" w:rsidRDefault="00045EEB">
      <w:pPr>
        <w:pStyle w:val="TOC2"/>
        <w:rPr>
          <w:rFonts w:eastAsiaTheme="minorEastAsia"/>
          <w:sz w:val="22"/>
          <w:szCs w:val="22"/>
          <w:lang w:eastAsia="en-AU"/>
        </w:rPr>
      </w:pPr>
      <w:hyperlink w:anchor="_Toc379208187" w:history="1">
        <w:r w:rsidR="000146DA" w:rsidRPr="00397E65">
          <w:rPr>
            <w:rStyle w:val="Hyperlink"/>
          </w:rPr>
          <w:t>4.3</w:t>
        </w:r>
        <w:r w:rsidR="000146DA">
          <w:rPr>
            <w:rFonts w:eastAsiaTheme="minorEastAsia"/>
            <w:sz w:val="22"/>
            <w:szCs w:val="22"/>
            <w:lang w:eastAsia="en-AU"/>
          </w:rPr>
          <w:tab/>
        </w:r>
        <w:r w:rsidR="000146DA" w:rsidRPr="00397E65">
          <w:rPr>
            <w:rStyle w:val="Hyperlink"/>
          </w:rPr>
          <w:t>Duplication of regulation between levels of government</w:t>
        </w:r>
        <w:r w:rsidR="000146DA">
          <w:rPr>
            <w:webHidden/>
          </w:rPr>
          <w:tab/>
        </w:r>
        <w:r w:rsidR="000146DA">
          <w:rPr>
            <w:webHidden/>
          </w:rPr>
          <w:fldChar w:fldCharType="begin"/>
        </w:r>
        <w:r w:rsidR="000146DA">
          <w:rPr>
            <w:webHidden/>
          </w:rPr>
          <w:instrText xml:space="preserve"> PAGEREF _Toc379208187 \h </w:instrText>
        </w:r>
        <w:r w:rsidR="000146DA">
          <w:rPr>
            <w:webHidden/>
          </w:rPr>
        </w:r>
        <w:r w:rsidR="000146DA">
          <w:rPr>
            <w:webHidden/>
          </w:rPr>
          <w:fldChar w:fldCharType="separate"/>
        </w:r>
        <w:r w:rsidR="000146DA">
          <w:rPr>
            <w:webHidden/>
          </w:rPr>
          <w:t>22</w:t>
        </w:r>
        <w:r w:rsidR="000146DA">
          <w:rPr>
            <w:webHidden/>
          </w:rPr>
          <w:fldChar w:fldCharType="end"/>
        </w:r>
      </w:hyperlink>
    </w:p>
    <w:p w14:paraId="1CCA834D" w14:textId="77777777" w:rsidR="000146DA" w:rsidRDefault="00045EEB">
      <w:pPr>
        <w:pStyle w:val="TOC2"/>
        <w:rPr>
          <w:rFonts w:eastAsiaTheme="minorEastAsia"/>
          <w:sz w:val="22"/>
          <w:szCs w:val="22"/>
          <w:lang w:eastAsia="en-AU"/>
        </w:rPr>
      </w:pPr>
      <w:hyperlink w:anchor="_Toc379208188" w:history="1">
        <w:r w:rsidR="000146DA" w:rsidRPr="00397E65">
          <w:rPr>
            <w:rStyle w:val="Hyperlink"/>
          </w:rPr>
          <w:t>4.4</w:t>
        </w:r>
        <w:r w:rsidR="000146DA">
          <w:rPr>
            <w:rFonts w:eastAsiaTheme="minorEastAsia"/>
            <w:sz w:val="22"/>
            <w:szCs w:val="22"/>
            <w:lang w:eastAsia="en-AU"/>
          </w:rPr>
          <w:tab/>
        </w:r>
        <w:r w:rsidR="000146DA" w:rsidRPr="00397E65">
          <w:rPr>
            <w:rStyle w:val="Hyperlink"/>
          </w:rPr>
          <w:t>Some parents working outside traditional hours can find child care inflexible</w:t>
        </w:r>
        <w:r w:rsidR="000146DA">
          <w:rPr>
            <w:webHidden/>
          </w:rPr>
          <w:tab/>
        </w:r>
        <w:r w:rsidR="000146DA">
          <w:rPr>
            <w:webHidden/>
          </w:rPr>
          <w:fldChar w:fldCharType="begin"/>
        </w:r>
        <w:r w:rsidR="000146DA">
          <w:rPr>
            <w:webHidden/>
          </w:rPr>
          <w:instrText xml:space="preserve"> PAGEREF _Toc379208188 \h </w:instrText>
        </w:r>
        <w:r w:rsidR="000146DA">
          <w:rPr>
            <w:webHidden/>
          </w:rPr>
        </w:r>
        <w:r w:rsidR="000146DA">
          <w:rPr>
            <w:webHidden/>
          </w:rPr>
          <w:fldChar w:fldCharType="separate"/>
        </w:r>
        <w:r w:rsidR="000146DA">
          <w:rPr>
            <w:webHidden/>
          </w:rPr>
          <w:t>23</w:t>
        </w:r>
        <w:r w:rsidR="000146DA">
          <w:rPr>
            <w:webHidden/>
          </w:rPr>
          <w:fldChar w:fldCharType="end"/>
        </w:r>
      </w:hyperlink>
    </w:p>
    <w:p w14:paraId="201BD354" w14:textId="77777777" w:rsidR="000146DA" w:rsidRDefault="00045EEB">
      <w:pPr>
        <w:pStyle w:val="TOC2"/>
        <w:rPr>
          <w:rFonts w:eastAsiaTheme="minorEastAsia"/>
          <w:sz w:val="22"/>
          <w:szCs w:val="22"/>
          <w:lang w:eastAsia="en-AU"/>
        </w:rPr>
      </w:pPr>
      <w:hyperlink w:anchor="_Toc379208189" w:history="1">
        <w:r w:rsidR="000146DA" w:rsidRPr="00397E65">
          <w:rPr>
            <w:rStyle w:val="Hyperlink"/>
          </w:rPr>
          <w:t>4.5</w:t>
        </w:r>
        <w:r w:rsidR="000146DA">
          <w:rPr>
            <w:rFonts w:eastAsiaTheme="minorEastAsia"/>
            <w:sz w:val="22"/>
            <w:szCs w:val="22"/>
            <w:lang w:eastAsia="en-AU"/>
          </w:rPr>
          <w:tab/>
        </w:r>
        <w:r w:rsidR="000146DA" w:rsidRPr="00397E65">
          <w:rPr>
            <w:rStyle w:val="Hyperlink"/>
          </w:rPr>
          <w:t>Some families find the cost of child care an issue</w:t>
        </w:r>
        <w:r w:rsidR="000146DA">
          <w:rPr>
            <w:webHidden/>
          </w:rPr>
          <w:tab/>
        </w:r>
        <w:r w:rsidR="000146DA">
          <w:rPr>
            <w:webHidden/>
          </w:rPr>
          <w:fldChar w:fldCharType="begin"/>
        </w:r>
        <w:r w:rsidR="000146DA">
          <w:rPr>
            <w:webHidden/>
          </w:rPr>
          <w:instrText xml:space="preserve"> PAGEREF _Toc379208189 \h </w:instrText>
        </w:r>
        <w:r w:rsidR="000146DA">
          <w:rPr>
            <w:webHidden/>
          </w:rPr>
        </w:r>
        <w:r w:rsidR="000146DA">
          <w:rPr>
            <w:webHidden/>
          </w:rPr>
          <w:fldChar w:fldCharType="separate"/>
        </w:r>
        <w:r w:rsidR="000146DA">
          <w:rPr>
            <w:webHidden/>
          </w:rPr>
          <w:t>24</w:t>
        </w:r>
        <w:r w:rsidR="000146DA">
          <w:rPr>
            <w:webHidden/>
          </w:rPr>
          <w:fldChar w:fldCharType="end"/>
        </w:r>
      </w:hyperlink>
    </w:p>
    <w:p w14:paraId="6686F363" w14:textId="77777777" w:rsidR="000146DA" w:rsidRDefault="00045EEB">
      <w:pPr>
        <w:pStyle w:val="TOC2"/>
        <w:rPr>
          <w:rFonts w:eastAsiaTheme="minorEastAsia"/>
          <w:sz w:val="22"/>
          <w:szCs w:val="22"/>
          <w:lang w:eastAsia="en-AU"/>
        </w:rPr>
      </w:pPr>
      <w:hyperlink w:anchor="_Toc379208190" w:history="1">
        <w:r w:rsidR="000146DA" w:rsidRPr="00397E65">
          <w:rPr>
            <w:rStyle w:val="Hyperlink"/>
          </w:rPr>
          <w:t>4.6</w:t>
        </w:r>
        <w:r w:rsidR="000146DA">
          <w:rPr>
            <w:rFonts w:eastAsiaTheme="minorEastAsia"/>
            <w:sz w:val="22"/>
            <w:szCs w:val="22"/>
            <w:lang w:eastAsia="en-AU"/>
          </w:rPr>
          <w:tab/>
        </w:r>
        <w:r w:rsidR="000146DA" w:rsidRPr="00397E65">
          <w:rPr>
            <w:rStyle w:val="Hyperlink"/>
          </w:rPr>
          <w:t>Australian Government expenditure should be sustainable</w:t>
        </w:r>
        <w:r w:rsidR="000146DA">
          <w:rPr>
            <w:webHidden/>
          </w:rPr>
          <w:tab/>
        </w:r>
        <w:r w:rsidR="000146DA">
          <w:rPr>
            <w:webHidden/>
          </w:rPr>
          <w:fldChar w:fldCharType="begin"/>
        </w:r>
        <w:r w:rsidR="000146DA">
          <w:rPr>
            <w:webHidden/>
          </w:rPr>
          <w:instrText xml:space="preserve"> PAGEREF _Toc379208190 \h </w:instrText>
        </w:r>
        <w:r w:rsidR="000146DA">
          <w:rPr>
            <w:webHidden/>
          </w:rPr>
        </w:r>
        <w:r w:rsidR="000146DA">
          <w:rPr>
            <w:webHidden/>
          </w:rPr>
          <w:fldChar w:fldCharType="separate"/>
        </w:r>
        <w:r w:rsidR="000146DA">
          <w:rPr>
            <w:webHidden/>
          </w:rPr>
          <w:t>27</w:t>
        </w:r>
        <w:r w:rsidR="000146DA">
          <w:rPr>
            <w:webHidden/>
          </w:rPr>
          <w:fldChar w:fldCharType="end"/>
        </w:r>
      </w:hyperlink>
    </w:p>
    <w:p w14:paraId="62340DCE" w14:textId="77777777" w:rsidR="000146DA" w:rsidRDefault="00045EEB">
      <w:pPr>
        <w:pStyle w:val="TOC2"/>
        <w:rPr>
          <w:rFonts w:eastAsiaTheme="minorEastAsia"/>
          <w:sz w:val="22"/>
          <w:szCs w:val="22"/>
          <w:lang w:eastAsia="en-AU"/>
        </w:rPr>
      </w:pPr>
      <w:hyperlink w:anchor="_Toc379208191" w:history="1">
        <w:r w:rsidR="000146DA" w:rsidRPr="00397E65">
          <w:rPr>
            <w:rStyle w:val="Hyperlink"/>
          </w:rPr>
          <w:t>4.7</w:t>
        </w:r>
        <w:r w:rsidR="000146DA">
          <w:rPr>
            <w:rFonts w:eastAsiaTheme="minorEastAsia"/>
            <w:sz w:val="22"/>
            <w:szCs w:val="22"/>
            <w:lang w:eastAsia="en-AU"/>
          </w:rPr>
          <w:tab/>
        </w:r>
        <w:r w:rsidR="000146DA" w:rsidRPr="00397E65">
          <w:rPr>
            <w:rStyle w:val="Hyperlink"/>
          </w:rPr>
          <w:t>Efficiency and effectiveness of government programmes</w:t>
        </w:r>
        <w:r w:rsidR="000146DA">
          <w:rPr>
            <w:webHidden/>
          </w:rPr>
          <w:tab/>
        </w:r>
        <w:r w:rsidR="000146DA">
          <w:rPr>
            <w:webHidden/>
          </w:rPr>
          <w:fldChar w:fldCharType="begin"/>
        </w:r>
        <w:r w:rsidR="000146DA">
          <w:rPr>
            <w:webHidden/>
          </w:rPr>
          <w:instrText xml:space="preserve"> PAGEREF _Toc379208191 \h </w:instrText>
        </w:r>
        <w:r w:rsidR="000146DA">
          <w:rPr>
            <w:webHidden/>
          </w:rPr>
        </w:r>
        <w:r w:rsidR="000146DA">
          <w:rPr>
            <w:webHidden/>
          </w:rPr>
          <w:fldChar w:fldCharType="separate"/>
        </w:r>
        <w:r w:rsidR="000146DA">
          <w:rPr>
            <w:webHidden/>
          </w:rPr>
          <w:t>27</w:t>
        </w:r>
        <w:r w:rsidR="000146DA">
          <w:rPr>
            <w:webHidden/>
          </w:rPr>
          <w:fldChar w:fldCharType="end"/>
        </w:r>
      </w:hyperlink>
    </w:p>
    <w:p w14:paraId="020286CF" w14:textId="77777777" w:rsidR="000146DA" w:rsidRDefault="00045EEB">
      <w:pPr>
        <w:pStyle w:val="TOC1"/>
        <w:rPr>
          <w:rFonts w:eastAsiaTheme="minorEastAsia"/>
          <w:b w:val="0"/>
          <w:lang w:eastAsia="en-AU"/>
        </w:rPr>
      </w:pPr>
      <w:hyperlink w:anchor="_Toc379208192" w:history="1">
        <w:r w:rsidR="000146DA" w:rsidRPr="00397E65">
          <w:rPr>
            <w:rStyle w:val="Hyperlink"/>
          </w:rPr>
          <w:t>Appendices</w:t>
        </w:r>
        <w:r w:rsidR="000146DA">
          <w:rPr>
            <w:webHidden/>
          </w:rPr>
          <w:tab/>
        </w:r>
        <w:r w:rsidR="000146DA">
          <w:rPr>
            <w:webHidden/>
          </w:rPr>
          <w:fldChar w:fldCharType="begin"/>
        </w:r>
        <w:r w:rsidR="000146DA">
          <w:rPr>
            <w:webHidden/>
          </w:rPr>
          <w:instrText xml:space="preserve"> PAGEREF _Toc379208192 \h </w:instrText>
        </w:r>
        <w:r w:rsidR="000146DA">
          <w:rPr>
            <w:webHidden/>
          </w:rPr>
        </w:r>
        <w:r w:rsidR="000146DA">
          <w:rPr>
            <w:webHidden/>
          </w:rPr>
          <w:fldChar w:fldCharType="separate"/>
        </w:r>
        <w:r w:rsidR="000146DA">
          <w:rPr>
            <w:webHidden/>
          </w:rPr>
          <w:t>29</w:t>
        </w:r>
        <w:r w:rsidR="000146DA">
          <w:rPr>
            <w:webHidden/>
          </w:rPr>
          <w:fldChar w:fldCharType="end"/>
        </w:r>
      </w:hyperlink>
    </w:p>
    <w:p w14:paraId="35FA670D" w14:textId="77777777" w:rsidR="000146DA" w:rsidRDefault="00045EEB">
      <w:pPr>
        <w:pStyle w:val="TOC2"/>
        <w:rPr>
          <w:rFonts w:eastAsiaTheme="minorEastAsia"/>
          <w:sz w:val="22"/>
          <w:szCs w:val="22"/>
          <w:lang w:eastAsia="en-AU"/>
        </w:rPr>
      </w:pPr>
      <w:hyperlink w:anchor="_Toc379208193" w:history="1">
        <w:r w:rsidR="000146DA" w:rsidRPr="00397E65">
          <w:rPr>
            <w:rStyle w:val="Hyperlink"/>
          </w:rPr>
          <w:t>Appendix 1: Australian government roles, policies and programmes</w:t>
        </w:r>
        <w:r w:rsidR="000146DA">
          <w:rPr>
            <w:webHidden/>
          </w:rPr>
          <w:tab/>
        </w:r>
        <w:r w:rsidR="000146DA">
          <w:rPr>
            <w:webHidden/>
          </w:rPr>
          <w:fldChar w:fldCharType="begin"/>
        </w:r>
        <w:r w:rsidR="000146DA">
          <w:rPr>
            <w:webHidden/>
          </w:rPr>
          <w:instrText xml:space="preserve"> PAGEREF _Toc379208193 \h </w:instrText>
        </w:r>
        <w:r w:rsidR="000146DA">
          <w:rPr>
            <w:webHidden/>
          </w:rPr>
        </w:r>
        <w:r w:rsidR="000146DA">
          <w:rPr>
            <w:webHidden/>
          </w:rPr>
          <w:fldChar w:fldCharType="separate"/>
        </w:r>
        <w:r w:rsidR="000146DA">
          <w:rPr>
            <w:webHidden/>
          </w:rPr>
          <w:t>29</w:t>
        </w:r>
        <w:r w:rsidR="000146DA">
          <w:rPr>
            <w:webHidden/>
          </w:rPr>
          <w:fldChar w:fldCharType="end"/>
        </w:r>
      </w:hyperlink>
    </w:p>
    <w:p w14:paraId="62502BE0" w14:textId="77777777" w:rsidR="000146DA" w:rsidRDefault="00045EEB">
      <w:pPr>
        <w:pStyle w:val="TOC2"/>
        <w:rPr>
          <w:rFonts w:eastAsiaTheme="minorEastAsia"/>
          <w:sz w:val="22"/>
          <w:szCs w:val="22"/>
          <w:lang w:eastAsia="en-AU"/>
        </w:rPr>
      </w:pPr>
      <w:hyperlink w:anchor="_Toc379208194" w:history="1">
        <w:r w:rsidR="000146DA" w:rsidRPr="00397E65">
          <w:rPr>
            <w:rStyle w:val="Hyperlink"/>
          </w:rPr>
          <w:t>Appendix 2: Further details on child care subsidies</w:t>
        </w:r>
        <w:r w:rsidR="000146DA">
          <w:rPr>
            <w:webHidden/>
          </w:rPr>
          <w:tab/>
        </w:r>
        <w:r w:rsidR="000146DA">
          <w:rPr>
            <w:webHidden/>
          </w:rPr>
          <w:fldChar w:fldCharType="begin"/>
        </w:r>
        <w:r w:rsidR="000146DA">
          <w:rPr>
            <w:webHidden/>
          </w:rPr>
          <w:instrText xml:space="preserve"> PAGEREF _Toc379208194 \h </w:instrText>
        </w:r>
        <w:r w:rsidR="000146DA">
          <w:rPr>
            <w:webHidden/>
          </w:rPr>
        </w:r>
        <w:r w:rsidR="000146DA">
          <w:rPr>
            <w:webHidden/>
          </w:rPr>
          <w:fldChar w:fldCharType="separate"/>
        </w:r>
        <w:r w:rsidR="000146DA">
          <w:rPr>
            <w:webHidden/>
          </w:rPr>
          <w:t>40</w:t>
        </w:r>
        <w:r w:rsidR="000146DA">
          <w:rPr>
            <w:webHidden/>
          </w:rPr>
          <w:fldChar w:fldCharType="end"/>
        </w:r>
      </w:hyperlink>
    </w:p>
    <w:p w14:paraId="04969C1E" w14:textId="77777777" w:rsidR="001B1A83" w:rsidRPr="00DD2634" w:rsidRDefault="00605A89" w:rsidP="00381744">
      <w:pPr>
        <w:pStyle w:val="NormalNumbered"/>
        <w:numPr>
          <w:ilvl w:val="0"/>
          <w:numId w:val="0"/>
        </w:numPr>
        <w:ind w:left="720"/>
      </w:pPr>
      <w:r w:rsidRPr="00DD2634">
        <w:fldChar w:fldCharType="end"/>
      </w:r>
    </w:p>
    <w:p w14:paraId="04969C1F" w14:textId="77777777" w:rsidR="00457489" w:rsidRPr="00DD2634" w:rsidRDefault="001E1DD2" w:rsidP="005474DF">
      <w:pPr>
        <w:pStyle w:val="Heading1unnumbered"/>
        <w:pageBreakBefore w:val="0"/>
      </w:pPr>
      <w:r w:rsidRPr="00DD2634">
        <w:tab/>
      </w:r>
      <w:bookmarkStart w:id="4" w:name="_Toc372967001"/>
      <w:bookmarkStart w:id="5" w:name="_Toc373221242"/>
      <w:bookmarkStart w:id="6" w:name="_Toc377217307"/>
      <w:bookmarkStart w:id="7" w:name="_Toc379208169"/>
      <w:r w:rsidR="004409CB" w:rsidRPr="00DD2634">
        <w:t>T</w:t>
      </w:r>
      <w:r w:rsidR="004F0454" w:rsidRPr="00DD2634">
        <w:t>ables</w:t>
      </w:r>
      <w:bookmarkEnd w:id="4"/>
      <w:bookmarkEnd w:id="5"/>
      <w:bookmarkEnd w:id="6"/>
      <w:bookmarkEnd w:id="7"/>
    </w:p>
    <w:p w14:paraId="5D9F8CEB" w14:textId="77777777" w:rsidR="000146DA" w:rsidRDefault="005C16C9">
      <w:pPr>
        <w:pStyle w:val="TableofFigures"/>
        <w:rPr>
          <w:rFonts w:eastAsiaTheme="minorEastAsia"/>
          <w:sz w:val="22"/>
          <w:lang w:eastAsia="en-AU"/>
        </w:rPr>
      </w:pPr>
      <w:r w:rsidRPr="00DD2634">
        <w:rPr>
          <w:rStyle w:val="Hyperlink"/>
        </w:rPr>
        <w:fldChar w:fldCharType="begin"/>
      </w:r>
      <w:r w:rsidRPr="00DD2634">
        <w:rPr>
          <w:rStyle w:val="Hyperlink"/>
        </w:rPr>
        <w:instrText xml:space="preserve"> TOC \h \z \c "Table" </w:instrText>
      </w:r>
      <w:r w:rsidRPr="00DD2634">
        <w:rPr>
          <w:rStyle w:val="Hyperlink"/>
        </w:rPr>
        <w:fldChar w:fldCharType="separate"/>
      </w:r>
      <w:hyperlink w:anchor="_Toc379208195" w:history="1">
        <w:r w:rsidR="000146DA" w:rsidRPr="00C64EAC">
          <w:rPr>
            <w:rStyle w:val="Hyperlink"/>
          </w:rPr>
          <w:t>Table 1: Child Care: Children, Families, Hours and Services, June quarter 2013</w:t>
        </w:r>
        <w:r w:rsidR="000146DA">
          <w:rPr>
            <w:webHidden/>
          </w:rPr>
          <w:tab/>
        </w:r>
        <w:r w:rsidR="000146DA">
          <w:rPr>
            <w:webHidden/>
          </w:rPr>
          <w:fldChar w:fldCharType="begin"/>
        </w:r>
        <w:r w:rsidR="000146DA">
          <w:rPr>
            <w:webHidden/>
          </w:rPr>
          <w:instrText xml:space="preserve"> PAGEREF _Toc379208195 \h </w:instrText>
        </w:r>
        <w:r w:rsidR="000146DA">
          <w:rPr>
            <w:webHidden/>
          </w:rPr>
        </w:r>
        <w:r w:rsidR="000146DA">
          <w:rPr>
            <w:webHidden/>
          </w:rPr>
          <w:fldChar w:fldCharType="separate"/>
        </w:r>
        <w:r w:rsidR="000146DA">
          <w:rPr>
            <w:webHidden/>
          </w:rPr>
          <w:t>9</w:t>
        </w:r>
        <w:r w:rsidR="000146DA">
          <w:rPr>
            <w:webHidden/>
          </w:rPr>
          <w:fldChar w:fldCharType="end"/>
        </w:r>
      </w:hyperlink>
    </w:p>
    <w:p w14:paraId="4CEDEFC2" w14:textId="77777777" w:rsidR="000146DA" w:rsidRDefault="00045EEB">
      <w:pPr>
        <w:pStyle w:val="TableofFigures"/>
        <w:rPr>
          <w:rFonts w:eastAsiaTheme="minorEastAsia"/>
          <w:sz w:val="22"/>
          <w:lang w:eastAsia="en-AU"/>
        </w:rPr>
      </w:pPr>
      <w:hyperlink w:anchor="_Toc379208196" w:history="1">
        <w:r w:rsidR="000146DA" w:rsidRPr="00C64EAC">
          <w:rPr>
            <w:rStyle w:val="Hyperlink"/>
          </w:rPr>
          <w:t>Table 2: Preschool participation in the year before school (August 2012)</w:t>
        </w:r>
        <w:r w:rsidR="000146DA">
          <w:rPr>
            <w:webHidden/>
          </w:rPr>
          <w:tab/>
        </w:r>
        <w:r w:rsidR="000146DA">
          <w:rPr>
            <w:webHidden/>
          </w:rPr>
          <w:fldChar w:fldCharType="begin"/>
        </w:r>
        <w:r w:rsidR="000146DA">
          <w:rPr>
            <w:webHidden/>
          </w:rPr>
          <w:instrText xml:space="preserve"> PAGEREF _Toc379208196 \h </w:instrText>
        </w:r>
        <w:r w:rsidR="000146DA">
          <w:rPr>
            <w:webHidden/>
          </w:rPr>
        </w:r>
        <w:r w:rsidR="000146DA">
          <w:rPr>
            <w:webHidden/>
          </w:rPr>
          <w:fldChar w:fldCharType="separate"/>
        </w:r>
        <w:r w:rsidR="000146DA">
          <w:rPr>
            <w:webHidden/>
          </w:rPr>
          <w:t>9</w:t>
        </w:r>
        <w:r w:rsidR="000146DA">
          <w:rPr>
            <w:webHidden/>
          </w:rPr>
          <w:fldChar w:fldCharType="end"/>
        </w:r>
      </w:hyperlink>
    </w:p>
    <w:p w14:paraId="5F13BDE4" w14:textId="77777777" w:rsidR="000146DA" w:rsidRDefault="00045EEB">
      <w:pPr>
        <w:pStyle w:val="TableofFigures"/>
        <w:rPr>
          <w:rFonts w:eastAsiaTheme="minorEastAsia"/>
          <w:sz w:val="22"/>
          <w:lang w:eastAsia="en-AU"/>
        </w:rPr>
      </w:pPr>
      <w:hyperlink w:anchor="_Toc379208197" w:history="1">
        <w:r w:rsidR="000146DA" w:rsidRPr="00C64EAC">
          <w:rPr>
            <w:rStyle w:val="Hyperlink"/>
          </w:rPr>
          <w:t>Table 3: Participation of various groups of women</w:t>
        </w:r>
        <w:r w:rsidR="000146DA">
          <w:rPr>
            <w:webHidden/>
          </w:rPr>
          <w:tab/>
        </w:r>
        <w:r w:rsidR="000146DA">
          <w:rPr>
            <w:webHidden/>
          </w:rPr>
          <w:fldChar w:fldCharType="begin"/>
        </w:r>
        <w:r w:rsidR="000146DA">
          <w:rPr>
            <w:webHidden/>
          </w:rPr>
          <w:instrText xml:space="preserve"> PAGEREF _Toc379208197 \h </w:instrText>
        </w:r>
        <w:r w:rsidR="000146DA">
          <w:rPr>
            <w:webHidden/>
          </w:rPr>
        </w:r>
        <w:r w:rsidR="000146DA">
          <w:rPr>
            <w:webHidden/>
          </w:rPr>
          <w:fldChar w:fldCharType="separate"/>
        </w:r>
        <w:r w:rsidR="000146DA">
          <w:rPr>
            <w:webHidden/>
          </w:rPr>
          <w:t>10</w:t>
        </w:r>
        <w:r w:rsidR="000146DA">
          <w:rPr>
            <w:webHidden/>
          </w:rPr>
          <w:fldChar w:fldCharType="end"/>
        </w:r>
      </w:hyperlink>
    </w:p>
    <w:p w14:paraId="04969C23" w14:textId="77777777" w:rsidR="004409CB" w:rsidRPr="00DD2634" w:rsidRDefault="005C16C9" w:rsidP="00337EBF">
      <w:pPr>
        <w:pStyle w:val="TableofFigures"/>
      </w:pPr>
      <w:r w:rsidRPr="00DD2634">
        <w:rPr>
          <w:rStyle w:val="Hyperlink"/>
        </w:rPr>
        <w:fldChar w:fldCharType="end"/>
      </w:r>
    </w:p>
    <w:p w14:paraId="04969C24" w14:textId="77777777" w:rsidR="00754A3A" w:rsidRPr="00DD2634" w:rsidRDefault="00754A3A" w:rsidP="005474DF">
      <w:pPr>
        <w:pStyle w:val="Heading1unnumbered"/>
        <w:pageBreakBefore w:val="0"/>
      </w:pPr>
      <w:r w:rsidRPr="00DD2634">
        <w:tab/>
      </w:r>
      <w:bookmarkStart w:id="8" w:name="_Toc379208170"/>
      <w:r w:rsidRPr="00DD2634">
        <w:t>Figures</w:t>
      </w:r>
      <w:bookmarkEnd w:id="8"/>
    </w:p>
    <w:p w14:paraId="6945AA31" w14:textId="77777777" w:rsidR="000146DA" w:rsidRDefault="004409CB">
      <w:pPr>
        <w:pStyle w:val="TableofFigures"/>
        <w:rPr>
          <w:rFonts w:eastAsiaTheme="minorEastAsia"/>
          <w:sz w:val="22"/>
          <w:lang w:eastAsia="en-AU"/>
        </w:rPr>
      </w:pPr>
      <w:r w:rsidRPr="00DD2634">
        <w:fldChar w:fldCharType="begin"/>
      </w:r>
      <w:r w:rsidRPr="00DD2634">
        <w:instrText xml:space="preserve"> TOC \h \z \c "Figure" </w:instrText>
      </w:r>
      <w:r w:rsidRPr="00DD2634">
        <w:fldChar w:fldCharType="separate"/>
      </w:r>
      <w:hyperlink w:anchor="_Toc379208198" w:history="1">
        <w:r w:rsidR="000146DA" w:rsidRPr="001F5E1C">
          <w:rPr>
            <w:rStyle w:val="Hyperlink"/>
          </w:rPr>
          <w:t>Figure 1: Barriers and incentives to labour force participation for women, 2012-13</w:t>
        </w:r>
        <w:r w:rsidR="000146DA">
          <w:rPr>
            <w:webHidden/>
          </w:rPr>
          <w:tab/>
        </w:r>
        <w:r w:rsidR="000146DA">
          <w:rPr>
            <w:webHidden/>
          </w:rPr>
          <w:fldChar w:fldCharType="begin"/>
        </w:r>
        <w:r w:rsidR="000146DA">
          <w:rPr>
            <w:webHidden/>
          </w:rPr>
          <w:instrText xml:space="preserve"> PAGEREF _Toc379208198 \h </w:instrText>
        </w:r>
        <w:r w:rsidR="000146DA">
          <w:rPr>
            <w:webHidden/>
          </w:rPr>
        </w:r>
        <w:r w:rsidR="000146DA">
          <w:rPr>
            <w:webHidden/>
          </w:rPr>
          <w:fldChar w:fldCharType="separate"/>
        </w:r>
        <w:r w:rsidR="000146DA">
          <w:rPr>
            <w:webHidden/>
          </w:rPr>
          <w:t>12</w:t>
        </w:r>
        <w:r w:rsidR="000146DA">
          <w:rPr>
            <w:webHidden/>
          </w:rPr>
          <w:fldChar w:fldCharType="end"/>
        </w:r>
      </w:hyperlink>
    </w:p>
    <w:p w14:paraId="309F0AF2" w14:textId="77777777" w:rsidR="000146DA" w:rsidRDefault="00045EEB">
      <w:pPr>
        <w:pStyle w:val="TableofFigures"/>
        <w:rPr>
          <w:rFonts w:eastAsiaTheme="minorEastAsia"/>
          <w:sz w:val="22"/>
          <w:lang w:eastAsia="en-AU"/>
        </w:rPr>
      </w:pPr>
      <w:hyperlink w:anchor="_Toc379208199" w:history="1">
        <w:r w:rsidR="000146DA" w:rsidRPr="001F5E1C">
          <w:rPr>
            <w:rStyle w:val="Hyperlink"/>
          </w:rPr>
          <w:t>Figure 2: Australian Government CCECL outlays, 2003-04 to 2016-17 ($000)</w:t>
        </w:r>
        <w:r w:rsidR="000146DA">
          <w:rPr>
            <w:webHidden/>
          </w:rPr>
          <w:tab/>
        </w:r>
        <w:r w:rsidR="000146DA">
          <w:rPr>
            <w:webHidden/>
          </w:rPr>
          <w:fldChar w:fldCharType="begin"/>
        </w:r>
        <w:r w:rsidR="000146DA">
          <w:rPr>
            <w:webHidden/>
          </w:rPr>
          <w:instrText xml:space="preserve"> PAGEREF _Toc379208199 \h </w:instrText>
        </w:r>
        <w:r w:rsidR="000146DA">
          <w:rPr>
            <w:webHidden/>
          </w:rPr>
        </w:r>
        <w:r w:rsidR="000146DA">
          <w:rPr>
            <w:webHidden/>
          </w:rPr>
          <w:fldChar w:fldCharType="separate"/>
        </w:r>
        <w:r w:rsidR="000146DA">
          <w:rPr>
            <w:webHidden/>
          </w:rPr>
          <w:t>17</w:t>
        </w:r>
        <w:r w:rsidR="000146DA">
          <w:rPr>
            <w:webHidden/>
          </w:rPr>
          <w:fldChar w:fldCharType="end"/>
        </w:r>
      </w:hyperlink>
    </w:p>
    <w:p w14:paraId="6073A407" w14:textId="77777777" w:rsidR="000146DA" w:rsidRDefault="00045EEB">
      <w:pPr>
        <w:pStyle w:val="TableofFigures"/>
        <w:rPr>
          <w:rFonts w:eastAsiaTheme="minorEastAsia"/>
          <w:sz w:val="22"/>
          <w:lang w:eastAsia="en-AU"/>
        </w:rPr>
      </w:pPr>
      <w:hyperlink w:anchor="_Toc379208200" w:history="1">
        <w:r w:rsidR="000146DA" w:rsidRPr="001F5E1C">
          <w:rPr>
            <w:rStyle w:val="Hyperlink"/>
          </w:rPr>
          <w:t>Figure 3: Couple family, one child in LDC, 10 hours per day, fee $7.40 per hour</w:t>
        </w:r>
        <w:r w:rsidR="000146DA">
          <w:rPr>
            <w:webHidden/>
          </w:rPr>
          <w:tab/>
        </w:r>
        <w:r w:rsidR="000146DA">
          <w:rPr>
            <w:webHidden/>
          </w:rPr>
          <w:fldChar w:fldCharType="begin"/>
        </w:r>
        <w:r w:rsidR="000146DA">
          <w:rPr>
            <w:webHidden/>
          </w:rPr>
          <w:instrText xml:space="preserve"> PAGEREF _Toc379208200 \h </w:instrText>
        </w:r>
        <w:r w:rsidR="000146DA">
          <w:rPr>
            <w:webHidden/>
          </w:rPr>
        </w:r>
        <w:r w:rsidR="000146DA">
          <w:rPr>
            <w:webHidden/>
          </w:rPr>
          <w:fldChar w:fldCharType="separate"/>
        </w:r>
        <w:r w:rsidR="000146DA">
          <w:rPr>
            <w:webHidden/>
          </w:rPr>
          <w:t>26</w:t>
        </w:r>
        <w:r w:rsidR="000146DA">
          <w:rPr>
            <w:webHidden/>
          </w:rPr>
          <w:fldChar w:fldCharType="end"/>
        </w:r>
      </w:hyperlink>
    </w:p>
    <w:p w14:paraId="4F6890A3" w14:textId="77777777" w:rsidR="000146DA" w:rsidRDefault="00045EEB">
      <w:pPr>
        <w:pStyle w:val="TableofFigures"/>
        <w:rPr>
          <w:rFonts w:eastAsiaTheme="minorEastAsia"/>
          <w:sz w:val="22"/>
          <w:lang w:eastAsia="en-AU"/>
        </w:rPr>
      </w:pPr>
      <w:hyperlink w:anchor="_Toc379208201" w:history="1">
        <w:r w:rsidR="000146DA" w:rsidRPr="001F5E1C">
          <w:rPr>
            <w:rStyle w:val="Hyperlink"/>
          </w:rPr>
          <w:t>Figure 4: Couple family, two children in LDC, 10 hours per day, fee $7.40 per hour</w:t>
        </w:r>
        <w:r w:rsidR="000146DA">
          <w:rPr>
            <w:webHidden/>
          </w:rPr>
          <w:tab/>
        </w:r>
        <w:r w:rsidR="000146DA">
          <w:rPr>
            <w:webHidden/>
          </w:rPr>
          <w:fldChar w:fldCharType="begin"/>
        </w:r>
        <w:r w:rsidR="000146DA">
          <w:rPr>
            <w:webHidden/>
          </w:rPr>
          <w:instrText xml:space="preserve"> PAGEREF _Toc379208201 \h </w:instrText>
        </w:r>
        <w:r w:rsidR="000146DA">
          <w:rPr>
            <w:webHidden/>
          </w:rPr>
        </w:r>
        <w:r w:rsidR="000146DA">
          <w:rPr>
            <w:webHidden/>
          </w:rPr>
          <w:fldChar w:fldCharType="separate"/>
        </w:r>
        <w:r w:rsidR="000146DA">
          <w:rPr>
            <w:webHidden/>
          </w:rPr>
          <w:t>26</w:t>
        </w:r>
        <w:r w:rsidR="000146DA">
          <w:rPr>
            <w:webHidden/>
          </w:rPr>
          <w:fldChar w:fldCharType="end"/>
        </w:r>
      </w:hyperlink>
    </w:p>
    <w:p w14:paraId="04969C28" w14:textId="77777777" w:rsidR="00CF4721" w:rsidRPr="00DD2634" w:rsidRDefault="004409CB" w:rsidP="00DA3D8A">
      <w:pPr>
        <w:tabs>
          <w:tab w:val="right" w:leader="dot" w:pos="7938"/>
        </w:tabs>
        <w:ind w:right="-2"/>
      </w:pPr>
      <w:r w:rsidRPr="00DD2634">
        <w:fldChar w:fldCharType="end"/>
      </w:r>
    </w:p>
    <w:p w14:paraId="4CFE11FC" w14:textId="2317ADF1" w:rsidR="00367BC9" w:rsidRPr="00DD2634" w:rsidRDefault="00367BC9">
      <w:r w:rsidRPr="00DD2634">
        <w:br w:type="page"/>
      </w:r>
    </w:p>
    <w:p w14:paraId="57AF2E3D" w14:textId="548942C6" w:rsidR="00367BC9" w:rsidRPr="00DD2634" w:rsidRDefault="00367BC9" w:rsidP="00D661D0">
      <w:pPr>
        <w:pStyle w:val="Heading1unnumbered"/>
      </w:pPr>
      <w:bookmarkStart w:id="9" w:name="_Toc379208171"/>
      <w:r w:rsidRPr="00DD2634">
        <w:lastRenderedPageBreak/>
        <w:t>Acronyms</w:t>
      </w:r>
      <w:bookmarkEnd w:id="9"/>
    </w:p>
    <w:tbl>
      <w:tblPr>
        <w:tblStyle w:val="TableGrid"/>
        <w:tblW w:w="8143" w:type="dxa"/>
        <w:tblInd w:w="-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9"/>
        <w:gridCol w:w="6804"/>
      </w:tblGrid>
      <w:tr w:rsidR="00367BC9" w:rsidRPr="00DD2634" w14:paraId="52F4DFC7" w14:textId="77777777" w:rsidTr="00BE5BEF">
        <w:tc>
          <w:tcPr>
            <w:tcW w:w="1339" w:type="dxa"/>
            <w:vAlign w:val="center"/>
          </w:tcPr>
          <w:p w14:paraId="768DB62B" w14:textId="77777777" w:rsidR="00367BC9" w:rsidRPr="00DD2634" w:rsidRDefault="00367BC9" w:rsidP="00BE5BEF">
            <w:pPr>
              <w:spacing w:before="20" w:after="20"/>
              <w:rPr>
                <w:rFonts w:cstheme="minorHAnsi"/>
                <w:color w:val="000000"/>
                <w:sz w:val="24"/>
                <w:szCs w:val="24"/>
              </w:rPr>
            </w:pPr>
            <w:r w:rsidRPr="00DD2634">
              <w:rPr>
                <w:rFonts w:cstheme="minorHAnsi"/>
                <w:color w:val="000000"/>
                <w:sz w:val="24"/>
                <w:szCs w:val="24"/>
              </w:rPr>
              <w:t>ARIA</w:t>
            </w:r>
          </w:p>
        </w:tc>
        <w:tc>
          <w:tcPr>
            <w:tcW w:w="6804" w:type="dxa"/>
            <w:vAlign w:val="center"/>
          </w:tcPr>
          <w:p w14:paraId="359291EC" w14:textId="77777777" w:rsidR="00367BC9" w:rsidRPr="00DD2634" w:rsidRDefault="00367BC9" w:rsidP="00BE5BEF">
            <w:pPr>
              <w:spacing w:before="20" w:after="20"/>
              <w:rPr>
                <w:rFonts w:cstheme="minorHAnsi"/>
                <w:sz w:val="24"/>
                <w:szCs w:val="24"/>
              </w:rPr>
            </w:pPr>
            <w:r w:rsidRPr="00DD2634">
              <w:rPr>
                <w:rFonts w:cstheme="minorHAnsi"/>
                <w:color w:val="000000"/>
                <w:sz w:val="24"/>
                <w:szCs w:val="24"/>
              </w:rPr>
              <w:t>Accessibility/Remoteness Index of Australia</w:t>
            </w:r>
          </w:p>
        </w:tc>
      </w:tr>
      <w:tr w:rsidR="00367BC9" w:rsidRPr="00DD2634" w14:paraId="3D9D7D7F" w14:textId="77777777" w:rsidTr="00BE5BEF">
        <w:tc>
          <w:tcPr>
            <w:tcW w:w="1339" w:type="dxa"/>
            <w:vAlign w:val="center"/>
          </w:tcPr>
          <w:p w14:paraId="1739B55B" w14:textId="77777777" w:rsidR="00367BC9" w:rsidRPr="00DD2634" w:rsidRDefault="00367BC9" w:rsidP="00BE5BEF">
            <w:pPr>
              <w:spacing w:before="20" w:after="20"/>
              <w:rPr>
                <w:rFonts w:cstheme="minorHAnsi"/>
                <w:color w:val="000000"/>
                <w:sz w:val="24"/>
                <w:szCs w:val="24"/>
              </w:rPr>
            </w:pPr>
            <w:r w:rsidRPr="00DD2634">
              <w:rPr>
                <w:rFonts w:cstheme="minorHAnsi"/>
                <w:color w:val="000000"/>
                <w:sz w:val="24"/>
                <w:szCs w:val="24"/>
              </w:rPr>
              <w:t>ABS</w:t>
            </w:r>
          </w:p>
        </w:tc>
        <w:tc>
          <w:tcPr>
            <w:tcW w:w="6804" w:type="dxa"/>
            <w:vAlign w:val="center"/>
          </w:tcPr>
          <w:p w14:paraId="1BEF124B" w14:textId="77777777" w:rsidR="00367BC9" w:rsidRPr="00DD2634" w:rsidRDefault="00367BC9" w:rsidP="00BE5BEF">
            <w:pPr>
              <w:spacing w:before="20" w:after="20"/>
              <w:rPr>
                <w:rFonts w:cstheme="minorHAnsi"/>
                <w:sz w:val="24"/>
                <w:szCs w:val="24"/>
              </w:rPr>
            </w:pPr>
            <w:r w:rsidRPr="00DD2634">
              <w:rPr>
                <w:rFonts w:cstheme="minorHAnsi"/>
                <w:color w:val="000000"/>
                <w:sz w:val="24"/>
                <w:szCs w:val="24"/>
              </w:rPr>
              <w:t>Australian Bureau of Statistics</w:t>
            </w:r>
          </w:p>
        </w:tc>
      </w:tr>
      <w:tr w:rsidR="00367BC9" w:rsidRPr="00DD2634" w14:paraId="5EA3C0B7" w14:textId="77777777" w:rsidTr="00BE5BEF">
        <w:tc>
          <w:tcPr>
            <w:tcW w:w="1339" w:type="dxa"/>
            <w:vAlign w:val="center"/>
          </w:tcPr>
          <w:p w14:paraId="5DE43818" w14:textId="77777777" w:rsidR="00367BC9" w:rsidRPr="00DD2634" w:rsidRDefault="00367BC9" w:rsidP="00BE5BEF">
            <w:pPr>
              <w:spacing w:before="20" w:after="20"/>
              <w:rPr>
                <w:rFonts w:cstheme="minorHAnsi"/>
                <w:color w:val="000000"/>
                <w:sz w:val="24"/>
                <w:szCs w:val="24"/>
              </w:rPr>
            </w:pPr>
            <w:r w:rsidRPr="00DD2634">
              <w:rPr>
                <w:rFonts w:cstheme="minorHAnsi"/>
                <w:color w:val="000000"/>
                <w:sz w:val="24"/>
                <w:szCs w:val="24"/>
              </w:rPr>
              <w:t>ACECQA</w:t>
            </w:r>
          </w:p>
        </w:tc>
        <w:tc>
          <w:tcPr>
            <w:tcW w:w="6804" w:type="dxa"/>
            <w:vAlign w:val="center"/>
          </w:tcPr>
          <w:p w14:paraId="1748CB16" w14:textId="77777777" w:rsidR="00367BC9" w:rsidRPr="00DD2634" w:rsidRDefault="00367BC9" w:rsidP="00BE5BEF">
            <w:pPr>
              <w:spacing w:before="20" w:after="20"/>
              <w:rPr>
                <w:rFonts w:cstheme="minorHAnsi"/>
                <w:sz w:val="24"/>
                <w:szCs w:val="24"/>
              </w:rPr>
            </w:pPr>
            <w:r w:rsidRPr="00DD2634">
              <w:rPr>
                <w:rFonts w:cstheme="minorHAnsi"/>
                <w:color w:val="000000"/>
                <w:sz w:val="24"/>
                <w:szCs w:val="24"/>
              </w:rPr>
              <w:t>Australian Children’s Education and Care Quality Authority</w:t>
            </w:r>
          </w:p>
        </w:tc>
      </w:tr>
      <w:tr w:rsidR="00367BC9" w:rsidRPr="00DD2634" w14:paraId="1C071A08" w14:textId="77777777" w:rsidTr="00BE5BEF">
        <w:tc>
          <w:tcPr>
            <w:tcW w:w="1339" w:type="dxa"/>
            <w:vAlign w:val="center"/>
          </w:tcPr>
          <w:p w14:paraId="4B250F63" w14:textId="77777777" w:rsidR="00367BC9" w:rsidRPr="00DD2634" w:rsidRDefault="00367BC9" w:rsidP="00BE5BEF">
            <w:pPr>
              <w:spacing w:before="20" w:after="20"/>
              <w:rPr>
                <w:rFonts w:cstheme="minorHAnsi"/>
                <w:color w:val="000000"/>
                <w:sz w:val="24"/>
                <w:szCs w:val="24"/>
              </w:rPr>
            </w:pPr>
            <w:proofErr w:type="spellStart"/>
            <w:r w:rsidRPr="00DD2634">
              <w:rPr>
                <w:rFonts w:cstheme="minorHAnsi"/>
                <w:color w:val="000000"/>
                <w:sz w:val="24"/>
                <w:szCs w:val="24"/>
              </w:rPr>
              <w:t>AEDI</w:t>
            </w:r>
            <w:proofErr w:type="spellEnd"/>
          </w:p>
        </w:tc>
        <w:tc>
          <w:tcPr>
            <w:tcW w:w="6804" w:type="dxa"/>
            <w:vAlign w:val="center"/>
          </w:tcPr>
          <w:p w14:paraId="67CC19CF" w14:textId="77777777" w:rsidR="00367BC9" w:rsidRPr="00DD2634" w:rsidRDefault="00367BC9" w:rsidP="00BE5BEF">
            <w:pPr>
              <w:spacing w:before="20" w:after="20"/>
              <w:rPr>
                <w:rFonts w:cstheme="minorHAnsi"/>
                <w:sz w:val="24"/>
                <w:szCs w:val="24"/>
              </w:rPr>
            </w:pPr>
            <w:r w:rsidRPr="00DD2634">
              <w:rPr>
                <w:rFonts w:cstheme="minorHAnsi"/>
                <w:color w:val="000000"/>
                <w:sz w:val="24"/>
                <w:szCs w:val="24"/>
              </w:rPr>
              <w:t>Australian Early Development Index</w:t>
            </w:r>
          </w:p>
        </w:tc>
      </w:tr>
      <w:tr w:rsidR="00367BC9" w:rsidRPr="00DD2634" w14:paraId="7558A698" w14:textId="77777777" w:rsidTr="00BE5BEF">
        <w:tc>
          <w:tcPr>
            <w:tcW w:w="1339" w:type="dxa"/>
            <w:vAlign w:val="center"/>
          </w:tcPr>
          <w:p w14:paraId="577E53BC" w14:textId="77777777" w:rsidR="00367BC9" w:rsidRPr="00DD2634" w:rsidRDefault="00367BC9" w:rsidP="00BE5BEF">
            <w:pPr>
              <w:spacing w:before="20" w:after="20"/>
              <w:rPr>
                <w:rFonts w:cstheme="minorHAnsi"/>
                <w:color w:val="000000"/>
                <w:sz w:val="24"/>
                <w:szCs w:val="24"/>
              </w:rPr>
            </w:pPr>
            <w:r w:rsidRPr="00DD2634">
              <w:rPr>
                <w:rFonts w:cstheme="minorHAnsi"/>
                <w:color w:val="000000"/>
                <w:sz w:val="24"/>
                <w:szCs w:val="24"/>
              </w:rPr>
              <w:t>BBF</w:t>
            </w:r>
          </w:p>
        </w:tc>
        <w:tc>
          <w:tcPr>
            <w:tcW w:w="6804" w:type="dxa"/>
            <w:vAlign w:val="center"/>
          </w:tcPr>
          <w:p w14:paraId="245F414B" w14:textId="77777777" w:rsidR="00367BC9" w:rsidRPr="00DD2634" w:rsidRDefault="00367BC9" w:rsidP="00BE5BEF">
            <w:pPr>
              <w:spacing w:before="20" w:after="20"/>
              <w:rPr>
                <w:rFonts w:cstheme="minorHAnsi"/>
                <w:sz w:val="24"/>
                <w:szCs w:val="24"/>
              </w:rPr>
            </w:pPr>
            <w:r w:rsidRPr="00DD2634">
              <w:rPr>
                <w:rFonts w:cstheme="minorHAnsi"/>
                <w:color w:val="000000"/>
                <w:sz w:val="24"/>
                <w:szCs w:val="24"/>
              </w:rPr>
              <w:t>Budget Based Funding</w:t>
            </w:r>
          </w:p>
        </w:tc>
      </w:tr>
      <w:tr w:rsidR="00367BC9" w:rsidRPr="00DD2634" w14:paraId="12138B89" w14:textId="77777777" w:rsidTr="00BE5BEF">
        <w:tc>
          <w:tcPr>
            <w:tcW w:w="1339" w:type="dxa"/>
            <w:vAlign w:val="center"/>
          </w:tcPr>
          <w:p w14:paraId="64FC18F1" w14:textId="77777777" w:rsidR="00367BC9" w:rsidRPr="00DD2634" w:rsidRDefault="00367BC9" w:rsidP="00BE5BEF">
            <w:pPr>
              <w:spacing w:before="20" w:after="20"/>
              <w:rPr>
                <w:rFonts w:cstheme="minorHAnsi"/>
                <w:color w:val="000000"/>
                <w:sz w:val="24"/>
                <w:szCs w:val="24"/>
              </w:rPr>
            </w:pPr>
            <w:r w:rsidRPr="00DD2634">
              <w:rPr>
                <w:rFonts w:cstheme="minorHAnsi"/>
                <w:color w:val="000000"/>
                <w:sz w:val="24"/>
                <w:szCs w:val="24"/>
              </w:rPr>
              <w:t>CCECL</w:t>
            </w:r>
          </w:p>
        </w:tc>
        <w:tc>
          <w:tcPr>
            <w:tcW w:w="6804" w:type="dxa"/>
            <w:vAlign w:val="center"/>
          </w:tcPr>
          <w:p w14:paraId="3655BBD4" w14:textId="77777777" w:rsidR="00367BC9" w:rsidRPr="00DD2634" w:rsidRDefault="00367BC9" w:rsidP="00BE5BEF">
            <w:pPr>
              <w:spacing w:before="20" w:after="20"/>
              <w:rPr>
                <w:rFonts w:cstheme="minorHAnsi"/>
                <w:sz w:val="24"/>
                <w:szCs w:val="24"/>
              </w:rPr>
            </w:pPr>
            <w:r w:rsidRPr="00DD2634">
              <w:rPr>
                <w:rFonts w:cstheme="minorHAnsi"/>
                <w:color w:val="000000"/>
                <w:sz w:val="24"/>
                <w:szCs w:val="24"/>
              </w:rPr>
              <w:t>Child care and early childhood learning</w:t>
            </w:r>
          </w:p>
        </w:tc>
      </w:tr>
      <w:tr w:rsidR="00367BC9" w:rsidRPr="00DD2634" w14:paraId="40A56298" w14:textId="77777777" w:rsidTr="00BE5BEF">
        <w:tc>
          <w:tcPr>
            <w:tcW w:w="1339" w:type="dxa"/>
            <w:vAlign w:val="center"/>
          </w:tcPr>
          <w:p w14:paraId="12DCC03E" w14:textId="77777777" w:rsidR="00367BC9" w:rsidRPr="00DD2634" w:rsidRDefault="00367BC9" w:rsidP="00BE5BEF">
            <w:pPr>
              <w:spacing w:before="20" w:after="20"/>
              <w:rPr>
                <w:rFonts w:cstheme="minorHAnsi"/>
                <w:color w:val="000000"/>
                <w:sz w:val="24"/>
                <w:szCs w:val="24"/>
              </w:rPr>
            </w:pPr>
            <w:proofErr w:type="spellStart"/>
            <w:r w:rsidRPr="00DD2634">
              <w:rPr>
                <w:rFonts w:cstheme="minorHAnsi"/>
                <w:color w:val="000000"/>
                <w:sz w:val="24"/>
                <w:szCs w:val="24"/>
              </w:rPr>
              <w:t>CCB</w:t>
            </w:r>
            <w:proofErr w:type="spellEnd"/>
          </w:p>
        </w:tc>
        <w:tc>
          <w:tcPr>
            <w:tcW w:w="6804" w:type="dxa"/>
            <w:vAlign w:val="center"/>
          </w:tcPr>
          <w:p w14:paraId="39C7CA37" w14:textId="77777777" w:rsidR="00367BC9" w:rsidRPr="00DD2634" w:rsidRDefault="00367BC9" w:rsidP="00BE5BEF">
            <w:pPr>
              <w:spacing w:before="20" w:after="20"/>
              <w:rPr>
                <w:rFonts w:cstheme="minorHAnsi"/>
                <w:sz w:val="24"/>
                <w:szCs w:val="24"/>
              </w:rPr>
            </w:pPr>
            <w:r w:rsidRPr="00DD2634">
              <w:rPr>
                <w:rFonts w:cstheme="minorHAnsi"/>
                <w:color w:val="000000"/>
                <w:sz w:val="24"/>
                <w:szCs w:val="24"/>
              </w:rPr>
              <w:t>Child Care Benefit</w:t>
            </w:r>
          </w:p>
        </w:tc>
      </w:tr>
      <w:tr w:rsidR="00367BC9" w:rsidRPr="00DD2634" w14:paraId="22418DD9" w14:textId="77777777" w:rsidTr="00BE5BEF">
        <w:tc>
          <w:tcPr>
            <w:tcW w:w="1339" w:type="dxa"/>
            <w:vAlign w:val="center"/>
          </w:tcPr>
          <w:p w14:paraId="23C4270E" w14:textId="77777777" w:rsidR="00367BC9" w:rsidRPr="00DD2634" w:rsidRDefault="00367BC9" w:rsidP="00BE5BEF">
            <w:pPr>
              <w:spacing w:before="20" w:after="20"/>
              <w:rPr>
                <w:rFonts w:cstheme="minorHAnsi"/>
                <w:color w:val="000000"/>
                <w:sz w:val="24"/>
                <w:szCs w:val="24"/>
              </w:rPr>
            </w:pPr>
            <w:r w:rsidRPr="00DD2634">
              <w:rPr>
                <w:rFonts w:cstheme="minorHAnsi"/>
                <w:color w:val="000000"/>
                <w:sz w:val="24"/>
                <w:szCs w:val="24"/>
              </w:rPr>
              <w:t>CCR</w:t>
            </w:r>
          </w:p>
        </w:tc>
        <w:tc>
          <w:tcPr>
            <w:tcW w:w="6804" w:type="dxa"/>
            <w:vAlign w:val="center"/>
          </w:tcPr>
          <w:p w14:paraId="371B02A7" w14:textId="77777777" w:rsidR="00367BC9" w:rsidRPr="00DD2634" w:rsidRDefault="00367BC9" w:rsidP="00BE5BEF">
            <w:pPr>
              <w:spacing w:before="20" w:after="20"/>
              <w:rPr>
                <w:rFonts w:cstheme="minorHAnsi"/>
                <w:sz w:val="24"/>
                <w:szCs w:val="24"/>
              </w:rPr>
            </w:pPr>
            <w:r w:rsidRPr="00DD2634">
              <w:rPr>
                <w:rFonts w:cstheme="minorHAnsi"/>
                <w:color w:val="000000"/>
                <w:sz w:val="24"/>
                <w:szCs w:val="24"/>
              </w:rPr>
              <w:t>Child Care Rebate</w:t>
            </w:r>
          </w:p>
        </w:tc>
      </w:tr>
      <w:tr w:rsidR="00367BC9" w:rsidRPr="00DD2634" w14:paraId="05EFDDE0" w14:textId="77777777" w:rsidTr="00BE5BEF">
        <w:tc>
          <w:tcPr>
            <w:tcW w:w="1339" w:type="dxa"/>
            <w:vAlign w:val="center"/>
          </w:tcPr>
          <w:p w14:paraId="47EB74C1" w14:textId="77777777" w:rsidR="00367BC9" w:rsidRPr="00DD2634" w:rsidRDefault="00367BC9" w:rsidP="00BE5BEF">
            <w:pPr>
              <w:spacing w:before="20" w:after="20"/>
              <w:rPr>
                <w:rFonts w:cstheme="minorHAnsi"/>
                <w:color w:val="000000"/>
                <w:sz w:val="24"/>
                <w:szCs w:val="24"/>
              </w:rPr>
            </w:pPr>
            <w:proofErr w:type="spellStart"/>
            <w:r w:rsidRPr="00DD2634">
              <w:rPr>
                <w:rFonts w:cstheme="minorHAnsi"/>
                <w:color w:val="000000"/>
                <w:sz w:val="24"/>
                <w:szCs w:val="24"/>
              </w:rPr>
              <w:t>CCSSP</w:t>
            </w:r>
            <w:proofErr w:type="spellEnd"/>
          </w:p>
        </w:tc>
        <w:tc>
          <w:tcPr>
            <w:tcW w:w="6804" w:type="dxa"/>
            <w:vAlign w:val="center"/>
          </w:tcPr>
          <w:p w14:paraId="2EEAEF6C" w14:textId="77777777" w:rsidR="00367BC9" w:rsidRPr="00DD2634" w:rsidRDefault="00367BC9" w:rsidP="00BE5BEF">
            <w:pPr>
              <w:spacing w:before="20" w:after="20"/>
              <w:rPr>
                <w:rFonts w:cstheme="minorHAnsi"/>
                <w:sz w:val="24"/>
                <w:szCs w:val="24"/>
              </w:rPr>
            </w:pPr>
            <w:r w:rsidRPr="00DD2634">
              <w:rPr>
                <w:rFonts w:cstheme="minorHAnsi"/>
                <w:color w:val="000000"/>
                <w:sz w:val="24"/>
                <w:szCs w:val="24"/>
              </w:rPr>
              <w:t>Child Care Services Support Programme</w:t>
            </w:r>
          </w:p>
        </w:tc>
      </w:tr>
      <w:tr w:rsidR="00367BC9" w:rsidRPr="00DD2634" w14:paraId="6E9BE4D6" w14:textId="77777777" w:rsidTr="00BE5BEF">
        <w:tc>
          <w:tcPr>
            <w:tcW w:w="1339" w:type="dxa"/>
            <w:vAlign w:val="center"/>
          </w:tcPr>
          <w:p w14:paraId="5E1F9378" w14:textId="77777777" w:rsidR="00367BC9" w:rsidRPr="00DD2634" w:rsidRDefault="00367BC9" w:rsidP="00BE5BEF">
            <w:pPr>
              <w:spacing w:before="20" w:after="20"/>
              <w:rPr>
                <w:rFonts w:cstheme="minorHAnsi"/>
                <w:color w:val="000000"/>
                <w:sz w:val="24"/>
                <w:szCs w:val="24"/>
              </w:rPr>
            </w:pPr>
            <w:r w:rsidRPr="00DD2634">
              <w:rPr>
                <w:rFonts w:cstheme="minorHAnsi"/>
                <w:color w:val="000000"/>
                <w:sz w:val="24"/>
                <w:szCs w:val="24"/>
              </w:rPr>
              <w:t>CCTR</w:t>
            </w:r>
          </w:p>
        </w:tc>
        <w:tc>
          <w:tcPr>
            <w:tcW w:w="6804" w:type="dxa"/>
            <w:vAlign w:val="center"/>
          </w:tcPr>
          <w:p w14:paraId="7C694C2A" w14:textId="77777777" w:rsidR="00367BC9" w:rsidRPr="00DD2634" w:rsidRDefault="00367BC9" w:rsidP="00BE5BEF">
            <w:pPr>
              <w:spacing w:before="20" w:after="20"/>
              <w:rPr>
                <w:rFonts w:cstheme="minorHAnsi"/>
                <w:sz w:val="24"/>
                <w:szCs w:val="24"/>
              </w:rPr>
            </w:pPr>
            <w:r w:rsidRPr="00DD2634">
              <w:rPr>
                <w:rFonts w:cstheme="minorHAnsi"/>
                <w:color w:val="000000"/>
                <w:sz w:val="24"/>
                <w:szCs w:val="24"/>
              </w:rPr>
              <w:t>Child Care Tax Rebate</w:t>
            </w:r>
          </w:p>
        </w:tc>
      </w:tr>
      <w:tr w:rsidR="00367BC9" w:rsidRPr="00DD2634" w14:paraId="26E2D9C1" w14:textId="77777777" w:rsidTr="00BE5BEF">
        <w:tc>
          <w:tcPr>
            <w:tcW w:w="1339" w:type="dxa"/>
            <w:vAlign w:val="center"/>
          </w:tcPr>
          <w:p w14:paraId="6DA6D010" w14:textId="77777777" w:rsidR="00367BC9" w:rsidRPr="00DD2634" w:rsidRDefault="00367BC9" w:rsidP="00BE5BEF">
            <w:pPr>
              <w:spacing w:before="20" w:after="20"/>
              <w:rPr>
                <w:rFonts w:cstheme="minorHAnsi"/>
                <w:color w:val="000000"/>
                <w:sz w:val="24"/>
                <w:szCs w:val="24"/>
              </w:rPr>
            </w:pPr>
            <w:proofErr w:type="spellStart"/>
            <w:r w:rsidRPr="00DD2634">
              <w:rPr>
                <w:rFonts w:cstheme="minorHAnsi"/>
                <w:color w:val="000000"/>
                <w:sz w:val="24"/>
                <w:szCs w:val="24"/>
              </w:rPr>
              <w:t>CSP</w:t>
            </w:r>
            <w:proofErr w:type="spellEnd"/>
          </w:p>
        </w:tc>
        <w:tc>
          <w:tcPr>
            <w:tcW w:w="6804" w:type="dxa"/>
            <w:vAlign w:val="center"/>
          </w:tcPr>
          <w:p w14:paraId="3388EC6D" w14:textId="77777777" w:rsidR="00367BC9" w:rsidRPr="00DD2634" w:rsidRDefault="00367BC9" w:rsidP="00BE5BEF">
            <w:pPr>
              <w:spacing w:before="20" w:after="20"/>
              <w:rPr>
                <w:rFonts w:cstheme="minorHAnsi"/>
                <w:sz w:val="24"/>
                <w:szCs w:val="24"/>
              </w:rPr>
            </w:pPr>
            <w:r w:rsidRPr="00DD2634">
              <w:rPr>
                <w:rFonts w:cstheme="minorHAnsi"/>
                <w:color w:val="000000"/>
                <w:sz w:val="24"/>
                <w:szCs w:val="24"/>
              </w:rPr>
              <w:t>Community Support Programme</w:t>
            </w:r>
          </w:p>
        </w:tc>
      </w:tr>
      <w:tr w:rsidR="00367BC9" w:rsidRPr="00DD2634" w14:paraId="238164F0" w14:textId="77777777" w:rsidTr="00BE5BEF">
        <w:tc>
          <w:tcPr>
            <w:tcW w:w="1339" w:type="dxa"/>
            <w:vAlign w:val="center"/>
          </w:tcPr>
          <w:p w14:paraId="67C897E1" w14:textId="77777777" w:rsidR="00367BC9" w:rsidRPr="00DD2634" w:rsidRDefault="00367BC9" w:rsidP="00BE5BEF">
            <w:pPr>
              <w:spacing w:before="20" w:after="20"/>
              <w:rPr>
                <w:rFonts w:cstheme="minorHAnsi"/>
                <w:color w:val="000000"/>
                <w:sz w:val="24"/>
                <w:szCs w:val="24"/>
              </w:rPr>
            </w:pPr>
            <w:r w:rsidRPr="00DD2634">
              <w:rPr>
                <w:rFonts w:cstheme="minorHAnsi"/>
                <w:color w:val="000000"/>
                <w:sz w:val="24"/>
                <w:szCs w:val="24"/>
              </w:rPr>
              <w:t>CPI</w:t>
            </w:r>
          </w:p>
        </w:tc>
        <w:tc>
          <w:tcPr>
            <w:tcW w:w="6804" w:type="dxa"/>
            <w:vAlign w:val="center"/>
          </w:tcPr>
          <w:p w14:paraId="1577799E" w14:textId="77777777" w:rsidR="00367BC9" w:rsidRPr="00DD2634" w:rsidRDefault="00367BC9" w:rsidP="00BE5BEF">
            <w:pPr>
              <w:spacing w:before="20" w:after="20"/>
              <w:rPr>
                <w:rFonts w:cstheme="minorHAnsi"/>
                <w:sz w:val="24"/>
                <w:szCs w:val="24"/>
              </w:rPr>
            </w:pPr>
            <w:r w:rsidRPr="00DD2634">
              <w:rPr>
                <w:rFonts w:cstheme="minorHAnsi"/>
                <w:color w:val="000000"/>
                <w:sz w:val="24"/>
                <w:szCs w:val="24"/>
              </w:rPr>
              <w:t>Consumer Price Index</w:t>
            </w:r>
          </w:p>
        </w:tc>
      </w:tr>
      <w:tr w:rsidR="00367BC9" w:rsidRPr="00DD2634" w14:paraId="7155E1BA" w14:textId="77777777" w:rsidTr="00BE5BEF">
        <w:tc>
          <w:tcPr>
            <w:tcW w:w="1339" w:type="dxa"/>
            <w:vAlign w:val="center"/>
          </w:tcPr>
          <w:p w14:paraId="360A0A0E" w14:textId="77777777" w:rsidR="00367BC9" w:rsidRPr="00DD2634" w:rsidRDefault="00367BC9" w:rsidP="00BE5BEF">
            <w:pPr>
              <w:spacing w:before="20" w:after="20"/>
              <w:rPr>
                <w:rFonts w:cstheme="minorHAnsi"/>
                <w:color w:val="000000"/>
                <w:sz w:val="24"/>
                <w:szCs w:val="24"/>
              </w:rPr>
            </w:pPr>
            <w:r w:rsidRPr="00DD2634">
              <w:rPr>
                <w:rFonts w:cstheme="minorHAnsi"/>
                <w:color w:val="000000"/>
                <w:sz w:val="24"/>
                <w:szCs w:val="24"/>
              </w:rPr>
              <w:t>COAG</w:t>
            </w:r>
          </w:p>
        </w:tc>
        <w:tc>
          <w:tcPr>
            <w:tcW w:w="6804" w:type="dxa"/>
            <w:vAlign w:val="center"/>
          </w:tcPr>
          <w:p w14:paraId="3A307DC6" w14:textId="77777777" w:rsidR="00367BC9" w:rsidRPr="00DD2634" w:rsidRDefault="00367BC9" w:rsidP="00BE5BEF">
            <w:pPr>
              <w:spacing w:before="20" w:after="20"/>
              <w:rPr>
                <w:rFonts w:cstheme="minorHAnsi"/>
                <w:sz w:val="24"/>
                <w:szCs w:val="24"/>
              </w:rPr>
            </w:pPr>
            <w:r w:rsidRPr="00DD2634">
              <w:rPr>
                <w:rFonts w:cstheme="minorHAnsi"/>
                <w:color w:val="000000"/>
                <w:sz w:val="24"/>
                <w:szCs w:val="24"/>
              </w:rPr>
              <w:t>Council of Australian Governments</w:t>
            </w:r>
          </w:p>
        </w:tc>
      </w:tr>
      <w:tr w:rsidR="00367BC9" w:rsidRPr="00DD2634" w14:paraId="79E54A2A" w14:textId="77777777" w:rsidTr="00BE5BEF">
        <w:tc>
          <w:tcPr>
            <w:tcW w:w="1339" w:type="dxa"/>
            <w:vAlign w:val="center"/>
          </w:tcPr>
          <w:p w14:paraId="06C1A3BF" w14:textId="77777777" w:rsidR="00367BC9" w:rsidRPr="00DD2634" w:rsidRDefault="00367BC9" w:rsidP="00BE5BEF">
            <w:pPr>
              <w:spacing w:before="20" w:after="20"/>
              <w:rPr>
                <w:rFonts w:cstheme="minorHAnsi"/>
                <w:color w:val="000000"/>
                <w:sz w:val="24"/>
                <w:szCs w:val="24"/>
              </w:rPr>
            </w:pPr>
            <w:proofErr w:type="spellStart"/>
            <w:r w:rsidRPr="00DD2634">
              <w:rPr>
                <w:rFonts w:cstheme="minorHAnsi"/>
                <w:color w:val="000000"/>
                <w:sz w:val="24"/>
                <w:szCs w:val="24"/>
              </w:rPr>
              <w:t>DHS</w:t>
            </w:r>
            <w:proofErr w:type="spellEnd"/>
          </w:p>
        </w:tc>
        <w:tc>
          <w:tcPr>
            <w:tcW w:w="6804" w:type="dxa"/>
            <w:vAlign w:val="center"/>
          </w:tcPr>
          <w:p w14:paraId="4DB37D93" w14:textId="77777777" w:rsidR="00367BC9" w:rsidRPr="00DD2634" w:rsidRDefault="00367BC9" w:rsidP="00BE5BEF">
            <w:pPr>
              <w:spacing w:before="20" w:after="20"/>
              <w:rPr>
                <w:rFonts w:cstheme="minorHAnsi"/>
                <w:sz w:val="24"/>
                <w:szCs w:val="24"/>
              </w:rPr>
            </w:pPr>
            <w:r w:rsidRPr="00DD2634">
              <w:rPr>
                <w:rFonts w:cstheme="minorHAnsi"/>
                <w:color w:val="000000"/>
                <w:sz w:val="24"/>
                <w:szCs w:val="24"/>
              </w:rPr>
              <w:t>Department of Human Services</w:t>
            </w:r>
          </w:p>
        </w:tc>
      </w:tr>
      <w:tr w:rsidR="00367BC9" w:rsidRPr="00DD2634" w14:paraId="6F78AE8D" w14:textId="77777777" w:rsidTr="00BE5BEF">
        <w:tc>
          <w:tcPr>
            <w:tcW w:w="1339" w:type="dxa"/>
            <w:vAlign w:val="center"/>
          </w:tcPr>
          <w:p w14:paraId="6C5B1E52" w14:textId="77777777" w:rsidR="00367BC9" w:rsidRPr="00DD2634" w:rsidRDefault="00367BC9" w:rsidP="00BE5BEF">
            <w:pPr>
              <w:spacing w:before="20" w:after="20"/>
              <w:rPr>
                <w:rFonts w:cstheme="minorHAnsi"/>
                <w:color w:val="000000"/>
                <w:sz w:val="24"/>
                <w:szCs w:val="24"/>
              </w:rPr>
            </w:pPr>
            <w:r w:rsidRPr="00DD2634">
              <w:rPr>
                <w:rFonts w:cstheme="minorHAnsi"/>
                <w:color w:val="000000"/>
                <w:sz w:val="24"/>
                <w:szCs w:val="24"/>
              </w:rPr>
              <w:t>FDC</w:t>
            </w:r>
          </w:p>
        </w:tc>
        <w:tc>
          <w:tcPr>
            <w:tcW w:w="6804" w:type="dxa"/>
            <w:vAlign w:val="center"/>
          </w:tcPr>
          <w:p w14:paraId="7EA733BC" w14:textId="77777777" w:rsidR="00367BC9" w:rsidRPr="00DD2634" w:rsidRDefault="00367BC9" w:rsidP="00BE5BEF">
            <w:pPr>
              <w:spacing w:before="20" w:after="20"/>
              <w:rPr>
                <w:rFonts w:cstheme="minorHAnsi"/>
                <w:sz w:val="24"/>
                <w:szCs w:val="24"/>
              </w:rPr>
            </w:pPr>
            <w:r w:rsidRPr="00DD2634">
              <w:rPr>
                <w:rFonts w:cstheme="minorHAnsi"/>
                <w:color w:val="000000"/>
                <w:sz w:val="24"/>
                <w:szCs w:val="24"/>
              </w:rPr>
              <w:t>Family Day Care</w:t>
            </w:r>
          </w:p>
        </w:tc>
      </w:tr>
      <w:tr w:rsidR="00367BC9" w:rsidRPr="00DD2634" w14:paraId="56E1597A" w14:textId="77777777" w:rsidTr="00BE5BEF">
        <w:tc>
          <w:tcPr>
            <w:tcW w:w="1339" w:type="dxa"/>
            <w:vAlign w:val="center"/>
          </w:tcPr>
          <w:p w14:paraId="03CD4FC9" w14:textId="77777777" w:rsidR="00367BC9" w:rsidRPr="00DD2634" w:rsidRDefault="00367BC9" w:rsidP="00BE5BEF">
            <w:pPr>
              <w:spacing w:before="20" w:after="20"/>
              <w:rPr>
                <w:rFonts w:cstheme="minorHAnsi"/>
                <w:color w:val="000000"/>
                <w:sz w:val="24"/>
                <w:szCs w:val="24"/>
              </w:rPr>
            </w:pPr>
            <w:proofErr w:type="spellStart"/>
            <w:r w:rsidRPr="00DD2634">
              <w:rPr>
                <w:rFonts w:cstheme="minorHAnsi"/>
                <w:color w:val="000000"/>
                <w:sz w:val="24"/>
                <w:szCs w:val="24"/>
              </w:rPr>
              <w:t>FSF</w:t>
            </w:r>
            <w:proofErr w:type="spellEnd"/>
          </w:p>
        </w:tc>
        <w:tc>
          <w:tcPr>
            <w:tcW w:w="6804" w:type="dxa"/>
            <w:vAlign w:val="center"/>
          </w:tcPr>
          <w:p w14:paraId="767A8F88" w14:textId="77777777" w:rsidR="00367BC9" w:rsidRPr="00DD2634" w:rsidRDefault="00367BC9" w:rsidP="00BE5BEF">
            <w:pPr>
              <w:spacing w:before="20" w:after="20"/>
              <w:rPr>
                <w:rFonts w:cstheme="minorHAnsi"/>
                <w:sz w:val="24"/>
                <w:szCs w:val="24"/>
              </w:rPr>
            </w:pPr>
            <w:r w:rsidRPr="00DD2634">
              <w:rPr>
                <w:rFonts w:cstheme="minorHAnsi"/>
                <w:color w:val="000000"/>
                <w:sz w:val="24"/>
                <w:szCs w:val="24"/>
              </w:rPr>
              <w:t>Flexible Support Funding</w:t>
            </w:r>
          </w:p>
        </w:tc>
      </w:tr>
      <w:tr w:rsidR="00367BC9" w:rsidRPr="00DD2634" w14:paraId="75A21FD3" w14:textId="77777777" w:rsidTr="00BE5BEF">
        <w:tc>
          <w:tcPr>
            <w:tcW w:w="1339" w:type="dxa"/>
            <w:vAlign w:val="center"/>
          </w:tcPr>
          <w:p w14:paraId="1E328DF1" w14:textId="77777777" w:rsidR="00367BC9" w:rsidRPr="00DD2634" w:rsidRDefault="00367BC9" w:rsidP="00BE5BEF">
            <w:pPr>
              <w:spacing w:before="20" w:after="20"/>
              <w:rPr>
                <w:rFonts w:cstheme="minorHAnsi"/>
                <w:color w:val="000000"/>
                <w:sz w:val="24"/>
                <w:szCs w:val="24"/>
              </w:rPr>
            </w:pPr>
            <w:proofErr w:type="spellStart"/>
            <w:r w:rsidRPr="00DD2634">
              <w:rPr>
                <w:rFonts w:cstheme="minorHAnsi"/>
                <w:color w:val="000000"/>
                <w:sz w:val="24"/>
                <w:szCs w:val="24"/>
              </w:rPr>
              <w:t>GCCB</w:t>
            </w:r>
            <w:proofErr w:type="spellEnd"/>
          </w:p>
        </w:tc>
        <w:tc>
          <w:tcPr>
            <w:tcW w:w="6804" w:type="dxa"/>
            <w:vAlign w:val="center"/>
          </w:tcPr>
          <w:p w14:paraId="147C0A41" w14:textId="77777777" w:rsidR="00367BC9" w:rsidRPr="00DD2634" w:rsidRDefault="00367BC9" w:rsidP="00BE5BEF">
            <w:pPr>
              <w:spacing w:before="20" w:after="20"/>
              <w:rPr>
                <w:rFonts w:cstheme="minorHAnsi"/>
                <w:sz w:val="24"/>
                <w:szCs w:val="24"/>
              </w:rPr>
            </w:pPr>
            <w:r w:rsidRPr="00DD2634">
              <w:rPr>
                <w:rFonts w:cstheme="minorHAnsi"/>
                <w:color w:val="000000"/>
                <w:sz w:val="24"/>
                <w:szCs w:val="24"/>
              </w:rPr>
              <w:t>Grandparents Child Care Benefit</w:t>
            </w:r>
          </w:p>
        </w:tc>
      </w:tr>
      <w:tr w:rsidR="00367BC9" w:rsidRPr="00DD2634" w14:paraId="41E3D585" w14:textId="77777777" w:rsidTr="00BE5BEF">
        <w:tc>
          <w:tcPr>
            <w:tcW w:w="1339" w:type="dxa"/>
            <w:vAlign w:val="center"/>
          </w:tcPr>
          <w:p w14:paraId="67ABD50A" w14:textId="77777777" w:rsidR="00367BC9" w:rsidRPr="00DD2634" w:rsidRDefault="00367BC9" w:rsidP="00BE5BEF">
            <w:pPr>
              <w:spacing w:before="20" w:after="20"/>
              <w:rPr>
                <w:rFonts w:cstheme="minorHAnsi"/>
                <w:color w:val="000000"/>
                <w:sz w:val="24"/>
                <w:szCs w:val="24"/>
              </w:rPr>
            </w:pPr>
            <w:r w:rsidRPr="00DD2634">
              <w:rPr>
                <w:rFonts w:cstheme="minorHAnsi"/>
                <w:color w:val="000000"/>
                <w:sz w:val="24"/>
                <w:szCs w:val="24"/>
              </w:rPr>
              <w:t>GDP</w:t>
            </w:r>
          </w:p>
        </w:tc>
        <w:tc>
          <w:tcPr>
            <w:tcW w:w="6804" w:type="dxa"/>
            <w:vAlign w:val="center"/>
          </w:tcPr>
          <w:p w14:paraId="4618D658" w14:textId="77777777" w:rsidR="00367BC9" w:rsidRPr="00DD2634" w:rsidRDefault="00367BC9" w:rsidP="00BE5BEF">
            <w:pPr>
              <w:spacing w:before="20" w:after="20"/>
              <w:rPr>
                <w:rFonts w:cstheme="minorHAnsi"/>
                <w:color w:val="000000"/>
                <w:sz w:val="24"/>
                <w:szCs w:val="24"/>
              </w:rPr>
            </w:pPr>
            <w:r w:rsidRPr="00DD2634">
              <w:rPr>
                <w:sz w:val="24"/>
                <w:szCs w:val="24"/>
              </w:rPr>
              <w:t>Gross Domestic Product</w:t>
            </w:r>
          </w:p>
        </w:tc>
      </w:tr>
      <w:tr w:rsidR="00367BC9" w:rsidRPr="00DD2634" w14:paraId="52E42FC0" w14:textId="77777777" w:rsidTr="00BE5BEF">
        <w:tc>
          <w:tcPr>
            <w:tcW w:w="1339" w:type="dxa"/>
            <w:vAlign w:val="center"/>
          </w:tcPr>
          <w:p w14:paraId="5C832A34" w14:textId="77777777" w:rsidR="00367BC9" w:rsidRPr="00DD2634" w:rsidRDefault="00367BC9" w:rsidP="00BE5BEF">
            <w:pPr>
              <w:spacing w:before="20" w:after="20"/>
              <w:rPr>
                <w:rFonts w:cstheme="minorHAnsi"/>
                <w:color w:val="000000"/>
                <w:sz w:val="24"/>
                <w:szCs w:val="24"/>
              </w:rPr>
            </w:pPr>
            <w:r w:rsidRPr="00DD2634">
              <w:rPr>
                <w:rFonts w:cstheme="minorHAnsi"/>
                <w:color w:val="000000"/>
                <w:sz w:val="24"/>
                <w:szCs w:val="24"/>
              </w:rPr>
              <w:t>HIPPY</w:t>
            </w:r>
          </w:p>
        </w:tc>
        <w:tc>
          <w:tcPr>
            <w:tcW w:w="6804" w:type="dxa"/>
            <w:vAlign w:val="center"/>
          </w:tcPr>
          <w:p w14:paraId="2EF6F365" w14:textId="77777777" w:rsidR="00367BC9" w:rsidRPr="00DD2634" w:rsidRDefault="00367BC9" w:rsidP="00BE5BEF">
            <w:pPr>
              <w:spacing w:before="20" w:after="20"/>
              <w:rPr>
                <w:rFonts w:cstheme="minorHAnsi"/>
                <w:sz w:val="24"/>
                <w:szCs w:val="24"/>
              </w:rPr>
            </w:pPr>
            <w:r w:rsidRPr="00DD2634">
              <w:rPr>
                <w:rFonts w:cstheme="minorHAnsi"/>
                <w:color w:val="000000"/>
                <w:sz w:val="24"/>
                <w:szCs w:val="24"/>
              </w:rPr>
              <w:t>Home Interaction Program for Parents and Youngsters</w:t>
            </w:r>
          </w:p>
        </w:tc>
      </w:tr>
      <w:tr w:rsidR="00367BC9" w:rsidRPr="00DD2634" w14:paraId="6BCA17B9" w14:textId="77777777" w:rsidTr="00BE5BEF">
        <w:tc>
          <w:tcPr>
            <w:tcW w:w="1339" w:type="dxa"/>
            <w:vAlign w:val="center"/>
          </w:tcPr>
          <w:p w14:paraId="1708AC39" w14:textId="77777777" w:rsidR="00367BC9" w:rsidRPr="00DD2634" w:rsidRDefault="00367BC9" w:rsidP="00BE5BEF">
            <w:pPr>
              <w:spacing w:before="20" w:after="20"/>
              <w:rPr>
                <w:rFonts w:cstheme="minorHAnsi"/>
                <w:color w:val="000000"/>
                <w:sz w:val="24"/>
                <w:szCs w:val="24"/>
              </w:rPr>
            </w:pPr>
            <w:r w:rsidRPr="00DD2634">
              <w:rPr>
                <w:rFonts w:cstheme="minorHAnsi"/>
                <w:color w:val="000000"/>
                <w:sz w:val="24"/>
                <w:szCs w:val="24"/>
              </w:rPr>
              <w:t>HILDA</w:t>
            </w:r>
          </w:p>
        </w:tc>
        <w:tc>
          <w:tcPr>
            <w:tcW w:w="6804" w:type="dxa"/>
            <w:vAlign w:val="center"/>
          </w:tcPr>
          <w:p w14:paraId="42C3C785" w14:textId="77777777" w:rsidR="00367BC9" w:rsidRPr="00DD2634" w:rsidRDefault="00367BC9" w:rsidP="00BE5BEF">
            <w:pPr>
              <w:spacing w:before="20" w:after="20"/>
              <w:rPr>
                <w:rFonts w:cstheme="minorHAnsi"/>
                <w:sz w:val="24"/>
                <w:szCs w:val="24"/>
              </w:rPr>
            </w:pPr>
            <w:r w:rsidRPr="00DD2634">
              <w:rPr>
                <w:rFonts w:cstheme="minorHAnsi"/>
                <w:color w:val="000000"/>
                <w:sz w:val="24"/>
                <w:szCs w:val="24"/>
              </w:rPr>
              <w:t xml:space="preserve">Household, Income and Labour Dynamics in Australia  </w:t>
            </w:r>
          </w:p>
        </w:tc>
      </w:tr>
      <w:tr w:rsidR="00367BC9" w:rsidRPr="00DD2634" w14:paraId="4340D79F" w14:textId="77777777" w:rsidTr="00BE5BEF">
        <w:tc>
          <w:tcPr>
            <w:tcW w:w="1339" w:type="dxa"/>
            <w:vAlign w:val="center"/>
          </w:tcPr>
          <w:p w14:paraId="42FD0F50" w14:textId="77777777" w:rsidR="00367BC9" w:rsidRPr="00DD2634" w:rsidRDefault="00367BC9" w:rsidP="00BE5BEF">
            <w:pPr>
              <w:spacing w:before="20" w:after="20"/>
              <w:rPr>
                <w:rFonts w:cstheme="minorHAnsi"/>
                <w:color w:val="000000"/>
                <w:sz w:val="24"/>
                <w:szCs w:val="24"/>
              </w:rPr>
            </w:pPr>
            <w:r w:rsidRPr="00DD2634">
              <w:rPr>
                <w:rFonts w:cstheme="minorHAnsi"/>
                <w:color w:val="000000"/>
                <w:sz w:val="24"/>
                <w:szCs w:val="24"/>
              </w:rPr>
              <w:t>IHC</w:t>
            </w:r>
          </w:p>
        </w:tc>
        <w:tc>
          <w:tcPr>
            <w:tcW w:w="6804" w:type="dxa"/>
            <w:vAlign w:val="center"/>
          </w:tcPr>
          <w:p w14:paraId="01415AB1" w14:textId="77777777" w:rsidR="00367BC9" w:rsidRPr="00DD2634" w:rsidRDefault="00367BC9" w:rsidP="00BE5BEF">
            <w:pPr>
              <w:spacing w:before="20" w:after="20"/>
              <w:rPr>
                <w:rFonts w:cstheme="minorHAnsi"/>
                <w:sz w:val="24"/>
                <w:szCs w:val="24"/>
              </w:rPr>
            </w:pPr>
            <w:r w:rsidRPr="00DD2634">
              <w:rPr>
                <w:rFonts w:cstheme="minorHAnsi"/>
                <w:color w:val="000000"/>
                <w:sz w:val="24"/>
                <w:szCs w:val="24"/>
              </w:rPr>
              <w:t>In Home Care</w:t>
            </w:r>
          </w:p>
        </w:tc>
      </w:tr>
      <w:tr w:rsidR="00367BC9" w:rsidRPr="00DD2634" w14:paraId="1231D429" w14:textId="77777777" w:rsidTr="00BE5BEF">
        <w:tc>
          <w:tcPr>
            <w:tcW w:w="1339" w:type="dxa"/>
            <w:vAlign w:val="center"/>
          </w:tcPr>
          <w:p w14:paraId="299CC5C2" w14:textId="77777777" w:rsidR="00367BC9" w:rsidRPr="00DD2634" w:rsidRDefault="00367BC9" w:rsidP="00BE5BEF">
            <w:pPr>
              <w:spacing w:before="20" w:after="20"/>
              <w:rPr>
                <w:rFonts w:cstheme="minorHAnsi"/>
                <w:color w:val="000000"/>
                <w:sz w:val="24"/>
                <w:szCs w:val="24"/>
              </w:rPr>
            </w:pPr>
            <w:proofErr w:type="spellStart"/>
            <w:r w:rsidRPr="00DD2634">
              <w:rPr>
                <w:rFonts w:cstheme="minorHAnsi"/>
                <w:color w:val="000000"/>
                <w:sz w:val="24"/>
                <w:szCs w:val="24"/>
              </w:rPr>
              <w:t>IPSP</w:t>
            </w:r>
            <w:proofErr w:type="spellEnd"/>
          </w:p>
        </w:tc>
        <w:tc>
          <w:tcPr>
            <w:tcW w:w="6804" w:type="dxa"/>
            <w:vAlign w:val="center"/>
          </w:tcPr>
          <w:p w14:paraId="7E5B5DFE" w14:textId="77777777" w:rsidR="00367BC9" w:rsidRPr="00DD2634" w:rsidRDefault="00367BC9" w:rsidP="00BE5BEF">
            <w:pPr>
              <w:spacing w:before="20" w:after="20"/>
              <w:rPr>
                <w:rFonts w:cstheme="minorHAnsi"/>
                <w:sz w:val="24"/>
                <w:szCs w:val="24"/>
              </w:rPr>
            </w:pPr>
            <w:r w:rsidRPr="00DD2634">
              <w:rPr>
                <w:rFonts w:cstheme="minorHAnsi"/>
                <w:color w:val="000000"/>
                <w:sz w:val="24"/>
                <w:szCs w:val="24"/>
              </w:rPr>
              <w:t>Inclusion and Professional Support Programme</w:t>
            </w:r>
          </w:p>
        </w:tc>
      </w:tr>
      <w:tr w:rsidR="00367BC9" w:rsidRPr="00DD2634" w14:paraId="30718C96" w14:textId="77777777" w:rsidTr="00BE5BEF">
        <w:tc>
          <w:tcPr>
            <w:tcW w:w="1339" w:type="dxa"/>
            <w:vAlign w:val="center"/>
          </w:tcPr>
          <w:p w14:paraId="1CA4D82D" w14:textId="77777777" w:rsidR="00367BC9" w:rsidRPr="00DD2634" w:rsidRDefault="00367BC9" w:rsidP="00BE5BEF">
            <w:pPr>
              <w:spacing w:before="20" w:after="20"/>
              <w:rPr>
                <w:rFonts w:cstheme="minorHAnsi"/>
                <w:color w:val="000000"/>
                <w:sz w:val="24"/>
                <w:szCs w:val="24"/>
              </w:rPr>
            </w:pPr>
            <w:r w:rsidRPr="00DD2634">
              <w:rPr>
                <w:rFonts w:cstheme="minorHAnsi"/>
                <w:color w:val="000000"/>
                <w:sz w:val="24"/>
                <w:szCs w:val="24"/>
              </w:rPr>
              <w:t>ISA</w:t>
            </w:r>
          </w:p>
        </w:tc>
        <w:tc>
          <w:tcPr>
            <w:tcW w:w="6804" w:type="dxa"/>
            <w:vAlign w:val="center"/>
          </w:tcPr>
          <w:p w14:paraId="7B06016C" w14:textId="77777777" w:rsidR="00367BC9" w:rsidRPr="00DD2634" w:rsidRDefault="00367BC9" w:rsidP="00BE5BEF">
            <w:pPr>
              <w:spacing w:before="20" w:after="20"/>
              <w:rPr>
                <w:rFonts w:cstheme="minorHAnsi"/>
                <w:sz w:val="24"/>
                <w:szCs w:val="24"/>
              </w:rPr>
            </w:pPr>
            <w:r w:rsidRPr="00DD2634">
              <w:rPr>
                <w:rFonts w:cstheme="minorHAnsi"/>
                <w:color w:val="000000"/>
                <w:sz w:val="24"/>
                <w:szCs w:val="24"/>
              </w:rPr>
              <w:t>Inclusion Support Agency/Agencies</w:t>
            </w:r>
          </w:p>
        </w:tc>
      </w:tr>
      <w:tr w:rsidR="00367BC9" w:rsidRPr="00DD2634" w14:paraId="734B8415" w14:textId="77777777" w:rsidTr="00BE5BEF">
        <w:tc>
          <w:tcPr>
            <w:tcW w:w="1339" w:type="dxa"/>
            <w:vAlign w:val="center"/>
          </w:tcPr>
          <w:p w14:paraId="0F2B362E" w14:textId="77777777" w:rsidR="00367BC9" w:rsidRPr="00DD2634" w:rsidRDefault="00367BC9" w:rsidP="00BE5BEF">
            <w:pPr>
              <w:spacing w:before="20" w:after="20"/>
              <w:rPr>
                <w:rFonts w:cstheme="minorHAnsi"/>
                <w:color w:val="000000"/>
                <w:sz w:val="24"/>
                <w:szCs w:val="24"/>
              </w:rPr>
            </w:pPr>
            <w:proofErr w:type="spellStart"/>
            <w:r w:rsidRPr="00DD2634">
              <w:rPr>
                <w:rFonts w:cstheme="minorHAnsi"/>
                <w:color w:val="000000"/>
                <w:sz w:val="24"/>
                <w:szCs w:val="24"/>
              </w:rPr>
              <w:t>ISS</w:t>
            </w:r>
            <w:proofErr w:type="spellEnd"/>
          </w:p>
        </w:tc>
        <w:tc>
          <w:tcPr>
            <w:tcW w:w="6804" w:type="dxa"/>
            <w:vAlign w:val="center"/>
          </w:tcPr>
          <w:p w14:paraId="07CA3478" w14:textId="77777777" w:rsidR="00367BC9" w:rsidRPr="00DD2634" w:rsidRDefault="00367BC9" w:rsidP="00BE5BEF">
            <w:pPr>
              <w:spacing w:before="20" w:after="20"/>
              <w:rPr>
                <w:rFonts w:cstheme="minorHAnsi"/>
                <w:sz w:val="24"/>
                <w:szCs w:val="24"/>
              </w:rPr>
            </w:pPr>
            <w:r w:rsidRPr="00DD2634">
              <w:rPr>
                <w:rFonts w:cstheme="minorHAnsi"/>
                <w:color w:val="000000"/>
                <w:sz w:val="24"/>
                <w:szCs w:val="24"/>
              </w:rPr>
              <w:t>Inclusion Support Subsidy</w:t>
            </w:r>
          </w:p>
        </w:tc>
      </w:tr>
      <w:tr w:rsidR="00367BC9" w:rsidRPr="00DD2634" w14:paraId="1DC48267" w14:textId="77777777" w:rsidTr="00BE5BEF">
        <w:tc>
          <w:tcPr>
            <w:tcW w:w="1339" w:type="dxa"/>
            <w:vAlign w:val="center"/>
          </w:tcPr>
          <w:p w14:paraId="33170514" w14:textId="77777777" w:rsidR="00367BC9" w:rsidRPr="00DD2634" w:rsidRDefault="00367BC9" w:rsidP="00BE5BEF">
            <w:pPr>
              <w:spacing w:before="20" w:after="20"/>
              <w:rPr>
                <w:rFonts w:cstheme="minorHAnsi"/>
                <w:color w:val="000000"/>
                <w:sz w:val="24"/>
                <w:szCs w:val="24"/>
              </w:rPr>
            </w:pPr>
            <w:proofErr w:type="spellStart"/>
            <w:r w:rsidRPr="00DD2634">
              <w:rPr>
                <w:rFonts w:cstheme="minorHAnsi"/>
                <w:color w:val="000000"/>
                <w:sz w:val="24"/>
                <w:szCs w:val="24"/>
              </w:rPr>
              <w:t>IPSU</w:t>
            </w:r>
            <w:proofErr w:type="spellEnd"/>
          </w:p>
        </w:tc>
        <w:tc>
          <w:tcPr>
            <w:tcW w:w="6804" w:type="dxa"/>
            <w:vAlign w:val="center"/>
          </w:tcPr>
          <w:p w14:paraId="152A95E0" w14:textId="77777777" w:rsidR="00367BC9" w:rsidRPr="00DD2634" w:rsidRDefault="00367BC9" w:rsidP="00BE5BEF">
            <w:pPr>
              <w:spacing w:before="20" w:after="20"/>
              <w:rPr>
                <w:rFonts w:cstheme="minorHAnsi"/>
                <w:sz w:val="24"/>
                <w:szCs w:val="24"/>
              </w:rPr>
            </w:pPr>
            <w:r w:rsidRPr="00DD2634">
              <w:rPr>
                <w:rFonts w:cstheme="minorHAnsi"/>
                <w:color w:val="000000"/>
                <w:sz w:val="24"/>
                <w:szCs w:val="24"/>
              </w:rPr>
              <w:t>Indigenous Professional Support Unit(s)</w:t>
            </w:r>
          </w:p>
        </w:tc>
      </w:tr>
      <w:tr w:rsidR="00367BC9" w:rsidRPr="00DD2634" w14:paraId="6DD6E61C" w14:textId="77777777" w:rsidTr="00BE5BEF">
        <w:tc>
          <w:tcPr>
            <w:tcW w:w="1339" w:type="dxa"/>
            <w:vAlign w:val="center"/>
          </w:tcPr>
          <w:p w14:paraId="16CB5C99" w14:textId="77777777" w:rsidR="00367BC9" w:rsidRPr="00DD2634" w:rsidRDefault="00367BC9" w:rsidP="00BE5BEF">
            <w:pPr>
              <w:spacing w:before="20" w:after="20"/>
              <w:rPr>
                <w:rFonts w:cstheme="minorHAnsi"/>
                <w:color w:val="000000"/>
                <w:sz w:val="24"/>
                <w:szCs w:val="24"/>
              </w:rPr>
            </w:pPr>
            <w:r w:rsidRPr="00DD2634">
              <w:rPr>
                <w:rFonts w:cstheme="minorHAnsi"/>
                <w:color w:val="000000"/>
                <w:sz w:val="24"/>
                <w:szCs w:val="24"/>
              </w:rPr>
              <w:t>JET</w:t>
            </w:r>
          </w:p>
        </w:tc>
        <w:tc>
          <w:tcPr>
            <w:tcW w:w="6804" w:type="dxa"/>
            <w:vAlign w:val="center"/>
          </w:tcPr>
          <w:p w14:paraId="12AC0F62" w14:textId="77777777" w:rsidR="00367BC9" w:rsidRPr="00DD2634" w:rsidRDefault="00367BC9" w:rsidP="00BE5BEF">
            <w:pPr>
              <w:spacing w:before="20" w:after="20"/>
              <w:rPr>
                <w:rFonts w:cstheme="minorHAnsi"/>
                <w:sz w:val="24"/>
                <w:szCs w:val="24"/>
              </w:rPr>
            </w:pPr>
            <w:r w:rsidRPr="00DD2634">
              <w:rPr>
                <w:rFonts w:cstheme="minorHAnsi"/>
                <w:color w:val="000000"/>
                <w:sz w:val="24"/>
                <w:szCs w:val="24"/>
              </w:rPr>
              <w:t>Jobs, Education and Training</w:t>
            </w:r>
          </w:p>
        </w:tc>
      </w:tr>
      <w:tr w:rsidR="00367BC9" w:rsidRPr="00DD2634" w14:paraId="76E61561" w14:textId="77777777" w:rsidTr="00BE5BEF">
        <w:tc>
          <w:tcPr>
            <w:tcW w:w="1339" w:type="dxa"/>
            <w:vAlign w:val="center"/>
          </w:tcPr>
          <w:p w14:paraId="6846B342" w14:textId="77777777" w:rsidR="00367BC9" w:rsidRPr="00DD2634" w:rsidRDefault="00367BC9" w:rsidP="00BE5BEF">
            <w:pPr>
              <w:spacing w:before="20" w:after="20"/>
              <w:rPr>
                <w:rFonts w:cstheme="minorHAnsi"/>
                <w:color w:val="000000"/>
                <w:sz w:val="24"/>
                <w:szCs w:val="24"/>
              </w:rPr>
            </w:pPr>
            <w:r w:rsidRPr="00DD2634">
              <w:rPr>
                <w:rFonts w:cstheme="minorHAnsi"/>
                <w:color w:val="000000"/>
                <w:sz w:val="24"/>
                <w:szCs w:val="24"/>
              </w:rPr>
              <w:t>JETCCFA</w:t>
            </w:r>
          </w:p>
        </w:tc>
        <w:tc>
          <w:tcPr>
            <w:tcW w:w="6804" w:type="dxa"/>
            <w:vAlign w:val="center"/>
          </w:tcPr>
          <w:p w14:paraId="7B57EB2D" w14:textId="77777777" w:rsidR="00367BC9" w:rsidRPr="00DD2634" w:rsidRDefault="00367BC9" w:rsidP="00BE5BEF">
            <w:pPr>
              <w:spacing w:before="20" w:after="20"/>
              <w:rPr>
                <w:rFonts w:cstheme="minorHAnsi"/>
                <w:sz w:val="24"/>
                <w:szCs w:val="24"/>
              </w:rPr>
            </w:pPr>
            <w:r w:rsidRPr="00DD2634">
              <w:rPr>
                <w:rFonts w:cstheme="minorHAnsi"/>
                <w:color w:val="000000"/>
                <w:sz w:val="24"/>
                <w:szCs w:val="24"/>
              </w:rPr>
              <w:t>Jobs, Education and Training Child Care Fee Assistance</w:t>
            </w:r>
          </w:p>
        </w:tc>
      </w:tr>
      <w:tr w:rsidR="00367BC9" w:rsidRPr="00DD2634" w14:paraId="7F7DB132" w14:textId="77777777" w:rsidTr="00BE5BEF">
        <w:tc>
          <w:tcPr>
            <w:tcW w:w="1339" w:type="dxa"/>
            <w:vAlign w:val="center"/>
          </w:tcPr>
          <w:p w14:paraId="73CF29FD" w14:textId="77777777" w:rsidR="00367BC9" w:rsidRPr="00DD2634" w:rsidRDefault="00367BC9" w:rsidP="00BE5BEF">
            <w:pPr>
              <w:spacing w:before="20" w:after="20"/>
              <w:rPr>
                <w:rFonts w:cstheme="minorHAnsi"/>
                <w:color w:val="000000"/>
                <w:sz w:val="24"/>
                <w:szCs w:val="24"/>
              </w:rPr>
            </w:pPr>
            <w:r w:rsidRPr="00DD2634">
              <w:rPr>
                <w:rFonts w:cstheme="minorHAnsi"/>
                <w:color w:val="000000"/>
                <w:sz w:val="24"/>
                <w:szCs w:val="24"/>
              </w:rPr>
              <w:t>LDC</w:t>
            </w:r>
          </w:p>
        </w:tc>
        <w:tc>
          <w:tcPr>
            <w:tcW w:w="6804" w:type="dxa"/>
            <w:vAlign w:val="center"/>
          </w:tcPr>
          <w:p w14:paraId="6D8AC392" w14:textId="77777777" w:rsidR="00367BC9" w:rsidRPr="00DD2634" w:rsidRDefault="00367BC9" w:rsidP="00BE5BEF">
            <w:pPr>
              <w:spacing w:before="20" w:after="20"/>
              <w:rPr>
                <w:rFonts w:cstheme="minorHAnsi"/>
                <w:sz w:val="24"/>
                <w:szCs w:val="24"/>
              </w:rPr>
            </w:pPr>
            <w:r w:rsidRPr="00DD2634">
              <w:rPr>
                <w:rFonts w:cstheme="minorHAnsi"/>
                <w:color w:val="000000"/>
                <w:sz w:val="24"/>
                <w:szCs w:val="24"/>
              </w:rPr>
              <w:t>Long Day Care</w:t>
            </w:r>
          </w:p>
        </w:tc>
      </w:tr>
      <w:tr w:rsidR="00367BC9" w:rsidRPr="00DD2634" w14:paraId="06F01B84" w14:textId="77777777" w:rsidTr="00BE5BEF">
        <w:tc>
          <w:tcPr>
            <w:tcW w:w="1339" w:type="dxa"/>
            <w:vAlign w:val="center"/>
          </w:tcPr>
          <w:p w14:paraId="1403C06E" w14:textId="77777777" w:rsidR="00367BC9" w:rsidRPr="00DD2634" w:rsidRDefault="00367BC9" w:rsidP="00BE5BEF">
            <w:pPr>
              <w:spacing w:before="20" w:after="20"/>
              <w:rPr>
                <w:rFonts w:cstheme="minorHAnsi"/>
                <w:color w:val="000000"/>
                <w:sz w:val="24"/>
                <w:szCs w:val="24"/>
              </w:rPr>
            </w:pPr>
            <w:proofErr w:type="spellStart"/>
            <w:r w:rsidRPr="00DD2634">
              <w:rPr>
                <w:rFonts w:cstheme="minorHAnsi"/>
                <w:color w:val="000000"/>
                <w:sz w:val="24"/>
                <w:szCs w:val="24"/>
              </w:rPr>
              <w:t>MYEFO</w:t>
            </w:r>
            <w:proofErr w:type="spellEnd"/>
          </w:p>
        </w:tc>
        <w:tc>
          <w:tcPr>
            <w:tcW w:w="6804" w:type="dxa"/>
            <w:vAlign w:val="center"/>
          </w:tcPr>
          <w:p w14:paraId="6EF9F9C6" w14:textId="77777777" w:rsidR="00367BC9" w:rsidRPr="00DD2634" w:rsidRDefault="00367BC9" w:rsidP="00BE5BEF">
            <w:pPr>
              <w:spacing w:before="20" w:after="20"/>
              <w:rPr>
                <w:rFonts w:cstheme="minorHAnsi"/>
                <w:sz w:val="24"/>
                <w:szCs w:val="24"/>
              </w:rPr>
            </w:pPr>
            <w:r w:rsidRPr="00DD2634">
              <w:rPr>
                <w:rFonts w:cstheme="minorHAnsi"/>
                <w:color w:val="000000"/>
                <w:sz w:val="24"/>
                <w:szCs w:val="24"/>
              </w:rPr>
              <w:t>Mid-Year Economic and Fiscal Outlook</w:t>
            </w:r>
          </w:p>
        </w:tc>
      </w:tr>
      <w:tr w:rsidR="00367BC9" w:rsidRPr="00DD2634" w14:paraId="026AF210" w14:textId="77777777" w:rsidTr="00BE5BEF">
        <w:tc>
          <w:tcPr>
            <w:tcW w:w="1339" w:type="dxa"/>
            <w:vAlign w:val="center"/>
          </w:tcPr>
          <w:p w14:paraId="445C50B9" w14:textId="77777777" w:rsidR="00367BC9" w:rsidRPr="00DD2634" w:rsidRDefault="00367BC9" w:rsidP="00BE5BEF">
            <w:pPr>
              <w:spacing w:before="20" w:after="20"/>
              <w:rPr>
                <w:rFonts w:cstheme="minorHAnsi"/>
                <w:color w:val="000000"/>
                <w:sz w:val="24"/>
                <w:szCs w:val="24"/>
              </w:rPr>
            </w:pPr>
            <w:r w:rsidRPr="00DD2634">
              <w:rPr>
                <w:rFonts w:cstheme="minorHAnsi"/>
                <w:color w:val="000000"/>
                <w:sz w:val="24"/>
                <w:szCs w:val="24"/>
              </w:rPr>
              <w:t>MACS</w:t>
            </w:r>
          </w:p>
        </w:tc>
        <w:tc>
          <w:tcPr>
            <w:tcW w:w="6804" w:type="dxa"/>
            <w:vAlign w:val="center"/>
          </w:tcPr>
          <w:p w14:paraId="2491A4C5" w14:textId="77777777" w:rsidR="00367BC9" w:rsidRPr="00DD2634" w:rsidRDefault="00367BC9" w:rsidP="00BE5BEF">
            <w:pPr>
              <w:spacing w:before="20" w:after="20"/>
              <w:rPr>
                <w:rFonts w:cstheme="minorHAnsi"/>
                <w:sz w:val="24"/>
                <w:szCs w:val="24"/>
              </w:rPr>
            </w:pPr>
            <w:r w:rsidRPr="00DD2634">
              <w:rPr>
                <w:rFonts w:cstheme="minorHAnsi"/>
                <w:color w:val="000000"/>
                <w:sz w:val="24"/>
                <w:szCs w:val="24"/>
              </w:rPr>
              <w:t>Multifunctional Aboriginal Children’s Services</w:t>
            </w:r>
          </w:p>
        </w:tc>
      </w:tr>
      <w:tr w:rsidR="00367BC9" w:rsidRPr="00DD2634" w14:paraId="33C7AFFC" w14:textId="77777777" w:rsidTr="00BE5BEF">
        <w:tc>
          <w:tcPr>
            <w:tcW w:w="1339" w:type="dxa"/>
            <w:vAlign w:val="center"/>
          </w:tcPr>
          <w:p w14:paraId="5BD4F0C8" w14:textId="77777777" w:rsidR="00367BC9" w:rsidRPr="00DD2634" w:rsidRDefault="00367BC9" w:rsidP="00BE5BEF">
            <w:pPr>
              <w:spacing w:before="20" w:after="20"/>
              <w:rPr>
                <w:rFonts w:cstheme="minorHAnsi"/>
                <w:color w:val="000000"/>
                <w:sz w:val="24"/>
                <w:szCs w:val="24"/>
              </w:rPr>
            </w:pPr>
            <w:r w:rsidRPr="00DD2634">
              <w:rPr>
                <w:rFonts w:cstheme="minorHAnsi"/>
                <w:color w:val="000000"/>
                <w:sz w:val="24"/>
                <w:szCs w:val="24"/>
              </w:rPr>
              <w:t>NAPLAN</w:t>
            </w:r>
          </w:p>
        </w:tc>
        <w:tc>
          <w:tcPr>
            <w:tcW w:w="6804" w:type="dxa"/>
            <w:vAlign w:val="center"/>
          </w:tcPr>
          <w:p w14:paraId="1325FF81" w14:textId="77777777" w:rsidR="00367BC9" w:rsidRPr="00DD2634" w:rsidRDefault="00367BC9" w:rsidP="00BE5BEF">
            <w:pPr>
              <w:spacing w:before="20" w:after="20"/>
              <w:rPr>
                <w:rFonts w:cstheme="minorHAnsi"/>
                <w:sz w:val="24"/>
                <w:szCs w:val="24"/>
              </w:rPr>
            </w:pPr>
            <w:r w:rsidRPr="00DD2634">
              <w:rPr>
                <w:rFonts w:cstheme="minorHAnsi"/>
                <w:color w:val="000000"/>
                <w:sz w:val="24"/>
                <w:szCs w:val="24"/>
              </w:rPr>
              <w:t>National Assessment Program for Literacy and Numeracy</w:t>
            </w:r>
          </w:p>
        </w:tc>
      </w:tr>
      <w:tr w:rsidR="00367BC9" w:rsidRPr="00DD2634" w14:paraId="701FF8DE" w14:textId="77777777" w:rsidTr="00BE5BEF">
        <w:tc>
          <w:tcPr>
            <w:tcW w:w="1339" w:type="dxa"/>
            <w:vAlign w:val="center"/>
          </w:tcPr>
          <w:p w14:paraId="0EB73243" w14:textId="77777777" w:rsidR="00367BC9" w:rsidRPr="00DD2634" w:rsidRDefault="00367BC9" w:rsidP="00BE5BEF">
            <w:pPr>
              <w:spacing w:before="20" w:after="20"/>
              <w:rPr>
                <w:rFonts w:cstheme="minorHAnsi"/>
                <w:color w:val="000000"/>
                <w:sz w:val="24"/>
                <w:szCs w:val="24"/>
              </w:rPr>
            </w:pPr>
            <w:proofErr w:type="spellStart"/>
            <w:r w:rsidRPr="00DD2634">
              <w:rPr>
                <w:rFonts w:cstheme="minorHAnsi"/>
                <w:color w:val="000000"/>
                <w:sz w:val="24"/>
                <w:szCs w:val="24"/>
              </w:rPr>
              <w:t>NISSP</w:t>
            </w:r>
            <w:proofErr w:type="spellEnd"/>
          </w:p>
        </w:tc>
        <w:tc>
          <w:tcPr>
            <w:tcW w:w="6804" w:type="dxa"/>
            <w:vAlign w:val="center"/>
          </w:tcPr>
          <w:p w14:paraId="250FF468" w14:textId="77777777" w:rsidR="00367BC9" w:rsidRPr="00DD2634" w:rsidRDefault="00367BC9" w:rsidP="00BE5BEF">
            <w:pPr>
              <w:spacing w:before="20" w:after="20"/>
              <w:rPr>
                <w:rFonts w:cstheme="minorHAnsi"/>
                <w:sz w:val="24"/>
                <w:szCs w:val="24"/>
              </w:rPr>
            </w:pPr>
            <w:r w:rsidRPr="00DD2634">
              <w:rPr>
                <w:rFonts w:cstheme="minorHAnsi"/>
                <w:color w:val="000000"/>
                <w:sz w:val="24"/>
                <w:szCs w:val="24"/>
              </w:rPr>
              <w:t>National Inclusion Support Subsidy Provider</w:t>
            </w:r>
          </w:p>
        </w:tc>
      </w:tr>
      <w:tr w:rsidR="00367BC9" w:rsidRPr="00DD2634" w14:paraId="1CC5DD31" w14:textId="77777777" w:rsidTr="00BE5BEF">
        <w:tc>
          <w:tcPr>
            <w:tcW w:w="1339" w:type="dxa"/>
            <w:vAlign w:val="center"/>
          </w:tcPr>
          <w:p w14:paraId="159B5A9B" w14:textId="77777777" w:rsidR="00367BC9" w:rsidRPr="00DD2634" w:rsidRDefault="00367BC9" w:rsidP="00BE5BEF">
            <w:pPr>
              <w:spacing w:before="20" w:after="20"/>
              <w:rPr>
                <w:rFonts w:cstheme="minorHAnsi"/>
                <w:color w:val="000000"/>
                <w:sz w:val="24"/>
                <w:szCs w:val="24"/>
              </w:rPr>
            </w:pPr>
            <w:proofErr w:type="spellStart"/>
            <w:r w:rsidRPr="00DD2634">
              <w:rPr>
                <w:rFonts w:cstheme="minorHAnsi"/>
                <w:color w:val="000000"/>
                <w:sz w:val="24"/>
                <w:szCs w:val="24"/>
              </w:rPr>
              <w:t>NPA</w:t>
            </w:r>
            <w:proofErr w:type="spellEnd"/>
          </w:p>
        </w:tc>
        <w:tc>
          <w:tcPr>
            <w:tcW w:w="6804" w:type="dxa"/>
            <w:vAlign w:val="center"/>
          </w:tcPr>
          <w:p w14:paraId="03EFACD3" w14:textId="77777777" w:rsidR="00367BC9" w:rsidRPr="00DD2634" w:rsidRDefault="00367BC9" w:rsidP="00BE5BEF">
            <w:pPr>
              <w:spacing w:before="20" w:after="20"/>
              <w:rPr>
                <w:rFonts w:cstheme="minorHAnsi"/>
                <w:sz w:val="24"/>
                <w:szCs w:val="24"/>
              </w:rPr>
            </w:pPr>
            <w:r w:rsidRPr="00DD2634">
              <w:rPr>
                <w:rFonts w:cstheme="minorHAnsi"/>
                <w:color w:val="000000"/>
                <w:sz w:val="24"/>
                <w:szCs w:val="24"/>
              </w:rPr>
              <w:t>National Partnership Agreement</w:t>
            </w:r>
          </w:p>
        </w:tc>
      </w:tr>
      <w:tr w:rsidR="00367BC9" w:rsidRPr="00DD2634" w14:paraId="773202FF" w14:textId="77777777" w:rsidTr="00BE5BEF">
        <w:tc>
          <w:tcPr>
            <w:tcW w:w="1339" w:type="dxa"/>
            <w:vAlign w:val="center"/>
          </w:tcPr>
          <w:p w14:paraId="6DC35FAA" w14:textId="77777777" w:rsidR="00367BC9" w:rsidRPr="00DD2634" w:rsidRDefault="00367BC9" w:rsidP="00BE5BEF">
            <w:pPr>
              <w:spacing w:before="20" w:after="20"/>
              <w:rPr>
                <w:rFonts w:cstheme="minorHAnsi"/>
                <w:color w:val="000000"/>
                <w:sz w:val="24"/>
                <w:szCs w:val="24"/>
              </w:rPr>
            </w:pPr>
            <w:proofErr w:type="spellStart"/>
            <w:r w:rsidRPr="00DD2634">
              <w:rPr>
                <w:rFonts w:cstheme="minorHAnsi"/>
                <w:color w:val="000000"/>
                <w:sz w:val="24"/>
                <w:szCs w:val="24"/>
              </w:rPr>
              <w:t>NQF</w:t>
            </w:r>
            <w:proofErr w:type="spellEnd"/>
          </w:p>
        </w:tc>
        <w:tc>
          <w:tcPr>
            <w:tcW w:w="6804" w:type="dxa"/>
            <w:vAlign w:val="center"/>
          </w:tcPr>
          <w:p w14:paraId="7B39E5CE" w14:textId="77777777" w:rsidR="00367BC9" w:rsidRPr="00DD2634" w:rsidRDefault="00367BC9" w:rsidP="00BE5BEF">
            <w:pPr>
              <w:spacing w:before="20" w:after="20"/>
              <w:rPr>
                <w:rFonts w:cstheme="minorHAnsi"/>
                <w:sz w:val="24"/>
                <w:szCs w:val="24"/>
              </w:rPr>
            </w:pPr>
            <w:r w:rsidRPr="00DD2634">
              <w:rPr>
                <w:rFonts w:cstheme="minorHAnsi"/>
                <w:color w:val="000000"/>
                <w:sz w:val="24"/>
                <w:szCs w:val="24"/>
              </w:rPr>
              <w:t>National Quality Framework</w:t>
            </w:r>
          </w:p>
        </w:tc>
      </w:tr>
      <w:tr w:rsidR="00367BC9" w:rsidRPr="00DD2634" w14:paraId="27582247" w14:textId="77777777" w:rsidTr="00BE5BEF">
        <w:tc>
          <w:tcPr>
            <w:tcW w:w="1339" w:type="dxa"/>
            <w:vAlign w:val="center"/>
          </w:tcPr>
          <w:p w14:paraId="54A9F7E2" w14:textId="77777777" w:rsidR="00367BC9" w:rsidRPr="00DD2634" w:rsidRDefault="00367BC9" w:rsidP="00BE5BEF">
            <w:pPr>
              <w:spacing w:before="20" w:after="20"/>
              <w:rPr>
                <w:rFonts w:cstheme="minorHAnsi"/>
                <w:color w:val="000000"/>
                <w:sz w:val="24"/>
                <w:szCs w:val="24"/>
              </w:rPr>
            </w:pPr>
            <w:proofErr w:type="spellStart"/>
            <w:r w:rsidRPr="00DD2634">
              <w:rPr>
                <w:rFonts w:cstheme="minorHAnsi"/>
                <w:color w:val="000000"/>
                <w:sz w:val="24"/>
                <w:szCs w:val="24"/>
              </w:rPr>
              <w:t>NQS</w:t>
            </w:r>
            <w:proofErr w:type="spellEnd"/>
          </w:p>
        </w:tc>
        <w:tc>
          <w:tcPr>
            <w:tcW w:w="6804" w:type="dxa"/>
            <w:vAlign w:val="center"/>
          </w:tcPr>
          <w:p w14:paraId="17976DB3" w14:textId="77777777" w:rsidR="00367BC9" w:rsidRPr="00DD2634" w:rsidRDefault="00367BC9" w:rsidP="00BE5BEF">
            <w:pPr>
              <w:spacing w:before="20" w:after="20"/>
              <w:rPr>
                <w:rFonts w:cstheme="minorHAnsi"/>
                <w:sz w:val="24"/>
                <w:szCs w:val="24"/>
              </w:rPr>
            </w:pPr>
            <w:r w:rsidRPr="00DD2634">
              <w:rPr>
                <w:rFonts w:cstheme="minorHAnsi"/>
                <w:color w:val="000000"/>
                <w:sz w:val="24"/>
                <w:szCs w:val="24"/>
              </w:rPr>
              <w:t>National Quality Standards</w:t>
            </w:r>
          </w:p>
        </w:tc>
      </w:tr>
      <w:tr w:rsidR="00367BC9" w:rsidRPr="00DD2634" w14:paraId="70DD389F" w14:textId="77777777" w:rsidTr="00BE5BEF">
        <w:tc>
          <w:tcPr>
            <w:tcW w:w="1339" w:type="dxa"/>
            <w:vAlign w:val="center"/>
          </w:tcPr>
          <w:p w14:paraId="7B27C4BF" w14:textId="77777777" w:rsidR="00367BC9" w:rsidRPr="00DD2634" w:rsidRDefault="00367BC9" w:rsidP="00BE5BEF">
            <w:pPr>
              <w:spacing w:before="20" w:after="20"/>
              <w:rPr>
                <w:rFonts w:cstheme="minorHAnsi"/>
                <w:color w:val="000000"/>
                <w:sz w:val="24"/>
                <w:szCs w:val="24"/>
              </w:rPr>
            </w:pPr>
            <w:r w:rsidRPr="00DD2634">
              <w:rPr>
                <w:rFonts w:cstheme="minorHAnsi"/>
                <w:color w:val="000000"/>
                <w:sz w:val="24"/>
                <w:szCs w:val="24"/>
              </w:rPr>
              <w:t>OCC</w:t>
            </w:r>
          </w:p>
        </w:tc>
        <w:tc>
          <w:tcPr>
            <w:tcW w:w="6804" w:type="dxa"/>
            <w:vAlign w:val="center"/>
          </w:tcPr>
          <w:p w14:paraId="3FB3D41D" w14:textId="77777777" w:rsidR="00367BC9" w:rsidRPr="00DD2634" w:rsidRDefault="00367BC9" w:rsidP="00BE5BEF">
            <w:pPr>
              <w:spacing w:before="20" w:after="20"/>
              <w:rPr>
                <w:rFonts w:cstheme="minorHAnsi"/>
                <w:sz w:val="24"/>
                <w:szCs w:val="24"/>
              </w:rPr>
            </w:pPr>
            <w:r w:rsidRPr="00DD2634">
              <w:rPr>
                <w:rFonts w:cstheme="minorHAnsi"/>
                <w:color w:val="000000"/>
                <w:sz w:val="24"/>
                <w:szCs w:val="24"/>
              </w:rPr>
              <w:t>Occasional Care</w:t>
            </w:r>
          </w:p>
        </w:tc>
      </w:tr>
      <w:tr w:rsidR="00367BC9" w:rsidRPr="00DD2634" w14:paraId="110BB1A3" w14:textId="77777777" w:rsidTr="00BE5BEF">
        <w:tc>
          <w:tcPr>
            <w:tcW w:w="1339" w:type="dxa"/>
            <w:vAlign w:val="center"/>
          </w:tcPr>
          <w:p w14:paraId="71D20EAA" w14:textId="77777777" w:rsidR="00367BC9" w:rsidRPr="00DD2634" w:rsidRDefault="00367BC9" w:rsidP="00BE5BEF">
            <w:pPr>
              <w:spacing w:before="20" w:after="20"/>
              <w:rPr>
                <w:rFonts w:cstheme="minorHAnsi"/>
                <w:color w:val="000000"/>
                <w:sz w:val="24"/>
                <w:szCs w:val="24"/>
              </w:rPr>
            </w:pPr>
            <w:r w:rsidRPr="00DD2634">
              <w:rPr>
                <w:rFonts w:cstheme="minorHAnsi"/>
                <w:color w:val="000000"/>
                <w:sz w:val="24"/>
                <w:szCs w:val="24"/>
              </w:rPr>
              <w:t>OECD</w:t>
            </w:r>
          </w:p>
        </w:tc>
        <w:tc>
          <w:tcPr>
            <w:tcW w:w="6804" w:type="dxa"/>
            <w:vAlign w:val="center"/>
          </w:tcPr>
          <w:p w14:paraId="228986F9" w14:textId="77777777" w:rsidR="00367BC9" w:rsidRPr="00DD2634" w:rsidRDefault="00367BC9" w:rsidP="00BE5BEF">
            <w:pPr>
              <w:spacing w:before="20" w:after="20"/>
              <w:rPr>
                <w:rFonts w:cstheme="minorHAnsi"/>
                <w:sz w:val="24"/>
                <w:szCs w:val="24"/>
              </w:rPr>
            </w:pPr>
            <w:r w:rsidRPr="00DD2634">
              <w:rPr>
                <w:rFonts w:cstheme="minorHAnsi"/>
                <w:color w:val="000000"/>
                <w:sz w:val="24"/>
                <w:szCs w:val="24"/>
              </w:rPr>
              <w:t>Organisation for Economic Cooperation and Development</w:t>
            </w:r>
          </w:p>
        </w:tc>
      </w:tr>
      <w:tr w:rsidR="00367BC9" w:rsidRPr="00DD2634" w14:paraId="1D362C76" w14:textId="77777777" w:rsidTr="00BE5BEF">
        <w:tc>
          <w:tcPr>
            <w:tcW w:w="1339" w:type="dxa"/>
            <w:vAlign w:val="center"/>
          </w:tcPr>
          <w:p w14:paraId="08AA7004" w14:textId="77777777" w:rsidR="00367BC9" w:rsidRPr="00DD2634" w:rsidRDefault="00367BC9" w:rsidP="00BE5BEF">
            <w:pPr>
              <w:spacing w:before="20" w:after="20"/>
              <w:rPr>
                <w:rFonts w:cstheme="minorHAnsi"/>
                <w:color w:val="000000"/>
                <w:sz w:val="24"/>
                <w:szCs w:val="24"/>
              </w:rPr>
            </w:pPr>
            <w:r w:rsidRPr="00DD2634">
              <w:rPr>
                <w:rFonts w:cstheme="minorHAnsi"/>
                <w:color w:val="000000"/>
                <w:sz w:val="24"/>
                <w:szCs w:val="24"/>
              </w:rPr>
              <w:t>OSHC</w:t>
            </w:r>
          </w:p>
        </w:tc>
        <w:tc>
          <w:tcPr>
            <w:tcW w:w="6804" w:type="dxa"/>
            <w:vAlign w:val="center"/>
          </w:tcPr>
          <w:p w14:paraId="0D980CF8" w14:textId="72E4599C" w:rsidR="00367BC9" w:rsidRPr="00DD2634" w:rsidRDefault="006678AE" w:rsidP="00BE5BEF">
            <w:pPr>
              <w:spacing w:before="20" w:after="20"/>
              <w:rPr>
                <w:rFonts w:cstheme="minorHAnsi"/>
                <w:sz w:val="24"/>
                <w:szCs w:val="24"/>
              </w:rPr>
            </w:pPr>
            <w:r>
              <w:rPr>
                <w:rFonts w:cstheme="minorHAnsi"/>
                <w:color w:val="000000"/>
                <w:sz w:val="24"/>
                <w:szCs w:val="24"/>
              </w:rPr>
              <w:t xml:space="preserve">Outside </w:t>
            </w:r>
            <w:r w:rsidR="00367BC9" w:rsidRPr="00DD2634">
              <w:rPr>
                <w:rFonts w:cstheme="minorHAnsi"/>
                <w:color w:val="000000"/>
                <w:sz w:val="24"/>
                <w:szCs w:val="24"/>
              </w:rPr>
              <w:t>School Hours Care</w:t>
            </w:r>
          </w:p>
        </w:tc>
      </w:tr>
      <w:tr w:rsidR="00367BC9" w:rsidRPr="00DD2634" w14:paraId="4F6197F8" w14:textId="77777777" w:rsidTr="00BE5BEF">
        <w:tc>
          <w:tcPr>
            <w:tcW w:w="1339" w:type="dxa"/>
            <w:vAlign w:val="center"/>
          </w:tcPr>
          <w:p w14:paraId="42545E58" w14:textId="77777777" w:rsidR="00367BC9" w:rsidRPr="00DD2634" w:rsidRDefault="00367BC9" w:rsidP="00BE5BEF">
            <w:pPr>
              <w:spacing w:before="20" w:after="20"/>
              <w:rPr>
                <w:rFonts w:cstheme="minorHAnsi"/>
                <w:color w:val="000000"/>
                <w:sz w:val="24"/>
                <w:szCs w:val="24"/>
              </w:rPr>
            </w:pPr>
            <w:proofErr w:type="spellStart"/>
            <w:r w:rsidRPr="00DD2634">
              <w:rPr>
                <w:rFonts w:cstheme="minorHAnsi"/>
                <w:color w:val="000000"/>
                <w:sz w:val="24"/>
                <w:szCs w:val="24"/>
              </w:rPr>
              <w:t>PSC</w:t>
            </w:r>
            <w:proofErr w:type="spellEnd"/>
          </w:p>
        </w:tc>
        <w:tc>
          <w:tcPr>
            <w:tcW w:w="6804" w:type="dxa"/>
            <w:vAlign w:val="center"/>
          </w:tcPr>
          <w:p w14:paraId="39B427A4" w14:textId="77777777" w:rsidR="00367BC9" w:rsidRPr="00DD2634" w:rsidRDefault="00367BC9" w:rsidP="00BE5BEF">
            <w:pPr>
              <w:spacing w:before="20" w:after="20"/>
              <w:rPr>
                <w:rFonts w:cstheme="minorHAnsi"/>
                <w:sz w:val="24"/>
                <w:szCs w:val="24"/>
              </w:rPr>
            </w:pPr>
            <w:r w:rsidRPr="00DD2634">
              <w:rPr>
                <w:rFonts w:cstheme="minorHAnsi"/>
                <w:color w:val="000000"/>
                <w:sz w:val="24"/>
                <w:szCs w:val="24"/>
              </w:rPr>
              <w:t>Professional Support Coordinator(s)</w:t>
            </w:r>
          </w:p>
        </w:tc>
      </w:tr>
      <w:tr w:rsidR="00367BC9" w:rsidRPr="00DD2634" w14:paraId="328FEC8D" w14:textId="77777777" w:rsidTr="00BE5BEF">
        <w:tc>
          <w:tcPr>
            <w:tcW w:w="1339" w:type="dxa"/>
            <w:vAlign w:val="center"/>
          </w:tcPr>
          <w:p w14:paraId="6E0FD351" w14:textId="77777777" w:rsidR="00367BC9" w:rsidRPr="00DD2634" w:rsidRDefault="00367BC9" w:rsidP="00BE5BEF">
            <w:pPr>
              <w:spacing w:before="20" w:after="20"/>
              <w:rPr>
                <w:rFonts w:cstheme="minorHAnsi"/>
                <w:color w:val="000000"/>
                <w:sz w:val="24"/>
                <w:szCs w:val="24"/>
              </w:rPr>
            </w:pPr>
            <w:r w:rsidRPr="00DD2634">
              <w:rPr>
                <w:rFonts w:cstheme="minorHAnsi"/>
                <w:color w:val="000000"/>
                <w:sz w:val="24"/>
                <w:szCs w:val="24"/>
              </w:rPr>
              <w:t>SCCB</w:t>
            </w:r>
          </w:p>
        </w:tc>
        <w:tc>
          <w:tcPr>
            <w:tcW w:w="6804" w:type="dxa"/>
            <w:vAlign w:val="center"/>
          </w:tcPr>
          <w:p w14:paraId="702ABC8A" w14:textId="77777777" w:rsidR="00367BC9" w:rsidRPr="00DD2634" w:rsidRDefault="00367BC9" w:rsidP="00BE5BEF">
            <w:pPr>
              <w:spacing w:before="20" w:after="20"/>
              <w:rPr>
                <w:rFonts w:cstheme="minorHAnsi"/>
                <w:sz w:val="24"/>
                <w:szCs w:val="24"/>
              </w:rPr>
            </w:pPr>
            <w:r w:rsidRPr="00DD2634">
              <w:rPr>
                <w:rFonts w:cstheme="minorHAnsi"/>
                <w:color w:val="000000"/>
                <w:sz w:val="24"/>
                <w:szCs w:val="24"/>
              </w:rPr>
              <w:t xml:space="preserve">Special Child Care Benefit </w:t>
            </w:r>
          </w:p>
        </w:tc>
      </w:tr>
    </w:tbl>
    <w:p w14:paraId="5E78B471" w14:textId="77777777" w:rsidR="00367BC9" w:rsidRPr="00DD2634" w:rsidRDefault="00367BC9" w:rsidP="00954DC2">
      <w:pPr>
        <w:tabs>
          <w:tab w:val="right" w:leader="dot" w:pos="7938"/>
        </w:tabs>
      </w:pPr>
    </w:p>
    <w:p w14:paraId="04969C29" w14:textId="2FAC2102" w:rsidR="00CA4F4C" w:rsidRPr="00DD2634" w:rsidRDefault="00CA4F4C" w:rsidP="00D661D0">
      <w:pPr>
        <w:pStyle w:val="Heading1"/>
      </w:pPr>
      <w:bookmarkStart w:id="10" w:name="_Toc377217312"/>
      <w:bookmarkStart w:id="11" w:name="_Ref377375840"/>
      <w:bookmarkStart w:id="12" w:name="_Ref377375848"/>
      <w:bookmarkStart w:id="13" w:name="_Toc379208172"/>
      <w:bookmarkStart w:id="14" w:name="_Toc373221244"/>
      <w:bookmarkStart w:id="15" w:name="_Toc372967003"/>
      <w:r w:rsidRPr="00DD2634">
        <w:lastRenderedPageBreak/>
        <w:t>Introduction</w:t>
      </w:r>
      <w:bookmarkEnd w:id="10"/>
      <w:bookmarkEnd w:id="11"/>
      <w:bookmarkEnd w:id="12"/>
      <w:bookmarkEnd w:id="13"/>
    </w:p>
    <w:p w14:paraId="04969C2A" w14:textId="0E5C0453" w:rsidR="00CE1472" w:rsidRPr="00DD2634" w:rsidRDefault="00367BC9" w:rsidP="00381744">
      <w:pPr>
        <w:pStyle w:val="NormalNumbered"/>
      </w:pPr>
      <w:r w:rsidRPr="00DD2634">
        <w:rPr>
          <w:noProof/>
          <w:lang w:eastAsia="en-AU"/>
        </w:rPr>
        <mc:AlternateContent>
          <mc:Choice Requires="wps">
            <w:drawing>
              <wp:anchor distT="0" distB="0" distL="114300" distR="114300" simplePos="0" relativeHeight="251685888" behindDoc="0" locked="0" layoutInCell="0" allowOverlap="1" wp14:anchorId="04969EC9" wp14:editId="25E0C988">
                <wp:simplePos x="0" y="0"/>
                <wp:positionH relativeFrom="margin">
                  <wp:posOffset>2945765</wp:posOffset>
                </wp:positionH>
                <wp:positionV relativeFrom="margin">
                  <wp:posOffset>464820</wp:posOffset>
                </wp:positionV>
                <wp:extent cx="2436495" cy="2782570"/>
                <wp:effectExtent l="19050" t="19050" r="20955" b="17780"/>
                <wp:wrapSquare wrapText="bothSides"/>
                <wp:docPr id="9"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6495" cy="2782570"/>
                        </a:xfrm>
                        <a:prstGeom prst="bracketPair">
                          <a:avLst>
                            <a:gd name="adj" fmla="val 8051"/>
                          </a:avLst>
                        </a:prstGeom>
                        <a:noFill/>
                        <a:ln w="38100">
                          <a:solidFill>
                            <a:schemeClr val="tx1">
                              <a:lumMod val="50000"/>
                              <a:lumOff val="50000"/>
                            </a:schemeClr>
                          </a:solidFill>
                          <a:round/>
                          <a:headEnd/>
                          <a:tailEnd/>
                        </a:ln>
                        <a:extLst>
                          <a:ext uri="{909E8E84-426E-40DD-AFC4-6F175D3DCCD1}">
                            <a14:hiddenFill xmlns:a14="http://schemas.microsoft.com/office/drawing/2010/main">
                              <a:solidFill>
                                <a:srgbClr val="943634"/>
                              </a:solidFill>
                            </a14:hiddenFill>
                          </a:ext>
                          <a:ext uri="{AF507438-7753-43E0-B8FC-AC1667EBCBE1}">
                            <a14:hiddenEffects xmlns:a14="http://schemas.microsoft.com/office/drawing/2010/main">
                              <a:effectLst>
                                <a:outerShdw dist="17961" dir="2700000" algn="ctr" rotWithShape="0">
                                  <a:srgbClr val="9BBB59">
                                    <a:gamma/>
                                    <a:shade val="60000"/>
                                    <a:invGamma/>
                                  </a:srgbClr>
                                </a:outerShdw>
                              </a:effectLst>
                            </a14:hiddenEffects>
                          </a:ext>
                        </a:extLst>
                      </wps:spPr>
                      <wps:txbx>
                        <w:txbxContent>
                          <w:p w14:paraId="04969F2B" w14:textId="77777777" w:rsidR="006678AE" w:rsidRPr="009158D9" w:rsidRDefault="006678AE" w:rsidP="00214DFF">
                            <w:pPr>
                              <w:spacing w:after="0"/>
                              <w:rPr>
                                <w:b/>
                                <w:i/>
                                <w:iCs/>
                                <w:sz w:val="20"/>
                                <w:szCs w:val="20"/>
                              </w:rPr>
                            </w:pPr>
                            <w:r w:rsidRPr="009158D9">
                              <w:rPr>
                                <w:b/>
                                <w:i/>
                                <w:iCs/>
                                <w:sz w:val="20"/>
                                <w:szCs w:val="20"/>
                              </w:rPr>
                              <w:t>Key Points:</w:t>
                            </w:r>
                          </w:p>
                          <w:p w14:paraId="04969F2C" w14:textId="4391B902" w:rsidR="006678AE" w:rsidRDefault="006678AE" w:rsidP="006E1311">
                            <w:pPr>
                              <w:pStyle w:val="ListParagraph"/>
                              <w:numPr>
                                <w:ilvl w:val="0"/>
                                <w:numId w:val="16"/>
                              </w:numPr>
                              <w:spacing w:after="0"/>
                              <w:ind w:left="284" w:hanging="284"/>
                              <w:rPr>
                                <w:i/>
                                <w:iCs/>
                                <w:sz w:val="20"/>
                                <w:szCs w:val="20"/>
                              </w:rPr>
                            </w:pPr>
                            <w:r>
                              <w:rPr>
                                <w:i/>
                                <w:iCs/>
                                <w:sz w:val="20"/>
                                <w:szCs w:val="20"/>
                              </w:rPr>
                              <w:t>CCECL can support parents’ workforce participation needs and provide effective early learning and development for children.</w:t>
                            </w:r>
                          </w:p>
                          <w:p w14:paraId="04969F2D" w14:textId="5888E65F" w:rsidR="006678AE" w:rsidRDefault="006678AE" w:rsidP="006E1311">
                            <w:pPr>
                              <w:pStyle w:val="ListParagraph"/>
                              <w:numPr>
                                <w:ilvl w:val="0"/>
                                <w:numId w:val="16"/>
                              </w:numPr>
                              <w:spacing w:after="0"/>
                              <w:ind w:left="284" w:hanging="284"/>
                              <w:rPr>
                                <w:i/>
                                <w:iCs/>
                                <w:sz w:val="20"/>
                                <w:szCs w:val="20"/>
                              </w:rPr>
                            </w:pPr>
                            <w:r>
                              <w:rPr>
                                <w:i/>
                                <w:iCs/>
                                <w:sz w:val="20"/>
                                <w:szCs w:val="20"/>
                              </w:rPr>
                              <w:t>The CCECL sector operates principally through market mechanisms, although government has a significant role in regulation, and the Australian Government is the single largest funder of the sector.</w:t>
                            </w:r>
                          </w:p>
                          <w:p w14:paraId="04969F2E" w14:textId="16FAA9D3" w:rsidR="006678AE" w:rsidRPr="00214DFF" w:rsidRDefault="006678AE" w:rsidP="006E1311">
                            <w:pPr>
                              <w:pStyle w:val="ListParagraph"/>
                              <w:numPr>
                                <w:ilvl w:val="0"/>
                                <w:numId w:val="16"/>
                              </w:numPr>
                              <w:spacing w:after="0"/>
                              <w:ind w:left="284" w:hanging="284"/>
                              <w:rPr>
                                <w:i/>
                                <w:iCs/>
                                <w:sz w:val="20"/>
                                <w:szCs w:val="20"/>
                              </w:rPr>
                            </w:pPr>
                            <w:r>
                              <w:rPr>
                                <w:i/>
                                <w:iCs/>
                                <w:sz w:val="20"/>
                                <w:szCs w:val="20"/>
                              </w:rPr>
                              <w:t>This Inquiry is an opportunity to embed the strengths of the system and ensure it has a sustainable future.</w:t>
                            </w:r>
                          </w:p>
                        </w:txbxContent>
                      </wps:txbx>
                      <wps:bodyPr rot="0" vert="horz" wrap="square" lIns="45720" tIns="45720" rIns="4572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31.95pt;margin-top:36.6pt;width:191.85pt;height:219.1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" o:allowincell="f" adj="1739" fillcolor="#943634" strokecolor="gray [1629]" strokeweight="3pt">
                <v:shadow color="#5d7035" offset="1pt,1pt"/>
                <v:textbox inset="3.6pt,,3.6pt">
                  <w:txbxContent>
                    <w:p w14:paraId="04969F2B" w14:textId="77777777" w:rsidR="006678AE" w:rsidRPr="009158D9" w:rsidRDefault="006678AE" w:rsidP="00214DFF">
                      <w:pPr>
                        <w:spacing w:after="0"/>
                        <w:rPr>
                          <w:b/>
                          <w:i/>
                          <w:iCs/>
                          <w:sz w:val="20"/>
                          <w:szCs w:val="20"/>
                        </w:rPr>
                      </w:pPr>
                      <w:r w:rsidRPr="009158D9">
                        <w:rPr>
                          <w:b/>
                          <w:i/>
                          <w:iCs/>
                          <w:sz w:val="20"/>
                          <w:szCs w:val="20"/>
                        </w:rPr>
                        <w:t>Key Points:</w:t>
                      </w:r>
                    </w:p>
                    <w:p w14:paraId="04969F2C" w14:textId="4391B902" w:rsidR="006678AE" w:rsidRDefault="006678AE" w:rsidP="006E1311">
                      <w:pPr>
                        <w:pStyle w:val="ListParagraph"/>
                        <w:numPr>
                          <w:ilvl w:val="0"/>
                          <w:numId w:val="16"/>
                        </w:numPr>
                        <w:spacing w:after="0"/>
                        <w:ind w:left="284" w:hanging="284"/>
                        <w:rPr>
                          <w:i/>
                          <w:iCs/>
                          <w:sz w:val="20"/>
                          <w:szCs w:val="20"/>
                        </w:rPr>
                      </w:pPr>
                      <w:r>
                        <w:rPr>
                          <w:i/>
                          <w:iCs/>
                          <w:sz w:val="20"/>
                          <w:szCs w:val="20"/>
                        </w:rPr>
                        <w:t>CCECL can support parents’ workforce participation needs and provide effective early learning and development for children.</w:t>
                      </w:r>
                    </w:p>
                    <w:p w14:paraId="04969F2D" w14:textId="5888E65F" w:rsidR="006678AE" w:rsidRDefault="006678AE" w:rsidP="006E1311">
                      <w:pPr>
                        <w:pStyle w:val="ListParagraph"/>
                        <w:numPr>
                          <w:ilvl w:val="0"/>
                          <w:numId w:val="16"/>
                        </w:numPr>
                        <w:spacing w:after="0"/>
                        <w:ind w:left="284" w:hanging="284"/>
                        <w:rPr>
                          <w:i/>
                          <w:iCs/>
                          <w:sz w:val="20"/>
                          <w:szCs w:val="20"/>
                        </w:rPr>
                      </w:pPr>
                      <w:r>
                        <w:rPr>
                          <w:i/>
                          <w:iCs/>
                          <w:sz w:val="20"/>
                          <w:szCs w:val="20"/>
                        </w:rPr>
                        <w:t>The CCECL sector operates principally through market mechanisms, although government has a significant role in regulation, and the Australian Government is the single largest funder of the sector.</w:t>
                      </w:r>
                    </w:p>
                    <w:p w14:paraId="04969F2E" w14:textId="16FAA9D3" w:rsidR="006678AE" w:rsidRPr="00214DFF" w:rsidRDefault="006678AE" w:rsidP="006E1311">
                      <w:pPr>
                        <w:pStyle w:val="ListParagraph"/>
                        <w:numPr>
                          <w:ilvl w:val="0"/>
                          <w:numId w:val="16"/>
                        </w:numPr>
                        <w:spacing w:after="0"/>
                        <w:ind w:left="284" w:hanging="284"/>
                        <w:rPr>
                          <w:i/>
                          <w:iCs/>
                          <w:sz w:val="20"/>
                          <w:szCs w:val="20"/>
                        </w:rPr>
                      </w:pPr>
                      <w:r>
                        <w:rPr>
                          <w:i/>
                          <w:iCs/>
                          <w:sz w:val="20"/>
                          <w:szCs w:val="20"/>
                        </w:rPr>
                        <w:t>This Inquiry is an opportunity to embed the strengths of the system and ensure it has a sustainable future.</w:t>
                      </w:r>
                    </w:p>
                  </w:txbxContent>
                </v:textbox>
                <w10:wrap type="square" anchorx="margin" anchory="margin"/>
              </v:shape>
            </w:pict>
          </mc:Fallback>
        </mc:AlternateContent>
      </w:r>
      <w:r w:rsidR="00E82B4C" w:rsidRPr="00DD2634">
        <w:t xml:space="preserve">The </w:t>
      </w:r>
      <w:r w:rsidR="00345885" w:rsidRPr="00DD2634">
        <w:t xml:space="preserve">child care and </w:t>
      </w:r>
      <w:r w:rsidR="00E82B4C" w:rsidRPr="00DD2634">
        <w:t>e</w:t>
      </w:r>
      <w:r w:rsidR="00CE1472" w:rsidRPr="00DD2634">
        <w:t xml:space="preserve">arly childhood </w:t>
      </w:r>
      <w:r w:rsidR="00345885" w:rsidRPr="00DD2634">
        <w:t>learning</w:t>
      </w:r>
      <w:r w:rsidR="008F197C" w:rsidRPr="00DD2634">
        <w:t xml:space="preserve"> (CCECL) </w:t>
      </w:r>
      <w:r w:rsidR="00CE1472" w:rsidRPr="00DD2634">
        <w:t>sector is impo</w:t>
      </w:r>
      <w:r w:rsidR="004A5DDD" w:rsidRPr="00DD2634">
        <w:t>rtant to a productive Australia.</w:t>
      </w:r>
      <w:r w:rsidR="00CE1472" w:rsidRPr="00DD2634">
        <w:t xml:space="preserve"> </w:t>
      </w:r>
      <w:r w:rsidR="004A5DDD" w:rsidRPr="00DD2634">
        <w:t>A</w:t>
      </w:r>
      <w:r w:rsidR="00CE1472" w:rsidRPr="00DD2634">
        <w:t xml:space="preserve">ccess to affordable, flexible high quality child care </w:t>
      </w:r>
      <w:r w:rsidR="004A5DDD" w:rsidRPr="00DD2634">
        <w:t>supports</w:t>
      </w:r>
      <w:r w:rsidR="00CE1472" w:rsidRPr="00DD2634">
        <w:t xml:space="preserve"> families’ </w:t>
      </w:r>
      <w:r w:rsidR="004A5DDD" w:rsidRPr="00DD2634">
        <w:t xml:space="preserve">engagement with study and work. Quality </w:t>
      </w:r>
      <w:r w:rsidR="00C276F8" w:rsidRPr="00DD2634">
        <w:t>CCECL</w:t>
      </w:r>
      <w:r w:rsidR="004A5DDD" w:rsidRPr="00DD2634">
        <w:t xml:space="preserve"> services </w:t>
      </w:r>
      <w:r w:rsidR="00C276F8" w:rsidRPr="00DD2634">
        <w:t>can also help</w:t>
      </w:r>
      <w:r w:rsidR="00CE1472" w:rsidRPr="00DD2634">
        <w:t xml:space="preserve"> children learn and grow in the early years</w:t>
      </w:r>
      <w:r w:rsidR="00C276F8" w:rsidRPr="00DD2634">
        <w:t>,</w:t>
      </w:r>
      <w:r w:rsidR="00CE1472" w:rsidRPr="00DD2634">
        <w:t xml:space="preserve"> </w:t>
      </w:r>
      <w:r w:rsidR="00C276F8" w:rsidRPr="00DD2634">
        <w:t>contributing to their</w:t>
      </w:r>
      <w:r w:rsidR="00E12D6B" w:rsidRPr="00DD2634">
        <w:t xml:space="preserve"> l</w:t>
      </w:r>
      <w:r w:rsidR="00CE1472" w:rsidRPr="00DD2634">
        <w:t xml:space="preserve">earning in school and </w:t>
      </w:r>
      <w:r w:rsidR="00E12D6B" w:rsidRPr="00DD2634">
        <w:t xml:space="preserve">later </w:t>
      </w:r>
      <w:r w:rsidR="00C276F8" w:rsidRPr="00DD2634">
        <w:t>life outcomes.</w:t>
      </w:r>
    </w:p>
    <w:p w14:paraId="04969C2B" w14:textId="6F461860" w:rsidR="00CE1472" w:rsidRPr="00DD2634" w:rsidRDefault="00CA5954" w:rsidP="00381744">
      <w:pPr>
        <w:pStyle w:val="NormalNumbered"/>
      </w:pPr>
      <w:r w:rsidRPr="00DD2634">
        <w:t>A</w:t>
      </w:r>
      <w:r w:rsidR="00CE1472" w:rsidRPr="00DD2634">
        <w:t xml:space="preserve"> wide range of </w:t>
      </w:r>
      <w:r w:rsidR="008F197C" w:rsidRPr="00DD2634">
        <w:t>CCECL</w:t>
      </w:r>
      <w:r w:rsidR="00CE1472" w:rsidRPr="00DD2634">
        <w:t xml:space="preserve"> services </w:t>
      </w:r>
      <w:r w:rsidRPr="00DD2634">
        <w:t>are available in Australia, with</w:t>
      </w:r>
      <w:r w:rsidR="00CE1472" w:rsidRPr="00DD2634">
        <w:t xml:space="preserve"> a mix of public and private (both for and not for profit) provi</w:t>
      </w:r>
      <w:r w:rsidRPr="00DD2634">
        <w:t>ders. T</w:t>
      </w:r>
      <w:r w:rsidR="00CE1472" w:rsidRPr="00DD2634">
        <w:t xml:space="preserve">he foundation of the system is a set of market-oriented arrangements where parents make choices about the type of </w:t>
      </w:r>
      <w:r w:rsidR="008F197C" w:rsidRPr="00DD2634">
        <w:t>service</w:t>
      </w:r>
      <w:r w:rsidR="00CE1472" w:rsidRPr="00DD2634">
        <w:t xml:space="preserve"> they wish for their children and the price th</w:t>
      </w:r>
      <w:r w:rsidR="008F197C" w:rsidRPr="00DD2634">
        <w:t>ey are willing and able to pay.</w:t>
      </w:r>
    </w:p>
    <w:p w14:paraId="04969C2C" w14:textId="77777777" w:rsidR="00CE1472" w:rsidRPr="00DD2634" w:rsidRDefault="00714B4F" w:rsidP="00381744">
      <w:pPr>
        <w:pStyle w:val="NormalNumbered"/>
      </w:pPr>
      <w:r w:rsidRPr="00DD2634">
        <w:t>Historically, t</w:t>
      </w:r>
      <w:r w:rsidR="00CE1472" w:rsidRPr="00DD2634">
        <w:t xml:space="preserve">he Australian Government’s support for the </w:t>
      </w:r>
      <w:r w:rsidR="008F197C" w:rsidRPr="00DD2634">
        <w:t>CCECL</w:t>
      </w:r>
      <w:r w:rsidR="00CE1472" w:rsidRPr="00DD2634">
        <w:t xml:space="preserve"> sector </w:t>
      </w:r>
      <w:r w:rsidR="00590492" w:rsidRPr="00DD2634">
        <w:t xml:space="preserve">was primarily </w:t>
      </w:r>
      <w:r w:rsidR="00B03071" w:rsidRPr="00DD2634">
        <w:t>to support</w:t>
      </w:r>
      <w:r w:rsidR="00CE1472" w:rsidRPr="00DD2634">
        <w:t xml:space="preserve"> the workforce participation </w:t>
      </w:r>
      <w:r w:rsidR="00DB1484" w:rsidRPr="00DD2634">
        <w:t xml:space="preserve">needs </w:t>
      </w:r>
      <w:r w:rsidRPr="00DD2634">
        <w:t>of parents</w:t>
      </w:r>
      <w:r w:rsidR="00CE1472" w:rsidRPr="00DD2634">
        <w:t xml:space="preserve">. </w:t>
      </w:r>
      <w:r w:rsidRPr="00DD2634">
        <w:t>More recently, based on</w:t>
      </w:r>
      <w:r w:rsidR="00CE1472" w:rsidRPr="00DD2634">
        <w:t xml:space="preserve"> evidence about cognitive and non-cognitive development in young children and the role played by quality early learning and development programmes</w:t>
      </w:r>
      <w:r w:rsidRPr="00DD2634">
        <w:t>, there has been an increased focus and expenditure</w:t>
      </w:r>
      <w:r w:rsidR="00CE1472" w:rsidRPr="00DD2634">
        <w:t xml:space="preserve"> on the qual</w:t>
      </w:r>
      <w:r w:rsidR="00495DDE" w:rsidRPr="00DD2634">
        <w:t>ity of care and early learning.</w:t>
      </w:r>
    </w:p>
    <w:p w14:paraId="04969C2D" w14:textId="70161055" w:rsidR="00D64C01" w:rsidRPr="00DD2634" w:rsidRDefault="00CE1472" w:rsidP="00381744">
      <w:pPr>
        <w:pStyle w:val="NormalNumbered"/>
      </w:pPr>
      <w:r w:rsidRPr="00DD2634">
        <w:t xml:space="preserve">The sector touches the lives of most Australian families, with almost every child now participating in some form of child care or early learning before entering school, or afterwards through outside school hours care. </w:t>
      </w:r>
      <w:r w:rsidR="000A66A8" w:rsidRPr="00DD2634">
        <w:t>Based on the</w:t>
      </w:r>
      <w:r w:rsidRPr="00DD2634">
        <w:t xml:space="preserve"> most recent </w:t>
      </w:r>
      <w:r w:rsidR="000A66A8" w:rsidRPr="00DD2634">
        <w:t>data available,</w:t>
      </w:r>
      <w:r w:rsidRPr="00DD2634">
        <w:t xml:space="preserve"> </w:t>
      </w:r>
      <w:r w:rsidR="000A66A8" w:rsidRPr="00DD2634">
        <w:t>an</w:t>
      </w:r>
      <w:r w:rsidRPr="00DD2634">
        <w:t xml:space="preserve"> estimated 1.</w:t>
      </w:r>
      <w:r w:rsidR="00E40526" w:rsidRPr="00DD2634">
        <w:t>2</w:t>
      </w:r>
      <w:r w:rsidR="000A66A8" w:rsidRPr="00DD2634">
        <w:t> </w:t>
      </w:r>
      <w:r w:rsidRPr="00DD2634">
        <w:t xml:space="preserve">million children </w:t>
      </w:r>
      <w:r w:rsidR="00367BC9" w:rsidRPr="00DD2634">
        <w:t>were</w:t>
      </w:r>
      <w:r w:rsidR="000A66A8" w:rsidRPr="00DD2634">
        <w:t xml:space="preserve"> </w:t>
      </w:r>
      <w:r w:rsidR="00590492" w:rsidRPr="00DD2634">
        <w:t>attending</w:t>
      </w:r>
      <w:r w:rsidRPr="00DD2634">
        <w:t xml:space="preserve"> some form of approved</w:t>
      </w:r>
      <w:r w:rsidR="004A26A4" w:rsidRPr="00DD2634">
        <w:rPr>
          <w:rStyle w:val="FootnoteReference"/>
        </w:rPr>
        <w:footnoteReference w:id="1"/>
      </w:r>
      <w:r w:rsidRPr="00DD2634">
        <w:t xml:space="preserve"> child care or early childhood education</w:t>
      </w:r>
      <w:r w:rsidR="00001609" w:rsidRPr="00DD2634">
        <w:t xml:space="preserve"> service</w:t>
      </w:r>
      <w:r w:rsidR="00367BC9" w:rsidRPr="00DD2634">
        <w:t xml:space="preserve"> </w:t>
      </w:r>
      <w:r w:rsidR="00E40526" w:rsidRPr="00DD2634">
        <w:t>in the</w:t>
      </w:r>
      <w:r w:rsidR="006678AE">
        <w:t xml:space="preserve"> June q</w:t>
      </w:r>
      <w:r w:rsidR="00367BC9" w:rsidRPr="00DD2634">
        <w:t>uarter 2013</w:t>
      </w:r>
      <w:r w:rsidR="003B3887" w:rsidRPr="00DD2634">
        <w:t>.</w:t>
      </w:r>
      <w:r w:rsidR="003B3887" w:rsidRPr="00DD2634">
        <w:rPr>
          <w:rStyle w:val="FootnoteReference"/>
        </w:rPr>
        <w:footnoteReference w:id="2"/>
      </w:r>
    </w:p>
    <w:p w14:paraId="04969C2E" w14:textId="45AA8906" w:rsidR="00CE1472" w:rsidRPr="00DD2634" w:rsidRDefault="00367BC9" w:rsidP="00381744">
      <w:pPr>
        <w:pStyle w:val="NormalNumbered"/>
      </w:pPr>
      <w:r w:rsidRPr="00DD2634">
        <w:t>CCECL</w:t>
      </w:r>
      <w:r w:rsidR="00CE1472" w:rsidRPr="00DD2634">
        <w:t xml:space="preserve"> is also a significant industry in its own right, providing employment for </w:t>
      </w:r>
      <w:r w:rsidR="002D5A3A" w:rsidRPr="00DD2634">
        <w:t xml:space="preserve">around </w:t>
      </w:r>
      <w:r w:rsidR="008F197C" w:rsidRPr="00DD2634">
        <w:t>14</w:t>
      </w:r>
      <w:r w:rsidR="00345885" w:rsidRPr="00DD2634">
        <w:t>0</w:t>
      </w:r>
      <w:r w:rsidR="00CE1472" w:rsidRPr="00DD2634">
        <w:t xml:space="preserve">,000 </w:t>
      </w:r>
      <w:r w:rsidR="00DE1C74" w:rsidRPr="00DD2634">
        <w:t>employees</w:t>
      </w:r>
      <w:r w:rsidR="00CE1472" w:rsidRPr="00DD2634">
        <w:t xml:space="preserve"> and generating revenues estimated to be </w:t>
      </w:r>
      <w:r w:rsidR="003B0D5E" w:rsidRPr="00DD2634">
        <w:t>over</w:t>
      </w:r>
      <w:r w:rsidR="00CE1472" w:rsidRPr="00DD2634">
        <w:t xml:space="preserve"> $10 billion </w:t>
      </w:r>
      <w:r w:rsidR="00E12D6B" w:rsidRPr="00DD2634">
        <w:t>annually</w:t>
      </w:r>
      <w:r w:rsidR="00CE1472" w:rsidRPr="00DD2634">
        <w:t>.</w:t>
      </w:r>
      <w:r w:rsidR="003B0D5E" w:rsidRPr="00DD2634">
        <w:rPr>
          <w:rStyle w:val="FootnoteReference"/>
        </w:rPr>
        <w:footnoteReference w:id="3"/>
      </w:r>
    </w:p>
    <w:p w14:paraId="04969C2F" w14:textId="579C040F" w:rsidR="00CE1472" w:rsidRPr="00DD2634" w:rsidRDefault="00CE1472" w:rsidP="00381744">
      <w:pPr>
        <w:pStyle w:val="NormalNumbered"/>
      </w:pPr>
      <w:r w:rsidRPr="00DD2634">
        <w:t xml:space="preserve">Public expenditure on </w:t>
      </w:r>
      <w:r w:rsidR="008F197C" w:rsidRPr="00DD2634">
        <w:t>CCECL</w:t>
      </w:r>
      <w:r w:rsidRPr="00DD2634">
        <w:t xml:space="preserve"> has grown significantly in recent years, with child care fees assistance one of the Australian Government’s fastest growing major outlays. In 2013–14, expenditure </w:t>
      </w:r>
      <w:r w:rsidR="00714B4F" w:rsidRPr="00DD2634">
        <w:t xml:space="preserve">on CCECL </w:t>
      </w:r>
      <w:r w:rsidRPr="00DD2634">
        <w:t>will be more than $6.5 billion</w:t>
      </w:r>
      <w:r w:rsidR="00714B4F" w:rsidRPr="00DD2634">
        <w:t xml:space="preserve"> growing to around $7.6 billion in 2016</w:t>
      </w:r>
      <w:r w:rsidR="00331631">
        <w:t>–</w:t>
      </w:r>
      <w:r w:rsidR="00714B4F" w:rsidRPr="00DD2634">
        <w:t>17</w:t>
      </w:r>
      <w:r w:rsidR="00367BC9" w:rsidRPr="00DD2634">
        <w:t>.</w:t>
      </w:r>
      <w:r w:rsidR="00714B4F" w:rsidRPr="00DD2634">
        <w:rPr>
          <w:rStyle w:val="FootnoteReference"/>
        </w:rPr>
        <w:footnoteReference w:id="4"/>
      </w:r>
      <w:r w:rsidRPr="00DD2634">
        <w:t xml:space="preserve"> With this level of expenditure and </w:t>
      </w:r>
      <w:r w:rsidRPr="00DD2634">
        <w:lastRenderedPageBreak/>
        <w:t>given the cost that child care can represent for many households, it is important to ensure that parents and taxpayers are getting value for money from the system.</w:t>
      </w:r>
    </w:p>
    <w:p w14:paraId="04969C30" w14:textId="61EB991E" w:rsidR="002F1D1B" w:rsidRPr="00DD2634" w:rsidRDefault="00345885" w:rsidP="00381744">
      <w:pPr>
        <w:pStyle w:val="NormalNumbered"/>
      </w:pPr>
      <w:r w:rsidRPr="00DD2634">
        <w:t xml:space="preserve">This submission </w:t>
      </w:r>
      <w:r w:rsidR="00CE1472" w:rsidRPr="00DD2634">
        <w:t xml:space="preserve">provides information on the </w:t>
      </w:r>
      <w:r w:rsidR="008F197C" w:rsidRPr="00DD2634">
        <w:t>CCECL</w:t>
      </w:r>
      <w:r w:rsidR="00CE1472" w:rsidRPr="00DD2634">
        <w:t xml:space="preserve"> sector</w:t>
      </w:r>
      <w:r w:rsidR="00714B4F" w:rsidRPr="00DD2634">
        <w:t>, sets out the current role of government in the sector and</w:t>
      </w:r>
      <w:r w:rsidR="00CE1472" w:rsidRPr="00DD2634">
        <w:t xml:space="preserve"> </w:t>
      </w:r>
      <w:r w:rsidR="00714B4F" w:rsidRPr="00DD2634">
        <w:t>identifies</w:t>
      </w:r>
      <w:r w:rsidR="00CE1472" w:rsidRPr="00DD2634">
        <w:t xml:space="preserve"> </w:t>
      </w:r>
      <w:r w:rsidR="003B3887" w:rsidRPr="00DD2634">
        <w:t xml:space="preserve">some </w:t>
      </w:r>
      <w:r w:rsidR="00CE1472" w:rsidRPr="00DD2634">
        <w:t>key issues in establishing and maintaining a sustainable sector</w:t>
      </w:r>
      <w:bookmarkEnd w:id="14"/>
      <w:bookmarkEnd w:id="15"/>
      <w:r w:rsidR="008F197C" w:rsidRPr="00DD2634">
        <w:t>.</w:t>
      </w:r>
      <w:r w:rsidR="00835CC2" w:rsidRPr="00DD2634">
        <w:t xml:space="preserve"> It is also principally concerned with the CCECL sector as defined by approved care arrangements under the Australian Government’s Family Assistance Law, in combination with preschool.</w:t>
      </w:r>
    </w:p>
    <w:p w14:paraId="04969C31" w14:textId="77777777" w:rsidR="00843307" w:rsidRPr="00DD2634" w:rsidRDefault="00843307" w:rsidP="00D661D0">
      <w:pPr>
        <w:pStyle w:val="Heading1"/>
      </w:pPr>
      <w:bookmarkStart w:id="16" w:name="_Toc377217313"/>
      <w:bookmarkStart w:id="17" w:name="_Toc379208173"/>
      <w:r w:rsidRPr="00DD2634">
        <w:lastRenderedPageBreak/>
        <w:t xml:space="preserve">Australia’s </w:t>
      </w:r>
      <w:r w:rsidR="008F197C" w:rsidRPr="00DD2634">
        <w:t xml:space="preserve">child care and </w:t>
      </w:r>
      <w:r w:rsidR="006873B6" w:rsidRPr="00DD2634">
        <w:t xml:space="preserve">early </w:t>
      </w:r>
      <w:r w:rsidR="008F197C" w:rsidRPr="00DD2634">
        <w:t>childhood learning</w:t>
      </w:r>
      <w:r w:rsidRPr="00DD2634">
        <w:t xml:space="preserve"> sector</w:t>
      </w:r>
      <w:bookmarkEnd w:id="16"/>
      <w:bookmarkEnd w:id="17"/>
    </w:p>
    <w:bookmarkStart w:id="18" w:name="_Toc377217314"/>
    <w:bookmarkStart w:id="19" w:name="_Toc379208174"/>
    <w:p w14:paraId="04969C32" w14:textId="104BA546" w:rsidR="006364E8" w:rsidRPr="00DD2634" w:rsidRDefault="00151831" w:rsidP="00BE5BEF">
      <w:pPr>
        <w:pStyle w:val="Heading2"/>
      </w:pPr>
      <w:r w:rsidRPr="00DD2634">
        <w:rPr>
          <w:noProof/>
          <w:lang w:eastAsia="en-AU"/>
        </w:rPr>
        <mc:AlternateContent>
          <mc:Choice Requires="wps">
            <w:drawing>
              <wp:anchor distT="0" distB="0" distL="114300" distR="114300" simplePos="0" relativeHeight="251667456" behindDoc="0" locked="0" layoutInCell="0" allowOverlap="1" wp14:anchorId="04969ECB" wp14:editId="577BF8A2">
                <wp:simplePos x="0" y="0"/>
                <wp:positionH relativeFrom="margin">
                  <wp:posOffset>3136265</wp:posOffset>
                </wp:positionH>
                <wp:positionV relativeFrom="margin">
                  <wp:posOffset>732790</wp:posOffset>
                </wp:positionV>
                <wp:extent cx="2257425" cy="1874520"/>
                <wp:effectExtent l="19050" t="19050" r="28575" b="11430"/>
                <wp:wrapSquare wrapText="bothSides"/>
                <wp:docPr id="3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7425" cy="1874520"/>
                        </a:xfrm>
                        <a:prstGeom prst="bracketPair">
                          <a:avLst>
                            <a:gd name="adj" fmla="val 8051"/>
                          </a:avLst>
                        </a:prstGeom>
                        <a:noFill/>
                        <a:ln w="38100">
                          <a:solidFill>
                            <a:schemeClr val="tx1">
                              <a:lumMod val="50000"/>
                              <a:lumOff val="50000"/>
                            </a:schemeClr>
                          </a:solidFill>
                          <a:round/>
                          <a:headEnd/>
                          <a:tailEnd/>
                        </a:ln>
                        <a:extLst>
                          <a:ext uri="{909E8E84-426E-40DD-AFC4-6F175D3DCCD1}">
                            <a14:hiddenFill xmlns:a14="http://schemas.microsoft.com/office/drawing/2010/main">
                              <a:solidFill>
                                <a:srgbClr val="943634"/>
                              </a:solidFill>
                            </a14:hiddenFill>
                          </a:ext>
                          <a:ext uri="{AF507438-7753-43E0-B8FC-AC1667EBCBE1}">
                            <a14:hiddenEffects xmlns:a14="http://schemas.microsoft.com/office/drawing/2010/main">
                              <a:effectLst>
                                <a:outerShdw dist="17961" dir="2700000" algn="ctr" rotWithShape="0">
                                  <a:srgbClr val="9BBB59">
                                    <a:gamma/>
                                    <a:shade val="60000"/>
                                    <a:invGamma/>
                                  </a:srgbClr>
                                </a:outerShdw>
                              </a:effectLst>
                            </a14:hiddenEffects>
                          </a:ext>
                        </a:extLst>
                      </wps:spPr>
                      <wps:txbx>
                        <w:txbxContent>
                          <w:p w14:paraId="04969F2F" w14:textId="77777777" w:rsidR="006678AE" w:rsidRPr="009158D9" w:rsidRDefault="006678AE" w:rsidP="002B6596">
                            <w:pPr>
                              <w:spacing w:after="0"/>
                              <w:rPr>
                                <w:b/>
                                <w:i/>
                                <w:iCs/>
                                <w:sz w:val="20"/>
                                <w:szCs w:val="20"/>
                              </w:rPr>
                            </w:pPr>
                            <w:r w:rsidRPr="009158D9">
                              <w:rPr>
                                <w:b/>
                                <w:i/>
                                <w:iCs/>
                                <w:sz w:val="20"/>
                                <w:szCs w:val="20"/>
                              </w:rPr>
                              <w:t>Key Points:</w:t>
                            </w:r>
                          </w:p>
                          <w:p w14:paraId="04969F30" w14:textId="77777777" w:rsidR="006678AE" w:rsidRDefault="006678AE" w:rsidP="006E1311">
                            <w:pPr>
                              <w:pStyle w:val="ListParagraph"/>
                              <w:numPr>
                                <w:ilvl w:val="0"/>
                                <w:numId w:val="16"/>
                              </w:numPr>
                              <w:spacing w:after="120"/>
                              <w:ind w:left="284" w:hanging="284"/>
                              <w:contextualSpacing w:val="0"/>
                              <w:rPr>
                                <w:i/>
                                <w:iCs/>
                                <w:sz w:val="20"/>
                                <w:szCs w:val="20"/>
                              </w:rPr>
                            </w:pPr>
                            <w:r>
                              <w:rPr>
                                <w:i/>
                                <w:iCs/>
                                <w:sz w:val="20"/>
                                <w:szCs w:val="20"/>
                              </w:rPr>
                              <w:t>CCECL encompasses a wide range of formal and informal care and education arrangements, and over a wide age range of children.</w:t>
                            </w:r>
                          </w:p>
                          <w:p w14:paraId="04969F31" w14:textId="77777777" w:rsidR="006678AE" w:rsidRPr="002B6596" w:rsidRDefault="006678AE" w:rsidP="006E1311">
                            <w:pPr>
                              <w:pStyle w:val="ListParagraph"/>
                              <w:numPr>
                                <w:ilvl w:val="0"/>
                                <w:numId w:val="16"/>
                              </w:numPr>
                              <w:spacing w:after="120"/>
                              <w:ind w:left="284" w:hanging="284"/>
                              <w:contextualSpacing w:val="0"/>
                              <w:rPr>
                                <w:i/>
                                <w:iCs/>
                                <w:sz w:val="20"/>
                                <w:szCs w:val="20"/>
                              </w:rPr>
                            </w:pPr>
                            <w:r w:rsidRPr="00835CC2">
                              <w:rPr>
                                <w:i/>
                                <w:iCs/>
                                <w:sz w:val="20"/>
                                <w:szCs w:val="20"/>
                              </w:rPr>
                              <w:t>This submission is focussed on approved child care and preschool in the year (or sometimes two years) before schooling.</w:t>
                            </w:r>
                          </w:p>
                        </w:txbxContent>
                      </wps:txbx>
                      <wps:bodyPr rot="0" vert="horz" wrap="square" lIns="45720" tIns="45720" rIns="4572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185" style="position:absolute;left:0;text-align:left;margin-left:246.95pt;margin-top:57.7pt;width:177.75pt;height:147.6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" o:allowincell="f" adj="1739" fillcolor="#943634" strokecolor="gray [1629]" strokeweight="3pt">
                <v:shadow color="#5d7035" offset="1pt,1pt"/>
                <v:textbox inset="3.6pt,,3.6pt">
                  <w:txbxContent>
                    <w:p w14:paraId="04969F2F" w14:textId="77777777" w:rsidR="006678AE" w:rsidRPr="009158D9" w:rsidRDefault="006678AE" w:rsidP="002B6596">
                      <w:pPr>
                        <w:spacing w:after="0"/>
                        <w:rPr>
                          <w:b/>
                          <w:i/>
                          <w:iCs/>
                          <w:sz w:val="20"/>
                          <w:szCs w:val="20"/>
                        </w:rPr>
                      </w:pPr>
                      <w:r w:rsidRPr="009158D9">
                        <w:rPr>
                          <w:b/>
                          <w:i/>
                          <w:iCs/>
                          <w:sz w:val="20"/>
                          <w:szCs w:val="20"/>
                        </w:rPr>
                        <w:t>Key Points:</w:t>
                      </w:r>
                    </w:p>
                    <w:p w14:paraId="04969F30" w14:textId="77777777" w:rsidR="006678AE" w:rsidRDefault="006678AE" w:rsidP="006E1311">
                      <w:pPr>
                        <w:pStyle w:val="ListParagraph"/>
                        <w:numPr>
                          <w:ilvl w:val="0"/>
                          <w:numId w:val="16"/>
                        </w:numPr>
                        <w:spacing w:after="120"/>
                        <w:ind w:left="284" w:hanging="284"/>
                        <w:contextualSpacing w:val="0"/>
                        <w:rPr>
                          <w:i/>
                          <w:iCs/>
                          <w:sz w:val="20"/>
                          <w:szCs w:val="20"/>
                        </w:rPr>
                      </w:pPr>
                      <w:r>
                        <w:rPr>
                          <w:i/>
                          <w:iCs/>
                          <w:sz w:val="20"/>
                          <w:szCs w:val="20"/>
                        </w:rPr>
                        <w:t>CCECL encompasses a wide range of formal and informal care and education arrangements, and over a wide age range of children.</w:t>
                      </w:r>
                    </w:p>
                    <w:p w14:paraId="04969F31" w14:textId="77777777" w:rsidR="006678AE" w:rsidRPr="002B6596" w:rsidRDefault="006678AE" w:rsidP="006E1311">
                      <w:pPr>
                        <w:pStyle w:val="ListParagraph"/>
                        <w:numPr>
                          <w:ilvl w:val="0"/>
                          <w:numId w:val="16"/>
                        </w:numPr>
                        <w:spacing w:after="120"/>
                        <w:ind w:left="284" w:hanging="284"/>
                        <w:contextualSpacing w:val="0"/>
                        <w:rPr>
                          <w:i/>
                          <w:iCs/>
                          <w:sz w:val="20"/>
                          <w:szCs w:val="20"/>
                        </w:rPr>
                      </w:pPr>
                      <w:r w:rsidRPr="00835CC2">
                        <w:rPr>
                          <w:i/>
                          <w:iCs/>
                          <w:sz w:val="20"/>
                          <w:szCs w:val="20"/>
                        </w:rPr>
                        <w:t>This submission is focussed on approved child care and preschool in the year (or sometimes two years) before schooling.</w:t>
                      </w:r>
                    </w:p>
                  </w:txbxContent>
                </v:textbox>
                <w10:wrap type="square" anchorx="margin" anchory="margin"/>
              </v:shape>
            </w:pict>
          </mc:Fallback>
        </mc:AlternateContent>
      </w:r>
      <w:r w:rsidR="006364E8" w:rsidRPr="00DD2634">
        <w:t>Defining the sector</w:t>
      </w:r>
      <w:bookmarkEnd w:id="18"/>
      <w:bookmarkEnd w:id="19"/>
    </w:p>
    <w:p w14:paraId="60DA4FC5" w14:textId="7A57EFFB" w:rsidR="00932022" w:rsidRPr="00DD2634" w:rsidRDefault="000471F9" w:rsidP="00932022">
      <w:pPr>
        <w:pStyle w:val="NormalNumbered"/>
      </w:pPr>
      <w:r w:rsidRPr="00DD2634">
        <w:t>Child care in Australia comprises formal and informal care</w:t>
      </w:r>
      <w:r w:rsidR="00495DDE" w:rsidRPr="00DD2634">
        <w:t xml:space="preserve"> spanning children from birth to 12 years and older</w:t>
      </w:r>
      <w:r w:rsidRPr="00DD2634">
        <w:t>.</w:t>
      </w:r>
      <w:r w:rsidR="00C86A37" w:rsidRPr="00DD2634">
        <w:t xml:space="preserve"> </w:t>
      </w:r>
      <w:r w:rsidR="00932022" w:rsidRPr="00DD2634">
        <w:t>While this submission and the Inquiry are focused principally on formal care, it is important to acknowledge the role of informal care</w:t>
      </w:r>
      <w:r w:rsidR="00911099" w:rsidRPr="00DD2634">
        <w:t xml:space="preserve"> </w:t>
      </w:r>
      <w:r w:rsidR="00932022" w:rsidRPr="00DD2634">
        <w:t>(such as non-regulated care provided by grandparents, other family members, or friends).</w:t>
      </w:r>
    </w:p>
    <w:p w14:paraId="04969C33" w14:textId="11D42F9A" w:rsidR="00C62EA0" w:rsidRPr="00DD2634" w:rsidRDefault="00932022" w:rsidP="00932022">
      <w:pPr>
        <w:pStyle w:val="NormalNumbered"/>
      </w:pPr>
      <w:r w:rsidRPr="00DD2634">
        <w:t>Although o</w:t>
      </w:r>
      <w:r w:rsidR="000471F9" w:rsidRPr="00DD2634">
        <w:t>ver recent decades there has been a trend away from informal care  towards formal car</w:t>
      </w:r>
      <w:r w:rsidR="00B53558" w:rsidRPr="00DD2634">
        <w:t xml:space="preserve">e provided by qualified </w:t>
      </w:r>
      <w:r w:rsidR="00714B4F" w:rsidRPr="00DD2634">
        <w:t>educator</w:t>
      </w:r>
      <w:r w:rsidR="00B53558" w:rsidRPr="00DD2634">
        <w:t>s</w:t>
      </w:r>
      <w:r w:rsidRPr="00DD2634">
        <w:t xml:space="preserve">, many families continue to use informal care. </w:t>
      </w:r>
      <w:r w:rsidR="00B53558" w:rsidRPr="00DD2634">
        <w:t>The Australian Bureau of Statistics (ABS) estimates that in June 2011, of the 3.6 million c</w:t>
      </w:r>
      <w:r w:rsidRPr="00DD2634">
        <w:t>hildren aged birth to 12 </w:t>
      </w:r>
      <w:r w:rsidR="005530A3" w:rsidRPr="00DD2634">
        <w:t xml:space="preserve">years, </w:t>
      </w:r>
      <w:r w:rsidRPr="00DD2634">
        <w:t>around 864,300</w:t>
      </w:r>
      <w:r w:rsidR="005530A3" w:rsidRPr="00DD2634">
        <w:t xml:space="preserve"> </w:t>
      </w:r>
      <w:r w:rsidR="00B53558" w:rsidRPr="00DD2634">
        <w:t>usual</w:t>
      </w:r>
      <w:r w:rsidRPr="00DD2634">
        <w:t>ly attended formal care and 1.4 </w:t>
      </w:r>
      <w:r w:rsidR="00B53558" w:rsidRPr="00DD2634">
        <w:t>million usually attended informal care. An estimated 369,500 children attended both formal and informal care</w:t>
      </w:r>
      <w:r w:rsidR="00C62EA0" w:rsidRPr="00DD2634">
        <w:t>.</w:t>
      </w:r>
      <w:r w:rsidR="00C62EA0" w:rsidRPr="00DD2634">
        <w:rPr>
          <w:rStyle w:val="FootnoteReference"/>
          <w:rFonts w:cstheme="minorHAnsi"/>
        </w:rPr>
        <w:footnoteReference w:id="5"/>
      </w:r>
      <w:r w:rsidR="00911099" w:rsidRPr="00DD2634">
        <w:t xml:space="preserve"> The mix between informal and formal care varies with the age of the child and the circumstances of the family.</w:t>
      </w:r>
    </w:p>
    <w:p w14:paraId="04969C34" w14:textId="3882BEAA" w:rsidR="00DB2421" w:rsidRPr="00DD2634" w:rsidRDefault="00DB1484" w:rsidP="00932022">
      <w:pPr>
        <w:pStyle w:val="NormalNumbered"/>
      </w:pPr>
      <w:r w:rsidRPr="00DD2634">
        <w:t xml:space="preserve">Participation in </w:t>
      </w:r>
      <w:r w:rsidR="005530A3" w:rsidRPr="00DD2634">
        <w:t xml:space="preserve">a </w:t>
      </w:r>
      <w:r w:rsidRPr="00DD2634">
        <w:t>p</w:t>
      </w:r>
      <w:r w:rsidR="00B53558" w:rsidRPr="00DD2634">
        <w:t xml:space="preserve">reschool </w:t>
      </w:r>
      <w:r w:rsidR="005530A3" w:rsidRPr="00DD2634">
        <w:t xml:space="preserve">programme </w:t>
      </w:r>
      <w:r w:rsidRPr="00DD2634">
        <w:t>(</w:t>
      </w:r>
      <w:r w:rsidR="005530A3" w:rsidRPr="00DD2634">
        <w:t>either in a stand-alone preschool or kindergarten, or in another setting, such as a Long Day Care centre</w:t>
      </w:r>
      <w:r w:rsidRPr="00DD2634">
        <w:t>)</w:t>
      </w:r>
      <w:r w:rsidR="00345885" w:rsidRPr="00DD2634">
        <w:t>,</w:t>
      </w:r>
      <w:r w:rsidR="00B53558" w:rsidRPr="00DD2634">
        <w:t xml:space="preserve"> in the year or in some cases two years before starting full time schooling has also increased, reaching close to 89 per cent </w:t>
      </w:r>
      <w:r w:rsidR="00DB2421" w:rsidRPr="00DD2634">
        <w:t xml:space="preserve">(266,036 children) </w:t>
      </w:r>
      <w:r w:rsidR="00B53558" w:rsidRPr="00DD2634">
        <w:t>in the most recent data</w:t>
      </w:r>
      <w:r w:rsidR="003F06B2" w:rsidRPr="00DD2634">
        <w:t>.</w:t>
      </w:r>
      <w:r w:rsidR="00757523" w:rsidRPr="00DD2634">
        <w:rPr>
          <w:rStyle w:val="FootnoteReference"/>
        </w:rPr>
        <w:footnoteReference w:id="6"/>
      </w:r>
      <w:r w:rsidR="00932022" w:rsidRPr="00DD2634">
        <w:t xml:space="preserve"> </w:t>
      </w:r>
      <w:r w:rsidR="00DB2421" w:rsidRPr="00DD2634">
        <w:t xml:space="preserve">Almost 38 per cent of children in a preschool programme in the year before school were in a </w:t>
      </w:r>
      <w:r w:rsidR="008B413F" w:rsidRPr="00DD2634">
        <w:t>L</w:t>
      </w:r>
      <w:r w:rsidR="00DB2421" w:rsidRPr="00DD2634">
        <w:t xml:space="preserve">ong </w:t>
      </w:r>
      <w:r w:rsidR="008B413F" w:rsidRPr="00DD2634">
        <w:t>D</w:t>
      </w:r>
      <w:r w:rsidR="00DB2421" w:rsidRPr="00DD2634">
        <w:t xml:space="preserve">ay </w:t>
      </w:r>
      <w:r w:rsidR="008B413F" w:rsidRPr="00DD2634">
        <w:t>C</w:t>
      </w:r>
      <w:r w:rsidR="00DB2421" w:rsidRPr="00DD2634">
        <w:t>are centre, as opposed to a school-based or stand-alone preschool, indicating a high degree of integration bet</w:t>
      </w:r>
      <w:r w:rsidR="008F197C" w:rsidRPr="00DD2634">
        <w:t>ween the two major parts of the</w:t>
      </w:r>
      <w:r w:rsidR="00DB2421" w:rsidRPr="00DD2634">
        <w:t xml:space="preserve"> sector.</w:t>
      </w:r>
    </w:p>
    <w:p w14:paraId="04969C36" w14:textId="35267B09" w:rsidR="00843307" w:rsidRPr="00DD2634" w:rsidRDefault="006C3A5E" w:rsidP="00BE5BEF">
      <w:pPr>
        <w:pStyle w:val="Heading2"/>
      </w:pPr>
      <w:bookmarkStart w:id="20" w:name="_Toc379208175"/>
      <w:bookmarkStart w:id="21" w:name="_Toc377217315"/>
      <w:r w:rsidRPr="00DD2634">
        <w:t xml:space="preserve">Recent </w:t>
      </w:r>
      <w:r w:rsidR="00835CC2" w:rsidRPr="00DD2634">
        <w:t xml:space="preserve">CCECL sector </w:t>
      </w:r>
      <w:r w:rsidR="00EB307D" w:rsidRPr="00DD2634">
        <w:t>trends</w:t>
      </w:r>
      <w:bookmarkEnd w:id="20"/>
      <w:r w:rsidRPr="00DD2634">
        <w:t xml:space="preserve"> </w:t>
      </w:r>
      <w:bookmarkEnd w:id="21"/>
    </w:p>
    <w:p w14:paraId="1E3A3450" w14:textId="77777777" w:rsidR="00A6335B" w:rsidRPr="00DD2634" w:rsidRDefault="00A6335B" w:rsidP="00911099">
      <w:pPr>
        <w:pStyle w:val="NormalNumbered"/>
      </w:pPr>
      <w:r w:rsidRPr="00DD2634">
        <w:rPr>
          <w:noProof/>
          <w:lang w:eastAsia="en-AU"/>
        </w:rPr>
        <mc:AlternateContent>
          <mc:Choice Requires="wps">
            <w:drawing>
              <wp:anchor distT="0" distB="0" distL="114300" distR="114300" simplePos="0" relativeHeight="251698176" behindDoc="0" locked="0" layoutInCell="0" allowOverlap="1" wp14:anchorId="04969ECD" wp14:editId="57D1947C">
                <wp:simplePos x="0" y="0"/>
                <wp:positionH relativeFrom="margin">
                  <wp:posOffset>2947670</wp:posOffset>
                </wp:positionH>
                <wp:positionV relativeFrom="margin">
                  <wp:posOffset>6064250</wp:posOffset>
                </wp:positionV>
                <wp:extent cx="2439670" cy="1483995"/>
                <wp:effectExtent l="19050" t="19050" r="17780" b="20955"/>
                <wp:wrapSquare wrapText="bothSides"/>
                <wp:docPr id="1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9670" cy="1483995"/>
                        </a:xfrm>
                        <a:prstGeom prst="bracketPair">
                          <a:avLst>
                            <a:gd name="adj" fmla="val 8051"/>
                          </a:avLst>
                        </a:prstGeom>
                        <a:noFill/>
                        <a:ln w="38100">
                          <a:solidFill>
                            <a:schemeClr val="tx1">
                              <a:lumMod val="50000"/>
                              <a:lumOff val="50000"/>
                            </a:schemeClr>
                          </a:solidFill>
                          <a:round/>
                          <a:headEnd/>
                          <a:tailEnd/>
                        </a:ln>
                        <a:extLst>
                          <a:ext uri="{909E8E84-426E-40DD-AFC4-6F175D3DCCD1}">
                            <a14:hiddenFill xmlns:a14="http://schemas.microsoft.com/office/drawing/2010/main">
                              <a:solidFill>
                                <a:srgbClr val="943634"/>
                              </a:solidFill>
                            </a14:hiddenFill>
                          </a:ext>
                          <a:ext uri="{AF507438-7753-43E0-B8FC-AC1667EBCBE1}">
                            <a14:hiddenEffects xmlns:a14="http://schemas.microsoft.com/office/drawing/2010/main">
                              <a:effectLst>
                                <a:outerShdw dist="17961" dir="2700000" algn="ctr" rotWithShape="0">
                                  <a:srgbClr val="9BBB59">
                                    <a:gamma/>
                                    <a:shade val="60000"/>
                                    <a:invGamma/>
                                  </a:srgbClr>
                                </a:outerShdw>
                              </a:effectLst>
                            </a14:hiddenEffects>
                          </a:ext>
                        </a:extLst>
                      </wps:spPr>
                      <wps:txbx>
                        <w:txbxContent>
                          <w:p w14:paraId="04969F32" w14:textId="77777777" w:rsidR="006678AE" w:rsidRPr="009158D9" w:rsidRDefault="006678AE" w:rsidP="003029E8">
                            <w:pPr>
                              <w:spacing w:after="0"/>
                              <w:ind w:right="417"/>
                              <w:rPr>
                                <w:b/>
                                <w:i/>
                                <w:iCs/>
                                <w:sz w:val="20"/>
                                <w:szCs w:val="20"/>
                              </w:rPr>
                            </w:pPr>
                            <w:r w:rsidRPr="009158D9">
                              <w:rPr>
                                <w:b/>
                                <w:i/>
                                <w:iCs/>
                                <w:sz w:val="20"/>
                                <w:szCs w:val="20"/>
                              </w:rPr>
                              <w:t>Key Points:</w:t>
                            </w:r>
                          </w:p>
                          <w:p w14:paraId="04969F33" w14:textId="77777777" w:rsidR="006678AE" w:rsidRDefault="006678AE" w:rsidP="006E1311">
                            <w:pPr>
                              <w:pStyle w:val="ListParagraph"/>
                              <w:numPr>
                                <w:ilvl w:val="0"/>
                                <w:numId w:val="16"/>
                              </w:numPr>
                              <w:spacing w:after="0"/>
                              <w:ind w:left="284" w:right="417" w:hanging="284"/>
                              <w:rPr>
                                <w:i/>
                                <w:iCs/>
                                <w:sz w:val="20"/>
                                <w:szCs w:val="20"/>
                              </w:rPr>
                            </w:pPr>
                            <w:r>
                              <w:rPr>
                                <w:i/>
                                <w:iCs/>
                                <w:sz w:val="20"/>
                                <w:szCs w:val="20"/>
                              </w:rPr>
                              <w:t>The CCECL sector has grown from a ‘cottage industry’ to a large, dynamic and complex system.</w:t>
                            </w:r>
                          </w:p>
                          <w:p w14:paraId="04969F35" w14:textId="5D790EFF" w:rsidR="006678AE" w:rsidRPr="003F06B2" w:rsidRDefault="006678AE" w:rsidP="003029E8">
                            <w:pPr>
                              <w:pStyle w:val="ListParagraph"/>
                              <w:numPr>
                                <w:ilvl w:val="0"/>
                                <w:numId w:val="16"/>
                              </w:numPr>
                              <w:spacing w:after="0"/>
                              <w:ind w:left="284" w:right="417" w:hanging="284"/>
                              <w:rPr>
                                <w:i/>
                                <w:iCs/>
                                <w:sz w:val="20"/>
                                <w:szCs w:val="20"/>
                              </w:rPr>
                            </w:pPr>
                            <w:r>
                              <w:rPr>
                                <w:i/>
                                <w:iCs/>
                                <w:sz w:val="20"/>
                                <w:szCs w:val="20"/>
                              </w:rPr>
                              <w:t>Growth has been driven by market dynamics and changes in government policies and funding.</w:t>
                            </w:r>
                          </w:p>
                        </w:txbxContent>
                      </wps:txbx>
                      <wps:bodyPr rot="0" vert="horz" wrap="square" lIns="45720" tIns="45720" rIns="4572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185" style="position:absolute;left:0;text-align:left;margin-left:232.1pt;margin-top:477.5pt;width:192.1pt;height:116.8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" o:allowincell="f" adj="1739" fillcolor="#943634" strokecolor="gray [1629]" strokeweight="3pt">
                <v:shadow color="#5d7035" offset="1pt,1pt"/>
                <v:textbox inset="3.6pt,,3.6pt">
                  <w:txbxContent>
                    <w:p w14:paraId="04969F32" w14:textId="77777777" w:rsidR="006678AE" w:rsidRPr="009158D9" w:rsidRDefault="006678AE" w:rsidP="003029E8">
                      <w:pPr>
                        <w:spacing w:after="0"/>
                        <w:ind w:right="417"/>
                        <w:rPr>
                          <w:b/>
                          <w:i/>
                          <w:iCs/>
                          <w:sz w:val="20"/>
                          <w:szCs w:val="20"/>
                        </w:rPr>
                      </w:pPr>
                      <w:r w:rsidRPr="009158D9">
                        <w:rPr>
                          <w:b/>
                          <w:i/>
                          <w:iCs/>
                          <w:sz w:val="20"/>
                          <w:szCs w:val="20"/>
                        </w:rPr>
                        <w:t>Key Points:</w:t>
                      </w:r>
                    </w:p>
                    <w:p w14:paraId="04969F33" w14:textId="77777777" w:rsidR="006678AE" w:rsidRDefault="006678AE" w:rsidP="006E1311">
                      <w:pPr>
                        <w:pStyle w:val="ListParagraph"/>
                        <w:numPr>
                          <w:ilvl w:val="0"/>
                          <w:numId w:val="16"/>
                        </w:numPr>
                        <w:spacing w:after="0"/>
                        <w:ind w:left="284" w:right="417" w:hanging="284"/>
                        <w:rPr>
                          <w:i/>
                          <w:iCs/>
                          <w:sz w:val="20"/>
                          <w:szCs w:val="20"/>
                        </w:rPr>
                      </w:pPr>
                      <w:r>
                        <w:rPr>
                          <w:i/>
                          <w:iCs/>
                          <w:sz w:val="20"/>
                          <w:szCs w:val="20"/>
                        </w:rPr>
                        <w:t>The CCECL sector has grown from a ‘cottage industry’ to a large, dynamic and complex system.</w:t>
                      </w:r>
                    </w:p>
                    <w:p w14:paraId="04969F35" w14:textId="5D790EFF" w:rsidR="006678AE" w:rsidRPr="003F06B2" w:rsidRDefault="006678AE" w:rsidP="003029E8">
                      <w:pPr>
                        <w:pStyle w:val="ListParagraph"/>
                        <w:numPr>
                          <w:ilvl w:val="0"/>
                          <w:numId w:val="16"/>
                        </w:numPr>
                        <w:spacing w:after="0"/>
                        <w:ind w:left="284" w:right="417" w:hanging="284"/>
                        <w:rPr>
                          <w:i/>
                          <w:iCs/>
                          <w:sz w:val="20"/>
                          <w:szCs w:val="20"/>
                        </w:rPr>
                      </w:pPr>
                      <w:r>
                        <w:rPr>
                          <w:i/>
                          <w:iCs/>
                          <w:sz w:val="20"/>
                          <w:szCs w:val="20"/>
                        </w:rPr>
                        <w:t>Growth has been driven by market dynamics and changes in government policies and funding.</w:t>
                      </w:r>
                    </w:p>
                  </w:txbxContent>
                </v:textbox>
                <w10:wrap type="square" anchorx="margin" anchory="margin"/>
              </v:shape>
            </w:pict>
          </mc:Fallback>
        </mc:AlternateContent>
      </w:r>
      <w:r w:rsidR="00755FB3" w:rsidRPr="00DD2634">
        <w:t>Based on ABS data, between June 1999 and June 2011 the number of birth to four year olds</w:t>
      </w:r>
      <w:r w:rsidR="00932022" w:rsidRPr="00DD2634">
        <w:t xml:space="preserve"> in formal care increased by 53 per </w:t>
      </w:r>
      <w:r w:rsidR="00755FB3" w:rsidRPr="00DD2634">
        <w:t xml:space="preserve">cent, while the number in informal care over the same period decreased by 19 per cent. The corresponding figures for 5 to 11 </w:t>
      </w:r>
      <w:r w:rsidR="00932022" w:rsidRPr="00DD2634">
        <w:t>year olds are an increase of 51 </w:t>
      </w:r>
      <w:r w:rsidR="00755FB3" w:rsidRPr="00DD2634">
        <w:t>per cent in form</w:t>
      </w:r>
      <w:r w:rsidR="00932022" w:rsidRPr="00DD2634">
        <w:t>al care and a decline of 23 per </w:t>
      </w:r>
      <w:r w:rsidR="00755FB3" w:rsidRPr="00DD2634">
        <w:t>cent in informal care.</w:t>
      </w:r>
      <w:r w:rsidR="00755FB3" w:rsidRPr="00DD2634">
        <w:rPr>
          <w:rStyle w:val="FootnoteReference"/>
        </w:rPr>
        <w:footnoteReference w:id="7"/>
      </w:r>
      <w:r w:rsidR="00755FB3" w:rsidRPr="00DD2634">
        <w:t xml:space="preserve"> </w:t>
      </w:r>
    </w:p>
    <w:p w14:paraId="04969C37" w14:textId="190D7BFE" w:rsidR="00755FB3" w:rsidRPr="00DD2634" w:rsidRDefault="00755FB3" w:rsidP="00911099">
      <w:pPr>
        <w:pStyle w:val="NormalNumbered"/>
      </w:pPr>
      <w:r w:rsidRPr="00DD2634">
        <w:t xml:space="preserve">This </w:t>
      </w:r>
      <w:r w:rsidR="00911099" w:rsidRPr="00DD2634">
        <w:t xml:space="preserve">long </w:t>
      </w:r>
      <w:r w:rsidRPr="00DD2634">
        <w:t xml:space="preserve">trend is </w:t>
      </w:r>
      <w:r w:rsidR="003B3887" w:rsidRPr="00DD2634">
        <w:t>comple</w:t>
      </w:r>
      <w:r w:rsidR="005530A3" w:rsidRPr="00DD2634">
        <w:t>mented</w:t>
      </w:r>
      <w:r w:rsidRPr="00DD2634">
        <w:t xml:space="preserve"> by increases in the proportion of women – including mothers – in the workforce, driving an increased dependence on reliable, quality </w:t>
      </w:r>
      <w:r w:rsidR="00911099" w:rsidRPr="00DD2634">
        <w:t xml:space="preserve">child care (although female workforce participation has not </w:t>
      </w:r>
      <w:r w:rsidR="00911099" w:rsidRPr="00DD2634">
        <w:lastRenderedPageBreak/>
        <w:t xml:space="preserve">grown strongly in more recent years – see </w:t>
      </w:r>
      <w:r w:rsidR="00A6335B" w:rsidRPr="00DD2634">
        <w:t xml:space="preserve">section </w:t>
      </w:r>
      <w:r w:rsidR="00A6335B" w:rsidRPr="00DD2634">
        <w:fldChar w:fldCharType="begin"/>
      </w:r>
      <w:r w:rsidR="00A6335B" w:rsidRPr="00DD2634">
        <w:instrText xml:space="preserve"> REF _Ref378850429 \r \h </w:instrText>
      </w:r>
      <w:r w:rsidR="00DD2634">
        <w:instrText xml:space="preserve"> \* MERGEFORMAT </w:instrText>
      </w:r>
      <w:r w:rsidR="00A6335B" w:rsidRPr="00DD2634">
        <w:fldChar w:fldCharType="separate"/>
      </w:r>
      <w:r w:rsidR="00CE4F92">
        <w:t>2.4</w:t>
      </w:r>
      <w:r w:rsidR="00A6335B" w:rsidRPr="00DD2634">
        <w:fldChar w:fldCharType="end"/>
      </w:r>
      <w:r w:rsidR="00A6335B" w:rsidRPr="00DD2634">
        <w:t xml:space="preserve"> </w:t>
      </w:r>
      <w:r w:rsidR="00A6335B" w:rsidRPr="00DD2634">
        <w:fldChar w:fldCharType="begin"/>
      </w:r>
      <w:r w:rsidR="00A6335B" w:rsidRPr="00DD2634">
        <w:instrText xml:space="preserve"> REF _Ref378850435 \h </w:instrText>
      </w:r>
      <w:r w:rsidR="00DD2634">
        <w:instrText xml:space="preserve"> \* MERGEFORMAT </w:instrText>
      </w:r>
      <w:r w:rsidR="00A6335B" w:rsidRPr="00DD2634">
        <w:fldChar w:fldCharType="separate"/>
      </w:r>
      <w:r w:rsidR="00CE4F92" w:rsidRPr="00DD2634">
        <w:t>Parents’ workforce participation</w:t>
      </w:r>
      <w:r w:rsidR="00A6335B" w:rsidRPr="00DD2634">
        <w:fldChar w:fldCharType="end"/>
      </w:r>
      <w:r w:rsidR="00A6335B" w:rsidRPr="00DD2634">
        <w:t xml:space="preserve">). </w:t>
      </w:r>
    </w:p>
    <w:p w14:paraId="2F7ADA8B" w14:textId="1E664F21" w:rsidR="00835CC2" w:rsidRPr="00DD2634" w:rsidRDefault="00613492" w:rsidP="00381744">
      <w:pPr>
        <w:pStyle w:val="NormalNumbered"/>
      </w:pPr>
      <w:r w:rsidRPr="00DD2634">
        <w:t xml:space="preserve">In response to these </w:t>
      </w:r>
      <w:r w:rsidR="006222E8" w:rsidRPr="00DD2634">
        <w:t xml:space="preserve">demographic and economic </w:t>
      </w:r>
      <w:r w:rsidRPr="00DD2634">
        <w:t xml:space="preserve">trends and also driven by shifts in public policy and funding, </w:t>
      </w:r>
      <w:r w:rsidR="007B3EBE" w:rsidRPr="00DD2634">
        <w:t xml:space="preserve">the </w:t>
      </w:r>
      <w:r w:rsidR="008F197C" w:rsidRPr="00DD2634">
        <w:t>CCECL</w:t>
      </w:r>
      <w:r w:rsidR="007B3EBE" w:rsidRPr="00DD2634">
        <w:t xml:space="preserve"> sector in Australia has grown from a</w:t>
      </w:r>
      <w:r w:rsidRPr="00DD2634">
        <w:t xml:space="preserve"> small, fragmented</w:t>
      </w:r>
      <w:r w:rsidR="007B3EBE" w:rsidRPr="00DD2634">
        <w:t xml:space="preserve"> ‘cottage industry’, characterised by separate </w:t>
      </w:r>
      <w:r w:rsidRPr="00DD2634">
        <w:t xml:space="preserve">mostly community-driven </w:t>
      </w:r>
      <w:r w:rsidR="007B3EBE" w:rsidRPr="00DD2634">
        <w:t>child care and preschool sector</w:t>
      </w:r>
      <w:r w:rsidRPr="00DD2634">
        <w:t>s</w:t>
      </w:r>
      <w:r w:rsidR="005530A3" w:rsidRPr="00DD2634">
        <w:t xml:space="preserve"> to a diverse industry</w:t>
      </w:r>
      <w:r w:rsidR="006D1597" w:rsidRPr="00DD2634">
        <w:t xml:space="preserve"> comprising a mix of for-profit and not-for-profit services</w:t>
      </w:r>
      <w:r w:rsidR="00D51455" w:rsidRPr="00DD2634">
        <w:t>.</w:t>
      </w:r>
      <w:r w:rsidR="007B3EBE" w:rsidRPr="00DD2634">
        <w:t xml:space="preserve"> </w:t>
      </w:r>
    </w:p>
    <w:p w14:paraId="04969C38" w14:textId="51AB1FB6" w:rsidR="007B3EBE" w:rsidRPr="00DD2634" w:rsidRDefault="007B3EBE" w:rsidP="00381744">
      <w:pPr>
        <w:pStyle w:val="NormalNumbered"/>
      </w:pPr>
      <w:r w:rsidRPr="00DD2634">
        <w:t xml:space="preserve">Since 1991, </w:t>
      </w:r>
      <w:r w:rsidR="00CD7F5A" w:rsidRPr="00DD2634">
        <w:t xml:space="preserve">for example, </w:t>
      </w:r>
      <w:r w:rsidRPr="00DD2634">
        <w:t xml:space="preserve">the number of approved child care services has </w:t>
      </w:r>
      <w:r w:rsidR="00EB307D" w:rsidRPr="00DD2634">
        <w:t>almost quadrupled from around 4</w:t>
      </w:r>
      <w:r w:rsidR="00222D8F" w:rsidRPr="00DD2634">
        <w:t>,</w:t>
      </w:r>
      <w:r w:rsidR="00EB307D" w:rsidRPr="00DD2634">
        <w:t>000</w:t>
      </w:r>
      <w:r w:rsidRPr="00DD2634">
        <w:t xml:space="preserve">, and the number of children using child care has increased </w:t>
      </w:r>
      <w:r w:rsidR="00EB307D" w:rsidRPr="00DD2634">
        <w:t>by a similar proportion</w:t>
      </w:r>
      <w:r w:rsidRPr="00DD2634">
        <w:t xml:space="preserve">. </w:t>
      </w:r>
      <w:r w:rsidR="005530A3" w:rsidRPr="00DD2634">
        <w:t>In 2010, t</w:t>
      </w:r>
      <w:r w:rsidRPr="00DD2634">
        <w:t>he sector employ</w:t>
      </w:r>
      <w:r w:rsidR="005530A3" w:rsidRPr="00DD2634">
        <w:t>ed</w:t>
      </w:r>
      <w:r w:rsidRPr="00DD2634">
        <w:t xml:space="preserve"> </w:t>
      </w:r>
      <w:r w:rsidR="00EB307D" w:rsidRPr="00DD2634">
        <w:t>around</w:t>
      </w:r>
      <w:r w:rsidR="00495DDE" w:rsidRPr="00DD2634">
        <w:t xml:space="preserve"> 109</w:t>
      </w:r>
      <w:r w:rsidRPr="00DD2634">
        <w:t xml:space="preserve">,000 </w:t>
      </w:r>
      <w:r w:rsidR="00495DDE" w:rsidRPr="00DD2634">
        <w:t xml:space="preserve">primary contact </w:t>
      </w:r>
      <w:r w:rsidR="00DE1C74" w:rsidRPr="00DD2634">
        <w:t>staff</w:t>
      </w:r>
      <w:r w:rsidR="008F569F" w:rsidRPr="00DD2634">
        <w:t xml:space="preserve"> (around </w:t>
      </w:r>
      <w:r w:rsidR="00CD7F5A" w:rsidRPr="00DD2634">
        <w:t>1</w:t>
      </w:r>
      <w:r w:rsidR="008F197C" w:rsidRPr="00DD2634">
        <w:t>4</w:t>
      </w:r>
      <w:r w:rsidR="00CD7F5A" w:rsidRPr="00DD2634">
        <w:t>0,000 when non-contact staff are included</w:t>
      </w:r>
      <w:r w:rsidR="008F569F" w:rsidRPr="00DD2634">
        <w:t>)</w:t>
      </w:r>
      <w:r w:rsidR="00DA2FC4" w:rsidRPr="00DD2634">
        <w:t>.</w:t>
      </w:r>
      <w:r w:rsidR="008F197C" w:rsidRPr="00DD2634">
        <w:rPr>
          <w:rStyle w:val="FootnoteReference"/>
        </w:rPr>
        <w:footnoteReference w:id="8"/>
      </w:r>
    </w:p>
    <w:p w14:paraId="04969C39" w14:textId="77777777" w:rsidR="007B3EBE" w:rsidRPr="00DD2634" w:rsidRDefault="007B3EBE" w:rsidP="00381744">
      <w:pPr>
        <w:pStyle w:val="NormalNumbered"/>
      </w:pPr>
      <w:r w:rsidRPr="00DD2634">
        <w:t>In 2000, major reforms were introduced to the child care payments regime with the new Child Care Benefit (</w:t>
      </w:r>
      <w:proofErr w:type="spellStart"/>
      <w:r w:rsidRPr="00DD2634">
        <w:t>CCB</w:t>
      </w:r>
      <w:proofErr w:type="spellEnd"/>
      <w:r w:rsidRPr="00DD2634">
        <w:t xml:space="preserve">), which underpins the current child care </w:t>
      </w:r>
      <w:r w:rsidR="00D87AA7" w:rsidRPr="00DD2634">
        <w:t>funding</w:t>
      </w:r>
      <w:r w:rsidRPr="00DD2634">
        <w:t xml:space="preserve"> system. The </w:t>
      </w:r>
      <w:r w:rsidR="007A212D" w:rsidRPr="00DD2634">
        <w:t xml:space="preserve">means-tested </w:t>
      </w:r>
      <w:proofErr w:type="spellStart"/>
      <w:r w:rsidRPr="00DD2634">
        <w:t>CCB</w:t>
      </w:r>
      <w:proofErr w:type="spellEnd"/>
      <w:r w:rsidRPr="00DD2634">
        <w:t xml:space="preserve"> replaced both Childcare Assistance</w:t>
      </w:r>
      <w:r w:rsidR="00D87751" w:rsidRPr="00DD2634">
        <w:t xml:space="preserve"> and the Childcare Cash Rebate.</w:t>
      </w:r>
    </w:p>
    <w:p w14:paraId="04969C3A" w14:textId="4DB1D1F0" w:rsidR="007B3EBE" w:rsidRPr="00DD2634" w:rsidRDefault="007B3EBE" w:rsidP="00381744">
      <w:pPr>
        <w:pStyle w:val="NormalNumbered"/>
      </w:pPr>
      <w:r w:rsidRPr="00DD2634">
        <w:t xml:space="preserve"> In 2004, the </w:t>
      </w:r>
      <w:r w:rsidR="007A212D" w:rsidRPr="00DD2634">
        <w:t xml:space="preserve">non-means tested </w:t>
      </w:r>
      <w:r w:rsidRPr="00DD2634">
        <w:t>Child Care Tax Rebate (CCTR) was introduced, enabling families to offset up to 30 per cent of out of pocket costs up to a maximum amount of $4,000 per year.</w:t>
      </w:r>
      <w:r w:rsidR="005541E0" w:rsidRPr="00DD2634">
        <w:t xml:space="preserve"> </w:t>
      </w:r>
      <w:r w:rsidRPr="00DD2634">
        <w:t xml:space="preserve">In 2008, </w:t>
      </w:r>
      <w:r w:rsidR="00786884" w:rsidRPr="00DD2634">
        <w:t xml:space="preserve">the CCTR became the Child Care Rebate (CCR) payment and </w:t>
      </w:r>
      <w:r w:rsidRPr="00DD2634">
        <w:t>was increased to 50 per cent of out of pocke</w:t>
      </w:r>
      <w:r w:rsidR="00786884" w:rsidRPr="00DD2634">
        <w:t>t</w:t>
      </w:r>
      <w:r w:rsidRPr="00DD2634">
        <w:t xml:space="preserve"> costs, up to a maximum amount </w:t>
      </w:r>
      <w:r w:rsidR="003F06B2" w:rsidRPr="00DD2634">
        <w:t xml:space="preserve">of </w:t>
      </w:r>
      <w:r w:rsidRPr="00DD2634">
        <w:t xml:space="preserve">$7,500 </w:t>
      </w:r>
      <w:r w:rsidR="00BF72F7" w:rsidRPr="00DD2634">
        <w:t xml:space="preserve">per child </w:t>
      </w:r>
      <w:r w:rsidRPr="00DD2634">
        <w:t>p</w:t>
      </w:r>
      <w:r w:rsidR="007A212D" w:rsidRPr="00DD2634">
        <w:t>er year</w:t>
      </w:r>
      <w:r w:rsidR="00EC06AA">
        <w:t>.</w:t>
      </w:r>
      <w:r w:rsidR="007A212D" w:rsidRPr="00DD2634">
        <w:t xml:space="preserve"> </w:t>
      </w:r>
    </w:p>
    <w:p w14:paraId="04969C3B" w14:textId="44C4A030" w:rsidR="00DD695D" w:rsidRPr="00DD2634" w:rsidRDefault="00A6335B" w:rsidP="00381744">
      <w:pPr>
        <w:pStyle w:val="NormalNumbered"/>
      </w:pPr>
      <w:r w:rsidRPr="00DD2634">
        <w:t xml:space="preserve">There have also been significant changes to child care support for parents on income support. </w:t>
      </w:r>
      <w:r w:rsidR="00DD695D" w:rsidRPr="00DD2634">
        <w:t>In the 2005-06 Budget</w:t>
      </w:r>
      <w:r w:rsidRPr="00DD2634">
        <w:t xml:space="preserve"> for example the</w:t>
      </w:r>
      <w:r w:rsidR="00DD695D" w:rsidRPr="00DD2634">
        <w:t xml:space="preserve"> Jobs, Education and Training (JET) </w:t>
      </w:r>
      <w:r w:rsidRPr="00DD2634">
        <w:t xml:space="preserve">programme </w:t>
      </w:r>
      <w:r w:rsidR="00DD695D" w:rsidRPr="00DD2634">
        <w:t>was changed to Jobs, Education and Training Child Care Fee Assistance (JETCCFA) as part of the suite of child care measures to support the Welfare to Work policy changes</w:t>
      </w:r>
      <w:r w:rsidR="00DA2FC4" w:rsidRPr="00DD2634">
        <w:t>.</w:t>
      </w:r>
      <w:r w:rsidR="00DD695D" w:rsidRPr="00DD2634">
        <w:rPr>
          <w:rStyle w:val="FootnoteReference"/>
        </w:rPr>
        <w:footnoteReference w:id="9"/>
      </w:r>
    </w:p>
    <w:p w14:paraId="04969C3C" w14:textId="4BB93CC5" w:rsidR="007B3EBE" w:rsidRPr="00DD2634" w:rsidRDefault="00334C67" w:rsidP="00381744">
      <w:pPr>
        <w:pStyle w:val="NormalNumbered"/>
      </w:pPr>
      <w:r w:rsidRPr="00DD2634">
        <w:t xml:space="preserve">In 2012, </w:t>
      </w:r>
      <w:r w:rsidR="007B3EBE" w:rsidRPr="00DD2634">
        <w:t xml:space="preserve">the National Quality Framework for </w:t>
      </w:r>
      <w:r w:rsidR="00F67695" w:rsidRPr="00DD2634">
        <w:t>(</w:t>
      </w:r>
      <w:proofErr w:type="spellStart"/>
      <w:r w:rsidR="00F67695" w:rsidRPr="00DD2634">
        <w:t>NQF</w:t>
      </w:r>
      <w:proofErr w:type="spellEnd"/>
      <w:r w:rsidR="00F67695" w:rsidRPr="00DD2634">
        <w:t xml:space="preserve">) </w:t>
      </w:r>
      <w:r w:rsidR="007B3EBE" w:rsidRPr="00DD2634">
        <w:t>Ear</w:t>
      </w:r>
      <w:r w:rsidRPr="00DD2634">
        <w:t>ly Childhood Education and Care commenced</w:t>
      </w:r>
      <w:r w:rsidR="001C515A" w:rsidRPr="00DD2634">
        <w:t>, with a progressive implementation of nationally consistent quality standards covering issues such as staff qualifications and staff to children ratios</w:t>
      </w:r>
      <w:r w:rsidR="007B3EBE" w:rsidRPr="00DD2634">
        <w:t>.</w:t>
      </w:r>
      <w:r w:rsidR="00E85C7B" w:rsidRPr="00DD2634">
        <w:t xml:space="preserve"> There has also been a focus on </w:t>
      </w:r>
      <w:r w:rsidR="00D51455" w:rsidRPr="00DD2634">
        <w:t xml:space="preserve">increasing participation in </w:t>
      </w:r>
      <w:r w:rsidR="007A625E" w:rsidRPr="00DD2634">
        <w:t xml:space="preserve">early childhood education </w:t>
      </w:r>
      <w:r w:rsidR="00E85C7B" w:rsidRPr="00DD2634">
        <w:t>and supporting high needs groups, including Aboriginal and Torres Strait Islander children and families and vulnerable or at risk children.</w:t>
      </w:r>
      <w:r w:rsidR="00AB15F7" w:rsidRPr="00DD2634">
        <w:t xml:space="preserve"> </w:t>
      </w:r>
    </w:p>
    <w:p w14:paraId="04969C3D" w14:textId="1BD474D3" w:rsidR="000A6339" w:rsidRPr="00DD2634" w:rsidRDefault="000A6339" w:rsidP="00BE5BEF">
      <w:pPr>
        <w:pStyle w:val="Heading2"/>
      </w:pPr>
      <w:bookmarkStart w:id="22" w:name="_Toc377217316"/>
      <w:bookmarkStart w:id="23" w:name="_Toc379208176"/>
      <w:r w:rsidRPr="00DD2634">
        <w:t xml:space="preserve">Current </w:t>
      </w:r>
      <w:r w:rsidR="008F197C" w:rsidRPr="00DD2634">
        <w:t>CCECL</w:t>
      </w:r>
      <w:r w:rsidRPr="00DD2634">
        <w:t xml:space="preserve"> services</w:t>
      </w:r>
      <w:bookmarkEnd w:id="22"/>
      <w:bookmarkEnd w:id="23"/>
    </w:p>
    <w:p w14:paraId="04969C3E" w14:textId="409287E3" w:rsidR="000A6339" w:rsidRPr="00DD2634" w:rsidRDefault="001C515A" w:rsidP="00381744">
      <w:pPr>
        <w:pStyle w:val="NormalNumbered"/>
      </w:pPr>
      <w:r w:rsidRPr="00DD2634">
        <w:rPr>
          <w:noProof/>
          <w:lang w:eastAsia="en-AU"/>
        </w:rPr>
        <mc:AlternateContent>
          <mc:Choice Requires="wps">
            <w:drawing>
              <wp:anchor distT="0" distB="0" distL="114300" distR="114300" simplePos="0" relativeHeight="251665408" behindDoc="0" locked="0" layoutInCell="0" allowOverlap="1" wp14:anchorId="04969ECF" wp14:editId="5073E302">
                <wp:simplePos x="0" y="0"/>
                <wp:positionH relativeFrom="margin">
                  <wp:posOffset>3157855</wp:posOffset>
                </wp:positionH>
                <wp:positionV relativeFrom="margin">
                  <wp:posOffset>7114540</wp:posOffset>
                </wp:positionV>
                <wp:extent cx="2263140" cy="1306830"/>
                <wp:effectExtent l="19050" t="19050" r="22860" b="26670"/>
                <wp:wrapSquare wrapText="bothSides"/>
                <wp:docPr id="30"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3140" cy="1306830"/>
                        </a:xfrm>
                        <a:prstGeom prst="bracketPair">
                          <a:avLst>
                            <a:gd name="adj" fmla="val 11460"/>
                          </a:avLst>
                        </a:prstGeom>
                        <a:noFill/>
                        <a:ln w="38100">
                          <a:solidFill>
                            <a:schemeClr val="tx1">
                              <a:lumMod val="50000"/>
                              <a:lumOff val="50000"/>
                            </a:schemeClr>
                          </a:solidFill>
                          <a:round/>
                          <a:headEnd/>
                          <a:tailEnd/>
                        </a:ln>
                        <a:extLst>
                          <a:ext uri="{909E8E84-426E-40DD-AFC4-6F175D3DCCD1}">
                            <a14:hiddenFill xmlns:a14="http://schemas.microsoft.com/office/drawing/2010/main">
                              <a:solidFill>
                                <a:srgbClr val="943634"/>
                              </a:solidFill>
                            </a14:hiddenFill>
                          </a:ext>
                          <a:ext uri="{AF507438-7753-43E0-B8FC-AC1667EBCBE1}">
                            <a14:hiddenEffects xmlns:a14="http://schemas.microsoft.com/office/drawing/2010/main">
                              <a:effectLst>
                                <a:outerShdw dist="17961" dir="2700000" algn="ctr" rotWithShape="0">
                                  <a:srgbClr val="9BBB59">
                                    <a:gamma/>
                                    <a:shade val="60000"/>
                                    <a:invGamma/>
                                  </a:srgbClr>
                                </a:outerShdw>
                              </a:effectLst>
                            </a14:hiddenEffects>
                          </a:ext>
                        </a:extLst>
                      </wps:spPr>
                      <wps:txbx>
                        <w:txbxContent>
                          <w:p w14:paraId="04969F36" w14:textId="77777777" w:rsidR="006678AE" w:rsidRPr="009158D9" w:rsidRDefault="006678AE" w:rsidP="002B6596">
                            <w:pPr>
                              <w:spacing w:after="0"/>
                              <w:rPr>
                                <w:b/>
                                <w:i/>
                                <w:iCs/>
                                <w:sz w:val="20"/>
                                <w:szCs w:val="20"/>
                              </w:rPr>
                            </w:pPr>
                            <w:r w:rsidRPr="009158D9">
                              <w:rPr>
                                <w:b/>
                                <w:i/>
                                <w:iCs/>
                                <w:sz w:val="20"/>
                                <w:szCs w:val="20"/>
                              </w:rPr>
                              <w:t>Key Points:</w:t>
                            </w:r>
                          </w:p>
                          <w:p w14:paraId="04969F37" w14:textId="77777777" w:rsidR="006678AE" w:rsidRDefault="006678AE" w:rsidP="006E1311">
                            <w:pPr>
                              <w:pStyle w:val="ListParagraph"/>
                              <w:numPr>
                                <w:ilvl w:val="0"/>
                                <w:numId w:val="16"/>
                              </w:numPr>
                              <w:spacing w:after="0"/>
                              <w:ind w:left="284" w:hanging="287"/>
                              <w:rPr>
                                <w:i/>
                                <w:iCs/>
                                <w:sz w:val="20"/>
                                <w:szCs w:val="20"/>
                              </w:rPr>
                            </w:pPr>
                            <w:r>
                              <w:rPr>
                                <w:i/>
                                <w:iCs/>
                                <w:sz w:val="20"/>
                                <w:szCs w:val="20"/>
                              </w:rPr>
                              <w:t>The CCECL sector is characterised by a diversity of service types.</w:t>
                            </w:r>
                          </w:p>
                          <w:p w14:paraId="04969F38" w14:textId="61641EDA" w:rsidR="006678AE" w:rsidRPr="002B6596" w:rsidRDefault="006678AE" w:rsidP="006E1311">
                            <w:pPr>
                              <w:pStyle w:val="ListParagraph"/>
                              <w:numPr>
                                <w:ilvl w:val="0"/>
                                <w:numId w:val="16"/>
                              </w:numPr>
                              <w:spacing w:after="0"/>
                              <w:ind w:left="284" w:hanging="287"/>
                              <w:rPr>
                                <w:i/>
                                <w:iCs/>
                                <w:sz w:val="20"/>
                                <w:szCs w:val="20"/>
                              </w:rPr>
                            </w:pPr>
                            <w:r>
                              <w:rPr>
                                <w:i/>
                                <w:iCs/>
                                <w:sz w:val="20"/>
                                <w:szCs w:val="20"/>
                              </w:rPr>
                              <w:t>The range of service types has been shaped by parents’ needs and government policy settings.</w:t>
                            </w:r>
                          </w:p>
                        </w:txbxContent>
                      </wps:txbx>
                      <wps:bodyPr rot="0" vert="horz" wrap="square" lIns="45720" tIns="45720" rIns="4572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9" type="#_x0000_t185" style="position:absolute;left:0;text-align:left;margin-left:248.65pt;margin-top:560.2pt;width:178.2pt;height:102.9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" o:allowincell="f" adj="2475" fillcolor="#943634" strokecolor="gray [1629]" strokeweight="3pt">
                <v:shadow color="#5d7035" offset="1pt,1pt"/>
                <v:textbox inset="3.6pt,,3.6pt">
                  <w:txbxContent>
                    <w:p w14:paraId="04969F36" w14:textId="77777777" w:rsidR="006678AE" w:rsidRPr="009158D9" w:rsidRDefault="006678AE" w:rsidP="002B6596">
                      <w:pPr>
                        <w:spacing w:after="0"/>
                        <w:rPr>
                          <w:b/>
                          <w:i/>
                          <w:iCs/>
                          <w:sz w:val="20"/>
                          <w:szCs w:val="20"/>
                        </w:rPr>
                      </w:pPr>
                      <w:r w:rsidRPr="009158D9">
                        <w:rPr>
                          <w:b/>
                          <w:i/>
                          <w:iCs/>
                          <w:sz w:val="20"/>
                          <w:szCs w:val="20"/>
                        </w:rPr>
                        <w:t>Key Points:</w:t>
                      </w:r>
                    </w:p>
                    <w:p w14:paraId="04969F37" w14:textId="77777777" w:rsidR="006678AE" w:rsidRDefault="006678AE" w:rsidP="006E1311">
                      <w:pPr>
                        <w:pStyle w:val="ListParagraph"/>
                        <w:numPr>
                          <w:ilvl w:val="0"/>
                          <w:numId w:val="16"/>
                        </w:numPr>
                        <w:spacing w:after="0"/>
                        <w:ind w:left="284" w:hanging="287"/>
                        <w:rPr>
                          <w:i/>
                          <w:iCs/>
                          <w:sz w:val="20"/>
                          <w:szCs w:val="20"/>
                        </w:rPr>
                      </w:pPr>
                      <w:r>
                        <w:rPr>
                          <w:i/>
                          <w:iCs/>
                          <w:sz w:val="20"/>
                          <w:szCs w:val="20"/>
                        </w:rPr>
                        <w:t>The CCECL sector is characterised by a diversity of service types.</w:t>
                      </w:r>
                    </w:p>
                    <w:p w14:paraId="04969F38" w14:textId="61641EDA" w:rsidR="006678AE" w:rsidRPr="002B6596" w:rsidRDefault="006678AE" w:rsidP="006E1311">
                      <w:pPr>
                        <w:pStyle w:val="ListParagraph"/>
                        <w:numPr>
                          <w:ilvl w:val="0"/>
                          <w:numId w:val="16"/>
                        </w:numPr>
                        <w:spacing w:after="0"/>
                        <w:ind w:left="284" w:hanging="287"/>
                        <w:rPr>
                          <w:i/>
                          <w:iCs/>
                          <w:sz w:val="20"/>
                          <w:szCs w:val="20"/>
                        </w:rPr>
                      </w:pPr>
                      <w:r>
                        <w:rPr>
                          <w:i/>
                          <w:iCs/>
                          <w:sz w:val="20"/>
                          <w:szCs w:val="20"/>
                        </w:rPr>
                        <w:t>The range of service types has been shaped by parents’ needs and government policy settings.</w:t>
                      </w:r>
                    </w:p>
                  </w:txbxContent>
                </v:textbox>
                <w10:wrap type="square" anchorx="margin" anchory="margin"/>
              </v:shape>
            </w:pict>
          </mc:Fallback>
        </mc:AlternateContent>
      </w:r>
      <w:r w:rsidR="00271D18" w:rsidRPr="00DD2634">
        <w:t>T</w:t>
      </w:r>
      <w:r w:rsidR="000A6339" w:rsidRPr="00DD2634">
        <w:t xml:space="preserve">he </w:t>
      </w:r>
      <w:r w:rsidR="008F197C" w:rsidRPr="00DD2634">
        <w:t>CCECL</w:t>
      </w:r>
      <w:r w:rsidR="000A6339" w:rsidRPr="00DD2634">
        <w:t xml:space="preserve"> </w:t>
      </w:r>
      <w:r w:rsidR="00271D18" w:rsidRPr="00DD2634">
        <w:t>sector</w:t>
      </w:r>
      <w:r w:rsidR="000A6339" w:rsidRPr="00DD2634">
        <w:t xml:space="preserve"> has </w:t>
      </w:r>
      <w:r w:rsidR="00222D8F" w:rsidRPr="00DD2634">
        <w:t xml:space="preserve">a </w:t>
      </w:r>
      <w:r w:rsidR="00271D18" w:rsidRPr="00DD2634">
        <w:t xml:space="preserve">diverse </w:t>
      </w:r>
      <w:r w:rsidR="00835CC2" w:rsidRPr="00DD2634">
        <w:t>array</w:t>
      </w:r>
      <w:r w:rsidR="00271D18" w:rsidRPr="00DD2634">
        <w:t xml:space="preserve"> of service types, </w:t>
      </w:r>
      <w:r w:rsidR="000A6339" w:rsidRPr="00DD2634">
        <w:t>fall</w:t>
      </w:r>
      <w:r w:rsidR="00271D18" w:rsidRPr="00DD2634">
        <w:t>ing</w:t>
      </w:r>
      <w:r w:rsidR="000A6339" w:rsidRPr="00DD2634">
        <w:t xml:space="preserve"> into two broad catego</w:t>
      </w:r>
      <w:r w:rsidR="00835CC2" w:rsidRPr="00DD2634">
        <w:t>ries: centre-based and home-based. Centre-</w:t>
      </w:r>
      <w:r w:rsidR="000A6339" w:rsidRPr="00DD2634">
        <w:t>based care comprises Long Day Care, Preschool, Outside Schools Hours Care</w:t>
      </w:r>
      <w:r w:rsidR="00A6335B" w:rsidRPr="00DD2634">
        <w:t>, Occasional Care</w:t>
      </w:r>
      <w:r w:rsidR="000A6339" w:rsidRPr="00DD2634">
        <w:t xml:space="preserve"> and a range of integrated </w:t>
      </w:r>
      <w:r w:rsidR="00330088" w:rsidRPr="00DD2634">
        <w:t>CCECL</w:t>
      </w:r>
      <w:r w:rsidR="00835CC2" w:rsidRPr="00DD2634">
        <w:t xml:space="preserve"> models, while home-based care includes In </w:t>
      </w:r>
      <w:r w:rsidR="000A6339" w:rsidRPr="00DD2634">
        <w:t>Home C</w:t>
      </w:r>
      <w:r w:rsidR="002974BA" w:rsidRPr="00DD2634">
        <w:t xml:space="preserve">are, Family Day Care, nannies, </w:t>
      </w:r>
      <w:r w:rsidR="000A6339" w:rsidRPr="00DD2634">
        <w:t xml:space="preserve">and most informal care. </w:t>
      </w:r>
      <w:r w:rsidR="000A6339" w:rsidRPr="00DD2634">
        <w:lastRenderedPageBreak/>
        <w:t>There are also mobile child care and early learning services in rural and remote communities.</w:t>
      </w:r>
    </w:p>
    <w:p w14:paraId="0C732B3A" w14:textId="6C2DC409" w:rsidR="002236A6" w:rsidRPr="00DD2634" w:rsidRDefault="00271D18" w:rsidP="00381744">
      <w:pPr>
        <w:pStyle w:val="NormalNumbered"/>
      </w:pPr>
      <w:r w:rsidRPr="00DD2634">
        <w:t>Th</w:t>
      </w:r>
      <w:r w:rsidR="00835CC2" w:rsidRPr="00DD2634">
        <w:t>is</w:t>
      </w:r>
      <w:r w:rsidR="00334C67" w:rsidRPr="00DD2634">
        <w:t xml:space="preserve"> </w:t>
      </w:r>
      <w:r w:rsidR="00835CC2" w:rsidRPr="00DD2634">
        <w:t>di</w:t>
      </w:r>
      <w:r w:rsidRPr="00DD2634">
        <w:t xml:space="preserve">versity </w:t>
      </w:r>
      <w:r w:rsidR="00835CC2" w:rsidRPr="00DD2634">
        <w:t>has</w:t>
      </w:r>
      <w:r w:rsidRPr="00DD2634">
        <w:t xml:space="preserve"> been</w:t>
      </w:r>
      <w:r w:rsidR="003F06B2" w:rsidRPr="00DD2634">
        <w:t>, and continues</w:t>
      </w:r>
      <w:r w:rsidR="002236A6" w:rsidRPr="00DD2634">
        <w:t xml:space="preserve"> to be</w:t>
      </w:r>
      <w:r w:rsidR="003F06B2" w:rsidRPr="00DD2634">
        <w:t>,</w:t>
      </w:r>
      <w:r w:rsidR="002236A6" w:rsidRPr="00DD2634">
        <w:t xml:space="preserve"> </w:t>
      </w:r>
      <w:r w:rsidRPr="00DD2634">
        <w:t>shaped by</w:t>
      </w:r>
      <w:r w:rsidR="00334C67" w:rsidRPr="00DD2634">
        <w:t xml:space="preserve"> parents’ and children’s changing needs </w:t>
      </w:r>
      <w:r w:rsidR="0091187F" w:rsidRPr="00DD2634">
        <w:t xml:space="preserve">and </w:t>
      </w:r>
      <w:r w:rsidR="002236A6" w:rsidRPr="00DD2634">
        <w:t xml:space="preserve">by </w:t>
      </w:r>
      <w:r w:rsidR="00334C67" w:rsidRPr="00DD2634">
        <w:t>governmen</w:t>
      </w:r>
      <w:r w:rsidRPr="00DD2634">
        <w:t xml:space="preserve">t policy. </w:t>
      </w:r>
    </w:p>
    <w:p w14:paraId="16EA139D" w14:textId="238349CA" w:rsidR="002236A6" w:rsidRPr="00DD2634" w:rsidRDefault="00271D18" w:rsidP="0070323B">
      <w:pPr>
        <w:pStyle w:val="NormalNumbered"/>
      </w:pPr>
      <w:r w:rsidRPr="00DD2634">
        <w:t>For example, to support workforce participation,</w:t>
      </w:r>
      <w:r w:rsidR="00334C67" w:rsidRPr="00DD2634">
        <w:t xml:space="preserve"> </w:t>
      </w:r>
      <w:r w:rsidR="00D87751" w:rsidRPr="00DD2634">
        <w:t>Long Day Care centres</w:t>
      </w:r>
      <w:r w:rsidR="00334C67" w:rsidRPr="00DD2634">
        <w:t xml:space="preserve"> </w:t>
      </w:r>
      <w:r w:rsidRPr="00DD2634">
        <w:t xml:space="preserve">are required to </w:t>
      </w:r>
      <w:r w:rsidR="00334C67" w:rsidRPr="00DD2634">
        <w:t xml:space="preserve">be open at least 48 weeks of the year for at least eight continuous hours per day </w:t>
      </w:r>
      <w:r w:rsidR="002236A6" w:rsidRPr="00DD2634">
        <w:t xml:space="preserve">to be </w:t>
      </w:r>
      <w:r w:rsidR="00334C67" w:rsidRPr="00DD2634">
        <w:t xml:space="preserve">eligible </w:t>
      </w:r>
      <w:r w:rsidR="002236A6" w:rsidRPr="00DD2634">
        <w:t xml:space="preserve">for </w:t>
      </w:r>
      <w:proofErr w:type="spellStart"/>
      <w:r w:rsidR="002236A6" w:rsidRPr="00DD2634">
        <w:t>CCB</w:t>
      </w:r>
      <w:proofErr w:type="spellEnd"/>
      <w:r w:rsidR="002236A6" w:rsidRPr="00DD2634">
        <w:t xml:space="preserve">-approval, which has </w:t>
      </w:r>
      <w:r w:rsidR="00334C67" w:rsidRPr="00DD2634">
        <w:t xml:space="preserve">effectively created the </w:t>
      </w:r>
      <w:r w:rsidR="0070323B" w:rsidRPr="00DD2634">
        <w:t>Long Day Care operating model.</w:t>
      </w:r>
    </w:p>
    <w:p w14:paraId="04969C3F" w14:textId="17D91D96" w:rsidR="00334C67" w:rsidRPr="00DD2634" w:rsidRDefault="00550518" w:rsidP="00381744">
      <w:pPr>
        <w:pStyle w:val="NormalNumbered"/>
      </w:pPr>
      <w:r w:rsidRPr="00DD2634">
        <w:t>L</w:t>
      </w:r>
      <w:r w:rsidR="00334C67" w:rsidRPr="00DD2634">
        <w:t xml:space="preserve">imited </w:t>
      </w:r>
      <w:proofErr w:type="spellStart"/>
      <w:r w:rsidR="00334C67" w:rsidRPr="00DD2634">
        <w:t>CCB</w:t>
      </w:r>
      <w:proofErr w:type="spellEnd"/>
      <w:r w:rsidR="00334C67" w:rsidRPr="00DD2634">
        <w:t xml:space="preserve"> subsidies </w:t>
      </w:r>
      <w:r w:rsidRPr="00DD2634">
        <w:t xml:space="preserve">are available </w:t>
      </w:r>
      <w:r w:rsidR="00334C67" w:rsidRPr="00DD2634">
        <w:t xml:space="preserve">for registered (as opposed to approved) </w:t>
      </w:r>
      <w:r w:rsidRPr="00DD2634">
        <w:t>care providers</w:t>
      </w:r>
      <w:r w:rsidR="00334C67" w:rsidRPr="00DD2634">
        <w:t>.</w:t>
      </w:r>
      <w:r w:rsidR="0070323B" w:rsidRPr="00DD2634">
        <w:t xml:space="preserve"> Registered care is child care provided by individuals who are registered as carers with the Department of Human Services</w:t>
      </w:r>
      <w:r w:rsidR="00C47902" w:rsidRPr="00DD2634">
        <w:t xml:space="preserve"> (</w:t>
      </w:r>
      <w:proofErr w:type="spellStart"/>
      <w:r w:rsidR="00C47902" w:rsidRPr="00DD2634">
        <w:t>DHS</w:t>
      </w:r>
      <w:proofErr w:type="spellEnd"/>
      <w:r w:rsidR="00C47902" w:rsidRPr="00DD2634">
        <w:t>)</w:t>
      </w:r>
      <w:r w:rsidR="0070323B" w:rsidRPr="00DD2634">
        <w:t xml:space="preserve">. Eligible families using registered care </w:t>
      </w:r>
      <w:r w:rsidRPr="00DD2634">
        <w:t>receive</w:t>
      </w:r>
      <w:r w:rsidR="0070323B" w:rsidRPr="00DD2634">
        <w:t xml:space="preserve"> a lesser rate of </w:t>
      </w:r>
      <w:proofErr w:type="spellStart"/>
      <w:r w:rsidR="0070323B" w:rsidRPr="00DD2634">
        <w:t>CCB</w:t>
      </w:r>
      <w:proofErr w:type="spellEnd"/>
      <w:r w:rsidR="0070323B" w:rsidRPr="00DD2634">
        <w:t xml:space="preserve"> than families using approved child care</w:t>
      </w:r>
      <w:r w:rsidRPr="00DD2634">
        <w:t>, as</w:t>
      </w:r>
      <w:r w:rsidR="0070323B" w:rsidRPr="00DD2634">
        <w:t xml:space="preserve"> </w:t>
      </w:r>
      <w:r w:rsidRPr="00DD2634">
        <w:t>approved providers are required to comply</w:t>
      </w:r>
      <w:r w:rsidR="0070323B" w:rsidRPr="00DD2634">
        <w:t xml:space="preserve"> with Family Assistance Law quality standards and other legislative requirements.</w:t>
      </w:r>
    </w:p>
    <w:p w14:paraId="04969C40" w14:textId="77777777" w:rsidR="00360966" w:rsidRPr="00DD2634" w:rsidRDefault="00360966" w:rsidP="00381744">
      <w:pPr>
        <w:pStyle w:val="NormalNumbered"/>
      </w:pPr>
      <w:r w:rsidRPr="00DD2634">
        <w:t xml:space="preserve">For a service </w:t>
      </w:r>
      <w:r w:rsidR="005F161C" w:rsidRPr="00DD2634">
        <w:t>provider</w:t>
      </w:r>
      <w:r w:rsidRPr="00DD2634">
        <w:t xml:space="preserve"> to be approved for </w:t>
      </w:r>
      <w:proofErr w:type="spellStart"/>
      <w:r w:rsidRPr="00DD2634">
        <w:t>CCB</w:t>
      </w:r>
      <w:proofErr w:type="spellEnd"/>
      <w:r w:rsidRPr="00DD2634">
        <w:t xml:space="preserve"> it must meet the requirements of at least one of these care types:</w:t>
      </w:r>
    </w:p>
    <w:p w14:paraId="04969C41" w14:textId="6A77322A" w:rsidR="007A625E" w:rsidRPr="00DD2634" w:rsidRDefault="007A625E" w:rsidP="00AA625D">
      <w:pPr>
        <w:pStyle w:val="ListBullet"/>
      </w:pPr>
      <w:r w:rsidRPr="00DD2634">
        <w:rPr>
          <w:b/>
        </w:rPr>
        <w:t>Long Day Care</w:t>
      </w:r>
      <w:r w:rsidR="0085030F" w:rsidRPr="00DD2634">
        <w:t xml:space="preserve"> (LDC)</w:t>
      </w:r>
      <w:r w:rsidRPr="00DD2634">
        <w:t xml:space="preserve"> </w:t>
      </w:r>
      <w:r w:rsidR="00762B31" w:rsidRPr="00DD2634">
        <w:t>–</w:t>
      </w:r>
      <w:r w:rsidRPr="00DD2634">
        <w:t xml:space="preserve"> a centre-based form of </w:t>
      </w:r>
      <w:r w:rsidR="00330088" w:rsidRPr="00DD2634">
        <w:t>care</w:t>
      </w:r>
      <w:r w:rsidRPr="00DD2634">
        <w:t xml:space="preserve">. </w:t>
      </w:r>
      <w:r w:rsidR="0085030F" w:rsidRPr="00DD2634">
        <w:t>LDC</w:t>
      </w:r>
      <w:r w:rsidR="00835CC2" w:rsidRPr="00DD2634">
        <w:t xml:space="preserve"> </w:t>
      </w:r>
      <w:r w:rsidRPr="00DD2634">
        <w:t>services provide all-day or part-time education and care for children.</w:t>
      </w:r>
    </w:p>
    <w:p w14:paraId="04969C42" w14:textId="121E6CB8" w:rsidR="00334C67" w:rsidRPr="00DD2634" w:rsidRDefault="00360966" w:rsidP="00AA625D">
      <w:pPr>
        <w:pStyle w:val="ListBullet"/>
      </w:pPr>
      <w:r w:rsidRPr="00DD2634">
        <w:rPr>
          <w:b/>
        </w:rPr>
        <w:t>Family Day Care</w:t>
      </w:r>
      <w:r w:rsidR="0085030F" w:rsidRPr="00DD2634">
        <w:t xml:space="preserve"> (FDC)</w:t>
      </w:r>
      <w:r w:rsidRPr="00DD2634">
        <w:t xml:space="preserve"> </w:t>
      </w:r>
      <w:r w:rsidR="00762B31" w:rsidRPr="00DD2634">
        <w:t>–</w:t>
      </w:r>
      <w:r w:rsidRPr="00DD2634">
        <w:t xml:space="preserve"> </w:t>
      </w:r>
      <w:r w:rsidR="008F569F" w:rsidRPr="00DD2634">
        <w:t>administer</w:t>
      </w:r>
      <w:r w:rsidR="0085030F" w:rsidRPr="00DD2634">
        <w:t>s</w:t>
      </w:r>
      <w:r w:rsidR="008F569F" w:rsidRPr="00DD2634">
        <w:t xml:space="preserve"> and </w:t>
      </w:r>
      <w:r w:rsidRPr="00DD2634">
        <w:t>support</w:t>
      </w:r>
      <w:r w:rsidR="0085030F" w:rsidRPr="00DD2634">
        <w:t>s</w:t>
      </w:r>
      <w:r w:rsidRPr="00DD2634">
        <w:t xml:space="preserve"> networks of FDC educators who provide flexible care and developmental activities in their own homes</w:t>
      </w:r>
      <w:r w:rsidR="006678AE">
        <w:t>,</w:t>
      </w:r>
      <w:r w:rsidRPr="00DD2634">
        <w:t xml:space="preserve"> </w:t>
      </w:r>
      <w:r w:rsidR="004A26A4" w:rsidRPr="00DD2634">
        <w:t xml:space="preserve">or </w:t>
      </w:r>
      <w:r w:rsidR="0085030F" w:rsidRPr="00DD2634">
        <w:t xml:space="preserve">in </w:t>
      </w:r>
      <w:r w:rsidR="004A26A4" w:rsidRPr="00DD2634">
        <w:t>approved venues</w:t>
      </w:r>
      <w:r w:rsidR="006678AE">
        <w:t>,</w:t>
      </w:r>
      <w:r w:rsidR="004A26A4" w:rsidRPr="00DD2634">
        <w:t xml:space="preserve"> </w:t>
      </w:r>
      <w:r w:rsidRPr="00DD2634">
        <w:t>for other people's children.</w:t>
      </w:r>
    </w:p>
    <w:p w14:paraId="04969C43" w14:textId="39CFAFDE" w:rsidR="00360966" w:rsidRPr="00DD2634" w:rsidRDefault="00360966" w:rsidP="00AA625D">
      <w:pPr>
        <w:pStyle w:val="ListBullet"/>
      </w:pPr>
      <w:r w:rsidRPr="00DD2634">
        <w:rPr>
          <w:b/>
        </w:rPr>
        <w:t>Outside School Hours Care</w:t>
      </w:r>
      <w:r w:rsidR="0085030F" w:rsidRPr="00DD2634">
        <w:t xml:space="preserve"> (OSHC)</w:t>
      </w:r>
      <w:r w:rsidRPr="00DD2634">
        <w:t xml:space="preserve"> </w:t>
      </w:r>
      <w:r w:rsidR="00762B31" w:rsidRPr="00DD2634">
        <w:t xml:space="preserve">– </w:t>
      </w:r>
      <w:r w:rsidRPr="00DD2634">
        <w:t>provide</w:t>
      </w:r>
      <w:r w:rsidR="00EC06AA">
        <w:t>s</w:t>
      </w:r>
      <w:r w:rsidRPr="00DD2634">
        <w:t xml:space="preserve"> education and care before and/or after school and/or care du</w:t>
      </w:r>
      <w:r w:rsidR="0085030F" w:rsidRPr="00DD2634">
        <w:t>ring school vacation time. S</w:t>
      </w:r>
      <w:r w:rsidRPr="00DD2634">
        <w:t xml:space="preserve">ervices may also </w:t>
      </w:r>
      <w:r w:rsidR="0085030F" w:rsidRPr="00DD2634">
        <w:t>open</w:t>
      </w:r>
      <w:r w:rsidRPr="00DD2634">
        <w:t xml:space="preserve"> on </w:t>
      </w:r>
      <w:r w:rsidR="0085030F" w:rsidRPr="00DD2634">
        <w:t>pupil-</w:t>
      </w:r>
      <w:r w:rsidR="005F161C" w:rsidRPr="00DD2634">
        <w:t>free</w:t>
      </w:r>
      <w:r w:rsidRPr="00DD2634">
        <w:t xml:space="preserve"> days during the school term.</w:t>
      </w:r>
    </w:p>
    <w:p w14:paraId="04969C44" w14:textId="15C5E79F" w:rsidR="00360966" w:rsidRPr="00DD2634" w:rsidRDefault="00360966" w:rsidP="00AA625D">
      <w:pPr>
        <w:pStyle w:val="ListBullet"/>
      </w:pPr>
      <w:r w:rsidRPr="00DD2634">
        <w:rPr>
          <w:b/>
        </w:rPr>
        <w:t>Occasional Care</w:t>
      </w:r>
      <w:r w:rsidR="0085030F" w:rsidRPr="00DD2634">
        <w:t xml:space="preserve"> (OCC) </w:t>
      </w:r>
      <w:r w:rsidR="00762B31" w:rsidRPr="00DD2634">
        <w:t>–</w:t>
      </w:r>
      <w:r w:rsidRPr="00DD2634">
        <w:t xml:space="preserve"> a centre-based form of </w:t>
      </w:r>
      <w:r w:rsidR="00330088" w:rsidRPr="00DD2634">
        <w:t>care</w:t>
      </w:r>
      <w:r w:rsidRPr="00DD2634">
        <w:t>. Families can access OCC regularly or irregularly on a sessional basis.</w:t>
      </w:r>
    </w:p>
    <w:p w14:paraId="04969C45" w14:textId="6A36DC7A" w:rsidR="005F072C" w:rsidRPr="00DD2634" w:rsidRDefault="0085030F" w:rsidP="00AA625D">
      <w:pPr>
        <w:pStyle w:val="ListBullet"/>
      </w:pPr>
      <w:r w:rsidRPr="00DD2634">
        <w:rPr>
          <w:b/>
        </w:rPr>
        <w:t xml:space="preserve">In </w:t>
      </w:r>
      <w:r w:rsidR="0091187F" w:rsidRPr="00DD2634">
        <w:rPr>
          <w:b/>
        </w:rPr>
        <w:t xml:space="preserve">Home </w:t>
      </w:r>
      <w:r w:rsidR="00360966" w:rsidRPr="00DD2634">
        <w:rPr>
          <w:b/>
        </w:rPr>
        <w:t>Care</w:t>
      </w:r>
      <w:r w:rsidRPr="00DD2634">
        <w:t xml:space="preserve"> (IHC)</w:t>
      </w:r>
      <w:r w:rsidR="00360966" w:rsidRPr="00DD2634">
        <w:t xml:space="preserve"> </w:t>
      </w:r>
      <w:r w:rsidR="0091187F" w:rsidRPr="00DD2634">
        <w:t>–</w:t>
      </w:r>
      <w:r w:rsidR="00762B31" w:rsidRPr="00DD2634">
        <w:t xml:space="preserve"> </w:t>
      </w:r>
      <w:r w:rsidR="00360966" w:rsidRPr="00DD2634">
        <w:t xml:space="preserve">a flexible form of care where an approved educator provides care in the child's home. The Australian Government limits the number of </w:t>
      </w:r>
      <w:r w:rsidRPr="00DD2634">
        <w:t xml:space="preserve">approved </w:t>
      </w:r>
      <w:r w:rsidR="00360966" w:rsidRPr="00DD2634">
        <w:t xml:space="preserve">IHC places available in the market and new IHC services can only become </w:t>
      </w:r>
      <w:proofErr w:type="spellStart"/>
      <w:r w:rsidR="00360966" w:rsidRPr="00DD2634">
        <w:t>CCB</w:t>
      </w:r>
      <w:proofErr w:type="spellEnd"/>
      <w:r w:rsidR="00360966" w:rsidRPr="00DD2634">
        <w:t xml:space="preserve"> approved if places are available for allocation.</w:t>
      </w:r>
    </w:p>
    <w:p w14:paraId="72CC3078" w14:textId="3F00B268" w:rsidR="00835CC2" w:rsidRPr="00DD2634" w:rsidRDefault="006A11C9" w:rsidP="00381744">
      <w:pPr>
        <w:pStyle w:val="NormalNumbered"/>
      </w:pPr>
      <w:r w:rsidRPr="00DD2634">
        <w:fldChar w:fldCharType="begin"/>
      </w:r>
      <w:r w:rsidRPr="00DD2634">
        <w:instrText xml:space="preserve"> REF _Ref376506637 \h  \* MERGEFORMAT </w:instrText>
      </w:r>
      <w:r w:rsidRPr="00DD2634">
        <w:fldChar w:fldCharType="separate"/>
      </w:r>
      <w:r w:rsidR="00CE4F92" w:rsidRPr="00DD2634">
        <w:t xml:space="preserve">Table </w:t>
      </w:r>
      <w:r w:rsidR="00CE4F92">
        <w:t>1</w:t>
      </w:r>
      <w:r w:rsidRPr="00DD2634">
        <w:fldChar w:fldCharType="end"/>
      </w:r>
      <w:r w:rsidRPr="00DD2634">
        <w:t xml:space="preserve"> provides data on appr</w:t>
      </w:r>
      <w:r w:rsidR="00A21C06" w:rsidRPr="00DD2634">
        <w:t>oved child care, as at the June</w:t>
      </w:r>
      <w:r w:rsidR="006678AE">
        <w:t xml:space="preserve"> q</w:t>
      </w:r>
      <w:r w:rsidRPr="00DD2634">
        <w:t>uarter 2013. The number of children in approved child care for that qua</w:t>
      </w:r>
      <w:r w:rsidR="00A21C06" w:rsidRPr="00DD2634">
        <w:t>rter equates to around 27.2</w:t>
      </w:r>
      <w:r w:rsidR="00370042" w:rsidRPr="00DD2634">
        <w:t> per </w:t>
      </w:r>
      <w:r w:rsidRPr="00DD2634">
        <w:t>cent of the relevant child population. This is an increase from 26</w:t>
      </w:r>
      <w:r w:rsidR="00A21C06" w:rsidRPr="00DD2634">
        <w:t>.3</w:t>
      </w:r>
      <w:r w:rsidRPr="00DD2634">
        <w:t xml:space="preserve"> per cent in the corresponding period in 2012</w:t>
      </w:r>
      <w:r w:rsidR="0091187F" w:rsidRPr="00DD2634">
        <w:t xml:space="preserve"> and equates to approximate</w:t>
      </w:r>
      <w:r w:rsidR="00893B0C" w:rsidRPr="00DD2634">
        <w:t>ly</w:t>
      </w:r>
      <w:r w:rsidR="0091187F" w:rsidRPr="00DD2634">
        <w:t xml:space="preserve"> </w:t>
      </w:r>
      <w:r w:rsidR="00A21C06" w:rsidRPr="00DD2634">
        <w:t>72</w:t>
      </w:r>
      <w:r w:rsidR="0091187F" w:rsidRPr="00DD2634">
        <w:t>,000 children</w:t>
      </w:r>
      <w:r w:rsidR="00835CC2" w:rsidRPr="00DD2634">
        <w:t xml:space="preserve">. </w:t>
      </w:r>
    </w:p>
    <w:p w14:paraId="04969C46" w14:textId="3E4CA6F3" w:rsidR="006A11C9" w:rsidRPr="00DD2634" w:rsidRDefault="00835CC2" w:rsidP="00381744">
      <w:pPr>
        <w:pStyle w:val="NormalNumbered"/>
      </w:pPr>
      <w:r w:rsidRPr="00DD2634">
        <w:t>T</w:t>
      </w:r>
      <w:r w:rsidR="006A11C9" w:rsidRPr="00DD2634">
        <w:t xml:space="preserve">he number of children in </w:t>
      </w:r>
      <w:r w:rsidR="00550518" w:rsidRPr="00DD2634">
        <w:t xml:space="preserve">child </w:t>
      </w:r>
      <w:r w:rsidR="006873B6" w:rsidRPr="00DD2634">
        <w:t xml:space="preserve">care increased by around </w:t>
      </w:r>
      <w:r w:rsidR="00021DE0" w:rsidRPr="00DD2634">
        <w:t>seven </w:t>
      </w:r>
      <w:r w:rsidR="006A11C9" w:rsidRPr="00DD2634">
        <w:t>per cent in this period. This year on year increase is part of an ongoing pattern of growing utilisation of approved child care services across Australia.</w:t>
      </w:r>
    </w:p>
    <w:p w14:paraId="04969C47" w14:textId="3A88EFCA" w:rsidR="00835E71" w:rsidRPr="00DD2634" w:rsidRDefault="00835E71" w:rsidP="003F06B2">
      <w:pPr>
        <w:pStyle w:val="Caption"/>
      </w:pPr>
      <w:bookmarkStart w:id="24" w:name="_Ref376506637"/>
      <w:bookmarkStart w:id="25" w:name="_Toc379208195"/>
      <w:r w:rsidRPr="00DD2634">
        <w:lastRenderedPageBreak/>
        <w:t xml:space="preserve">Table </w:t>
      </w:r>
      <w:fldSimple w:instr=" SEQ Table \* ARABIC ">
        <w:r w:rsidR="00CE4F92">
          <w:rPr>
            <w:noProof/>
          </w:rPr>
          <w:t>1</w:t>
        </w:r>
      </w:fldSimple>
      <w:bookmarkEnd w:id="24"/>
      <w:r w:rsidRPr="00DD2634">
        <w:t>: Child Care: Children, Fam</w:t>
      </w:r>
      <w:r w:rsidR="00A21C06" w:rsidRPr="00DD2634">
        <w:t>ilies, Hours and Services, June</w:t>
      </w:r>
      <w:r w:rsidR="006678AE">
        <w:t xml:space="preserve"> q</w:t>
      </w:r>
      <w:r w:rsidRPr="00DD2634">
        <w:t>uarter 2013</w:t>
      </w:r>
      <w:bookmarkEnd w:id="25"/>
    </w:p>
    <w:tbl>
      <w:tblPr>
        <w:tblW w:w="76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0"/>
        <w:gridCol w:w="1029"/>
        <w:gridCol w:w="956"/>
        <w:gridCol w:w="1316"/>
        <w:gridCol w:w="1093"/>
      </w:tblGrid>
      <w:tr w:rsidR="00835E71" w:rsidRPr="00DD2634" w14:paraId="04969C4D" w14:textId="77777777" w:rsidTr="002D5862">
        <w:trPr>
          <w:trHeight w:val="397"/>
        </w:trPr>
        <w:tc>
          <w:tcPr>
            <w:tcW w:w="3260" w:type="dxa"/>
            <w:tcBorders>
              <w:top w:val="nil"/>
              <w:left w:val="nil"/>
            </w:tcBorders>
            <w:shd w:val="clear" w:color="auto" w:fill="auto"/>
            <w:noWrap/>
            <w:vAlign w:val="center"/>
          </w:tcPr>
          <w:p w14:paraId="04969C48" w14:textId="77777777" w:rsidR="00835E71" w:rsidRPr="00DD2634" w:rsidRDefault="00835E71" w:rsidP="00592058">
            <w:pPr>
              <w:pStyle w:val="TableText"/>
              <w:rPr>
                <w:b/>
                <w:sz w:val="18"/>
                <w:szCs w:val="18"/>
                <w:lang w:val="en-GB" w:eastAsia="en-AU"/>
              </w:rPr>
            </w:pPr>
          </w:p>
        </w:tc>
        <w:tc>
          <w:tcPr>
            <w:tcW w:w="1029" w:type="dxa"/>
            <w:shd w:val="clear" w:color="auto" w:fill="F2F2F2" w:themeFill="background1" w:themeFillShade="F2"/>
            <w:noWrap/>
            <w:vAlign w:val="center"/>
          </w:tcPr>
          <w:p w14:paraId="04969C49" w14:textId="77777777" w:rsidR="00835E71" w:rsidRPr="00DD2634" w:rsidRDefault="00835E71" w:rsidP="00592058">
            <w:pPr>
              <w:pStyle w:val="TableText"/>
              <w:jc w:val="center"/>
              <w:rPr>
                <w:b/>
                <w:sz w:val="18"/>
                <w:szCs w:val="18"/>
                <w:lang w:val="en-GB" w:eastAsia="en-AU"/>
              </w:rPr>
            </w:pPr>
            <w:r w:rsidRPr="00DD2634">
              <w:rPr>
                <w:b/>
                <w:sz w:val="18"/>
                <w:szCs w:val="18"/>
                <w:lang w:val="en-GB" w:eastAsia="en-AU"/>
              </w:rPr>
              <w:t>Children</w:t>
            </w:r>
          </w:p>
        </w:tc>
        <w:tc>
          <w:tcPr>
            <w:tcW w:w="956" w:type="dxa"/>
            <w:shd w:val="clear" w:color="auto" w:fill="F2F2F2" w:themeFill="background1" w:themeFillShade="F2"/>
            <w:noWrap/>
            <w:vAlign w:val="center"/>
          </w:tcPr>
          <w:p w14:paraId="04969C4A" w14:textId="77777777" w:rsidR="00835E71" w:rsidRPr="00DD2634" w:rsidRDefault="00835E71" w:rsidP="00592058">
            <w:pPr>
              <w:pStyle w:val="TableText"/>
              <w:jc w:val="center"/>
              <w:rPr>
                <w:b/>
                <w:sz w:val="18"/>
                <w:szCs w:val="18"/>
                <w:lang w:val="en-GB" w:eastAsia="en-AU"/>
              </w:rPr>
            </w:pPr>
            <w:r w:rsidRPr="00DD2634">
              <w:rPr>
                <w:b/>
                <w:sz w:val="18"/>
                <w:szCs w:val="18"/>
                <w:lang w:val="en-GB" w:eastAsia="en-AU"/>
              </w:rPr>
              <w:t>Families</w:t>
            </w:r>
          </w:p>
        </w:tc>
        <w:tc>
          <w:tcPr>
            <w:tcW w:w="1316" w:type="dxa"/>
            <w:shd w:val="clear" w:color="auto" w:fill="F2F2F2" w:themeFill="background1" w:themeFillShade="F2"/>
            <w:noWrap/>
            <w:vAlign w:val="center"/>
          </w:tcPr>
          <w:p w14:paraId="04969C4B" w14:textId="77777777" w:rsidR="00835E71" w:rsidRPr="00DD2634" w:rsidRDefault="0006153E" w:rsidP="00592058">
            <w:pPr>
              <w:pStyle w:val="TableText"/>
              <w:jc w:val="center"/>
              <w:rPr>
                <w:b/>
                <w:sz w:val="18"/>
                <w:szCs w:val="18"/>
                <w:lang w:val="en-GB" w:eastAsia="en-AU"/>
              </w:rPr>
            </w:pPr>
            <w:r w:rsidRPr="00DD2634">
              <w:rPr>
                <w:b/>
                <w:sz w:val="18"/>
                <w:szCs w:val="18"/>
                <w:lang w:val="en-GB" w:eastAsia="en-AU"/>
              </w:rPr>
              <w:t>Hours/</w:t>
            </w:r>
            <w:r w:rsidR="00835E71" w:rsidRPr="00DD2634">
              <w:rPr>
                <w:b/>
                <w:sz w:val="18"/>
                <w:szCs w:val="18"/>
                <w:lang w:val="en-GB" w:eastAsia="en-AU"/>
              </w:rPr>
              <w:t>week</w:t>
            </w:r>
            <w:r w:rsidRPr="00DD2634">
              <w:rPr>
                <w:b/>
                <w:sz w:val="18"/>
                <w:szCs w:val="18"/>
                <w:lang w:val="en-GB" w:eastAsia="en-AU"/>
              </w:rPr>
              <w:t xml:space="preserve"> (average)</w:t>
            </w:r>
          </w:p>
        </w:tc>
        <w:tc>
          <w:tcPr>
            <w:tcW w:w="1093" w:type="dxa"/>
            <w:shd w:val="clear" w:color="auto" w:fill="F2F2F2" w:themeFill="background1" w:themeFillShade="F2"/>
            <w:vAlign w:val="center"/>
          </w:tcPr>
          <w:p w14:paraId="04969C4C" w14:textId="77777777" w:rsidR="00835E71" w:rsidRPr="00DD2634" w:rsidRDefault="00835E71" w:rsidP="00592058">
            <w:pPr>
              <w:pStyle w:val="TableText"/>
              <w:jc w:val="center"/>
              <w:rPr>
                <w:b/>
                <w:sz w:val="18"/>
                <w:szCs w:val="18"/>
                <w:lang w:val="en-GB" w:eastAsia="en-AU"/>
              </w:rPr>
            </w:pPr>
            <w:r w:rsidRPr="00DD2634">
              <w:rPr>
                <w:b/>
                <w:sz w:val="18"/>
                <w:szCs w:val="18"/>
                <w:lang w:val="en-GB" w:eastAsia="en-AU"/>
              </w:rPr>
              <w:t>Services</w:t>
            </w:r>
          </w:p>
        </w:tc>
      </w:tr>
      <w:tr w:rsidR="00835E71" w:rsidRPr="00DD2634" w14:paraId="04969C53" w14:textId="77777777" w:rsidTr="002D5862">
        <w:trPr>
          <w:trHeight w:val="397"/>
        </w:trPr>
        <w:tc>
          <w:tcPr>
            <w:tcW w:w="3260" w:type="dxa"/>
            <w:shd w:val="clear" w:color="auto" w:fill="auto"/>
            <w:noWrap/>
            <w:vAlign w:val="center"/>
          </w:tcPr>
          <w:p w14:paraId="04969C4E" w14:textId="199C2889" w:rsidR="00835E71" w:rsidRPr="00DD2634" w:rsidRDefault="00835E71" w:rsidP="006678AE">
            <w:pPr>
              <w:pStyle w:val="TableText"/>
              <w:rPr>
                <w:sz w:val="20"/>
                <w:szCs w:val="20"/>
                <w:lang w:val="en-GB" w:eastAsia="en-AU"/>
              </w:rPr>
            </w:pPr>
            <w:r w:rsidRPr="00DD2634">
              <w:rPr>
                <w:sz w:val="20"/>
                <w:szCs w:val="20"/>
                <w:lang w:val="en-GB" w:eastAsia="en-AU"/>
              </w:rPr>
              <w:t xml:space="preserve">Long </w:t>
            </w:r>
            <w:r w:rsidR="006678AE">
              <w:rPr>
                <w:sz w:val="20"/>
                <w:szCs w:val="20"/>
                <w:lang w:val="en-GB" w:eastAsia="en-AU"/>
              </w:rPr>
              <w:t>Day C</w:t>
            </w:r>
            <w:r w:rsidRPr="00DD2634">
              <w:rPr>
                <w:sz w:val="20"/>
                <w:szCs w:val="20"/>
                <w:lang w:val="en-GB" w:eastAsia="en-AU"/>
              </w:rPr>
              <w:t>are</w:t>
            </w:r>
          </w:p>
        </w:tc>
        <w:tc>
          <w:tcPr>
            <w:tcW w:w="1029" w:type="dxa"/>
            <w:shd w:val="clear" w:color="auto" w:fill="auto"/>
            <w:noWrap/>
            <w:vAlign w:val="center"/>
          </w:tcPr>
          <w:p w14:paraId="04969C4F" w14:textId="5FFEC261" w:rsidR="00835E71" w:rsidRPr="00DD2634" w:rsidRDefault="00A21C06" w:rsidP="00592058">
            <w:pPr>
              <w:pStyle w:val="TableText"/>
              <w:jc w:val="right"/>
              <w:rPr>
                <w:sz w:val="20"/>
                <w:szCs w:val="20"/>
                <w:lang w:val="en-GB" w:eastAsia="en-AU"/>
              </w:rPr>
            </w:pPr>
            <w:r w:rsidRPr="00DD2634">
              <w:rPr>
                <w:sz w:val="20"/>
                <w:szCs w:val="20"/>
                <w:lang w:val="en-GB" w:eastAsia="en-AU"/>
              </w:rPr>
              <w:t>606,71</w:t>
            </w:r>
            <w:r w:rsidR="00835E71" w:rsidRPr="00DD2634">
              <w:rPr>
                <w:sz w:val="20"/>
                <w:szCs w:val="20"/>
                <w:lang w:val="en-GB" w:eastAsia="en-AU"/>
              </w:rPr>
              <w:t>0</w:t>
            </w:r>
          </w:p>
        </w:tc>
        <w:tc>
          <w:tcPr>
            <w:tcW w:w="956" w:type="dxa"/>
            <w:shd w:val="clear" w:color="auto" w:fill="auto"/>
            <w:noWrap/>
            <w:vAlign w:val="center"/>
          </w:tcPr>
          <w:p w14:paraId="04969C50" w14:textId="2B063DE2" w:rsidR="00835E71" w:rsidRPr="00DD2634" w:rsidRDefault="00A21C06" w:rsidP="00592058">
            <w:pPr>
              <w:pStyle w:val="TableText"/>
              <w:jc w:val="right"/>
              <w:rPr>
                <w:sz w:val="20"/>
                <w:szCs w:val="20"/>
                <w:lang w:val="en-GB" w:eastAsia="en-AU"/>
              </w:rPr>
            </w:pPr>
            <w:r w:rsidRPr="00DD2634">
              <w:rPr>
                <w:sz w:val="20"/>
                <w:szCs w:val="20"/>
                <w:lang w:val="en-GB" w:eastAsia="en-AU"/>
              </w:rPr>
              <w:t>498,01</w:t>
            </w:r>
            <w:r w:rsidR="00835E71" w:rsidRPr="00DD2634">
              <w:rPr>
                <w:sz w:val="20"/>
                <w:szCs w:val="20"/>
                <w:lang w:val="en-GB" w:eastAsia="en-AU"/>
              </w:rPr>
              <w:t>0</w:t>
            </w:r>
          </w:p>
        </w:tc>
        <w:tc>
          <w:tcPr>
            <w:tcW w:w="1316" w:type="dxa"/>
            <w:shd w:val="clear" w:color="auto" w:fill="auto"/>
            <w:noWrap/>
            <w:vAlign w:val="center"/>
          </w:tcPr>
          <w:p w14:paraId="04969C51" w14:textId="6CE20E2F" w:rsidR="00835E71" w:rsidRPr="00DD2634" w:rsidRDefault="00835E71" w:rsidP="00592058">
            <w:pPr>
              <w:pStyle w:val="TableText"/>
              <w:jc w:val="right"/>
              <w:rPr>
                <w:sz w:val="20"/>
                <w:szCs w:val="20"/>
                <w:lang w:val="en-GB" w:eastAsia="en-AU"/>
              </w:rPr>
            </w:pPr>
            <w:r w:rsidRPr="00DD2634">
              <w:rPr>
                <w:sz w:val="20"/>
                <w:szCs w:val="20"/>
                <w:lang w:val="en-GB" w:eastAsia="en-AU"/>
              </w:rPr>
              <w:t>27.</w:t>
            </w:r>
            <w:r w:rsidR="00A21C06" w:rsidRPr="00DD2634">
              <w:rPr>
                <w:sz w:val="20"/>
                <w:szCs w:val="20"/>
                <w:lang w:val="en-GB" w:eastAsia="en-AU"/>
              </w:rPr>
              <w:t>2</w:t>
            </w:r>
          </w:p>
        </w:tc>
        <w:tc>
          <w:tcPr>
            <w:tcW w:w="1093" w:type="dxa"/>
            <w:shd w:val="clear" w:color="auto" w:fill="auto"/>
            <w:vAlign w:val="center"/>
          </w:tcPr>
          <w:p w14:paraId="04969C52" w14:textId="12B367AD" w:rsidR="00835E71" w:rsidRPr="00DD2634" w:rsidRDefault="00835E71" w:rsidP="00592058">
            <w:pPr>
              <w:pStyle w:val="TableText"/>
              <w:jc w:val="right"/>
              <w:rPr>
                <w:sz w:val="20"/>
                <w:szCs w:val="20"/>
                <w:lang w:val="en-GB" w:eastAsia="en-AU"/>
              </w:rPr>
            </w:pPr>
            <w:r w:rsidRPr="00DD2634">
              <w:rPr>
                <w:sz w:val="20"/>
                <w:szCs w:val="20"/>
                <w:lang w:val="en-GB" w:eastAsia="en-AU"/>
              </w:rPr>
              <w:t>6,</w:t>
            </w:r>
            <w:r w:rsidR="00A21C06" w:rsidRPr="00DD2634">
              <w:rPr>
                <w:sz w:val="20"/>
                <w:szCs w:val="20"/>
                <w:lang w:val="en-GB" w:eastAsia="en-AU"/>
              </w:rPr>
              <w:t>310</w:t>
            </w:r>
          </w:p>
        </w:tc>
      </w:tr>
      <w:tr w:rsidR="00835E71" w:rsidRPr="00DD2634" w14:paraId="04969C59" w14:textId="77777777" w:rsidTr="002D5862">
        <w:trPr>
          <w:trHeight w:val="397"/>
        </w:trPr>
        <w:tc>
          <w:tcPr>
            <w:tcW w:w="3260" w:type="dxa"/>
            <w:shd w:val="clear" w:color="auto" w:fill="auto"/>
            <w:noWrap/>
            <w:vAlign w:val="center"/>
          </w:tcPr>
          <w:p w14:paraId="04969C54" w14:textId="36A29CEB" w:rsidR="00835E71" w:rsidRPr="00DD2634" w:rsidRDefault="006678AE" w:rsidP="006678AE">
            <w:pPr>
              <w:pStyle w:val="TableText"/>
              <w:rPr>
                <w:sz w:val="20"/>
                <w:szCs w:val="20"/>
                <w:lang w:val="en-GB" w:eastAsia="en-AU"/>
              </w:rPr>
            </w:pPr>
            <w:r>
              <w:rPr>
                <w:sz w:val="20"/>
                <w:szCs w:val="20"/>
                <w:lang w:val="en-GB" w:eastAsia="en-AU"/>
              </w:rPr>
              <w:t>Family D</w:t>
            </w:r>
            <w:r w:rsidR="00835E71" w:rsidRPr="00DD2634">
              <w:rPr>
                <w:sz w:val="20"/>
                <w:szCs w:val="20"/>
                <w:lang w:val="en-GB" w:eastAsia="en-AU"/>
              </w:rPr>
              <w:t xml:space="preserve">ay </w:t>
            </w:r>
            <w:r>
              <w:rPr>
                <w:sz w:val="20"/>
                <w:szCs w:val="20"/>
                <w:lang w:val="en-GB" w:eastAsia="en-AU"/>
              </w:rPr>
              <w:t>C</w:t>
            </w:r>
            <w:r w:rsidR="00835E71" w:rsidRPr="00DD2634">
              <w:rPr>
                <w:sz w:val="20"/>
                <w:szCs w:val="20"/>
                <w:lang w:val="en-GB" w:eastAsia="en-AU"/>
              </w:rPr>
              <w:t xml:space="preserve">are &amp; </w:t>
            </w:r>
            <w:r>
              <w:rPr>
                <w:sz w:val="20"/>
                <w:szCs w:val="20"/>
                <w:lang w:val="en-GB" w:eastAsia="en-AU"/>
              </w:rPr>
              <w:t>I</w:t>
            </w:r>
            <w:r w:rsidR="00835E71" w:rsidRPr="00DD2634">
              <w:rPr>
                <w:sz w:val="20"/>
                <w:szCs w:val="20"/>
                <w:lang w:val="en-GB" w:eastAsia="en-AU"/>
              </w:rPr>
              <w:t xml:space="preserve">n </w:t>
            </w:r>
            <w:r>
              <w:rPr>
                <w:sz w:val="20"/>
                <w:szCs w:val="20"/>
                <w:lang w:val="en-GB" w:eastAsia="en-AU"/>
              </w:rPr>
              <w:t>H</w:t>
            </w:r>
            <w:r w:rsidR="00835E71" w:rsidRPr="00DD2634">
              <w:rPr>
                <w:sz w:val="20"/>
                <w:szCs w:val="20"/>
                <w:lang w:val="en-GB" w:eastAsia="en-AU"/>
              </w:rPr>
              <w:t xml:space="preserve">ome </w:t>
            </w:r>
            <w:r>
              <w:rPr>
                <w:sz w:val="20"/>
                <w:szCs w:val="20"/>
                <w:lang w:val="en-GB" w:eastAsia="en-AU"/>
              </w:rPr>
              <w:t>C</w:t>
            </w:r>
            <w:r w:rsidR="00835E71" w:rsidRPr="00DD2634">
              <w:rPr>
                <w:sz w:val="20"/>
                <w:szCs w:val="20"/>
                <w:lang w:val="en-GB" w:eastAsia="en-AU"/>
              </w:rPr>
              <w:t>are</w:t>
            </w:r>
          </w:p>
        </w:tc>
        <w:tc>
          <w:tcPr>
            <w:tcW w:w="1029" w:type="dxa"/>
            <w:shd w:val="clear" w:color="auto" w:fill="auto"/>
            <w:noWrap/>
            <w:vAlign w:val="center"/>
          </w:tcPr>
          <w:p w14:paraId="04969C55" w14:textId="4D5E6E66" w:rsidR="00835E71" w:rsidRPr="00DD2634" w:rsidRDefault="00A21C06" w:rsidP="00592058">
            <w:pPr>
              <w:pStyle w:val="TableText"/>
              <w:jc w:val="right"/>
              <w:rPr>
                <w:sz w:val="20"/>
                <w:szCs w:val="20"/>
                <w:lang w:val="en-GB" w:eastAsia="en-AU"/>
              </w:rPr>
            </w:pPr>
            <w:r w:rsidRPr="00DD2634">
              <w:rPr>
                <w:sz w:val="20"/>
                <w:szCs w:val="20"/>
                <w:lang w:val="en-GB" w:eastAsia="en-AU"/>
              </w:rPr>
              <w:t>142,40</w:t>
            </w:r>
            <w:r w:rsidR="00835E71" w:rsidRPr="00DD2634">
              <w:rPr>
                <w:sz w:val="20"/>
                <w:szCs w:val="20"/>
                <w:lang w:val="en-GB" w:eastAsia="en-AU"/>
              </w:rPr>
              <w:t>0</w:t>
            </w:r>
          </w:p>
        </w:tc>
        <w:tc>
          <w:tcPr>
            <w:tcW w:w="956" w:type="dxa"/>
            <w:shd w:val="clear" w:color="auto" w:fill="auto"/>
            <w:noWrap/>
            <w:vAlign w:val="center"/>
          </w:tcPr>
          <w:p w14:paraId="04969C56" w14:textId="584D2B41" w:rsidR="00835E71" w:rsidRPr="00DD2634" w:rsidRDefault="00A21C06" w:rsidP="00592058">
            <w:pPr>
              <w:pStyle w:val="TableText"/>
              <w:jc w:val="right"/>
              <w:rPr>
                <w:sz w:val="20"/>
                <w:szCs w:val="20"/>
                <w:lang w:val="en-GB" w:eastAsia="en-AU"/>
              </w:rPr>
            </w:pPr>
            <w:r w:rsidRPr="00DD2634">
              <w:rPr>
                <w:sz w:val="20"/>
                <w:szCs w:val="20"/>
                <w:lang w:val="en-GB" w:eastAsia="en-AU"/>
              </w:rPr>
              <w:t>88,1</w:t>
            </w:r>
            <w:r w:rsidR="00835E71" w:rsidRPr="00DD2634">
              <w:rPr>
                <w:sz w:val="20"/>
                <w:szCs w:val="20"/>
                <w:lang w:val="en-GB" w:eastAsia="en-AU"/>
              </w:rPr>
              <w:t>30</w:t>
            </w:r>
          </w:p>
        </w:tc>
        <w:tc>
          <w:tcPr>
            <w:tcW w:w="1316" w:type="dxa"/>
            <w:shd w:val="clear" w:color="auto" w:fill="auto"/>
            <w:noWrap/>
            <w:vAlign w:val="center"/>
          </w:tcPr>
          <w:p w14:paraId="04969C57" w14:textId="7C96A2AA" w:rsidR="00835E71" w:rsidRPr="00DD2634" w:rsidRDefault="00A21C06" w:rsidP="00592058">
            <w:pPr>
              <w:pStyle w:val="TableText"/>
              <w:jc w:val="right"/>
              <w:rPr>
                <w:sz w:val="20"/>
                <w:szCs w:val="20"/>
                <w:lang w:val="en-GB" w:eastAsia="en-AU"/>
              </w:rPr>
            </w:pPr>
            <w:r w:rsidRPr="00DD2634">
              <w:rPr>
                <w:sz w:val="20"/>
                <w:szCs w:val="20"/>
                <w:lang w:val="en-GB" w:eastAsia="en-AU"/>
              </w:rPr>
              <w:t>27</w:t>
            </w:r>
            <w:r w:rsidR="00835E71" w:rsidRPr="00DD2634">
              <w:rPr>
                <w:sz w:val="20"/>
                <w:szCs w:val="20"/>
                <w:lang w:val="en-GB" w:eastAsia="en-AU"/>
              </w:rPr>
              <w:t>.</w:t>
            </w:r>
            <w:r w:rsidRPr="00DD2634">
              <w:rPr>
                <w:sz w:val="20"/>
                <w:szCs w:val="20"/>
                <w:lang w:val="en-GB" w:eastAsia="en-AU"/>
              </w:rPr>
              <w:t>0</w:t>
            </w:r>
          </w:p>
        </w:tc>
        <w:tc>
          <w:tcPr>
            <w:tcW w:w="1093" w:type="dxa"/>
            <w:shd w:val="clear" w:color="auto" w:fill="auto"/>
            <w:vAlign w:val="center"/>
          </w:tcPr>
          <w:p w14:paraId="04969C58" w14:textId="1C38F48C" w:rsidR="00835E71" w:rsidRPr="00DD2634" w:rsidRDefault="00835E71" w:rsidP="00592058">
            <w:pPr>
              <w:pStyle w:val="TableText"/>
              <w:jc w:val="right"/>
              <w:rPr>
                <w:sz w:val="20"/>
                <w:szCs w:val="20"/>
                <w:lang w:val="en-GB" w:eastAsia="en-AU"/>
              </w:rPr>
            </w:pPr>
            <w:r w:rsidRPr="00DD2634">
              <w:rPr>
                <w:sz w:val="20"/>
                <w:szCs w:val="20"/>
                <w:lang w:val="en-GB" w:eastAsia="en-AU"/>
              </w:rPr>
              <w:t>5</w:t>
            </w:r>
            <w:r w:rsidR="00A21C06" w:rsidRPr="00DD2634">
              <w:rPr>
                <w:sz w:val="20"/>
                <w:szCs w:val="20"/>
                <w:lang w:val="en-GB" w:eastAsia="en-AU"/>
              </w:rPr>
              <w:t>70</w:t>
            </w:r>
          </w:p>
        </w:tc>
      </w:tr>
      <w:tr w:rsidR="00835E71" w:rsidRPr="00DD2634" w14:paraId="04969C5F" w14:textId="77777777" w:rsidTr="002D5862">
        <w:trPr>
          <w:trHeight w:val="397"/>
        </w:trPr>
        <w:tc>
          <w:tcPr>
            <w:tcW w:w="3260" w:type="dxa"/>
            <w:shd w:val="clear" w:color="auto" w:fill="auto"/>
            <w:noWrap/>
            <w:vAlign w:val="center"/>
          </w:tcPr>
          <w:p w14:paraId="04969C5A" w14:textId="7CC3A42C" w:rsidR="00835E71" w:rsidRPr="00DD2634" w:rsidRDefault="006678AE" w:rsidP="00592058">
            <w:pPr>
              <w:pStyle w:val="TableText"/>
              <w:rPr>
                <w:sz w:val="20"/>
                <w:szCs w:val="20"/>
                <w:lang w:val="en-GB" w:eastAsia="en-AU"/>
              </w:rPr>
            </w:pPr>
            <w:r>
              <w:rPr>
                <w:sz w:val="20"/>
                <w:szCs w:val="20"/>
                <w:lang w:val="en-GB" w:eastAsia="en-AU"/>
              </w:rPr>
              <w:t>Occasional C</w:t>
            </w:r>
            <w:r w:rsidR="00835E71" w:rsidRPr="00DD2634">
              <w:rPr>
                <w:sz w:val="20"/>
                <w:szCs w:val="20"/>
                <w:lang w:val="en-GB" w:eastAsia="en-AU"/>
              </w:rPr>
              <w:t>are</w:t>
            </w:r>
          </w:p>
        </w:tc>
        <w:tc>
          <w:tcPr>
            <w:tcW w:w="1029" w:type="dxa"/>
            <w:shd w:val="clear" w:color="auto" w:fill="auto"/>
            <w:noWrap/>
            <w:vAlign w:val="center"/>
          </w:tcPr>
          <w:p w14:paraId="04969C5B" w14:textId="0165D85C" w:rsidR="00835E71" w:rsidRPr="00DD2634" w:rsidRDefault="00A21C06" w:rsidP="00592058">
            <w:pPr>
              <w:pStyle w:val="TableText"/>
              <w:jc w:val="right"/>
              <w:rPr>
                <w:sz w:val="20"/>
                <w:szCs w:val="20"/>
                <w:lang w:val="en-GB" w:eastAsia="en-AU"/>
              </w:rPr>
            </w:pPr>
            <w:r w:rsidRPr="00DD2634">
              <w:rPr>
                <w:sz w:val="20"/>
                <w:szCs w:val="20"/>
                <w:lang w:val="en-GB" w:eastAsia="en-AU"/>
              </w:rPr>
              <w:t>7,65</w:t>
            </w:r>
            <w:r w:rsidR="00835E71" w:rsidRPr="00DD2634">
              <w:rPr>
                <w:sz w:val="20"/>
                <w:szCs w:val="20"/>
                <w:lang w:val="en-GB" w:eastAsia="en-AU"/>
              </w:rPr>
              <w:t>0</w:t>
            </w:r>
          </w:p>
        </w:tc>
        <w:tc>
          <w:tcPr>
            <w:tcW w:w="956" w:type="dxa"/>
            <w:shd w:val="clear" w:color="auto" w:fill="auto"/>
            <w:noWrap/>
            <w:vAlign w:val="center"/>
          </w:tcPr>
          <w:p w14:paraId="04969C5C" w14:textId="505701C9" w:rsidR="00835E71" w:rsidRPr="00DD2634" w:rsidRDefault="00A21C06" w:rsidP="00592058">
            <w:pPr>
              <w:pStyle w:val="TableText"/>
              <w:jc w:val="right"/>
              <w:rPr>
                <w:sz w:val="20"/>
                <w:szCs w:val="20"/>
                <w:lang w:val="en-GB" w:eastAsia="en-AU"/>
              </w:rPr>
            </w:pPr>
            <w:r w:rsidRPr="00DD2634">
              <w:rPr>
                <w:sz w:val="20"/>
                <w:szCs w:val="20"/>
                <w:lang w:val="en-GB" w:eastAsia="en-AU"/>
              </w:rPr>
              <w:t>6,40</w:t>
            </w:r>
            <w:r w:rsidR="00835E71" w:rsidRPr="00DD2634">
              <w:rPr>
                <w:sz w:val="20"/>
                <w:szCs w:val="20"/>
                <w:lang w:val="en-GB" w:eastAsia="en-AU"/>
              </w:rPr>
              <w:t>0</w:t>
            </w:r>
          </w:p>
        </w:tc>
        <w:tc>
          <w:tcPr>
            <w:tcW w:w="1316" w:type="dxa"/>
            <w:shd w:val="clear" w:color="auto" w:fill="auto"/>
            <w:noWrap/>
            <w:vAlign w:val="center"/>
          </w:tcPr>
          <w:p w14:paraId="04969C5D" w14:textId="4DEEC7C1" w:rsidR="00835E71" w:rsidRPr="00DD2634" w:rsidRDefault="00A21C06" w:rsidP="00592058">
            <w:pPr>
              <w:pStyle w:val="TableText"/>
              <w:jc w:val="right"/>
              <w:rPr>
                <w:sz w:val="20"/>
                <w:szCs w:val="20"/>
                <w:lang w:val="en-GB" w:eastAsia="en-AU"/>
              </w:rPr>
            </w:pPr>
            <w:r w:rsidRPr="00DD2634">
              <w:rPr>
                <w:sz w:val="20"/>
                <w:szCs w:val="20"/>
                <w:lang w:val="en-GB" w:eastAsia="en-AU"/>
              </w:rPr>
              <w:t>10</w:t>
            </w:r>
            <w:r w:rsidR="00835E71" w:rsidRPr="00DD2634">
              <w:rPr>
                <w:sz w:val="20"/>
                <w:szCs w:val="20"/>
                <w:lang w:val="en-GB" w:eastAsia="en-AU"/>
              </w:rPr>
              <w:t>.</w:t>
            </w:r>
            <w:r w:rsidRPr="00DD2634">
              <w:rPr>
                <w:sz w:val="20"/>
                <w:szCs w:val="20"/>
                <w:lang w:val="en-GB" w:eastAsia="en-AU"/>
              </w:rPr>
              <w:t>9</w:t>
            </w:r>
          </w:p>
        </w:tc>
        <w:tc>
          <w:tcPr>
            <w:tcW w:w="1093" w:type="dxa"/>
            <w:shd w:val="clear" w:color="auto" w:fill="auto"/>
            <w:vAlign w:val="center"/>
          </w:tcPr>
          <w:p w14:paraId="04969C5E" w14:textId="3713DE45" w:rsidR="00835E71" w:rsidRPr="00DD2634" w:rsidRDefault="00835E71" w:rsidP="00592058">
            <w:pPr>
              <w:pStyle w:val="TableText"/>
              <w:jc w:val="right"/>
              <w:rPr>
                <w:sz w:val="20"/>
                <w:szCs w:val="20"/>
                <w:lang w:val="en-GB" w:eastAsia="en-AU"/>
              </w:rPr>
            </w:pPr>
            <w:r w:rsidRPr="00DD2634">
              <w:rPr>
                <w:sz w:val="20"/>
                <w:szCs w:val="20"/>
                <w:lang w:val="en-GB" w:eastAsia="en-AU"/>
              </w:rPr>
              <w:t>11</w:t>
            </w:r>
            <w:r w:rsidR="00A21C06" w:rsidRPr="00DD2634">
              <w:rPr>
                <w:sz w:val="20"/>
                <w:szCs w:val="20"/>
                <w:lang w:val="en-GB" w:eastAsia="en-AU"/>
              </w:rPr>
              <w:t>9</w:t>
            </w:r>
          </w:p>
        </w:tc>
      </w:tr>
      <w:tr w:rsidR="00835E71" w:rsidRPr="00DD2634" w14:paraId="04969C65" w14:textId="77777777" w:rsidTr="002D5862">
        <w:trPr>
          <w:trHeight w:val="397"/>
        </w:trPr>
        <w:tc>
          <w:tcPr>
            <w:tcW w:w="3260" w:type="dxa"/>
            <w:shd w:val="clear" w:color="auto" w:fill="auto"/>
            <w:noWrap/>
            <w:vAlign w:val="center"/>
          </w:tcPr>
          <w:p w14:paraId="04969C60" w14:textId="73117B86" w:rsidR="00835E71" w:rsidRPr="00DD2634" w:rsidRDefault="00835E71" w:rsidP="006678AE">
            <w:pPr>
              <w:pStyle w:val="TableText"/>
              <w:rPr>
                <w:sz w:val="20"/>
                <w:szCs w:val="20"/>
                <w:lang w:val="en-GB" w:eastAsia="en-AU"/>
              </w:rPr>
            </w:pPr>
            <w:r w:rsidRPr="00DD2634">
              <w:rPr>
                <w:sz w:val="20"/>
                <w:szCs w:val="20"/>
                <w:lang w:val="en-GB" w:eastAsia="en-AU"/>
              </w:rPr>
              <w:t xml:space="preserve">Outside </w:t>
            </w:r>
            <w:r w:rsidR="006678AE">
              <w:rPr>
                <w:sz w:val="20"/>
                <w:szCs w:val="20"/>
                <w:lang w:val="en-GB" w:eastAsia="en-AU"/>
              </w:rPr>
              <w:t>School Hours C</w:t>
            </w:r>
            <w:r w:rsidRPr="00DD2634">
              <w:rPr>
                <w:sz w:val="20"/>
                <w:szCs w:val="20"/>
                <w:lang w:val="en-GB" w:eastAsia="en-AU"/>
              </w:rPr>
              <w:t>are</w:t>
            </w:r>
            <w:r w:rsidR="0091187F" w:rsidRPr="00DD2634">
              <w:rPr>
                <w:sz w:val="20"/>
                <w:szCs w:val="20"/>
                <w:lang w:val="en-GB" w:eastAsia="en-AU"/>
              </w:rPr>
              <w:t>*</w:t>
            </w:r>
          </w:p>
        </w:tc>
        <w:tc>
          <w:tcPr>
            <w:tcW w:w="1029" w:type="dxa"/>
            <w:shd w:val="clear" w:color="auto" w:fill="auto"/>
            <w:noWrap/>
            <w:vAlign w:val="center"/>
          </w:tcPr>
          <w:p w14:paraId="04969C61" w14:textId="07D32510" w:rsidR="00835E71" w:rsidRPr="00DD2634" w:rsidRDefault="00A21C06" w:rsidP="00592058">
            <w:pPr>
              <w:pStyle w:val="TableText"/>
              <w:jc w:val="right"/>
              <w:rPr>
                <w:sz w:val="20"/>
                <w:szCs w:val="20"/>
                <w:lang w:val="en-GB" w:eastAsia="en-AU"/>
              </w:rPr>
            </w:pPr>
            <w:r w:rsidRPr="00DD2634">
              <w:rPr>
                <w:sz w:val="20"/>
                <w:szCs w:val="20"/>
                <w:lang w:val="en-GB" w:eastAsia="en-AU"/>
              </w:rPr>
              <w:t>334,48</w:t>
            </w:r>
            <w:r w:rsidR="00835E71" w:rsidRPr="00DD2634">
              <w:rPr>
                <w:sz w:val="20"/>
                <w:szCs w:val="20"/>
                <w:lang w:val="en-GB" w:eastAsia="en-AU"/>
              </w:rPr>
              <w:t>0</w:t>
            </w:r>
          </w:p>
        </w:tc>
        <w:tc>
          <w:tcPr>
            <w:tcW w:w="956" w:type="dxa"/>
            <w:shd w:val="clear" w:color="auto" w:fill="auto"/>
            <w:noWrap/>
            <w:vAlign w:val="center"/>
          </w:tcPr>
          <w:p w14:paraId="04969C62" w14:textId="18D74DB0" w:rsidR="00835E71" w:rsidRPr="00DD2634" w:rsidRDefault="00A21C06" w:rsidP="00592058">
            <w:pPr>
              <w:pStyle w:val="TableText"/>
              <w:jc w:val="right"/>
              <w:rPr>
                <w:sz w:val="20"/>
                <w:szCs w:val="20"/>
                <w:lang w:val="en-GB" w:eastAsia="en-AU"/>
              </w:rPr>
            </w:pPr>
            <w:r w:rsidRPr="00DD2634">
              <w:rPr>
                <w:sz w:val="20"/>
                <w:szCs w:val="20"/>
                <w:lang w:val="en-GB" w:eastAsia="en-AU"/>
              </w:rPr>
              <w:t>238,60</w:t>
            </w:r>
            <w:r w:rsidR="00835E71" w:rsidRPr="00DD2634">
              <w:rPr>
                <w:sz w:val="20"/>
                <w:szCs w:val="20"/>
                <w:lang w:val="en-GB" w:eastAsia="en-AU"/>
              </w:rPr>
              <w:t>0</w:t>
            </w:r>
          </w:p>
        </w:tc>
        <w:tc>
          <w:tcPr>
            <w:tcW w:w="1316" w:type="dxa"/>
            <w:shd w:val="clear" w:color="auto" w:fill="auto"/>
            <w:noWrap/>
            <w:vAlign w:val="center"/>
          </w:tcPr>
          <w:p w14:paraId="04969C63" w14:textId="390EBB97" w:rsidR="00835E71" w:rsidRPr="00DD2634" w:rsidRDefault="00A21C06" w:rsidP="00592058">
            <w:pPr>
              <w:pStyle w:val="TableText"/>
              <w:jc w:val="right"/>
              <w:rPr>
                <w:sz w:val="20"/>
                <w:szCs w:val="20"/>
                <w:lang w:val="en-GB" w:eastAsia="en-AU"/>
              </w:rPr>
            </w:pPr>
            <w:r w:rsidRPr="00DD2634">
              <w:rPr>
                <w:sz w:val="20"/>
                <w:szCs w:val="20"/>
                <w:lang w:val="en-GB" w:eastAsia="en-AU"/>
              </w:rPr>
              <w:t>10</w:t>
            </w:r>
            <w:r w:rsidR="00835E71" w:rsidRPr="00DD2634">
              <w:rPr>
                <w:sz w:val="20"/>
                <w:szCs w:val="20"/>
                <w:lang w:val="en-GB" w:eastAsia="en-AU"/>
              </w:rPr>
              <w:t>.</w:t>
            </w:r>
            <w:r w:rsidRPr="00DD2634">
              <w:rPr>
                <w:sz w:val="20"/>
                <w:szCs w:val="20"/>
                <w:lang w:val="en-GB" w:eastAsia="en-AU"/>
              </w:rPr>
              <w:t>7</w:t>
            </w:r>
          </w:p>
        </w:tc>
        <w:tc>
          <w:tcPr>
            <w:tcW w:w="1093" w:type="dxa"/>
            <w:shd w:val="clear" w:color="auto" w:fill="auto"/>
            <w:vAlign w:val="center"/>
          </w:tcPr>
          <w:p w14:paraId="04969C64" w14:textId="41D4A527" w:rsidR="00835E71" w:rsidRPr="00DD2634" w:rsidRDefault="00835E71" w:rsidP="00592058">
            <w:pPr>
              <w:pStyle w:val="TableText"/>
              <w:jc w:val="right"/>
              <w:rPr>
                <w:sz w:val="20"/>
                <w:szCs w:val="20"/>
                <w:lang w:val="en-GB" w:eastAsia="en-AU"/>
              </w:rPr>
            </w:pPr>
            <w:r w:rsidRPr="00DD2634">
              <w:rPr>
                <w:sz w:val="20"/>
                <w:szCs w:val="20"/>
                <w:lang w:val="en-GB" w:eastAsia="en-AU"/>
              </w:rPr>
              <w:t>8,</w:t>
            </w:r>
            <w:r w:rsidR="00A21C06" w:rsidRPr="00DD2634">
              <w:rPr>
                <w:sz w:val="20"/>
                <w:szCs w:val="20"/>
                <w:lang w:val="en-GB" w:eastAsia="en-AU"/>
              </w:rPr>
              <w:t>718</w:t>
            </w:r>
          </w:p>
        </w:tc>
      </w:tr>
      <w:tr w:rsidR="00835E71" w:rsidRPr="00DD2634" w14:paraId="04969C6B" w14:textId="77777777" w:rsidTr="002D5862">
        <w:trPr>
          <w:trHeight w:val="397"/>
        </w:trPr>
        <w:tc>
          <w:tcPr>
            <w:tcW w:w="3260" w:type="dxa"/>
            <w:shd w:val="clear" w:color="auto" w:fill="F2F2F2" w:themeFill="background1" w:themeFillShade="F2"/>
            <w:noWrap/>
            <w:vAlign w:val="center"/>
          </w:tcPr>
          <w:p w14:paraId="04969C66" w14:textId="77777777" w:rsidR="00835E71" w:rsidRPr="00DD2634" w:rsidRDefault="00835E71" w:rsidP="00592058">
            <w:pPr>
              <w:pStyle w:val="TableText"/>
              <w:rPr>
                <w:b/>
                <w:sz w:val="20"/>
                <w:szCs w:val="20"/>
                <w:lang w:val="en-GB" w:eastAsia="en-AU"/>
              </w:rPr>
            </w:pPr>
            <w:r w:rsidRPr="00DD2634">
              <w:rPr>
                <w:b/>
                <w:sz w:val="20"/>
                <w:szCs w:val="20"/>
                <w:lang w:val="en-GB" w:eastAsia="en-AU"/>
              </w:rPr>
              <w:t>Total*</w:t>
            </w:r>
          </w:p>
        </w:tc>
        <w:tc>
          <w:tcPr>
            <w:tcW w:w="1029" w:type="dxa"/>
            <w:shd w:val="clear" w:color="auto" w:fill="F2F2F2" w:themeFill="background1" w:themeFillShade="F2"/>
            <w:noWrap/>
            <w:vAlign w:val="center"/>
          </w:tcPr>
          <w:p w14:paraId="04969C67" w14:textId="7C9110FC" w:rsidR="00835E71" w:rsidRPr="00DD2634" w:rsidRDefault="00835E71" w:rsidP="00592058">
            <w:pPr>
              <w:pStyle w:val="TableText"/>
              <w:jc w:val="right"/>
              <w:rPr>
                <w:b/>
                <w:sz w:val="20"/>
                <w:szCs w:val="20"/>
                <w:lang w:val="en-GB" w:eastAsia="en-AU"/>
              </w:rPr>
            </w:pPr>
            <w:r w:rsidRPr="00DD2634">
              <w:rPr>
                <w:b/>
                <w:sz w:val="20"/>
                <w:szCs w:val="20"/>
                <w:lang w:val="en-GB" w:eastAsia="en-AU"/>
              </w:rPr>
              <w:t>1,</w:t>
            </w:r>
            <w:r w:rsidR="00A21C06" w:rsidRPr="00DD2634">
              <w:rPr>
                <w:b/>
                <w:sz w:val="20"/>
                <w:szCs w:val="20"/>
                <w:lang w:val="en-GB" w:eastAsia="en-AU"/>
              </w:rPr>
              <w:t>057,90</w:t>
            </w:r>
            <w:r w:rsidRPr="00DD2634">
              <w:rPr>
                <w:b/>
                <w:sz w:val="20"/>
                <w:szCs w:val="20"/>
                <w:lang w:val="en-GB" w:eastAsia="en-AU"/>
              </w:rPr>
              <w:t>0</w:t>
            </w:r>
          </w:p>
        </w:tc>
        <w:tc>
          <w:tcPr>
            <w:tcW w:w="956" w:type="dxa"/>
            <w:shd w:val="clear" w:color="auto" w:fill="F2F2F2" w:themeFill="background1" w:themeFillShade="F2"/>
            <w:noWrap/>
            <w:vAlign w:val="center"/>
          </w:tcPr>
          <w:p w14:paraId="04969C68" w14:textId="59FF8971" w:rsidR="00835E71" w:rsidRPr="00DD2634" w:rsidRDefault="00A21C06" w:rsidP="00592058">
            <w:pPr>
              <w:pStyle w:val="TableText"/>
              <w:jc w:val="right"/>
              <w:rPr>
                <w:b/>
                <w:sz w:val="20"/>
                <w:szCs w:val="20"/>
                <w:lang w:val="en-GB" w:eastAsia="en-AU"/>
              </w:rPr>
            </w:pPr>
            <w:r w:rsidRPr="00DD2634">
              <w:rPr>
                <w:b/>
                <w:sz w:val="20"/>
                <w:szCs w:val="20"/>
                <w:lang w:val="en-GB" w:eastAsia="en-AU"/>
              </w:rPr>
              <w:t>742,69</w:t>
            </w:r>
            <w:r w:rsidR="00835E71" w:rsidRPr="00DD2634">
              <w:rPr>
                <w:b/>
                <w:sz w:val="20"/>
                <w:szCs w:val="20"/>
                <w:lang w:val="en-GB" w:eastAsia="en-AU"/>
              </w:rPr>
              <w:t>0</w:t>
            </w:r>
          </w:p>
        </w:tc>
        <w:tc>
          <w:tcPr>
            <w:tcW w:w="1316" w:type="dxa"/>
            <w:shd w:val="clear" w:color="auto" w:fill="F2F2F2" w:themeFill="background1" w:themeFillShade="F2"/>
            <w:noWrap/>
            <w:vAlign w:val="center"/>
          </w:tcPr>
          <w:p w14:paraId="04969C69" w14:textId="37F37892" w:rsidR="00835E71" w:rsidRPr="00DD2634" w:rsidRDefault="00A21C06" w:rsidP="00592058">
            <w:pPr>
              <w:pStyle w:val="TableText"/>
              <w:jc w:val="right"/>
              <w:rPr>
                <w:b/>
                <w:sz w:val="20"/>
                <w:szCs w:val="20"/>
                <w:lang w:val="en-GB" w:eastAsia="en-AU"/>
              </w:rPr>
            </w:pPr>
            <w:r w:rsidRPr="00DD2634">
              <w:rPr>
                <w:b/>
                <w:sz w:val="20"/>
                <w:szCs w:val="20"/>
                <w:lang w:val="en-GB" w:eastAsia="en-AU"/>
              </w:rPr>
              <w:t>23</w:t>
            </w:r>
            <w:r w:rsidR="00835E71" w:rsidRPr="00DD2634">
              <w:rPr>
                <w:b/>
                <w:sz w:val="20"/>
                <w:szCs w:val="20"/>
                <w:lang w:val="en-GB" w:eastAsia="en-AU"/>
              </w:rPr>
              <w:t>.</w:t>
            </w:r>
            <w:r w:rsidRPr="00DD2634">
              <w:rPr>
                <w:b/>
                <w:sz w:val="20"/>
                <w:szCs w:val="20"/>
                <w:lang w:val="en-GB" w:eastAsia="en-AU"/>
              </w:rPr>
              <w:t>5</w:t>
            </w:r>
          </w:p>
        </w:tc>
        <w:tc>
          <w:tcPr>
            <w:tcW w:w="1093" w:type="dxa"/>
            <w:shd w:val="clear" w:color="auto" w:fill="F2F2F2" w:themeFill="background1" w:themeFillShade="F2"/>
            <w:vAlign w:val="center"/>
          </w:tcPr>
          <w:p w14:paraId="04969C6A" w14:textId="0788970D" w:rsidR="00835E71" w:rsidRPr="00DD2634" w:rsidRDefault="00835E71" w:rsidP="00592058">
            <w:pPr>
              <w:pStyle w:val="TableText"/>
              <w:jc w:val="right"/>
              <w:rPr>
                <w:b/>
                <w:sz w:val="20"/>
                <w:szCs w:val="20"/>
                <w:lang w:val="en-GB" w:eastAsia="en-AU"/>
              </w:rPr>
            </w:pPr>
            <w:r w:rsidRPr="00DD2634">
              <w:rPr>
                <w:b/>
                <w:sz w:val="20"/>
                <w:szCs w:val="20"/>
                <w:lang w:val="en-GB" w:eastAsia="en-AU"/>
              </w:rPr>
              <w:t>15,</w:t>
            </w:r>
            <w:r w:rsidR="00A21C06" w:rsidRPr="00DD2634">
              <w:rPr>
                <w:b/>
                <w:sz w:val="20"/>
                <w:szCs w:val="20"/>
                <w:lang w:val="en-GB" w:eastAsia="en-AU"/>
              </w:rPr>
              <w:t>717</w:t>
            </w:r>
          </w:p>
        </w:tc>
      </w:tr>
    </w:tbl>
    <w:p w14:paraId="04969C6C" w14:textId="77777777" w:rsidR="00835E71" w:rsidRPr="00DD2634" w:rsidRDefault="00835E71" w:rsidP="00277190">
      <w:pPr>
        <w:pStyle w:val="Source"/>
      </w:pPr>
      <w:r w:rsidRPr="00DD2634">
        <w:t>* As children may use more than one service type in any particular quarter and due to rounding, the sum of the com</w:t>
      </w:r>
      <w:r w:rsidR="003E3AF9" w:rsidRPr="00DD2634">
        <w:t>ponent parts may not equal the t</w:t>
      </w:r>
      <w:r w:rsidRPr="00DD2634">
        <w:t>otal.</w:t>
      </w:r>
    </w:p>
    <w:p w14:paraId="04969C6D" w14:textId="77777777" w:rsidR="00835E71" w:rsidRPr="00DD2634" w:rsidRDefault="00835E71" w:rsidP="00277190">
      <w:pPr>
        <w:pStyle w:val="Source"/>
      </w:pPr>
      <w:r w:rsidRPr="00DD2634">
        <w:t>Source: Department of Education administrative data.</w:t>
      </w:r>
      <w:r w:rsidRPr="00DD2634">
        <w:br/>
      </w:r>
    </w:p>
    <w:p w14:paraId="04969C6E" w14:textId="77777777" w:rsidR="003F2FD7" w:rsidRPr="00DD2634" w:rsidRDefault="00440FD4" w:rsidP="00381744">
      <w:pPr>
        <w:pStyle w:val="NormalNumbered"/>
      </w:pPr>
      <w:r w:rsidRPr="00DD2634">
        <w:fldChar w:fldCharType="begin"/>
      </w:r>
      <w:r w:rsidRPr="00DD2634">
        <w:instrText xml:space="preserve"> REF _Ref376507611 \h </w:instrText>
      </w:r>
      <w:r w:rsidR="007406CC" w:rsidRPr="00DD2634">
        <w:instrText xml:space="preserve"> \* MERGEFORMAT </w:instrText>
      </w:r>
      <w:r w:rsidRPr="00DD2634">
        <w:fldChar w:fldCharType="separate"/>
      </w:r>
      <w:r w:rsidR="00CE4F92" w:rsidRPr="00DD2634">
        <w:t xml:space="preserve">Table </w:t>
      </w:r>
      <w:r w:rsidR="00CE4F92">
        <w:rPr>
          <w:noProof/>
        </w:rPr>
        <w:t>2</w:t>
      </w:r>
      <w:r w:rsidRPr="00DD2634">
        <w:fldChar w:fldCharType="end"/>
      </w:r>
      <w:r w:rsidRPr="00DD2634">
        <w:t xml:space="preserve"> provides the most recent data relating to preschool participation in the year before full time schooling. </w:t>
      </w:r>
    </w:p>
    <w:p w14:paraId="04969C6F" w14:textId="77777777" w:rsidR="00440FD4" w:rsidRPr="00DD2634" w:rsidRDefault="00440FD4" w:rsidP="003F06B2">
      <w:pPr>
        <w:pStyle w:val="Caption"/>
      </w:pPr>
      <w:bookmarkStart w:id="26" w:name="_Ref376507611"/>
      <w:bookmarkStart w:id="27" w:name="_Toc379208196"/>
      <w:r w:rsidRPr="00DD2634">
        <w:t xml:space="preserve">Table </w:t>
      </w:r>
      <w:fldSimple w:instr=" SEQ Table \* ARABIC ">
        <w:r w:rsidR="00CE4F92">
          <w:rPr>
            <w:noProof/>
          </w:rPr>
          <w:t>2</w:t>
        </w:r>
      </w:fldSimple>
      <w:bookmarkEnd w:id="26"/>
      <w:r w:rsidRPr="00DD2634">
        <w:t>: Preschool participation in the year before school (August 2012)</w:t>
      </w:r>
      <w:bookmarkEnd w:id="27"/>
    </w:p>
    <w:tbl>
      <w:tblPr>
        <w:tblW w:w="76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985"/>
        <w:gridCol w:w="1275"/>
        <w:gridCol w:w="1134"/>
      </w:tblGrid>
      <w:tr w:rsidR="00440FD4" w:rsidRPr="00DD2634" w14:paraId="04969C74" w14:textId="77777777" w:rsidTr="002D5862">
        <w:trPr>
          <w:trHeight w:val="397"/>
        </w:trPr>
        <w:tc>
          <w:tcPr>
            <w:tcW w:w="3260" w:type="dxa"/>
            <w:tcBorders>
              <w:top w:val="nil"/>
              <w:left w:val="nil"/>
            </w:tcBorders>
            <w:shd w:val="clear" w:color="auto" w:fill="auto"/>
            <w:noWrap/>
            <w:vAlign w:val="center"/>
          </w:tcPr>
          <w:p w14:paraId="04969C70" w14:textId="77777777" w:rsidR="00440FD4" w:rsidRPr="00DD2634" w:rsidRDefault="00440FD4" w:rsidP="00592058">
            <w:pPr>
              <w:pStyle w:val="TableText"/>
              <w:rPr>
                <w:sz w:val="18"/>
                <w:szCs w:val="18"/>
              </w:rPr>
            </w:pPr>
          </w:p>
        </w:tc>
        <w:tc>
          <w:tcPr>
            <w:tcW w:w="1985" w:type="dxa"/>
            <w:shd w:val="clear" w:color="auto" w:fill="F2F2F2" w:themeFill="background1" w:themeFillShade="F2"/>
            <w:noWrap/>
            <w:vAlign w:val="center"/>
          </w:tcPr>
          <w:p w14:paraId="04969C71" w14:textId="6BAAAFD0" w:rsidR="00440FD4" w:rsidRPr="00DD2634" w:rsidRDefault="00440FD4" w:rsidP="00592058">
            <w:pPr>
              <w:pStyle w:val="TableText"/>
              <w:jc w:val="center"/>
              <w:rPr>
                <w:b/>
                <w:sz w:val="18"/>
                <w:szCs w:val="18"/>
              </w:rPr>
            </w:pPr>
            <w:r w:rsidRPr="00DD2634">
              <w:rPr>
                <w:b/>
                <w:sz w:val="18"/>
                <w:szCs w:val="18"/>
              </w:rPr>
              <w:t>Children</w:t>
            </w:r>
            <w:r w:rsidR="00EC06AA" w:rsidRPr="00DD2634">
              <w:rPr>
                <w:sz w:val="20"/>
                <w:szCs w:val="20"/>
              </w:rPr>
              <w:t>*</w:t>
            </w:r>
          </w:p>
        </w:tc>
        <w:tc>
          <w:tcPr>
            <w:tcW w:w="1275" w:type="dxa"/>
            <w:shd w:val="clear" w:color="auto" w:fill="F2F2F2" w:themeFill="background1" w:themeFillShade="F2"/>
            <w:noWrap/>
            <w:vAlign w:val="center"/>
          </w:tcPr>
          <w:p w14:paraId="04969C72" w14:textId="77777777" w:rsidR="00440FD4" w:rsidRPr="00DD2634" w:rsidRDefault="0006153E" w:rsidP="00592058">
            <w:pPr>
              <w:pStyle w:val="TableText"/>
              <w:jc w:val="center"/>
              <w:rPr>
                <w:b/>
                <w:sz w:val="18"/>
                <w:szCs w:val="18"/>
              </w:rPr>
            </w:pPr>
            <w:r w:rsidRPr="00DD2634">
              <w:rPr>
                <w:b/>
                <w:sz w:val="18"/>
                <w:szCs w:val="18"/>
              </w:rPr>
              <w:t>Hours/</w:t>
            </w:r>
            <w:r w:rsidR="00440FD4" w:rsidRPr="00DD2634">
              <w:rPr>
                <w:b/>
                <w:sz w:val="18"/>
                <w:szCs w:val="18"/>
              </w:rPr>
              <w:t>week</w:t>
            </w:r>
            <w:r w:rsidRPr="00DD2634">
              <w:rPr>
                <w:b/>
                <w:sz w:val="18"/>
                <w:szCs w:val="18"/>
              </w:rPr>
              <w:t xml:space="preserve"> (average)</w:t>
            </w:r>
          </w:p>
        </w:tc>
        <w:tc>
          <w:tcPr>
            <w:tcW w:w="1134" w:type="dxa"/>
            <w:shd w:val="clear" w:color="auto" w:fill="F2F2F2" w:themeFill="background1" w:themeFillShade="F2"/>
            <w:vAlign w:val="center"/>
          </w:tcPr>
          <w:p w14:paraId="04969C73" w14:textId="77777777" w:rsidR="00440FD4" w:rsidRPr="00DD2634" w:rsidRDefault="00440FD4" w:rsidP="00592058">
            <w:pPr>
              <w:pStyle w:val="TableText"/>
              <w:jc w:val="center"/>
              <w:rPr>
                <w:b/>
                <w:sz w:val="18"/>
                <w:szCs w:val="18"/>
              </w:rPr>
            </w:pPr>
            <w:r w:rsidRPr="00DD2634">
              <w:rPr>
                <w:b/>
                <w:sz w:val="18"/>
                <w:szCs w:val="18"/>
              </w:rPr>
              <w:t>Services</w:t>
            </w:r>
          </w:p>
        </w:tc>
      </w:tr>
      <w:tr w:rsidR="00440FD4" w:rsidRPr="00DD2634" w14:paraId="04969C79" w14:textId="77777777" w:rsidTr="002D5862">
        <w:trPr>
          <w:trHeight w:val="397"/>
        </w:trPr>
        <w:tc>
          <w:tcPr>
            <w:tcW w:w="3260" w:type="dxa"/>
            <w:shd w:val="clear" w:color="auto" w:fill="auto"/>
            <w:noWrap/>
            <w:vAlign w:val="center"/>
          </w:tcPr>
          <w:p w14:paraId="04969C75" w14:textId="77777777" w:rsidR="00440FD4" w:rsidRPr="00DD2634" w:rsidRDefault="00440FD4" w:rsidP="00592058">
            <w:pPr>
              <w:pStyle w:val="TableText"/>
              <w:rPr>
                <w:sz w:val="20"/>
                <w:szCs w:val="20"/>
              </w:rPr>
            </w:pPr>
            <w:r w:rsidRPr="00DD2634">
              <w:rPr>
                <w:sz w:val="20"/>
                <w:szCs w:val="20"/>
              </w:rPr>
              <w:t>Preschool &amp; Kindergarten</w:t>
            </w:r>
          </w:p>
        </w:tc>
        <w:tc>
          <w:tcPr>
            <w:tcW w:w="1985" w:type="dxa"/>
            <w:shd w:val="clear" w:color="auto" w:fill="auto"/>
            <w:noWrap/>
            <w:vAlign w:val="center"/>
          </w:tcPr>
          <w:p w14:paraId="04969C76" w14:textId="77777777" w:rsidR="00440FD4" w:rsidRPr="00DD2634" w:rsidRDefault="00440FD4" w:rsidP="00592058">
            <w:pPr>
              <w:pStyle w:val="TableText"/>
              <w:jc w:val="right"/>
              <w:rPr>
                <w:sz w:val="20"/>
                <w:szCs w:val="20"/>
              </w:rPr>
            </w:pPr>
            <w:r w:rsidRPr="00DD2634">
              <w:rPr>
                <w:sz w:val="20"/>
                <w:szCs w:val="20"/>
              </w:rPr>
              <w:t>165,147 (55%)</w:t>
            </w:r>
          </w:p>
        </w:tc>
        <w:tc>
          <w:tcPr>
            <w:tcW w:w="1275" w:type="dxa"/>
            <w:shd w:val="clear" w:color="auto" w:fill="auto"/>
            <w:noWrap/>
            <w:vAlign w:val="center"/>
          </w:tcPr>
          <w:p w14:paraId="04969C77" w14:textId="77777777" w:rsidR="00440FD4" w:rsidRPr="00DD2634" w:rsidRDefault="00440FD4" w:rsidP="00592058">
            <w:pPr>
              <w:pStyle w:val="TableText"/>
              <w:jc w:val="right"/>
              <w:rPr>
                <w:sz w:val="20"/>
                <w:szCs w:val="20"/>
              </w:rPr>
            </w:pPr>
            <w:r w:rsidRPr="00DD2634">
              <w:rPr>
                <w:sz w:val="20"/>
                <w:szCs w:val="20"/>
              </w:rPr>
              <w:t>14.6</w:t>
            </w:r>
          </w:p>
        </w:tc>
        <w:tc>
          <w:tcPr>
            <w:tcW w:w="1134" w:type="dxa"/>
            <w:shd w:val="clear" w:color="auto" w:fill="auto"/>
            <w:vAlign w:val="center"/>
          </w:tcPr>
          <w:p w14:paraId="04969C78" w14:textId="77777777" w:rsidR="00440FD4" w:rsidRPr="00DD2634" w:rsidRDefault="00440FD4" w:rsidP="00592058">
            <w:pPr>
              <w:pStyle w:val="TableText"/>
              <w:jc w:val="right"/>
              <w:rPr>
                <w:sz w:val="20"/>
                <w:szCs w:val="20"/>
              </w:rPr>
            </w:pPr>
            <w:r w:rsidRPr="00DD2634">
              <w:rPr>
                <w:sz w:val="20"/>
                <w:szCs w:val="20"/>
              </w:rPr>
              <w:t>4307</w:t>
            </w:r>
          </w:p>
        </w:tc>
      </w:tr>
      <w:tr w:rsidR="00440FD4" w:rsidRPr="00DD2634" w14:paraId="04969C7E" w14:textId="77777777" w:rsidTr="002D5862">
        <w:trPr>
          <w:trHeight w:val="397"/>
        </w:trPr>
        <w:tc>
          <w:tcPr>
            <w:tcW w:w="3260" w:type="dxa"/>
            <w:shd w:val="clear" w:color="auto" w:fill="auto"/>
            <w:noWrap/>
            <w:vAlign w:val="center"/>
          </w:tcPr>
          <w:p w14:paraId="04969C7A" w14:textId="725DC80B" w:rsidR="00440FD4" w:rsidRPr="00DD2634" w:rsidRDefault="00440FD4" w:rsidP="006678AE">
            <w:pPr>
              <w:pStyle w:val="TableText"/>
              <w:rPr>
                <w:sz w:val="20"/>
                <w:szCs w:val="20"/>
              </w:rPr>
            </w:pPr>
            <w:r w:rsidRPr="00DD2634">
              <w:rPr>
                <w:sz w:val="20"/>
                <w:szCs w:val="20"/>
              </w:rPr>
              <w:t xml:space="preserve">Long </w:t>
            </w:r>
            <w:r w:rsidR="006678AE">
              <w:rPr>
                <w:sz w:val="20"/>
                <w:szCs w:val="20"/>
              </w:rPr>
              <w:t>Day C</w:t>
            </w:r>
            <w:r w:rsidRPr="00DD2634">
              <w:rPr>
                <w:sz w:val="20"/>
                <w:szCs w:val="20"/>
              </w:rPr>
              <w:t>are*</w:t>
            </w:r>
            <w:r w:rsidR="00EC06AA" w:rsidRPr="00DD2634">
              <w:rPr>
                <w:sz w:val="20"/>
                <w:szCs w:val="20"/>
              </w:rPr>
              <w:t>*</w:t>
            </w:r>
          </w:p>
        </w:tc>
        <w:tc>
          <w:tcPr>
            <w:tcW w:w="1985" w:type="dxa"/>
            <w:shd w:val="clear" w:color="auto" w:fill="auto"/>
            <w:noWrap/>
            <w:vAlign w:val="center"/>
          </w:tcPr>
          <w:p w14:paraId="04969C7B" w14:textId="77777777" w:rsidR="00440FD4" w:rsidRPr="00DD2634" w:rsidRDefault="00440FD4" w:rsidP="00592058">
            <w:pPr>
              <w:pStyle w:val="TableText"/>
              <w:jc w:val="right"/>
              <w:rPr>
                <w:sz w:val="20"/>
                <w:szCs w:val="20"/>
              </w:rPr>
            </w:pPr>
            <w:r w:rsidRPr="00DD2634">
              <w:rPr>
                <w:sz w:val="20"/>
                <w:szCs w:val="20"/>
              </w:rPr>
              <w:t>100,889 (34%)</w:t>
            </w:r>
          </w:p>
        </w:tc>
        <w:tc>
          <w:tcPr>
            <w:tcW w:w="1275" w:type="dxa"/>
            <w:shd w:val="clear" w:color="auto" w:fill="auto"/>
            <w:noWrap/>
            <w:vAlign w:val="center"/>
          </w:tcPr>
          <w:p w14:paraId="04969C7C" w14:textId="77777777" w:rsidR="00440FD4" w:rsidRPr="00DD2634" w:rsidRDefault="00440FD4" w:rsidP="00592058">
            <w:pPr>
              <w:pStyle w:val="TableText"/>
              <w:jc w:val="right"/>
              <w:rPr>
                <w:sz w:val="20"/>
                <w:szCs w:val="20"/>
              </w:rPr>
            </w:pPr>
            <w:r w:rsidRPr="00DD2634">
              <w:rPr>
                <w:sz w:val="20"/>
                <w:szCs w:val="20"/>
              </w:rPr>
              <w:t>19.7</w:t>
            </w:r>
          </w:p>
        </w:tc>
        <w:tc>
          <w:tcPr>
            <w:tcW w:w="1134" w:type="dxa"/>
            <w:shd w:val="clear" w:color="auto" w:fill="auto"/>
            <w:vAlign w:val="center"/>
          </w:tcPr>
          <w:p w14:paraId="04969C7D" w14:textId="77777777" w:rsidR="00440FD4" w:rsidRPr="00DD2634" w:rsidRDefault="00440FD4" w:rsidP="00592058">
            <w:pPr>
              <w:pStyle w:val="TableText"/>
              <w:jc w:val="right"/>
              <w:rPr>
                <w:sz w:val="20"/>
                <w:szCs w:val="20"/>
              </w:rPr>
            </w:pPr>
            <w:r w:rsidRPr="00DD2634">
              <w:rPr>
                <w:sz w:val="20"/>
                <w:szCs w:val="20"/>
              </w:rPr>
              <w:t>3287</w:t>
            </w:r>
          </w:p>
        </w:tc>
      </w:tr>
      <w:tr w:rsidR="00440FD4" w:rsidRPr="00DD2634" w14:paraId="04969C83" w14:textId="77777777" w:rsidTr="002D5862">
        <w:trPr>
          <w:trHeight w:val="397"/>
        </w:trPr>
        <w:tc>
          <w:tcPr>
            <w:tcW w:w="3260" w:type="dxa"/>
            <w:shd w:val="clear" w:color="auto" w:fill="F2F2F2" w:themeFill="background1" w:themeFillShade="F2"/>
            <w:noWrap/>
            <w:vAlign w:val="center"/>
          </w:tcPr>
          <w:p w14:paraId="04969C7F" w14:textId="77777777" w:rsidR="00440FD4" w:rsidRPr="00DD2634" w:rsidRDefault="00440FD4" w:rsidP="00592058">
            <w:pPr>
              <w:pStyle w:val="TableText"/>
              <w:rPr>
                <w:b/>
                <w:sz w:val="20"/>
                <w:szCs w:val="20"/>
              </w:rPr>
            </w:pPr>
            <w:r w:rsidRPr="00DD2634">
              <w:rPr>
                <w:b/>
                <w:sz w:val="20"/>
                <w:szCs w:val="20"/>
              </w:rPr>
              <w:t>Total</w:t>
            </w:r>
          </w:p>
        </w:tc>
        <w:tc>
          <w:tcPr>
            <w:tcW w:w="1985" w:type="dxa"/>
            <w:shd w:val="clear" w:color="auto" w:fill="F2F2F2" w:themeFill="background1" w:themeFillShade="F2"/>
            <w:noWrap/>
            <w:vAlign w:val="center"/>
          </w:tcPr>
          <w:p w14:paraId="04969C80" w14:textId="77777777" w:rsidR="00440FD4" w:rsidRPr="00DD2634" w:rsidRDefault="00440FD4" w:rsidP="00592058">
            <w:pPr>
              <w:pStyle w:val="TableText"/>
              <w:jc w:val="right"/>
              <w:rPr>
                <w:b/>
                <w:sz w:val="20"/>
                <w:szCs w:val="20"/>
              </w:rPr>
            </w:pPr>
            <w:r w:rsidRPr="00DD2634">
              <w:rPr>
                <w:b/>
                <w:sz w:val="20"/>
                <w:szCs w:val="20"/>
              </w:rPr>
              <w:t>266,036 (89%)</w:t>
            </w:r>
          </w:p>
        </w:tc>
        <w:tc>
          <w:tcPr>
            <w:tcW w:w="1275" w:type="dxa"/>
            <w:shd w:val="clear" w:color="auto" w:fill="F2F2F2" w:themeFill="background1" w:themeFillShade="F2"/>
            <w:noWrap/>
            <w:vAlign w:val="center"/>
          </w:tcPr>
          <w:p w14:paraId="04969C81" w14:textId="77777777" w:rsidR="00440FD4" w:rsidRPr="00DD2634" w:rsidRDefault="00440FD4" w:rsidP="00592058">
            <w:pPr>
              <w:pStyle w:val="TableText"/>
              <w:jc w:val="right"/>
              <w:rPr>
                <w:b/>
                <w:sz w:val="20"/>
                <w:szCs w:val="20"/>
              </w:rPr>
            </w:pPr>
            <w:r w:rsidRPr="00DD2634">
              <w:rPr>
                <w:b/>
                <w:sz w:val="20"/>
                <w:szCs w:val="20"/>
              </w:rPr>
              <w:t>16.4</w:t>
            </w:r>
          </w:p>
        </w:tc>
        <w:tc>
          <w:tcPr>
            <w:tcW w:w="1134" w:type="dxa"/>
            <w:shd w:val="clear" w:color="auto" w:fill="F2F2F2" w:themeFill="background1" w:themeFillShade="F2"/>
            <w:vAlign w:val="center"/>
          </w:tcPr>
          <w:p w14:paraId="04969C82" w14:textId="77777777" w:rsidR="00440FD4" w:rsidRPr="00DD2634" w:rsidRDefault="00440FD4" w:rsidP="00592058">
            <w:pPr>
              <w:pStyle w:val="TableText"/>
              <w:jc w:val="right"/>
              <w:rPr>
                <w:b/>
                <w:sz w:val="20"/>
                <w:szCs w:val="20"/>
              </w:rPr>
            </w:pPr>
            <w:r w:rsidRPr="00DD2634">
              <w:rPr>
                <w:b/>
                <w:sz w:val="20"/>
                <w:szCs w:val="20"/>
              </w:rPr>
              <w:t>7594</w:t>
            </w:r>
          </w:p>
        </w:tc>
      </w:tr>
    </w:tbl>
    <w:p w14:paraId="04969C84" w14:textId="02B3FE95" w:rsidR="0006153E" w:rsidRPr="00DD2634" w:rsidRDefault="00EC06AA" w:rsidP="00277190">
      <w:pPr>
        <w:pStyle w:val="Source"/>
      </w:pPr>
      <w:r w:rsidRPr="00DD2634">
        <w:t>*</w:t>
      </w:r>
      <w:r w:rsidR="0006153E" w:rsidRPr="00DD2634">
        <w:t xml:space="preserve"> Number and percentage of children in the year before school. Does not include children attending preschool who are not in the year before starting full time schooling.</w:t>
      </w:r>
    </w:p>
    <w:p w14:paraId="04969C85" w14:textId="20FE4362" w:rsidR="00440FD4" w:rsidRPr="00DD2634" w:rsidRDefault="00440FD4" w:rsidP="00277190">
      <w:pPr>
        <w:pStyle w:val="Source"/>
      </w:pPr>
      <w:r w:rsidRPr="00DD2634">
        <w:t>*</w:t>
      </w:r>
      <w:r w:rsidR="00EC06AA" w:rsidRPr="00DD2634">
        <w:t>*</w:t>
      </w:r>
      <w:r w:rsidR="00D05A2C">
        <w:t xml:space="preserve"> Long Day C</w:t>
      </w:r>
      <w:r w:rsidRPr="00DD2634">
        <w:t xml:space="preserve">are overlaps with </w:t>
      </w:r>
      <w:r w:rsidR="00AB0C5F" w:rsidRPr="00DD2634">
        <w:t>long day care</w:t>
      </w:r>
      <w:r w:rsidRPr="00DD2634">
        <w:t xml:space="preserve"> in </w:t>
      </w:r>
      <w:r w:rsidRPr="00DD2634">
        <w:fldChar w:fldCharType="begin"/>
      </w:r>
      <w:r w:rsidRPr="00DD2634">
        <w:instrText xml:space="preserve"> REF _Ref376506637 \h </w:instrText>
      </w:r>
      <w:r w:rsidR="005D072D" w:rsidRPr="00DD2634">
        <w:instrText xml:space="preserve"> \* MERGEFORMAT </w:instrText>
      </w:r>
      <w:r w:rsidRPr="00DD2634">
        <w:fldChar w:fldCharType="separate"/>
      </w:r>
      <w:r w:rsidR="00CE4F92" w:rsidRPr="00DD2634">
        <w:t xml:space="preserve">Table </w:t>
      </w:r>
      <w:r w:rsidR="00CE4F92">
        <w:rPr>
          <w:noProof/>
        </w:rPr>
        <w:t>1</w:t>
      </w:r>
      <w:r w:rsidRPr="00DD2634">
        <w:fldChar w:fldCharType="end"/>
      </w:r>
      <w:r w:rsidRPr="00DD2634">
        <w:t xml:space="preserve"> above.</w:t>
      </w:r>
    </w:p>
    <w:p w14:paraId="04969C86" w14:textId="17549B9A" w:rsidR="007406CC" w:rsidRPr="00DD2634" w:rsidRDefault="00440FD4" w:rsidP="00277190">
      <w:pPr>
        <w:pStyle w:val="Source"/>
      </w:pPr>
      <w:r w:rsidRPr="00DD2634">
        <w:t>Source: Australian Bureau of Statistics</w:t>
      </w:r>
      <w:r w:rsidR="00331631">
        <w:t>.</w:t>
      </w:r>
    </w:p>
    <w:p w14:paraId="7F979F4D" w14:textId="52B4278F" w:rsidR="003E412E" w:rsidRPr="00DD2634" w:rsidRDefault="003E412E" w:rsidP="00BE5BEF">
      <w:pPr>
        <w:pStyle w:val="Heading2"/>
      </w:pPr>
      <w:bookmarkStart w:id="28" w:name="_Ref378850429"/>
      <w:bookmarkStart w:id="29" w:name="_Ref378850435"/>
      <w:bookmarkStart w:id="30" w:name="_Toc379208177"/>
      <w:bookmarkStart w:id="31" w:name="_Toc377217319"/>
      <w:bookmarkStart w:id="32" w:name="_Toc377217318"/>
      <w:bookmarkStart w:id="33" w:name="_Ref377283014"/>
      <w:bookmarkStart w:id="34" w:name="_Toc372967020"/>
      <w:bookmarkStart w:id="35" w:name="_Toc373221249"/>
      <w:r w:rsidRPr="00DD2634">
        <w:t>Parents’ workforce participation</w:t>
      </w:r>
      <w:bookmarkEnd w:id="28"/>
      <w:bookmarkEnd w:id="29"/>
      <w:bookmarkEnd w:id="30"/>
    </w:p>
    <w:p w14:paraId="76C75B42" w14:textId="645E7230" w:rsidR="003E412E" w:rsidRPr="00DD2634" w:rsidRDefault="00E41563" w:rsidP="00381744">
      <w:pPr>
        <w:pStyle w:val="NormalNumbered"/>
      </w:pPr>
      <w:r w:rsidRPr="00DD2634">
        <w:rPr>
          <w:noProof/>
          <w:lang w:eastAsia="en-AU"/>
        </w:rPr>
        <mc:AlternateContent>
          <mc:Choice Requires="wps">
            <w:drawing>
              <wp:anchor distT="0" distB="0" distL="114300" distR="114300" simplePos="0" relativeHeight="251706368" behindDoc="0" locked="0" layoutInCell="0" allowOverlap="1" wp14:anchorId="5D22045D" wp14:editId="72BFA554">
                <wp:simplePos x="0" y="0"/>
                <wp:positionH relativeFrom="margin">
                  <wp:posOffset>2851150</wp:posOffset>
                </wp:positionH>
                <wp:positionV relativeFrom="margin">
                  <wp:posOffset>5173980</wp:posOffset>
                </wp:positionV>
                <wp:extent cx="2628900" cy="1608455"/>
                <wp:effectExtent l="19050" t="19050" r="19050" b="10795"/>
                <wp:wrapSquare wrapText="bothSides"/>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1608455"/>
                        </a:xfrm>
                        <a:prstGeom prst="bracketPair">
                          <a:avLst>
                            <a:gd name="adj" fmla="val 8051"/>
                          </a:avLst>
                        </a:prstGeom>
                        <a:noFill/>
                        <a:ln w="38100">
                          <a:solidFill>
                            <a:schemeClr val="tx1">
                              <a:lumMod val="50000"/>
                              <a:lumOff val="50000"/>
                            </a:schemeClr>
                          </a:solidFill>
                          <a:round/>
                          <a:headEnd/>
                          <a:tailEnd/>
                        </a:ln>
                        <a:extLst>
                          <a:ext uri="{909E8E84-426E-40DD-AFC4-6F175D3DCCD1}">
                            <a14:hiddenFill xmlns:a14="http://schemas.microsoft.com/office/drawing/2010/main">
                              <a:solidFill>
                                <a:srgbClr val="943634"/>
                              </a:solidFill>
                            </a14:hiddenFill>
                          </a:ext>
                          <a:ext uri="{AF507438-7753-43E0-B8FC-AC1667EBCBE1}">
                            <a14:hiddenEffects xmlns:a14="http://schemas.microsoft.com/office/drawing/2010/main">
                              <a:effectLst>
                                <a:outerShdw dist="17961" dir="2700000" algn="ctr" rotWithShape="0">
                                  <a:srgbClr val="9BBB59">
                                    <a:gamma/>
                                    <a:shade val="60000"/>
                                    <a:invGamma/>
                                  </a:srgbClr>
                                </a:outerShdw>
                              </a:effectLst>
                            </a14:hiddenEffects>
                          </a:ext>
                        </a:extLst>
                      </wps:spPr>
                      <wps:txbx>
                        <w:txbxContent>
                          <w:p w14:paraId="60DDF9B1" w14:textId="77777777" w:rsidR="006678AE" w:rsidRPr="00A93B90" w:rsidRDefault="006678AE" w:rsidP="00596059">
                            <w:pPr>
                              <w:spacing w:after="0"/>
                              <w:rPr>
                                <w:b/>
                                <w:i/>
                                <w:iCs/>
                                <w:sz w:val="20"/>
                                <w:szCs w:val="20"/>
                              </w:rPr>
                            </w:pPr>
                            <w:r w:rsidRPr="00A93B90">
                              <w:rPr>
                                <w:b/>
                                <w:i/>
                                <w:iCs/>
                                <w:sz w:val="20"/>
                                <w:szCs w:val="20"/>
                              </w:rPr>
                              <w:t>Key Points:</w:t>
                            </w:r>
                          </w:p>
                          <w:p w14:paraId="3EC0EC71" w14:textId="77777777" w:rsidR="006678AE" w:rsidRPr="00A93B90" w:rsidRDefault="006678AE" w:rsidP="006E1311">
                            <w:pPr>
                              <w:pStyle w:val="ListParagraph"/>
                              <w:numPr>
                                <w:ilvl w:val="0"/>
                                <w:numId w:val="16"/>
                              </w:numPr>
                              <w:spacing w:after="0"/>
                              <w:ind w:left="284" w:hanging="284"/>
                              <w:rPr>
                                <w:i/>
                                <w:iCs/>
                                <w:sz w:val="20"/>
                                <w:szCs w:val="20"/>
                              </w:rPr>
                            </w:pPr>
                            <w:r>
                              <w:rPr>
                                <w:i/>
                                <w:iCs/>
                                <w:sz w:val="20"/>
                                <w:szCs w:val="20"/>
                              </w:rPr>
                              <w:t>B</w:t>
                            </w:r>
                            <w:r w:rsidRPr="00A93B90">
                              <w:rPr>
                                <w:i/>
                                <w:iCs/>
                                <w:sz w:val="20"/>
                                <w:szCs w:val="20"/>
                              </w:rPr>
                              <w:t>oth mothers and the Australia</w:t>
                            </w:r>
                            <w:r>
                              <w:rPr>
                                <w:i/>
                                <w:iCs/>
                                <w:sz w:val="20"/>
                                <w:szCs w:val="20"/>
                              </w:rPr>
                              <w:t xml:space="preserve">n </w:t>
                            </w:r>
                            <w:r w:rsidRPr="00A93B90">
                              <w:rPr>
                                <w:i/>
                                <w:iCs/>
                                <w:sz w:val="20"/>
                                <w:szCs w:val="20"/>
                              </w:rPr>
                              <w:t xml:space="preserve">economy would benefit from increasing </w:t>
                            </w:r>
                            <w:r>
                              <w:rPr>
                                <w:i/>
                                <w:iCs/>
                                <w:sz w:val="20"/>
                                <w:szCs w:val="20"/>
                              </w:rPr>
                              <w:t>mothers’</w:t>
                            </w:r>
                            <w:r w:rsidRPr="00A93B90">
                              <w:rPr>
                                <w:i/>
                                <w:iCs/>
                                <w:sz w:val="20"/>
                                <w:szCs w:val="20"/>
                              </w:rPr>
                              <w:t xml:space="preserve"> labour force participation</w:t>
                            </w:r>
                            <w:r>
                              <w:rPr>
                                <w:i/>
                                <w:iCs/>
                                <w:sz w:val="20"/>
                                <w:szCs w:val="20"/>
                              </w:rPr>
                              <w:t>.</w:t>
                            </w:r>
                          </w:p>
                          <w:p w14:paraId="0A3B8F89" w14:textId="7C0ED508" w:rsidR="006678AE" w:rsidRPr="00A93B90" w:rsidRDefault="006678AE" w:rsidP="006E1311">
                            <w:pPr>
                              <w:pStyle w:val="ListParagraph"/>
                              <w:numPr>
                                <w:ilvl w:val="0"/>
                                <w:numId w:val="16"/>
                              </w:numPr>
                              <w:spacing w:after="0"/>
                              <w:ind w:left="284" w:hanging="284"/>
                              <w:rPr>
                                <w:i/>
                                <w:iCs/>
                                <w:sz w:val="20"/>
                                <w:szCs w:val="20"/>
                              </w:rPr>
                            </w:pPr>
                            <w:r w:rsidRPr="00331631">
                              <w:rPr>
                                <w:i/>
                                <w:iCs/>
                                <w:sz w:val="20"/>
                                <w:szCs w:val="20"/>
                              </w:rPr>
                              <w:t>Many</w:t>
                            </w:r>
                            <w:r>
                              <w:rPr>
                                <w:i/>
                                <w:iCs/>
                                <w:sz w:val="20"/>
                                <w:szCs w:val="20"/>
                              </w:rPr>
                              <w:t xml:space="preserve"> </w:t>
                            </w:r>
                            <w:r w:rsidRPr="00A93B90">
                              <w:rPr>
                                <w:i/>
                                <w:iCs/>
                                <w:sz w:val="20"/>
                                <w:szCs w:val="20"/>
                              </w:rPr>
                              <w:t>mothers would like to increase their hours of work</w:t>
                            </w:r>
                            <w:r>
                              <w:rPr>
                                <w:i/>
                                <w:iCs/>
                                <w:sz w:val="20"/>
                                <w:szCs w:val="20"/>
                              </w:rPr>
                              <w:t>.</w:t>
                            </w:r>
                          </w:p>
                          <w:p w14:paraId="29FE1E23" w14:textId="77777777" w:rsidR="006678AE" w:rsidRPr="00277190" w:rsidRDefault="006678AE" w:rsidP="00596059">
                            <w:pPr>
                              <w:pStyle w:val="ListParagraph"/>
                              <w:numPr>
                                <w:ilvl w:val="0"/>
                                <w:numId w:val="16"/>
                              </w:numPr>
                              <w:spacing w:after="0"/>
                              <w:ind w:left="284" w:hanging="284"/>
                              <w:rPr>
                                <w:i/>
                                <w:iCs/>
                                <w:sz w:val="20"/>
                                <w:szCs w:val="20"/>
                              </w:rPr>
                            </w:pPr>
                            <w:r w:rsidRPr="00A93B90">
                              <w:rPr>
                                <w:i/>
                                <w:iCs/>
                                <w:sz w:val="20"/>
                                <w:szCs w:val="20"/>
                              </w:rPr>
                              <w:t>There is a financial disincentive to increase hours of work</w:t>
                            </w:r>
                            <w:r>
                              <w:rPr>
                                <w:i/>
                                <w:iCs/>
                                <w:sz w:val="20"/>
                                <w:szCs w:val="20"/>
                              </w:rPr>
                              <w:t>.</w:t>
                            </w:r>
                          </w:p>
                        </w:txbxContent>
                      </wps:txbx>
                      <wps:bodyPr rot="0" vert="horz" wrap="square" lIns="45720" tIns="45720" rIns="4572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0" type="#_x0000_t185" style="position:absolute;left:0;text-align:left;margin-left:224.5pt;margin-top:407.4pt;width:207pt;height:126.65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" o:allowincell="f" adj="1739" fillcolor="#943634" strokecolor="gray [1629]" strokeweight="3pt">
                <v:shadow color="#5d7035" offset="1pt,1pt"/>
                <v:textbox inset="3.6pt,,3.6pt">
                  <w:txbxContent>
                    <w:p w14:paraId="60DDF9B1" w14:textId="77777777" w:rsidR="006678AE" w:rsidRPr="00A93B90" w:rsidRDefault="006678AE" w:rsidP="00596059">
                      <w:pPr>
                        <w:spacing w:after="0"/>
                        <w:rPr>
                          <w:b/>
                          <w:i/>
                          <w:iCs/>
                          <w:sz w:val="20"/>
                          <w:szCs w:val="20"/>
                        </w:rPr>
                      </w:pPr>
                      <w:r w:rsidRPr="00A93B90">
                        <w:rPr>
                          <w:b/>
                          <w:i/>
                          <w:iCs/>
                          <w:sz w:val="20"/>
                          <w:szCs w:val="20"/>
                        </w:rPr>
                        <w:t>Key Points:</w:t>
                      </w:r>
                    </w:p>
                    <w:p w14:paraId="3EC0EC71" w14:textId="77777777" w:rsidR="006678AE" w:rsidRPr="00A93B90" w:rsidRDefault="006678AE" w:rsidP="006E1311">
                      <w:pPr>
                        <w:pStyle w:val="ListParagraph"/>
                        <w:numPr>
                          <w:ilvl w:val="0"/>
                          <w:numId w:val="16"/>
                        </w:numPr>
                        <w:spacing w:after="0"/>
                        <w:ind w:left="284" w:hanging="284"/>
                        <w:rPr>
                          <w:i/>
                          <w:iCs/>
                          <w:sz w:val="20"/>
                          <w:szCs w:val="20"/>
                        </w:rPr>
                      </w:pPr>
                      <w:r>
                        <w:rPr>
                          <w:i/>
                          <w:iCs/>
                          <w:sz w:val="20"/>
                          <w:szCs w:val="20"/>
                        </w:rPr>
                        <w:t>B</w:t>
                      </w:r>
                      <w:r w:rsidRPr="00A93B90">
                        <w:rPr>
                          <w:i/>
                          <w:iCs/>
                          <w:sz w:val="20"/>
                          <w:szCs w:val="20"/>
                        </w:rPr>
                        <w:t>oth mothers and the Australia</w:t>
                      </w:r>
                      <w:r>
                        <w:rPr>
                          <w:i/>
                          <w:iCs/>
                          <w:sz w:val="20"/>
                          <w:szCs w:val="20"/>
                        </w:rPr>
                        <w:t xml:space="preserve">n </w:t>
                      </w:r>
                      <w:r w:rsidRPr="00A93B90">
                        <w:rPr>
                          <w:i/>
                          <w:iCs/>
                          <w:sz w:val="20"/>
                          <w:szCs w:val="20"/>
                        </w:rPr>
                        <w:t xml:space="preserve">economy would benefit from increasing </w:t>
                      </w:r>
                      <w:r>
                        <w:rPr>
                          <w:i/>
                          <w:iCs/>
                          <w:sz w:val="20"/>
                          <w:szCs w:val="20"/>
                        </w:rPr>
                        <w:t>mothers’</w:t>
                      </w:r>
                      <w:r w:rsidRPr="00A93B90">
                        <w:rPr>
                          <w:i/>
                          <w:iCs/>
                          <w:sz w:val="20"/>
                          <w:szCs w:val="20"/>
                        </w:rPr>
                        <w:t xml:space="preserve"> labour force participation</w:t>
                      </w:r>
                      <w:r>
                        <w:rPr>
                          <w:i/>
                          <w:iCs/>
                          <w:sz w:val="20"/>
                          <w:szCs w:val="20"/>
                        </w:rPr>
                        <w:t>.</w:t>
                      </w:r>
                    </w:p>
                    <w:p w14:paraId="0A3B8F89" w14:textId="7C0ED508" w:rsidR="006678AE" w:rsidRPr="00A93B90" w:rsidRDefault="006678AE" w:rsidP="006E1311">
                      <w:pPr>
                        <w:pStyle w:val="ListParagraph"/>
                        <w:numPr>
                          <w:ilvl w:val="0"/>
                          <w:numId w:val="16"/>
                        </w:numPr>
                        <w:spacing w:after="0"/>
                        <w:ind w:left="284" w:hanging="284"/>
                        <w:rPr>
                          <w:i/>
                          <w:iCs/>
                          <w:sz w:val="20"/>
                          <w:szCs w:val="20"/>
                        </w:rPr>
                      </w:pPr>
                      <w:r w:rsidRPr="00331631">
                        <w:rPr>
                          <w:i/>
                          <w:iCs/>
                          <w:sz w:val="20"/>
                          <w:szCs w:val="20"/>
                        </w:rPr>
                        <w:t>Many</w:t>
                      </w:r>
                      <w:r>
                        <w:rPr>
                          <w:i/>
                          <w:iCs/>
                          <w:sz w:val="20"/>
                          <w:szCs w:val="20"/>
                        </w:rPr>
                        <w:t xml:space="preserve"> </w:t>
                      </w:r>
                      <w:r w:rsidRPr="00A93B90">
                        <w:rPr>
                          <w:i/>
                          <w:iCs/>
                          <w:sz w:val="20"/>
                          <w:szCs w:val="20"/>
                        </w:rPr>
                        <w:t>mothers would like to increase their hours of work</w:t>
                      </w:r>
                      <w:r>
                        <w:rPr>
                          <w:i/>
                          <w:iCs/>
                          <w:sz w:val="20"/>
                          <w:szCs w:val="20"/>
                        </w:rPr>
                        <w:t>.</w:t>
                      </w:r>
                    </w:p>
                    <w:p w14:paraId="29FE1E23" w14:textId="77777777" w:rsidR="006678AE" w:rsidRPr="00277190" w:rsidRDefault="006678AE" w:rsidP="00596059">
                      <w:pPr>
                        <w:pStyle w:val="ListParagraph"/>
                        <w:numPr>
                          <w:ilvl w:val="0"/>
                          <w:numId w:val="16"/>
                        </w:numPr>
                        <w:spacing w:after="0"/>
                        <w:ind w:left="284" w:hanging="284"/>
                        <w:rPr>
                          <w:i/>
                          <w:iCs/>
                          <w:sz w:val="20"/>
                          <w:szCs w:val="20"/>
                        </w:rPr>
                      </w:pPr>
                      <w:r w:rsidRPr="00A93B90">
                        <w:rPr>
                          <w:i/>
                          <w:iCs/>
                          <w:sz w:val="20"/>
                          <w:szCs w:val="20"/>
                        </w:rPr>
                        <w:t>There is a financial disincentive to increase hours of work</w:t>
                      </w:r>
                      <w:r>
                        <w:rPr>
                          <w:i/>
                          <w:iCs/>
                          <w:sz w:val="20"/>
                          <w:szCs w:val="20"/>
                        </w:rPr>
                        <w:t>.</w:t>
                      </w:r>
                    </w:p>
                  </w:txbxContent>
                </v:textbox>
                <w10:wrap type="square" anchorx="margin" anchory="margin"/>
              </v:shape>
            </w:pict>
          </mc:Fallback>
        </mc:AlternateContent>
      </w:r>
      <w:r w:rsidR="003E412E" w:rsidRPr="00DD2634">
        <w:t>In Australia, women spend more time providing unpaid caring work than men, with mothers spending on average 8 hours and 33 minutes per day caring for children under 15 years of age, compared to 3 hours and 55 minutes for fathers.</w:t>
      </w:r>
      <w:r w:rsidR="003E412E" w:rsidRPr="00DD2634">
        <w:rPr>
          <w:vertAlign w:val="superscript"/>
        </w:rPr>
        <w:footnoteReference w:id="10"/>
      </w:r>
      <w:r w:rsidR="003E412E" w:rsidRPr="00DD2634">
        <w:t xml:space="preserve"> The impact of this is evidenced in the differences in workforce participation between women and men. </w:t>
      </w:r>
    </w:p>
    <w:p w14:paraId="5904F0C8" w14:textId="7BCBE5E4" w:rsidR="003E412E" w:rsidRPr="00DD2634" w:rsidRDefault="003E412E" w:rsidP="00381744">
      <w:pPr>
        <w:pStyle w:val="NormalNumbered"/>
      </w:pPr>
      <w:r w:rsidRPr="00DD2634">
        <w:t>There is a 12.8 percentage point difference in the workforce participation rate of men (71.3 per cent) and women (58.5 per cent). It is also reflected in the proportion of women working part-time (46.2 per cent) compared to men (17.1 per cent)</w:t>
      </w:r>
      <w:r w:rsidR="00025DA6" w:rsidRPr="00DD2634">
        <w:t>.</w:t>
      </w:r>
      <w:r w:rsidRPr="00DD2634">
        <w:rPr>
          <w:rStyle w:val="FootnoteReference"/>
        </w:rPr>
        <w:footnoteReference w:id="11"/>
      </w:r>
    </w:p>
    <w:p w14:paraId="2D960199" w14:textId="536CB407" w:rsidR="003E412E" w:rsidRPr="00DD2634" w:rsidRDefault="003E412E" w:rsidP="00381744">
      <w:pPr>
        <w:pStyle w:val="NormalNumbered"/>
      </w:pPr>
      <w:r w:rsidRPr="00DD2634">
        <w:fldChar w:fldCharType="begin"/>
      </w:r>
      <w:r w:rsidRPr="00DD2634">
        <w:instrText xml:space="preserve"> REF _Ref377292419 \h  \* MERGEFORMAT </w:instrText>
      </w:r>
      <w:r w:rsidRPr="00DD2634">
        <w:fldChar w:fldCharType="separate"/>
      </w:r>
      <w:r w:rsidR="00CE4F92" w:rsidRPr="00DD2634">
        <w:t xml:space="preserve">Table </w:t>
      </w:r>
      <w:r w:rsidR="00CE4F92">
        <w:rPr>
          <w:noProof/>
        </w:rPr>
        <w:t>3</w:t>
      </w:r>
      <w:r w:rsidRPr="00DD2634">
        <w:fldChar w:fldCharType="end"/>
      </w:r>
      <w:r w:rsidRPr="00DD2634">
        <w:t xml:space="preserve"> shows how different circumstances impact on female </w:t>
      </w:r>
      <w:r w:rsidR="001C4921" w:rsidRPr="00DD2634">
        <w:t xml:space="preserve">workforce </w:t>
      </w:r>
      <w:r w:rsidRPr="00DD2634">
        <w:t>participation in Australia. The greatest effects (in order</w:t>
      </w:r>
      <w:r w:rsidR="001C4921" w:rsidRPr="00DD2634">
        <w:t xml:space="preserve"> of significance</w:t>
      </w:r>
      <w:r w:rsidRPr="00DD2634">
        <w:t>) are: having four or more children; mother was a teenager when she gave birth to first child; mothers of children aged 0</w:t>
      </w:r>
      <w:r w:rsidRPr="00DD2634">
        <w:noBreakHyphen/>
        <w:t>5 years.</w:t>
      </w:r>
    </w:p>
    <w:p w14:paraId="6EC8155C" w14:textId="77777777" w:rsidR="003E412E" w:rsidRPr="00DD2634" w:rsidRDefault="003E412E" w:rsidP="00277190">
      <w:pPr>
        <w:pStyle w:val="Caption"/>
      </w:pPr>
      <w:bookmarkStart w:id="36" w:name="_Ref377292419"/>
      <w:bookmarkStart w:id="37" w:name="_Toc379208197"/>
      <w:r w:rsidRPr="00DD2634">
        <w:lastRenderedPageBreak/>
        <w:t xml:space="preserve">Table </w:t>
      </w:r>
      <w:fldSimple w:instr=" SEQ Table \* ARABIC ">
        <w:r w:rsidR="00CE4F92">
          <w:rPr>
            <w:noProof/>
          </w:rPr>
          <w:t>3</w:t>
        </w:r>
      </w:fldSimple>
      <w:bookmarkEnd w:id="36"/>
      <w:r w:rsidRPr="00DD2634">
        <w:t>: Participation of various groups of women</w:t>
      </w:r>
      <w:bookmarkEnd w:id="37"/>
    </w:p>
    <w:tbl>
      <w:tblPr>
        <w:tblW w:w="0" w:type="auto"/>
        <w:tblInd w:w="108" w:type="dxa"/>
        <w:tblCellMar>
          <w:left w:w="0" w:type="dxa"/>
          <w:right w:w="0" w:type="dxa"/>
        </w:tblCellMar>
        <w:tblLook w:val="04A0" w:firstRow="1" w:lastRow="0" w:firstColumn="1" w:lastColumn="0" w:noHBand="0" w:noVBand="1"/>
      </w:tblPr>
      <w:tblGrid>
        <w:gridCol w:w="3827"/>
        <w:gridCol w:w="1418"/>
        <w:gridCol w:w="1417"/>
        <w:gridCol w:w="992"/>
      </w:tblGrid>
      <w:tr w:rsidR="003E412E" w:rsidRPr="00DD2634" w14:paraId="7A684F1D" w14:textId="77777777" w:rsidTr="00277190">
        <w:tc>
          <w:tcPr>
            <w:tcW w:w="3827"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center"/>
            <w:hideMark/>
          </w:tcPr>
          <w:p w14:paraId="0CE84EE7" w14:textId="77777777" w:rsidR="003E412E" w:rsidRPr="00DD2634" w:rsidRDefault="003E412E" w:rsidP="00592058">
            <w:pPr>
              <w:pStyle w:val="TableText"/>
              <w:ind w:hanging="436"/>
              <w:jc w:val="center"/>
              <w:rPr>
                <w:b/>
                <w:bCs/>
                <w:sz w:val="20"/>
                <w:szCs w:val="20"/>
              </w:rPr>
            </w:pPr>
            <w:r w:rsidRPr="00DD2634">
              <w:rPr>
                <w:b/>
                <w:bCs/>
                <w:sz w:val="20"/>
                <w:szCs w:val="20"/>
              </w:rPr>
              <w:t>Group</w:t>
            </w:r>
          </w:p>
        </w:tc>
        <w:tc>
          <w:tcPr>
            <w:tcW w:w="1418" w:type="dxa"/>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center"/>
            <w:hideMark/>
          </w:tcPr>
          <w:p w14:paraId="4727BDB9" w14:textId="77777777" w:rsidR="003E412E" w:rsidRPr="00DD2634" w:rsidRDefault="003E412E" w:rsidP="0085030F">
            <w:pPr>
              <w:pStyle w:val="TableText"/>
              <w:ind w:hanging="8"/>
              <w:jc w:val="right"/>
              <w:rPr>
                <w:b/>
                <w:bCs/>
                <w:sz w:val="20"/>
                <w:szCs w:val="20"/>
              </w:rPr>
            </w:pPr>
            <w:r w:rsidRPr="00DD2634">
              <w:rPr>
                <w:b/>
                <w:bCs/>
                <w:sz w:val="20"/>
                <w:szCs w:val="20"/>
              </w:rPr>
              <w:t>Labour force participation rate (%)</w:t>
            </w:r>
          </w:p>
        </w:tc>
        <w:tc>
          <w:tcPr>
            <w:tcW w:w="1417" w:type="dxa"/>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center"/>
            <w:hideMark/>
          </w:tcPr>
          <w:p w14:paraId="5AA638D3" w14:textId="77777777" w:rsidR="003E412E" w:rsidRPr="00DD2634" w:rsidRDefault="003E412E" w:rsidP="0085030F">
            <w:pPr>
              <w:pStyle w:val="TableText"/>
              <w:ind w:left="34"/>
              <w:jc w:val="right"/>
              <w:rPr>
                <w:b/>
                <w:bCs/>
                <w:sz w:val="20"/>
                <w:szCs w:val="20"/>
              </w:rPr>
            </w:pPr>
            <w:r w:rsidRPr="00DD2634">
              <w:rPr>
                <w:b/>
                <w:bCs/>
                <w:sz w:val="20"/>
                <w:szCs w:val="20"/>
              </w:rPr>
              <w:t>Employment to population ratio (%)</w:t>
            </w:r>
          </w:p>
        </w:tc>
        <w:tc>
          <w:tcPr>
            <w:tcW w:w="992" w:type="dxa"/>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center"/>
            <w:hideMark/>
          </w:tcPr>
          <w:p w14:paraId="35DECF98" w14:textId="77777777" w:rsidR="003E412E" w:rsidRPr="00DD2634" w:rsidRDefault="003E412E" w:rsidP="008A557A">
            <w:pPr>
              <w:pStyle w:val="TableText"/>
              <w:ind w:hanging="436"/>
              <w:jc w:val="right"/>
              <w:rPr>
                <w:b/>
                <w:bCs/>
                <w:sz w:val="20"/>
                <w:szCs w:val="20"/>
              </w:rPr>
            </w:pPr>
            <w:r w:rsidRPr="00DD2634">
              <w:rPr>
                <w:b/>
                <w:bCs/>
                <w:sz w:val="20"/>
                <w:szCs w:val="20"/>
              </w:rPr>
              <w:t>Number</w:t>
            </w:r>
          </w:p>
          <w:p w14:paraId="3FCEC4FF" w14:textId="77777777" w:rsidR="003E412E" w:rsidRPr="00DD2634" w:rsidRDefault="003E412E" w:rsidP="008A557A">
            <w:pPr>
              <w:pStyle w:val="TableText"/>
              <w:ind w:hanging="436"/>
              <w:jc w:val="right"/>
              <w:rPr>
                <w:b/>
                <w:bCs/>
                <w:sz w:val="20"/>
                <w:szCs w:val="20"/>
              </w:rPr>
            </w:pPr>
            <w:r w:rsidRPr="00DD2634">
              <w:rPr>
                <w:b/>
                <w:bCs/>
                <w:sz w:val="20"/>
                <w:szCs w:val="20"/>
              </w:rPr>
              <w:t>(‘</w:t>
            </w:r>
            <w:proofErr w:type="spellStart"/>
            <w:r w:rsidRPr="00DD2634">
              <w:rPr>
                <w:b/>
                <w:bCs/>
                <w:sz w:val="20"/>
                <w:szCs w:val="20"/>
              </w:rPr>
              <w:t>000s</w:t>
            </w:r>
            <w:proofErr w:type="spellEnd"/>
            <w:r w:rsidRPr="00DD2634">
              <w:rPr>
                <w:b/>
                <w:bCs/>
                <w:sz w:val="20"/>
                <w:szCs w:val="20"/>
              </w:rPr>
              <w:t>)</w:t>
            </w:r>
          </w:p>
        </w:tc>
      </w:tr>
      <w:tr w:rsidR="003E412E" w:rsidRPr="00DD2634" w14:paraId="6FD20EA9" w14:textId="77777777" w:rsidTr="00277190">
        <w:tc>
          <w:tcPr>
            <w:tcW w:w="38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AFFBA2" w14:textId="77777777" w:rsidR="003E412E" w:rsidRPr="00DD2634" w:rsidRDefault="003E412E" w:rsidP="00592058">
            <w:pPr>
              <w:pStyle w:val="TableText"/>
              <w:rPr>
                <w:sz w:val="20"/>
                <w:szCs w:val="20"/>
              </w:rPr>
            </w:pPr>
            <w:r w:rsidRPr="00DD2634">
              <w:rPr>
                <w:sz w:val="20"/>
                <w:szCs w:val="20"/>
              </w:rPr>
              <w:t xml:space="preserve">Single parents </w:t>
            </w:r>
            <w:r w:rsidRPr="00DD2634">
              <w:rPr>
                <w:sz w:val="20"/>
                <w:szCs w:val="20"/>
                <w:vertAlign w:val="superscript"/>
              </w:rPr>
              <w:t>(a, b)</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551F24" w14:textId="77777777" w:rsidR="003E412E" w:rsidRPr="00DD2634" w:rsidRDefault="003E412E" w:rsidP="00592058">
            <w:pPr>
              <w:pStyle w:val="TableText"/>
              <w:ind w:hanging="436"/>
              <w:jc w:val="right"/>
              <w:rPr>
                <w:sz w:val="20"/>
                <w:szCs w:val="20"/>
              </w:rPr>
            </w:pPr>
            <w:r w:rsidRPr="00DD2634">
              <w:rPr>
                <w:sz w:val="20"/>
                <w:szCs w:val="20"/>
              </w:rPr>
              <w:t>64.3</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985EC7" w14:textId="77777777" w:rsidR="003E412E" w:rsidRPr="00DD2634" w:rsidRDefault="003E412E" w:rsidP="00592058">
            <w:pPr>
              <w:pStyle w:val="TableText"/>
              <w:ind w:hanging="436"/>
              <w:jc w:val="right"/>
              <w:rPr>
                <w:sz w:val="20"/>
                <w:szCs w:val="20"/>
              </w:rPr>
            </w:pPr>
            <w:r w:rsidRPr="00DD2634">
              <w:rPr>
                <w:sz w:val="20"/>
                <w:szCs w:val="20"/>
              </w:rPr>
              <w:t>56.9</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78C2B2" w14:textId="77777777" w:rsidR="003E412E" w:rsidRPr="00DD2634" w:rsidRDefault="003E412E" w:rsidP="00592058">
            <w:pPr>
              <w:pStyle w:val="TableText"/>
              <w:ind w:hanging="436"/>
              <w:jc w:val="right"/>
              <w:rPr>
                <w:sz w:val="20"/>
                <w:szCs w:val="20"/>
              </w:rPr>
            </w:pPr>
            <w:r w:rsidRPr="00DD2634">
              <w:rPr>
                <w:sz w:val="20"/>
                <w:szCs w:val="20"/>
              </w:rPr>
              <w:t>745.0</w:t>
            </w:r>
          </w:p>
        </w:tc>
      </w:tr>
      <w:tr w:rsidR="003E412E" w:rsidRPr="00DD2634" w14:paraId="2A9EDE07" w14:textId="77777777" w:rsidTr="00277190">
        <w:tc>
          <w:tcPr>
            <w:tcW w:w="38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896E17" w14:textId="77777777" w:rsidR="003E412E" w:rsidRPr="00DD2634" w:rsidRDefault="003E412E" w:rsidP="00592058">
            <w:pPr>
              <w:pStyle w:val="TableText"/>
              <w:rPr>
                <w:sz w:val="20"/>
                <w:szCs w:val="20"/>
              </w:rPr>
            </w:pPr>
            <w:r w:rsidRPr="00DD2634">
              <w:rPr>
                <w:sz w:val="20"/>
                <w:szCs w:val="20"/>
              </w:rPr>
              <w:t xml:space="preserve">Teenager when had first child </w:t>
            </w:r>
            <w:r w:rsidRPr="00DD2634">
              <w:rPr>
                <w:sz w:val="20"/>
                <w:szCs w:val="20"/>
                <w:vertAlign w:val="superscript"/>
              </w:rPr>
              <w:t>(c)</w:t>
            </w:r>
            <w:r w:rsidRPr="00DD2634">
              <w:rPr>
                <w:sz w:val="20"/>
                <w:szCs w:val="20"/>
              </w:rPr>
              <w:t>*</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515C91" w14:textId="77777777" w:rsidR="003E412E" w:rsidRPr="00DD2634" w:rsidRDefault="003E412E" w:rsidP="00592058">
            <w:pPr>
              <w:pStyle w:val="TableText"/>
              <w:ind w:hanging="436"/>
              <w:jc w:val="right"/>
              <w:rPr>
                <w:sz w:val="20"/>
                <w:szCs w:val="20"/>
              </w:rPr>
            </w:pPr>
            <w:r w:rsidRPr="00DD2634">
              <w:rPr>
                <w:sz w:val="20"/>
                <w:szCs w:val="20"/>
              </w:rPr>
              <w:t>36.6</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591C4F" w14:textId="77777777" w:rsidR="003E412E" w:rsidRPr="00DD2634" w:rsidRDefault="003E412E" w:rsidP="00592058">
            <w:pPr>
              <w:pStyle w:val="TableText"/>
              <w:ind w:hanging="436"/>
              <w:jc w:val="right"/>
              <w:rPr>
                <w:sz w:val="20"/>
                <w:szCs w:val="20"/>
              </w:rPr>
            </w:pPr>
            <w:r w:rsidRPr="00DD2634">
              <w:rPr>
                <w:sz w:val="20"/>
                <w:szCs w:val="20"/>
              </w:rPr>
              <w:t>33.5</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A009A6" w14:textId="77777777" w:rsidR="003E412E" w:rsidRPr="00DD2634" w:rsidRDefault="003E412E" w:rsidP="00592058">
            <w:pPr>
              <w:pStyle w:val="TableText"/>
              <w:ind w:hanging="436"/>
              <w:jc w:val="right"/>
              <w:rPr>
                <w:sz w:val="20"/>
                <w:szCs w:val="20"/>
              </w:rPr>
            </w:pPr>
            <w:r w:rsidRPr="00DD2634">
              <w:rPr>
                <w:sz w:val="20"/>
                <w:szCs w:val="20"/>
              </w:rPr>
              <w:t>1107.6</w:t>
            </w:r>
          </w:p>
        </w:tc>
      </w:tr>
      <w:tr w:rsidR="003E412E" w:rsidRPr="00DD2634" w14:paraId="6583D19C" w14:textId="77777777" w:rsidTr="00277190">
        <w:tc>
          <w:tcPr>
            <w:tcW w:w="38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B87947" w14:textId="77777777" w:rsidR="003E412E" w:rsidRPr="00DD2634" w:rsidRDefault="003E412E" w:rsidP="00592058">
            <w:pPr>
              <w:pStyle w:val="TableText"/>
              <w:rPr>
                <w:sz w:val="20"/>
                <w:szCs w:val="20"/>
              </w:rPr>
            </w:pPr>
            <w:r w:rsidRPr="00DD2634">
              <w:rPr>
                <w:sz w:val="20"/>
                <w:szCs w:val="20"/>
              </w:rPr>
              <w:t xml:space="preserve">Have at least 4 children </w:t>
            </w:r>
            <w:r w:rsidRPr="00DD2634">
              <w:rPr>
                <w:sz w:val="20"/>
                <w:szCs w:val="20"/>
                <w:vertAlign w:val="superscript"/>
              </w:rPr>
              <w:t>(c)</w:t>
            </w:r>
            <w:r w:rsidRPr="00DD2634">
              <w:rPr>
                <w:sz w:val="20"/>
                <w:szCs w:val="20"/>
              </w:rPr>
              <w:t xml:space="preserve">** </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115E40" w14:textId="77777777" w:rsidR="003E412E" w:rsidRPr="00DD2634" w:rsidRDefault="003E412E" w:rsidP="00592058">
            <w:pPr>
              <w:pStyle w:val="TableText"/>
              <w:ind w:hanging="436"/>
              <w:jc w:val="right"/>
              <w:rPr>
                <w:sz w:val="20"/>
                <w:szCs w:val="20"/>
              </w:rPr>
            </w:pPr>
            <w:r w:rsidRPr="00DD2634">
              <w:rPr>
                <w:sz w:val="20"/>
                <w:szCs w:val="20"/>
              </w:rPr>
              <w:t>31.9</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59A5B3" w14:textId="77777777" w:rsidR="003E412E" w:rsidRPr="00DD2634" w:rsidRDefault="003E412E" w:rsidP="00592058">
            <w:pPr>
              <w:pStyle w:val="TableText"/>
              <w:ind w:hanging="436"/>
              <w:jc w:val="right"/>
              <w:rPr>
                <w:sz w:val="20"/>
                <w:szCs w:val="20"/>
              </w:rPr>
            </w:pPr>
            <w:r w:rsidRPr="00DD2634">
              <w:rPr>
                <w:sz w:val="20"/>
                <w:szCs w:val="20"/>
              </w:rPr>
              <w:t>30.8</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36A5CF" w14:textId="77777777" w:rsidR="003E412E" w:rsidRPr="00DD2634" w:rsidRDefault="003E412E" w:rsidP="00592058">
            <w:pPr>
              <w:pStyle w:val="TableText"/>
              <w:ind w:hanging="436"/>
              <w:jc w:val="right"/>
              <w:rPr>
                <w:sz w:val="20"/>
                <w:szCs w:val="20"/>
              </w:rPr>
            </w:pPr>
            <w:r w:rsidRPr="00DD2634">
              <w:rPr>
                <w:sz w:val="20"/>
                <w:szCs w:val="20"/>
              </w:rPr>
              <w:t xml:space="preserve">1017.6 </w:t>
            </w:r>
          </w:p>
        </w:tc>
      </w:tr>
      <w:tr w:rsidR="003E412E" w:rsidRPr="00DD2634" w14:paraId="065A634E" w14:textId="77777777" w:rsidTr="00277190">
        <w:tc>
          <w:tcPr>
            <w:tcW w:w="38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0D3E98" w14:textId="77777777" w:rsidR="003E412E" w:rsidRPr="00DD2634" w:rsidRDefault="003E412E" w:rsidP="00592058">
            <w:pPr>
              <w:pStyle w:val="TableText"/>
              <w:rPr>
                <w:sz w:val="20"/>
                <w:szCs w:val="20"/>
              </w:rPr>
            </w:pPr>
            <w:r w:rsidRPr="00DD2634">
              <w:rPr>
                <w:sz w:val="20"/>
                <w:szCs w:val="20"/>
              </w:rPr>
              <w:t xml:space="preserve">Mothers of children aged 0 – 5 </w:t>
            </w:r>
            <w:r w:rsidRPr="00DD2634">
              <w:rPr>
                <w:sz w:val="20"/>
                <w:szCs w:val="20"/>
                <w:vertAlign w:val="superscript"/>
              </w:rPr>
              <w:t>(d)</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26F66E" w14:textId="77777777" w:rsidR="003E412E" w:rsidRPr="00DD2634" w:rsidRDefault="003E412E" w:rsidP="00592058">
            <w:pPr>
              <w:pStyle w:val="TableText"/>
              <w:ind w:hanging="436"/>
              <w:jc w:val="right"/>
              <w:rPr>
                <w:sz w:val="20"/>
                <w:szCs w:val="20"/>
              </w:rPr>
            </w:pPr>
            <w:r w:rsidRPr="00DD2634">
              <w:rPr>
                <w:sz w:val="20"/>
                <w:szCs w:val="20"/>
              </w:rPr>
              <w:t>52.7</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C8B00F" w14:textId="77777777" w:rsidR="003E412E" w:rsidRPr="00DD2634" w:rsidRDefault="003E412E" w:rsidP="00592058">
            <w:pPr>
              <w:pStyle w:val="TableText"/>
              <w:ind w:hanging="436"/>
              <w:jc w:val="right"/>
              <w:rPr>
                <w:sz w:val="20"/>
                <w:szCs w:val="20"/>
              </w:rPr>
            </w:pPr>
            <w:r w:rsidRPr="00DD2634">
              <w:rPr>
                <w:sz w:val="20"/>
                <w:szCs w:val="20"/>
              </w:rPr>
              <w:t>49.0</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16D79D" w14:textId="77777777" w:rsidR="003E412E" w:rsidRPr="00DD2634" w:rsidRDefault="003E412E" w:rsidP="00592058">
            <w:pPr>
              <w:pStyle w:val="TableText"/>
              <w:ind w:hanging="436"/>
              <w:jc w:val="right"/>
              <w:rPr>
                <w:sz w:val="20"/>
                <w:szCs w:val="20"/>
              </w:rPr>
            </w:pPr>
            <w:r w:rsidRPr="00DD2634">
              <w:rPr>
                <w:sz w:val="20"/>
                <w:szCs w:val="20"/>
              </w:rPr>
              <w:t>1233.7</w:t>
            </w:r>
          </w:p>
        </w:tc>
      </w:tr>
      <w:tr w:rsidR="003E412E" w:rsidRPr="00DD2634" w14:paraId="212A62AB" w14:textId="77777777" w:rsidTr="00277190">
        <w:tc>
          <w:tcPr>
            <w:tcW w:w="38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A05375" w14:textId="77777777" w:rsidR="003E412E" w:rsidRPr="00DD2634" w:rsidRDefault="003E412E" w:rsidP="00592058">
            <w:pPr>
              <w:pStyle w:val="TableText"/>
              <w:rPr>
                <w:sz w:val="20"/>
                <w:szCs w:val="20"/>
              </w:rPr>
            </w:pPr>
            <w:r w:rsidRPr="00DD2634">
              <w:rPr>
                <w:sz w:val="20"/>
                <w:szCs w:val="20"/>
              </w:rPr>
              <w:t xml:space="preserve">Mothers of children aged 6-12 </w:t>
            </w:r>
            <w:r w:rsidRPr="00DD2634">
              <w:rPr>
                <w:sz w:val="20"/>
                <w:szCs w:val="20"/>
                <w:vertAlign w:val="superscript"/>
              </w:rPr>
              <w:t>(d)</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AE9FED" w14:textId="77777777" w:rsidR="003E412E" w:rsidRPr="00DD2634" w:rsidRDefault="003E412E" w:rsidP="00592058">
            <w:pPr>
              <w:pStyle w:val="TableText"/>
              <w:ind w:hanging="436"/>
              <w:jc w:val="right"/>
              <w:rPr>
                <w:sz w:val="20"/>
                <w:szCs w:val="20"/>
              </w:rPr>
            </w:pPr>
            <w:r w:rsidRPr="00DD2634">
              <w:rPr>
                <w:sz w:val="20"/>
                <w:szCs w:val="20"/>
              </w:rPr>
              <w:t>69.8</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3A13AD" w14:textId="77777777" w:rsidR="003E412E" w:rsidRPr="00DD2634" w:rsidRDefault="003E412E" w:rsidP="00592058">
            <w:pPr>
              <w:pStyle w:val="TableText"/>
              <w:ind w:hanging="436"/>
              <w:jc w:val="right"/>
              <w:rPr>
                <w:sz w:val="20"/>
                <w:szCs w:val="20"/>
              </w:rPr>
            </w:pPr>
            <w:r w:rsidRPr="00DD2634">
              <w:rPr>
                <w:sz w:val="20"/>
                <w:szCs w:val="20"/>
              </w:rPr>
              <w:t>65.6</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119FC0" w14:textId="77777777" w:rsidR="003E412E" w:rsidRPr="00DD2634" w:rsidRDefault="003E412E" w:rsidP="00592058">
            <w:pPr>
              <w:pStyle w:val="TableText"/>
              <w:ind w:hanging="436"/>
              <w:jc w:val="right"/>
              <w:rPr>
                <w:sz w:val="20"/>
                <w:szCs w:val="20"/>
              </w:rPr>
            </w:pPr>
            <w:r w:rsidRPr="00DD2634">
              <w:rPr>
                <w:sz w:val="20"/>
                <w:szCs w:val="20"/>
              </w:rPr>
              <w:t>1315.6</w:t>
            </w:r>
          </w:p>
        </w:tc>
      </w:tr>
      <w:tr w:rsidR="003E412E" w:rsidRPr="00DD2634" w14:paraId="540861B4" w14:textId="77777777" w:rsidTr="00277190">
        <w:tc>
          <w:tcPr>
            <w:tcW w:w="38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17EC65" w14:textId="77777777" w:rsidR="003E412E" w:rsidRPr="00DD2634" w:rsidRDefault="003E412E" w:rsidP="00592058">
            <w:pPr>
              <w:pStyle w:val="TableText"/>
              <w:rPr>
                <w:sz w:val="20"/>
                <w:szCs w:val="20"/>
              </w:rPr>
            </w:pPr>
            <w:r w:rsidRPr="00DD2634">
              <w:rPr>
                <w:sz w:val="20"/>
                <w:szCs w:val="20"/>
              </w:rPr>
              <w:t xml:space="preserve">Mothers of children aged 13-18 </w:t>
            </w:r>
            <w:r w:rsidRPr="00DD2634">
              <w:rPr>
                <w:sz w:val="20"/>
                <w:szCs w:val="20"/>
                <w:vertAlign w:val="superscript"/>
              </w:rPr>
              <w:t>(d)</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D4DA53" w14:textId="77777777" w:rsidR="003E412E" w:rsidRPr="00DD2634" w:rsidRDefault="003E412E" w:rsidP="00592058">
            <w:pPr>
              <w:pStyle w:val="TableText"/>
              <w:ind w:hanging="436"/>
              <w:jc w:val="right"/>
              <w:rPr>
                <w:sz w:val="20"/>
                <w:szCs w:val="20"/>
              </w:rPr>
            </w:pPr>
            <w:r w:rsidRPr="00DD2634">
              <w:rPr>
                <w:sz w:val="20"/>
                <w:szCs w:val="20"/>
              </w:rPr>
              <w:t>76.7</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C870C0" w14:textId="77777777" w:rsidR="003E412E" w:rsidRPr="00DD2634" w:rsidRDefault="003E412E" w:rsidP="00592058">
            <w:pPr>
              <w:pStyle w:val="TableText"/>
              <w:ind w:hanging="436"/>
              <w:jc w:val="right"/>
              <w:rPr>
                <w:sz w:val="20"/>
                <w:szCs w:val="20"/>
              </w:rPr>
            </w:pPr>
            <w:r w:rsidRPr="00DD2634">
              <w:rPr>
                <w:sz w:val="20"/>
                <w:szCs w:val="20"/>
              </w:rPr>
              <w:t>74.2</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9A6459" w14:textId="77777777" w:rsidR="003E412E" w:rsidRPr="00DD2634" w:rsidRDefault="003E412E" w:rsidP="00592058">
            <w:pPr>
              <w:pStyle w:val="TableText"/>
              <w:ind w:hanging="436"/>
              <w:jc w:val="right"/>
              <w:rPr>
                <w:sz w:val="20"/>
                <w:szCs w:val="20"/>
              </w:rPr>
            </w:pPr>
            <w:r w:rsidRPr="00DD2634">
              <w:rPr>
                <w:sz w:val="20"/>
                <w:szCs w:val="20"/>
              </w:rPr>
              <w:t>1383.7</w:t>
            </w:r>
          </w:p>
        </w:tc>
      </w:tr>
    </w:tbl>
    <w:p w14:paraId="60991925" w14:textId="77777777" w:rsidR="003E412E" w:rsidRPr="00DD2634" w:rsidRDefault="003E412E" w:rsidP="00277190">
      <w:pPr>
        <w:pStyle w:val="Source"/>
      </w:pPr>
      <w:r w:rsidRPr="00DD2634">
        <w:t>* Refers to a mother who had her first child as a teenager (measured as 18 years and under).</w:t>
      </w:r>
    </w:p>
    <w:p w14:paraId="6C6689B7" w14:textId="77777777" w:rsidR="003E412E" w:rsidRPr="00DD2634" w:rsidRDefault="003E412E" w:rsidP="00277190">
      <w:pPr>
        <w:pStyle w:val="Source"/>
      </w:pPr>
      <w:r w:rsidRPr="00DD2634">
        <w:t xml:space="preserve">** Refers only to natural and adopted children, not step or foster children. </w:t>
      </w:r>
    </w:p>
    <w:p w14:paraId="34BE1330" w14:textId="77777777" w:rsidR="003E412E" w:rsidRPr="00DD2634" w:rsidRDefault="003E412E" w:rsidP="002D5862">
      <w:pPr>
        <w:pStyle w:val="Source"/>
        <w:ind w:left="284" w:hanging="284"/>
      </w:pPr>
      <w:r w:rsidRPr="00DD2634">
        <w:t>(a): Calculated from Census 2011.</w:t>
      </w:r>
    </w:p>
    <w:p w14:paraId="7AF2ECE1" w14:textId="45608D46" w:rsidR="003E412E" w:rsidRPr="00DD2634" w:rsidRDefault="003E412E" w:rsidP="002D5862">
      <w:pPr>
        <w:pStyle w:val="Source"/>
        <w:ind w:left="284" w:hanging="284"/>
      </w:pPr>
      <w:r w:rsidRPr="00DD2634">
        <w:t>(b): Single parents in this context refer to single parent women who have dependent child/</w:t>
      </w:r>
      <w:proofErr w:type="spellStart"/>
      <w:r w:rsidRPr="00DD2634">
        <w:t>ren</w:t>
      </w:r>
      <w:proofErr w:type="spellEnd"/>
      <w:r w:rsidRPr="00DD2634">
        <w:t xml:space="preserve"> </w:t>
      </w:r>
      <w:r w:rsidR="001C515A" w:rsidRPr="00DD2634">
        <w:t>under</w:t>
      </w:r>
      <w:r w:rsidRPr="00DD2634">
        <w:t> 25.</w:t>
      </w:r>
    </w:p>
    <w:p w14:paraId="547668C6" w14:textId="5DD9536F" w:rsidR="003E412E" w:rsidRPr="00DD2634" w:rsidRDefault="003E412E" w:rsidP="002D5862">
      <w:pPr>
        <w:pStyle w:val="Source"/>
        <w:ind w:left="284" w:hanging="284"/>
      </w:pPr>
      <w:r w:rsidRPr="00DD2634">
        <w:t>(c): Estimated from Household, Income and Labour Dynamics in Australia (HILDA) Wave 11.</w:t>
      </w:r>
    </w:p>
    <w:p w14:paraId="5D9E697E" w14:textId="77777777" w:rsidR="003E412E" w:rsidRPr="00DD2634" w:rsidRDefault="003E412E" w:rsidP="002D5862">
      <w:pPr>
        <w:pStyle w:val="Source"/>
        <w:ind w:left="284" w:hanging="284"/>
      </w:pPr>
      <w:r w:rsidRPr="00DD2634">
        <w:t>(d): Calculated from ABS Census 2006.</w:t>
      </w:r>
    </w:p>
    <w:p w14:paraId="2141E064" w14:textId="77777777" w:rsidR="003E412E" w:rsidRPr="00DD2634" w:rsidRDefault="003E412E" w:rsidP="00277190">
      <w:pPr>
        <w:pStyle w:val="Source"/>
      </w:pPr>
    </w:p>
    <w:p w14:paraId="70B19378" w14:textId="6520DA42" w:rsidR="003E412E" w:rsidRPr="00DD2634" w:rsidRDefault="003E412E" w:rsidP="0089750D">
      <w:pPr>
        <w:pStyle w:val="NormalNumbered"/>
      </w:pPr>
      <w:r w:rsidRPr="00DD2634">
        <w:t>The Grattan Institute has estimated that if six per cent more women entered the paid workforce, the size of the Australian economy would be increased by about $25 billion per year.</w:t>
      </w:r>
      <w:r w:rsidRPr="00DD2634">
        <w:rPr>
          <w:vertAlign w:val="superscript"/>
        </w:rPr>
        <w:footnoteReference w:id="12"/>
      </w:r>
      <w:r w:rsidRPr="00DD2634">
        <w:t xml:space="preserve"> </w:t>
      </w:r>
      <w:r w:rsidR="0089750D" w:rsidRPr="00DD2634">
        <w:t>Similarly</w:t>
      </w:r>
      <w:r w:rsidRPr="00DD2634">
        <w:t>, the OE</w:t>
      </w:r>
      <w:r w:rsidR="0089750D" w:rsidRPr="00DD2634">
        <w:t>CD has estimated that increasing the workforce participation of women so as to reduce</w:t>
      </w:r>
      <w:r w:rsidR="0071477C" w:rsidRPr="00DD2634">
        <w:t xml:space="preserve"> the gap to men by 75 per cent c</w:t>
      </w:r>
      <w:r w:rsidR="0089750D" w:rsidRPr="00DD2634">
        <w:t xml:space="preserve">ould increase Australia’s projected </w:t>
      </w:r>
      <w:r w:rsidRPr="00DD2634">
        <w:t xml:space="preserve">average annual growth in Gross Domestic Product (GDP) per capita from </w:t>
      </w:r>
      <w:r w:rsidR="00954136" w:rsidRPr="00DD2634">
        <w:t>2.0</w:t>
      </w:r>
      <w:r w:rsidRPr="00DD2634">
        <w:t> per cent to 2.4 per cent.</w:t>
      </w:r>
      <w:r w:rsidRPr="00DD2634">
        <w:rPr>
          <w:vertAlign w:val="superscript"/>
        </w:rPr>
        <w:footnoteReference w:id="13"/>
      </w:r>
    </w:p>
    <w:p w14:paraId="6773560E" w14:textId="4BC17BCD" w:rsidR="003E412E" w:rsidRPr="00DD2634" w:rsidRDefault="0089750D" w:rsidP="00381744">
      <w:pPr>
        <w:pStyle w:val="NormalNumbered"/>
      </w:pPr>
      <w:r w:rsidRPr="00DD2634">
        <w:t>T</w:t>
      </w:r>
      <w:r w:rsidR="003E412E" w:rsidRPr="00DD2634">
        <w:t>he barriers to female workforce participation are complex and interrelated</w:t>
      </w:r>
      <w:r w:rsidRPr="00DD2634">
        <w:t>,</w:t>
      </w:r>
      <w:r w:rsidR="003E412E" w:rsidRPr="00DD2634">
        <w:t xml:space="preserve"> and child care is an important issue which disproportionately affects women. </w:t>
      </w:r>
      <w:r w:rsidRPr="00DD2634">
        <w:t>However, w</w:t>
      </w:r>
      <w:r w:rsidR="003E412E" w:rsidRPr="00DD2634">
        <w:t>hile some participation increases could result from a more accessible child care system, it is difficult to quantify the impact given the number of compounding factors affecting female workforce participation.</w:t>
      </w:r>
    </w:p>
    <w:p w14:paraId="36D24981" w14:textId="24189358" w:rsidR="003E412E" w:rsidRPr="00DD2634" w:rsidRDefault="003E412E" w:rsidP="00AD6122">
      <w:pPr>
        <w:pStyle w:val="NormalNumbered"/>
      </w:pPr>
      <w:r w:rsidRPr="00DD2634">
        <w:t>The OECD</w:t>
      </w:r>
      <w:r w:rsidRPr="00DD2634">
        <w:rPr>
          <w:vertAlign w:val="superscript"/>
        </w:rPr>
        <w:t xml:space="preserve"> </w:t>
      </w:r>
      <w:r w:rsidRPr="00DD2634">
        <w:t>emphasises the issue of culturally ingrained gender stereotypes, which develop in early years of life, build during schooling years (and are reinforced by attitudes and norms in school environments) and continue throughout life in the workplace.</w:t>
      </w:r>
      <w:r w:rsidRPr="00DD2634">
        <w:rPr>
          <w:vertAlign w:val="superscript"/>
        </w:rPr>
        <w:footnoteReference w:id="14"/>
      </w:r>
    </w:p>
    <w:p w14:paraId="3C5AB101" w14:textId="77777777" w:rsidR="003E412E" w:rsidRPr="00DD2634" w:rsidRDefault="003E412E" w:rsidP="00381744">
      <w:pPr>
        <w:pStyle w:val="NormalNumbered"/>
      </w:pPr>
      <w:r w:rsidRPr="00DD2634">
        <w:t>Gender segregation in industries is an issue across many OECD countries, including Australia, as is the sharing of unpaid work and broken employment history for women who spend time out of the workforce to raise children and/or care for elderly parents/in</w:t>
      </w:r>
      <w:r w:rsidRPr="00DD2634">
        <w:noBreakHyphen/>
        <w:t xml:space="preserve">laws. </w:t>
      </w:r>
    </w:p>
    <w:p w14:paraId="451CA523" w14:textId="5ED9C21A" w:rsidR="003E412E" w:rsidRPr="00DD2634" w:rsidRDefault="003E412E" w:rsidP="0077421B">
      <w:pPr>
        <w:pStyle w:val="NormalNumbered"/>
      </w:pPr>
      <w:r w:rsidRPr="00DD2634">
        <w:t xml:space="preserve">The relationship between child care fees and workforce participation is also complex. For example, a recent study </w:t>
      </w:r>
      <w:r w:rsidR="00AD6122" w:rsidRPr="00DD2634">
        <w:t>for</w:t>
      </w:r>
      <w:r w:rsidRPr="00DD2634">
        <w:t xml:space="preserve"> the Australian Government Treasury suggests that an increase in the net </w:t>
      </w:r>
      <w:r w:rsidRPr="00DD2634">
        <w:rPr>
          <w:sz w:val="23"/>
          <w:szCs w:val="23"/>
        </w:rPr>
        <w:t>price of child care of one per cent leads to a decrease in hours of labour for partnered women of 0.10 per cent.</w:t>
      </w:r>
      <w:r w:rsidRPr="00DD2634">
        <w:rPr>
          <w:vertAlign w:val="superscript"/>
        </w:rPr>
        <w:footnoteReference w:id="15"/>
      </w:r>
      <w:r w:rsidRPr="00DD2634">
        <w:t xml:space="preserve"> </w:t>
      </w:r>
      <w:r w:rsidR="0077421B" w:rsidRPr="00DD2634">
        <w:t>O</w:t>
      </w:r>
      <w:r w:rsidRPr="00DD2634">
        <w:t xml:space="preserve">ther studies </w:t>
      </w:r>
      <w:r w:rsidRPr="00DD2634">
        <w:lastRenderedPageBreak/>
        <w:t>have shown that parents take into account the quality of care when making child care and workforce participation decisions.</w:t>
      </w:r>
      <w:r w:rsidRPr="00DD2634">
        <w:rPr>
          <w:rStyle w:val="FootnoteReference"/>
        </w:rPr>
        <w:footnoteReference w:id="16"/>
      </w:r>
    </w:p>
    <w:p w14:paraId="76F816E3" w14:textId="40F66F0D" w:rsidR="003E412E" w:rsidRPr="00DD2634" w:rsidRDefault="003E412E" w:rsidP="00381744">
      <w:pPr>
        <w:pStyle w:val="NormalNumbered"/>
      </w:pPr>
      <w:r w:rsidRPr="00DD2634">
        <w:t xml:space="preserve">While </w:t>
      </w:r>
      <w:r w:rsidR="0097235F" w:rsidRPr="00DD2634">
        <w:t xml:space="preserve">the </w:t>
      </w:r>
      <w:r w:rsidRPr="00DD2634">
        <w:t xml:space="preserve">analysis </w:t>
      </w:r>
      <w:r w:rsidR="00AD6122" w:rsidRPr="00DD2634">
        <w:t xml:space="preserve">for Treasury </w:t>
      </w:r>
      <w:r w:rsidRPr="00DD2634">
        <w:t xml:space="preserve">did not fully </w:t>
      </w:r>
      <w:r w:rsidR="00AD6122" w:rsidRPr="00DD2634">
        <w:t>differentiate the</w:t>
      </w:r>
      <w:r w:rsidRPr="00DD2634">
        <w:t xml:space="preserve"> impacts </w:t>
      </w:r>
      <w:r w:rsidR="0097235F" w:rsidRPr="00DD2634">
        <w:t xml:space="preserve">of the cost of child care </w:t>
      </w:r>
      <w:r w:rsidRPr="00DD2634">
        <w:t>on workforce participation for women of different income levels, women with lower earnings potential and families on lower incomes (for whom child care expenses may take up a larger part of their disposable income) would be expected to be more affected by child care price changes than those with higher incomes.</w:t>
      </w:r>
      <w:r w:rsidR="009158D9" w:rsidRPr="00DD2634">
        <w:t xml:space="preserve"> Different effective marginal tax rates can also have a significant impact on women’s incentives to participate in the workforce.</w:t>
      </w:r>
    </w:p>
    <w:p w14:paraId="2693073D" w14:textId="355A8C27" w:rsidR="003E412E" w:rsidRPr="00DD2634" w:rsidRDefault="003E412E" w:rsidP="00381744">
      <w:pPr>
        <w:pStyle w:val="NormalNumbered"/>
      </w:pPr>
      <w:r w:rsidRPr="00DD2634">
        <w:fldChar w:fldCharType="begin"/>
      </w:r>
      <w:r w:rsidRPr="00DD2634">
        <w:instrText xml:space="preserve"> REF _Ref378767860 \h </w:instrText>
      </w:r>
      <w:r w:rsidR="00DD2634">
        <w:instrText xml:space="preserve"> \* MERGEFORMAT </w:instrText>
      </w:r>
      <w:r w:rsidRPr="00DD2634">
        <w:fldChar w:fldCharType="separate"/>
      </w:r>
      <w:r w:rsidR="00CE4F92" w:rsidRPr="00DD2634">
        <w:t xml:space="preserve">Figure </w:t>
      </w:r>
      <w:r w:rsidR="00CE4F92">
        <w:rPr>
          <w:noProof/>
        </w:rPr>
        <w:t>1</w:t>
      </w:r>
      <w:r w:rsidRPr="00DD2634">
        <w:fldChar w:fldCharType="end"/>
      </w:r>
      <w:r w:rsidRPr="00DD2634">
        <w:t xml:space="preserve"> </w:t>
      </w:r>
      <w:r w:rsidR="00B41C65" w:rsidRPr="00DD2634">
        <w:t xml:space="preserve">summarises the </w:t>
      </w:r>
      <w:r w:rsidRPr="00DD2634">
        <w:t xml:space="preserve">workforce situation </w:t>
      </w:r>
      <w:r w:rsidR="00B41C65" w:rsidRPr="00DD2634">
        <w:t xml:space="preserve">for women </w:t>
      </w:r>
      <w:r w:rsidRPr="00DD2634">
        <w:t>in Australia and the main reasons for working or not working. These findings indicate that the cost of, and access to, child care, together with more flexible working arrangements (such as working part</w:t>
      </w:r>
      <w:r w:rsidRPr="00DD2634">
        <w:noBreakHyphen/>
        <w:t>time), are likely to be significant incentives (or disincentives) for women to join or increase their participation in the labour force.</w:t>
      </w:r>
    </w:p>
    <w:p w14:paraId="718983E7" w14:textId="5C480907" w:rsidR="003E412E" w:rsidRPr="00DD2634" w:rsidRDefault="003E412E" w:rsidP="004738B2">
      <w:pPr>
        <w:pStyle w:val="Caption"/>
        <w:ind w:right="-286"/>
      </w:pPr>
      <w:bookmarkStart w:id="38" w:name="_Ref378767860"/>
      <w:bookmarkStart w:id="39" w:name="_Toc379208198"/>
      <w:r w:rsidRPr="00DD2634">
        <w:lastRenderedPageBreak/>
        <w:t xml:space="preserve">Figure </w:t>
      </w:r>
      <w:fldSimple w:instr=" SEQ Figure \* ARABIC ">
        <w:r w:rsidR="00CE4F92">
          <w:rPr>
            <w:noProof/>
          </w:rPr>
          <w:t>1</w:t>
        </w:r>
      </w:fldSimple>
      <w:bookmarkEnd w:id="38"/>
      <w:r w:rsidRPr="00DD2634">
        <w:t>: Barriers and incentives to labour force participation for women</w:t>
      </w:r>
      <w:r w:rsidR="004738B2" w:rsidRPr="00DD2634">
        <w:t>, 2012-13</w:t>
      </w:r>
      <w:bookmarkEnd w:id="39"/>
    </w:p>
    <w:p w14:paraId="43961F77" w14:textId="77777777" w:rsidR="003E412E" w:rsidRPr="00DD2634" w:rsidRDefault="003E412E" w:rsidP="00CE53CD">
      <w:pPr>
        <w:pStyle w:val="NormalNumbered"/>
        <w:numPr>
          <w:ilvl w:val="0"/>
          <w:numId w:val="0"/>
        </w:numPr>
        <w:spacing w:after="0"/>
      </w:pPr>
      <w:r w:rsidRPr="00DD2634">
        <w:rPr>
          <w:noProof/>
          <w:lang w:eastAsia="en-AU"/>
        </w:rPr>
        <mc:AlternateContent>
          <mc:Choice Requires="wps">
            <w:drawing>
              <wp:inline distT="0" distB="0" distL="0" distR="0" wp14:anchorId="2B557BA3" wp14:editId="3886F4A4">
                <wp:extent cx="5065058" cy="7494494"/>
                <wp:effectExtent l="0" t="0" r="21590" b="1143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5058" cy="7494494"/>
                        </a:xfrm>
                        <a:prstGeom prst="rect">
                          <a:avLst/>
                        </a:prstGeom>
                        <a:solidFill>
                          <a:schemeClr val="bg1">
                            <a:lumMod val="95000"/>
                          </a:schemeClr>
                        </a:solidFill>
                        <a:ln w="9525">
                          <a:solidFill>
                            <a:srgbClr val="000000"/>
                          </a:solidFill>
                          <a:miter lim="800000"/>
                          <a:headEnd/>
                          <a:tailEnd/>
                        </a:ln>
                      </wps:spPr>
                      <wps:txbx>
                        <w:txbxContent>
                          <w:p w14:paraId="156970D9" w14:textId="7C71DC4D" w:rsidR="006678AE" w:rsidRPr="00331631" w:rsidRDefault="006678AE" w:rsidP="00CE53CD">
                            <w:pPr>
                              <w:pStyle w:val="NormalNumbered"/>
                              <w:numPr>
                                <w:ilvl w:val="0"/>
                                <w:numId w:val="0"/>
                              </w:numPr>
                              <w:spacing w:after="0"/>
                              <w:rPr>
                                <w:sz w:val="22"/>
                              </w:rPr>
                            </w:pPr>
                            <w:r w:rsidRPr="00331631">
                              <w:rPr>
                                <w:sz w:val="22"/>
                              </w:rPr>
                              <w:t xml:space="preserve">Of the 5.4 million people </w:t>
                            </w:r>
                            <w:r w:rsidRPr="00D05A2C">
                              <w:rPr>
                                <w:b/>
                                <w:sz w:val="22"/>
                              </w:rPr>
                              <w:t>not in the labour force</w:t>
                            </w:r>
                            <w:r w:rsidRPr="00331631">
                              <w:rPr>
                                <w:sz w:val="22"/>
                              </w:rPr>
                              <w:t>, 3.4 million (62 per cent) were women aged 18 and over</w:t>
                            </w:r>
                            <w:r w:rsidRPr="00331631">
                              <w:rPr>
                                <w:b/>
                                <w:sz w:val="22"/>
                              </w:rPr>
                              <w:t xml:space="preserve">. </w:t>
                            </w:r>
                            <w:r w:rsidRPr="00331631">
                              <w:rPr>
                                <w:sz w:val="22"/>
                              </w:rPr>
                              <w:t>Of those:</w:t>
                            </w:r>
                          </w:p>
                          <w:p w14:paraId="091AFF3D" w14:textId="77777777" w:rsidR="006678AE" w:rsidRPr="00331631" w:rsidRDefault="006678AE" w:rsidP="00B41C65">
                            <w:pPr>
                              <w:pStyle w:val="NormalNumbered"/>
                              <w:numPr>
                                <w:ilvl w:val="0"/>
                                <w:numId w:val="13"/>
                              </w:numPr>
                              <w:spacing w:after="0"/>
                              <w:ind w:left="426"/>
                              <w:rPr>
                                <w:sz w:val="22"/>
                              </w:rPr>
                            </w:pPr>
                            <w:r w:rsidRPr="00331631">
                              <w:rPr>
                                <w:sz w:val="22"/>
                              </w:rPr>
                              <w:t>77.4 per cent (2.6 million) did not want a paid job, of those:</w:t>
                            </w:r>
                          </w:p>
                          <w:p w14:paraId="6BBE88CC" w14:textId="77777777" w:rsidR="006678AE" w:rsidRPr="00331631" w:rsidRDefault="006678AE" w:rsidP="00B41C65">
                            <w:pPr>
                              <w:pStyle w:val="NormalNumbered"/>
                              <w:numPr>
                                <w:ilvl w:val="1"/>
                                <w:numId w:val="14"/>
                              </w:numPr>
                              <w:spacing w:after="0"/>
                              <w:ind w:left="709" w:hanging="283"/>
                              <w:rPr>
                                <w:sz w:val="22"/>
                              </w:rPr>
                            </w:pPr>
                            <w:r w:rsidRPr="00331631">
                              <w:rPr>
                                <w:sz w:val="22"/>
                              </w:rPr>
                              <w:t>31.6 per cent were permanently retired</w:t>
                            </w:r>
                          </w:p>
                          <w:p w14:paraId="0792D873" w14:textId="77777777" w:rsidR="006678AE" w:rsidRPr="00331631" w:rsidRDefault="006678AE" w:rsidP="00B41C65">
                            <w:pPr>
                              <w:pStyle w:val="NormalNumbered"/>
                              <w:numPr>
                                <w:ilvl w:val="1"/>
                                <w:numId w:val="14"/>
                              </w:numPr>
                              <w:spacing w:after="0"/>
                              <w:ind w:left="709" w:hanging="283"/>
                              <w:rPr>
                                <w:sz w:val="22"/>
                              </w:rPr>
                            </w:pPr>
                            <w:r w:rsidRPr="00331631">
                              <w:rPr>
                                <w:sz w:val="22"/>
                              </w:rPr>
                              <w:t>13.3 per cent were caring for children.</w:t>
                            </w:r>
                          </w:p>
                          <w:p w14:paraId="27865B44" w14:textId="3BC6C671" w:rsidR="006678AE" w:rsidRPr="00331631" w:rsidRDefault="006678AE" w:rsidP="00CE53CD">
                            <w:pPr>
                              <w:pStyle w:val="NormalNumbered"/>
                              <w:numPr>
                                <w:ilvl w:val="0"/>
                                <w:numId w:val="0"/>
                              </w:numPr>
                              <w:spacing w:after="0"/>
                              <w:rPr>
                                <w:sz w:val="22"/>
                              </w:rPr>
                            </w:pPr>
                            <w:r w:rsidRPr="00331631">
                              <w:rPr>
                                <w:sz w:val="22"/>
                              </w:rPr>
                              <w:t xml:space="preserve">Of the total 1.2 million people who were </w:t>
                            </w:r>
                            <w:r w:rsidRPr="00331631">
                              <w:rPr>
                                <w:b/>
                                <w:sz w:val="22"/>
                              </w:rPr>
                              <w:t>not in the labour force and wanted a job</w:t>
                            </w:r>
                            <w:r w:rsidRPr="00331631">
                              <w:rPr>
                                <w:sz w:val="22"/>
                              </w:rPr>
                              <w:t>, 770,500 (63 per cent) were women.</w:t>
                            </w:r>
                          </w:p>
                          <w:p w14:paraId="68680EFA" w14:textId="77777777" w:rsidR="006678AE" w:rsidRPr="00331631" w:rsidRDefault="006678AE" w:rsidP="00B41C65">
                            <w:pPr>
                              <w:pStyle w:val="NormalNumbered"/>
                              <w:numPr>
                                <w:ilvl w:val="0"/>
                                <w:numId w:val="15"/>
                              </w:numPr>
                              <w:spacing w:after="0"/>
                              <w:ind w:left="426"/>
                              <w:rPr>
                                <w:sz w:val="22"/>
                              </w:rPr>
                            </w:pPr>
                            <w:r w:rsidRPr="00331631">
                              <w:rPr>
                                <w:sz w:val="22"/>
                              </w:rPr>
                              <w:t>nearly half (47.2 per cent) of these women cared for their own children.</w:t>
                            </w:r>
                          </w:p>
                          <w:p w14:paraId="7B136D66" w14:textId="5E60790C" w:rsidR="006678AE" w:rsidRPr="00331631" w:rsidRDefault="006678AE" w:rsidP="00CE53CD">
                            <w:pPr>
                              <w:pStyle w:val="NormalNumbered"/>
                              <w:numPr>
                                <w:ilvl w:val="0"/>
                                <w:numId w:val="0"/>
                              </w:numPr>
                              <w:spacing w:after="0"/>
                              <w:rPr>
                                <w:sz w:val="22"/>
                              </w:rPr>
                            </w:pPr>
                            <w:r w:rsidRPr="00331631">
                              <w:rPr>
                                <w:sz w:val="22"/>
                              </w:rPr>
                              <w:t xml:space="preserve">Of the 3.4 million people who worked </w:t>
                            </w:r>
                            <w:r w:rsidRPr="00331631">
                              <w:rPr>
                                <w:b/>
                                <w:sz w:val="22"/>
                              </w:rPr>
                              <w:t xml:space="preserve">part-time </w:t>
                            </w:r>
                            <w:r w:rsidRPr="00331631">
                              <w:rPr>
                                <w:sz w:val="22"/>
                              </w:rPr>
                              <w:t>(0</w:t>
                            </w:r>
                            <w:r w:rsidRPr="00331631">
                              <w:rPr>
                                <w:sz w:val="22"/>
                              </w:rPr>
                              <w:noBreakHyphen/>
                              <w:t>34 hours), 2.4 million were women. Of those:</w:t>
                            </w:r>
                          </w:p>
                          <w:p w14:paraId="3358E76E" w14:textId="77777777" w:rsidR="006678AE" w:rsidRPr="00331631" w:rsidRDefault="006678AE" w:rsidP="00B41C65">
                            <w:pPr>
                              <w:pStyle w:val="NormalNumbered"/>
                              <w:numPr>
                                <w:ilvl w:val="0"/>
                                <w:numId w:val="10"/>
                              </w:numPr>
                              <w:spacing w:after="0"/>
                              <w:ind w:left="426"/>
                              <w:rPr>
                                <w:sz w:val="22"/>
                              </w:rPr>
                            </w:pPr>
                            <w:r w:rsidRPr="00331631">
                              <w:rPr>
                                <w:sz w:val="22"/>
                              </w:rPr>
                              <w:t>1.8 million did not want to work more hours (31.0 per cent of whom cited caring for children as their main reason for not wanting to work more hours)</w:t>
                            </w:r>
                          </w:p>
                          <w:p w14:paraId="74B326B9" w14:textId="77777777" w:rsidR="006678AE" w:rsidRPr="00331631" w:rsidRDefault="006678AE" w:rsidP="00B41C65">
                            <w:pPr>
                              <w:pStyle w:val="NormalNumbered"/>
                              <w:numPr>
                                <w:ilvl w:val="0"/>
                                <w:numId w:val="10"/>
                              </w:numPr>
                              <w:spacing w:after="0"/>
                              <w:ind w:left="426"/>
                              <w:rPr>
                                <w:sz w:val="22"/>
                              </w:rPr>
                            </w:pPr>
                            <w:r w:rsidRPr="00331631">
                              <w:rPr>
                                <w:sz w:val="22"/>
                              </w:rPr>
                              <w:t>571,900 preferred to work more hours</w:t>
                            </w:r>
                          </w:p>
                          <w:p w14:paraId="17E17727" w14:textId="77777777" w:rsidR="006678AE" w:rsidRPr="00331631" w:rsidRDefault="006678AE" w:rsidP="00B41C65">
                            <w:pPr>
                              <w:pStyle w:val="NormalNumbered"/>
                              <w:numPr>
                                <w:ilvl w:val="0"/>
                                <w:numId w:val="10"/>
                              </w:numPr>
                              <w:spacing w:after="0"/>
                              <w:ind w:left="426"/>
                              <w:rPr>
                                <w:sz w:val="22"/>
                              </w:rPr>
                            </w:pPr>
                            <w:r w:rsidRPr="00331631">
                              <w:rPr>
                                <w:sz w:val="22"/>
                              </w:rPr>
                              <w:t>241,500 were single female parents – 40.7 per cent of whom preferred more hours</w:t>
                            </w:r>
                            <w:r w:rsidRPr="00331631" w:rsidDel="006377CA">
                              <w:rPr>
                                <w:sz w:val="22"/>
                              </w:rPr>
                              <w:t xml:space="preserve"> </w:t>
                            </w:r>
                          </w:p>
                          <w:p w14:paraId="3FA4D4E1" w14:textId="77777777" w:rsidR="006678AE" w:rsidRPr="00331631" w:rsidRDefault="006678AE" w:rsidP="00B41C65">
                            <w:pPr>
                              <w:pStyle w:val="NormalNumbered"/>
                              <w:numPr>
                                <w:ilvl w:val="0"/>
                                <w:numId w:val="10"/>
                              </w:numPr>
                              <w:spacing w:after="0"/>
                              <w:ind w:left="426"/>
                              <w:rPr>
                                <w:sz w:val="22"/>
                              </w:rPr>
                            </w:pPr>
                            <w:r w:rsidRPr="00331631">
                              <w:rPr>
                                <w:sz w:val="22"/>
                              </w:rPr>
                              <w:t>1.6 million were parents in couple families – 19.5 per cent of whom preferred more hours</w:t>
                            </w:r>
                          </w:p>
                          <w:p w14:paraId="3187A10B" w14:textId="77777777" w:rsidR="006678AE" w:rsidRPr="00331631" w:rsidRDefault="006678AE" w:rsidP="00B41C65">
                            <w:pPr>
                              <w:pStyle w:val="NormalNumbered"/>
                              <w:numPr>
                                <w:ilvl w:val="0"/>
                                <w:numId w:val="10"/>
                              </w:numPr>
                              <w:spacing w:after="0"/>
                              <w:ind w:left="426"/>
                              <w:rPr>
                                <w:sz w:val="22"/>
                              </w:rPr>
                            </w:pPr>
                            <w:r w:rsidRPr="00331631">
                              <w:rPr>
                                <w:sz w:val="22"/>
                              </w:rPr>
                              <w:t>463,600 had a youngest child aged 0</w:t>
                            </w:r>
                            <w:r w:rsidRPr="00331631">
                              <w:rPr>
                                <w:sz w:val="22"/>
                              </w:rPr>
                              <w:noBreakHyphen/>
                              <w:t>4 – 21.1 per cent of whom preferred more hours</w:t>
                            </w:r>
                          </w:p>
                          <w:p w14:paraId="3B39ECA7" w14:textId="77777777" w:rsidR="006678AE" w:rsidRPr="00331631" w:rsidRDefault="006678AE" w:rsidP="00B41C65">
                            <w:pPr>
                              <w:pStyle w:val="NormalNumbered"/>
                              <w:numPr>
                                <w:ilvl w:val="0"/>
                                <w:numId w:val="10"/>
                              </w:numPr>
                              <w:spacing w:after="0"/>
                              <w:ind w:left="426"/>
                              <w:rPr>
                                <w:sz w:val="22"/>
                              </w:rPr>
                            </w:pPr>
                            <w:r w:rsidRPr="00331631">
                              <w:rPr>
                                <w:sz w:val="22"/>
                              </w:rPr>
                              <w:t>619,300 had a youngest child aged 5</w:t>
                            </w:r>
                            <w:r w:rsidRPr="00331631">
                              <w:rPr>
                                <w:sz w:val="22"/>
                              </w:rPr>
                              <w:noBreakHyphen/>
                              <w:t>14 – 24.2 per cent of whom preferred more hours.</w:t>
                            </w:r>
                          </w:p>
                          <w:p w14:paraId="38388B59" w14:textId="50168B9E" w:rsidR="006678AE" w:rsidRPr="00331631" w:rsidRDefault="006678AE" w:rsidP="00CE53CD">
                            <w:pPr>
                              <w:pStyle w:val="NormalNumbered"/>
                              <w:numPr>
                                <w:ilvl w:val="0"/>
                                <w:numId w:val="0"/>
                              </w:numPr>
                              <w:spacing w:after="0"/>
                              <w:rPr>
                                <w:sz w:val="22"/>
                              </w:rPr>
                            </w:pPr>
                            <w:r w:rsidRPr="00331631">
                              <w:rPr>
                                <w:sz w:val="22"/>
                              </w:rPr>
                              <w:t xml:space="preserve">Of the 1.4 million people </w:t>
                            </w:r>
                            <w:r w:rsidRPr="00331631">
                              <w:rPr>
                                <w:b/>
                                <w:sz w:val="22"/>
                              </w:rPr>
                              <w:t>unemployed or wanting more work (and were looking and available to start)</w:t>
                            </w:r>
                            <w:r w:rsidRPr="00331631">
                              <w:rPr>
                                <w:sz w:val="22"/>
                              </w:rPr>
                              <w:t>, 508,200 (36 per cent) were women. Of those:</w:t>
                            </w:r>
                          </w:p>
                          <w:p w14:paraId="6C46B683" w14:textId="77777777" w:rsidR="006678AE" w:rsidRPr="00331631" w:rsidRDefault="006678AE" w:rsidP="00B41C65">
                            <w:pPr>
                              <w:pStyle w:val="NormalNumbered"/>
                              <w:numPr>
                                <w:ilvl w:val="0"/>
                                <w:numId w:val="11"/>
                              </w:numPr>
                              <w:spacing w:after="0"/>
                              <w:ind w:left="426"/>
                              <w:rPr>
                                <w:sz w:val="22"/>
                              </w:rPr>
                            </w:pPr>
                            <w:r w:rsidRPr="00331631">
                              <w:rPr>
                                <w:sz w:val="22"/>
                              </w:rPr>
                              <w:t>18.3 per cent cited ‘no jobs or vacancies in locality/line of work/at all’ as their main difficulty in finding work/more hours, while 1.9 per cent cited ‘difficulties finding child care’.</w:t>
                            </w:r>
                          </w:p>
                          <w:p w14:paraId="6FD4AFFB" w14:textId="6F52A1D0" w:rsidR="006678AE" w:rsidRPr="00331631" w:rsidRDefault="006678AE" w:rsidP="00CE53CD">
                            <w:pPr>
                              <w:pStyle w:val="NormalNumbered"/>
                              <w:numPr>
                                <w:ilvl w:val="0"/>
                                <w:numId w:val="0"/>
                              </w:numPr>
                              <w:spacing w:after="0"/>
                              <w:rPr>
                                <w:sz w:val="22"/>
                              </w:rPr>
                            </w:pPr>
                            <w:r w:rsidRPr="00331631">
                              <w:rPr>
                                <w:sz w:val="22"/>
                              </w:rPr>
                              <w:t xml:space="preserve">Of the total 1.2 million people </w:t>
                            </w:r>
                            <w:r w:rsidRPr="00331631">
                              <w:rPr>
                                <w:b/>
                                <w:sz w:val="22"/>
                              </w:rPr>
                              <w:t>available for work/more hours, but not looking for work/more hours</w:t>
                            </w:r>
                            <w:r w:rsidRPr="00331631">
                              <w:rPr>
                                <w:sz w:val="22"/>
                              </w:rPr>
                              <w:t>, 797 600 (66 per cent) were women.</w:t>
                            </w:r>
                          </w:p>
                          <w:p w14:paraId="4D701BB5" w14:textId="77777777" w:rsidR="006678AE" w:rsidRPr="00CE53CD" w:rsidRDefault="006678AE" w:rsidP="00B41C65">
                            <w:pPr>
                              <w:pStyle w:val="NormalNumbered"/>
                              <w:numPr>
                                <w:ilvl w:val="0"/>
                                <w:numId w:val="12"/>
                              </w:numPr>
                              <w:spacing w:after="0"/>
                              <w:ind w:left="426"/>
                              <w:rPr>
                                <w:sz w:val="22"/>
                              </w:rPr>
                            </w:pPr>
                            <w:r w:rsidRPr="00331631">
                              <w:rPr>
                                <w:sz w:val="22"/>
                              </w:rPr>
                              <w:t>19.9 per cent of this group (or 158,400 women) cited ‘caring for children’ as their main reason for not looking for work</w:t>
                            </w:r>
                            <w:r w:rsidRPr="00CE53CD">
                              <w:rPr>
                                <w:sz w:val="22"/>
                              </w:rPr>
                              <w:t>/more hours. Of these:</w:t>
                            </w:r>
                          </w:p>
                          <w:p w14:paraId="60E3BB67" w14:textId="52A7D836" w:rsidR="006678AE" w:rsidRPr="00CE53CD" w:rsidRDefault="006678AE" w:rsidP="00B41C65">
                            <w:pPr>
                              <w:pStyle w:val="NormalNumbered"/>
                              <w:numPr>
                                <w:ilvl w:val="1"/>
                                <w:numId w:val="12"/>
                              </w:numPr>
                              <w:spacing w:after="0"/>
                              <w:ind w:left="709" w:hanging="284"/>
                              <w:rPr>
                                <w:sz w:val="22"/>
                              </w:rPr>
                            </w:pPr>
                            <w:r w:rsidRPr="00CE53CD">
                              <w:rPr>
                                <w:sz w:val="22"/>
                              </w:rPr>
                              <w:t>36.1 per cent (or 57,200) cited that they ‘preferred to look after children’</w:t>
                            </w:r>
                          </w:p>
                          <w:p w14:paraId="1B9957A8" w14:textId="77777777" w:rsidR="006678AE" w:rsidRPr="00CE53CD" w:rsidRDefault="006678AE" w:rsidP="00B41C65">
                            <w:pPr>
                              <w:pStyle w:val="NormalNumbered"/>
                              <w:numPr>
                                <w:ilvl w:val="1"/>
                                <w:numId w:val="12"/>
                              </w:numPr>
                              <w:spacing w:after="0"/>
                              <w:ind w:left="709" w:hanging="284"/>
                              <w:rPr>
                                <w:sz w:val="22"/>
                              </w:rPr>
                            </w:pPr>
                            <w:r w:rsidRPr="00CE53CD">
                              <w:rPr>
                                <w:sz w:val="22"/>
                              </w:rPr>
                              <w:t>21.7 per cent (or 34,400) cited ‘cost/too expensive’</w:t>
                            </w:r>
                          </w:p>
                          <w:p w14:paraId="64C47775" w14:textId="77777777" w:rsidR="006678AE" w:rsidRPr="00CE53CD" w:rsidRDefault="006678AE" w:rsidP="00B41C65">
                            <w:pPr>
                              <w:pStyle w:val="NormalNumbered"/>
                              <w:numPr>
                                <w:ilvl w:val="1"/>
                                <w:numId w:val="12"/>
                              </w:numPr>
                              <w:spacing w:after="0"/>
                              <w:ind w:left="709" w:hanging="284"/>
                              <w:rPr>
                                <w:sz w:val="22"/>
                              </w:rPr>
                            </w:pPr>
                            <w:r w:rsidRPr="00CE53CD">
                              <w:rPr>
                                <w:sz w:val="22"/>
                              </w:rPr>
                              <w:t>19.7 per cent (or 31,248) cited ‘child care not available/child care booked out/no child care in locality’</w:t>
                            </w:r>
                          </w:p>
                          <w:p w14:paraId="6027C2E1" w14:textId="77777777" w:rsidR="006678AE" w:rsidRPr="00CE53CD" w:rsidRDefault="006678AE" w:rsidP="00B41C65">
                            <w:pPr>
                              <w:pStyle w:val="NormalNumbered"/>
                              <w:numPr>
                                <w:ilvl w:val="1"/>
                                <w:numId w:val="12"/>
                              </w:numPr>
                              <w:spacing w:after="0"/>
                              <w:ind w:left="709" w:hanging="284"/>
                              <w:rPr>
                                <w:sz w:val="22"/>
                              </w:rPr>
                            </w:pPr>
                            <w:r w:rsidRPr="00CE53CD">
                              <w:rPr>
                                <w:sz w:val="22"/>
                              </w:rPr>
                              <w:t>13.5 per cent (or 21,400) cited ‘children too young or too old for child care’</w:t>
                            </w:r>
                          </w:p>
                          <w:p w14:paraId="706C29D8" w14:textId="77777777" w:rsidR="006678AE" w:rsidRPr="00CE53CD" w:rsidRDefault="006678AE" w:rsidP="00B41C65">
                            <w:pPr>
                              <w:pStyle w:val="NormalNumbered"/>
                              <w:numPr>
                                <w:ilvl w:val="1"/>
                                <w:numId w:val="12"/>
                              </w:numPr>
                              <w:spacing w:after="0"/>
                              <w:ind w:left="709" w:hanging="284"/>
                              <w:rPr>
                                <w:sz w:val="22"/>
                              </w:rPr>
                            </w:pPr>
                            <w:r w:rsidRPr="00CE53CD">
                              <w:rPr>
                                <w:sz w:val="22"/>
                              </w:rPr>
                              <w:t>9 per cent (or 14,200) cited ‘other child care reasons’</w:t>
                            </w:r>
                          </w:p>
                          <w:p w14:paraId="008E4A32" w14:textId="77777777" w:rsidR="006678AE" w:rsidRPr="00CE53CD" w:rsidRDefault="006678AE" w:rsidP="00CE53CD">
                            <w:pPr>
                              <w:pStyle w:val="NormalNumbered"/>
                              <w:numPr>
                                <w:ilvl w:val="0"/>
                                <w:numId w:val="0"/>
                              </w:numPr>
                              <w:spacing w:after="0"/>
                              <w:rPr>
                                <w:sz w:val="22"/>
                              </w:rPr>
                            </w:pPr>
                            <w:r w:rsidRPr="00CE53CD">
                              <w:rPr>
                                <w:sz w:val="22"/>
                              </w:rPr>
                              <w:t>Incentives to join the labour force or increase participation:</w:t>
                            </w:r>
                          </w:p>
                          <w:p w14:paraId="6DC103E7" w14:textId="77777777" w:rsidR="006678AE" w:rsidRPr="00CE53CD" w:rsidRDefault="006678AE" w:rsidP="00B41C65">
                            <w:pPr>
                              <w:pStyle w:val="NormalNumbered"/>
                              <w:numPr>
                                <w:ilvl w:val="0"/>
                                <w:numId w:val="11"/>
                              </w:numPr>
                              <w:spacing w:after="0"/>
                              <w:ind w:left="426"/>
                              <w:rPr>
                                <w:sz w:val="22"/>
                              </w:rPr>
                            </w:pPr>
                            <w:r w:rsidRPr="00CE53CD">
                              <w:rPr>
                                <w:sz w:val="22"/>
                              </w:rPr>
                              <w:t>Of those women with (or caring for) children who were not employed, or who usually worked part-time:</w:t>
                            </w:r>
                          </w:p>
                          <w:p w14:paraId="20BFA769" w14:textId="77777777" w:rsidR="006678AE" w:rsidRPr="00CE53CD" w:rsidRDefault="006678AE" w:rsidP="00B41C65">
                            <w:pPr>
                              <w:pStyle w:val="NormalNumbered"/>
                              <w:numPr>
                                <w:ilvl w:val="1"/>
                                <w:numId w:val="12"/>
                              </w:numPr>
                              <w:spacing w:after="0"/>
                              <w:ind w:left="851"/>
                              <w:rPr>
                                <w:sz w:val="22"/>
                              </w:rPr>
                            </w:pPr>
                            <w:r w:rsidRPr="00CE53CD">
                              <w:rPr>
                                <w:sz w:val="22"/>
                              </w:rPr>
                              <w:t xml:space="preserve">56.2 per cent considered </w:t>
                            </w:r>
                            <w:r w:rsidRPr="00CE53CD">
                              <w:rPr>
                                <w:bCs/>
                                <w:sz w:val="22"/>
                              </w:rPr>
                              <w:t xml:space="preserve">‘access to child care places’ </w:t>
                            </w:r>
                            <w:r w:rsidRPr="00CE53CD">
                              <w:rPr>
                                <w:sz w:val="22"/>
                              </w:rPr>
                              <w:t>as a ‘very important’ incentive, with respect to increasing their participation in, or joining, the labour force, while 55.0 per cent considered ‘financial assistance with child care costs’ as a ‘very important’ incentive.</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31" type="#_x0000_t202" style="width:398.8pt;height:59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" fillcolor="#f2f2f2 [3052]">
                <v:textbox>
                  <w:txbxContent>
                    <w:p w14:paraId="156970D9" w14:textId="7C71DC4D" w:rsidR="006678AE" w:rsidRPr="00331631" w:rsidRDefault="006678AE" w:rsidP="00CE53CD">
                      <w:pPr>
                        <w:pStyle w:val="NormalNumbered"/>
                        <w:numPr>
                          <w:ilvl w:val="0"/>
                          <w:numId w:val="0"/>
                        </w:numPr>
                        <w:spacing w:after="0"/>
                        <w:rPr>
                          <w:sz w:val="22"/>
                        </w:rPr>
                      </w:pPr>
                      <w:r w:rsidRPr="00331631">
                        <w:rPr>
                          <w:sz w:val="22"/>
                        </w:rPr>
                        <w:t xml:space="preserve">Of the 5.4 million people </w:t>
                      </w:r>
                      <w:r w:rsidRPr="00D05A2C">
                        <w:rPr>
                          <w:b/>
                          <w:sz w:val="22"/>
                        </w:rPr>
                        <w:t>not in the labour force</w:t>
                      </w:r>
                      <w:r w:rsidRPr="00331631">
                        <w:rPr>
                          <w:sz w:val="22"/>
                        </w:rPr>
                        <w:t>, 3.4 million (62 per cent) were women aged 18 and over</w:t>
                      </w:r>
                      <w:r w:rsidRPr="00331631">
                        <w:rPr>
                          <w:b/>
                          <w:sz w:val="22"/>
                        </w:rPr>
                        <w:t xml:space="preserve">. </w:t>
                      </w:r>
                      <w:r w:rsidRPr="00331631">
                        <w:rPr>
                          <w:sz w:val="22"/>
                        </w:rPr>
                        <w:t>Of those:</w:t>
                      </w:r>
                    </w:p>
                    <w:p w14:paraId="091AFF3D" w14:textId="77777777" w:rsidR="006678AE" w:rsidRPr="00331631" w:rsidRDefault="006678AE" w:rsidP="00B41C65">
                      <w:pPr>
                        <w:pStyle w:val="NormalNumbered"/>
                        <w:numPr>
                          <w:ilvl w:val="0"/>
                          <w:numId w:val="13"/>
                        </w:numPr>
                        <w:spacing w:after="0"/>
                        <w:ind w:left="426"/>
                        <w:rPr>
                          <w:sz w:val="22"/>
                        </w:rPr>
                      </w:pPr>
                      <w:r w:rsidRPr="00331631">
                        <w:rPr>
                          <w:sz w:val="22"/>
                        </w:rPr>
                        <w:t>77.4 per cent (2.6 million) did not want a paid job, of those:</w:t>
                      </w:r>
                    </w:p>
                    <w:p w14:paraId="6BBE88CC" w14:textId="77777777" w:rsidR="006678AE" w:rsidRPr="00331631" w:rsidRDefault="006678AE" w:rsidP="00B41C65">
                      <w:pPr>
                        <w:pStyle w:val="NormalNumbered"/>
                        <w:numPr>
                          <w:ilvl w:val="1"/>
                          <w:numId w:val="14"/>
                        </w:numPr>
                        <w:spacing w:after="0"/>
                        <w:ind w:left="709" w:hanging="283"/>
                        <w:rPr>
                          <w:sz w:val="22"/>
                        </w:rPr>
                      </w:pPr>
                      <w:r w:rsidRPr="00331631">
                        <w:rPr>
                          <w:sz w:val="22"/>
                        </w:rPr>
                        <w:t>31.6 per cent were permanently retired</w:t>
                      </w:r>
                    </w:p>
                    <w:p w14:paraId="0792D873" w14:textId="77777777" w:rsidR="006678AE" w:rsidRPr="00331631" w:rsidRDefault="006678AE" w:rsidP="00B41C65">
                      <w:pPr>
                        <w:pStyle w:val="NormalNumbered"/>
                        <w:numPr>
                          <w:ilvl w:val="1"/>
                          <w:numId w:val="14"/>
                        </w:numPr>
                        <w:spacing w:after="0"/>
                        <w:ind w:left="709" w:hanging="283"/>
                        <w:rPr>
                          <w:sz w:val="22"/>
                        </w:rPr>
                      </w:pPr>
                      <w:r w:rsidRPr="00331631">
                        <w:rPr>
                          <w:sz w:val="22"/>
                        </w:rPr>
                        <w:t>13.3 per cent were caring for children.</w:t>
                      </w:r>
                    </w:p>
                    <w:p w14:paraId="27865B44" w14:textId="3BC6C671" w:rsidR="006678AE" w:rsidRPr="00331631" w:rsidRDefault="006678AE" w:rsidP="00CE53CD">
                      <w:pPr>
                        <w:pStyle w:val="NormalNumbered"/>
                        <w:numPr>
                          <w:ilvl w:val="0"/>
                          <w:numId w:val="0"/>
                        </w:numPr>
                        <w:spacing w:after="0"/>
                        <w:rPr>
                          <w:sz w:val="22"/>
                        </w:rPr>
                      </w:pPr>
                      <w:r w:rsidRPr="00331631">
                        <w:rPr>
                          <w:sz w:val="22"/>
                        </w:rPr>
                        <w:t xml:space="preserve">Of the total 1.2 million people who were </w:t>
                      </w:r>
                      <w:r w:rsidRPr="00331631">
                        <w:rPr>
                          <w:b/>
                          <w:sz w:val="22"/>
                        </w:rPr>
                        <w:t>not in the labour force and wanted a job</w:t>
                      </w:r>
                      <w:r w:rsidRPr="00331631">
                        <w:rPr>
                          <w:sz w:val="22"/>
                        </w:rPr>
                        <w:t>, 770,500 (63 per cent) were women.</w:t>
                      </w:r>
                    </w:p>
                    <w:p w14:paraId="68680EFA" w14:textId="77777777" w:rsidR="006678AE" w:rsidRPr="00331631" w:rsidRDefault="006678AE" w:rsidP="00B41C65">
                      <w:pPr>
                        <w:pStyle w:val="NormalNumbered"/>
                        <w:numPr>
                          <w:ilvl w:val="0"/>
                          <w:numId w:val="15"/>
                        </w:numPr>
                        <w:spacing w:after="0"/>
                        <w:ind w:left="426"/>
                        <w:rPr>
                          <w:sz w:val="22"/>
                        </w:rPr>
                      </w:pPr>
                      <w:proofErr w:type="gramStart"/>
                      <w:r w:rsidRPr="00331631">
                        <w:rPr>
                          <w:sz w:val="22"/>
                        </w:rPr>
                        <w:t>nearly</w:t>
                      </w:r>
                      <w:proofErr w:type="gramEnd"/>
                      <w:r w:rsidRPr="00331631">
                        <w:rPr>
                          <w:sz w:val="22"/>
                        </w:rPr>
                        <w:t xml:space="preserve"> half (47.2 per cent) of these women cared for their own children.</w:t>
                      </w:r>
                    </w:p>
                    <w:p w14:paraId="7B136D66" w14:textId="5E60790C" w:rsidR="006678AE" w:rsidRPr="00331631" w:rsidRDefault="006678AE" w:rsidP="00CE53CD">
                      <w:pPr>
                        <w:pStyle w:val="NormalNumbered"/>
                        <w:numPr>
                          <w:ilvl w:val="0"/>
                          <w:numId w:val="0"/>
                        </w:numPr>
                        <w:spacing w:after="0"/>
                        <w:rPr>
                          <w:sz w:val="22"/>
                        </w:rPr>
                      </w:pPr>
                      <w:r w:rsidRPr="00331631">
                        <w:rPr>
                          <w:sz w:val="22"/>
                        </w:rPr>
                        <w:t xml:space="preserve">Of the 3.4 million people who worked </w:t>
                      </w:r>
                      <w:r w:rsidRPr="00331631">
                        <w:rPr>
                          <w:b/>
                          <w:sz w:val="22"/>
                        </w:rPr>
                        <w:t xml:space="preserve">part-time </w:t>
                      </w:r>
                      <w:r w:rsidRPr="00331631">
                        <w:rPr>
                          <w:sz w:val="22"/>
                        </w:rPr>
                        <w:t>(0</w:t>
                      </w:r>
                      <w:r w:rsidRPr="00331631">
                        <w:rPr>
                          <w:sz w:val="22"/>
                        </w:rPr>
                        <w:noBreakHyphen/>
                        <w:t>34 hours), 2.4 million were women. Of those:</w:t>
                      </w:r>
                    </w:p>
                    <w:p w14:paraId="3358E76E" w14:textId="77777777" w:rsidR="006678AE" w:rsidRPr="00331631" w:rsidRDefault="006678AE" w:rsidP="00B41C65">
                      <w:pPr>
                        <w:pStyle w:val="NormalNumbered"/>
                        <w:numPr>
                          <w:ilvl w:val="0"/>
                          <w:numId w:val="10"/>
                        </w:numPr>
                        <w:spacing w:after="0"/>
                        <w:ind w:left="426"/>
                        <w:rPr>
                          <w:sz w:val="22"/>
                        </w:rPr>
                      </w:pPr>
                      <w:r w:rsidRPr="00331631">
                        <w:rPr>
                          <w:sz w:val="22"/>
                        </w:rPr>
                        <w:t>1.8 million did not want to work more hours (31.0 per cent of whom cited caring for children as their main reason for not wanting to work more hours)</w:t>
                      </w:r>
                    </w:p>
                    <w:p w14:paraId="74B326B9" w14:textId="77777777" w:rsidR="006678AE" w:rsidRPr="00331631" w:rsidRDefault="006678AE" w:rsidP="00B41C65">
                      <w:pPr>
                        <w:pStyle w:val="NormalNumbered"/>
                        <w:numPr>
                          <w:ilvl w:val="0"/>
                          <w:numId w:val="10"/>
                        </w:numPr>
                        <w:spacing w:after="0"/>
                        <w:ind w:left="426"/>
                        <w:rPr>
                          <w:sz w:val="22"/>
                        </w:rPr>
                      </w:pPr>
                      <w:r w:rsidRPr="00331631">
                        <w:rPr>
                          <w:sz w:val="22"/>
                        </w:rPr>
                        <w:t>571,900 preferred to work more hours</w:t>
                      </w:r>
                    </w:p>
                    <w:p w14:paraId="17E17727" w14:textId="77777777" w:rsidR="006678AE" w:rsidRPr="00331631" w:rsidRDefault="006678AE" w:rsidP="00B41C65">
                      <w:pPr>
                        <w:pStyle w:val="NormalNumbered"/>
                        <w:numPr>
                          <w:ilvl w:val="0"/>
                          <w:numId w:val="10"/>
                        </w:numPr>
                        <w:spacing w:after="0"/>
                        <w:ind w:left="426"/>
                        <w:rPr>
                          <w:sz w:val="22"/>
                        </w:rPr>
                      </w:pPr>
                      <w:r w:rsidRPr="00331631">
                        <w:rPr>
                          <w:sz w:val="22"/>
                        </w:rPr>
                        <w:t>241,500 were single female parents – 40.7 per cent of whom preferred more hours</w:t>
                      </w:r>
                      <w:r w:rsidRPr="00331631" w:rsidDel="006377CA">
                        <w:rPr>
                          <w:sz w:val="22"/>
                        </w:rPr>
                        <w:t xml:space="preserve"> </w:t>
                      </w:r>
                    </w:p>
                    <w:p w14:paraId="3FA4D4E1" w14:textId="77777777" w:rsidR="006678AE" w:rsidRPr="00331631" w:rsidRDefault="006678AE" w:rsidP="00B41C65">
                      <w:pPr>
                        <w:pStyle w:val="NormalNumbered"/>
                        <w:numPr>
                          <w:ilvl w:val="0"/>
                          <w:numId w:val="10"/>
                        </w:numPr>
                        <w:spacing w:after="0"/>
                        <w:ind w:left="426"/>
                        <w:rPr>
                          <w:sz w:val="22"/>
                        </w:rPr>
                      </w:pPr>
                      <w:r w:rsidRPr="00331631">
                        <w:rPr>
                          <w:sz w:val="22"/>
                        </w:rPr>
                        <w:t>1.6 million were parents in couple families – 19.5 per cent of whom preferred more hours</w:t>
                      </w:r>
                    </w:p>
                    <w:p w14:paraId="3187A10B" w14:textId="77777777" w:rsidR="006678AE" w:rsidRPr="00331631" w:rsidRDefault="006678AE" w:rsidP="00B41C65">
                      <w:pPr>
                        <w:pStyle w:val="NormalNumbered"/>
                        <w:numPr>
                          <w:ilvl w:val="0"/>
                          <w:numId w:val="10"/>
                        </w:numPr>
                        <w:spacing w:after="0"/>
                        <w:ind w:left="426"/>
                        <w:rPr>
                          <w:sz w:val="22"/>
                        </w:rPr>
                      </w:pPr>
                      <w:r w:rsidRPr="00331631">
                        <w:rPr>
                          <w:sz w:val="22"/>
                        </w:rPr>
                        <w:t>463,600 had a youngest child aged 0</w:t>
                      </w:r>
                      <w:r w:rsidRPr="00331631">
                        <w:rPr>
                          <w:sz w:val="22"/>
                        </w:rPr>
                        <w:noBreakHyphen/>
                        <w:t>4 – 21.1 per cent of whom preferred more hours</w:t>
                      </w:r>
                    </w:p>
                    <w:p w14:paraId="3B39ECA7" w14:textId="77777777" w:rsidR="006678AE" w:rsidRPr="00331631" w:rsidRDefault="006678AE" w:rsidP="00B41C65">
                      <w:pPr>
                        <w:pStyle w:val="NormalNumbered"/>
                        <w:numPr>
                          <w:ilvl w:val="0"/>
                          <w:numId w:val="10"/>
                        </w:numPr>
                        <w:spacing w:after="0"/>
                        <w:ind w:left="426"/>
                        <w:rPr>
                          <w:sz w:val="22"/>
                        </w:rPr>
                      </w:pPr>
                      <w:r w:rsidRPr="00331631">
                        <w:rPr>
                          <w:sz w:val="22"/>
                        </w:rPr>
                        <w:t>619,300 had a youngest child aged 5</w:t>
                      </w:r>
                      <w:r w:rsidRPr="00331631">
                        <w:rPr>
                          <w:sz w:val="22"/>
                        </w:rPr>
                        <w:noBreakHyphen/>
                        <w:t>14 – 24.2 per cent of whom preferred more hours.</w:t>
                      </w:r>
                    </w:p>
                    <w:p w14:paraId="38388B59" w14:textId="50168B9E" w:rsidR="006678AE" w:rsidRPr="00331631" w:rsidRDefault="006678AE" w:rsidP="00CE53CD">
                      <w:pPr>
                        <w:pStyle w:val="NormalNumbered"/>
                        <w:numPr>
                          <w:ilvl w:val="0"/>
                          <w:numId w:val="0"/>
                        </w:numPr>
                        <w:spacing w:after="0"/>
                        <w:rPr>
                          <w:sz w:val="22"/>
                        </w:rPr>
                      </w:pPr>
                      <w:r w:rsidRPr="00331631">
                        <w:rPr>
                          <w:sz w:val="22"/>
                        </w:rPr>
                        <w:t xml:space="preserve">Of the 1.4 million people </w:t>
                      </w:r>
                      <w:r w:rsidRPr="00331631">
                        <w:rPr>
                          <w:b/>
                          <w:sz w:val="22"/>
                        </w:rPr>
                        <w:t>unemployed or wanting more work (and were looking and available to start)</w:t>
                      </w:r>
                      <w:r w:rsidRPr="00331631">
                        <w:rPr>
                          <w:sz w:val="22"/>
                        </w:rPr>
                        <w:t>, 508,200 (36 per cent) were women. Of those:</w:t>
                      </w:r>
                    </w:p>
                    <w:p w14:paraId="6C46B683" w14:textId="77777777" w:rsidR="006678AE" w:rsidRPr="00331631" w:rsidRDefault="006678AE" w:rsidP="00B41C65">
                      <w:pPr>
                        <w:pStyle w:val="NormalNumbered"/>
                        <w:numPr>
                          <w:ilvl w:val="0"/>
                          <w:numId w:val="11"/>
                        </w:numPr>
                        <w:spacing w:after="0"/>
                        <w:ind w:left="426"/>
                        <w:rPr>
                          <w:sz w:val="22"/>
                        </w:rPr>
                      </w:pPr>
                      <w:r w:rsidRPr="00331631">
                        <w:rPr>
                          <w:sz w:val="22"/>
                        </w:rPr>
                        <w:t>18.3 per cent cited ‘no jobs or vacancies in locality/line of work/at all’ as their main difficulty in finding work/more hours, while 1.9 per cent cited ‘difficulties finding child care’.</w:t>
                      </w:r>
                    </w:p>
                    <w:p w14:paraId="6FD4AFFB" w14:textId="6F52A1D0" w:rsidR="006678AE" w:rsidRPr="00331631" w:rsidRDefault="006678AE" w:rsidP="00CE53CD">
                      <w:pPr>
                        <w:pStyle w:val="NormalNumbered"/>
                        <w:numPr>
                          <w:ilvl w:val="0"/>
                          <w:numId w:val="0"/>
                        </w:numPr>
                        <w:spacing w:after="0"/>
                        <w:rPr>
                          <w:sz w:val="22"/>
                        </w:rPr>
                      </w:pPr>
                      <w:r w:rsidRPr="00331631">
                        <w:rPr>
                          <w:sz w:val="22"/>
                        </w:rPr>
                        <w:t xml:space="preserve">Of the total 1.2 million people </w:t>
                      </w:r>
                      <w:r w:rsidRPr="00331631">
                        <w:rPr>
                          <w:b/>
                          <w:sz w:val="22"/>
                        </w:rPr>
                        <w:t>available for work/more hours, but not looking for work/more hours</w:t>
                      </w:r>
                      <w:r w:rsidRPr="00331631">
                        <w:rPr>
                          <w:sz w:val="22"/>
                        </w:rPr>
                        <w:t>, 797 600 (66 per cent) were women.</w:t>
                      </w:r>
                    </w:p>
                    <w:p w14:paraId="4D701BB5" w14:textId="77777777" w:rsidR="006678AE" w:rsidRPr="00CE53CD" w:rsidRDefault="006678AE" w:rsidP="00B41C65">
                      <w:pPr>
                        <w:pStyle w:val="NormalNumbered"/>
                        <w:numPr>
                          <w:ilvl w:val="0"/>
                          <w:numId w:val="12"/>
                        </w:numPr>
                        <w:spacing w:after="0"/>
                        <w:ind w:left="426"/>
                        <w:rPr>
                          <w:sz w:val="22"/>
                        </w:rPr>
                      </w:pPr>
                      <w:r w:rsidRPr="00331631">
                        <w:rPr>
                          <w:sz w:val="22"/>
                        </w:rPr>
                        <w:t>19.9 per cent of this group (or 158,400 women) cited ‘caring for children’ as their main reason for not looking for work</w:t>
                      </w:r>
                      <w:r w:rsidRPr="00CE53CD">
                        <w:rPr>
                          <w:sz w:val="22"/>
                        </w:rPr>
                        <w:t>/more hours. Of these:</w:t>
                      </w:r>
                    </w:p>
                    <w:p w14:paraId="60E3BB67" w14:textId="52A7D836" w:rsidR="006678AE" w:rsidRPr="00CE53CD" w:rsidRDefault="006678AE" w:rsidP="00B41C65">
                      <w:pPr>
                        <w:pStyle w:val="NormalNumbered"/>
                        <w:numPr>
                          <w:ilvl w:val="1"/>
                          <w:numId w:val="12"/>
                        </w:numPr>
                        <w:spacing w:after="0"/>
                        <w:ind w:left="709" w:hanging="284"/>
                        <w:rPr>
                          <w:sz w:val="22"/>
                        </w:rPr>
                      </w:pPr>
                      <w:r w:rsidRPr="00CE53CD">
                        <w:rPr>
                          <w:sz w:val="22"/>
                        </w:rPr>
                        <w:t>36.1 per cent (or 57,200) cited that they ‘preferred to look after children’</w:t>
                      </w:r>
                    </w:p>
                    <w:p w14:paraId="1B9957A8" w14:textId="77777777" w:rsidR="006678AE" w:rsidRPr="00CE53CD" w:rsidRDefault="006678AE" w:rsidP="00B41C65">
                      <w:pPr>
                        <w:pStyle w:val="NormalNumbered"/>
                        <w:numPr>
                          <w:ilvl w:val="1"/>
                          <w:numId w:val="12"/>
                        </w:numPr>
                        <w:spacing w:after="0"/>
                        <w:ind w:left="709" w:hanging="284"/>
                        <w:rPr>
                          <w:sz w:val="22"/>
                        </w:rPr>
                      </w:pPr>
                      <w:r w:rsidRPr="00CE53CD">
                        <w:rPr>
                          <w:sz w:val="22"/>
                        </w:rPr>
                        <w:t>21.7 per cent (or 34,400) cited ‘cost/too expensive’</w:t>
                      </w:r>
                    </w:p>
                    <w:p w14:paraId="64C47775" w14:textId="77777777" w:rsidR="006678AE" w:rsidRPr="00CE53CD" w:rsidRDefault="006678AE" w:rsidP="00B41C65">
                      <w:pPr>
                        <w:pStyle w:val="NormalNumbered"/>
                        <w:numPr>
                          <w:ilvl w:val="1"/>
                          <w:numId w:val="12"/>
                        </w:numPr>
                        <w:spacing w:after="0"/>
                        <w:ind w:left="709" w:hanging="284"/>
                        <w:rPr>
                          <w:sz w:val="22"/>
                        </w:rPr>
                      </w:pPr>
                      <w:r w:rsidRPr="00CE53CD">
                        <w:rPr>
                          <w:sz w:val="22"/>
                        </w:rPr>
                        <w:t>19.7 per cent (or 31,248) cited ‘child care not available/child care booked out/no child care in locality’</w:t>
                      </w:r>
                    </w:p>
                    <w:p w14:paraId="6027C2E1" w14:textId="77777777" w:rsidR="006678AE" w:rsidRPr="00CE53CD" w:rsidRDefault="006678AE" w:rsidP="00B41C65">
                      <w:pPr>
                        <w:pStyle w:val="NormalNumbered"/>
                        <w:numPr>
                          <w:ilvl w:val="1"/>
                          <w:numId w:val="12"/>
                        </w:numPr>
                        <w:spacing w:after="0"/>
                        <w:ind w:left="709" w:hanging="284"/>
                        <w:rPr>
                          <w:sz w:val="22"/>
                        </w:rPr>
                      </w:pPr>
                      <w:r w:rsidRPr="00CE53CD">
                        <w:rPr>
                          <w:sz w:val="22"/>
                        </w:rPr>
                        <w:t>13.5 per cent (or 21,400) cited ‘children too young or too old for child care’</w:t>
                      </w:r>
                    </w:p>
                    <w:p w14:paraId="706C29D8" w14:textId="77777777" w:rsidR="006678AE" w:rsidRPr="00CE53CD" w:rsidRDefault="006678AE" w:rsidP="00B41C65">
                      <w:pPr>
                        <w:pStyle w:val="NormalNumbered"/>
                        <w:numPr>
                          <w:ilvl w:val="1"/>
                          <w:numId w:val="12"/>
                        </w:numPr>
                        <w:spacing w:after="0"/>
                        <w:ind w:left="709" w:hanging="284"/>
                        <w:rPr>
                          <w:sz w:val="22"/>
                        </w:rPr>
                      </w:pPr>
                      <w:r w:rsidRPr="00CE53CD">
                        <w:rPr>
                          <w:sz w:val="22"/>
                        </w:rPr>
                        <w:t>9 per cent (or 14,200) cited ‘other child care reasons’</w:t>
                      </w:r>
                    </w:p>
                    <w:p w14:paraId="008E4A32" w14:textId="77777777" w:rsidR="006678AE" w:rsidRPr="00CE53CD" w:rsidRDefault="006678AE" w:rsidP="00CE53CD">
                      <w:pPr>
                        <w:pStyle w:val="NormalNumbered"/>
                        <w:numPr>
                          <w:ilvl w:val="0"/>
                          <w:numId w:val="0"/>
                        </w:numPr>
                        <w:spacing w:after="0"/>
                        <w:rPr>
                          <w:sz w:val="22"/>
                        </w:rPr>
                      </w:pPr>
                      <w:r w:rsidRPr="00CE53CD">
                        <w:rPr>
                          <w:sz w:val="22"/>
                        </w:rPr>
                        <w:t>Incentives to join the labour force or increase participation:</w:t>
                      </w:r>
                    </w:p>
                    <w:p w14:paraId="6DC103E7" w14:textId="77777777" w:rsidR="006678AE" w:rsidRPr="00CE53CD" w:rsidRDefault="006678AE" w:rsidP="00B41C65">
                      <w:pPr>
                        <w:pStyle w:val="NormalNumbered"/>
                        <w:numPr>
                          <w:ilvl w:val="0"/>
                          <w:numId w:val="11"/>
                        </w:numPr>
                        <w:spacing w:after="0"/>
                        <w:ind w:left="426"/>
                        <w:rPr>
                          <w:sz w:val="22"/>
                        </w:rPr>
                      </w:pPr>
                      <w:r w:rsidRPr="00CE53CD">
                        <w:rPr>
                          <w:sz w:val="22"/>
                        </w:rPr>
                        <w:t>Of those women with (or caring for) children who were not employed, or who usually worked part-time:</w:t>
                      </w:r>
                    </w:p>
                    <w:p w14:paraId="20BFA769" w14:textId="77777777" w:rsidR="006678AE" w:rsidRPr="00CE53CD" w:rsidRDefault="006678AE" w:rsidP="00B41C65">
                      <w:pPr>
                        <w:pStyle w:val="NormalNumbered"/>
                        <w:numPr>
                          <w:ilvl w:val="1"/>
                          <w:numId w:val="12"/>
                        </w:numPr>
                        <w:spacing w:after="0"/>
                        <w:ind w:left="851"/>
                        <w:rPr>
                          <w:sz w:val="22"/>
                        </w:rPr>
                      </w:pPr>
                      <w:r w:rsidRPr="00CE53CD">
                        <w:rPr>
                          <w:sz w:val="22"/>
                        </w:rPr>
                        <w:t xml:space="preserve">56.2 per cent considered </w:t>
                      </w:r>
                      <w:r w:rsidRPr="00CE53CD">
                        <w:rPr>
                          <w:bCs/>
                          <w:sz w:val="22"/>
                        </w:rPr>
                        <w:t xml:space="preserve">‘access to child care places’ </w:t>
                      </w:r>
                      <w:r w:rsidRPr="00CE53CD">
                        <w:rPr>
                          <w:sz w:val="22"/>
                        </w:rPr>
                        <w:t>as a ‘very important’ incentive, with respect to increasing their participation in, or joining, the labour force, while 55.0 per cent considered ‘financial assistance with child care costs’ as a ‘very important’ incentive.</w:t>
                      </w:r>
                    </w:p>
                  </w:txbxContent>
                </v:textbox>
                <w10:anchorlock/>
              </v:shape>
            </w:pict>
          </mc:Fallback>
        </mc:AlternateContent>
      </w:r>
    </w:p>
    <w:p w14:paraId="7141FD4E" w14:textId="77777777" w:rsidR="003E412E" w:rsidRPr="00DD2634" w:rsidRDefault="003E412E" w:rsidP="00277190">
      <w:pPr>
        <w:pStyle w:val="Source"/>
      </w:pPr>
      <w:r w:rsidRPr="00DD2634">
        <w:t>Source: ABS Barriers and Incentives to Labour Force Participation 2012–13.</w:t>
      </w:r>
    </w:p>
    <w:p w14:paraId="0B9F9AD1" w14:textId="77777777" w:rsidR="003E412E" w:rsidRPr="00DD2634" w:rsidRDefault="003E412E" w:rsidP="00277190">
      <w:pPr>
        <w:pStyle w:val="Source"/>
      </w:pPr>
    </w:p>
    <w:p w14:paraId="0502F29C" w14:textId="28C438AD" w:rsidR="003E412E" w:rsidRPr="00DD2634" w:rsidRDefault="00FC3C61" w:rsidP="00381744">
      <w:pPr>
        <w:pStyle w:val="NormalNumbered"/>
      </w:pPr>
      <w:r w:rsidRPr="00DD2634">
        <w:t>I</w:t>
      </w:r>
      <w:r w:rsidR="003E412E" w:rsidRPr="00DD2634">
        <w:t>mprovements in the affordability and availability of child care are likely to boost the participation of mothers in the workforce.</w:t>
      </w:r>
      <w:r w:rsidRPr="00DD2634">
        <w:t xml:space="preserve"> This in turn benefits the overall performance of the economy.</w:t>
      </w:r>
    </w:p>
    <w:p w14:paraId="04969C87" w14:textId="4AAF4712" w:rsidR="004263E8" w:rsidRPr="00DD2634" w:rsidRDefault="004263E8" w:rsidP="00BE5BEF">
      <w:pPr>
        <w:pStyle w:val="Heading2"/>
      </w:pPr>
      <w:bookmarkStart w:id="40" w:name="_Toc379208178"/>
      <w:r w:rsidRPr="00DD2634">
        <w:lastRenderedPageBreak/>
        <w:t>Long term benefits for children and society</w:t>
      </w:r>
      <w:bookmarkEnd w:id="31"/>
      <w:bookmarkEnd w:id="40"/>
      <w:r w:rsidR="00A414D1" w:rsidRPr="00DD2634">
        <w:rPr>
          <w:noProof/>
          <w:lang w:eastAsia="en-AU"/>
        </w:rPr>
        <w:t xml:space="preserve"> </w:t>
      </w:r>
    </w:p>
    <w:p w14:paraId="04969C88" w14:textId="0F479B71" w:rsidR="004263E8" w:rsidRPr="00DD2634" w:rsidRDefault="004263E8" w:rsidP="00381744">
      <w:pPr>
        <w:pStyle w:val="NormalNumbered"/>
      </w:pPr>
      <w:r w:rsidRPr="00DD2634">
        <w:t>The early years of a child’s life have a profound impact on their future cognitive, social, emotional and physical development. Ninety per cent of brain development occurs in the first three years of life and development in this period has more influence on learning and health outcomes than at any other time.</w:t>
      </w:r>
      <w:r w:rsidRPr="00DD2634">
        <w:rPr>
          <w:rStyle w:val="FootnoteReference"/>
        </w:rPr>
        <w:footnoteReference w:id="17"/>
      </w:r>
      <w:r w:rsidRPr="00DD2634">
        <w:t xml:space="preserve"> The skills and abilities acquired in early childhood are fundamental to a person’s success and well-being later in life. </w:t>
      </w:r>
    </w:p>
    <w:p w14:paraId="04969C89" w14:textId="475F9661" w:rsidR="004263E8" w:rsidRPr="00DD2634" w:rsidRDefault="00A414D1" w:rsidP="00550518">
      <w:pPr>
        <w:pStyle w:val="NormalNumbered"/>
      </w:pPr>
      <w:r w:rsidRPr="00DD2634">
        <w:rPr>
          <w:noProof/>
          <w:lang w:eastAsia="en-AU"/>
        </w:rPr>
        <mc:AlternateContent>
          <mc:Choice Requires="wps">
            <w:drawing>
              <wp:anchor distT="0" distB="0" distL="114300" distR="114300" simplePos="0" relativeHeight="251708416" behindDoc="0" locked="0" layoutInCell="0" allowOverlap="1" wp14:anchorId="4EEDCA3E" wp14:editId="36310353">
                <wp:simplePos x="0" y="0"/>
                <wp:positionH relativeFrom="margin">
                  <wp:posOffset>3335655</wp:posOffset>
                </wp:positionH>
                <wp:positionV relativeFrom="margin">
                  <wp:posOffset>168910</wp:posOffset>
                </wp:positionV>
                <wp:extent cx="2451735" cy="1967230"/>
                <wp:effectExtent l="19050" t="19050" r="24765" b="13970"/>
                <wp:wrapSquare wrapText="bothSides"/>
                <wp:docPr id="69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1735" cy="1967230"/>
                        </a:xfrm>
                        <a:prstGeom prst="bracketPair">
                          <a:avLst>
                            <a:gd name="adj" fmla="val 8051"/>
                          </a:avLst>
                        </a:prstGeom>
                        <a:noFill/>
                        <a:ln w="38100">
                          <a:solidFill>
                            <a:schemeClr val="tx1">
                              <a:lumMod val="50000"/>
                              <a:lumOff val="50000"/>
                            </a:schemeClr>
                          </a:solidFill>
                          <a:round/>
                          <a:headEnd/>
                          <a:tailEnd/>
                        </a:ln>
                        <a:extLst>
                          <a:ext uri="{909E8E84-426E-40DD-AFC4-6F175D3DCCD1}">
                            <a14:hiddenFill xmlns:a14="http://schemas.microsoft.com/office/drawing/2010/main">
                              <a:solidFill>
                                <a:srgbClr val="943634"/>
                              </a:solidFill>
                            </a14:hiddenFill>
                          </a:ext>
                          <a:ext uri="{AF507438-7753-43E0-B8FC-AC1667EBCBE1}">
                            <a14:hiddenEffects xmlns:a14="http://schemas.microsoft.com/office/drawing/2010/main">
                              <a:effectLst>
                                <a:outerShdw dist="17961" dir="2700000" algn="ctr" rotWithShape="0">
                                  <a:srgbClr val="9BBB59">
                                    <a:gamma/>
                                    <a:shade val="60000"/>
                                    <a:invGamma/>
                                  </a:srgbClr>
                                </a:outerShdw>
                              </a:effectLst>
                            </a14:hiddenEffects>
                          </a:ext>
                        </a:extLst>
                      </wps:spPr>
                      <wps:txbx>
                        <w:txbxContent>
                          <w:p w14:paraId="5A38EB1A" w14:textId="77777777" w:rsidR="006678AE" w:rsidRPr="001C515A" w:rsidRDefault="006678AE" w:rsidP="00A414D1">
                            <w:pPr>
                              <w:spacing w:after="0"/>
                              <w:rPr>
                                <w:b/>
                                <w:i/>
                                <w:iCs/>
                                <w:sz w:val="20"/>
                                <w:szCs w:val="20"/>
                              </w:rPr>
                            </w:pPr>
                            <w:r w:rsidRPr="001C515A">
                              <w:rPr>
                                <w:b/>
                                <w:i/>
                                <w:iCs/>
                                <w:sz w:val="20"/>
                                <w:szCs w:val="20"/>
                              </w:rPr>
                              <w:t>Key Points:</w:t>
                            </w:r>
                          </w:p>
                          <w:p w14:paraId="54A0397B" w14:textId="08446236" w:rsidR="006678AE" w:rsidRDefault="006678AE" w:rsidP="00A414D1">
                            <w:pPr>
                              <w:pStyle w:val="ListParagraph"/>
                              <w:numPr>
                                <w:ilvl w:val="0"/>
                                <w:numId w:val="16"/>
                              </w:numPr>
                              <w:spacing w:after="0"/>
                              <w:ind w:left="284" w:hanging="287"/>
                              <w:rPr>
                                <w:i/>
                                <w:iCs/>
                                <w:sz w:val="20"/>
                                <w:szCs w:val="20"/>
                              </w:rPr>
                            </w:pPr>
                            <w:r>
                              <w:rPr>
                                <w:i/>
                                <w:iCs/>
                                <w:sz w:val="20"/>
                                <w:szCs w:val="20"/>
                              </w:rPr>
                              <w:t>The early years of life have profound and long term impacts.</w:t>
                            </w:r>
                          </w:p>
                          <w:p w14:paraId="21CA1940" w14:textId="13600F50" w:rsidR="006678AE" w:rsidRDefault="006678AE" w:rsidP="00A414D1">
                            <w:pPr>
                              <w:pStyle w:val="ListParagraph"/>
                              <w:numPr>
                                <w:ilvl w:val="0"/>
                                <w:numId w:val="16"/>
                              </w:numPr>
                              <w:spacing w:after="0"/>
                              <w:ind w:left="284" w:hanging="287"/>
                              <w:rPr>
                                <w:i/>
                                <w:iCs/>
                                <w:sz w:val="20"/>
                                <w:szCs w:val="20"/>
                              </w:rPr>
                            </w:pPr>
                            <w:r>
                              <w:rPr>
                                <w:i/>
                                <w:iCs/>
                                <w:sz w:val="20"/>
                                <w:szCs w:val="20"/>
                              </w:rPr>
                              <w:t>Children can benefit from participating in quality CCECL; children from vulnerable families particularly benefit.</w:t>
                            </w:r>
                          </w:p>
                          <w:p w14:paraId="61375F80" w14:textId="77777777" w:rsidR="006678AE" w:rsidRPr="002B6596" w:rsidRDefault="006678AE" w:rsidP="00A414D1">
                            <w:pPr>
                              <w:pStyle w:val="ListParagraph"/>
                              <w:numPr>
                                <w:ilvl w:val="0"/>
                                <w:numId w:val="16"/>
                              </w:numPr>
                              <w:spacing w:after="0"/>
                              <w:ind w:left="284" w:hanging="287"/>
                              <w:rPr>
                                <w:i/>
                                <w:iCs/>
                                <w:sz w:val="20"/>
                                <w:szCs w:val="20"/>
                              </w:rPr>
                            </w:pPr>
                            <w:r>
                              <w:rPr>
                                <w:i/>
                                <w:iCs/>
                                <w:sz w:val="20"/>
                                <w:szCs w:val="20"/>
                              </w:rPr>
                              <w:t xml:space="preserve">The Australian Early Development Index shows there is a relationship between early childhood vulnerability and later outcomes. </w:t>
                            </w:r>
                          </w:p>
                        </w:txbxContent>
                      </wps:txbx>
                      <wps:bodyPr rot="0" vert="horz" wrap="square" lIns="45720" tIns="45720" rIns="4572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2" type="#_x0000_t185" style="position:absolute;left:0;text-align:left;margin-left:262.65pt;margin-top:13.3pt;width:193.05pt;height:154.9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" o:allowincell="f" adj="1739" fillcolor="#943634" strokecolor="gray [1629]" strokeweight="3pt">
                <v:shadow color="#5d7035" offset="1pt,1pt"/>
                <v:textbox inset="3.6pt,,3.6pt">
                  <w:txbxContent>
                    <w:p w14:paraId="5A38EB1A" w14:textId="77777777" w:rsidR="006678AE" w:rsidRPr="001C515A" w:rsidRDefault="006678AE" w:rsidP="00A414D1">
                      <w:pPr>
                        <w:spacing w:after="0"/>
                        <w:rPr>
                          <w:b/>
                          <w:i/>
                          <w:iCs/>
                          <w:sz w:val="20"/>
                          <w:szCs w:val="20"/>
                        </w:rPr>
                      </w:pPr>
                      <w:r w:rsidRPr="001C515A">
                        <w:rPr>
                          <w:b/>
                          <w:i/>
                          <w:iCs/>
                          <w:sz w:val="20"/>
                          <w:szCs w:val="20"/>
                        </w:rPr>
                        <w:t>Key Points:</w:t>
                      </w:r>
                    </w:p>
                    <w:p w14:paraId="54A0397B" w14:textId="08446236" w:rsidR="006678AE" w:rsidRDefault="006678AE" w:rsidP="00A414D1">
                      <w:pPr>
                        <w:pStyle w:val="ListParagraph"/>
                        <w:numPr>
                          <w:ilvl w:val="0"/>
                          <w:numId w:val="16"/>
                        </w:numPr>
                        <w:spacing w:after="0"/>
                        <w:ind w:left="284" w:hanging="287"/>
                        <w:rPr>
                          <w:i/>
                          <w:iCs/>
                          <w:sz w:val="20"/>
                          <w:szCs w:val="20"/>
                        </w:rPr>
                      </w:pPr>
                      <w:r>
                        <w:rPr>
                          <w:i/>
                          <w:iCs/>
                          <w:sz w:val="20"/>
                          <w:szCs w:val="20"/>
                        </w:rPr>
                        <w:t>The early years of life have profound and long term impacts.</w:t>
                      </w:r>
                    </w:p>
                    <w:p w14:paraId="21CA1940" w14:textId="13600F50" w:rsidR="006678AE" w:rsidRDefault="006678AE" w:rsidP="00A414D1">
                      <w:pPr>
                        <w:pStyle w:val="ListParagraph"/>
                        <w:numPr>
                          <w:ilvl w:val="0"/>
                          <w:numId w:val="16"/>
                        </w:numPr>
                        <w:spacing w:after="0"/>
                        <w:ind w:left="284" w:hanging="287"/>
                        <w:rPr>
                          <w:i/>
                          <w:iCs/>
                          <w:sz w:val="20"/>
                          <w:szCs w:val="20"/>
                        </w:rPr>
                      </w:pPr>
                      <w:r>
                        <w:rPr>
                          <w:i/>
                          <w:iCs/>
                          <w:sz w:val="20"/>
                          <w:szCs w:val="20"/>
                        </w:rPr>
                        <w:t>Children can benefit from participating in quality CCECL; children from vulnerable families particularly benefit.</w:t>
                      </w:r>
                    </w:p>
                    <w:p w14:paraId="61375F80" w14:textId="77777777" w:rsidR="006678AE" w:rsidRPr="002B6596" w:rsidRDefault="006678AE" w:rsidP="00A414D1">
                      <w:pPr>
                        <w:pStyle w:val="ListParagraph"/>
                        <w:numPr>
                          <w:ilvl w:val="0"/>
                          <w:numId w:val="16"/>
                        </w:numPr>
                        <w:spacing w:after="0"/>
                        <w:ind w:left="284" w:hanging="287"/>
                        <w:rPr>
                          <w:i/>
                          <w:iCs/>
                          <w:sz w:val="20"/>
                          <w:szCs w:val="20"/>
                        </w:rPr>
                      </w:pPr>
                      <w:r>
                        <w:rPr>
                          <w:i/>
                          <w:iCs/>
                          <w:sz w:val="20"/>
                          <w:szCs w:val="20"/>
                        </w:rPr>
                        <w:t xml:space="preserve">The Australian Early Development Index shows there is a relationship between early childhood vulnerability and later outcomes. </w:t>
                      </w:r>
                    </w:p>
                  </w:txbxContent>
                </v:textbox>
                <w10:wrap type="square" anchorx="margin" anchory="margin"/>
              </v:shape>
            </w:pict>
          </mc:Fallback>
        </mc:AlternateContent>
      </w:r>
      <w:r w:rsidR="00485F8A">
        <w:t>Research suggests that a</w:t>
      </w:r>
      <w:r w:rsidR="004263E8" w:rsidRPr="00DD2634">
        <w:t xml:space="preserve"> positive early childhood provides both sh</w:t>
      </w:r>
      <w:r w:rsidR="002236A6" w:rsidRPr="00DD2634">
        <w:t>ort-term and long-</w:t>
      </w:r>
      <w:r w:rsidR="004263E8" w:rsidRPr="00DD2634">
        <w:t>term individual s</w:t>
      </w:r>
      <w:r w:rsidR="00757523" w:rsidRPr="00DD2634">
        <w:t>ocial and economic benefits for</w:t>
      </w:r>
      <w:r w:rsidR="004263E8" w:rsidRPr="00DD2634">
        <w:t xml:space="preserve"> the child, such as higher educational attainment, increased self-esteem and social development, higher earnings and home ownership, higher retirement savings and fewer social and health problems</w:t>
      </w:r>
      <w:r w:rsidR="003F06B2" w:rsidRPr="00DD2634">
        <w:t>.</w:t>
      </w:r>
      <w:r w:rsidR="004A26A4" w:rsidRPr="00DD2634">
        <w:rPr>
          <w:rStyle w:val="FootnoteReference"/>
        </w:rPr>
        <w:footnoteReference w:id="18"/>
      </w:r>
      <w:r w:rsidR="00550518" w:rsidRPr="00DD2634">
        <w:t xml:space="preserve"> </w:t>
      </w:r>
      <w:r w:rsidR="004263E8" w:rsidRPr="00DD2634">
        <w:t>These benefits flow from the individual to society through reduced reliance on government welfare, reduced government investment in special education, lower crime and incarceration rates and increased tax revenue through higher earnings.</w:t>
      </w:r>
    </w:p>
    <w:p w14:paraId="04969C8A" w14:textId="25B4B77D" w:rsidR="004263E8" w:rsidRPr="00DD2634" w:rsidRDefault="00B74598" w:rsidP="00381744">
      <w:pPr>
        <w:pStyle w:val="NormalNumbered"/>
      </w:pPr>
      <w:r w:rsidRPr="00DD2634">
        <w:t xml:space="preserve">Given the increasing numbers of children participating in CCECL services, it is important that such services provide appropriate, positive early development opportunities for children. </w:t>
      </w:r>
      <w:r w:rsidR="004263E8" w:rsidRPr="00DD2634">
        <w:t xml:space="preserve">While all children </w:t>
      </w:r>
      <w:r w:rsidR="0071477C" w:rsidRPr="00DD2634">
        <w:t>may</w:t>
      </w:r>
      <w:r w:rsidR="004263E8" w:rsidRPr="00DD2634">
        <w:t xml:space="preserve"> benefit from participating in quality early childhood services, children from disadvantaged backgrounds </w:t>
      </w:r>
      <w:r w:rsidR="00893B0C" w:rsidRPr="00DD2634">
        <w:t xml:space="preserve">and those with additional needs such as a disability, </w:t>
      </w:r>
      <w:r w:rsidR="0085030F" w:rsidRPr="00DD2634">
        <w:t xml:space="preserve">benefit </w:t>
      </w:r>
      <w:r w:rsidR="004263E8" w:rsidRPr="00DD2634">
        <w:t>particularly</w:t>
      </w:r>
      <w:r w:rsidR="003F06B2" w:rsidRPr="00DD2634">
        <w:t>.</w:t>
      </w:r>
      <w:r w:rsidR="004263E8" w:rsidRPr="00DD2634">
        <w:rPr>
          <w:rStyle w:val="FootnoteReference"/>
        </w:rPr>
        <w:footnoteReference w:id="19"/>
      </w:r>
      <w:r w:rsidR="004263E8" w:rsidRPr="00DD2634">
        <w:t xml:space="preserve"> However, </w:t>
      </w:r>
      <w:r w:rsidR="0085030F" w:rsidRPr="00DD2634">
        <w:t xml:space="preserve">data suggests that </w:t>
      </w:r>
      <w:r w:rsidR="004263E8" w:rsidRPr="00DD2634">
        <w:t xml:space="preserve">these children participate </w:t>
      </w:r>
      <w:r w:rsidR="0085030F" w:rsidRPr="00DD2634">
        <w:t xml:space="preserve">to a much lesser extent </w:t>
      </w:r>
      <w:r w:rsidR="004263E8" w:rsidRPr="00DD2634">
        <w:t>in early learning and care services than other children</w:t>
      </w:r>
      <w:r w:rsidR="003F06B2" w:rsidRPr="00DD2634">
        <w:t>.</w:t>
      </w:r>
      <w:r w:rsidR="004263E8" w:rsidRPr="00DD2634">
        <w:rPr>
          <w:rStyle w:val="FootnoteReference"/>
        </w:rPr>
        <w:footnoteReference w:id="20"/>
      </w:r>
    </w:p>
    <w:p w14:paraId="22554A25" w14:textId="78AB210E" w:rsidR="00835CC2" w:rsidRPr="00DD2634" w:rsidRDefault="004263E8" w:rsidP="00381744">
      <w:pPr>
        <w:pStyle w:val="NormalNumbered"/>
      </w:pPr>
      <w:r w:rsidRPr="00DD2634">
        <w:t>In Australia, research is starting to show the significant benefit of early education programmes. Preschool attendance has been shown to be equivalent to 10 to 20</w:t>
      </w:r>
      <w:r w:rsidR="0085030F" w:rsidRPr="00DD2634">
        <w:t xml:space="preserve"> points in the</w:t>
      </w:r>
      <w:r w:rsidRPr="00DD2634">
        <w:t xml:space="preserve"> National Assessment Program for Literacy and Numeracy (NAPLAN) or 15 to 20 weeks of schooling at the Year 3 level, three years after attending pre-school. </w:t>
      </w:r>
    </w:p>
    <w:p w14:paraId="04969C8B" w14:textId="5F66D7A7" w:rsidR="004263E8" w:rsidRPr="00DD2634" w:rsidRDefault="0085030F" w:rsidP="00381744">
      <w:pPr>
        <w:pStyle w:val="NormalNumbered"/>
      </w:pPr>
      <w:r w:rsidRPr="00DD2634">
        <w:t>R</w:t>
      </w:r>
      <w:r w:rsidR="00CF7715" w:rsidRPr="00DD2634">
        <w:t>esearch also shows that</w:t>
      </w:r>
      <w:r w:rsidR="004263E8" w:rsidRPr="00DD2634">
        <w:t xml:space="preserve"> children whose preschool educator had a diploma or degree in early childhood education gained the most from attending preschool.</w:t>
      </w:r>
      <w:r w:rsidR="004263E8" w:rsidRPr="00DD2634">
        <w:rPr>
          <w:rStyle w:val="FootnoteReference"/>
          <w:rFonts w:cstheme="minorHAnsi"/>
        </w:rPr>
        <w:footnoteReference w:id="21"/>
      </w:r>
    </w:p>
    <w:p w14:paraId="04969C8C" w14:textId="17170261" w:rsidR="004263E8" w:rsidRPr="00DD2634" w:rsidRDefault="004263E8" w:rsidP="004E27F0">
      <w:pPr>
        <w:pStyle w:val="NormalNumbered"/>
      </w:pPr>
      <w:r w:rsidRPr="00DD2634">
        <w:t>The Australian Early Development Index (</w:t>
      </w:r>
      <w:proofErr w:type="spellStart"/>
      <w:r w:rsidRPr="00DD2634">
        <w:t>AEDI</w:t>
      </w:r>
      <w:proofErr w:type="spellEnd"/>
      <w:r w:rsidRPr="00DD2634">
        <w:t>)</w:t>
      </w:r>
      <w:r w:rsidRPr="00DD2634">
        <w:rPr>
          <w:rStyle w:val="FootnoteReference"/>
        </w:rPr>
        <w:footnoteReference w:id="22"/>
      </w:r>
      <w:r w:rsidRPr="00DD2634">
        <w:t xml:space="preserve"> </w:t>
      </w:r>
      <w:r w:rsidR="00762B31" w:rsidRPr="00DD2634">
        <w:t>–</w:t>
      </w:r>
      <w:r w:rsidRPr="00DD2634">
        <w:t xml:space="preserve"> shows that developmental vulnerability in children is not limited to those from low socio-economic backgrounds, but exists across the social and economic spectrum.</w:t>
      </w:r>
      <w:r w:rsidR="00B74598" w:rsidRPr="00DD2634">
        <w:t xml:space="preserve"> </w:t>
      </w:r>
      <w:r w:rsidRPr="00DD2634">
        <w:lastRenderedPageBreak/>
        <w:t xml:space="preserve">While children from low socio-economic backgrounds are overly represented in the population of </w:t>
      </w:r>
      <w:r w:rsidR="00BB1CFC" w:rsidRPr="00DD2634">
        <w:t xml:space="preserve">developmentally </w:t>
      </w:r>
      <w:r w:rsidRPr="00DD2634">
        <w:t>vulnerable children, they do not make up the majority of such children. Restricting programmes to vulnerable children in low</w:t>
      </w:r>
      <w:r w:rsidR="004E27F0" w:rsidRPr="00DD2634">
        <w:t>er</w:t>
      </w:r>
      <w:r w:rsidRPr="00DD2634">
        <w:t xml:space="preserve"> socio-economic group therefore </w:t>
      </w:r>
      <w:r w:rsidR="004E27F0" w:rsidRPr="00DD2634">
        <w:t>risks missing</w:t>
      </w:r>
      <w:r w:rsidRPr="00DD2634">
        <w:t xml:space="preserve"> the majority of children experiencing difficulties.</w:t>
      </w:r>
      <w:r w:rsidRPr="00DD2634">
        <w:rPr>
          <w:rStyle w:val="FootnoteReference"/>
          <w:rFonts w:cstheme="minorHAnsi"/>
        </w:rPr>
        <w:footnoteReference w:id="23"/>
      </w:r>
    </w:p>
    <w:p w14:paraId="04969C8D" w14:textId="60B1B5A6" w:rsidR="004263E8" w:rsidRPr="00DD2634" w:rsidRDefault="004263E8" w:rsidP="00381744">
      <w:pPr>
        <w:pStyle w:val="NormalNumbered"/>
      </w:pPr>
      <w:r w:rsidRPr="00DD2634">
        <w:t xml:space="preserve">The </w:t>
      </w:r>
      <w:proofErr w:type="spellStart"/>
      <w:r w:rsidRPr="00DD2634">
        <w:t>AEDI</w:t>
      </w:r>
      <w:proofErr w:type="spellEnd"/>
      <w:r w:rsidRPr="00DD2634">
        <w:t xml:space="preserve"> is also revealing links between childhood vulnerability and later outcomes. This research indicates that the </w:t>
      </w:r>
      <w:proofErr w:type="spellStart"/>
      <w:r w:rsidRPr="00DD2634">
        <w:t>AEDI</w:t>
      </w:r>
      <w:proofErr w:type="spellEnd"/>
      <w:r w:rsidRPr="00DD2634">
        <w:t xml:space="preserve"> progress measure (developmentally vulnerable on one or more domains) appears to be the strongest summary indicator of later literacy, numeracy and other cognitive and behavioural outcomes of children. It identifies strong correlations between levels of vulnerability and poor NAPLAN performances.</w:t>
      </w:r>
      <w:r w:rsidRPr="00DD2634">
        <w:rPr>
          <w:rStyle w:val="FootnoteReference"/>
          <w:rFonts w:cstheme="minorHAnsi"/>
        </w:rPr>
        <w:footnoteReference w:id="24"/>
      </w:r>
      <w:r w:rsidRPr="00DD2634">
        <w:t xml:space="preserve"> This provides supporting evidence for government policies directed at maximising children’s development at early points in their lives.</w:t>
      </w:r>
    </w:p>
    <w:p w14:paraId="04969CCB" w14:textId="74A8B267" w:rsidR="00C55FEB" w:rsidRPr="00DD2634" w:rsidRDefault="00CF7715" w:rsidP="00D661D0">
      <w:pPr>
        <w:pStyle w:val="Heading1"/>
      </w:pPr>
      <w:bookmarkStart w:id="41" w:name="_Toc377217337"/>
      <w:bookmarkStart w:id="42" w:name="_Toc379208179"/>
      <w:bookmarkStart w:id="43" w:name="_Toc377217320"/>
      <w:bookmarkStart w:id="44" w:name="_Toc372967023"/>
      <w:bookmarkStart w:id="45" w:name="_Toc373221253"/>
      <w:bookmarkEnd w:id="32"/>
      <w:bookmarkEnd w:id="33"/>
      <w:bookmarkEnd w:id="34"/>
      <w:bookmarkEnd w:id="35"/>
      <w:r w:rsidRPr="00DD2634">
        <w:lastRenderedPageBreak/>
        <w:t>G</w:t>
      </w:r>
      <w:r w:rsidR="00C55FEB" w:rsidRPr="00DD2634">
        <w:t>overnment</w:t>
      </w:r>
      <w:r w:rsidR="006D1597" w:rsidRPr="00DD2634">
        <w:t>’s</w:t>
      </w:r>
      <w:r w:rsidRPr="00DD2634">
        <w:t xml:space="preserve"> role</w:t>
      </w:r>
      <w:r w:rsidR="00C55FEB" w:rsidRPr="00DD2634">
        <w:t xml:space="preserve"> in </w:t>
      </w:r>
      <w:bookmarkEnd w:id="41"/>
      <w:r w:rsidR="00292222" w:rsidRPr="00DD2634">
        <w:t>child care and early childhood learning</w:t>
      </w:r>
      <w:bookmarkEnd w:id="42"/>
    </w:p>
    <w:p w14:paraId="04969CCC" w14:textId="78BA2B30" w:rsidR="00041501" w:rsidRPr="00DD2634" w:rsidRDefault="00524B00" w:rsidP="00381744">
      <w:pPr>
        <w:pStyle w:val="NormalNumbered"/>
      </w:pPr>
      <w:r w:rsidRPr="00DD2634">
        <w:t>Government</w:t>
      </w:r>
      <w:r w:rsidR="006D1597" w:rsidRPr="00DD2634">
        <w:t>s of all levels (Australian, state, t</w:t>
      </w:r>
      <w:r w:rsidR="00CF7715" w:rsidRPr="00DD2634">
        <w:t xml:space="preserve">erritory and local) </w:t>
      </w:r>
      <w:r w:rsidR="00041501" w:rsidRPr="00DD2634">
        <w:t xml:space="preserve">have a </w:t>
      </w:r>
      <w:r w:rsidRPr="00DD2634">
        <w:t xml:space="preserve">role </w:t>
      </w:r>
      <w:r w:rsidR="00041501" w:rsidRPr="00DD2634">
        <w:t>in addressing child care market failure, primarily through</w:t>
      </w:r>
      <w:r w:rsidRPr="00DD2634">
        <w:t xml:space="preserve"> </w:t>
      </w:r>
      <w:r w:rsidR="00041501" w:rsidRPr="00DD2634">
        <w:t>supply and demand funding, regulation and legislation, information provision</w:t>
      </w:r>
      <w:r w:rsidR="00FD66C9" w:rsidRPr="00DD2634">
        <w:t>, and setting national policies</w:t>
      </w:r>
      <w:r w:rsidR="00041501" w:rsidRPr="00DD2634">
        <w:t xml:space="preserve">. This section focusses primarily on the Australian Government's </w:t>
      </w:r>
      <w:r w:rsidR="00E06171" w:rsidRPr="00DD2634">
        <w:t xml:space="preserve">current </w:t>
      </w:r>
      <w:r w:rsidR="00041501" w:rsidRPr="00DD2634">
        <w:t xml:space="preserve">role in </w:t>
      </w:r>
      <w:r w:rsidR="008F197C" w:rsidRPr="00DD2634">
        <w:t>CCECL</w:t>
      </w:r>
      <w:r w:rsidR="00041501" w:rsidRPr="00DD2634">
        <w:t>.</w:t>
      </w:r>
    </w:p>
    <w:p w14:paraId="04969CCD" w14:textId="6B2E2EF9" w:rsidR="00C55FEB" w:rsidRPr="00DD2634" w:rsidRDefault="00041501" w:rsidP="00BE5BEF">
      <w:pPr>
        <w:pStyle w:val="Heading2"/>
      </w:pPr>
      <w:bookmarkStart w:id="46" w:name="_Toc379208180"/>
      <w:bookmarkStart w:id="47" w:name="_Toc373221254"/>
      <w:bookmarkStart w:id="48" w:name="_Toc372967025"/>
      <w:r w:rsidRPr="00DD2634">
        <w:rPr>
          <w:noProof/>
          <w:lang w:eastAsia="en-AU"/>
        </w:rPr>
        <w:t>Regulation</w:t>
      </w:r>
      <w:bookmarkEnd w:id="46"/>
    </w:p>
    <w:bookmarkStart w:id="49" w:name="_Toc377217338"/>
    <w:p w14:paraId="04969CCE" w14:textId="65CCFF9D" w:rsidR="00C55FEB" w:rsidRPr="00DD2634" w:rsidRDefault="00FC3C61" w:rsidP="00381744">
      <w:pPr>
        <w:pStyle w:val="NormalNumbered"/>
      </w:pPr>
      <w:r w:rsidRPr="00DD2634">
        <w:rPr>
          <w:noProof/>
          <w:lang w:eastAsia="en-AU"/>
        </w:rPr>
        <mc:AlternateContent>
          <mc:Choice Requires="wps">
            <w:drawing>
              <wp:anchor distT="0" distB="0" distL="114300" distR="114300" simplePos="0" relativeHeight="251681792" behindDoc="0" locked="0" layoutInCell="0" allowOverlap="1" wp14:anchorId="04969ED7" wp14:editId="3ED9FFFE">
                <wp:simplePos x="0" y="0"/>
                <wp:positionH relativeFrom="margin">
                  <wp:posOffset>3372485</wp:posOffset>
                </wp:positionH>
                <wp:positionV relativeFrom="margin">
                  <wp:posOffset>1941830</wp:posOffset>
                </wp:positionV>
                <wp:extent cx="2020570" cy="1818640"/>
                <wp:effectExtent l="19050" t="19050" r="17780" b="10160"/>
                <wp:wrapSquare wrapText="bothSides"/>
                <wp:docPr id="69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0570" cy="1818640"/>
                        </a:xfrm>
                        <a:prstGeom prst="bracketPair">
                          <a:avLst>
                            <a:gd name="adj" fmla="val 8051"/>
                          </a:avLst>
                        </a:prstGeom>
                        <a:noFill/>
                        <a:ln w="38100">
                          <a:solidFill>
                            <a:schemeClr val="tx1">
                              <a:lumMod val="50000"/>
                              <a:lumOff val="50000"/>
                            </a:schemeClr>
                          </a:solidFill>
                          <a:round/>
                          <a:headEnd/>
                          <a:tailEnd/>
                        </a:ln>
                        <a:extLst>
                          <a:ext uri="{909E8E84-426E-40DD-AFC4-6F175D3DCCD1}">
                            <a14:hiddenFill xmlns:a14="http://schemas.microsoft.com/office/drawing/2010/main">
                              <a:solidFill>
                                <a:srgbClr val="943634"/>
                              </a:solidFill>
                            </a14:hiddenFill>
                          </a:ext>
                          <a:ext uri="{AF507438-7753-43E0-B8FC-AC1667EBCBE1}">
                            <a14:hiddenEffects xmlns:a14="http://schemas.microsoft.com/office/drawing/2010/main">
                              <a:effectLst>
                                <a:outerShdw dist="17961" dir="2700000" algn="ctr" rotWithShape="0">
                                  <a:srgbClr val="9BBB59">
                                    <a:gamma/>
                                    <a:shade val="60000"/>
                                    <a:invGamma/>
                                  </a:srgbClr>
                                </a:outerShdw>
                              </a:effectLst>
                            </a14:hiddenEffects>
                          </a:ext>
                        </a:extLst>
                      </wps:spPr>
                      <wps:txbx>
                        <w:txbxContent>
                          <w:p w14:paraId="04969F5B" w14:textId="77777777" w:rsidR="006678AE" w:rsidRPr="009158D9" w:rsidRDefault="006678AE" w:rsidP="0093530F">
                            <w:pPr>
                              <w:spacing w:after="0"/>
                              <w:ind w:right="-30"/>
                              <w:rPr>
                                <w:b/>
                                <w:i/>
                                <w:iCs/>
                                <w:sz w:val="20"/>
                                <w:szCs w:val="20"/>
                              </w:rPr>
                            </w:pPr>
                            <w:r w:rsidRPr="009158D9">
                              <w:rPr>
                                <w:b/>
                                <w:i/>
                                <w:iCs/>
                                <w:sz w:val="20"/>
                                <w:szCs w:val="20"/>
                              </w:rPr>
                              <w:t>Key Points:</w:t>
                            </w:r>
                          </w:p>
                          <w:p w14:paraId="04969F5C" w14:textId="77777777" w:rsidR="006678AE" w:rsidRDefault="006678AE" w:rsidP="006E1311">
                            <w:pPr>
                              <w:pStyle w:val="ListParagraph"/>
                              <w:numPr>
                                <w:ilvl w:val="0"/>
                                <w:numId w:val="16"/>
                              </w:numPr>
                              <w:spacing w:after="0"/>
                              <w:ind w:left="284" w:right="-30" w:hanging="287"/>
                              <w:rPr>
                                <w:i/>
                                <w:iCs/>
                                <w:sz w:val="20"/>
                                <w:szCs w:val="20"/>
                              </w:rPr>
                            </w:pPr>
                            <w:r>
                              <w:rPr>
                                <w:i/>
                                <w:iCs/>
                                <w:sz w:val="20"/>
                                <w:szCs w:val="20"/>
                              </w:rPr>
                              <w:t>All levels of government are involved in CCECL regulation.</w:t>
                            </w:r>
                          </w:p>
                          <w:p w14:paraId="04969F5D" w14:textId="77777777" w:rsidR="006678AE" w:rsidRPr="00A25840" w:rsidRDefault="006678AE" w:rsidP="006E1311">
                            <w:pPr>
                              <w:pStyle w:val="ListParagraph"/>
                              <w:numPr>
                                <w:ilvl w:val="0"/>
                                <w:numId w:val="16"/>
                              </w:numPr>
                              <w:spacing w:after="0"/>
                              <w:ind w:left="284" w:right="-30" w:hanging="287"/>
                              <w:rPr>
                                <w:i/>
                                <w:iCs/>
                                <w:sz w:val="20"/>
                                <w:szCs w:val="20"/>
                              </w:rPr>
                            </w:pPr>
                            <w:r>
                              <w:rPr>
                                <w:i/>
                                <w:iCs/>
                                <w:sz w:val="20"/>
                                <w:szCs w:val="20"/>
                              </w:rPr>
                              <w:t xml:space="preserve">The National Quality Framework for Early Childhood Education and Care, which commenced 1 January 2012, replaced individual state and territory licencing systems. </w:t>
                            </w:r>
                          </w:p>
                        </w:txbxContent>
                      </wps:txbx>
                      <wps:bodyPr rot="0" vert="horz" wrap="square" lIns="45720" tIns="45720" rIns="4572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3" type="#_x0000_t185" style="position:absolute;left:0;text-align:left;margin-left:265.55pt;margin-top:152.9pt;width:159.1pt;height:143.2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" o:allowincell="f" adj="1739" fillcolor="#943634" strokecolor="gray [1629]" strokeweight="3pt">
                <v:shadow color="#5d7035" offset="1pt,1pt"/>
                <v:textbox inset="3.6pt,,3.6pt">
                  <w:txbxContent>
                    <w:p w14:paraId="04969F5B" w14:textId="77777777" w:rsidR="006678AE" w:rsidRPr="009158D9" w:rsidRDefault="006678AE" w:rsidP="0093530F">
                      <w:pPr>
                        <w:spacing w:after="0"/>
                        <w:ind w:right="-30"/>
                        <w:rPr>
                          <w:b/>
                          <w:i/>
                          <w:iCs/>
                          <w:sz w:val="20"/>
                          <w:szCs w:val="20"/>
                        </w:rPr>
                      </w:pPr>
                      <w:r w:rsidRPr="009158D9">
                        <w:rPr>
                          <w:b/>
                          <w:i/>
                          <w:iCs/>
                          <w:sz w:val="20"/>
                          <w:szCs w:val="20"/>
                        </w:rPr>
                        <w:t>Key Points:</w:t>
                      </w:r>
                    </w:p>
                    <w:p w14:paraId="04969F5C" w14:textId="77777777" w:rsidR="006678AE" w:rsidRDefault="006678AE" w:rsidP="006E1311">
                      <w:pPr>
                        <w:pStyle w:val="ListParagraph"/>
                        <w:numPr>
                          <w:ilvl w:val="0"/>
                          <w:numId w:val="16"/>
                        </w:numPr>
                        <w:spacing w:after="0"/>
                        <w:ind w:left="284" w:right="-30" w:hanging="287"/>
                        <w:rPr>
                          <w:i/>
                          <w:iCs/>
                          <w:sz w:val="20"/>
                          <w:szCs w:val="20"/>
                        </w:rPr>
                      </w:pPr>
                      <w:r>
                        <w:rPr>
                          <w:i/>
                          <w:iCs/>
                          <w:sz w:val="20"/>
                          <w:szCs w:val="20"/>
                        </w:rPr>
                        <w:t>All levels of government are involved in CCECL regulation.</w:t>
                      </w:r>
                    </w:p>
                    <w:p w14:paraId="04969F5D" w14:textId="77777777" w:rsidR="006678AE" w:rsidRPr="00A25840" w:rsidRDefault="006678AE" w:rsidP="006E1311">
                      <w:pPr>
                        <w:pStyle w:val="ListParagraph"/>
                        <w:numPr>
                          <w:ilvl w:val="0"/>
                          <w:numId w:val="16"/>
                        </w:numPr>
                        <w:spacing w:after="0"/>
                        <w:ind w:left="284" w:right="-30" w:hanging="287"/>
                        <w:rPr>
                          <w:i/>
                          <w:iCs/>
                          <w:sz w:val="20"/>
                          <w:szCs w:val="20"/>
                        </w:rPr>
                      </w:pPr>
                      <w:r>
                        <w:rPr>
                          <w:i/>
                          <w:iCs/>
                          <w:sz w:val="20"/>
                          <w:szCs w:val="20"/>
                        </w:rPr>
                        <w:t xml:space="preserve">The National Quality Framework for Early Childhood Education and Care, which commenced 1 January 2012, replaced individual state and territory licencing systems. </w:t>
                      </w:r>
                    </w:p>
                  </w:txbxContent>
                </v:textbox>
                <w10:wrap type="square" anchorx="margin" anchory="margin"/>
              </v:shape>
            </w:pict>
          </mc:Fallback>
        </mc:AlternateContent>
      </w:r>
      <w:bookmarkEnd w:id="49"/>
      <w:r w:rsidR="00021DE0" w:rsidRPr="00DD2634">
        <w:t xml:space="preserve">The </w:t>
      </w:r>
      <w:r w:rsidR="00C55FEB" w:rsidRPr="00DD2634">
        <w:t>Australian Government has primary carriage of a range of legislation and regulations</w:t>
      </w:r>
      <w:r w:rsidR="00952758" w:rsidRPr="00DD2634">
        <w:t xml:space="preserve"> (collectively known as Family Assistance Law)</w:t>
      </w:r>
      <w:r w:rsidR="00C55FEB" w:rsidRPr="00DD2634">
        <w:t>, including:</w:t>
      </w:r>
      <w:r w:rsidR="00C55FEB" w:rsidRPr="00DD2634">
        <w:rPr>
          <w:rStyle w:val="FootnoteReference"/>
        </w:rPr>
        <w:t xml:space="preserve"> </w:t>
      </w:r>
      <w:r w:rsidR="00C55FEB" w:rsidRPr="00DD2634">
        <w:rPr>
          <w:rStyle w:val="FootnoteReference"/>
        </w:rPr>
        <w:footnoteReference w:id="25"/>
      </w:r>
    </w:p>
    <w:p w14:paraId="04969CCF" w14:textId="2393DBF1" w:rsidR="00C55FEB" w:rsidRPr="00DD2634" w:rsidRDefault="00C55FEB" w:rsidP="007F055E">
      <w:pPr>
        <w:pStyle w:val="ListBullet"/>
        <w:rPr>
          <w:i/>
        </w:rPr>
      </w:pPr>
      <w:r w:rsidRPr="00DD2634">
        <w:rPr>
          <w:i/>
        </w:rPr>
        <w:t>A New Tax System (Family Assistance) (Administration) Act 1999</w:t>
      </w:r>
    </w:p>
    <w:p w14:paraId="04969CD0" w14:textId="7A698530" w:rsidR="00C55FEB" w:rsidRPr="00DD2634" w:rsidRDefault="00C55FEB" w:rsidP="007F055E">
      <w:pPr>
        <w:pStyle w:val="ListBullet"/>
        <w:rPr>
          <w:i/>
        </w:rPr>
      </w:pPr>
      <w:r w:rsidRPr="00DD2634">
        <w:rPr>
          <w:i/>
        </w:rPr>
        <w:t>A New Tax System (Family Assistance) Act 1999</w:t>
      </w:r>
    </w:p>
    <w:p w14:paraId="04969CD1" w14:textId="345506A5" w:rsidR="00C55FEB" w:rsidRPr="00DD2634" w:rsidRDefault="00C55FEB" w:rsidP="007F055E">
      <w:pPr>
        <w:pStyle w:val="ListBullet"/>
      </w:pPr>
      <w:r w:rsidRPr="00DD2634">
        <w:t>Child Care Benefit (Eligibility of Child Care Services for Approval and Continued Approval) Determination 2000</w:t>
      </w:r>
    </w:p>
    <w:p w14:paraId="04969CD2" w14:textId="77777777" w:rsidR="00C55FEB" w:rsidRPr="00DD2634" w:rsidRDefault="00CA4F8D" w:rsidP="007F055E">
      <w:pPr>
        <w:pStyle w:val="ListBullet"/>
      </w:pPr>
      <w:r w:rsidRPr="00DD2634">
        <w:rPr>
          <w:i/>
        </w:rPr>
        <w:t>Family Assistance L</w:t>
      </w:r>
      <w:r w:rsidR="00C55FEB" w:rsidRPr="00DD2634">
        <w:rPr>
          <w:i/>
        </w:rPr>
        <w:t>egislation Amendment (Child Care Management System and Other Measures) Act 2007</w:t>
      </w:r>
      <w:r w:rsidR="00762B31" w:rsidRPr="00DD2634">
        <w:t>.</w:t>
      </w:r>
    </w:p>
    <w:p w14:paraId="55A22361" w14:textId="77777777" w:rsidR="00F67695" w:rsidRPr="00DD2634" w:rsidRDefault="00FD7913" w:rsidP="00381744">
      <w:pPr>
        <w:pStyle w:val="NormalNumbered"/>
      </w:pPr>
      <w:r w:rsidRPr="00DD2634">
        <w:t>T</w:t>
      </w:r>
      <w:r w:rsidR="00C55FEB" w:rsidRPr="00DD2634">
        <w:t xml:space="preserve">he </w:t>
      </w:r>
      <w:r w:rsidR="00524B00" w:rsidRPr="00DD2634">
        <w:t xml:space="preserve">Australian </w:t>
      </w:r>
      <w:r w:rsidR="00C55FEB" w:rsidRPr="00DD2634">
        <w:t xml:space="preserve">Government </w:t>
      </w:r>
      <w:r w:rsidRPr="00DD2634">
        <w:t>invests</w:t>
      </w:r>
      <w:r w:rsidR="00C55FEB" w:rsidRPr="00DD2634">
        <w:t xml:space="preserve"> </w:t>
      </w:r>
      <w:r w:rsidR="00524B00" w:rsidRPr="00DD2634">
        <w:t>over $6</w:t>
      </w:r>
      <w:r w:rsidR="00C55FEB" w:rsidRPr="00DD2634">
        <w:t xml:space="preserve"> billion each year in </w:t>
      </w:r>
      <w:r w:rsidR="00330088" w:rsidRPr="00DD2634">
        <w:t>CCECL</w:t>
      </w:r>
      <w:r w:rsidRPr="00DD2634">
        <w:t xml:space="preserve"> and to protect this national investment (and ensure desired policy outcomes) has put in place a range of legislative provisions.</w:t>
      </w:r>
      <w:r w:rsidR="00F67695" w:rsidRPr="00DD2634">
        <w:t xml:space="preserve"> </w:t>
      </w:r>
    </w:p>
    <w:p w14:paraId="56AE7A95" w14:textId="51F0632E" w:rsidR="00FD7913" w:rsidRPr="00DD2634" w:rsidRDefault="00FD7913" w:rsidP="00381744">
      <w:pPr>
        <w:pStyle w:val="NormalNumbered"/>
      </w:pPr>
      <w:r w:rsidRPr="00DD2634">
        <w:t xml:space="preserve">The Family Assistance Law is the basis for family assistance, the payment of </w:t>
      </w:r>
      <w:proofErr w:type="spellStart"/>
      <w:r w:rsidRPr="00DD2634">
        <w:t>CCB</w:t>
      </w:r>
      <w:proofErr w:type="spellEnd"/>
      <w:r w:rsidRPr="00DD2634">
        <w:t xml:space="preserve"> and </w:t>
      </w:r>
      <w:proofErr w:type="spellStart"/>
      <w:r w:rsidRPr="00DD2634">
        <w:t>CCR</w:t>
      </w:r>
      <w:proofErr w:type="spellEnd"/>
      <w:r w:rsidRPr="00DD2634">
        <w:t xml:space="preserve"> to eligible parents, and the payment of Family Tax Benefit.</w:t>
      </w:r>
      <w:r w:rsidR="00F67695" w:rsidRPr="00DD2634">
        <w:t xml:space="preserve"> Family Assistance Law also sets out the service and service provider approval and compliance obligations a service must meet for continued approval</w:t>
      </w:r>
      <w:r w:rsidRPr="00DD2634">
        <w:t>.</w:t>
      </w:r>
    </w:p>
    <w:p w14:paraId="04969CD5" w14:textId="05F14608" w:rsidR="00080B90" w:rsidRPr="00DD2634" w:rsidRDefault="00C55FEB" w:rsidP="00381744">
      <w:pPr>
        <w:pStyle w:val="NormalNumbered"/>
      </w:pPr>
      <w:r w:rsidRPr="00DD2634">
        <w:t>State and territory governments have primary responsibility for the regulation</w:t>
      </w:r>
      <w:r w:rsidR="00D87751" w:rsidRPr="00DD2634">
        <w:t xml:space="preserve"> and approval</w:t>
      </w:r>
      <w:r w:rsidRPr="00DD2634">
        <w:t xml:space="preserve"> of child care </w:t>
      </w:r>
      <w:r w:rsidR="00E80EAB" w:rsidRPr="00DD2634">
        <w:t xml:space="preserve">services </w:t>
      </w:r>
      <w:r w:rsidR="00D87751" w:rsidRPr="00DD2634">
        <w:t>an</w:t>
      </w:r>
      <w:r w:rsidR="009F57A8" w:rsidRPr="00DD2634">
        <w:t xml:space="preserve">d providers and </w:t>
      </w:r>
      <w:r w:rsidR="003548FE" w:rsidRPr="00DD2634">
        <w:t xml:space="preserve">the </w:t>
      </w:r>
      <w:r w:rsidR="00E80EAB" w:rsidRPr="00DD2634">
        <w:t xml:space="preserve">provision of </w:t>
      </w:r>
      <w:r w:rsidRPr="00DD2634">
        <w:rPr>
          <w:rFonts w:cstheme="minorHAnsi"/>
        </w:rPr>
        <w:t>preschool</w:t>
      </w:r>
      <w:r w:rsidRPr="00DD2634">
        <w:t xml:space="preserve"> </w:t>
      </w:r>
      <w:r w:rsidR="00E80EAB" w:rsidRPr="00DD2634">
        <w:t xml:space="preserve">programmes </w:t>
      </w:r>
      <w:r w:rsidR="00A609DA" w:rsidRPr="00DD2634">
        <w:t xml:space="preserve">under the </w:t>
      </w:r>
      <w:proofErr w:type="spellStart"/>
      <w:r w:rsidR="00A609DA" w:rsidRPr="00DD2634">
        <w:t>NQF</w:t>
      </w:r>
      <w:proofErr w:type="spellEnd"/>
      <w:r w:rsidR="00A609DA" w:rsidRPr="00DD2634">
        <w:t>, which sets national standards including for educators’ qualifications and staff to child ratios.</w:t>
      </w:r>
    </w:p>
    <w:p w14:paraId="04969CD6" w14:textId="390A412F" w:rsidR="00C55FEB" w:rsidRPr="00DD2634" w:rsidRDefault="00C55FEB" w:rsidP="00381744">
      <w:pPr>
        <w:pStyle w:val="NormalNumbered"/>
      </w:pPr>
      <w:r w:rsidRPr="00DD2634">
        <w:t>Local governments have a statutory role as a land use planner, including issuing development consents and construction certificates and strategic land use planning.</w:t>
      </w:r>
      <w:r w:rsidR="00465450" w:rsidRPr="00DD2634">
        <w:t xml:space="preserve"> </w:t>
      </w:r>
      <w:r w:rsidR="00F67695" w:rsidRPr="00DD2634">
        <w:t xml:space="preserve">A number of </w:t>
      </w:r>
      <w:r w:rsidR="00465450" w:rsidRPr="00DD2634">
        <w:t>local government</w:t>
      </w:r>
      <w:r w:rsidR="00F67695" w:rsidRPr="00DD2634">
        <w:t xml:space="preserve">s </w:t>
      </w:r>
      <w:r w:rsidR="00465450" w:rsidRPr="00DD2634">
        <w:t>also provide child care and early learning services</w:t>
      </w:r>
      <w:r w:rsidR="00F67695" w:rsidRPr="00DD2634">
        <w:t xml:space="preserve"> to their communities</w:t>
      </w:r>
      <w:r w:rsidR="00465450" w:rsidRPr="00DD2634">
        <w:t>.</w:t>
      </w:r>
    </w:p>
    <w:p w14:paraId="04969CD7" w14:textId="1667E6D5" w:rsidR="002325B1" w:rsidRPr="00DD2634" w:rsidRDefault="00FC3C61" w:rsidP="00381744">
      <w:pPr>
        <w:pStyle w:val="NormalNumbered"/>
      </w:pPr>
      <w:r w:rsidRPr="00DD2634">
        <w:t>These</w:t>
      </w:r>
      <w:r w:rsidR="00F67695" w:rsidRPr="00DD2634">
        <w:t xml:space="preserve"> </w:t>
      </w:r>
      <w:r w:rsidR="002325B1" w:rsidRPr="00DD2634">
        <w:t xml:space="preserve">governance, regulation and funding arrangements </w:t>
      </w:r>
      <w:r w:rsidR="00F67695" w:rsidRPr="00DD2634">
        <w:t xml:space="preserve">across the country </w:t>
      </w:r>
      <w:r w:rsidR="00CF7715" w:rsidRPr="00DD2634">
        <w:t xml:space="preserve">have increased </w:t>
      </w:r>
      <w:r w:rsidR="00F67695" w:rsidRPr="00DD2634">
        <w:t xml:space="preserve">the </w:t>
      </w:r>
      <w:r w:rsidR="00CF7715" w:rsidRPr="00DD2634">
        <w:t xml:space="preserve">levels of </w:t>
      </w:r>
      <w:r w:rsidR="002325B1" w:rsidRPr="00DD2634">
        <w:t>complexity and inconsistency</w:t>
      </w:r>
      <w:r w:rsidR="00041501" w:rsidRPr="00DD2634">
        <w:t>.</w:t>
      </w:r>
    </w:p>
    <w:p w14:paraId="04969CD8" w14:textId="05F3CA05" w:rsidR="00737519" w:rsidRPr="00DD2634" w:rsidRDefault="00737519" w:rsidP="00FC3C61">
      <w:pPr>
        <w:pStyle w:val="NormalNumbered"/>
      </w:pPr>
      <w:r w:rsidRPr="00DD2634">
        <w:t xml:space="preserve">In 2009, </w:t>
      </w:r>
      <w:r w:rsidR="00F67695" w:rsidRPr="00DD2634">
        <w:t>the Council of Australian Governments (</w:t>
      </w:r>
      <w:r w:rsidRPr="00DD2634">
        <w:t>COAG</w:t>
      </w:r>
      <w:r w:rsidR="00F67695" w:rsidRPr="00DD2634">
        <w:t>) agreed to establish a jointly-</w:t>
      </w:r>
      <w:r w:rsidRPr="00DD2634">
        <w:t xml:space="preserve">governed unified </w:t>
      </w:r>
      <w:proofErr w:type="spellStart"/>
      <w:r w:rsidRPr="00DD2634">
        <w:t>NQF</w:t>
      </w:r>
      <w:proofErr w:type="spellEnd"/>
      <w:r w:rsidRPr="00DD2634">
        <w:t xml:space="preserve"> for </w:t>
      </w:r>
      <w:r w:rsidR="00FC3C61" w:rsidRPr="00DD2634">
        <w:t>most centre based child care</w:t>
      </w:r>
      <w:r w:rsidR="00F67695" w:rsidRPr="00DD2634">
        <w:t xml:space="preserve"> and </w:t>
      </w:r>
      <w:r w:rsidR="009F57A8" w:rsidRPr="00DD2634">
        <w:t xml:space="preserve">preschool </w:t>
      </w:r>
      <w:r w:rsidRPr="00DD2634">
        <w:t>services, replacing existing separate licensing and quality assurance processes</w:t>
      </w:r>
      <w:r w:rsidR="00FC3C61" w:rsidRPr="00DD2634">
        <w:t>. One</w:t>
      </w:r>
      <w:r w:rsidR="002974BA" w:rsidRPr="00DD2634">
        <w:t xml:space="preserve"> </w:t>
      </w:r>
      <w:r w:rsidRPr="00DD2634">
        <w:t xml:space="preserve">aim </w:t>
      </w:r>
      <w:r w:rsidR="00FC3C61" w:rsidRPr="00DD2634">
        <w:t>of this reform was</w:t>
      </w:r>
      <w:r w:rsidR="0056659B" w:rsidRPr="00DD2634">
        <w:t xml:space="preserve"> to</w:t>
      </w:r>
      <w:r w:rsidRPr="00DD2634">
        <w:t xml:space="preserve"> reduc</w:t>
      </w:r>
      <w:r w:rsidR="0056659B" w:rsidRPr="00DD2634">
        <w:t>e</w:t>
      </w:r>
      <w:r w:rsidRPr="00DD2634">
        <w:t xml:space="preserve"> regulatory overlap between levels of government, streamlin</w:t>
      </w:r>
      <w:r w:rsidR="0056659B" w:rsidRPr="00DD2634">
        <w:t>e</w:t>
      </w:r>
      <w:r w:rsidRPr="00DD2634">
        <w:t xml:space="preserve"> approval processes, improv</w:t>
      </w:r>
      <w:r w:rsidR="0056659B" w:rsidRPr="00DD2634">
        <w:t>e</w:t>
      </w:r>
      <w:r w:rsidRPr="00DD2634">
        <w:t xml:space="preserve"> consistency of approaches </w:t>
      </w:r>
      <w:r w:rsidRPr="00DD2634">
        <w:lastRenderedPageBreak/>
        <w:t>in compliance and provid</w:t>
      </w:r>
      <w:r w:rsidR="0056659B" w:rsidRPr="00DD2634">
        <w:t>e</w:t>
      </w:r>
      <w:r w:rsidRPr="00DD2634">
        <w:t xml:space="preserve"> more certainty to the child care sector, business and investors.</w:t>
      </w:r>
    </w:p>
    <w:p w14:paraId="04969CD9" w14:textId="77777777" w:rsidR="00737519" w:rsidRPr="00DD2634" w:rsidRDefault="00737519" w:rsidP="00381744">
      <w:pPr>
        <w:pStyle w:val="NormalNumbered"/>
      </w:pPr>
      <w:r w:rsidRPr="00DD2634">
        <w:t xml:space="preserve">The </w:t>
      </w:r>
      <w:proofErr w:type="spellStart"/>
      <w:r w:rsidRPr="00DD2634">
        <w:t>NQF</w:t>
      </w:r>
      <w:proofErr w:type="spellEnd"/>
      <w:r w:rsidRPr="00DD2634">
        <w:t xml:space="preserve"> represents a major reform of child care and early learning services aimed at improving quality across the sector. The </w:t>
      </w:r>
      <w:proofErr w:type="spellStart"/>
      <w:r w:rsidRPr="00DD2634">
        <w:t>NQF</w:t>
      </w:r>
      <w:proofErr w:type="spellEnd"/>
      <w:r w:rsidRPr="00DD2634">
        <w:t xml:space="preserve"> was established through:</w:t>
      </w:r>
    </w:p>
    <w:p w14:paraId="04969CDA" w14:textId="016C4A58" w:rsidR="00737519" w:rsidRPr="00DD2634" w:rsidRDefault="00737519" w:rsidP="00AA625D">
      <w:pPr>
        <w:pStyle w:val="ListBullet"/>
      </w:pPr>
      <w:r w:rsidRPr="00DD2634">
        <w:t>the Education and Care Services National Law and the Education and Care Service National Regulations</w:t>
      </w:r>
    </w:p>
    <w:p w14:paraId="04969CDB" w14:textId="326CC106" w:rsidR="00737519" w:rsidRPr="00DD2634" w:rsidRDefault="00737519" w:rsidP="00AA625D">
      <w:pPr>
        <w:pStyle w:val="ListBullet"/>
      </w:pPr>
      <w:r w:rsidRPr="00DD2634">
        <w:t>the National Quality Standard for Early Childhood Education and Care and School Age Care (National Quality Standard)</w:t>
      </w:r>
    </w:p>
    <w:p w14:paraId="04969CDC" w14:textId="37E4FF5A" w:rsidR="00737519" w:rsidRPr="00DD2634" w:rsidRDefault="00737519" w:rsidP="00AA625D">
      <w:pPr>
        <w:pStyle w:val="ListBullet"/>
      </w:pPr>
      <w:r w:rsidRPr="00DD2634">
        <w:t>a national quality</w:t>
      </w:r>
      <w:r w:rsidR="0078367D" w:rsidRPr="00DD2634">
        <w:t xml:space="preserve"> rating and assessment process</w:t>
      </w:r>
    </w:p>
    <w:p w14:paraId="04969CDD" w14:textId="195BB6A1" w:rsidR="00737519" w:rsidRPr="00DD2634" w:rsidRDefault="00737519" w:rsidP="00AA625D">
      <w:pPr>
        <w:pStyle w:val="ListBullet"/>
      </w:pPr>
      <w:r w:rsidRPr="00DD2634">
        <w:t>streamlined regulatory arrangements</w:t>
      </w:r>
    </w:p>
    <w:p w14:paraId="04969CDE" w14:textId="55791DC9" w:rsidR="00737519" w:rsidRPr="00DD2634" w:rsidRDefault="00CF7715" w:rsidP="00AA625D">
      <w:pPr>
        <w:pStyle w:val="ListBullet"/>
      </w:pPr>
      <w:r w:rsidRPr="00DD2634">
        <w:t xml:space="preserve">a national body – the Australian Children’s Education and Care Quality Authority (ACECQA) - </w:t>
      </w:r>
      <w:r w:rsidR="00737519" w:rsidRPr="00DD2634">
        <w:t>jointly governed by the Australian Government and state and territory governments.</w:t>
      </w:r>
    </w:p>
    <w:p w14:paraId="04969CDF" w14:textId="3891AD78" w:rsidR="00737519" w:rsidRPr="00DD2634" w:rsidRDefault="00737519" w:rsidP="00A609DA">
      <w:pPr>
        <w:pStyle w:val="NormalNumbered"/>
      </w:pPr>
      <w:r w:rsidRPr="00DD2634">
        <w:t xml:space="preserve">The </w:t>
      </w:r>
      <w:proofErr w:type="spellStart"/>
      <w:r w:rsidRPr="00DD2634">
        <w:t>NQF</w:t>
      </w:r>
      <w:proofErr w:type="spellEnd"/>
      <w:r w:rsidRPr="00DD2634">
        <w:t xml:space="preserve"> commenced on 1 January 2012, and is being progressively implemented. While the Education and Care Services National Law defines the children’s services covered, the Education and Care Services National Regulations limit coverage at this time to </w:t>
      </w:r>
      <w:r w:rsidR="003548FE" w:rsidRPr="00DD2634">
        <w:t>LDC</w:t>
      </w:r>
      <w:r w:rsidRPr="00DD2634">
        <w:t xml:space="preserve"> centres, </w:t>
      </w:r>
      <w:r w:rsidR="003548FE" w:rsidRPr="00DD2634">
        <w:t>FDC</w:t>
      </w:r>
      <w:r w:rsidRPr="00DD2634">
        <w:t xml:space="preserve"> services, preschools</w:t>
      </w:r>
      <w:r w:rsidR="001A168A" w:rsidRPr="00DD2634">
        <w:t xml:space="preserve"> </w:t>
      </w:r>
      <w:r w:rsidRPr="00DD2634">
        <w:t xml:space="preserve">and OSHC services. Under the </w:t>
      </w:r>
      <w:proofErr w:type="spellStart"/>
      <w:r w:rsidRPr="00DD2634">
        <w:t>NQF</w:t>
      </w:r>
      <w:proofErr w:type="spellEnd"/>
      <w:r w:rsidRPr="00DD2634">
        <w:t xml:space="preserve">, these services are assessed and rated against </w:t>
      </w:r>
      <w:r w:rsidR="00952758" w:rsidRPr="00DD2634">
        <w:t xml:space="preserve">the </w:t>
      </w:r>
      <w:r w:rsidRPr="00DD2634">
        <w:t xml:space="preserve">National Quality Standard, and expected to undertake continuous quality improvement. </w:t>
      </w:r>
      <w:r w:rsidR="00182452">
        <w:t xml:space="preserve">Since the introduction of the </w:t>
      </w:r>
      <w:proofErr w:type="spellStart"/>
      <w:r w:rsidR="00182452">
        <w:t>NQF</w:t>
      </w:r>
      <w:proofErr w:type="spellEnd"/>
      <w:r w:rsidR="00182452">
        <w:t>, a number of child care service providers have raised concerns that regulatory burden has not reduced.</w:t>
      </w:r>
      <w:r w:rsidR="00182452">
        <w:rPr>
          <w:rStyle w:val="FootnoteReference"/>
        </w:rPr>
        <w:footnoteReference w:id="26"/>
      </w:r>
    </w:p>
    <w:p w14:paraId="04969CE0" w14:textId="7499E014" w:rsidR="003E55B1" w:rsidRPr="00DD2634" w:rsidRDefault="003E55B1" w:rsidP="00381744">
      <w:pPr>
        <w:pStyle w:val="NormalNumbered"/>
      </w:pPr>
      <w:r w:rsidRPr="00DD2634">
        <w:t>The Australian Government also has obligations under relevant international conventions including the Convention on the Rights of the Child and the Convention on the Rights of Persons with Disabilities in relation to education and early learning.</w:t>
      </w:r>
    </w:p>
    <w:p w14:paraId="04969CE1" w14:textId="37E6A79B" w:rsidR="00041501" w:rsidRPr="00DD2634" w:rsidRDefault="00041501" w:rsidP="00BE5BEF">
      <w:pPr>
        <w:pStyle w:val="Heading2"/>
      </w:pPr>
      <w:bookmarkStart w:id="50" w:name="_Ref378932903"/>
      <w:bookmarkStart w:id="51" w:name="_Toc379208181"/>
      <w:bookmarkStart w:id="52" w:name="_Toc377217342"/>
      <w:bookmarkStart w:id="53" w:name="_Ref377281055"/>
      <w:bookmarkStart w:id="54" w:name="_Ref377281078"/>
      <w:bookmarkStart w:id="55" w:name="_Toc377217341"/>
      <w:r w:rsidRPr="00DD2634">
        <w:t>Funding</w:t>
      </w:r>
      <w:bookmarkEnd w:id="50"/>
      <w:bookmarkEnd w:id="51"/>
    </w:p>
    <w:bookmarkEnd w:id="52"/>
    <w:bookmarkEnd w:id="53"/>
    <w:bookmarkEnd w:id="54"/>
    <w:p w14:paraId="7E048577" w14:textId="236358B9" w:rsidR="00757523" w:rsidRPr="00DD2634" w:rsidRDefault="000F0394" w:rsidP="00381744">
      <w:pPr>
        <w:pStyle w:val="NormalNumbered"/>
      </w:pPr>
      <w:r w:rsidRPr="00DD2634">
        <w:rPr>
          <w:noProof/>
          <w:lang w:eastAsia="en-AU"/>
        </w:rPr>
        <mc:AlternateContent>
          <mc:Choice Requires="wps">
            <w:drawing>
              <wp:anchor distT="0" distB="0" distL="114300" distR="114300" simplePos="0" relativeHeight="251694080" behindDoc="0" locked="0" layoutInCell="0" allowOverlap="1" wp14:anchorId="04969ED9" wp14:editId="51D27436">
                <wp:simplePos x="0" y="0"/>
                <wp:positionH relativeFrom="margin">
                  <wp:posOffset>3616325</wp:posOffset>
                </wp:positionH>
                <wp:positionV relativeFrom="margin">
                  <wp:posOffset>5851525</wp:posOffset>
                </wp:positionV>
                <wp:extent cx="1724660" cy="1230630"/>
                <wp:effectExtent l="19050" t="19050" r="27940" b="26670"/>
                <wp:wrapSquare wrapText="bothSides"/>
                <wp:docPr id="67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4660" cy="1230630"/>
                        </a:xfrm>
                        <a:prstGeom prst="bracketPair">
                          <a:avLst>
                            <a:gd name="adj" fmla="val 8051"/>
                          </a:avLst>
                        </a:prstGeom>
                        <a:noFill/>
                        <a:ln w="38100">
                          <a:solidFill>
                            <a:schemeClr val="tx1">
                              <a:lumMod val="50000"/>
                              <a:lumOff val="50000"/>
                            </a:schemeClr>
                          </a:solidFill>
                          <a:round/>
                          <a:headEnd/>
                          <a:tailEnd/>
                        </a:ln>
                        <a:extLst>
                          <a:ext uri="{909E8E84-426E-40DD-AFC4-6F175D3DCCD1}">
                            <a14:hiddenFill xmlns:a14="http://schemas.microsoft.com/office/drawing/2010/main">
                              <a:solidFill>
                                <a:srgbClr val="943634"/>
                              </a:solidFill>
                            </a14:hiddenFill>
                          </a:ext>
                          <a:ext uri="{AF507438-7753-43E0-B8FC-AC1667EBCBE1}">
                            <a14:hiddenEffects xmlns:a14="http://schemas.microsoft.com/office/drawing/2010/main">
                              <a:effectLst>
                                <a:outerShdw dist="17961" dir="2700000" algn="ctr" rotWithShape="0">
                                  <a:srgbClr val="9BBB59">
                                    <a:gamma/>
                                    <a:shade val="60000"/>
                                    <a:invGamma/>
                                  </a:srgbClr>
                                </a:outerShdw>
                              </a:effectLst>
                            </a14:hiddenEffects>
                          </a:ext>
                        </a:extLst>
                      </wps:spPr>
                      <wps:txbx>
                        <w:txbxContent>
                          <w:p w14:paraId="04969F5E" w14:textId="77777777" w:rsidR="006678AE" w:rsidRPr="00C4362D" w:rsidRDefault="006678AE" w:rsidP="00784D65">
                            <w:pPr>
                              <w:spacing w:after="0"/>
                              <w:rPr>
                                <w:b/>
                                <w:i/>
                                <w:iCs/>
                                <w:sz w:val="20"/>
                                <w:szCs w:val="20"/>
                              </w:rPr>
                            </w:pPr>
                            <w:r w:rsidRPr="00C4362D">
                              <w:rPr>
                                <w:b/>
                                <w:i/>
                                <w:iCs/>
                                <w:sz w:val="20"/>
                                <w:szCs w:val="20"/>
                              </w:rPr>
                              <w:t>Key Points:</w:t>
                            </w:r>
                          </w:p>
                          <w:p w14:paraId="04969F5F" w14:textId="77777777" w:rsidR="006678AE" w:rsidRPr="002B6596" w:rsidRDefault="006678AE" w:rsidP="006E1311">
                            <w:pPr>
                              <w:pStyle w:val="ListParagraph"/>
                              <w:numPr>
                                <w:ilvl w:val="0"/>
                                <w:numId w:val="16"/>
                              </w:numPr>
                              <w:spacing w:after="0"/>
                              <w:ind w:left="284" w:hanging="287"/>
                              <w:rPr>
                                <w:i/>
                                <w:iCs/>
                                <w:sz w:val="20"/>
                                <w:szCs w:val="20"/>
                              </w:rPr>
                            </w:pPr>
                            <w:r>
                              <w:rPr>
                                <w:i/>
                                <w:iCs/>
                                <w:sz w:val="20"/>
                                <w:szCs w:val="20"/>
                              </w:rPr>
                              <w:t>The Australian Government provides both demand-side and supply-side CCECL funding.</w:t>
                            </w:r>
                          </w:p>
                        </w:txbxContent>
                      </wps:txbx>
                      <wps:bodyPr rot="0" vert="horz" wrap="square" lIns="45720" tIns="45720" rIns="4572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4" type="#_x0000_t185" style="position:absolute;left:0;text-align:left;margin-left:284.75pt;margin-top:460.75pt;width:135.8pt;height:96.9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" o:allowincell="f" adj="1739" fillcolor="#943634" strokecolor="gray [1629]" strokeweight="3pt">
                <v:shadow color="#5d7035" offset="1pt,1pt"/>
                <v:textbox inset="3.6pt,,3.6pt">
                  <w:txbxContent>
                    <w:p w14:paraId="04969F5E" w14:textId="77777777" w:rsidR="006678AE" w:rsidRPr="00C4362D" w:rsidRDefault="006678AE" w:rsidP="00784D65">
                      <w:pPr>
                        <w:spacing w:after="0"/>
                        <w:rPr>
                          <w:b/>
                          <w:i/>
                          <w:iCs/>
                          <w:sz w:val="20"/>
                          <w:szCs w:val="20"/>
                        </w:rPr>
                      </w:pPr>
                      <w:r w:rsidRPr="00C4362D">
                        <w:rPr>
                          <w:b/>
                          <w:i/>
                          <w:iCs/>
                          <w:sz w:val="20"/>
                          <w:szCs w:val="20"/>
                        </w:rPr>
                        <w:t>Key Points:</w:t>
                      </w:r>
                    </w:p>
                    <w:p w14:paraId="04969F5F" w14:textId="77777777" w:rsidR="006678AE" w:rsidRPr="002B6596" w:rsidRDefault="006678AE" w:rsidP="006E1311">
                      <w:pPr>
                        <w:pStyle w:val="ListParagraph"/>
                        <w:numPr>
                          <w:ilvl w:val="0"/>
                          <w:numId w:val="16"/>
                        </w:numPr>
                        <w:spacing w:after="0"/>
                        <w:ind w:left="284" w:hanging="287"/>
                        <w:rPr>
                          <w:i/>
                          <w:iCs/>
                          <w:sz w:val="20"/>
                          <w:szCs w:val="20"/>
                        </w:rPr>
                      </w:pPr>
                      <w:r>
                        <w:rPr>
                          <w:i/>
                          <w:iCs/>
                          <w:sz w:val="20"/>
                          <w:szCs w:val="20"/>
                        </w:rPr>
                        <w:t>The Australian Government provides both demand-side and supply-side CCECL funding.</w:t>
                      </w:r>
                    </w:p>
                  </w:txbxContent>
                </v:textbox>
                <w10:wrap type="square" anchorx="margin" anchory="margin"/>
              </v:shape>
            </w:pict>
          </mc:Fallback>
        </mc:AlternateContent>
      </w:r>
      <w:r w:rsidR="00FE21E6" w:rsidRPr="00DD2634">
        <w:t xml:space="preserve">Total </w:t>
      </w:r>
      <w:r w:rsidR="00757523" w:rsidRPr="00DD2634">
        <w:t xml:space="preserve">Australian Government </w:t>
      </w:r>
      <w:r w:rsidR="004B5F87" w:rsidRPr="00DD2634">
        <w:t>outlays on CCECL services and fees subsidies have increased from $1.6</w:t>
      </w:r>
      <w:r w:rsidR="00762B4C">
        <w:t> </w:t>
      </w:r>
      <w:r w:rsidR="00757523" w:rsidRPr="00DD2634">
        <w:t>billion in 2003</w:t>
      </w:r>
      <w:r w:rsidR="00757523" w:rsidRPr="00DD2634">
        <w:noBreakHyphen/>
        <w:t>04 to $6.5</w:t>
      </w:r>
      <w:r w:rsidR="00D05A2C">
        <w:t> </w:t>
      </w:r>
      <w:r w:rsidR="00757523" w:rsidRPr="00DD2634">
        <w:t>billion in the current financial year</w:t>
      </w:r>
      <w:r w:rsidR="000C7DCF">
        <w:t xml:space="preserve"> </w:t>
      </w:r>
      <w:r w:rsidR="00762B4C" w:rsidRPr="00DD2634">
        <w:t xml:space="preserve">(see </w:t>
      </w:r>
      <w:r w:rsidR="00762B4C" w:rsidRPr="00DD2634">
        <w:fldChar w:fldCharType="begin"/>
      </w:r>
      <w:r w:rsidR="00762B4C" w:rsidRPr="00DD2634">
        <w:instrText xml:space="preserve"> REF _Ref378768323 \h </w:instrText>
      </w:r>
      <w:r w:rsidR="00762B4C">
        <w:instrText xml:space="preserve"> \* MERGEFORMAT </w:instrText>
      </w:r>
      <w:r w:rsidR="00762B4C" w:rsidRPr="00DD2634">
        <w:fldChar w:fldCharType="separate"/>
      </w:r>
      <w:r w:rsidR="00CE4F92" w:rsidRPr="00DD2634">
        <w:t xml:space="preserve">Figure </w:t>
      </w:r>
      <w:r w:rsidR="00CE4F92">
        <w:rPr>
          <w:noProof/>
        </w:rPr>
        <w:t>2</w:t>
      </w:r>
      <w:r w:rsidR="00762B4C" w:rsidRPr="00DD2634">
        <w:fldChar w:fldCharType="end"/>
      </w:r>
      <w:r w:rsidR="00762B4C" w:rsidRPr="00DD2634">
        <w:t>)</w:t>
      </w:r>
      <w:r w:rsidR="00757523" w:rsidRPr="00DD2634">
        <w:t>. The forward estimates anticipate this g</w:t>
      </w:r>
      <w:r w:rsidR="00D661D0" w:rsidRPr="00DD2634">
        <w:t>rowth continuing, reaching $7.6 </w:t>
      </w:r>
      <w:r w:rsidR="00FC3C61" w:rsidRPr="00DD2634">
        <w:t>billion in 2016</w:t>
      </w:r>
      <w:r w:rsidR="00FC3C61" w:rsidRPr="00DD2634">
        <w:noBreakHyphen/>
        <w:t xml:space="preserve">17. </w:t>
      </w:r>
      <w:r w:rsidR="00BC3CAA">
        <w:t>$28 b</w:t>
      </w:r>
      <w:r w:rsidR="00762B4C">
        <w:t>illion is expected to be spent on CCECL over the next four financial years.</w:t>
      </w:r>
    </w:p>
    <w:p w14:paraId="0E8123F7" w14:textId="6E814E2E" w:rsidR="00757523" w:rsidRPr="00DD2634" w:rsidRDefault="00F67695" w:rsidP="00381744">
      <w:pPr>
        <w:pStyle w:val="NormalNumbered"/>
      </w:pPr>
      <w:r w:rsidRPr="00DD2634">
        <w:t xml:space="preserve">While </w:t>
      </w:r>
      <w:r w:rsidR="00E15179" w:rsidRPr="00DD2634">
        <w:t xml:space="preserve">supply-side </w:t>
      </w:r>
      <w:r w:rsidRPr="00DD2634">
        <w:t xml:space="preserve">funding </w:t>
      </w:r>
      <w:r w:rsidR="00757523" w:rsidRPr="00DD2634">
        <w:t xml:space="preserve">has remained relatively stable, and while there has been some additional spending through payments to the states, the strongest growth has been in the two special </w:t>
      </w:r>
      <w:r w:rsidR="00D661D0" w:rsidRPr="00DD2634">
        <w:t xml:space="preserve">appropriations for </w:t>
      </w:r>
      <w:proofErr w:type="spellStart"/>
      <w:r w:rsidR="00D661D0" w:rsidRPr="00DD2634">
        <w:t>CCB</w:t>
      </w:r>
      <w:proofErr w:type="spellEnd"/>
      <w:r w:rsidR="00D661D0" w:rsidRPr="00DD2634">
        <w:t xml:space="preserve"> and </w:t>
      </w:r>
      <w:proofErr w:type="spellStart"/>
      <w:r w:rsidR="00D661D0" w:rsidRPr="00DD2634">
        <w:t>CCR</w:t>
      </w:r>
      <w:proofErr w:type="spellEnd"/>
      <w:r w:rsidR="00762B4C">
        <w:t>, which are aimed at supporting parents with the cost of child care</w:t>
      </w:r>
      <w:r w:rsidR="00D661D0" w:rsidRPr="00DD2634">
        <w:t xml:space="preserve">. </w:t>
      </w:r>
      <w:r w:rsidR="00757523" w:rsidRPr="00DD2634">
        <w:t>These subsidies are ‘</w:t>
      </w:r>
      <w:r w:rsidR="00A609DA" w:rsidRPr="00DD2634">
        <w:t>demand-driven</w:t>
      </w:r>
      <w:r w:rsidR="00757523" w:rsidRPr="00DD2634">
        <w:t>’, which means they respond to demand from families for approved child care.</w:t>
      </w:r>
      <w:r w:rsidR="00BD556E">
        <w:t xml:space="preserve"> Together they</w:t>
      </w:r>
      <w:r w:rsidR="00762B4C">
        <w:t xml:space="preserve"> constitute around 90 per cent of the Australian Government’s outlays on CCECL. Between 2003–04 and 2016–17, </w:t>
      </w:r>
      <w:proofErr w:type="spellStart"/>
      <w:r w:rsidR="00762B4C">
        <w:t>CCB</w:t>
      </w:r>
      <w:proofErr w:type="spellEnd"/>
      <w:r w:rsidR="00762B4C">
        <w:t xml:space="preserve"> and </w:t>
      </w:r>
      <w:proofErr w:type="spellStart"/>
      <w:r w:rsidR="00762B4C">
        <w:t>CCR</w:t>
      </w:r>
      <w:proofErr w:type="spellEnd"/>
      <w:r w:rsidR="00762B4C">
        <w:t xml:space="preserve"> expenditure will have grown fro</w:t>
      </w:r>
      <w:r w:rsidR="007470C5">
        <w:t>m $1.4 billion to $7.1 billion</w:t>
      </w:r>
      <w:r w:rsidR="00762B4C">
        <w:t>.</w:t>
      </w:r>
    </w:p>
    <w:p w14:paraId="5AD84109" w14:textId="2F7FC324" w:rsidR="00D661D0" w:rsidRPr="00DD2634" w:rsidRDefault="00D661D0" w:rsidP="00D661D0">
      <w:pPr>
        <w:pStyle w:val="Caption"/>
      </w:pPr>
      <w:bookmarkStart w:id="56" w:name="_Ref378768323"/>
      <w:bookmarkStart w:id="57" w:name="_Ref378865300"/>
      <w:bookmarkStart w:id="58" w:name="_Ref378875498"/>
      <w:bookmarkStart w:id="59" w:name="_Ref378875505"/>
      <w:bookmarkStart w:id="60" w:name="_Toc379208199"/>
      <w:r w:rsidRPr="00DD2634">
        <w:lastRenderedPageBreak/>
        <w:t xml:space="preserve">Figure </w:t>
      </w:r>
      <w:fldSimple w:instr=" SEQ Figure \* ARABIC ">
        <w:r w:rsidR="00CE4F92">
          <w:rPr>
            <w:noProof/>
          </w:rPr>
          <w:t>2</w:t>
        </w:r>
      </w:fldSimple>
      <w:bookmarkEnd w:id="56"/>
      <w:r w:rsidRPr="00DD2634">
        <w:t>: Australian Government CCECL outlays, 2003-04 to 2016-17 ($000)</w:t>
      </w:r>
      <w:bookmarkEnd w:id="57"/>
      <w:bookmarkEnd w:id="58"/>
      <w:bookmarkEnd w:id="59"/>
      <w:bookmarkEnd w:id="60"/>
    </w:p>
    <w:p w14:paraId="04969CED" w14:textId="77777777" w:rsidR="00970F6F" w:rsidRPr="00DD2634" w:rsidRDefault="00970F6F" w:rsidP="00592058">
      <w:pPr>
        <w:spacing w:after="0" w:line="240" w:lineRule="auto"/>
      </w:pPr>
      <w:r w:rsidRPr="00DD2634">
        <w:rPr>
          <w:noProof/>
          <w:lang w:eastAsia="en-AU"/>
        </w:rPr>
        <w:drawing>
          <wp:inline distT="0" distB="0" distL="0" distR="0" wp14:anchorId="04969EDD" wp14:editId="1B950754">
            <wp:extent cx="5116545" cy="3345180"/>
            <wp:effectExtent l="0" t="0" r="8255" b="7620"/>
            <wp:docPr id="690" name="Picture 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123482" cy="3349716"/>
                    </a:xfrm>
                    <a:prstGeom prst="rect">
                      <a:avLst/>
                    </a:prstGeom>
                    <a:noFill/>
                  </pic:spPr>
                </pic:pic>
              </a:graphicData>
            </a:graphic>
          </wp:inline>
        </w:drawing>
      </w:r>
    </w:p>
    <w:p w14:paraId="04969CEE" w14:textId="77777777" w:rsidR="00970F6F" w:rsidRPr="00DD2634" w:rsidRDefault="00970F6F" w:rsidP="00277190">
      <w:pPr>
        <w:pStyle w:val="Source"/>
      </w:pPr>
      <w:r w:rsidRPr="00DD2634">
        <w:t>Source: Department of Education</w:t>
      </w:r>
    </w:p>
    <w:p w14:paraId="04969CEF" w14:textId="77777777" w:rsidR="00737519" w:rsidRPr="00DD2634" w:rsidRDefault="00737519" w:rsidP="00D661D0">
      <w:pPr>
        <w:pStyle w:val="Heading3"/>
      </w:pPr>
      <w:r w:rsidRPr="00DD2634">
        <w:t>Demand-side funding</w:t>
      </w:r>
    </w:p>
    <w:p w14:paraId="0187ADC2" w14:textId="374C4C9E" w:rsidR="00E15179" w:rsidRPr="00DD2634" w:rsidRDefault="007406CC" w:rsidP="00381744">
      <w:pPr>
        <w:pStyle w:val="NormalNumbered"/>
      </w:pPr>
      <w:proofErr w:type="spellStart"/>
      <w:r w:rsidRPr="00DD2634">
        <w:t>CCB</w:t>
      </w:r>
      <w:proofErr w:type="spellEnd"/>
      <w:r w:rsidR="00952758" w:rsidRPr="00DD2634">
        <w:t xml:space="preserve"> is an </w:t>
      </w:r>
      <w:r w:rsidR="00970F6F" w:rsidRPr="00DD2634">
        <w:t xml:space="preserve">income-tested payment targeted towards low to middle income families and can be received as a lump sum payment or as reduced child care fees. </w:t>
      </w:r>
      <w:r w:rsidR="00BF72F7" w:rsidRPr="00DD2634">
        <w:rPr>
          <w:lang w:val="en"/>
        </w:rPr>
        <w:t xml:space="preserve">Different loadings are applied to the standard </w:t>
      </w:r>
      <w:proofErr w:type="spellStart"/>
      <w:r w:rsidR="00BF72F7" w:rsidRPr="00DD2634">
        <w:rPr>
          <w:lang w:val="en"/>
        </w:rPr>
        <w:t>CCB</w:t>
      </w:r>
      <w:proofErr w:type="spellEnd"/>
      <w:r w:rsidR="00BF72F7" w:rsidRPr="00DD2634">
        <w:rPr>
          <w:lang w:val="en"/>
        </w:rPr>
        <w:t xml:space="preserve"> rate depending on the circumstances of the family, such as the number of children in the family and the type of care they use.</w:t>
      </w:r>
    </w:p>
    <w:p w14:paraId="04969CF0" w14:textId="4F4BF694" w:rsidR="008206A2" w:rsidRPr="00DD2634" w:rsidRDefault="008206A2" w:rsidP="00381744">
      <w:pPr>
        <w:pStyle w:val="NormalNumbered"/>
      </w:pPr>
      <w:r w:rsidRPr="00DD2634">
        <w:rPr>
          <w:lang w:val="en"/>
        </w:rPr>
        <w:t xml:space="preserve">All </w:t>
      </w:r>
      <w:r w:rsidR="00CF7715" w:rsidRPr="00DD2634">
        <w:rPr>
          <w:lang w:val="en"/>
        </w:rPr>
        <w:t xml:space="preserve">eligible </w:t>
      </w:r>
      <w:r w:rsidRPr="00DD2634">
        <w:t xml:space="preserve">families can receive </w:t>
      </w:r>
      <w:proofErr w:type="spellStart"/>
      <w:r w:rsidRPr="00DD2634">
        <w:t>CCB</w:t>
      </w:r>
      <w:proofErr w:type="spellEnd"/>
      <w:r w:rsidRPr="00DD2634">
        <w:t xml:space="preserve"> for up to 24 hours per child per week. To receive more than 24 hours </w:t>
      </w:r>
      <w:proofErr w:type="spellStart"/>
      <w:r w:rsidRPr="00DD2634">
        <w:t>CCB</w:t>
      </w:r>
      <w:proofErr w:type="spellEnd"/>
      <w:r w:rsidRPr="00DD2634">
        <w:t xml:space="preserve"> in a week, parents must be undertaking more than 15 hours </w:t>
      </w:r>
      <w:r w:rsidR="0056659B" w:rsidRPr="00DD2634">
        <w:t>per week (</w:t>
      </w:r>
      <w:r w:rsidRPr="00DD2634">
        <w:t>or 30 hours in a fortnight</w:t>
      </w:r>
      <w:r w:rsidR="0056659B" w:rsidRPr="00DD2634">
        <w:t>)</w:t>
      </w:r>
      <w:r w:rsidRPr="00DD2634">
        <w:t xml:space="preserve">, of work, training or study, or </w:t>
      </w:r>
      <w:r w:rsidR="0056659B" w:rsidRPr="00DD2634">
        <w:t>have an exemption</w:t>
      </w:r>
      <w:r w:rsidRPr="00DD2634">
        <w:t>.</w:t>
      </w:r>
      <w:r w:rsidR="00062539" w:rsidRPr="00DD2634">
        <w:t xml:space="preserve"> Further information on the different types of </w:t>
      </w:r>
      <w:proofErr w:type="spellStart"/>
      <w:r w:rsidR="00062539" w:rsidRPr="00DD2634">
        <w:t>CCB</w:t>
      </w:r>
      <w:proofErr w:type="spellEnd"/>
      <w:r w:rsidR="00062539" w:rsidRPr="00DD2634">
        <w:t xml:space="preserve"> </w:t>
      </w:r>
      <w:r w:rsidR="00FC3C61" w:rsidRPr="00DD2634">
        <w:t>is</w:t>
      </w:r>
      <w:r w:rsidR="00062539" w:rsidRPr="00DD2634">
        <w:t xml:space="preserve"> in </w:t>
      </w:r>
      <w:r w:rsidR="00FC3C61" w:rsidRPr="00DD2634">
        <w:t>A</w:t>
      </w:r>
      <w:r w:rsidR="00062539" w:rsidRPr="00DD2634">
        <w:t xml:space="preserve">ppendix </w:t>
      </w:r>
      <w:r w:rsidR="00FC3C61" w:rsidRPr="00DD2634">
        <w:t>1</w:t>
      </w:r>
      <w:r w:rsidR="00062539" w:rsidRPr="00DD2634">
        <w:t>.</w:t>
      </w:r>
    </w:p>
    <w:p w14:paraId="04969CF1" w14:textId="713F7B12" w:rsidR="008206A2" w:rsidRPr="00DD2634" w:rsidRDefault="007406CC" w:rsidP="00381744">
      <w:pPr>
        <w:pStyle w:val="NormalNumbered"/>
      </w:pPr>
      <w:r w:rsidRPr="00DD2634">
        <w:t>CCR</w:t>
      </w:r>
      <w:r w:rsidR="00970F6F" w:rsidRPr="00DD2634">
        <w:t xml:space="preserve"> is </w:t>
      </w:r>
      <w:r w:rsidR="00983166" w:rsidRPr="00DD2634">
        <w:t>available regardless of income, so</w:t>
      </w:r>
      <w:r w:rsidR="00970F6F" w:rsidRPr="00DD2634">
        <w:t xml:space="preserve"> families may be eligible to receive this </w:t>
      </w:r>
      <w:r w:rsidR="008206A2" w:rsidRPr="00DD2634">
        <w:t xml:space="preserve">payment </w:t>
      </w:r>
      <w:r w:rsidR="00983166" w:rsidRPr="00DD2634">
        <w:t>where</w:t>
      </w:r>
      <w:r w:rsidR="00970F6F" w:rsidRPr="00DD2634">
        <w:t xml:space="preserve"> the family income is too high to receive </w:t>
      </w:r>
      <w:proofErr w:type="spellStart"/>
      <w:r w:rsidRPr="00DD2634">
        <w:t>CCB</w:t>
      </w:r>
      <w:proofErr w:type="spellEnd"/>
      <w:r w:rsidR="00970F6F" w:rsidRPr="00DD2634">
        <w:t xml:space="preserve">. </w:t>
      </w:r>
      <w:r w:rsidRPr="00DD2634">
        <w:t>CCR</w:t>
      </w:r>
      <w:r w:rsidR="00970F6F" w:rsidRPr="00DD2634">
        <w:t xml:space="preserve"> </w:t>
      </w:r>
      <w:r w:rsidR="008206A2" w:rsidRPr="00DD2634">
        <w:t xml:space="preserve">pays up to </w:t>
      </w:r>
      <w:r w:rsidR="00970F6F" w:rsidRPr="00DD2634">
        <w:t xml:space="preserve">50 per cent of a family’s out-of-pocket child care costs after any </w:t>
      </w:r>
      <w:proofErr w:type="spellStart"/>
      <w:r w:rsidRPr="00DD2634">
        <w:t>CCB</w:t>
      </w:r>
      <w:proofErr w:type="spellEnd"/>
      <w:r w:rsidR="00970F6F" w:rsidRPr="00DD2634">
        <w:t xml:space="preserve"> is deducted, up to a maximum of $7,500 per child per annum.</w:t>
      </w:r>
      <w:r w:rsidR="001A168A" w:rsidRPr="00DD2634">
        <w:t xml:space="preserve"> </w:t>
      </w:r>
      <w:r w:rsidR="008206A2" w:rsidRPr="00DD2634">
        <w:t xml:space="preserve">Parents have to participate in work related commitments at some time during a week or have an exemption to receive CCR. </w:t>
      </w:r>
      <w:r w:rsidR="00983166" w:rsidRPr="00DD2634">
        <w:t>There is n</w:t>
      </w:r>
      <w:r w:rsidR="008206A2" w:rsidRPr="00DD2634">
        <w:t xml:space="preserve">o </w:t>
      </w:r>
      <w:r w:rsidR="00983166" w:rsidRPr="00DD2634">
        <w:t xml:space="preserve">requirement for a </w:t>
      </w:r>
      <w:r w:rsidR="008206A2" w:rsidRPr="00DD2634">
        <w:t xml:space="preserve">minimum number of </w:t>
      </w:r>
      <w:r w:rsidR="00983166" w:rsidRPr="00DD2634">
        <w:t>hours of care</w:t>
      </w:r>
      <w:r w:rsidR="008206A2" w:rsidRPr="00DD2634">
        <w:t>.</w:t>
      </w:r>
    </w:p>
    <w:p w14:paraId="04969CF2" w14:textId="6EA2BC97" w:rsidR="00970F6F" w:rsidRPr="00DD2634" w:rsidRDefault="00970F6F" w:rsidP="00381744">
      <w:pPr>
        <w:pStyle w:val="NormalNumbered"/>
      </w:pPr>
      <w:r w:rsidRPr="00DD2634">
        <w:t xml:space="preserve">Families on higher incomes tend to receive relatively more </w:t>
      </w:r>
      <w:r w:rsidR="007406CC" w:rsidRPr="00DD2634">
        <w:t>CCR</w:t>
      </w:r>
      <w:r w:rsidRPr="00DD2634">
        <w:t xml:space="preserve"> as they are eligible for less </w:t>
      </w:r>
      <w:r w:rsidR="00021DE0" w:rsidRPr="00DD2634">
        <w:t>income</w:t>
      </w:r>
      <w:r w:rsidRPr="00DD2634">
        <w:t xml:space="preserve">-tested </w:t>
      </w:r>
      <w:proofErr w:type="spellStart"/>
      <w:r w:rsidR="007406CC" w:rsidRPr="00DD2634">
        <w:t>CCB</w:t>
      </w:r>
      <w:proofErr w:type="spellEnd"/>
      <w:r w:rsidRPr="00DD2634">
        <w:t xml:space="preserve">. </w:t>
      </w:r>
      <w:r w:rsidR="00062539" w:rsidRPr="00DD2634">
        <w:t>P</w:t>
      </w:r>
      <w:r w:rsidRPr="00DD2634">
        <w:t xml:space="preserve">arents </w:t>
      </w:r>
      <w:r w:rsidR="00062539" w:rsidRPr="00DD2634">
        <w:t>can cho</w:t>
      </w:r>
      <w:r w:rsidR="00485F8A">
        <w:t>o</w:t>
      </w:r>
      <w:r w:rsidR="00062539" w:rsidRPr="00DD2634">
        <w:t xml:space="preserve">se to receive this </w:t>
      </w:r>
      <w:r w:rsidRPr="00DD2634">
        <w:t>on a fortnightly, quarterly</w:t>
      </w:r>
      <w:r w:rsidR="008206A2" w:rsidRPr="00DD2634">
        <w:rPr>
          <w:sz w:val="22"/>
        </w:rPr>
        <w:t xml:space="preserve"> or </w:t>
      </w:r>
      <w:r w:rsidR="008206A2" w:rsidRPr="00DD2634">
        <w:t>annual</w:t>
      </w:r>
      <w:r w:rsidR="00062539" w:rsidRPr="00DD2634">
        <w:t xml:space="preserve"> basis, or have it </w:t>
      </w:r>
      <w:r w:rsidRPr="00DD2634">
        <w:t>paid direct to services on their behalf</w:t>
      </w:r>
      <w:r w:rsidR="008206A2" w:rsidRPr="00DD2634">
        <w:t xml:space="preserve"> as a fee reduction</w:t>
      </w:r>
      <w:r w:rsidRPr="00DD2634">
        <w:t xml:space="preserve">. </w:t>
      </w:r>
    </w:p>
    <w:p w14:paraId="04969CF4" w14:textId="266ABBC9" w:rsidR="00970F6F" w:rsidRPr="00DD2634" w:rsidRDefault="00970F6F" w:rsidP="00D661D0">
      <w:pPr>
        <w:pStyle w:val="Heading3"/>
      </w:pPr>
      <w:bookmarkStart w:id="61" w:name="_Toc372967026"/>
      <w:r w:rsidRPr="00DD2634">
        <w:t>Supply-side funding</w:t>
      </w:r>
    </w:p>
    <w:p w14:paraId="04969CF5" w14:textId="77777777" w:rsidR="005F072C" w:rsidRPr="00DD2634" w:rsidRDefault="00C33261" w:rsidP="00381744">
      <w:pPr>
        <w:pStyle w:val="NormalNumbered"/>
      </w:pPr>
      <w:r w:rsidRPr="00DD2634">
        <w:t xml:space="preserve">In situations of market failure, where barriers </w:t>
      </w:r>
      <w:r w:rsidR="00C1593E" w:rsidRPr="00DD2634">
        <w:t xml:space="preserve">or distortions </w:t>
      </w:r>
      <w:r w:rsidRPr="00DD2634">
        <w:t xml:space="preserve">hinder the market’s ability to meet and satisfy a demand or identified need, successive Australian Governments have </w:t>
      </w:r>
      <w:r w:rsidR="00C1593E" w:rsidRPr="00DD2634">
        <w:t>established</w:t>
      </w:r>
      <w:r w:rsidRPr="00DD2634">
        <w:t xml:space="preserve"> a range of </w:t>
      </w:r>
      <w:r w:rsidR="00C1593E" w:rsidRPr="00DD2634">
        <w:t>‘</w:t>
      </w:r>
      <w:r w:rsidRPr="00DD2634">
        <w:t>supply</w:t>
      </w:r>
      <w:r w:rsidRPr="00DD2634">
        <w:noBreakHyphen/>
        <w:t>side</w:t>
      </w:r>
      <w:r w:rsidR="00C1593E" w:rsidRPr="00DD2634">
        <w:t>’</w:t>
      </w:r>
      <w:r w:rsidRPr="00DD2634">
        <w:t xml:space="preserve"> (service </w:t>
      </w:r>
      <w:r w:rsidRPr="00DD2634">
        <w:lastRenderedPageBreak/>
        <w:t>provider-focused) support and funding programmes that aim to assist the market to res</w:t>
      </w:r>
      <w:r w:rsidR="00C1593E" w:rsidRPr="00DD2634">
        <w:t xml:space="preserve">pond </w:t>
      </w:r>
      <w:r w:rsidR="0056659B" w:rsidRPr="00DD2634">
        <w:t>to demand for CCECL services</w:t>
      </w:r>
      <w:r w:rsidR="00C1593E" w:rsidRPr="00DD2634">
        <w:t xml:space="preserve">. </w:t>
      </w:r>
    </w:p>
    <w:p w14:paraId="04969CF6" w14:textId="79AF60B7" w:rsidR="00C33261" w:rsidRPr="00DD2634" w:rsidRDefault="00C1593E" w:rsidP="00381744">
      <w:pPr>
        <w:pStyle w:val="NormalNumbered"/>
      </w:pPr>
      <w:r w:rsidRPr="00DD2634">
        <w:t xml:space="preserve">In principle these </w:t>
      </w:r>
      <w:r w:rsidR="005F161C" w:rsidRPr="00DD2634">
        <w:t>initiatives</w:t>
      </w:r>
      <w:r w:rsidRPr="00DD2634">
        <w:t xml:space="preserve"> are</w:t>
      </w:r>
      <w:r w:rsidR="00C33261" w:rsidRPr="00DD2634">
        <w:t xml:space="preserve"> geared towards assisting service providers to address sustainability and viability within the following four broad areas:</w:t>
      </w:r>
    </w:p>
    <w:p w14:paraId="04969CF7" w14:textId="77777777" w:rsidR="00C33261" w:rsidRPr="00DD2634" w:rsidRDefault="00C33261" w:rsidP="00AA625D">
      <w:pPr>
        <w:pStyle w:val="ListBullet"/>
      </w:pPr>
      <w:r w:rsidRPr="00DD2634">
        <w:rPr>
          <w:b/>
        </w:rPr>
        <w:t>Establishment barriers</w:t>
      </w:r>
      <w:r w:rsidRPr="00DD2634">
        <w:t xml:space="preserve"> such as those associated with ‘up-front’ capital or infrastructur</w:t>
      </w:r>
      <w:r w:rsidR="00D35796" w:rsidRPr="00DD2634">
        <w:t>e</w:t>
      </w:r>
      <w:r w:rsidRPr="00DD2634">
        <w:t xml:space="preserve"> costs or delays associated with licensing, local government planning</w:t>
      </w:r>
      <w:r w:rsidR="00766C25" w:rsidRPr="00DD2634">
        <w:t xml:space="preserve"> regulations and access to land</w:t>
      </w:r>
      <w:r w:rsidR="00412E8F" w:rsidRPr="00DD2634">
        <w:t>.</w:t>
      </w:r>
    </w:p>
    <w:p w14:paraId="04969CF8" w14:textId="77777777" w:rsidR="00C33261" w:rsidRPr="00DD2634" w:rsidRDefault="00C33261" w:rsidP="00AA625D">
      <w:pPr>
        <w:pStyle w:val="ListBullet"/>
      </w:pPr>
      <w:r w:rsidRPr="00DD2634">
        <w:rPr>
          <w:b/>
        </w:rPr>
        <w:t>Capacity and capability barriers</w:t>
      </w:r>
      <w:r w:rsidRPr="00DD2634">
        <w:t xml:space="preserve"> such as the cost/profitability ratios and/or required skills and expertise to include</w:t>
      </w:r>
      <w:r w:rsidR="001A168A" w:rsidRPr="00DD2634">
        <w:t xml:space="preserve"> </w:t>
      </w:r>
      <w:r w:rsidRPr="00DD2634">
        <w:t>children with additional needs including children with disability, Indigenous children, children from non-English speaking backgrounds and from humanitarian or refugee backgrounds</w:t>
      </w:r>
      <w:r w:rsidR="00412E8F" w:rsidRPr="00DD2634">
        <w:t>.</w:t>
      </w:r>
    </w:p>
    <w:p w14:paraId="04969CF9" w14:textId="74B16A04" w:rsidR="00C33261" w:rsidRPr="00DD2634" w:rsidRDefault="00C33261" w:rsidP="00AA625D">
      <w:pPr>
        <w:pStyle w:val="ListBullet"/>
      </w:pPr>
      <w:r w:rsidRPr="00DD2634">
        <w:rPr>
          <w:b/>
        </w:rPr>
        <w:t>Sustainability barriers</w:t>
      </w:r>
      <w:r w:rsidRPr="00DD2634">
        <w:t xml:space="preserve"> such as localised ‘</w:t>
      </w:r>
      <w:r w:rsidRPr="00DD2634">
        <w:rPr>
          <w:i/>
        </w:rPr>
        <w:t>shallow’</w:t>
      </w:r>
      <w:r w:rsidRPr="00DD2634">
        <w:t xml:space="preserve"> markets (where the market is incapable of swift adaptation to changing economic or demographic drivers resulting in </w:t>
      </w:r>
      <w:r w:rsidR="00E15179" w:rsidRPr="00DD2634">
        <w:t xml:space="preserve">pricing pressures and </w:t>
      </w:r>
      <w:r w:rsidR="00D661D0" w:rsidRPr="00DD2634">
        <w:t>a mismatch between</w:t>
      </w:r>
      <w:r w:rsidRPr="00DD2634">
        <w:t xml:space="preserve"> supply and demand) or ‘</w:t>
      </w:r>
      <w:r w:rsidRPr="00DD2634">
        <w:rPr>
          <w:i/>
        </w:rPr>
        <w:t>thin’</w:t>
      </w:r>
      <w:r w:rsidRPr="00DD2634">
        <w:t xml:space="preserve"> markets (where there are</w:t>
      </w:r>
      <w:r w:rsidR="00E15179" w:rsidRPr="00DD2634">
        <w:t xml:space="preserve"> simply </w:t>
      </w:r>
      <w:r w:rsidRPr="00DD2634">
        <w:t xml:space="preserve"> insufficient families with c</w:t>
      </w:r>
      <w:r w:rsidR="00766C25" w:rsidRPr="00DD2634">
        <w:t>hildren needing to access care)</w:t>
      </w:r>
      <w:r w:rsidR="00412E8F" w:rsidRPr="00DD2634">
        <w:t>.</w:t>
      </w:r>
    </w:p>
    <w:p w14:paraId="04969CFA" w14:textId="26F60D5E" w:rsidR="00C33261" w:rsidRPr="00DD2634" w:rsidRDefault="00C33261" w:rsidP="00AA625D">
      <w:pPr>
        <w:pStyle w:val="ListBullet"/>
      </w:pPr>
      <w:r w:rsidRPr="00DD2634">
        <w:rPr>
          <w:b/>
        </w:rPr>
        <w:t>Information barriers</w:t>
      </w:r>
      <w:r w:rsidRPr="00DD2634">
        <w:t xml:space="preserve"> such as where parents and families are unable to access enough information on services to enable them to make informed decisions.</w:t>
      </w:r>
    </w:p>
    <w:p w14:paraId="04969CFB" w14:textId="5090FE44" w:rsidR="00C33261" w:rsidRPr="00DD2634" w:rsidRDefault="00E15179" w:rsidP="00381744">
      <w:pPr>
        <w:pStyle w:val="NormalNumbered"/>
      </w:pPr>
      <w:r w:rsidRPr="00DD2634">
        <w:t>More information on the programmes the Australian Government has in place to address these barriers</w:t>
      </w:r>
      <w:r w:rsidR="00C33261" w:rsidRPr="00DD2634">
        <w:t xml:space="preserve"> </w:t>
      </w:r>
      <w:r w:rsidR="00C1593E" w:rsidRPr="00DD2634">
        <w:t>is provided</w:t>
      </w:r>
      <w:r w:rsidR="00C33261" w:rsidRPr="00DD2634">
        <w:t xml:space="preserve"> in</w:t>
      </w:r>
      <w:r w:rsidR="00766C25" w:rsidRPr="00DD2634">
        <w:t xml:space="preserve"> </w:t>
      </w:r>
      <w:r w:rsidR="00F539B1" w:rsidRPr="00DD2634">
        <w:t>A</w:t>
      </w:r>
      <w:r w:rsidR="00737519" w:rsidRPr="00DD2634">
        <w:t xml:space="preserve">ppendix </w:t>
      </w:r>
      <w:r w:rsidR="00F539B1" w:rsidRPr="00DD2634">
        <w:t>1</w:t>
      </w:r>
      <w:r w:rsidR="00C33261" w:rsidRPr="00DD2634">
        <w:t>.</w:t>
      </w:r>
    </w:p>
    <w:p w14:paraId="04969CFC" w14:textId="01E534AA" w:rsidR="00C55FEB" w:rsidRPr="00DD2634" w:rsidRDefault="00C33261" w:rsidP="00BE5BEF">
      <w:pPr>
        <w:pStyle w:val="Heading2"/>
      </w:pPr>
      <w:bookmarkStart w:id="62" w:name="_Toc377217343"/>
      <w:bookmarkStart w:id="63" w:name="_Toc379208182"/>
      <w:bookmarkEnd w:id="47"/>
      <w:bookmarkEnd w:id="55"/>
      <w:bookmarkEnd w:id="61"/>
      <w:r w:rsidRPr="00DD2634">
        <w:t>Providing i</w:t>
      </w:r>
      <w:r w:rsidR="00C55FEB" w:rsidRPr="00DD2634">
        <w:t>nformation</w:t>
      </w:r>
      <w:bookmarkEnd w:id="62"/>
      <w:r w:rsidRPr="00DD2634">
        <w:t xml:space="preserve"> for parents and providers</w:t>
      </w:r>
      <w:bookmarkEnd w:id="63"/>
    </w:p>
    <w:p w14:paraId="04969CFD" w14:textId="0E0562E2" w:rsidR="00C55FEB" w:rsidRPr="00DD2634" w:rsidRDefault="003668C6" w:rsidP="00381744">
      <w:pPr>
        <w:pStyle w:val="NormalNumbered"/>
      </w:pPr>
      <w:r w:rsidRPr="00DD2634">
        <w:rPr>
          <w:noProof/>
          <w:lang w:eastAsia="en-AU"/>
        </w:rPr>
        <mc:AlternateContent>
          <mc:Choice Requires="wps">
            <w:drawing>
              <wp:anchor distT="0" distB="0" distL="114300" distR="114300" simplePos="0" relativeHeight="251696128" behindDoc="1" locked="0" layoutInCell="0" allowOverlap="1" wp14:anchorId="04969EDF" wp14:editId="227202AE">
                <wp:simplePos x="0" y="0"/>
                <wp:positionH relativeFrom="margin">
                  <wp:posOffset>3130550</wp:posOffset>
                </wp:positionH>
                <wp:positionV relativeFrom="margin">
                  <wp:posOffset>4930775</wp:posOffset>
                </wp:positionV>
                <wp:extent cx="2143125" cy="858520"/>
                <wp:effectExtent l="19050" t="19050" r="28575" b="17780"/>
                <wp:wrapTight wrapText="bothSides">
                  <wp:wrapPolygon edited="0">
                    <wp:start x="-192" y="-479"/>
                    <wp:lineTo x="-192" y="21568"/>
                    <wp:lineTo x="21696" y="21568"/>
                    <wp:lineTo x="21696" y="-479"/>
                    <wp:lineTo x="-192" y="-479"/>
                  </wp:wrapPolygon>
                </wp:wrapTight>
                <wp:docPr id="68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3125" cy="858520"/>
                        </a:xfrm>
                        <a:prstGeom prst="bracketPair">
                          <a:avLst>
                            <a:gd name="adj" fmla="val 8051"/>
                          </a:avLst>
                        </a:prstGeom>
                        <a:noFill/>
                        <a:ln w="38100">
                          <a:solidFill>
                            <a:schemeClr val="tx1">
                              <a:lumMod val="50000"/>
                              <a:lumOff val="50000"/>
                            </a:schemeClr>
                          </a:solidFill>
                          <a:round/>
                          <a:headEnd/>
                          <a:tailEnd/>
                        </a:ln>
                        <a:extLst>
                          <a:ext uri="{909E8E84-426E-40DD-AFC4-6F175D3DCCD1}">
                            <a14:hiddenFill xmlns:a14="http://schemas.microsoft.com/office/drawing/2010/main">
                              <a:solidFill>
                                <a:srgbClr val="943634"/>
                              </a:solidFill>
                            </a14:hiddenFill>
                          </a:ext>
                          <a:ext uri="{AF507438-7753-43E0-B8FC-AC1667EBCBE1}">
                            <a14:hiddenEffects xmlns:a14="http://schemas.microsoft.com/office/drawing/2010/main">
                              <a:effectLst>
                                <a:outerShdw dist="17961" dir="2700000" algn="ctr" rotWithShape="0">
                                  <a:srgbClr val="9BBB59">
                                    <a:gamma/>
                                    <a:shade val="60000"/>
                                    <a:invGamma/>
                                  </a:srgbClr>
                                </a:outerShdw>
                              </a:effectLst>
                            </a14:hiddenEffects>
                          </a:ext>
                        </a:extLst>
                      </wps:spPr>
                      <wps:txbx>
                        <w:txbxContent>
                          <w:p w14:paraId="04969F60" w14:textId="77777777" w:rsidR="006678AE" w:rsidRPr="00C4362D" w:rsidRDefault="006678AE" w:rsidP="00784D65">
                            <w:pPr>
                              <w:spacing w:after="0"/>
                              <w:rPr>
                                <w:b/>
                                <w:i/>
                                <w:iCs/>
                                <w:sz w:val="20"/>
                                <w:szCs w:val="20"/>
                              </w:rPr>
                            </w:pPr>
                            <w:r w:rsidRPr="00C4362D">
                              <w:rPr>
                                <w:b/>
                                <w:i/>
                                <w:iCs/>
                                <w:sz w:val="20"/>
                                <w:szCs w:val="20"/>
                              </w:rPr>
                              <w:t>Key Points:</w:t>
                            </w:r>
                          </w:p>
                          <w:p w14:paraId="04969F61" w14:textId="77777777" w:rsidR="006678AE" w:rsidRPr="002B6596" w:rsidRDefault="006678AE" w:rsidP="006E1311">
                            <w:pPr>
                              <w:pStyle w:val="ListParagraph"/>
                              <w:numPr>
                                <w:ilvl w:val="0"/>
                                <w:numId w:val="16"/>
                              </w:numPr>
                              <w:spacing w:after="0"/>
                              <w:ind w:left="284" w:hanging="287"/>
                              <w:rPr>
                                <w:i/>
                                <w:iCs/>
                                <w:sz w:val="20"/>
                                <w:szCs w:val="20"/>
                              </w:rPr>
                            </w:pPr>
                            <w:r>
                              <w:rPr>
                                <w:i/>
                                <w:iCs/>
                                <w:sz w:val="20"/>
                                <w:szCs w:val="20"/>
                              </w:rPr>
                              <w:t xml:space="preserve">The Government operates the </w:t>
                            </w:r>
                            <w:proofErr w:type="spellStart"/>
                            <w:r>
                              <w:rPr>
                                <w:i/>
                                <w:iCs/>
                                <w:sz w:val="20"/>
                                <w:szCs w:val="20"/>
                              </w:rPr>
                              <w:t>MyChild</w:t>
                            </w:r>
                            <w:proofErr w:type="spellEnd"/>
                            <w:r>
                              <w:rPr>
                                <w:i/>
                                <w:iCs/>
                                <w:sz w:val="20"/>
                                <w:szCs w:val="20"/>
                              </w:rPr>
                              <w:t xml:space="preserve"> website and the Child Care Access Hotline.</w:t>
                            </w:r>
                          </w:p>
                        </w:txbxContent>
                      </wps:txbx>
                      <wps:bodyPr rot="0" vert="horz" wrap="square" lIns="45720" tIns="45720" rIns="4572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5" type="#_x0000_t185" style="position:absolute;left:0;text-align:left;margin-left:246.5pt;margin-top:388.25pt;width:168.75pt;height:67.6pt;z-index:-2516203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" o:allowincell="f" adj="1739" fillcolor="#943634" strokecolor="gray [1629]" strokeweight="3pt">
                <v:shadow color="#5d7035" offset="1pt,1pt"/>
                <v:textbox inset="3.6pt,,3.6pt">
                  <w:txbxContent>
                    <w:p w14:paraId="04969F60" w14:textId="77777777" w:rsidR="006678AE" w:rsidRPr="00C4362D" w:rsidRDefault="006678AE" w:rsidP="00784D65">
                      <w:pPr>
                        <w:spacing w:after="0"/>
                        <w:rPr>
                          <w:b/>
                          <w:i/>
                          <w:iCs/>
                          <w:sz w:val="20"/>
                          <w:szCs w:val="20"/>
                        </w:rPr>
                      </w:pPr>
                      <w:r w:rsidRPr="00C4362D">
                        <w:rPr>
                          <w:b/>
                          <w:i/>
                          <w:iCs/>
                          <w:sz w:val="20"/>
                          <w:szCs w:val="20"/>
                        </w:rPr>
                        <w:t>Key Points:</w:t>
                      </w:r>
                    </w:p>
                    <w:p w14:paraId="04969F61" w14:textId="77777777" w:rsidR="006678AE" w:rsidRPr="002B6596" w:rsidRDefault="006678AE" w:rsidP="006E1311">
                      <w:pPr>
                        <w:pStyle w:val="ListParagraph"/>
                        <w:numPr>
                          <w:ilvl w:val="0"/>
                          <w:numId w:val="16"/>
                        </w:numPr>
                        <w:spacing w:after="0"/>
                        <w:ind w:left="284" w:hanging="287"/>
                        <w:rPr>
                          <w:i/>
                          <w:iCs/>
                          <w:sz w:val="20"/>
                          <w:szCs w:val="20"/>
                        </w:rPr>
                      </w:pPr>
                      <w:r>
                        <w:rPr>
                          <w:i/>
                          <w:iCs/>
                          <w:sz w:val="20"/>
                          <w:szCs w:val="20"/>
                        </w:rPr>
                        <w:t xml:space="preserve">The Government operates the </w:t>
                      </w:r>
                      <w:proofErr w:type="spellStart"/>
                      <w:r>
                        <w:rPr>
                          <w:i/>
                          <w:iCs/>
                          <w:sz w:val="20"/>
                          <w:szCs w:val="20"/>
                        </w:rPr>
                        <w:t>MyChild</w:t>
                      </w:r>
                      <w:proofErr w:type="spellEnd"/>
                      <w:r>
                        <w:rPr>
                          <w:i/>
                          <w:iCs/>
                          <w:sz w:val="20"/>
                          <w:szCs w:val="20"/>
                        </w:rPr>
                        <w:t xml:space="preserve"> website and the Child Care Access Hotline.</w:t>
                      </w:r>
                    </w:p>
                  </w:txbxContent>
                </v:textbox>
                <w10:wrap type="tight" anchorx="margin" anchory="margin"/>
              </v:shape>
            </w:pict>
          </mc:Fallback>
        </mc:AlternateContent>
      </w:r>
      <w:r w:rsidR="00C55FEB" w:rsidRPr="00DD2634">
        <w:t xml:space="preserve">The </w:t>
      </w:r>
      <w:r w:rsidR="00E15179" w:rsidRPr="00DD2634">
        <w:t xml:space="preserve">Australian </w:t>
      </w:r>
      <w:r w:rsidR="00C55FEB" w:rsidRPr="00DD2634">
        <w:t xml:space="preserve">Government’s </w:t>
      </w:r>
      <w:proofErr w:type="spellStart"/>
      <w:r w:rsidR="005F072C" w:rsidRPr="00DD2634">
        <w:t>MyChild</w:t>
      </w:r>
      <w:proofErr w:type="spellEnd"/>
      <w:r w:rsidR="00C55FEB" w:rsidRPr="00DD2634">
        <w:t xml:space="preserve"> website (</w:t>
      </w:r>
      <w:proofErr w:type="spellStart"/>
      <w:r w:rsidR="00045EEB">
        <w:fldChar w:fldCharType="begin"/>
      </w:r>
      <w:r w:rsidR="00045EEB">
        <w:instrText xml:space="preserve"> HYPERLINK "http://www.mychild.gov.au" </w:instrText>
      </w:r>
      <w:r w:rsidR="00045EEB">
        <w:fldChar w:fldCharType="separate"/>
      </w:r>
      <w:r w:rsidR="00C55FEB" w:rsidRPr="00DD2634">
        <w:t>mychild.gov.au</w:t>
      </w:r>
      <w:proofErr w:type="spellEnd"/>
      <w:r w:rsidR="00045EEB">
        <w:fldChar w:fldCharType="end"/>
      </w:r>
      <w:r w:rsidR="00C55FEB" w:rsidRPr="00DD2634">
        <w:t xml:space="preserve">) </w:t>
      </w:r>
      <w:r w:rsidR="00E15179" w:rsidRPr="00DD2634">
        <w:t xml:space="preserve">administered by the Department of Education, </w:t>
      </w:r>
      <w:r w:rsidR="00C55FEB" w:rsidRPr="00DD2634">
        <w:t xml:space="preserve">provides a single, national, searchable database on child care and preschool services, including fees, vacancies, </w:t>
      </w:r>
      <w:proofErr w:type="spellStart"/>
      <w:r w:rsidR="00D05A2C">
        <w:t>NQF</w:t>
      </w:r>
      <w:proofErr w:type="spellEnd"/>
      <w:r w:rsidR="00C55FEB" w:rsidRPr="00DD2634">
        <w:t xml:space="preserve"> quality rating</w:t>
      </w:r>
      <w:r w:rsidR="00D05A2C">
        <w:t>s</w:t>
      </w:r>
      <w:r w:rsidR="00E15179" w:rsidRPr="00DD2634">
        <w:t xml:space="preserve">, and hours of operation. </w:t>
      </w:r>
      <w:r w:rsidR="00C55FEB" w:rsidRPr="00DD2634">
        <w:t xml:space="preserve">Visits have </w:t>
      </w:r>
      <w:r w:rsidR="00C609EA" w:rsidRPr="00DD2634">
        <w:t>increased</w:t>
      </w:r>
      <w:r w:rsidR="003029D0" w:rsidRPr="00DD2634">
        <w:t xml:space="preserve"> from around 100,000 hits in 2009 to over 1</w:t>
      </w:r>
      <w:r w:rsidR="00D05A2C">
        <w:t> </w:t>
      </w:r>
      <w:r w:rsidR="003029D0" w:rsidRPr="00DD2634">
        <w:t>million hits in 2013</w:t>
      </w:r>
      <w:r w:rsidR="004E2ABE" w:rsidRPr="00DD2634">
        <w:t>.</w:t>
      </w:r>
    </w:p>
    <w:p w14:paraId="029AD36A" w14:textId="1EF8BC00" w:rsidR="00D421BA" w:rsidRPr="00DD2634" w:rsidRDefault="00D421BA" w:rsidP="00381744">
      <w:pPr>
        <w:pStyle w:val="NormalNumbered"/>
      </w:pPr>
      <w:r w:rsidRPr="00DD2634">
        <w:t>In addition, the department also provides a number of other services and resources to support child care service providers:</w:t>
      </w:r>
    </w:p>
    <w:p w14:paraId="04969CFE" w14:textId="37BD4C15" w:rsidR="00C55FEB" w:rsidRPr="00DD2634" w:rsidRDefault="00C55FEB" w:rsidP="00AA625D">
      <w:pPr>
        <w:pStyle w:val="ListBullet"/>
      </w:pPr>
      <w:r w:rsidRPr="00DD2634">
        <w:rPr>
          <w:b/>
        </w:rPr>
        <w:t>Child Care Access Hotline</w:t>
      </w:r>
      <w:r w:rsidR="00D421BA" w:rsidRPr="00DD2634">
        <w:rPr>
          <w:b/>
        </w:rPr>
        <w:t xml:space="preserve"> </w:t>
      </w:r>
      <w:r w:rsidR="00D05A2C" w:rsidRPr="00D05A2C">
        <w:t>–</w:t>
      </w:r>
      <w:r w:rsidR="00D421BA" w:rsidRPr="00D05A2C">
        <w:t xml:space="preserve"> </w:t>
      </w:r>
      <w:r w:rsidRPr="00D05A2C">
        <w:t>a free</w:t>
      </w:r>
      <w:r w:rsidRPr="00DD2634">
        <w:t xml:space="preserve"> telephone service </w:t>
      </w:r>
      <w:r w:rsidR="00D421BA" w:rsidRPr="00DD2634">
        <w:t xml:space="preserve">providing </w:t>
      </w:r>
      <w:r w:rsidR="000C7DCF">
        <w:t>i</w:t>
      </w:r>
      <w:r w:rsidRPr="00DD2634">
        <w:t xml:space="preserve">nformation </w:t>
      </w:r>
      <w:r w:rsidR="00D421BA" w:rsidRPr="00DD2634">
        <w:t xml:space="preserve">to parents </w:t>
      </w:r>
      <w:r w:rsidRPr="00DD2634">
        <w:t>includ</w:t>
      </w:r>
      <w:r w:rsidR="00D421BA" w:rsidRPr="00DD2634">
        <w:t>ing</w:t>
      </w:r>
      <w:r w:rsidRPr="00DD2634">
        <w:t xml:space="preserve"> types and location of care; possible vacancies; fee information where provided by </w:t>
      </w:r>
      <w:r w:rsidR="00C47902" w:rsidRPr="00DD2634">
        <w:t xml:space="preserve">approved </w:t>
      </w:r>
      <w:r w:rsidRPr="00DD2634">
        <w:t>child care services; how to choose a quality child care service; and Australian Government support. Around 30,000 calls are made to the Hotline each year</w:t>
      </w:r>
      <w:r w:rsidR="00737519" w:rsidRPr="00DD2634">
        <w:t>.</w:t>
      </w:r>
    </w:p>
    <w:p w14:paraId="3CD2751B" w14:textId="70808F88" w:rsidR="00E15179" w:rsidRPr="00DD2634" w:rsidRDefault="00E15179" w:rsidP="00AA625D">
      <w:pPr>
        <w:pStyle w:val="ListBullet"/>
      </w:pPr>
      <w:r w:rsidRPr="00DD2634">
        <w:rPr>
          <w:b/>
        </w:rPr>
        <w:t>Child Care Handbook</w:t>
      </w:r>
      <w:r w:rsidR="00D421BA" w:rsidRPr="00DD2634">
        <w:rPr>
          <w:b/>
        </w:rPr>
        <w:t xml:space="preserve"> </w:t>
      </w:r>
      <w:r w:rsidR="00D421BA" w:rsidRPr="00D05A2C">
        <w:t>– an annual</w:t>
      </w:r>
      <w:r w:rsidR="00D421BA" w:rsidRPr="00DD2634">
        <w:t xml:space="preserve"> online publication</w:t>
      </w:r>
      <w:r w:rsidRPr="00DD2634">
        <w:t xml:space="preserve"> that details policy and legislative requirements, information on government programmes, and guides to child care assistance. The full range of information is at </w:t>
      </w:r>
      <w:hyperlink r:id="rId21" w:history="1">
        <w:r w:rsidRPr="00DD2634">
          <w:t>education.gov.au/child-care-information-service-providers</w:t>
        </w:r>
      </w:hyperlink>
      <w:r w:rsidRPr="00DD2634">
        <w:t xml:space="preserve">. </w:t>
      </w:r>
    </w:p>
    <w:p w14:paraId="3DA3F9D5" w14:textId="1100E04D" w:rsidR="00E15179" w:rsidRPr="00DD2634" w:rsidRDefault="00C47902" w:rsidP="00381744">
      <w:pPr>
        <w:pStyle w:val="NormalNumbered"/>
      </w:pPr>
      <w:r w:rsidRPr="00DD2634">
        <w:t>A</w:t>
      </w:r>
      <w:r w:rsidR="00CA4F8D" w:rsidRPr="00DD2634">
        <w:t xml:space="preserve">s the </w:t>
      </w:r>
      <w:r w:rsidR="00E15179" w:rsidRPr="00DD2634">
        <w:t>agency</w:t>
      </w:r>
      <w:r w:rsidR="00CA4F8D" w:rsidRPr="00DD2634">
        <w:t xml:space="preserve"> responsible for payment to families, including the assessment and payment of child care assistance to families</w:t>
      </w:r>
      <w:r w:rsidRPr="00DD2634">
        <w:t xml:space="preserve">, </w:t>
      </w:r>
      <w:proofErr w:type="spellStart"/>
      <w:r w:rsidRPr="00DD2634">
        <w:t>DHS</w:t>
      </w:r>
      <w:proofErr w:type="spellEnd"/>
      <w:r w:rsidR="00CA4F8D" w:rsidRPr="00DD2634">
        <w:t xml:space="preserve"> also provides </w:t>
      </w:r>
      <w:r w:rsidR="00CA4F8D" w:rsidRPr="00DD2634">
        <w:lastRenderedPageBreak/>
        <w:t xml:space="preserve">policy and programme information to parents and </w:t>
      </w:r>
      <w:r w:rsidR="00714B4F" w:rsidRPr="00DD2634">
        <w:t>educator</w:t>
      </w:r>
      <w:r w:rsidR="00E15179" w:rsidRPr="00DD2634">
        <w:t xml:space="preserve">s. It does this </w:t>
      </w:r>
      <w:r w:rsidR="00CA4F8D" w:rsidRPr="00DD2634">
        <w:t>through its Australi</w:t>
      </w:r>
      <w:r w:rsidR="00E15179" w:rsidRPr="00DD2634">
        <w:t>a-wide network, on its website.</w:t>
      </w:r>
    </w:p>
    <w:p w14:paraId="04969CFF" w14:textId="7FAF2DAC" w:rsidR="00CA4F8D" w:rsidRPr="00DD2634" w:rsidRDefault="00E15179" w:rsidP="00381744">
      <w:pPr>
        <w:pStyle w:val="NormalNumbered"/>
      </w:pPr>
      <w:proofErr w:type="spellStart"/>
      <w:r w:rsidRPr="00DD2634">
        <w:t>DHS</w:t>
      </w:r>
      <w:proofErr w:type="spellEnd"/>
      <w:r w:rsidRPr="00DD2634">
        <w:t xml:space="preserve"> has also </w:t>
      </w:r>
      <w:r w:rsidR="00CA4F8D" w:rsidRPr="00DD2634">
        <w:t xml:space="preserve">more recently </w:t>
      </w:r>
      <w:r w:rsidRPr="00DD2634">
        <w:t xml:space="preserve">introduced </w:t>
      </w:r>
      <w:r w:rsidR="00062539" w:rsidRPr="00DD2634">
        <w:t xml:space="preserve">a </w:t>
      </w:r>
      <w:r w:rsidR="00042A12" w:rsidRPr="00DD2634">
        <w:t>mobile</w:t>
      </w:r>
      <w:r w:rsidR="00CA4F8D" w:rsidRPr="00DD2634">
        <w:t xml:space="preserve"> phone app</w:t>
      </w:r>
      <w:r w:rsidR="00042A12" w:rsidRPr="00DD2634">
        <w:t>lication</w:t>
      </w:r>
      <w:r w:rsidR="00062539" w:rsidRPr="00DD2634">
        <w:t xml:space="preserve"> or</w:t>
      </w:r>
      <w:r w:rsidR="00CA4F8D" w:rsidRPr="00DD2634">
        <w:t xml:space="preserve"> </w:t>
      </w:r>
      <w:r w:rsidR="00062539" w:rsidRPr="00DD2634">
        <w:t xml:space="preserve">‘app’, which </w:t>
      </w:r>
      <w:r w:rsidR="00CA4F8D" w:rsidRPr="00DD2634">
        <w:t>allows families to apply for, change</w:t>
      </w:r>
      <w:r w:rsidR="00D05A2C">
        <w:t>,</w:t>
      </w:r>
      <w:r w:rsidR="00CA4F8D" w:rsidRPr="00DD2634">
        <w:t xml:space="preserve"> and review </w:t>
      </w:r>
      <w:r w:rsidR="00062539" w:rsidRPr="00DD2634">
        <w:t xml:space="preserve">their personal information and </w:t>
      </w:r>
      <w:r w:rsidR="00CA4F8D" w:rsidRPr="00DD2634">
        <w:t>applicable child care payments.</w:t>
      </w:r>
    </w:p>
    <w:p w14:paraId="04969D01" w14:textId="17E35464" w:rsidR="00C55FEB" w:rsidRPr="00DD2634" w:rsidRDefault="00C55FEB" w:rsidP="00BE5BEF">
      <w:pPr>
        <w:pStyle w:val="Heading2"/>
      </w:pPr>
      <w:bookmarkStart w:id="64" w:name="_Toc377217344"/>
      <w:bookmarkStart w:id="65" w:name="_Toc379208183"/>
      <w:r w:rsidRPr="00DD2634">
        <w:t>Set</w:t>
      </w:r>
      <w:r w:rsidR="00783697" w:rsidRPr="00DD2634">
        <w:t>ting</w:t>
      </w:r>
      <w:r w:rsidRPr="00DD2634">
        <w:t xml:space="preserve"> national policies and standards</w:t>
      </w:r>
      <w:bookmarkEnd w:id="64"/>
      <w:bookmarkEnd w:id="65"/>
    </w:p>
    <w:p w14:paraId="31928FCC" w14:textId="07292F9D" w:rsidR="00D421BA" w:rsidRPr="00DD2634" w:rsidRDefault="00FD1D5B" w:rsidP="00381744">
      <w:pPr>
        <w:pStyle w:val="NormalNumbered"/>
      </w:pPr>
      <w:r w:rsidRPr="00DD2634">
        <w:rPr>
          <w:noProof/>
          <w:lang w:eastAsia="en-AU"/>
        </w:rPr>
        <mc:AlternateContent>
          <mc:Choice Requires="wps">
            <w:drawing>
              <wp:anchor distT="0" distB="0" distL="114300" distR="114300" simplePos="0" relativeHeight="251704320" behindDoc="1" locked="0" layoutInCell="0" allowOverlap="1" wp14:anchorId="04969EE1" wp14:editId="521455C1">
                <wp:simplePos x="0" y="0"/>
                <wp:positionH relativeFrom="margin">
                  <wp:posOffset>3206115</wp:posOffset>
                </wp:positionH>
                <wp:positionV relativeFrom="margin">
                  <wp:posOffset>1550035</wp:posOffset>
                </wp:positionV>
                <wp:extent cx="2149475" cy="1263650"/>
                <wp:effectExtent l="19050" t="19050" r="22225" b="12700"/>
                <wp:wrapTight wrapText="bothSides">
                  <wp:wrapPolygon edited="0">
                    <wp:start x="-191" y="-326"/>
                    <wp:lineTo x="-191" y="21491"/>
                    <wp:lineTo x="21632" y="21491"/>
                    <wp:lineTo x="21632" y="-326"/>
                    <wp:lineTo x="-191" y="-326"/>
                  </wp:wrapPolygon>
                </wp:wrapTight>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9475" cy="1263650"/>
                        </a:xfrm>
                        <a:prstGeom prst="bracketPair">
                          <a:avLst>
                            <a:gd name="adj" fmla="val 3670"/>
                          </a:avLst>
                        </a:prstGeom>
                        <a:noFill/>
                        <a:ln w="38100">
                          <a:solidFill>
                            <a:schemeClr val="tx1">
                              <a:lumMod val="50000"/>
                              <a:lumOff val="50000"/>
                            </a:schemeClr>
                          </a:solidFill>
                          <a:round/>
                          <a:headEnd/>
                          <a:tailEnd/>
                        </a:ln>
                        <a:extLst>
                          <a:ext uri="{909E8E84-426E-40DD-AFC4-6F175D3DCCD1}">
                            <a14:hiddenFill xmlns:a14="http://schemas.microsoft.com/office/drawing/2010/main">
                              <a:solidFill>
                                <a:srgbClr val="943634"/>
                              </a:solidFill>
                            </a14:hiddenFill>
                          </a:ext>
                          <a:ext uri="{AF507438-7753-43E0-B8FC-AC1667EBCBE1}">
                            <a14:hiddenEffects xmlns:a14="http://schemas.microsoft.com/office/drawing/2010/main">
                              <a:effectLst>
                                <a:outerShdw dist="17961" dir="2700000" algn="ctr" rotWithShape="0">
                                  <a:srgbClr val="9BBB59">
                                    <a:gamma/>
                                    <a:shade val="60000"/>
                                    <a:invGamma/>
                                  </a:srgbClr>
                                </a:outerShdw>
                              </a:effectLst>
                            </a14:hiddenEffects>
                          </a:ext>
                        </a:extLst>
                      </wps:spPr>
                      <wps:txbx>
                        <w:txbxContent>
                          <w:p w14:paraId="04969F62" w14:textId="77777777" w:rsidR="006678AE" w:rsidRPr="00C4362D" w:rsidRDefault="006678AE" w:rsidP="00A809F1">
                            <w:pPr>
                              <w:spacing w:after="0"/>
                              <w:rPr>
                                <w:b/>
                                <w:i/>
                                <w:iCs/>
                                <w:sz w:val="20"/>
                                <w:szCs w:val="20"/>
                              </w:rPr>
                            </w:pPr>
                            <w:r w:rsidRPr="00C4362D">
                              <w:rPr>
                                <w:b/>
                                <w:i/>
                                <w:iCs/>
                                <w:sz w:val="20"/>
                                <w:szCs w:val="20"/>
                              </w:rPr>
                              <w:t>Key Points:</w:t>
                            </w:r>
                          </w:p>
                          <w:p w14:paraId="04969F63" w14:textId="77777777" w:rsidR="006678AE" w:rsidRPr="002B6596" w:rsidRDefault="006678AE" w:rsidP="006E1311">
                            <w:pPr>
                              <w:pStyle w:val="ListParagraph"/>
                              <w:numPr>
                                <w:ilvl w:val="0"/>
                                <w:numId w:val="16"/>
                              </w:numPr>
                              <w:spacing w:after="0"/>
                              <w:ind w:left="284" w:hanging="287"/>
                              <w:rPr>
                                <w:i/>
                                <w:iCs/>
                                <w:sz w:val="20"/>
                                <w:szCs w:val="20"/>
                              </w:rPr>
                            </w:pPr>
                            <w:r>
                              <w:rPr>
                                <w:i/>
                                <w:iCs/>
                                <w:sz w:val="20"/>
                                <w:szCs w:val="20"/>
                              </w:rPr>
                              <w:t>The Australian Government works with state and territory governments to deliver nationally-consistent policies, regulations and programmes.</w:t>
                            </w:r>
                          </w:p>
                        </w:txbxContent>
                      </wps:txbx>
                      <wps:bodyPr rot="0" vert="horz" wrap="square" lIns="45720" tIns="45720" rIns="4572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6" type="#_x0000_t185" style="position:absolute;left:0;text-align:left;margin-left:252.45pt;margin-top:122.05pt;width:169.25pt;height:99.5pt;z-index:-2516121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" o:allowincell="f" adj="793" fillcolor="#943634" strokecolor="gray [1629]" strokeweight="3pt">
                <v:shadow color="#5d7035" offset="1pt,1pt"/>
                <v:textbox inset="3.6pt,,3.6pt">
                  <w:txbxContent>
                    <w:p w14:paraId="04969F62" w14:textId="77777777" w:rsidR="006678AE" w:rsidRPr="00C4362D" w:rsidRDefault="006678AE" w:rsidP="00A809F1">
                      <w:pPr>
                        <w:spacing w:after="0"/>
                        <w:rPr>
                          <w:b/>
                          <w:i/>
                          <w:iCs/>
                          <w:sz w:val="20"/>
                          <w:szCs w:val="20"/>
                        </w:rPr>
                      </w:pPr>
                      <w:r w:rsidRPr="00C4362D">
                        <w:rPr>
                          <w:b/>
                          <w:i/>
                          <w:iCs/>
                          <w:sz w:val="20"/>
                          <w:szCs w:val="20"/>
                        </w:rPr>
                        <w:t>Key Points:</w:t>
                      </w:r>
                    </w:p>
                    <w:p w14:paraId="04969F63" w14:textId="77777777" w:rsidR="006678AE" w:rsidRPr="002B6596" w:rsidRDefault="006678AE" w:rsidP="006E1311">
                      <w:pPr>
                        <w:pStyle w:val="ListParagraph"/>
                        <w:numPr>
                          <w:ilvl w:val="0"/>
                          <w:numId w:val="16"/>
                        </w:numPr>
                        <w:spacing w:after="0"/>
                        <w:ind w:left="284" w:hanging="287"/>
                        <w:rPr>
                          <w:i/>
                          <w:iCs/>
                          <w:sz w:val="20"/>
                          <w:szCs w:val="20"/>
                        </w:rPr>
                      </w:pPr>
                      <w:r>
                        <w:rPr>
                          <w:i/>
                          <w:iCs/>
                          <w:sz w:val="20"/>
                          <w:szCs w:val="20"/>
                        </w:rPr>
                        <w:t>The Australian Government works with state and territory governments to deliver nationally-consistent policies, regulations and programmes.</w:t>
                      </w:r>
                    </w:p>
                  </w:txbxContent>
                </v:textbox>
                <w10:wrap type="tight" anchorx="margin" anchory="margin"/>
              </v:shape>
            </w:pict>
          </mc:Fallback>
        </mc:AlternateContent>
      </w:r>
      <w:r w:rsidR="00062539" w:rsidRPr="00DD2634">
        <w:t>For many CCECL</w:t>
      </w:r>
      <w:r w:rsidR="00D421BA" w:rsidRPr="00DD2634">
        <w:t xml:space="preserve"> policy matters, </w:t>
      </w:r>
      <w:r w:rsidR="00062539" w:rsidRPr="00DD2634">
        <w:t xml:space="preserve">the Australian Government works collaboratively with states and territories to develop national policies. Historically, child care has been the responsibility of the Commonwealth while early childhood education has been the responsibility of states and territories. </w:t>
      </w:r>
    </w:p>
    <w:p w14:paraId="2861DB52" w14:textId="77777777" w:rsidR="00D421BA" w:rsidRPr="00DD2634" w:rsidRDefault="00062539" w:rsidP="00381744">
      <w:pPr>
        <w:pStyle w:val="NormalNumbered"/>
      </w:pPr>
      <w:r w:rsidRPr="00DD2634">
        <w:t xml:space="preserve">Increasingly, however, these boundaries are becoming less defined as services – responding to consumer demand and government policy – are integrating education and care. </w:t>
      </w:r>
    </w:p>
    <w:p w14:paraId="5A561F24" w14:textId="4D27AF08" w:rsidR="00062539" w:rsidRPr="00DD2634" w:rsidRDefault="00062539" w:rsidP="00381744">
      <w:pPr>
        <w:pStyle w:val="NormalNumbered"/>
      </w:pPr>
      <w:r w:rsidRPr="00DD2634">
        <w:t>In these cases, policies are commonly developed through COAG or the ministerial Standing Council on School Education and Early Childhood.</w:t>
      </w:r>
    </w:p>
    <w:p w14:paraId="04969D02" w14:textId="65F97B3E" w:rsidR="00C55FEB" w:rsidRPr="00DD2634" w:rsidRDefault="00C55FEB" w:rsidP="00381744">
      <w:pPr>
        <w:pStyle w:val="NormalNumbered"/>
      </w:pPr>
      <w:r w:rsidRPr="00DD2634">
        <w:t xml:space="preserve">The Australian Government has a role in </w:t>
      </w:r>
      <w:r w:rsidR="00D8179A" w:rsidRPr="00DD2634">
        <w:t>providing</w:t>
      </w:r>
      <w:r w:rsidRPr="00DD2634">
        <w:t xml:space="preserve"> national leadership and setting national policies. </w:t>
      </w:r>
      <w:r w:rsidR="00062539" w:rsidRPr="00DD2634">
        <w:t xml:space="preserve">The Government </w:t>
      </w:r>
      <w:r w:rsidRPr="00DD2634">
        <w:t>sets national policies and procedures through the Department of Education</w:t>
      </w:r>
      <w:r w:rsidR="00C52663" w:rsidRPr="00DD2634">
        <w:t>, especially relating</w:t>
      </w:r>
      <w:r w:rsidR="00D05A2C">
        <w:t xml:space="preserve"> to the Australian G</w:t>
      </w:r>
      <w:r w:rsidR="00D8179A" w:rsidRPr="00DD2634">
        <w:t>overnment</w:t>
      </w:r>
      <w:r w:rsidR="00CA4F8D" w:rsidRPr="00DD2634">
        <w:t>’</w:t>
      </w:r>
      <w:r w:rsidR="00D8179A" w:rsidRPr="00DD2634">
        <w:t xml:space="preserve">s child care </w:t>
      </w:r>
      <w:r w:rsidR="00C52663" w:rsidRPr="00DD2634">
        <w:t xml:space="preserve">fees subsidies and related support </w:t>
      </w:r>
      <w:r w:rsidR="00D8179A" w:rsidRPr="00DD2634">
        <w:t>programmes.</w:t>
      </w:r>
    </w:p>
    <w:p w14:paraId="04969D04" w14:textId="77777777" w:rsidR="00F62936" w:rsidRPr="00DD2634" w:rsidRDefault="00F62936" w:rsidP="00D661D0">
      <w:pPr>
        <w:pStyle w:val="Heading1"/>
      </w:pPr>
      <w:bookmarkStart w:id="66" w:name="_Ref377309214"/>
      <w:bookmarkStart w:id="67" w:name="_Toc379208184"/>
      <w:bookmarkEnd w:id="48"/>
      <w:r w:rsidRPr="00DD2634">
        <w:lastRenderedPageBreak/>
        <w:t xml:space="preserve">Key issues for creating a sustainable </w:t>
      </w:r>
      <w:r w:rsidR="008F197C" w:rsidRPr="00DD2634">
        <w:t>CCECL</w:t>
      </w:r>
      <w:r w:rsidRPr="00DD2634">
        <w:t xml:space="preserve"> system</w:t>
      </w:r>
      <w:bookmarkEnd w:id="43"/>
      <w:bookmarkEnd w:id="66"/>
      <w:bookmarkEnd w:id="67"/>
    </w:p>
    <w:p w14:paraId="04969D05" w14:textId="43C0C87C" w:rsidR="00903376" w:rsidRPr="00DD2634" w:rsidRDefault="00326EF0" w:rsidP="00381744">
      <w:pPr>
        <w:pStyle w:val="NormalNumbered"/>
      </w:pPr>
      <w:r w:rsidRPr="00DD2634">
        <w:t xml:space="preserve">In </w:t>
      </w:r>
      <w:r w:rsidR="002A6E60" w:rsidRPr="00DD2634">
        <w:t>the last decade</w:t>
      </w:r>
      <w:r w:rsidRPr="00DD2634">
        <w:t xml:space="preserve">, there have been many developments </w:t>
      </w:r>
      <w:r w:rsidR="002A6E60" w:rsidRPr="00DD2634">
        <w:t>that have improved</w:t>
      </w:r>
      <w:r w:rsidRPr="00DD2634">
        <w:t xml:space="preserve"> </w:t>
      </w:r>
      <w:r w:rsidR="00BD5241" w:rsidRPr="00DD2634">
        <w:t>the capacity of the</w:t>
      </w:r>
      <w:r w:rsidR="002A6E60" w:rsidRPr="00DD2634">
        <w:t xml:space="preserve"> CCECL</w:t>
      </w:r>
      <w:r w:rsidR="00BD5241" w:rsidRPr="00DD2634">
        <w:t xml:space="preserve"> system to </w:t>
      </w:r>
      <w:r w:rsidR="002A6E60" w:rsidRPr="00DD2634">
        <w:t xml:space="preserve">better </w:t>
      </w:r>
      <w:r w:rsidR="00BD5241" w:rsidRPr="00DD2634">
        <w:t xml:space="preserve">respond to families’ </w:t>
      </w:r>
      <w:r w:rsidR="002A6E60" w:rsidRPr="00DD2634">
        <w:t xml:space="preserve">workforce participation </w:t>
      </w:r>
      <w:r w:rsidR="00BD5241" w:rsidRPr="00DD2634">
        <w:t>needs and to deliver better early learni</w:t>
      </w:r>
      <w:r w:rsidRPr="00DD2634">
        <w:t>ng and development for children</w:t>
      </w:r>
      <w:r w:rsidR="00903376" w:rsidRPr="00DD2634">
        <w:t>.</w:t>
      </w:r>
      <w:r w:rsidR="008D28AF" w:rsidRPr="00DD2634">
        <w:t xml:space="preserve"> </w:t>
      </w:r>
    </w:p>
    <w:p w14:paraId="04969D06" w14:textId="10720A0D" w:rsidR="00F40665" w:rsidRPr="00DD2634" w:rsidRDefault="00BD5241" w:rsidP="00381744">
      <w:pPr>
        <w:pStyle w:val="NormalNumbered"/>
      </w:pPr>
      <w:r w:rsidRPr="00DD2634">
        <w:t xml:space="preserve">However, </w:t>
      </w:r>
      <w:r w:rsidR="00062539" w:rsidRPr="00DD2634">
        <w:t xml:space="preserve">challenges </w:t>
      </w:r>
      <w:r w:rsidR="005B4A7E" w:rsidRPr="00DD2634">
        <w:t xml:space="preserve">to the sector </w:t>
      </w:r>
      <w:r w:rsidR="00062539" w:rsidRPr="00DD2634">
        <w:t>such as the changing costs of delivery and localised, uneven service provision</w:t>
      </w:r>
      <w:r w:rsidR="00D421BA" w:rsidRPr="00DD2634">
        <w:t>, mean that</w:t>
      </w:r>
      <w:r w:rsidR="00062539" w:rsidRPr="00DD2634">
        <w:t xml:space="preserve"> s</w:t>
      </w:r>
      <w:r w:rsidRPr="00DD2634">
        <w:t xml:space="preserve">ome children and families still miss out on accessing quality, affordable </w:t>
      </w:r>
      <w:r w:rsidR="008F197C" w:rsidRPr="00DD2634">
        <w:t>CCECL</w:t>
      </w:r>
      <w:r w:rsidRPr="00DD2634">
        <w:t>, while Australian Government expenditure, and therefore the cost to taxpayers,</w:t>
      </w:r>
      <w:r w:rsidR="00F40665" w:rsidRPr="00DD2634">
        <w:t xml:space="preserve"> is growing rapidly.</w:t>
      </w:r>
    </w:p>
    <w:p w14:paraId="04969D07" w14:textId="5091DE78" w:rsidR="00F40665" w:rsidRPr="00DD2634" w:rsidRDefault="00BD5241" w:rsidP="00381744">
      <w:pPr>
        <w:pStyle w:val="NormalNumbered"/>
      </w:pPr>
      <w:r w:rsidRPr="00DD2634">
        <w:t xml:space="preserve">The following </w:t>
      </w:r>
      <w:r w:rsidR="00D421BA" w:rsidRPr="00DD2634">
        <w:t>highlights a number of central</w:t>
      </w:r>
      <w:r w:rsidR="00F40665" w:rsidRPr="00DD2634">
        <w:t xml:space="preserve"> issues facing the </w:t>
      </w:r>
      <w:r w:rsidR="008F197C" w:rsidRPr="00DD2634">
        <w:t>CCECL</w:t>
      </w:r>
      <w:r w:rsidR="00F40665" w:rsidRPr="00DD2634">
        <w:t xml:space="preserve"> sector.</w:t>
      </w:r>
    </w:p>
    <w:p w14:paraId="04969D08" w14:textId="5E23CEAB" w:rsidR="00BD5241" w:rsidRPr="00DD2634" w:rsidRDefault="00D661D0" w:rsidP="00BE5BEF">
      <w:pPr>
        <w:pStyle w:val="Heading2"/>
      </w:pPr>
      <w:bookmarkStart w:id="68" w:name="_Toc379208185"/>
      <w:r w:rsidRPr="00DD2634">
        <w:t>U</w:t>
      </w:r>
      <w:r w:rsidR="00BD5241" w:rsidRPr="00DD2634">
        <w:t>nder or over supply of child care</w:t>
      </w:r>
      <w:r w:rsidRPr="00DD2634">
        <w:t xml:space="preserve"> in some communities</w:t>
      </w:r>
      <w:bookmarkEnd w:id="68"/>
    </w:p>
    <w:p w14:paraId="04969D09" w14:textId="3A851455" w:rsidR="005B39C7" w:rsidRPr="00DD2634" w:rsidRDefault="00D421BA" w:rsidP="00381744">
      <w:pPr>
        <w:pStyle w:val="NormalNumbered"/>
      </w:pPr>
      <w:r w:rsidRPr="00DD2634">
        <w:t>Despite t</w:t>
      </w:r>
      <w:r w:rsidR="00D04A1B" w:rsidRPr="00DD2634">
        <w:t xml:space="preserve">he </w:t>
      </w:r>
      <w:r w:rsidR="005B39C7" w:rsidRPr="00DD2634">
        <w:t xml:space="preserve">significant </w:t>
      </w:r>
      <w:r w:rsidR="00D04A1B" w:rsidRPr="00DD2634">
        <w:t>growth in the number of children using approved care over the last decade and the corresponding growth in the number of services,</w:t>
      </w:r>
      <w:r w:rsidRPr="00DD2634">
        <w:t xml:space="preserve"> evidence </w:t>
      </w:r>
      <w:r w:rsidR="00D04A1B" w:rsidRPr="00DD2634">
        <w:t>suggests</w:t>
      </w:r>
      <w:r w:rsidRPr="00DD2634">
        <w:t xml:space="preserve"> </w:t>
      </w:r>
      <w:r w:rsidR="00D04A1B" w:rsidRPr="00DD2634">
        <w:t>that</w:t>
      </w:r>
      <w:r w:rsidRPr="00DD2634">
        <w:t xml:space="preserve">, </w:t>
      </w:r>
      <w:r w:rsidR="00D04A1B" w:rsidRPr="00DD2634">
        <w:t>broadly</w:t>
      </w:r>
      <w:r w:rsidRPr="00DD2634">
        <w:t xml:space="preserve"> speaking, </w:t>
      </w:r>
      <w:r w:rsidR="00D04A1B" w:rsidRPr="00DD2634">
        <w:t xml:space="preserve">the market has responded </w:t>
      </w:r>
      <w:r w:rsidR="00892841" w:rsidRPr="00DD2634">
        <w:t xml:space="preserve">reasonably well </w:t>
      </w:r>
      <w:r w:rsidR="00D04A1B" w:rsidRPr="00DD2634">
        <w:t>to demand</w:t>
      </w:r>
      <w:r w:rsidR="00D661D0" w:rsidRPr="00DD2634">
        <w:t>.</w:t>
      </w:r>
      <w:r w:rsidR="00D04A1B" w:rsidRPr="00DD2634">
        <w:rPr>
          <w:rStyle w:val="FootnoteReference"/>
        </w:rPr>
        <w:footnoteReference w:id="27"/>
      </w:r>
      <w:r w:rsidR="00D47D38" w:rsidRPr="00DD2634">
        <w:rPr>
          <w:vertAlign w:val="superscript"/>
        </w:rPr>
        <w:t>,</w:t>
      </w:r>
      <w:r w:rsidR="00302618" w:rsidRPr="00DD2634">
        <w:rPr>
          <w:rStyle w:val="FootnoteReference"/>
        </w:rPr>
        <w:footnoteReference w:id="28"/>
      </w:r>
    </w:p>
    <w:p w14:paraId="04969D0A" w14:textId="15DD25C4" w:rsidR="00BD5241" w:rsidRPr="00DD2634" w:rsidRDefault="00D455EA" w:rsidP="00381744">
      <w:pPr>
        <w:pStyle w:val="NormalNumbered"/>
      </w:pPr>
      <w:r w:rsidRPr="00DD2634">
        <w:t xml:space="preserve">However, families have told the </w:t>
      </w:r>
      <w:r w:rsidR="00927B2E" w:rsidRPr="00DD2634">
        <w:t>d</w:t>
      </w:r>
      <w:r w:rsidRPr="00DD2634">
        <w:t xml:space="preserve">epartment that finding child care can be particularly difficult in some </w:t>
      </w:r>
      <w:r w:rsidR="00FA1673" w:rsidRPr="00DD2634">
        <w:t xml:space="preserve">areas, such as </w:t>
      </w:r>
      <w:r w:rsidRPr="00DD2634">
        <w:t>inner</w:t>
      </w:r>
      <w:r w:rsidR="00892841" w:rsidRPr="00DD2634">
        <w:t>-city</w:t>
      </w:r>
      <w:r w:rsidRPr="00DD2634">
        <w:t xml:space="preserve"> suburbs and mining towns</w:t>
      </w:r>
      <w:r w:rsidR="000C7DCF">
        <w:t>,</w:t>
      </w:r>
      <w:r w:rsidRPr="00DD2634">
        <w:rPr>
          <w:rStyle w:val="FootnoteReference"/>
        </w:rPr>
        <w:footnoteReference w:id="29"/>
      </w:r>
      <w:r w:rsidR="000C7DCF">
        <w:t xml:space="preserve"> </w:t>
      </w:r>
      <w:r w:rsidR="00BD5241" w:rsidRPr="00DD2634">
        <w:t>where the cost of entry and operation for service providers outweighs the communities’ and parents’ capacity to pay, even after subsidies and oth</w:t>
      </w:r>
      <w:r w:rsidR="00262EC6" w:rsidRPr="00DD2634">
        <w:t>er assistance from governments.</w:t>
      </w:r>
    </w:p>
    <w:p w14:paraId="04969D0B" w14:textId="65F657D4" w:rsidR="00F40665" w:rsidRPr="00DD2634" w:rsidRDefault="00F40665" w:rsidP="00381744">
      <w:pPr>
        <w:pStyle w:val="NormalNumbered"/>
      </w:pPr>
      <w:r w:rsidRPr="00DD2634">
        <w:t>The supply of child care can be impeded by barriers to entry including: access to capital</w:t>
      </w:r>
      <w:r w:rsidR="0066196A" w:rsidRPr="00DD2634">
        <w:rPr>
          <w:rStyle w:val="FootnoteReference"/>
        </w:rPr>
        <w:footnoteReference w:id="30"/>
      </w:r>
      <w:r w:rsidR="00262EC6" w:rsidRPr="00DD2634">
        <w:t xml:space="preserve"> (particularly for not for profit organisations</w:t>
      </w:r>
      <w:r w:rsidR="00262EC6" w:rsidRPr="00DD2634">
        <w:rPr>
          <w:rStyle w:val="FootnoteReference"/>
        </w:rPr>
        <w:footnoteReference w:id="31"/>
      </w:r>
      <w:r w:rsidR="0066196A" w:rsidRPr="00DD2634">
        <w:t>)</w:t>
      </w:r>
      <w:r w:rsidRPr="00DD2634">
        <w:t>, regulatory burdens arising through development and building approval processes, constraints due to zoning restrictions, and lack of available land</w:t>
      </w:r>
      <w:r w:rsidR="00D661D0" w:rsidRPr="00DD2634">
        <w:t>.</w:t>
      </w:r>
      <w:r w:rsidR="00D455EA" w:rsidRPr="00DD2634">
        <w:rPr>
          <w:rStyle w:val="FootnoteReference"/>
        </w:rPr>
        <w:footnoteReference w:id="32"/>
      </w:r>
      <w:r w:rsidRPr="00DD2634">
        <w:t xml:space="preserve"> </w:t>
      </w:r>
      <w:r w:rsidR="005B39C7" w:rsidRPr="00DD2634">
        <w:t>These barriers to entry mean that the supply of child care</w:t>
      </w:r>
      <w:r w:rsidR="00C06622" w:rsidRPr="00DD2634">
        <w:t xml:space="preserve"> is</w:t>
      </w:r>
      <w:r w:rsidR="005B39C7" w:rsidRPr="00DD2634">
        <w:t xml:space="preserve"> likely to take a period of time to respond to increases, or decreases in demand (potentially leading to an over or under supply)</w:t>
      </w:r>
      <w:r w:rsidR="00D661D0" w:rsidRPr="00DD2634">
        <w:t>.</w:t>
      </w:r>
      <w:r w:rsidR="005B39C7" w:rsidRPr="00DD2634">
        <w:rPr>
          <w:rStyle w:val="FootnoteReference"/>
        </w:rPr>
        <w:footnoteReference w:id="33"/>
      </w:r>
    </w:p>
    <w:p w14:paraId="3146D795" w14:textId="718D406F" w:rsidR="00892841" w:rsidRPr="00DD2634" w:rsidRDefault="00892841" w:rsidP="00381744">
      <w:pPr>
        <w:pStyle w:val="NormalNumbered"/>
      </w:pPr>
      <w:r w:rsidRPr="00DD2634">
        <w:t>In inner-cities</w:t>
      </w:r>
      <w:r w:rsidR="00F40665" w:rsidRPr="00DD2634">
        <w:t>, land costs and land availability are significant constraints on the supply of centre-based care</w:t>
      </w:r>
      <w:r w:rsidR="00D661D0" w:rsidRPr="00DD2634">
        <w:t>.</w:t>
      </w:r>
      <w:r w:rsidR="00270CD2" w:rsidRPr="00DD2634">
        <w:rPr>
          <w:rStyle w:val="FootnoteReference"/>
        </w:rPr>
        <w:footnoteReference w:id="34"/>
      </w:r>
      <w:r w:rsidR="00F40665" w:rsidRPr="00DD2634">
        <w:t xml:space="preserve"> This is particularly the case in areas where available land has a greater </w:t>
      </w:r>
      <w:r w:rsidR="0085691C" w:rsidRPr="00DD2634">
        <w:t xml:space="preserve">value </w:t>
      </w:r>
      <w:r w:rsidR="00F40665" w:rsidRPr="00DD2634">
        <w:t xml:space="preserve">as high density housing or office space rather than for community uses such as child care. </w:t>
      </w:r>
    </w:p>
    <w:p w14:paraId="04969D0C" w14:textId="05C94F6A" w:rsidR="00F40665" w:rsidRPr="00DD2634" w:rsidRDefault="00F40665" w:rsidP="00381744">
      <w:pPr>
        <w:pStyle w:val="NormalNumbered"/>
      </w:pPr>
      <w:r w:rsidRPr="00DD2634">
        <w:t>In regional areas where rents are typically lower and land more readily available, the main constraint on supply is the availability of educators.</w:t>
      </w:r>
    </w:p>
    <w:p w14:paraId="04969D0D" w14:textId="233F64D1" w:rsidR="00F40665" w:rsidRPr="00DD2634" w:rsidRDefault="00DD2634" w:rsidP="00381744">
      <w:pPr>
        <w:pStyle w:val="NormalNumbered"/>
      </w:pPr>
      <w:r>
        <w:lastRenderedPageBreak/>
        <w:t xml:space="preserve">Families are increasingly seeking child care arrangements that meet their specific and diverse needs. Services </w:t>
      </w:r>
      <w:r w:rsidR="00F40665" w:rsidRPr="00DD2634">
        <w:t xml:space="preserve">consequently </w:t>
      </w:r>
      <w:r>
        <w:t>find</w:t>
      </w:r>
      <w:r w:rsidR="00F40665" w:rsidRPr="00DD2634">
        <w:t xml:space="preserve"> it more difficult to respond and provide the care that families prefer. </w:t>
      </w:r>
      <w:r w:rsidR="00DC6200" w:rsidRPr="00DD2634">
        <w:t xml:space="preserve">Increasingly, parents no longer work ‘9 to 5’ and need more flexibility as to the location, timing and form of care. </w:t>
      </w:r>
      <w:r w:rsidR="00FA1673" w:rsidRPr="00DD2634">
        <w:t xml:space="preserve">This can result in </w:t>
      </w:r>
      <w:r w:rsidR="001913F6" w:rsidRPr="00DD2634">
        <w:t xml:space="preserve">some </w:t>
      </w:r>
      <w:r w:rsidR="00FA1673" w:rsidRPr="00DD2634">
        <w:t>families perceiving a lack of su</w:t>
      </w:r>
      <w:r w:rsidR="001913F6" w:rsidRPr="00DD2634">
        <w:t xml:space="preserve">pply </w:t>
      </w:r>
      <w:r w:rsidR="000C7DCF">
        <w:t xml:space="preserve">in </w:t>
      </w:r>
      <w:r w:rsidR="001913F6" w:rsidRPr="00DD2634">
        <w:t xml:space="preserve">a situation where there is a </w:t>
      </w:r>
      <w:r w:rsidR="00FA1673" w:rsidRPr="00DD2634">
        <w:t xml:space="preserve">child care </w:t>
      </w:r>
      <w:r w:rsidR="001913F6" w:rsidRPr="00DD2634">
        <w:t xml:space="preserve">service </w:t>
      </w:r>
      <w:r w:rsidR="00FA1673" w:rsidRPr="00DD2634">
        <w:t>available, but not in the form and/or at the times they need it</w:t>
      </w:r>
      <w:r w:rsidR="00F40665" w:rsidRPr="00DD2634">
        <w:t>.</w:t>
      </w:r>
    </w:p>
    <w:p w14:paraId="04969D0E" w14:textId="77777777" w:rsidR="00657D3D" w:rsidRPr="00DD2634" w:rsidRDefault="00F40665" w:rsidP="00381744">
      <w:pPr>
        <w:pStyle w:val="NormalNumbered"/>
      </w:pPr>
      <w:r w:rsidRPr="00DD2634">
        <w:t>The effect of these issues on supply can reduce competition in local areas where there is a single dominant provider, or result in insufficient supply in areas where there is little return on investment (such as thin markets).</w:t>
      </w:r>
    </w:p>
    <w:p w14:paraId="04969D0F" w14:textId="25615442" w:rsidR="00657D3D" w:rsidRPr="00DD2634" w:rsidRDefault="00657D3D" w:rsidP="00381744">
      <w:pPr>
        <w:pStyle w:val="NormalNumbered"/>
      </w:pPr>
      <w:r w:rsidRPr="00DD2634">
        <w:t xml:space="preserve">However, governments commonly struggle to address these market failures in an effective and efficient manner. In particular, government </w:t>
      </w:r>
      <w:r w:rsidR="00E732DC" w:rsidRPr="00DD2634">
        <w:t>supply–</w:t>
      </w:r>
      <w:r w:rsidRPr="00DD2634">
        <w:t>side intervention risks generating adverse consequences, such as:</w:t>
      </w:r>
    </w:p>
    <w:p w14:paraId="04969D10" w14:textId="3B55F121" w:rsidR="00657D3D" w:rsidRPr="00DD2634" w:rsidRDefault="00657D3D" w:rsidP="00AA625D">
      <w:pPr>
        <w:pStyle w:val="ListBullet"/>
      </w:pPr>
      <w:r w:rsidRPr="00DD2634">
        <w:t>supporting uneconomic services where the costs to government outweig</w:t>
      </w:r>
      <w:r w:rsidR="00B41422" w:rsidRPr="00DD2634">
        <w:t>h the benefits to the community</w:t>
      </w:r>
    </w:p>
    <w:p w14:paraId="04969D11" w14:textId="53AE47E1" w:rsidR="00657D3D" w:rsidRPr="00DD2634" w:rsidRDefault="00657D3D" w:rsidP="00AA625D">
      <w:pPr>
        <w:pStyle w:val="ListBullet"/>
      </w:pPr>
      <w:r w:rsidRPr="00DD2634">
        <w:t xml:space="preserve">encouraging </w:t>
      </w:r>
      <w:r w:rsidR="00D32AFD" w:rsidRPr="00DD2634">
        <w:t>less efficient</w:t>
      </w:r>
      <w:r w:rsidRPr="00DD2634">
        <w:t xml:space="preserve"> business decisions by </w:t>
      </w:r>
      <w:r w:rsidR="00B41422" w:rsidRPr="00DD2634">
        <w:t>child care market operators</w:t>
      </w:r>
    </w:p>
    <w:p w14:paraId="04969D12" w14:textId="77777777" w:rsidR="00657D3D" w:rsidRPr="00DD2634" w:rsidRDefault="00657D3D" w:rsidP="00AA625D">
      <w:pPr>
        <w:pStyle w:val="ListBullet"/>
      </w:pPr>
      <w:r w:rsidRPr="00DD2634">
        <w:t xml:space="preserve">creating an </w:t>
      </w:r>
      <w:r w:rsidR="00D32AFD" w:rsidRPr="00DD2634">
        <w:t xml:space="preserve">ongoing </w:t>
      </w:r>
      <w:r w:rsidRPr="00DD2634">
        <w:t>expectation that government will be a funder of last resort.</w:t>
      </w:r>
    </w:p>
    <w:p w14:paraId="04969D13" w14:textId="24B2D96E" w:rsidR="00BD5241" w:rsidRPr="00DD2634" w:rsidRDefault="00BD5241" w:rsidP="00B41422">
      <w:pPr>
        <w:pStyle w:val="Heading2"/>
      </w:pPr>
      <w:bookmarkStart w:id="69" w:name="_Toc379208186"/>
      <w:r w:rsidRPr="00DD2634">
        <w:t xml:space="preserve">Some </w:t>
      </w:r>
      <w:r w:rsidR="00D661D0" w:rsidRPr="00DD2634">
        <w:t>families</w:t>
      </w:r>
      <w:r w:rsidRPr="00DD2634">
        <w:t xml:space="preserve"> lack sufficient information to make informed decisions</w:t>
      </w:r>
      <w:bookmarkEnd w:id="69"/>
    </w:p>
    <w:p w14:paraId="75E068DE" w14:textId="5DDFDF93" w:rsidR="00892841" w:rsidRPr="00DD2634" w:rsidRDefault="001913F6" w:rsidP="00381744">
      <w:pPr>
        <w:pStyle w:val="NormalNumbered"/>
      </w:pPr>
      <w:r w:rsidRPr="00DD2634">
        <w:t>A lack of the right information</w:t>
      </w:r>
      <w:r w:rsidR="00892841" w:rsidRPr="00DD2634">
        <w:t xml:space="preserve"> can lead to </w:t>
      </w:r>
      <w:r w:rsidRPr="00DD2634">
        <w:t xml:space="preserve">a number of problems for </w:t>
      </w:r>
      <w:r w:rsidR="00892841" w:rsidRPr="00DD2634">
        <w:t>parents</w:t>
      </w:r>
      <w:r w:rsidRPr="00DD2634">
        <w:t xml:space="preserve"> purchasing child care services. They may, for example, avoid ‘shopping around’ due to a lack of time or sources of reliable, comparable information about services. As a result they may choose services that are not the best for themselves or their child, </w:t>
      </w:r>
      <w:r w:rsidR="00112923" w:rsidRPr="00DD2634">
        <w:t xml:space="preserve">or </w:t>
      </w:r>
      <w:r w:rsidRPr="00DD2634">
        <w:t>pay</w:t>
      </w:r>
      <w:r w:rsidR="00892841" w:rsidRPr="00DD2634">
        <w:t xml:space="preserve"> higher than competitive prices</w:t>
      </w:r>
      <w:r w:rsidR="00112923" w:rsidRPr="00DD2634">
        <w:t>.</w:t>
      </w:r>
    </w:p>
    <w:p w14:paraId="471C6762" w14:textId="1A1DE2D3" w:rsidR="00892841" w:rsidRPr="00DD2634" w:rsidRDefault="00892841" w:rsidP="00381744">
      <w:pPr>
        <w:pStyle w:val="NormalNumbered"/>
      </w:pPr>
      <w:r w:rsidRPr="00DD2634">
        <w:t xml:space="preserve">Additionally, in most cases, </w:t>
      </w:r>
      <w:r w:rsidR="00112923" w:rsidRPr="00DD2634">
        <w:t xml:space="preserve">parents </w:t>
      </w:r>
      <w:r w:rsidR="00DC6200" w:rsidRPr="00DD2634">
        <w:t>are</w:t>
      </w:r>
      <w:r w:rsidR="00112923" w:rsidRPr="00DD2634">
        <w:t xml:space="preserve"> not able to determine which </w:t>
      </w:r>
      <w:r w:rsidR="000C7DCF">
        <w:t>g</w:t>
      </w:r>
      <w:r w:rsidRPr="00DD2634">
        <w:t xml:space="preserve">overnment subsidies </w:t>
      </w:r>
      <w:r w:rsidR="00112923" w:rsidRPr="00DD2634">
        <w:t xml:space="preserve">to apply for or what level of support is available. </w:t>
      </w:r>
      <w:r w:rsidRPr="00DD2634">
        <w:t>This impacts part of the decision-making process for parents when considering price and quality issues.</w:t>
      </w:r>
    </w:p>
    <w:p w14:paraId="79B93B1A" w14:textId="3F41CC8A" w:rsidR="00892841" w:rsidRPr="00DD2634" w:rsidRDefault="00892841" w:rsidP="00381744">
      <w:pPr>
        <w:pStyle w:val="NormalNumbered"/>
      </w:pPr>
      <w:r w:rsidRPr="00DD2634">
        <w:t>Anecdotal evidence provided to the department suggests that some services may be reticent about providing information to families regarding the inclusion of children with additional needs due to uncertainty or lack of experience about how to include these children or due to concern there may be additional associated costs.</w:t>
      </w:r>
      <w:r w:rsidRPr="00DD2634">
        <w:rPr>
          <w:vertAlign w:val="superscript"/>
        </w:rPr>
        <w:footnoteReference w:id="35"/>
      </w:r>
    </w:p>
    <w:p w14:paraId="04969D14" w14:textId="3D8E20D3" w:rsidR="00F17358" w:rsidRPr="00DD2634" w:rsidRDefault="00F17358" w:rsidP="00381744">
      <w:pPr>
        <w:pStyle w:val="NormalNumbered"/>
      </w:pPr>
      <w:r w:rsidRPr="00DD2634">
        <w:t xml:space="preserve">In the CCECL sector, </w:t>
      </w:r>
      <w:r w:rsidR="00252642" w:rsidRPr="00DD2634">
        <w:t>problems with adequate market information</w:t>
      </w:r>
      <w:r w:rsidRPr="00DD2634">
        <w:t xml:space="preserve"> can occur because</w:t>
      </w:r>
      <w:r w:rsidR="000C7DCF">
        <w:t>:</w:t>
      </w:r>
      <w:r w:rsidR="00254371" w:rsidRPr="00DD2634">
        <w:rPr>
          <w:vertAlign w:val="superscript"/>
        </w:rPr>
        <w:footnoteReference w:id="36"/>
      </w:r>
    </w:p>
    <w:p w14:paraId="04969D15" w14:textId="45D0661F" w:rsidR="00F17358" w:rsidRPr="00DD2634" w:rsidRDefault="00F17358" w:rsidP="00AA625D">
      <w:pPr>
        <w:pStyle w:val="ListBullet"/>
      </w:pPr>
      <w:r w:rsidRPr="00DD2634">
        <w:t>the nature of the ‘product’ is not easily comparable (e.g. a</w:t>
      </w:r>
      <w:r w:rsidR="00892841" w:rsidRPr="00DD2634">
        <w:t>n</w:t>
      </w:r>
      <w:r w:rsidRPr="00DD2634">
        <w:t xml:space="preserve"> FDC service provides a different product than a LDC service)</w:t>
      </w:r>
    </w:p>
    <w:p w14:paraId="04969D16" w14:textId="34C6B311" w:rsidR="00F17358" w:rsidRPr="00DD2634" w:rsidRDefault="00892841" w:rsidP="00AA625D">
      <w:pPr>
        <w:pStyle w:val="ListBullet"/>
      </w:pPr>
      <w:r w:rsidRPr="00DD2634">
        <w:t>putting a value on long-</w:t>
      </w:r>
      <w:r w:rsidR="00F17358" w:rsidRPr="00DD2634">
        <w:t>term benefits to the child can be difficult</w:t>
      </w:r>
    </w:p>
    <w:p w14:paraId="04969D17" w14:textId="1F26F661" w:rsidR="00F17358" w:rsidRPr="00DD2634" w:rsidRDefault="00F17358" w:rsidP="00AA625D">
      <w:pPr>
        <w:pStyle w:val="ListBullet"/>
      </w:pPr>
      <w:r w:rsidRPr="00DD2634">
        <w:t>parents have difficulty assessing many aspects of quality and tend to overestimate quality</w:t>
      </w:r>
      <w:r w:rsidRPr="00DD2634">
        <w:rPr>
          <w:vertAlign w:val="superscript"/>
        </w:rPr>
        <w:footnoteReference w:id="37"/>
      </w:r>
    </w:p>
    <w:p w14:paraId="04969D18" w14:textId="66EA9005" w:rsidR="00F17358" w:rsidRPr="00DD2634" w:rsidRDefault="00F17358" w:rsidP="00AA625D">
      <w:pPr>
        <w:pStyle w:val="ListBullet"/>
      </w:pPr>
      <w:r w:rsidRPr="00DD2634">
        <w:lastRenderedPageBreak/>
        <w:t>specific information relating to service offerings for children with additional needs or from cultural and linguistically diverse backgrounds may not be available</w:t>
      </w:r>
    </w:p>
    <w:p w14:paraId="04969D19" w14:textId="5686D0E9" w:rsidR="00F17358" w:rsidRPr="00DD2634" w:rsidRDefault="00F17358" w:rsidP="00AA625D">
      <w:pPr>
        <w:pStyle w:val="ListBullet"/>
      </w:pPr>
      <w:r w:rsidRPr="00DD2634">
        <w:t xml:space="preserve">some services can have complicated and </w:t>
      </w:r>
      <w:r w:rsidR="0056659B" w:rsidRPr="00DD2634">
        <w:t>unclear</w:t>
      </w:r>
      <w:r w:rsidRPr="00DD2634">
        <w:t xml:space="preserve"> information on fees and vacancies</w:t>
      </w:r>
    </w:p>
    <w:p w14:paraId="04969D1A" w14:textId="15AA70F0" w:rsidR="00F17358" w:rsidRPr="00DD2634" w:rsidRDefault="00F17358" w:rsidP="00AA625D">
      <w:pPr>
        <w:pStyle w:val="ListBullet"/>
      </w:pPr>
      <w:r w:rsidRPr="00DD2634">
        <w:t xml:space="preserve">fees charged are not necessarily </w:t>
      </w:r>
      <w:r w:rsidR="005B4A7E" w:rsidRPr="00DD2634">
        <w:t xml:space="preserve">directly </w:t>
      </w:r>
      <w:r w:rsidRPr="00DD2634">
        <w:t>linked to the level or nature of the service provided.</w:t>
      </w:r>
    </w:p>
    <w:p w14:paraId="29E00635" w14:textId="40914DBB" w:rsidR="00892841" w:rsidRPr="00DD2634" w:rsidRDefault="008F26F0" w:rsidP="00381744">
      <w:pPr>
        <w:pStyle w:val="NormalNumbered"/>
      </w:pPr>
      <w:r w:rsidRPr="00DD2634">
        <w:t>Both government and non-government organisations have begun to address these issues</w:t>
      </w:r>
      <w:r w:rsidR="002853C3" w:rsidRPr="00DD2634">
        <w:t xml:space="preserve">. For example, the Australian Government’s </w:t>
      </w:r>
      <w:proofErr w:type="spellStart"/>
      <w:r w:rsidR="002853C3" w:rsidRPr="00DD2634">
        <w:t>My</w:t>
      </w:r>
      <w:r w:rsidR="00927B2E" w:rsidRPr="00DD2634">
        <w:t>C</w:t>
      </w:r>
      <w:r w:rsidR="002853C3" w:rsidRPr="00DD2634">
        <w:t>hild</w:t>
      </w:r>
      <w:proofErr w:type="spellEnd"/>
      <w:r w:rsidR="002853C3" w:rsidRPr="00DD2634">
        <w:t xml:space="preserve"> website has made information more accessible and the </w:t>
      </w:r>
      <w:proofErr w:type="spellStart"/>
      <w:r w:rsidR="002853C3" w:rsidRPr="00DD2634">
        <w:t>NQ</w:t>
      </w:r>
      <w:r w:rsidR="00252642" w:rsidRPr="00DD2634">
        <w:t>F</w:t>
      </w:r>
      <w:proofErr w:type="spellEnd"/>
      <w:r w:rsidR="002853C3" w:rsidRPr="00DD2634">
        <w:t xml:space="preserve"> ratings have made services more comparable (in terms of quality). </w:t>
      </w:r>
    </w:p>
    <w:p w14:paraId="04969D1D" w14:textId="28B508A6" w:rsidR="008F26F0" w:rsidRPr="00DD2634" w:rsidRDefault="008F26F0" w:rsidP="00381744">
      <w:pPr>
        <w:pStyle w:val="NormalNumbered"/>
      </w:pPr>
      <w:r w:rsidRPr="00DD2634">
        <w:t xml:space="preserve">However, </w:t>
      </w:r>
      <w:r w:rsidR="00656866" w:rsidRPr="00DD2634">
        <w:t>families have told the department that their main source of identifying potential child care services is word of mouth</w:t>
      </w:r>
      <w:r w:rsidR="00811BB3">
        <w:t>,</w:t>
      </w:r>
      <w:r w:rsidR="00656866" w:rsidRPr="00DD2634">
        <w:rPr>
          <w:vertAlign w:val="superscript"/>
        </w:rPr>
        <w:footnoteReference w:id="38"/>
      </w:r>
      <w:r w:rsidR="00811BB3">
        <w:t xml:space="preserve"> </w:t>
      </w:r>
      <w:r w:rsidR="00656866" w:rsidRPr="00DD2634">
        <w:t xml:space="preserve">while </w:t>
      </w:r>
      <w:r w:rsidRPr="00DD2634">
        <w:t xml:space="preserve">families still face </w:t>
      </w:r>
      <w:r w:rsidR="002853C3" w:rsidRPr="00DD2634">
        <w:t xml:space="preserve">some </w:t>
      </w:r>
      <w:r w:rsidRPr="00DD2634">
        <w:t>difficulties in accessing suffic</w:t>
      </w:r>
      <w:r w:rsidR="00382A9F" w:rsidRPr="00DD2634">
        <w:t>i</w:t>
      </w:r>
      <w:r w:rsidR="001338CE" w:rsidRPr="00DD2634">
        <w:t xml:space="preserve">ent and comparable information. </w:t>
      </w:r>
      <w:r w:rsidR="00E732DC" w:rsidRPr="00DD2634">
        <w:t xml:space="preserve">While </w:t>
      </w:r>
      <w:proofErr w:type="spellStart"/>
      <w:r w:rsidRPr="00DD2634">
        <w:t>My</w:t>
      </w:r>
      <w:r w:rsidR="00927B2E" w:rsidRPr="00DD2634">
        <w:t>C</w:t>
      </w:r>
      <w:r w:rsidRPr="00DD2634">
        <w:t>hild</w:t>
      </w:r>
      <w:proofErr w:type="spellEnd"/>
      <w:r w:rsidRPr="00DD2634">
        <w:t xml:space="preserve"> provides </w:t>
      </w:r>
      <w:r w:rsidR="00DC6FD0" w:rsidRPr="00DD2634">
        <w:t>detailed</w:t>
      </w:r>
      <w:r w:rsidRPr="00DD2634">
        <w:t xml:space="preserve"> data on services and vacancies, there are opportunities to enhance the website </w:t>
      </w:r>
      <w:r w:rsidR="00382A9F" w:rsidRPr="00DD2634">
        <w:t>to better meet parent needs</w:t>
      </w:r>
      <w:r w:rsidRPr="00DD2634">
        <w:t>.</w:t>
      </w:r>
      <w:r w:rsidR="00382A9F" w:rsidRPr="00DD2634">
        <w:t xml:space="preserve"> </w:t>
      </w:r>
    </w:p>
    <w:p w14:paraId="04969D1E" w14:textId="0A07AE04" w:rsidR="00F40665" w:rsidRPr="00DD2634" w:rsidRDefault="00C06622" w:rsidP="00BE5BEF">
      <w:pPr>
        <w:pStyle w:val="Heading2"/>
      </w:pPr>
      <w:bookmarkStart w:id="70" w:name="_Toc379208187"/>
      <w:r w:rsidRPr="00DD2634">
        <w:t>D</w:t>
      </w:r>
      <w:r w:rsidR="00F40665" w:rsidRPr="00DD2634">
        <w:t>uplication of regulation between levels of government</w:t>
      </w:r>
      <w:bookmarkEnd w:id="70"/>
    </w:p>
    <w:p w14:paraId="04969D1F" w14:textId="6FB6BFD8" w:rsidR="00E06171" w:rsidRPr="00DD2634" w:rsidRDefault="00E06171" w:rsidP="00381744">
      <w:pPr>
        <w:pStyle w:val="NormalNumbered"/>
      </w:pPr>
      <w:r w:rsidRPr="00DD2634">
        <w:t xml:space="preserve">The OECD report </w:t>
      </w:r>
      <w:r w:rsidRPr="00DD2634">
        <w:rPr>
          <w:i/>
        </w:rPr>
        <w:t>Starting Strong II</w:t>
      </w:r>
      <w:r w:rsidRPr="00DD2634">
        <w:t xml:space="preserve"> supports the need for government intervention in the sector. The report concluded that ‘…governments need to fund, supervise and regulate private providers, if they wish to maintain quality for all young children, including children with special needs and/or additional learning needs’.</w:t>
      </w:r>
      <w:r w:rsidR="00B41422" w:rsidRPr="00DD2634">
        <w:rPr>
          <w:vertAlign w:val="superscript"/>
        </w:rPr>
        <w:footnoteReference w:id="39"/>
      </w:r>
    </w:p>
    <w:p w14:paraId="04969D20" w14:textId="0A51290C" w:rsidR="00E06171" w:rsidRPr="00DD2634" w:rsidRDefault="00252642" w:rsidP="00381744">
      <w:pPr>
        <w:pStyle w:val="NormalNumbered"/>
      </w:pPr>
      <w:r w:rsidRPr="00DD2634">
        <w:t>T</w:t>
      </w:r>
      <w:r w:rsidR="00E06171" w:rsidRPr="00DD2634">
        <w:t xml:space="preserve">he community </w:t>
      </w:r>
      <w:r w:rsidRPr="00DD2634">
        <w:t>expect</w:t>
      </w:r>
      <w:r w:rsidR="00E06171" w:rsidRPr="00DD2634">
        <w:t xml:space="preserve"> that governments should be willing and able to act when</w:t>
      </w:r>
      <w:r w:rsidRPr="00DD2634">
        <w:t xml:space="preserve"> there are problems with the supply of</w:t>
      </w:r>
      <w:r w:rsidR="00E06171" w:rsidRPr="00DD2634">
        <w:t xml:space="preserve"> child care, and </w:t>
      </w:r>
      <w:r w:rsidRPr="00DD2634">
        <w:t xml:space="preserve">it is the role of </w:t>
      </w:r>
      <w:r w:rsidR="00E06171" w:rsidRPr="00DD2634">
        <w:t xml:space="preserve">governments </w:t>
      </w:r>
      <w:r w:rsidRPr="00DD2634">
        <w:t>to take</w:t>
      </w:r>
      <w:r w:rsidR="00E06171" w:rsidRPr="00DD2634">
        <w:t xml:space="preserve"> responsibility in regulating for the health, safety and welfare of children and families. Government regulation should be proportionate and appropriate to the extent and type of market failure, balance the needs of children, parents, service operators and owners, and the community generally, and reflect government policy objectives.</w:t>
      </w:r>
      <w:r w:rsidR="00E06171" w:rsidRPr="00DD2634">
        <w:rPr>
          <w:rStyle w:val="FootnoteReference"/>
        </w:rPr>
        <w:footnoteReference w:id="40"/>
      </w:r>
    </w:p>
    <w:p w14:paraId="78EAB3E8" w14:textId="190EFA3D" w:rsidR="00892841" w:rsidRPr="00DD2634" w:rsidRDefault="00E06171" w:rsidP="00381744">
      <w:pPr>
        <w:pStyle w:val="NormalNumbered"/>
      </w:pPr>
      <w:r w:rsidRPr="00DD2634">
        <w:t>Imposing standards on the CCECL sector can produce a higher quality of service delivery than in an unregulated environment</w:t>
      </w:r>
      <w:r w:rsidR="003930AA" w:rsidRPr="00DD2634">
        <w:t>.</w:t>
      </w:r>
      <w:r w:rsidRPr="00DD2634">
        <w:rPr>
          <w:vertAlign w:val="superscript"/>
        </w:rPr>
        <w:footnoteReference w:id="41"/>
      </w:r>
      <w:r w:rsidRPr="00DD2634">
        <w:t xml:space="preserve"> Excessive or poor regulation imposes administrative costs on service providers and their staff and can distort the business decisions of child care services and impe</w:t>
      </w:r>
      <w:r w:rsidR="00485F8A">
        <w:t>de ease of access for families.</w:t>
      </w:r>
    </w:p>
    <w:p w14:paraId="04969D21" w14:textId="7B0DCC86" w:rsidR="00E06171" w:rsidRPr="00DD2634" w:rsidRDefault="00443507" w:rsidP="00381744">
      <w:pPr>
        <w:pStyle w:val="NormalNumbered"/>
      </w:pPr>
      <w:r w:rsidRPr="00DD2634">
        <w:t>I</w:t>
      </w:r>
      <w:r w:rsidR="00A809F1" w:rsidRPr="00DD2634">
        <w:t xml:space="preserve">n a system where parents’ choices are important, governments have a </w:t>
      </w:r>
      <w:r w:rsidRPr="00DD2634">
        <w:t xml:space="preserve">special </w:t>
      </w:r>
      <w:r w:rsidR="00A809F1" w:rsidRPr="00DD2634">
        <w:t xml:space="preserve">responsibility to get the </w:t>
      </w:r>
      <w:r w:rsidRPr="00DD2634">
        <w:t xml:space="preserve">right balance of </w:t>
      </w:r>
      <w:r w:rsidR="00A809F1" w:rsidRPr="00DD2634">
        <w:t>regulation</w:t>
      </w:r>
      <w:r w:rsidRPr="00DD2634">
        <w:t xml:space="preserve"> between </w:t>
      </w:r>
      <w:r w:rsidR="00A809F1" w:rsidRPr="00DD2634">
        <w:t>a level t</w:t>
      </w:r>
      <w:r w:rsidRPr="00DD2634">
        <w:t xml:space="preserve">hat </w:t>
      </w:r>
      <w:r w:rsidR="00A809F1" w:rsidRPr="00DD2634">
        <w:lastRenderedPageBreak/>
        <w:t>provide</w:t>
      </w:r>
      <w:r w:rsidRPr="00DD2634">
        <w:t>s</w:t>
      </w:r>
      <w:r w:rsidR="00A809F1" w:rsidRPr="00DD2634">
        <w:t xml:space="preserve"> certainty to families that services will provid</w:t>
      </w:r>
      <w:r w:rsidRPr="00DD2634">
        <w:t>e safe, nurturing environments and one that reduces</w:t>
      </w:r>
      <w:r w:rsidR="00A809F1" w:rsidRPr="00DD2634">
        <w:t xml:space="preserve"> unnecessary red tape and paperwork</w:t>
      </w:r>
      <w:r w:rsidRPr="00DD2634">
        <w:t xml:space="preserve"> for the service</w:t>
      </w:r>
      <w:r w:rsidR="00A809F1" w:rsidRPr="00DD2634">
        <w:t>.</w:t>
      </w:r>
    </w:p>
    <w:p w14:paraId="4A99F2A2" w14:textId="77777777" w:rsidR="00443507" w:rsidRPr="00DD2634" w:rsidRDefault="00BD5241" w:rsidP="00381744">
      <w:pPr>
        <w:pStyle w:val="NormalNumbered"/>
      </w:pPr>
      <w:r w:rsidRPr="00DD2634">
        <w:t xml:space="preserve">The </w:t>
      </w:r>
      <w:r w:rsidR="008F197C" w:rsidRPr="00DD2634">
        <w:t>CCECL</w:t>
      </w:r>
      <w:r w:rsidR="00443507" w:rsidRPr="00DD2634">
        <w:t xml:space="preserve"> sector </w:t>
      </w:r>
      <w:r w:rsidRPr="00DD2634">
        <w:t xml:space="preserve">has a history of increasingly complex government involvement, as supplier (e.g. state government run preschools), regulator, and funder (both on the supply and demand sides), with all three levels of government playing a role. </w:t>
      </w:r>
    </w:p>
    <w:p w14:paraId="04969D22" w14:textId="1B0253C7" w:rsidR="00BD5241" w:rsidRPr="00DD2634" w:rsidRDefault="00BD5241" w:rsidP="00381744">
      <w:pPr>
        <w:pStyle w:val="NormalNumbered"/>
      </w:pPr>
      <w:r w:rsidRPr="00DD2634">
        <w:t xml:space="preserve">This </w:t>
      </w:r>
      <w:r w:rsidR="00443507" w:rsidRPr="00DD2634">
        <w:t xml:space="preserve">level of interaction between three levels of government </w:t>
      </w:r>
      <w:r w:rsidRPr="00DD2634">
        <w:t xml:space="preserve">has led to a tendency for some overlap or duplication between </w:t>
      </w:r>
      <w:r w:rsidR="00443507" w:rsidRPr="00DD2634">
        <w:t xml:space="preserve">the </w:t>
      </w:r>
      <w:r w:rsidRPr="00DD2634">
        <w:t>levels and regulatory burdens for providers, who often have to respond to requirements from all three levels and across local and state/territory government boundaries.</w:t>
      </w:r>
    </w:p>
    <w:p w14:paraId="04969D23" w14:textId="5DC071E5" w:rsidR="009F57A8" w:rsidRPr="00DD2634" w:rsidRDefault="00B41422" w:rsidP="00381744">
      <w:pPr>
        <w:pStyle w:val="NormalNumbered"/>
      </w:pPr>
      <w:r w:rsidRPr="00DD2634">
        <w:t>O</w:t>
      </w:r>
      <w:r w:rsidR="009F57A8" w:rsidRPr="00DD2634">
        <w:t>pportunities to reduce duplication of regulation through better coordination include:</w:t>
      </w:r>
    </w:p>
    <w:p w14:paraId="772623C9" w14:textId="08E137B4" w:rsidR="00443507" w:rsidRPr="00DD2634" w:rsidRDefault="00443507" w:rsidP="00AA625D">
      <w:pPr>
        <w:pStyle w:val="ListBullet"/>
      </w:pPr>
      <w:r w:rsidRPr="00DD2634">
        <w:t>better consultation between go</w:t>
      </w:r>
      <w:r w:rsidR="00B41422" w:rsidRPr="00DD2634">
        <w:t>vernment and service providers</w:t>
      </w:r>
    </w:p>
    <w:p w14:paraId="04969D24" w14:textId="66A05BD7" w:rsidR="009F57A8" w:rsidRPr="00DD2634" w:rsidRDefault="00252642" w:rsidP="00AA625D">
      <w:pPr>
        <w:pStyle w:val="ListBullet"/>
      </w:pPr>
      <w:r w:rsidRPr="00DD2634">
        <w:t xml:space="preserve">reduce </w:t>
      </w:r>
      <w:r w:rsidR="009F57A8" w:rsidRPr="00DD2634">
        <w:t>the burden on services reporting the same or similar information to d</w:t>
      </w:r>
      <w:r w:rsidR="002853C3" w:rsidRPr="00DD2634">
        <w:t xml:space="preserve">ifferent levels of government (including the </w:t>
      </w:r>
      <w:r w:rsidR="009F57A8" w:rsidRPr="00DD2634">
        <w:t xml:space="preserve">need </w:t>
      </w:r>
      <w:r w:rsidR="005B4A7E" w:rsidRPr="00DD2634">
        <w:t xml:space="preserve">and capacity </w:t>
      </w:r>
      <w:r w:rsidR="009F57A8" w:rsidRPr="00DD2634">
        <w:t>to share information better</w:t>
      </w:r>
      <w:r w:rsidR="002853C3" w:rsidRPr="00DD2634">
        <w:t>)</w:t>
      </w:r>
    </w:p>
    <w:p w14:paraId="04969D25" w14:textId="52F8C81E" w:rsidR="009F57A8" w:rsidRPr="00DD2634" w:rsidRDefault="00252642" w:rsidP="00AA625D">
      <w:pPr>
        <w:pStyle w:val="ListBullet"/>
      </w:pPr>
      <w:r w:rsidRPr="00DD2634">
        <w:t xml:space="preserve">address </w:t>
      </w:r>
      <w:r w:rsidR="002853C3" w:rsidRPr="00DD2634">
        <w:t xml:space="preserve">the complexities of a </w:t>
      </w:r>
      <w:r w:rsidR="009F57A8" w:rsidRPr="00DD2634">
        <w:t xml:space="preserve">multiple tier system – some services are </w:t>
      </w:r>
      <w:r w:rsidR="002853C3" w:rsidRPr="00DD2634">
        <w:t>regulated under the</w:t>
      </w:r>
      <w:r w:rsidR="009F57A8" w:rsidRPr="00DD2634">
        <w:t xml:space="preserve"> </w:t>
      </w:r>
      <w:proofErr w:type="spellStart"/>
      <w:r w:rsidR="009F57A8" w:rsidRPr="00DD2634">
        <w:t>NQF</w:t>
      </w:r>
      <w:proofErr w:type="spellEnd"/>
      <w:r w:rsidR="009F57A8" w:rsidRPr="00DD2634">
        <w:t xml:space="preserve">, some are Australian Government approved but not </w:t>
      </w:r>
      <w:proofErr w:type="spellStart"/>
      <w:r w:rsidR="009F57A8" w:rsidRPr="00DD2634">
        <w:t>NQF</w:t>
      </w:r>
      <w:proofErr w:type="spellEnd"/>
      <w:r w:rsidR="009F57A8" w:rsidRPr="00DD2634">
        <w:t xml:space="preserve">, some are state approved but not </w:t>
      </w:r>
      <w:proofErr w:type="spellStart"/>
      <w:r w:rsidR="009F57A8" w:rsidRPr="00DD2634">
        <w:t>NQF</w:t>
      </w:r>
      <w:proofErr w:type="spellEnd"/>
      <w:r w:rsidR="009F57A8" w:rsidRPr="00DD2634">
        <w:t>,</w:t>
      </w:r>
      <w:r w:rsidR="002853C3" w:rsidRPr="00DD2634">
        <w:t xml:space="preserve"> and some are not approved</w:t>
      </w:r>
    </w:p>
    <w:p w14:paraId="04969D27" w14:textId="5AD90745" w:rsidR="009F57A8" w:rsidRPr="00DD2634" w:rsidRDefault="009F57A8" w:rsidP="00AA625D">
      <w:pPr>
        <w:pStyle w:val="ListBullet"/>
      </w:pPr>
      <w:r w:rsidRPr="00DD2634">
        <w:t>i</w:t>
      </w:r>
      <w:r w:rsidR="00252642" w:rsidRPr="00DD2634">
        <w:t>ntegrate and/or further enhance</w:t>
      </w:r>
      <w:r w:rsidR="005B4A7E" w:rsidRPr="00DD2634">
        <w:t xml:space="preserve"> </w:t>
      </w:r>
      <w:r w:rsidR="00252642" w:rsidRPr="00DD2634">
        <w:t>information</w:t>
      </w:r>
      <w:r w:rsidRPr="00DD2634">
        <w:t xml:space="preserve"> systems</w:t>
      </w:r>
      <w:r w:rsidR="005B4A7E" w:rsidRPr="00DD2634">
        <w:t xml:space="preserve"> (between all levels of government, services providers and, where possible and practicable, families)</w:t>
      </w:r>
      <w:r w:rsidR="00443507" w:rsidRPr="00DD2634">
        <w:t>.</w:t>
      </w:r>
    </w:p>
    <w:p w14:paraId="04969D28" w14:textId="68FA7592" w:rsidR="0095571D" w:rsidRPr="00DD2634" w:rsidRDefault="00892841" w:rsidP="00BE5BEF">
      <w:pPr>
        <w:pStyle w:val="Heading2"/>
      </w:pPr>
      <w:bookmarkStart w:id="71" w:name="_Toc379208188"/>
      <w:r w:rsidRPr="00DD2634">
        <w:t>S</w:t>
      </w:r>
      <w:r w:rsidR="00241FC5" w:rsidRPr="00DD2634">
        <w:t xml:space="preserve">ome </w:t>
      </w:r>
      <w:r w:rsidR="0095571D" w:rsidRPr="00DD2634">
        <w:t>parents working outside traditional hours</w:t>
      </w:r>
      <w:r w:rsidRPr="00DD2634">
        <w:t xml:space="preserve"> </w:t>
      </w:r>
      <w:r w:rsidR="00B41422" w:rsidRPr="00DD2634">
        <w:t>can find child care inflexible</w:t>
      </w:r>
      <w:bookmarkEnd w:id="71"/>
    </w:p>
    <w:p w14:paraId="04969D29" w14:textId="624CF662" w:rsidR="00326EF0" w:rsidRPr="00DD2634" w:rsidRDefault="0095571D" w:rsidP="00381744">
      <w:pPr>
        <w:pStyle w:val="NormalNumbered"/>
      </w:pPr>
      <w:r w:rsidRPr="00DD2634">
        <w:t xml:space="preserve">Demand for greater flexibility in child care is more </w:t>
      </w:r>
      <w:r w:rsidR="001A168A" w:rsidRPr="00DD2634">
        <w:t>acute for</w:t>
      </w:r>
      <w:r w:rsidRPr="00DD2634">
        <w:t xml:space="preserve"> parents working non-traditional hours, such</w:t>
      </w:r>
      <w:r w:rsidR="005B4A7E" w:rsidRPr="00DD2634">
        <w:t xml:space="preserve"> as emergency service personnel, shift workers </w:t>
      </w:r>
      <w:r w:rsidRPr="00DD2634">
        <w:t>or casual workers in the retail or hospitality sectors.</w:t>
      </w:r>
      <w:r w:rsidR="001A168A" w:rsidRPr="00DD2634">
        <w:t xml:space="preserve"> </w:t>
      </w:r>
    </w:p>
    <w:p w14:paraId="04969D2A" w14:textId="4BA90707" w:rsidR="0095571D" w:rsidRPr="00DD2634" w:rsidRDefault="00485F8A" w:rsidP="00381744">
      <w:pPr>
        <w:pStyle w:val="NormalNumbered"/>
      </w:pPr>
      <w:r>
        <w:t>Early c</w:t>
      </w:r>
      <w:r w:rsidR="0095571D" w:rsidRPr="00DD2634">
        <w:t xml:space="preserve">onsultations undertaken by the </w:t>
      </w:r>
      <w:r w:rsidR="00927B2E" w:rsidRPr="00DD2634">
        <w:t>d</w:t>
      </w:r>
      <w:r w:rsidR="0095571D" w:rsidRPr="00DD2634">
        <w:t xml:space="preserve">epartment as part of the development of the Child Care Flexibility </w:t>
      </w:r>
      <w:r w:rsidR="001A168A" w:rsidRPr="00DD2634">
        <w:t>Trials</w:t>
      </w:r>
      <w:r w:rsidR="0095571D" w:rsidRPr="00DD2634">
        <w:t xml:space="preserve"> indicate that for</w:t>
      </w:r>
      <w:r w:rsidR="00443507" w:rsidRPr="00DD2634">
        <w:t xml:space="preserve"> the emergency services sector (</w:t>
      </w:r>
      <w:r w:rsidR="0095571D" w:rsidRPr="00DD2634">
        <w:t>police officers, nurses and ambulance officers</w:t>
      </w:r>
      <w:r w:rsidR="00443507" w:rsidRPr="00DD2634">
        <w:t>)</w:t>
      </w:r>
      <w:r w:rsidR="0095571D" w:rsidRPr="00DD2634">
        <w:t xml:space="preserve">, lack of flexible child care is a significant issue </w:t>
      </w:r>
      <w:r w:rsidR="00252642" w:rsidRPr="00DD2634">
        <w:t>affect</w:t>
      </w:r>
      <w:r w:rsidR="0095571D" w:rsidRPr="00DD2634">
        <w:t>ing workforce participation and family stress levels.</w:t>
      </w:r>
      <w:r w:rsidR="001A168A" w:rsidRPr="00DD2634">
        <w:t xml:space="preserve"> </w:t>
      </w:r>
      <w:r w:rsidR="0095571D" w:rsidRPr="00DD2634">
        <w:t>Issues raised included:</w:t>
      </w:r>
    </w:p>
    <w:p w14:paraId="04969D2B" w14:textId="205D655C" w:rsidR="0095571D" w:rsidRPr="00DD2634" w:rsidRDefault="00927B2E" w:rsidP="00AA625D">
      <w:pPr>
        <w:pStyle w:val="ListBullet"/>
      </w:pPr>
      <w:r w:rsidRPr="00DD2634">
        <w:t>m</w:t>
      </w:r>
      <w:r w:rsidR="0095571D" w:rsidRPr="00DD2634">
        <w:t>others not returning to work, or returning part-time to a different role with less potential for promotion</w:t>
      </w:r>
    </w:p>
    <w:p w14:paraId="04969D2C" w14:textId="3A06456D" w:rsidR="0095571D" w:rsidRPr="00DD2634" w:rsidRDefault="00927B2E" w:rsidP="00AA625D">
      <w:pPr>
        <w:pStyle w:val="ListBullet"/>
      </w:pPr>
      <w:r w:rsidRPr="00DD2634">
        <w:t>p</w:t>
      </w:r>
      <w:r w:rsidR="0095571D" w:rsidRPr="00DD2634">
        <w:t>arents needing to tag-team</w:t>
      </w:r>
      <w:r w:rsidR="001A168A" w:rsidRPr="00DD2634">
        <w:t xml:space="preserve"> </w:t>
      </w:r>
      <w:r w:rsidR="0095571D" w:rsidRPr="00DD2634">
        <w:t>with resultant stress levels on parents and potentially children</w:t>
      </w:r>
    </w:p>
    <w:p w14:paraId="04969D2D" w14:textId="4C01D280" w:rsidR="0095571D" w:rsidRPr="00DD2634" w:rsidRDefault="00927B2E" w:rsidP="00AA625D">
      <w:pPr>
        <w:pStyle w:val="ListBullet"/>
      </w:pPr>
      <w:r w:rsidRPr="00DD2634">
        <w:t>f</w:t>
      </w:r>
      <w:r w:rsidR="0095571D" w:rsidRPr="00DD2634">
        <w:t>amilies relying on</w:t>
      </w:r>
      <w:r w:rsidR="005B4A7E" w:rsidRPr="00DD2634">
        <w:t xml:space="preserve"> relatives </w:t>
      </w:r>
      <w:r w:rsidR="0095571D" w:rsidRPr="00DD2634">
        <w:t>and/or a complex set of formal and informal child care arrangements</w:t>
      </w:r>
    </w:p>
    <w:p w14:paraId="04969D2E" w14:textId="77777777" w:rsidR="0095571D" w:rsidRPr="00DD2634" w:rsidRDefault="00927B2E" w:rsidP="00AA625D">
      <w:pPr>
        <w:pStyle w:val="ListBullet"/>
      </w:pPr>
      <w:r w:rsidRPr="00DD2634">
        <w:t>t</w:t>
      </w:r>
      <w:r w:rsidR="001A168A" w:rsidRPr="00DD2634">
        <w:t>he need to pay for sessions of care that are not used and/or be unable to access care for last minute shift changes.</w:t>
      </w:r>
    </w:p>
    <w:p w14:paraId="04969D2F" w14:textId="1DB62AD9" w:rsidR="0095571D" w:rsidRPr="00DD2634" w:rsidRDefault="0095571D" w:rsidP="00381744">
      <w:pPr>
        <w:pStyle w:val="NormalNumbered"/>
      </w:pPr>
      <w:r w:rsidRPr="00DD2634">
        <w:t>Greater flexibility can only be delivered within the context of service viability.</w:t>
      </w:r>
      <w:r w:rsidR="001A168A" w:rsidRPr="00DD2634">
        <w:t xml:space="preserve"> </w:t>
      </w:r>
      <w:r w:rsidRPr="00DD2634">
        <w:t xml:space="preserve">While from a parent's point of view, charging only for sessions used or holding a place to accommodate last minute shift changes would deliver more </w:t>
      </w:r>
      <w:r w:rsidRPr="00DD2634">
        <w:lastRenderedPageBreak/>
        <w:t>flexible child care, the ability of services to respond in this way is limited by its financial impac</w:t>
      </w:r>
      <w:r w:rsidR="007406CC" w:rsidRPr="00DD2634">
        <w:t>t.</w:t>
      </w:r>
      <w:r w:rsidR="001A168A" w:rsidRPr="00DD2634">
        <w:t xml:space="preserve"> </w:t>
      </w:r>
      <w:r w:rsidR="00485F8A">
        <w:t>On the other hand, s</w:t>
      </w:r>
      <w:r w:rsidR="007406CC" w:rsidRPr="00DD2634">
        <w:t>ervices</w:t>
      </w:r>
      <w:r w:rsidRPr="00DD2634">
        <w:t xml:space="preserve"> must design charging practices that enable them to maintain a viable business.</w:t>
      </w:r>
    </w:p>
    <w:p w14:paraId="04969D30" w14:textId="77777777" w:rsidR="0095571D" w:rsidRPr="00DD2634" w:rsidRDefault="0095571D" w:rsidP="00381744">
      <w:pPr>
        <w:pStyle w:val="NormalNumbered"/>
      </w:pPr>
      <w:r w:rsidRPr="00DD2634">
        <w:t>There are also potentially other factors that could reduce families</w:t>
      </w:r>
      <w:r w:rsidR="00ED0646" w:rsidRPr="00DD2634">
        <w:t>’</w:t>
      </w:r>
      <w:r w:rsidRPr="00DD2634">
        <w:t xml:space="preserve"> access to more flexible care.</w:t>
      </w:r>
      <w:r w:rsidR="001A168A" w:rsidRPr="00DD2634">
        <w:t xml:space="preserve"> </w:t>
      </w:r>
      <w:r w:rsidRPr="00DD2634">
        <w:t>These include:</w:t>
      </w:r>
    </w:p>
    <w:p w14:paraId="04969D31" w14:textId="2EC206A0" w:rsidR="0095571D" w:rsidRPr="00DD2634" w:rsidRDefault="00C31BC0" w:rsidP="00AA625D">
      <w:pPr>
        <w:pStyle w:val="ListBullet"/>
      </w:pPr>
      <w:r w:rsidRPr="00DD2634">
        <w:t>employers’</w:t>
      </w:r>
      <w:r w:rsidR="0095571D" w:rsidRPr="00DD2634">
        <w:t xml:space="preserve"> </w:t>
      </w:r>
      <w:r w:rsidR="007406CC" w:rsidRPr="00DD2634">
        <w:t>requirements</w:t>
      </w:r>
      <w:r w:rsidR="0095571D" w:rsidRPr="00DD2634">
        <w:rPr>
          <w:vertAlign w:val="superscript"/>
        </w:rPr>
        <w:footnoteReference w:id="42"/>
      </w:r>
    </w:p>
    <w:p w14:paraId="04969D32" w14:textId="417155C0" w:rsidR="0095571D" w:rsidRPr="00DD2634" w:rsidRDefault="0095571D" w:rsidP="00AA625D">
      <w:pPr>
        <w:pStyle w:val="ListBullet"/>
      </w:pPr>
      <w:r w:rsidRPr="00DD2634">
        <w:t>concerns in relation to quality or safety of home based care</w:t>
      </w:r>
      <w:r w:rsidRPr="00DD2634">
        <w:rPr>
          <w:vertAlign w:val="superscript"/>
        </w:rPr>
        <w:footnoteReference w:id="43"/>
      </w:r>
    </w:p>
    <w:p w14:paraId="04969D33" w14:textId="66A9A2C6" w:rsidR="0095571D" w:rsidRPr="00DD2634" w:rsidRDefault="0095571D" w:rsidP="00AA625D">
      <w:pPr>
        <w:pStyle w:val="ListBullet"/>
      </w:pPr>
      <w:r w:rsidRPr="00DD2634">
        <w:t xml:space="preserve">complexities in staff rostering and/or lack of </w:t>
      </w:r>
      <w:r w:rsidR="00DD695D" w:rsidRPr="00DD2634">
        <w:t xml:space="preserve">availability </w:t>
      </w:r>
      <w:r w:rsidR="00252642" w:rsidRPr="00DD2634">
        <w:t>of</w:t>
      </w:r>
      <w:r w:rsidRPr="00DD2634">
        <w:t xml:space="preserve"> </w:t>
      </w:r>
      <w:r w:rsidR="00252642" w:rsidRPr="00DD2634">
        <w:t xml:space="preserve">child care </w:t>
      </w:r>
      <w:r w:rsidRPr="00DD2634">
        <w:t xml:space="preserve">staff </w:t>
      </w:r>
      <w:r w:rsidR="00252642" w:rsidRPr="00DD2634">
        <w:t>to work</w:t>
      </w:r>
      <w:r w:rsidRPr="00DD2634">
        <w:t xml:space="preserve"> non-traditional hours</w:t>
      </w:r>
    </w:p>
    <w:p w14:paraId="04969D34" w14:textId="4171D70F" w:rsidR="0095571D" w:rsidRPr="00DD2634" w:rsidRDefault="0095571D" w:rsidP="00AA625D">
      <w:pPr>
        <w:pStyle w:val="ListBullet"/>
      </w:pPr>
      <w:r w:rsidRPr="00DD2634">
        <w:t>licensing requirements may hamper a services' ability to expand or establish a targeted service, for example for children under two years.</w:t>
      </w:r>
    </w:p>
    <w:p w14:paraId="04969D35" w14:textId="70BB8901" w:rsidR="00BD5241" w:rsidRPr="00DD2634" w:rsidRDefault="006678AE" w:rsidP="00BE5BEF">
      <w:pPr>
        <w:pStyle w:val="Heading2"/>
      </w:pPr>
      <w:bookmarkStart w:id="72" w:name="_Toc379208189"/>
      <w:r>
        <w:t>Some families find the cost of child care an issue</w:t>
      </w:r>
      <w:bookmarkEnd w:id="72"/>
    </w:p>
    <w:p w14:paraId="2D0531DB" w14:textId="0D8890A9" w:rsidR="00AC014B" w:rsidRPr="00DD2634" w:rsidRDefault="00DD2634" w:rsidP="00381744">
      <w:pPr>
        <w:pStyle w:val="NormalNumbered"/>
      </w:pPr>
      <w:r>
        <w:t>Without financial assistance, m</w:t>
      </w:r>
      <w:r w:rsidR="00AC014B" w:rsidRPr="00DD2634">
        <w:t xml:space="preserve">any families </w:t>
      </w:r>
      <w:r>
        <w:t>would</w:t>
      </w:r>
      <w:r w:rsidR="00AC014B" w:rsidRPr="00DD2634">
        <w:t xml:space="preserve"> find the cost of child care to be prohibitive. The Australian Government seeks to address this through a range of subsidies and programmes.</w:t>
      </w:r>
      <w:r>
        <w:t xml:space="preserve"> Despite this assistance, some families find the affordability of child care a challenge.</w:t>
      </w:r>
    </w:p>
    <w:p w14:paraId="3CACCF1D" w14:textId="77777777" w:rsidR="00EC6551" w:rsidRPr="00DD2634" w:rsidRDefault="00AC014B" w:rsidP="00381744">
      <w:pPr>
        <w:pStyle w:val="NormalNumbered"/>
      </w:pPr>
      <w:r w:rsidRPr="00DD2634">
        <w:t>The</w:t>
      </w:r>
      <w:r w:rsidR="00364CDD" w:rsidRPr="00DD2634">
        <w:t xml:space="preserve"> two main forms of child care fees assistance available</w:t>
      </w:r>
      <w:r w:rsidRPr="00DD2634">
        <w:t xml:space="preserve"> from the Australian Government are</w:t>
      </w:r>
      <w:r w:rsidR="00EC6551" w:rsidRPr="00DD2634">
        <w:t>:</w:t>
      </w:r>
    </w:p>
    <w:p w14:paraId="2DBB6232" w14:textId="04CBDE3B" w:rsidR="00EC6551" w:rsidRPr="00DD2634" w:rsidRDefault="00D05A2C" w:rsidP="00EC6551">
      <w:pPr>
        <w:pStyle w:val="ListBullet"/>
      </w:pPr>
      <w:r>
        <w:t>CCR</w:t>
      </w:r>
      <w:r w:rsidR="00AC014B" w:rsidRPr="00DD2634">
        <w:t xml:space="preserve">, which is </w:t>
      </w:r>
      <w:r w:rsidR="00364CDD" w:rsidRPr="00DD2634">
        <w:t xml:space="preserve">available regardless of </w:t>
      </w:r>
      <w:r w:rsidR="00EC6551" w:rsidRPr="00DD2634">
        <w:t xml:space="preserve">family </w:t>
      </w:r>
      <w:r w:rsidR="00364CDD" w:rsidRPr="00DD2634">
        <w:t>income and is focused on sup</w:t>
      </w:r>
      <w:r w:rsidR="00AC014B" w:rsidRPr="00DD2634">
        <w:t>porting workforce participation</w:t>
      </w:r>
      <w:r w:rsidR="00EC6551" w:rsidRPr="00DD2634">
        <w:t>, with the rate set relative to out of pocket costs</w:t>
      </w:r>
    </w:p>
    <w:p w14:paraId="523D5614" w14:textId="06CFA66D" w:rsidR="00EC6551" w:rsidRPr="00DD2634" w:rsidRDefault="00D05A2C" w:rsidP="00EC6551">
      <w:pPr>
        <w:pStyle w:val="ListBullet"/>
      </w:pPr>
      <w:proofErr w:type="spellStart"/>
      <w:r>
        <w:t>CCB</w:t>
      </w:r>
      <w:proofErr w:type="spellEnd"/>
      <w:r w:rsidR="00AC014B" w:rsidRPr="00DD2634">
        <w:t>, which</w:t>
      </w:r>
      <w:r w:rsidR="00BD5241" w:rsidRPr="00DD2634">
        <w:t xml:space="preserve"> is targeted towards lower income earners</w:t>
      </w:r>
      <w:r w:rsidR="00C10E72" w:rsidRPr="00DD2634">
        <w:t>, through means testing</w:t>
      </w:r>
      <w:r w:rsidR="00EC6551" w:rsidRPr="00DD2634">
        <w:t>, and has a range of rates depending on family income and circumstances.</w:t>
      </w:r>
    </w:p>
    <w:p w14:paraId="3AD80F3F" w14:textId="161C2F9C" w:rsidR="00C06622" w:rsidRPr="00DD2634" w:rsidRDefault="00C06622" w:rsidP="00EC6551">
      <w:pPr>
        <w:pStyle w:val="NormalNumbered"/>
      </w:pPr>
      <w:r w:rsidRPr="00DD2634">
        <w:t>Appendix</w:t>
      </w:r>
      <w:r w:rsidR="00443507" w:rsidRPr="00DD2634">
        <w:t xml:space="preserve"> </w:t>
      </w:r>
      <w:r w:rsidR="00AC014B" w:rsidRPr="00DD2634">
        <w:t>2</w:t>
      </w:r>
      <w:r w:rsidRPr="00DD2634">
        <w:t xml:space="preserve"> </w:t>
      </w:r>
      <w:r w:rsidR="00AC014B" w:rsidRPr="00DD2634">
        <w:t>provides</w:t>
      </w:r>
      <w:r w:rsidRPr="00DD2634">
        <w:t xml:space="preserve"> additional information on child care subsidies, including total outlays, out of pocket costs as a proportion of disposable income and child care fees and affordability.</w:t>
      </w:r>
    </w:p>
    <w:p w14:paraId="034D6418" w14:textId="67305EA4" w:rsidR="00AC014B" w:rsidRPr="00DD2634" w:rsidRDefault="00AC014B" w:rsidP="00381744">
      <w:pPr>
        <w:pStyle w:val="NormalNumbered"/>
      </w:pPr>
      <w:r w:rsidRPr="00DD2634">
        <w:t xml:space="preserve">In terms of impact on affordability, </w:t>
      </w:r>
      <w:proofErr w:type="spellStart"/>
      <w:r w:rsidR="00EC6551" w:rsidRPr="00DD2634">
        <w:t>CCB</w:t>
      </w:r>
      <w:proofErr w:type="spellEnd"/>
      <w:r w:rsidR="00EC6551" w:rsidRPr="00DD2634">
        <w:t xml:space="preserve"> combined with </w:t>
      </w:r>
      <w:proofErr w:type="spellStart"/>
      <w:r w:rsidR="00EC6551" w:rsidRPr="00DD2634">
        <w:t>CCR</w:t>
      </w:r>
      <w:proofErr w:type="spellEnd"/>
      <w:r w:rsidR="00EC6551" w:rsidRPr="00DD2634">
        <w:t xml:space="preserve"> assists lower income earners with the cost of child care. </w:t>
      </w:r>
      <w:r w:rsidRPr="00DD2634">
        <w:t xml:space="preserve">CCR is important to middle to higher income earners, as these families receive relatively less </w:t>
      </w:r>
      <w:proofErr w:type="spellStart"/>
      <w:r w:rsidRPr="00DD2634">
        <w:t>CCB</w:t>
      </w:r>
      <w:proofErr w:type="spellEnd"/>
      <w:r w:rsidRPr="00DD2634">
        <w:t xml:space="preserve"> (due to their higher incomes).</w:t>
      </w:r>
    </w:p>
    <w:p w14:paraId="3B36C5AA" w14:textId="782F197D" w:rsidR="00443507" w:rsidRPr="00DD2634" w:rsidRDefault="00EC6551" w:rsidP="00381744">
      <w:pPr>
        <w:pStyle w:val="NormalNumbered"/>
      </w:pPr>
      <w:r w:rsidRPr="00DD2634">
        <w:t xml:space="preserve">There have been some important changes </w:t>
      </w:r>
      <w:r w:rsidR="00507D54" w:rsidRPr="00DD2634">
        <w:t xml:space="preserve">to </w:t>
      </w:r>
      <w:r w:rsidRPr="00DD2634">
        <w:t xml:space="preserve">Australian Government child care fees assistance. </w:t>
      </w:r>
      <w:r w:rsidR="00AC014B" w:rsidRPr="00DD2634">
        <w:t xml:space="preserve">CCR </w:t>
      </w:r>
      <w:r w:rsidRPr="00DD2634">
        <w:t xml:space="preserve">in particular </w:t>
      </w:r>
      <w:r w:rsidR="00AC014B" w:rsidRPr="00DD2634">
        <w:t xml:space="preserve">has undergone a number of key changes in recent years. </w:t>
      </w:r>
      <w:r w:rsidR="00592058" w:rsidRPr="00DD2634">
        <w:t xml:space="preserve">Until 2006-07, families claimed their out-of-pocket costs at the end of the financial year as a lump sum payment against their income tax liability, when the rebate was moved to the transfer payment system as an annual payment. From July 2008, </w:t>
      </w:r>
      <w:r w:rsidR="00443507" w:rsidRPr="00DD2634">
        <w:t xml:space="preserve">CCR </w:t>
      </w:r>
      <w:r w:rsidR="00592058" w:rsidRPr="00DD2634">
        <w:t xml:space="preserve">was lifted </w:t>
      </w:r>
      <w:r w:rsidR="00AC014B" w:rsidRPr="00DD2634">
        <w:t xml:space="preserve">from 30 </w:t>
      </w:r>
      <w:r w:rsidR="00592058" w:rsidRPr="00DD2634">
        <w:t>per cent</w:t>
      </w:r>
      <w:r w:rsidR="005541E0" w:rsidRPr="00DD2634">
        <w:t xml:space="preserve"> of out-of-pocket costs</w:t>
      </w:r>
      <w:r w:rsidR="00AC014B" w:rsidRPr="00DD2634">
        <w:t xml:space="preserve"> to 50 per cent</w:t>
      </w:r>
      <w:r w:rsidR="00592058" w:rsidRPr="00DD2634">
        <w:t xml:space="preserve">, </w:t>
      </w:r>
      <w:r w:rsidR="00AC014B" w:rsidRPr="00DD2634">
        <w:t xml:space="preserve">and the </w:t>
      </w:r>
      <w:r w:rsidR="00592058" w:rsidRPr="00DD2634">
        <w:t xml:space="preserve">annual </w:t>
      </w:r>
      <w:r w:rsidR="006015DA" w:rsidRPr="00DD2634">
        <w:t>limit</w:t>
      </w:r>
      <w:r w:rsidR="00592058" w:rsidRPr="00DD2634">
        <w:t xml:space="preserve"> </w:t>
      </w:r>
      <w:r w:rsidR="00AC014B" w:rsidRPr="00DD2634">
        <w:t xml:space="preserve">was increased to </w:t>
      </w:r>
      <w:r w:rsidR="00592058" w:rsidRPr="00DD2634">
        <w:t>$7,500 per child</w:t>
      </w:r>
      <w:r w:rsidR="00AC014B" w:rsidRPr="00DD2634">
        <w:t xml:space="preserve">. Payments </w:t>
      </w:r>
      <w:r w:rsidR="00AC014B" w:rsidRPr="00DD2634">
        <w:lastRenderedPageBreak/>
        <w:t>are now</w:t>
      </w:r>
      <w:r w:rsidR="00592058" w:rsidRPr="00DD2634">
        <w:t xml:space="preserve"> available </w:t>
      </w:r>
      <w:r w:rsidR="00AC014B" w:rsidRPr="00DD2634">
        <w:t xml:space="preserve">annually, quarterly or </w:t>
      </w:r>
      <w:r w:rsidR="00592058" w:rsidRPr="00DD2634">
        <w:t xml:space="preserve">fortnightly (either to families or direct to </w:t>
      </w:r>
      <w:r w:rsidR="00AC014B" w:rsidRPr="00DD2634">
        <w:t>services).</w:t>
      </w:r>
    </w:p>
    <w:p w14:paraId="04969D38" w14:textId="0C87707E" w:rsidR="00592058" w:rsidRPr="00DD2634" w:rsidRDefault="006015DA" w:rsidP="00381744">
      <w:pPr>
        <w:pStyle w:val="NormalNumbered"/>
      </w:pPr>
      <w:r w:rsidRPr="00DD2634">
        <w:t>T</w:t>
      </w:r>
      <w:r w:rsidR="00592058" w:rsidRPr="00DD2634">
        <w:t xml:space="preserve">he annual CCR </w:t>
      </w:r>
      <w:r w:rsidRPr="00DD2634">
        <w:t xml:space="preserve">limit has been set at </w:t>
      </w:r>
      <w:r w:rsidR="00592058" w:rsidRPr="00DD2634">
        <w:t>the 20</w:t>
      </w:r>
      <w:r w:rsidRPr="00DD2634">
        <w:t>08</w:t>
      </w:r>
      <w:r w:rsidRPr="00DD2634">
        <w:noBreakHyphen/>
        <w:t>09 level of $7,500 per child</w:t>
      </w:r>
      <w:r w:rsidR="00592058" w:rsidRPr="00DD2634">
        <w:t xml:space="preserve"> and </w:t>
      </w:r>
      <w:r w:rsidRPr="00DD2634">
        <w:t>the limit has not been indexed</w:t>
      </w:r>
      <w:r w:rsidR="001901F0" w:rsidRPr="00DD2634">
        <w:t xml:space="preserve"> since then</w:t>
      </w:r>
      <w:r w:rsidR="00592058" w:rsidRPr="00DD2634">
        <w:t xml:space="preserve">. There is legislation currently </w:t>
      </w:r>
      <w:r w:rsidR="00443507" w:rsidRPr="00DD2634">
        <w:t>before</w:t>
      </w:r>
      <w:r w:rsidR="00592058" w:rsidRPr="00DD2634">
        <w:t xml:space="preserve"> parliament to maintain the limit at $</w:t>
      </w:r>
      <w:r w:rsidRPr="00DD2634">
        <w:t>7,500 for a further three years</w:t>
      </w:r>
      <w:r w:rsidR="00EC6551" w:rsidRPr="00DD2634">
        <w:t xml:space="preserve"> beyond June </w:t>
      </w:r>
      <w:r w:rsidRPr="00DD2634">
        <w:t>2014.</w:t>
      </w:r>
    </w:p>
    <w:p w14:paraId="012E1535" w14:textId="09BC21C6" w:rsidR="007D543D" w:rsidRPr="00DD2634" w:rsidRDefault="00BD5241" w:rsidP="00381744">
      <w:pPr>
        <w:pStyle w:val="NormalNumbered"/>
      </w:pPr>
      <w:r w:rsidRPr="00DD2634">
        <w:t xml:space="preserve">While average national </w:t>
      </w:r>
      <w:r w:rsidR="00ED0646" w:rsidRPr="00DD2634">
        <w:t xml:space="preserve">child care </w:t>
      </w:r>
      <w:r w:rsidRPr="00DD2634">
        <w:t>fe</w:t>
      </w:r>
      <w:r w:rsidR="00302F39" w:rsidRPr="00DD2634">
        <w:t>es have grown at a steady rate</w:t>
      </w:r>
      <w:r w:rsidRPr="00DD2634">
        <w:t>, there are large variations between states and territories as well as metropolitan, regional and remote areas</w:t>
      </w:r>
      <w:r w:rsidR="00EC6551" w:rsidRPr="00DD2634">
        <w:t>.</w:t>
      </w:r>
      <w:r w:rsidRPr="00DD2634">
        <w:rPr>
          <w:rStyle w:val="FootnoteReference"/>
        </w:rPr>
        <w:footnoteReference w:id="44"/>
      </w:r>
      <w:r w:rsidR="00302F39" w:rsidRPr="00DD2634">
        <w:t xml:space="preserve"> This results from </w:t>
      </w:r>
      <w:r w:rsidR="007D543D" w:rsidRPr="00DD2634">
        <w:t xml:space="preserve">the variable </w:t>
      </w:r>
      <w:r w:rsidRPr="00DD2634">
        <w:t>costs of operating a</w:t>
      </w:r>
      <w:r w:rsidR="00ED0646" w:rsidRPr="00DD2634">
        <w:t xml:space="preserve"> </w:t>
      </w:r>
      <w:r w:rsidRPr="00DD2634">
        <w:t>service. For example, infrastructure costs can be high in metropolitan areas and remote areas</w:t>
      </w:r>
      <w:r w:rsidR="00302F39" w:rsidRPr="00DD2634">
        <w:t>.</w:t>
      </w:r>
    </w:p>
    <w:p w14:paraId="04969D39" w14:textId="29FE338B" w:rsidR="00BD5241" w:rsidRPr="00DD2634" w:rsidRDefault="003559BE" w:rsidP="00381744">
      <w:pPr>
        <w:pStyle w:val="NormalNumbered"/>
      </w:pPr>
      <w:r w:rsidRPr="00DD2634">
        <w:t>Set up and running c</w:t>
      </w:r>
      <w:r w:rsidR="00BD5241" w:rsidRPr="00DD2634">
        <w:t xml:space="preserve">osts can also impact on </w:t>
      </w:r>
      <w:r w:rsidR="007D543D" w:rsidRPr="00DD2634">
        <w:t xml:space="preserve">the </w:t>
      </w:r>
      <w:r w:rsidR="00BD5241" w:rsidRPr="00DD2634">
        <w:t>availability of places, as serv</w:t>
      </w:r>
      <w:r w:rsidR="003C1085" w:rsidRPr="00DD2634">
        <w:t xml:space="preserve">ices may find it too expensive to expand or </w:t>
      </w:r>
      <w:r w:rsidR="00BD5241" w:rsidRPr="00DD2634">
        <w:t>se</w:t>
      </w:r>
      <w:r w:rsidR="003C1085" w:rsidRPr="00DD2634">
        <w:t xml:space="preserve">t up, </w:t>
      </w:r>
      <w:r w:rsidR="00BD5241" w:rsidRPr="00DD2634">
        <w:t>even in areas of high demand.</w:t>
      </w:r>
      <w:r w:rsidR="001A168A" w:rsidRPr="00DD2634">
        <w:t xml:space="preserve"> </w:t>
      </w:r>
      <w:r w:rsidR="00776F3A" w:rsidRPr="00DD2634">
        <w:t>Some services have indicated that regulatory requirements such as staff qualifications and ratios also contribute to operating costs. T</w:t>
      </w:r>
      <w:r w:rsidR="00241FC5" w:rsidRPr="00DD2634">
        <w:t>he main drivers of fee costs in the child care sector are wages, which make up between 60</w:t>
      </w:r>
      <w:r w:rsidR="00776F3A" w:rsidRPr="00DD2634">
        <w:t xml:space="preserve"> and 80 </w:t>
      </w:r>
      <w:r w:rsidR="00241FC5" w:rsidRPr="00DD2634">
        <w:t>per cent of a service’s costs</w:t>
      </w:r>
      <w:r w:rsidR="00302F39" w:rsidRPr="00DD2634">
        <w:t>.</w:t>
      </w:r>
    </w:p>
    <w:p w14:paraId="1641DBCD" w14:textId="7B90E194" w:rsidR="00E61E1E" w:rsidRPr="00DD2634" w:rsidRDefault="00E61E1E" w:rsidP="00381744">
      <w:pPr>
        <w:pStyle w:val="NormalNumbered"/>
      </w:pPr>
      <w:r w:rsidRPr="00DD2634">
        <w:t>The interaction between child care fee assistance, other family subsidies, taxable income and income support payments is complex, varying between different household circumstances. The gains or losses from working an additional day can affect families’ disposable incomes differently, depending on their income levels, the number of children in approved early learning and care services and the fees charged.</w:t>
      </w:r>
      <w:r w:rsidR="008D4A04" w:rsidRPr="00DD2634">
        <w:t xml:space="preserve"> The following two Figures provide scenarios of how different families’ incomes and circumstances can have significant effects on the financial </w:t>
      </w:r>
      <w:r w:rsidR="00712F65" w:rsidRPr="00DD2634">
        <w:t>impacts</w:t>
      </w:r>
      <w:r w:rsidR="002B0239" w:rsidRPr="00DD2634">
        <w:t xml:space="preserve"> of </w:t>
      </w:r>
      <w:r w:rsidR="00712F65" w:rsidRPr="00DD2634">
        <w:t xml:space="preserve">the secondary income earner in a couple family </w:t>
      </w:r>
      <w:r w:rsidR="002B0239" w:rsidRPr="00DD2634">
        <w:t>working an extra day:</w:t>
      </w:r>
    </w:p>
    <w:p w14:paraId="779A10C0" w14:textId="2329027B" w:rsidR="00E61E1E" w:rsidRPr="00DD2634" w:rsidRDefault="008025C4" w:rsidP="00AA625D">
      <w:pPr>
        <w:pStyle w:val="ListBullet"/>
      </w:pPr>
      <w:r w:rsidRPr="00DD2634">
        <w:fldChar w:fldCharType="begin"/>
      </w:r>
      <w:r w:rsidRPr="00DD2634">
        <w:instrText xml:space="preserve"> REF _Ref378772409 \h </w:instrText>
      </w:r>
      <w:r w:rsidR="001901F0" w:rsidRPr="00DD2634">
        <w:instrText xml:space="preserve"> \* MERGEFORMAT </w:instrText>
      </w:r>
      <w:r w:rsidRPr="00DD2634">
        <w:fldChar w:fldCharType="separate"/>
      </w:r>
      <w:r w:rsidR="00CE4F92" w:rsidRPr="00DD2634">
        <w:t xml:space="preserve">Figure </w:t>
      </w:r>
      <w:r w:rsidR="00CE4F92">
        <w:rPr>
          <w:noProof/>
        </w:rPr>
        <w:t>3</w:t>
      </w:r>
      <w:r w:rsidRPr="00DD2634">
        <w:fldChar w:fldCharType="end"/>
      </w:r>
      <w:r w:rsidRPr="00DD2634">
        <w:t xml:space="preserve"> </w:t>
      </w:r>
      <w:r w:rsidR="00E61E1E" w:rsidRPr="00DD2634">
        <w:t xml:space="preserve">shows the average amount gained for an additional day of work for </w:t>
      </w:r>
      <w:r w:rsidR="00712F65" w:rsidRPr="00DD2634">
        <w:t xml:space="preserve">the secondary income earner in </w:t>
      </w:r>
      <w:r w:rsidR="00E61E1E" w:rsidRPr="00DD2634">
        <w:t>a couple family</w:t>
      </w:r>
      <w:r w:rsidR="00DC6FD0" w:rsidRPr="00DD2634">
        <w:t>,</w:t>
      </w:r>
      <w:r w:rsidR="00E61E1E" w:rsidRPr="00DD2634">
        <w:t xml:space="preserve"> with one chil</w:t>
      </w:r>
      <w:r w:rsidR="002B0239" w:rsidRPr="00DD2634">
        <w:t xml:space="preserve">d in </w:t>
      </w:r>
      <w:r w:rsidR="00D05A2C">
        <w:t>LDC</w:t>
      </w:r>
      <w:r w:rsidR="002B0239" w:rsidRPr="00DD2634">
        <w:t xml:space="preserve"> for 50 hours </w:t>
      </w:r>
      <w:r w:rsidR="00E61E1E" w:rsidRPr="00DD2634">
        <w:t xml:space="preserve">per week, with an </w:t>
      </w:r>
      <w:r w:rsidRPr="00DD2634">
        <w:t>estimated fee of $370 per week</w:t>
      </w:r>
    </w:p>
    <w:p w14:paraId="2429DEF7" w14:textId="6306B8BF" w:rsidR="008025C4" w:rsidRPr="00DD2634" w:rsidRDefault="002B0239" w:rsidP="00AA625D">
      <w:pPr>
        <w:pStyle w:val="ListBullet"/>
      </w:pPr>
      <w:r w:rsidRPr="00DD2634">
        <w:fldChar w:fldCharType="begin"/>
      </w:r>
      <w:r w:rsidRPr="00DD2634">
        <w:instrText xml:space="preserve"> REF _Ref378772648 \h </w:instrText>
      </w:r>
      <w:r w:rsidR="001901F0" w:rsidRPr="00DD2634">
        <w:instrText xml:space="preserve"> \* MERGEFORMAT </w:instrText>
      </w:r>
      <w:r w:rsidRPr="00DD2634">
        <w:fldChar w:fldCharType="separate"/>
      </w:r>
      <w:r w:rsidR="00CE4F92" w:rsidRPr="00DD2634">
        <w:t xml:space="preserve">Figure </w:t>
      </w:r>
      <w:r w:rsidR="00CE4F92">
        <w:rPr>
          <w:noProof/>
        </w:rPr>
        <w:t>4</w:t>
      </w:r>
      <w:r w:rsidRPr="00DD2634">
        <w:fldChar w:fldCharType="end"/>
      </w:r>
      <w:r w:rsidRPr="00DD2634">
        <w:t xml:space="preserve"> </w:t>
      </w:r>
      <w:r w:rsidR="008025C4" w:rsidRPr="00DD2634">
        <w:t xml:space="preserve">shows the average amount gained or lost for an additional day of work </w:t>
      </w:r>
      <w:r w:rsidR="00712F65" w:rsidRPr="00DD2634">
        <w:t xml:space="preserve">for the secondary income earner in </w:t>
      </w:r>
      <w:r w:rsidR="008025C4" w:rsidRPr="00DD2634">
        <w:t>a couple family</w:t>
      </w:r>
      <w:r w:rsidR="00DC6FD0" w:rsidRPr="00DD2634">
        <w:t>,</w:t>
      </w:r>
      <w:r w:rsidR="008025C4" w:rsidRPr="00DD2634">
        <w:t xml:space="preserve"> with two children </w:t>
      </w:r>
      <w:r w:rsidRPr="00DD2634">
        <w:t>in L</w:t>
      </w:r>
      <w:r w:rsidR="00D05A2C">
        <w:t xml:space="preserve">DC </w:t>
      </w:r>
      <w:r w:rsidRPr="00DD2634">
        <w:t>for 50 </w:t>
      </w:r>
      <w:r w:rsidR="008025C4" w:rsidRPr="00DD2634">
        <w:t>hours per week, with an estimated fee of $370 per week.</w:t>
      </w:r>
    </w:p>
    <w:p w14:paraId="3AC96875" w14:textId="0EA78D4D" w:rsidR="008025C4" w:rsidRPr="00DD2634" w:rsidRDefault="008025C4" w:rsidP="00016891">
      <w:pPr>
        <w:pStyle w:val="Caption"/>
      </w:pPr>
      <w:bookmarkStart w:id="73" w:name="_Ref378772409"/>
      <w:bookmarkStart w:id="74" w:name="_Toc379208200"/>
      <w:r w:rsidRPr="00DD2634">
        <w:lastRenderedPageBreak/>
        <w:t xml:space="preserve">Figure </w:t>
      </w:r>
      <w:fldSimple w:instr=" SEQ Figure \* ARABIC ">
        <w:r w:rsidR="00CE4F92">
          <w:rPr>
            <w:noProof/>
          </w:rPr>
          <w:t>3</w:t>
        </w:r>
      </w:fldSimple>
      <w:bookmarkEnd w:id="73"/>
      <w:r w:rsidRPr="00DD2634">
        <w:t xml:space="preserve">: Couple family, one child in LDC, </w:t>
      </w:r>
      <w:r w:rsidR="006C2087" w:rsidRPr="00DD2634">
        <w:t>10 hours per day</w:t>
      </w:r>
      <w:r w:rsidRPr="00DD2634">
        <w:t>, fee $</w:t>
      </w:r>
      <w:r w:rsidR="006C2087" w:rsidRPr="00DD2634">
        <w:t>7.40</w:t>
      </w:r>
      <w:r w:rsidRPr="00DD2634">
        <w:t xml:space="preserve"> per </w:t>
      </w:r>
      <w:r w:rsidR="006C2087" w:rsidRPr="00DD2634">
        <w:t>hour</w:t>
      </w:r>
      <w:bookmarkEnd w:id="74"/>
    </w:p>
    <w:p w14:paraId="7248054B" w14:textId="77777777" w:rsidR="00E61E1E" w:rsidRPr="00DD2634" w:rsidRDefault="00E61E1E" w:rsidP="00016891">
      <w:pPr>
        <w:keepNext/>
        <w:spacing w:after="0" w:line="240" w:lineRule="auto"/>
        <w:rPr>
          <w:rFonts w:cstheme="minorHAnsi"/>
        </w:rPr>
      </w:pPr>
      <w:r w:rsidRPr="00DD2634">
        <w:rPr>
          <w:noProof/>
          <w:lang w:eastAsia="en-AU"/>
        </w:rPr>
        <w:drawing>
          <wp:inline distT="0" distB="0" distL="0" distR="0" wp14:anchorId="22153BF2" wp14:editId="2F40C531">
            <wp:extent cx="5029200" cy="2950029"/>
            <wp:effectExtent l="0" t="0" r="19050" b="22225"/>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50000E39" w14:textId="77777777" w:rsidR="00E61E1E" w:rsidRPr="00DD2634" w:rsidRDefault="00E61E1E" w:rsidP="00016891">
      <w:pPr>
        <w:pStyle w:val="Source"/>
        <w:keepNext/>
      </w:pPr>
      <w:r w:rsidRPr="00DD2634">
        <w:t>Source: Department of Education and Department of Employment estimates</w:t>
      </w:r>
    </w:p>
    <w:p w14:paraId="6C848E7E" w14:textId="7B6EF56F" w:rsidR="00E61E1E" w:rsidRPr="00DD2634" w:rsidRDefault="00E61E1E" w:rsidP="00016891">
      <w:pPr>
        <w:pStyle w:val="Source"/>
        <w:keepNext/>
      </w:pPr>
      <w:r w:rsidRPr="00DD2634">
        <w:t>Assumptions used to</w:t>
      </w:r>
      <w:r w:rsidR="002B0239" w:rsidRPr="00DD2634">
        <w:t xml:space="preserve"> estimate gains and losses are: </w:t>
      </w:r>
      <w:r w:rsidRPr="00DD2634">
        <w:t>Tax-transfer param</w:t>
      </w:r>
      <w:r w:rsidR="00811BB3">
        <w:t>eters as on March 2013; child</w:t>
      </w:r>
      <w:r w:rsidRPr="00DD2634">
        <w:t xml:space="preserve"> aged less than 5 years; no Rent Assistance; no private health insurance; average hourly LDC fee from 2013 March qua</w:t>
      </w:r>
      <w:r w:rsidR="00712F65" w:rsidRPr="00DD2634">
        <w:t>rter - $7.40, 50 hours per week; families have not reached the CCR limit.</w:t>
      </w:r>
    </w:p>
    <w:p w14:paraId="322DD98E" w14:textId="0F9080A7" w:rsidR="00E61E1E" w:rsidRPr="00DD2634" w:rsidRDefault="00E61E1E" w:rsidP="008025C4">
      <w:pPr>
        <w:pStyle w:val="Source"/>
      </w:pPr>
      <w:r w:rsidRPr="00DD2634">
        <w:t>Family income levels 1st/2nd income earner split:</w:t>
      </w:r>
      <w:r w:rsidR="002B0239" w:rsidRPr="00DD2634">
        <w:t xml:space="preserve"> </w:t>
      </w:r>
      <w:r w:rsidRPr="00DD2634">
        <w:t xml:space="preserve">$55,000 pa ($30,000/$25,000); $120,000 </w:t>
      </w:r>
      <w:r w:rsidR="00466818" w:rsidRPr="00DD2634">
        <w:t xml:space="preserve">pa </w:t>
      </w:r>
      <w:r w:rsidRPr="00DD2634">
        <w:t>($70,000/$50,000); $200,000</w:t>
      </w:r>
      <w:r w:rsidR="00466818" w:rsidRPr="00DD2634">
        <w:t xml:space="preserve"> pa</w:t>
      </w:r>
      <w:r w:rsidRPr="00DD2634">
        <w:t xml:space="preserve"> ($120,000/$80,000).</w:t>
      </w:r>
    </w:p>
    <w:p w14:paraId="088BD65D" w14:textId="57B7E641" w:rsidR="008025C4" w:rsidRPr="00DD2634" w:rsidRDefault="008025C4" w:rsidP="006C2087">
      <w:pPr>
        <w:pStyle w:val="Caption"/>
        <w:ind w:right="-144"/>
      </w:pPr>
      <w:bookmarkStart w:id="75" w:name="_Ref378772648"/>
      <w:bookmarkStart w:id="76" w:name="_Toc379208201"/>
      <w:r w:rsidRPr="00DD2634">
        <w:t xml:space="preserve">Figure </w:t>
      </w:r>
      <w:fldSimple w:instr=" SEQ Figure \* ARABIC ">
        <w:r w:rsidR="00CE4F92">
          <w:rPr>
            <w:noProof/>
          </w:rPr>
          <w:t>4</w:t>
        </w:r>
      </w:fldSimple>
      <w:bookmarkEnd w:id="75"/>
      <w:r w:rsidRPr="00DD2634">
        <w:t xml:space="preserve">: Couple family, </w:t>
      </w:r>
      <w:r w:rsidR="006C2087" w:rsidRPr="00DD2634">
        <w:t xml:space="preserve">two children </w:t>
      </w:r>
      <w:r w:rsidRPr="00DD2634">
        <w:t xml:space="preserve">in LDC, </w:t>
      </w:r>
      <w:r w:rsidR="006C2087" w:rsidRPr="00DD2634">
        <w:t>10</w:t>
      </w:r>
      <w:r w:rsidRPr="00DD2634">
        <w:t xml:space="preserve"> hours per </w:t>
      </w:r>
      <w:r w:rsidR="006C2087" w:rsidRPr="00DD2634">
        <w:t>day</w:t>
      </w:r>
      <w:r w:rsidRPr="00DD2634">
        <w:t>, fee $</w:t>
      </w:r>
      <w:r w:rsidR="006C2087" w:rsidRPr="00DD2634">
        <w:t>7.40</w:t>
      </w:r>
      <w:r w:rsidRPr="00DD2634">
        <w:t xml:space="preserve"> per </w:t>
      </w:r>
      <w:r w:rsidR="006C2087" w:rsidRPr="00DD2634">
        <w:t>hour</w:t>
      </w:r>
      <w:bookmarkEnd w:id="76"/>
    </w:p>
    <w:p w14:paraId="3403CFEC" w14:textId="114C6ACD" w:rsidR="00712A3C" w:rsidRPr="00DD2634" w:rsidRDefault="00712A3C" w:rsidP="002B0239">
      <w:pPr>
        <w:pStyle w:val="Source"/>
      </w:pPr>
      <w:r w:rsidRPr="00DD2634">
        <w:rPr>
          <w:noProof/>
          <w:lang w:eastAsia="en-AU"/>
        </w:rPr>
        <w:drawing>
          <wp:inline distT="0" distB="0" distL="0" distR="0" wp14:anchorId="3BA9FAB0" wp14:editId="68FC051E">
            <wp:extent cx="5029200" cy="2895600"/>
            <wp:effectExtent l="0" t="0" r="19050" b="1905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7B426DDC" w14:textId="77777777" w:rsidR="002B0239" w:rsidRPr="00DD2634" w:rsidRDefault="002B0239" w:rsidP="002B0239">
      <w:pPr>
        <w:pStyle w:val="Source"/>
      </w:pPr>
      <w:r w:rsidRPr="00DD2634">
        <w:t>Source: Department of Education and Department of Employment estimates</w:t>
      </w:r>
    </w:p>
    <w:p w14:paraId="3E7D9CF7" w14:textId="59F8DC1A" w:rsidR="002B0239" w:rsidRPr="00DD2634" w:rsidRDefault="002B0239" w:rsidP="002B0239">
      <w:pPr>
        <w:pStyle w:val="Source"/>
      </w:pPr>
      <w:r w:rsidRPr="00DD2634">
        <w:t>Assumptions used to estimate gains and losses are: Tax-transfer parameters as on March 2013; children aged less than 5 years; no Rent Assistance; no private health insurance; average hourly LDC fee from 2013 March qua</w:t>
      </w:r>
      <w:r w:rsidR="00712F65" w:rsidRPr="00DD2634">
        <w:t>rter - $7.40, 50 hours per week; families have not reached the CCR limit.</w:t>
      </w:r>
    </w:p>
    <w:p w14:paraId="73FB75EF" w14:textId="37394321" w:rsidR="002B0239" w:rsidRPr="00DD2634" w:rsidRDefault="002B0239" w:rsidP="002B0239">
      <w:pPr>
        <w:pStyle w:val="Source"/>
      </w:pPr>
      <w:r w:rsidRPr="00DD2634">
        <w:t xml:space="preserve">Family income levels 1st/2nd income earner split: $55,000 pa ($30,000/$25,000); $120,000 </w:t>
      </w:r>
      <w:r w:rsidR="00712A3C" w:rsidRPr="00DD2634">
        <w:t xml:space="preserve">pa </w:t>
      </w:r>
      <w:r w:rsidRPr="00DD2634">
        <w:t>($70,000/$50,000); $200,000</w:t>
      </w:r>
      <w:r w:rsidR="00712A3C" w:rsidRPr="00DD2634">
        <w:t xml:space="preserve"> pa</w:t>
      </w:r>
      <w:r w:rsidRPr="00DD2634">
        <w:t xml:space="preserve"> ($120,000/$80,000).</w:t>
      </w:r>
      <w:r w:rsidR="001901F0" w:rsidRPr="00DD2634">
        <w:br/>
      </w:r>
    </w:p>
    <w:p w14:paraId="1FB3D613" w14:textId="55759217" w:rsidR="00EE1F7C" w:rsidRPr="00DD2634" w:rsidRDefault="00DD2634" w:rsidP="00EE1F7C">
      <w:pPr>
        <w:pStyle w:val="NormalNumbered"/>
      </w:pPr>
      <w:r>
        <w:t xml:space="preserve">Figures 3 and 4 relate to dual income families. </w:t>
      </w:r>
      <w:r w:rsidR="00EE1F7C" w:rsidRPr="00DD2634">
        <w:t xml:space="preserve">Estimates using </w:t>
      </w:r>
      <w:r w:rsidR="00485413">
        <w:t>similar</w:t>
      </w:r>
      <w:r w:rsidR="00EE1F7C" w:rsidRPr="00DD2634">
        <w:t xml:space="preserve"> parameters and assumptions </w:t>
      </w:r>
      <w:r w:rsidR="00485413">
        <w:t xml:space="preserve">for single families </w:t>
      </w:r>
      <w:r w:rsidR="00EE1F7C" w:rsidRPr="00DD2634">
        <w:t xml:space="preserve">show </w:t>
      </w:r>
      <w:r w:rsidR="00485413">
        <w:t>much the same pattern</w:t>
      </w:r>
      <w:r w:rsidR="00FD1D5B">
        <w:t xml:space="preserve">, with </w:t>
      </w:r>
      <w:r w:rsidR="00EE1F7C" w:rsidRPr="00DD2634">
        <w:t xml:space="preserve">financial </w:t>
      </w:r>
      <w:r w:rsidR="00FD1D5B">
        <w:t>gains reducing</w:t>
      </w:r>
      <w:r w:rsidR="00EE1F7C" w:rsidRPr="00DD2634">
        <w:t xml:space="preserve"> beyond the second and third day of additional work.</w:t>
      </w:r>
    </w:p>
    <w:p w14:paraId="04969D3D" w14:textId="1D5FBE2D" w:rsidR="00BD5241" w:rsidRPr="00DD2634" w:rsidRDefault="00BD5241" w:rsidP="00BE5BEF">
      <w:pPr>
        <w:pStyle w:val="Heading2"/>
      </w:pPr>
      <w:bookmarkStart w:id="77" w:name="_Ref377476061"/>
      <w:bookmarkStart w:id="78" w:name="_Ref377476102"/>
      <w:bookmarkStart w:id="79" w:name="_Toc379208190"/>
      <w:r w:rsidRPr="00DD2634">
        <w:lastRenderedPageBreak/>
        <w:t xml:space="preserve">Australian Government expenditure </w:t>
      </w:r>
      <w:r w:rsidR="00657D3D" w:rsidRPr="00DD2634">
        <w:t>should be</w:t>
      </w:r>
      <w:r w:rsidR="00F40665" w:rsidRPr="00DD2634">
        <w:t xml:space="preserve"> sustainable</w:t>
      </w:r>
      <w:bookmarkEnd w:id="77"/>
      <w:bookmarkEnd w:id="78"/>
      <w:bookmarkEnd w:id="79"/>
    </w:p>
    <w:p w14:paraId="04969D3E" w14:textId="7BD56898" w:rsidR="00BD5241" w:rsidRPr="00DD2634" w:rsidRDefault="003513B1" w:rsidP="00381744">
      <w:pPr>
        <w:pStyle w:val="NormalNumbered"/>
      </w:pPr>
      <w:r>
        <w:t xml:space="preserve">As noted in Section </w:t>
      </w:r>
      <w:r>
        <w:fldChar w:fldCharType="begin"/>
      </w:r>
      <w:r>
        <w:instrText xml:space="preserve"> REF _Ref378932903 \r \p \h </w:instrText>
      </w:r>
      <w:r>
        <w:fldChar w:fldCharType="separate"/>
      </w:r>
      <w:r w:rsidR="00CE4F92">
        <w:t>3.2 above</w:t>
      </w:r>
      <w:r>
        <w:fldChar w:fldCharType="end"/>
      </w:r>
      <w:r>
        <w:t>, c</w:t>
      </w:r>
      <w:r w:rsidR="00BD5241" w:rsidRPr="00DD2634">
        <w:t xml:space="preserve">hild care fee subsidies </w:t>
      </w:r>
      <w:r w:rsidR="00DE3E29" w:rsidRPr="00DD2634">
        <w:t>constitute</w:t>
      </w:r>
      <w:r w:rsidR="00BD5241" w:rsidRPr="00DD2634">
        <w:t xml:space="preserve"> one of the fastest growing </w:t>
      </w:r>
      <w:r w:rsidR="00DE3E29" w:rsidRPr="00DD2634">
        <w:t xml:space="preserve">major </w:t>
      </w:r>
      <w:r w:rsidR="00BD5241" w:rsidRPr="00DD2634">
        <w:t>Australian Government outlay</w:t>
      </w:r>
      <w:r w:rsidR="00DE3E29" w:rsidRPr="00DD2634">
        <w:t>s</w:t>
      </w:r>
      <w:r w:rsidR="00BD5241" w:rsidRPr="00DD2634">
        <w:t>, driven principally by increased numbers of children in care, increased h</w:t>
      </w:r>
      <w:r>
        <w:t xml:space="preserve">ours in care and rises in fees. </w:t>
      </w:r>
      <w:proofErr w:type="spellStart"/>
      <w:r>
        <w:t>CCR</w:t>
      </w:r>
      <w:proofErr w:type="spellEnd"/>
      <w:r>
        <w:t xml:space="preserve"> and </w:t>
      </w:r>
      <w:proofErr w:type="spellStart"/>
      <w:r>
        <w:t>CCB</w:t>
      </w:r>
      <w:proofErr w:type="spellEnd"/>
      <w:r>
        <w:t xml:space="preserve"> constitute around 90 per cent of total CCECL outlays, and both have grown rapidly in recent years, and are expected to continue to do so in the forward estimates.</w:t>
      </w:r>
    </w:p>
    <w:p w14:paraId="04969D3F" w14:textId="66463442" w:rsidR="00BD5241" w:rsidRPr="00DD2634" w:rsidRDefault="00E42EDB" w:rsidP="00E42EDB">
      <w:pPr>
        <w:pStyle w:val="NormalNumbered"/>
      </w:pPr>
      <w:r w:rsidRPr="00DD2634">
        <w:t xml:space="preserve">The ‘mix’ between </w:t>
      </w:r>
      <w:proofErr w:type="spellStart"/>
      <w:r w:rsidRPr="00DD2634">
        <w:t>CCR</w:t>
      </w:r>
      <w:proofErr w:type="spellEnd"/>
      <w:r w:rsidRPr="00DD2634">
        <w:t xml:space="preserve"> and </w:t>
      </w:r>
      <w:proofErr w:type="spellStart"/>
      <w:r w:rsidRPr="00DD2634">
        <w:t>CCB</w:t>
      </w:r>
      <w:proofErr w:type="spellEnd"/>
      <w:r w:rsidRPr="00DD2634">
        <w:t xml:space="preserve"> is </w:t>
      </w:r>
      <w:r w:rsidR="00E229EA" w:rsidRPr="00DD2634">
        <w:t xml:space="preserve">also </w:t>
      </w:r>
      <w:r w:rsidRPr="00DD2634">
        <w:t xml:space="preserve">changing, so that by 2015-16 it is anticipated that </w:t>
      </w:r>
      <w:proofErr w:type="spellStart"/>
      <w:r w:rsidRPr="00DD2634">
        <w:t>CCR</w:t>
      </w:r>
      <w:proofErr w:type="spellEnd"/>
      <w:r w:rsidRPr="00DD2634">
        <w:t xml:space="preserve"> will overtake </w:t>
      </w:r>
      <w:proofErr w:type="spellStart"/>
      <w:r w:rsidRPr="00DD2634">
        <w:t>CCB</w:t>
      </w:r>
      <w:proofErr w:type="spellEnd"/>
      <w:r w:rsidRPr="00DD2634">
        <w:t xml:space="preserve"> as the Australian Government’s largest single child care assistance programme (see Appendix 2</w:t>
      </w:r>
      <w:r w:rsidR="00485F8A">
        <w:t xml:space="preserve"> for more details). This trend</w:t>
      </w:r>
      <w:r w:rsidRPr="00DD2634">
        <w:t xml:space="preserve"> </w:t>
      </w:r>
      <w:r w:rsidR="00E229EA" w:rsidRPr="00DD2634">
        <w:t>raises questions about t</w:t>
      </w:r>
      <w:r w:rsidR="00C31BC0" w:rsidRPr="00DD2634">
        <w:t xml:space="preserve">he current </w:t>
      </w:r>
      <w:r w:rsidR="00485F8A">
        <w:t>structure of payments</w:t>
      </w:r>
      <w:r w:rsidR="00C31BC0" w:rsidRPr="00DD2634">
        <w:t>.</w:t>
      </w:r>
    </w:p>
    <w:p w14:paraId="04969D40" w14:textId="4529E51C" w:rsidR="00CA04A5" w:rsidRPr="00DD2634" w:rsidRDefault="00F83F06" w:rsidP="00381744">
      <w:pPr>
        <w:pStyle w:val="NormalNumbered"/>
      </w:pPr>
      <w:r w:rsidRPr="00DD2634">
        <w:t>I</w:t>
      </w:r>
      <w:r w:rsidR="00E42EDB" w:rsidRPr="00DD2634">
        <w:t>t is likely that</w:t>
      </w:r>
      <w:r w:rsidR="00BD5241" w:rsidRPr="00DD2634">
        <w:t xml:space="preserve"> upward pressures on fees, including wage growth</w:t>
      </w:r>
      <w:r w:rsidR="007D543D" w:rsidRPr="00DD2634">
        <w:t xml:space="preserve"> </w:t>
      </w:r>
      <w:r w:rsidR="00EC29EA" w:rsidRPr="00DD2634">
        <w:t>and</w:t>
      </w:r>
      <w:r w:rsidR="00BD5241" w:rsidRPr="00DD2634">
        <w:t xml:space="preserve"> </w:t>
      </w:r>
      <w:r w:rsidR="007D543D" w:rsidRPr="00DD2634">
        <w:t xml:space="preserve">demographic changes, </w:t>
      </w:r>
      <w:r w:rsidR="00BD5241" w:rsidRPr="00DD2634">
        <w:t>will continue</w:t>
      </w:r>
      <w:r w:rsidRPr="00DD2634">
        <w:t xml:space="preserve">. This, combined with the fact that CCR rates are set as a proportion of </w:t>
      </w:r>
      <w:r w:rsidR="00485F8A">
        <w:t>child care fees paid, will mean</w:t>
      </w:r>
      <w:r w:rsidR="00BD5241" w:rsidRPr="00DD2634">
        <w:t xml:space="preserve"> that </w:t>
      </w:r>
      <w:r w:rsidR="007D543D" w:rsidRPr="00DD2634">
        <w:t xml:space="preserve">Australian Government </w:t>
      </w:r>
      <w:r w:rsidR="00BD5241" w:rsidRPr="00DD2634">
        <w:t xml:space="preserve">outlays </w:t>
      </w:r>
      <w:r w:rsidR="002C3DFA" w:rsidRPr="00DD2634">
        <w:t xml:space="preserve">on child care fees assistance </w:t>
      </w:r>
      <w:r w:rsidR="007D543D" w:rsidRPr="00DD2634">
        <w:t xml:space="preserve">are likely to </w:t>
      </w:r>
      <w:r w:rsidR="00BD5241" w:rsidRPr="00DD2634">
        <w:t>nearly triple over the next decade.</w:t>
      </w:r>
    </w:p>
    <w:p w14:paraId="04969D42" w14:textId="7750EB24" w:rsidR="00903376" w:rsidRPr="00DD2634" w:rsidRDefault="00903376" w:rsidP="00381744">
      <w:pPr>
        <w:pStyle w:val="NormalNumbered"/>
      </w:pPr>
      <w:r w:rsidRPr="00DD2634">
        <w:t xml:space="preserve">There are also complex interactions between ‘demand-side’ funding such as </w:t>
      </w:r>
      <w:proofErr w:type="spellStart"/>
      <w:r w:rsidRPr="00DD2634">
        <w:t>CCB</w:t>
      </w:r>
      <w:proofErr w:type="spellEnd"/>
      <w:r w:rsidRPr="00DD2634">
        <w:t xml:space="preserve"> and </w:t>
      </w:r>
      <w:proofErr w:type="spellStart"/>
      <w:r w:rsidRPr="00DD2634">
        <w:t>CCR</w:t>
      </w:r>
      <w:proofErr w:type="spellEnd"/>
      <w:r w:rsidRPr="00DD2634">
        <w:t>, and ‘supply-side’ funding provided direct to services, to assist with, for example, establishment costs, special needs children and families</w:t>
      </w:r>
      <w:r w:rsidR="00D05A2C">
        <w:t>,</w:t>
      </w:r>
      <w:r w:rsidRPr="00DD2634">
        <w:t xml:space="preserve"> and the cost of operating in remote areas. </w:t>
      </w:r>
      <w:r w:rsidR="00FE16C9" w:rsidRPr="00DD2634">
        <w:t xml:space="preserve">It is also worth noting that ‘supply-side’ and targeted programme funding (mainly under the Child Care Services Support Programme) has remained </w:t>
      </w:r>
      <w:r w:rsidR="009F58CB" w:rsidRPr="00DD2634">
        <w:t>relatively constant</w:t>
      </w:r>
      <w:r w:rsidR="00FE16C9" w:rsidRPr="00DD2634">
        <w:t xml:space="preserve"> over recent years – at the same time that child care fees assistance outlays have grown substantially</w:t>
      </w:r>
      <w:r w:rsidR="009F58CB" w:rsidRPr="00DD2634">
        <w:t>.</w:t>
      </w:r>
    </w:p>
    <w:p w14:paraId="04969D43" w14:textId="7D0F8F1F" w:rsidR="009F57A8" w:rsidRPr="00DD2634" w:rsidRDefault="009F57A8" w:rsidP="00BE5BEF">
      <w:pPr>
        <w:pStyle w:val="Heading2"/>
      </w:pPr>
      <w:bookmarkStart w:id="80" w:name="_Toc379208191"/>
      <w:r w:rsidRPr="00DD2634">
        <w:t>Efficiency and effectiveness of government programmes</w:t>
      </w:r>
      <w:bookmarkEnd w:id="80"/>
    </w:p>
    <w:p w14:paraId="04969D44" w14:textId="77777777" w:rsidR="00AA6751" w:rsidRPr="00DD2634" w:rsidRDefault="00AA6751" w:rsidP="00381744">
      <w:pPr>
        <w:pStyle w:val="NormalNumbered"/>
      </w:pPr>
      <w:r w:rsidRPr="00DD2634">
        <w:t>There are opportunities to improve the efficiency and effectiveness of Australian Government supply and demand side CCECL programmes.</w:t>
      </w:r>
    </w:p>
    <w:p w14:paraId="04DFB960" w14:textId="1700190F" w:rsidR="003C1085" w:rsidRPr="00DD2634" w:rsidRDefault="009F57A8" w:rsidP="00381744">
      <w:pPr>
        <w:pStyle w:val="NormalNumbered"/>
      </w:pPr>
      <w:r w:rsidRPr="00DD2634">
        <w:t xml:space="preserve">In practice, </w:t>
      </w:r>
      <w:r w:rsidR="00AA6751" w:rsidRPr="00DD2634">
        <w:t xml:space="preserve">many of </w:t>
      </w:r>
      <w:r w:rsidR="003C1085" w:rsidRPr="00DD2634">
        <w:t xml:space="preserve">the </w:t>
      </w:r>
      <w:r w:rsidR="00AA6751" w:rsidRPr="00DD2634">
        <w:t>supply-side</w:t>
      </w:r>
      <w:r w:rsidRPr="00DD2634">
        <w:t xml:space="preserve"> programmes </w:t>
      </w:r>
      <w:r w:rsidR="00AA6751" w:rsidRPr="00DD2634">
        <w:t>were created to address specific policy issues and have tended to become increasingly complex for government to administer and for providers to navigate</w:t>
      </w:r>
      <w:r w:rsidR="003C1085" w:rsidRPr="00DD2634">
        <w:t xml:space="preserve"> as those specific issues have evolved</w:t>
      </w:r>
      <w:r w:rsidR="00AA6751" w:rsidRPr="00DD2634">
        <w:t xml:space="preserve">. </w:t>
      </w:r>
    </w:p>
    <w:p w14:paraId="25C6CA1D" w14:textId="77777777" w:rsidR="003C1085" w:rsidRPr="00DD2634" w:rsidRDefault="00AA6751" w:rsidP="00381744">
      <w:pPr>
        <w:pStyle w:val="NormalNumbered"/>
      </w:pPr>
      <w:r w:rsidRPr="00DD2634">
        <w:t xml:space="preserve">Consideration needs to be given </w:t>
      </w:r>
      <w:r w:rsidR="00241FC5" w:rsidRPr="00DD2634">
        <w:t xml:space="preserve">as </w:t>
      </w:r>
      <w:r w:rsidRPr="00DD2634">
        <w:t>to whether these programmes are still meeting their original objectives and have maintained currency with the recent trends in the CCECL market (such as the trend towards integrated service provision).</w:t>
      </w:r>
      <w:r w:rsidR="008C6AD3" w:rsidRPr="00DD2634">
        <w:t xml:space="preserve"> </w:t>
      </w:r>
    </w:p>
    <w:p w14:paraId="04969D45" w14:textId="3A837499" w:rsidR="009F57A8" w:rsidRPr="00DD2634" w:rsidRDefault="008C6AD3" w:rsidP="00381744">
      <w:pPr>
        <w:pStyle w:val="NormalNumbered"/>
      </w:pPr>
      <w:r w:rsidRPr="00DD2634">
        <w:t xml:space="preserve">In doing so, there </w:t>
      </w:r>
      <w:r w:rsidR="00AA6751" w:rsidRPr="00DD2634">
        <w:t>m</w:t>
      </w:r>
      <w:r w:rsidR="009F57A8" w:rsidRPr="00DD2634">
        <w:t xml:space="preserve">ay </w:t>
      </w:r>
      <w:r w:rsidR="00AA6751" w:rsidRPr="00DD2634">
        <w:t xml:space="preserve">be </w:t>
      </w:r>
      <w:r w:rsidR="009F57A8" w:rsidRPr="00DD2634">
        <w:t xml:space="preserve">opportunities to </w:t>
      </w:r>
      <w:r w:rsidRPr="00DD2634">
        <w:t>build an</w:t>
      </w:r>
      <w:r w:rsidR="009F57A8" w:rsidRPr="00DD2634">
        <w:t xml:space="preserve"> evidence base </w:t>
      </w:r>
      <w:r w:rsidR="00811BB3">
        <w:t>to construct</w:t>
      </w:r>
      <w:r w:rsidR="009F57A8" w:rsidRPr="00DD2634">
        <w:t xml:space="preserve"> a more systematic approach to the provision of such programmes, both in terms of universal standards and practices (such as the </w:t>
      </w:r>
      <w:proofErr w:type="spellStart"/>
      <w:r w:rsidR="009F57A8" w:rsidRPr="00DD2634">
        <w:t>NQF</w:t>
      </w:r>
      <w:proofErr w:type="spellEnd"/>
      <w:r w:rsidR="009F57A8" w:rsidRPr="00DD2634">
        <w:t xml:space="preserve">) and more targeted or tailored interventions (such as the Home Interaction Program for Parents and Youngsters). </w:t>
      </w:r>
    </w:p>
    <w:p w14:paraId="04969D46" w14:textId="77777777" w:rsidR="009F57A8" w:rsidRPr="00DD2634" w:rsidRDefault="009F57A8" w:rsidP="00381744">
      <w:pPr>
        <w:pStyle w:val="NormalNumbered"/>
      </w:pPr>
      <w:r w:rsidRPr="00DD2634">
        <w:t xml:space="preserve">There are also opportunities to address the current structure of child care </w:t>
      </w:r>
      <w:r w:rsidR="00AA6751" w:rsidRPr="00DD2634">
        <w:t xml:space="preserve">demand-side </w:t>
      </w:r>
      <w:r w:rsidRPr="00DD2634">
        <w:t>payments. For example:</w:t>
      </w:r>
    </w:p>
    <w:p w14:paraId="42A979E7" w14:textId="0BAD8623" w:rsidR="003C1085" w:rsidRPr="00DD2634" w:rsidRDefault="003C1085" w:rsidP="00AA625D">
      <w:pPr>
        <w:pStyle w:val="ListBullet"/>
      </w:pPr>
      <w:r w:rsidRPr="00DD2634">
        <w:t>improve alignment of child care payments with policy objectives</w:t>
      </w:r>
    </w:p>
    <w:p w14:paraId="04969D47" w14:textId="27F7D83B" w:rsidR="009F57A8" w:rsidRPr="00DD2634" w:rsidRDefault="00412E8F" w:rsidP="00AA625D">
      <w:pPr>
        <w:pStyle w:val="ListBullet"/>
      </w:pPr>
      <w:r w:rsidRPr="00DD2634">
        <w:lastRenderedPageBreak/>
        <w:t>t</w:t>
      </w:r>
      <w:r w:rsidR="009F57A8" w:rsidRPr="00DD2634">
        <w:t xml:space="preserve">here are many different loadings for </w:t>
      </w:r>
      <w:proofErr w:type="spellStart"/>
      <w:r w:rsidR="009F57A8" w:rsidRPr="00DD2634">
        <w:t>CCB</w:t>
      </w:r>
      <w:proofErr w:type="spellEnd"/>
      <w:r w:rsidR="009F57A8" w:rsidRPr="00DD2634">
        <w:t xml:space="preserve"> (i.e. part-time, multiple ch</w:t>
      </w:r>
      <w:r w:rsidR="009D4628" w:rsidRPr="00DD2634">
        <w:t>ildren, FDC and IHC loadings) – t</w:t>
      </w:r>
      <w:r w:rsidR="009F57A8" w:rsidRPr="00DD2634">
        <w:t>his, together with the income tapering means that it is hard for families</w:t>
      </w:r>
      <w:r w:rsidR="008C6AD3" w:rsidRPr="00DD2634">
        <w:t xml:space="preserve"> t</w:t>
      </w:r>
      <w:r w:rsidR="009D4628" w:rsidRPr="00DD2634">
        <w:t>o estimate their entitlement</w:t>
      </w:r>
    </w:p>
    <w:p w14:paraId="04969D48" w14:textId="73472CAC" w:rsidR="009F57A8" w:rsidRPr="00DD2634" w:rsidRDefault="00A55FE5" w:rsidP="00AA625D">
      <w:pPr>
        <w:pStyle w:val="ListBullet"/>
      </w:pPr>
      <w:proofErr w:type="spellStart"/>
      <w:r w:rsidRPr="00DD2634">
        <w:t>CCB</w:t>
      </w:r>
      <w:proofErr w:type="spellEnd"/>
      <w:r w:rsidRPr="00DD2634">
        <w:t xml:space="preserve"> and </w:t>
      </w:r>
      <w:proofErr w:type="spellStart"/>
      <w:r w:rsidRPr="00DD2634">
        <w:t>CCR</w:t>
      </w:r>
      <w:proofErr w:type="spellEnd"/>
      <w:r w:rsidRPr="00DD2634">
        <w:t xml:space="preserve"> eligibility </w:t>
      </w:r>
      <w:r w:rsidR="009F57A8" w:rsidRPr="00DD2634">
        <w:t xml:space="preserve">requirements and payment </w:t>
      </w:r>
      <w:r w:rsidR="007D543D" w:rsidRPr="00DD2634">
        <w:t>options could be better aligned</w:t>
      </w:r>
    </w:p>
    <w:p w14:paraId="04969D49" w14:textId="4AA98522" w:rsidR="009F57A8" w:rsidRPr="00DD2634" w:rsidRDefault="00412E8F" w:rsidP="00AA625D">
      <w:pPr>
        <w:pStyle w:val="ListBullet"/>
      </w:pPr>
      <w:r w:rsidRPr="00DD2634">
        <w:t>s</w:t>
      </w:r>
      <w:r w:rsidR="009F57A8" w:rsidRPr="00DD2634">
        <w:t xml:space="preserve">treamlined access to higher-level </w:t>
      </w:r>
      <w:r w:rsidR="009D4628" w:rsidRPr="00DD2634">
        <w:t>subsidies</w:t>
      </w:r>
    </w:p>
    <w:p w14:paraId="04969D4B" w14:textId="77777777" w:rsidR="009F57A8" w:rsidRPr="00DD2634" w:rsidRDefault="00412E8F" w:rsidP="00AA625D">
      <w:pPr>
        <w:pStyle w:val="ListBullet"/>
      </w:pPr>
      <w:r w:rsidRPr="00DD2634">
        <w:t>i</w:t>
      </w:r>
      <w:r w:rsidR="009F57A8" w:rsidRPr="00DD2634">
        <w:t>mprove compliance activities relating to child care payments.</w:t>
      </w:r>
    </w:p>
    <w:p w14:paraId="04969D4C" w14:textId="77777777" w:rsidR="00D55A91" w:rsidRPr="00DD2634" w:rsidRDefault="004B460A" w:rsidP="00D661D0">
      <w:pPr>
        <w:pStyle w:val="Heading1unnumbered"/>
      </w:pPr>
      <w:bookmarkStart w:id="81" w:name="_Toc372967028"/>
      <w:bookmarkStart w:id="82" w:name="_Toc373221258"/>
      <w:bookmarkStart w:id="83" w:name="_Toc377217350"/>
      <w:bookmarkEnd w:id="44"/>
      <w:bookmarkEnd w:id="45"/>
      <w:r w:rsidRPr="00DD2634">
        <w:lastRenderedPageBreak/>
        <w:tab/>
      </w:r>
      <w:bookmarkStart w:id="84" w:name="_Toc379208192"/>
      <w:r w:rsidR="00D55A91" w:rsidRPr="00DD2634">
        <w:t>A</w:t>
      </w:r>
      <w:bookmarkEnd w:id="81"/>
      <w:bookmarkEnd w:id="82"/>
      <w:r w:rsidR="00CC7424" w:rsidRPr="00DD2634">
        <w:t>ppendices</w:t>
      </w:r>
      <w:bookmarkEnd w:id="83"/>
      <w:bookmarkEnd w:id="84"/>
    </w:p>
    <w:p w14:paraId="04969D4D" w14:textId="77777777" w:rsidR="00520929" w:rsidRPr="00DD2634" w:rsidRDefault="006449DC" w:rsidP="009D4628">
      <w:pPr>
        <w:pStyle w:val="Heading2unnumbered"/>
      </w:pPr>
      <w:bookmarkStart w:id="85" w:name="_Toc373221261"/>
      <w:bookmarkStart w:id="86" w:name="_Toc377217352"/>
      <w:bookmarkStart w:id="87" w:name="_Toc379208193"/>
      <w:r w:rsidRPr="00DD2634">
        <w:t>Appendix 1</w:t>
      </w:r>
      <w:r w:rsidR="00B32006" w:rsidRPr="00DD2634">
        <w:t xml:space="preserve">: Australian </w:t>
      </w:r>
      <w:r w:rsidR="00520929" w:rsidRPr="00DD2634">
        <w:t>government roles, policies and programmes</w:t>
      </w:r>
      <w:bookmarkEnd w:id="85"/>
      <w:bookmarkEnd w:id="86"/>
      <w:bookmarkEnd w:id="87"/>
    </w:p>
    <w:p w14:paraId="04969D4E" w14:textId="77777777" w:rsidR="006225EE" w:rsidRPr="00DD2634" w:rsidRDefault="006225EE" w:rsidP="009D4628">
      <w:pPr>
        <w:pStyle w:val="Heading3"/>
      </w:pPr>
      <w:r w:rsidRPr="00DD2634">
        <w:t>Programme 1.1 – Support for the Child Care System</w:t>
      </w:r>
    </w:p>
    <w:p w14:paraId="04969D4F" w14:textId="4C2B3907" w:rsidR="006225EE" w:rsidRPr="00DD2634" w:rsidRDefault="006225EE" w:rsidP="00381744">
      <w:pPr>
        <w:pStyle w:val="NormalNumbered"/>
        <w:numPr>
          <w:ilvl w:val="0"/>
          <w:numId w:val="0"/>
        </w:numPr>
      </w:pPr>
      <w:r w:rsidRPr="00DD2634">
        <w:t xml:space="preserve">Programme 1.1 is focused upon supporting the child care system with payments predominantly targeting the supply-side of the child care market (the service providers). It is made up of several programmes that provide payments directly to services and several that </w:t>
      </w:r>
      <w:r w:rsidR="00D05A2C">
        <w:t>allocate funding to enable the d</w:t>
      </w:r>
      <w:r w:rsidRPr="00DD2634">
        <w:t>epartment to carry out work to support the sector. In summary, the various elements are</w:t>
      </w:r>
      <w:r w:rsidR="00097FF7" w:rsidRPr="00DD2634">
        <w:t xml:space="preserve"> discussed in detail below.</w:t>
      </w:r>
    </w:p>
    <w:p w14:paraId="04969D50" w14:textId="1BF9086E" w:rsidR="006225EE" w:rsidRPr="00DD2634" w:rsidRDefault="006225EE" w:rsidP="00016891">
      <w:pPr>
        <w:pStyle w:val="NormalNumbered"/>
        <w:numPr>
          <w:ilvl w:val="0"/>
          <w:numId w:val="30"/>
        </w:numPr>
        <w:ind w:hanging="720"/>
        <w:rPr>
          <w:b/>
        </w:rPr>
      </w:pPr>
      <w:r w:rsidRPr="00DD2634">
        <w:rPr>
          <w:b/>
        </w:rPr>
        <w:t>Child Care Ser</w:t>
      </w:r>
      <w:r w:rsidR="00EC1C62" w:rsidRPr="00DD2634">
        <w:rPr>
          <w:b/>
        </w:rPr>
        <w:t xml:space="preserve">vices Support </w:t>
      </w:r>
      <w:proofErr w:type="spellStart"/>
      <w:r w:rsidR="00EC1C62" w:rsidRPr="00DD2634">
        <w:rPr>
          <w:b/>
        </w:rPr>
        <w:t>Programme</w:t>
      </w:r>
      <w:proofErr w:type="spellEnd"/>
      <w:r w:rsidR="00EC1C62" w:rsidRPr="00DD2634">
        <w:rPr>
          <w:b/>
        </w:rPr>
        <w:t xml:space="preserve"> (</w:t>
      </w:r>
      <w:proofErr w:type="spellStart"/>
      <w:r w:rsidR="00EC1C62" w:rsidRPr="00DD2634">
        <w:rPr>
          <w:b/>
        </w:rPr>
        <w:t>CCSSP</w:t>
      </w:r>
      <w:proofErr w:type="spellEnd"/>
      <w:r w:rsidR="00EC1C62" w:rsidRPr="00DD2634">
        <w:rPr>
          <w:b/>
        </w:rPr>
        <w:t>)</w:t>
      </w:r>
    </w:p>
    <w:p w14:paraId="73E5F903" w14:textId="6540CCA4" w:rsidR="007D543D" w:rsidRPr="00DD2634" w:rsidRDefault="007D543D" w:rsidP="007D543D">
      <w:pPr>
        <w:spacing w:before="240" w:after="120" w:line="240" w:lineRule="auto"/>
        <w:rPr>
          <w:sz w:val="24"/>
          <w:szCs w:val="24"/>
        </w:rPr>
      </w:pPr>
      <w:r w:rsidRPr="00DD2634">
        <w:rPr>
          <w:sz w:val="24"/>
          <w:szCs w:val="24"/>
        </w:rPr>
        <w:t>Child care services are categorised as either ‘Mainstream’ or ‘Non</w:t>
      </w:r>
      <w:r w:rsidRPr="00DD2634">
        <w:rPr>
          <w:sz w:val="24"/>
          <w:szCs w:val="24"/>
        </w:rPr>
        <w:noBreakHyphen/>
        <w:t xml:space="preserve">Mainstream’. Mainstream services are those that are approved to administer </w:t>
      </w:r>
      <w:proofErr w:type="spellStart"/>
      <w:r w:rsidRPr="00DD2634">
        <w:rPr>
          <w:sz w:val="24"/>
          <w:szCs w:val="24"/>
        </w:rPr>
        <w:t>CCB</w:t>
      </w:r>
      <w:proofErr w:type="spellEnd"/>
      <w:r w:rsidRPr="00DD2634">
        <w:rPr>
          <w:sz w:val="24"/>
          <w:szCs w:val="24"/>
        </w:rPr>
        <w:t xml:space="preserve"> on behalf of families. </w:t>
      </w:r>
      <w:r w:rsidR="00CA587E" w:rsidRPr="00DD2634">
        <w:rPr>
          <w:sz w:val="24"/>
          <w:szCs w:val="24"/>
        </w:rPr>
        <w:t>‘</w:t>
      </w:r>
      <w:r w:rsidRPr="00DD2634">
        <w:rPr>
          <w:sz w:val="24"/>
          <w:szCs w:val="24"/>
        </w:rPr>
        <w:t>Mainstream</w:t>
      </w:r>
      <w:r w:rsidR="00CA587E" w:rsidRPr="00DD2634">
        <w:rPr>
          <w:sz w:val="24"/>
          <w:szCs w:val="24"/>
        </w:rPr>
        <w:t>’</w:t>
      </w:r>
      <w:r w:rsidRPr="00DD2634">
        <w:rPr>
          <w:sz w:val="24"/>
          <w:szCs w:val="24"/>
        </w:rPr>
        <w:t xml:space="preserve"> services account for around 98 per cent of child care services. </w:t>
      </w:r>
    </w:p>
    <w:p w14:paraId="588EE06D" w14:textId="203C92F6" w:rsidR="007D543D" w:rsidRPr="00DD2634" w:rsidRDefault="007D543D" w:rsidP="007D543D">
      <w:pPr>
        <w:spacing w:before="240" w:after="120" w:line="240" w:lineRule="auto"/>
        <w:rPr>
          <w:sz w:val="24"/>
          <w:szCs w:val="24"/>
        </w:rPr>
      </w:pPr>
      <w:r w:rsidRPr="00DD2634">
        <w:rPr>
          <w:sz w:val="24"/>
          <w:szCs w:val="24"/>
        </w:rPr>
        <w:t>‘Non-Mainstream’ are those services that do not meet these requirements, but receive funding from the department under the Budget Based Fun</w:t>
      </w:r>
      <w:r w:rsidR="00D05A2C">
        <w:rPr>
          <w:sz w:val="24"/>
          <w:szCs w:val="24"/>
        </w:rPr>
        <w:t xml:space="preserve">ding </w:t>
      </w:r>
      <w:r w:rsidRPr="00DD2634">
        <w:rPr>
          <w:sz w:val="24"/>
          <w:szCs w:val="24"/>
        </w:rPr>
        <w:t xml:space="preserve">programme in order to operate services where ‘Mainstream’ ones would not be viable, or where historically there have been unique child care needs. These services are generally not </w:t>
      </w:r>
      <w:proofErr w:type="spellStart"/>
      <w:r w:rsidRPr="00DD2634">
        <w:rPr>
          <w:sz w:val="24"/>
          <w:szCs w:val="24"/>
        </w:rPr>
        <w:t>CCB</w:t>
      </w:r>
      <w:proofErr w:type="spellEnd"/>
      <w:r w:rsidRPr="00DD2634">
        <w:rPr>
          <w:sz w:val="24"/>
          <w:szCs w:val="24"/>
        </w:rPr>
        <w:t xml:space="preserve"> approved.</w:t>
      </w:r>
    </w:p>
    <w:p w14:paraId="04969D51" w14:textId="77777777" w:rsidR="006225EE" w:rsidRPr="00DD2634" w:rsidRDefault="006225EE" w:rsidP="00097FF7">
      <w:pPr>
        <w:spacing w:before="240" w:after="120" w:line="240" w:lineRule="auto"/>
        <w:rPr>
          <w:sz w:val="24"/>
          <w:szCs w:val="24"/>
          <w:u w:val="single"/>
        </w:rPr>
      </w:pPr>
      <w:r w:rsidRPr="00DD2634">
        <w:rPr>
          <w:sz w:val="24"/>
          <w:szCs w:val="24"/>
          <w:u w:val="single"/>
        </w:rPr>
        <w:t xml:space="preserve">Community Support </w:t>
      </w:r>
      <w:proofErr w:type="spellStart"/>
      <w:r w:rsidRPr="00DD2634">
        <w:rPr>
          <w:sz w:val="24"/>
          <w:szCs w:val="24"/>
          <w:u w:val="single"/>
        </w:rPr>
        <w:t>Programme</w:t>
      </w:r>
      <w:proofErr w:type="spellEnd"/>
      <w:r w:rsidRPr="00DD2634">
        <w:rPr>
          <w:sz w:val="24"/>
          <w:szCs w:val="24"/>
          <w:u w:val="single"/>
        </w:rPr>
        <w:t xml:space="preserve"> (</w:t>
      </w:r>
      <w:proofErr w:type="spellStart"/>
      <w:r w:rsidRPr="00DD2634">
        <w:rPr>
          <w:sz w:val="24"/>
          <w:szCs w:val="24"/>
          <w:u w:val="single"/>
        </w:rPr>
        <w:t>CSP</w:t>
      </w:r>
      <w:proofErr w:type="spellEnd"/>
      <w:r w:rsidRPr="00DD2634">
        <w:rPr>
          <w:sz w:val="24"/>
          <w:szCs w:val="24"/>
          <w:u w:val="single"/>
        </w:rPr>
        <w:t>)</w:t>
      </w:r>
    </w:p>
    <w:p w14:paraId="04969D52" w14:textId="3C619D33" w:rsidR="006225EE" w:rsidRPr="00DD2634" w:rsidRDefault="006225EE" w:rsidP="006225EE">
      <w:pPr>
        <w:spacing w:after="120" w:line="240" w:lineRule="auto"/>
        <w:rPr>
          <w:sz w:val="24"/>
          <w:szCs w:val="24"/>
        </w:rPr>
      </w:pPr>
      <w:r w:rsidRPr="00DD2634">
        <w:rPr>
          <w:sz w:val="24"/>
          <w:szCs w:val="24"/>
        </w:rPr>
        <w:t xml:space="preserve">The objective of the </w:t>
      </w:r>
      <w:proofErr w:type="spellStart"/>
      <w:r w:rsidRPr="00DD2634">
        <w:rPr>
          <w:sz w:val="24"/>
          <w:szCs w:val="24"/>
        </w:rPr>
        <w:t>CSP</w:t>
      </w:r>
      <w:proofErr w:type="spellEnd"/>
      <w:r w:rsidRPr="00DD2634">
        <w:rPr>
          <w:sz w:val="24"/>
          <w:szCs w:val="24"/>
        </w:rPr>
        <w:t xml:space="preserve"> is to</w:t>
      </w:r>
      <w:r w:rsidRPr="00DD2634">
        <w:rPr>
          <w:i/>
          <w:sz w:val="24"/>
          <w:szCs w:val="24"/>
        </w:rPr>
        <w:t xml:space="preserve"> ‘assist child care providers to establish or maintain viable services in parts of the country where they might not otherwise be viable or able to meet the unique requirements of the community, such as in disadvantaged or regional and remote areas’. </w:t>
      </w:r>
      <w:r w:rsidR="009D4628" w:rsidRPr="00DD2634">
        <w:rPr>
          <w:sz w:val="24"/>
          <w:szCs w:val="24"/>
        </w:rPr>
        <w:t xml:space="preserve"> Expenditure is detailed at Table </w:t>
      </w:r>
      <w:proofErr w:type="spellStart"/>
      <w:r w:rsidR="009D4628" w:rsidRPr="00DD2634">
        <w:rPr>
          <w:sz w:val="24"/>
          <w:szCs w:val="24"/>
        </w:rPr>
        <w:t>A1.1</w:t>
      </w:r>
      <w:proofErr w:type="spellEnd"/>
      <w:r w:rsidR="009D4628" w:rsidRPr="00DD2634">
        <w:rPr>
          <w:sz w:val="24"/>
          <w:szCs w:val="24"/>
        </w:rPr>
        <w:t xml:space="preserve"> and Figures </w:t>
      </w:r>
      <w:proofErr w:type="spellStart"/>
      <w:r w:rsidR="009D4628" w:rsidRPr="00DD2634">
        <w:rPr>
          <w:sz w:val="24"/>
          <w:szCs w:val="24"/>
        </w:rPr>
        <w:t>A1.1</w:t>
      </w:r>
      <w:proofErr w:type="spellEnd"/>
      <w:r w:rsidR="009D4628" w:rsidRPr="00DD2634">
        <w:rPr>
          <w:sz w:val="24"/>
          <w:szCs w:val="24"/>
        </w:rPr>
        <w:t xml:space="preserve"> and </w:t>
      </w:r>
      <w:proofErr w:type="spellStart"/>
      <w:r w:rsidR="009D4628" w:rsidRPr="00DD2634">
        <w:rPr>
          <w:sz w:val="24"/>
          <w:szCs w:val="24"/>
        </w:rPr>
        <w:t>A1.2</w:t>
      </w:r>
      <w:proofErr w:type="spellEnd"/>
      <w:r w:rsidR="009D4628" w:rsidRPr="00DD2634">
        <w:rPr>
          <w:sz w:val="24"/>
          <w:szCs w:val="24"/>
        </w:rPr>
        <w:t>.</w:t>
      </w:r>
    </w:p>
    <w:p w14:paraId="04969D53" w14:textId="77777777" w:rsidR="006225EE" w:rsidRPr="00DD2634" w:rsidRDefault="006225EE" w:rsidP="006225EE">
      <w:pPr>
        <w:spacing w:before="240" w:after="120" w:line="240" w:lineRule="auto"/>
        <w:rPr>
          <w:sz w:val="24"/>
          <w:szCs w:val="24"/>
        </w:rPr>
      </w:pPr>
      <w:r w:rsidRPr="00DD2634">
        <w:rPr>
          <w:sz w:val="24"/>
          <w:szCs w:val="24"/>
        </w:rPr>
        <w:t>Programme Operation</w:t>
      </w:r>
    </w:p>
    <w:p w14:paraId="04969D56" w14:textId="77777777" w:rsidR="006225EE" w:rsidRPr="00DD2634" w:rsidRDefault="006225EE" w:rsidP="006225EE">
      <w:pPr>
        <w:spacing w:after="120" w:line="240" w:lineRule="auto"/>
        <w:rPr>
          <w:sz w:val="24"/>
          <w:szCs w:val="24"/>
        </w:rPr>
      </w:pPr>
      <w:r w:rsidRPr="00DD2634">
        <w:rPr>
          <w:sz w:val="24"/>
          <w:szCs w:val="24"/>
        </w:rPr>
        <w:t xml:space="preserve">All </w:t>
      </w:r>
      <w:proofErr w:type="spellStart"/>
      <w:r w:rsidRPr="00DD2634">
        <w:rPr>
          <w:sz w:val="24"/>
          <w:szCs w:val="24"/>
        </w:rPr>
        <w:t>CSP</w:t>
      </w:r>
      <w:proofErr w:type="spellEnd"/>
      <w:r w:rsidRPr="00DD2634">
        <w:rPr>
          <w:sz w:val="24"/>
          <w:szCs w:val="24"/>
        </w:rPr>
        <w:t xml:space="preserve"> funding is delivered through</w:t>
      </w:r>
      <w:r w:rsidR="001A168A" w:rsidRPr="00DD2634">
        <w:rPr>
          <w:sz w:val="24"/>
          <w:szCs w:val="24"/>
        </w:rPr>
        <w:t xml:space="preserve"> </w:t>
      </w:r>
      <w:r w:rsidRPr="00DD2634">
        <w:rPr>
          <w:sz w:val="24"/>
          <w:szCs w:val="24"/>
        </w:rPr>
        <w:t>funding agreement</w:t>
      </w:r>
      <w:r w:rsidR="00EC29EA" w:rsidRPr="00DD2634">
        <w:rPr>
          <w:sz w:val="24"/>
          <w:szCs w:val="24"/>
        </w:rPr>
        <w:t>s</w:t>
      </w:r>
      <w:r w:rsidRPr="00DD2634">
        <w:rPr>
          <w:sz w:val="24"/>
          <w:szCs w:val="24"/>
        </w:rPr>
        <w:t xml:space="preserve"> (grant</w:t>
      </w:r>
      <w:r w:rsidR="00EC29EA" w:rsidRPr="00DD2634">
        <w:rPr>
          <w:sz w:val="24"/>
          <w:szCs w:val="24"/>
        </w:rPr>
        <w:t>s</w:t>
      </w:r>
      <w:r w:rsidRPr="00DD2634">
        <w:rPr>
          <w:sz w:val="24"/>
          <w:szCs w:val="24"/>
        </w:rPr>
        <w:t xml:space="preserve">), with durations of </w:t>
      </w:r>
      <w:r w:rsidR="005F161C" w:rsidRPr="00DD2634">
        <w:rPr>
          <w:sz w:val="24"/>
          <w:szCs w:val="24"/>
        </w:rPr>
        <w:t>between one</w:t>
      </w:r>
      <w:r w:rsidRPr="00DD2634">
        <w:rPr>
          <w:sz w:val="24"/>
          <w:szCs w:val="24"/>
        </w:rPr>
        <w:t xml:space="preserve"> and three years depending on the type of care and/or the type of support being provided. </w:t>
      </w:r>
    </w:p>
    <w:p w14:paraId="04969D57" w14:textId="578898BA" w:rsidR="006225EE" w:rsidRPr="00DD2634" w:rsidRDefault="006225EE" w:rsidP="006225EE">
      <w:pPr>
        <w:spacing w:after="120" w:line="240" w:lineRule="auto"/>
        <w:rPr>
          <w:sz w:val="24"/>
          <w:szCs w:val="24"/>
        </w:rPr>
      </w:pPr>
      <w:r w:rsidRPr="00DD2634">
        <w:rPr>
          <w:sz w:val="24"/>
          <w:szCs w:val="24"/>
        </w:rPr>
        <w:t xml:space="preserve">There are a number of different payments and methods that the </w:t>
      </w:r>
      <w:proofErr w:type="spellStart"/>
      <w:r w:rsidRPr="00DD2634">
        <w:rPr>
          <w:sz w:val="24"/>
          <w:szCs w:val="24"/>
        </w:rPr>
        <w:t>CSP</w:t>
      </w:r>
      <w:proofErr w:type="spellEnd"/>
      <w:r w:rsidRPr="00DD2634">
        <w:rPr>
          <w:sz w:val="24"/>
          <w:szCs w:val="24"/>
        </w:rPr>
        <w:t xml:space="preserve"> uses to deliver support to</w:t>
      </w:r>
      <w:r w:rsidR="006D129E" w:rsidRPr="00DD2634">
        <w:rPr>
          <w:sz w:val="24"/>
          <w:szCs w:val="24"/>
        </w:rPr>
        <w:t xml:space="preserve"> child care service providers. Eligibility criteria differ for the different care types</w:t>
      </w:r>
      <w:r w:rsidR="00891D15">
        <w:rPr>
          <w:sz w:val="24"/>
          <w:szCs w:val="24"/>
        </w:rPr>
        <w:t xml:space="preserve"> and </w:t>
      </w:r>
      <w:r w:rsidR="00891D15" w:rsidRPr="00891D15">
        <w:rPr>
          <w:sz w:val="24"/>
          <w:szCs w:val="24"/>
        </w:rPr>
        <w:t>focus primarily on factors such as a service’s location determined by the Accessibility/Remoteness Index of Australia (ARIA+), level of socio-economic disadvantage and how much the service is utilised by the community</w:t>
      </w:r>
      <w:r w:rsidR="006D129E" w:rsidRPr="00DD2634">
        <w:rPr>
          <w:sz w:val="24"/>
          <w:szCs w:val="24"/>
        </w:rPr>
        <w:t>.</w:t>
      </w:r>
    </w:p>
    <w:p w14:paraId="04969D58" w14:textId="77777777" w:rsidR="006225EE" w:rsidRPr="00DD2634" w:rsidRDefault="006225EE" w:rsidP="00AA625D">
      <w:pPr>
        <w:pStyle w:val="ListBullet"/>
      </w:pPr>
      <w:r w:rsidRPr="00DD2634">
        <w:rPr>
          <w:i/>
        </w:rPr>
        <w:t>Set Up Assistance:</w:t>
      </w:r>
      <w:r w:rsidRPr="00DD2634">
        <w:t xml:space="preserve"> targeting FDC, IHC and OSHC, this payment provides </w:t>
      </w:r>
      <w:r w:rsidR="00EC29EA" w:rsidRPr="00DD2634">
        <w:t xml:space="preserve">a </w:t>
      </w:r>
      <w:r w:rsidRPr="00DD2634">
        <w:t>one-off payment to help a service provider establish a service. The amount is dependent upon the care type and what services the provider already has operating at a particular location.</w:t>
      </w:r>
    </w:p>
    <w:p w14:paraId="04969D59" w14:textId="56F2327B" w:rsidR="006225EE" w:rsidRPr="00DD2634" w:rsidRDefault="006225EE" w:rsidP="00AA625D">
      <w:pPr>
        <w:pStyle w:val="ListBullet"/>
      </w:pPr>
      <w:r w:rsidRPr="00DD2634">
        <w:rPr>
          <w:i/>
        </w:rPr>
        <w:lastRenderedPageBreak/>
        <w:t>Sustainability Assistance:</w:t>
      </w:r>
      <w:r w:rsidRPr="00DD2634">
        <w:t xml:space="preserve"> targeting LDC and OSHC, this payment provides a contribution to the day to day costs of operating a child care service. The amount and frequency of payments are governed by eligibility criteria that </w:t>
      </w:r>
      <w:r w:rsidR="00BF5FA0">
        <w:t xml:space="preserve">a </w:t>
      </w:r>
      <w:r w:rsidRPr="00DD2634">
        <w:t>service must meet in order to trigger payments.</w:t>
      </w:r>
    </w:p>
    <w:p w14:paraId="04969D5B" w14:textId="77777777" w:rsidR="006225EE" w:rsidRPr="00DD2634" w:rsidRDefault="006225EE" w:rsidP="00AA625D">
      <w:pPr>
        <w:pStyle w:val="ListBullet"/>
      </w:pPr>
      <w:r w:rsidRPr="00DD2634">
        <w:rPr>
          <w:i/>
        </w:rPr>
        <w:t xml:space="preserve">Capital Funding (Exceptional Circumstances): </w:t>
      </w:r>
      <w:r w:rsidRPr="00DD2634">
        <w:t xml:space="preserve">this payment provides up to $500,000 to support the creation of new </w:t>
      </w:r>
      <w:r w:rsidR="00AB076C" w:rsidRPr="00DD2634">
        <w:t xml:space="preserve">LDC </w:t>
      </w:r>
      <w:r w:rsidRPr="00DD2634">
        <w:t>services in regional and remote communities where a clear demand has been identified.</w:t>
      </w:r>
    </w:p>
    <w:p w14:paraId="04969D5C" w14:textId="35AB2B7C" w:rsidR="006225EE" w:rsidRPr="00DD2634" w:rsidRDefault="006225EE" w:rsidP="00AA625D">
      <w:pPr>
        <w:pStyle w:val="ListBullet"/>
      </w:pPr>
      <w:r w:rsidRPr="00DD2634">
        <w:rPr>
          <w:i/>
        </w:rPr>
        <w:t>Operational Support:</w:t>
      </w:r>
      <w:r w:rsidRPr="00DD2634">
        <w:t xml:space="preserve"> targeting FDC, IHC and OCC, this payment provides a contribution to the day to day costs of operating a child care service. Services receive this payment by virtue of being an approved service and </w:t>
      </w:r>
      <w:r w:rsidR="006D129E" w:rsidRPr="00DD2634">
        <w:t>are</w:t>
      </w:r>
      <w:r w:rsidRPr="00DD2634">
        <w:t xml:space="preserve"> not affected by any other eligibility criteria.</w:t>
      </w:r>
    </w:p>
    <w:p w14:paraId="04969D5D" w14:textId="77777777" w:rsidR="006225EE" w:rsidRPr="00DD2634" w:rsidRDefault="006225EE" w:rsidP="00AA625D">
      <w:pPr>
        <w:pStyle w:val="ListBullet"/>
      </w:pPr>
      <w:r w:rsidRPr="00DD2634">
        <w:rPr>
          <w:i/>
        </w:rPr>
        <w:t>Regional Travel Assistance Grant:</w:t>
      </w:r>
      <w:r w:rsidRPr="00DD2634">
        <w:t xml:space="preserve"> targeting FDC and IHC, this payment provides a contribution to the travel costs incurred by coordination staff in supporting a network of educators. </w:t>
      </w:r>
    </w:p>
    <w:p w14:paraId="04969D5E" w14:textId="5B909DF0" w:rsidR="006225EE" w:rsidRPr="00DD2634" w:rsidRDefault="00866FD9" w:rsidP="00F14C79">
      <w:pPr>
        <w:pStyle w:val="Caption"/>
        <w:rPr>
          <w:szCs w:val="16"/>
        </w:rPr>
      </w:pPr>
      <w:r w:rsidRPr="00DD2634">
        <w:rPr>
          <w:szCs w:val="16"/>
        </w:rPr>
        <w:t xml:space="preserve">Table </w:t>
      </w:r>
      <w:proofErr w:type="spellStart"/>
      <w:r w:rsidRPr="00DD2634">
        <w:rPr>
          <w:szCs w:val="16"/>
        </w:rPr>
        <w:t>A1.1</w:t>
      </w:r>
      <w:proofErr w:type="spellEnd"/>
      <w:r w:rsidRPr="00DD2634">
        <w:rPr>
          <w:szCs w:val="16"/>
        </w:rPr>
        <w:t xml:space="preserve">. </w:t>
      </w:r>
      <w:proofErr w:type="spellStart"/>
      <w:r w:rsidRPr="00DD2634">
        <w:rPr>
          <w:szCs w:val="16"/>
        </w:rPr>
        <w:t>CSP</w:t>
      </w:r>
      <w:proofErr w:type="spellEnd"/>
      <w:r w:rsidRPr="00DD2634">
        <w:rPr>
          <w:szCs w:val="16"/>
        </w:rPr>
        <w:t xml:space="preserve"> </w:t>
      </w:r>
      <w:r w:rsidR="00CA587E" w:rsidRPr="00DD2634">
        <w:rPr>
          <w:szCs w:val="16"/>
        </w:rPr>
        <w:t xml:space="preserve">Expenditure </w:t>
      </w:r>
      <w:r w:rsidR="009D4628" w:rsidRPr="00DD2634">
        <w:rPr>
          <w:szCs w:val="16"/>
        </w:rPr>
        <w:t>by service type, 2012-13</w:t>
      </w:r>
    </w:p>
    <w:tbl>
      <w:tblPr>
        <w:tblW w:w="8046" w:type="dxa"/>
        <w:tblLook w:val="04A0" w:firstRow="1" w:lastRow="0" w:firstColumn="1" w:lastColumn="0" w:noHBand="0" w:noVBand="1"/>
      </w:tblPr>
      <w:tblGrid>
        <w:gridCol w:w="5778"/>
        <w:gridCol w:w="1134"/>
        <w:gridCol w:w="1205"/>
      </w:tblGrid>
      <w:tr w:rsidR="009D6E2B" w:rsidRPr="00DD2634" w14:paraId="04969D62" w14:textId="77777777" w:rsidTr="009D6E2B">
        <w:trPr>
          <w:trHeight w:val="300"/>
        </w:trPr>
        <w:tc>
          <w:tcPr>
            <w:tcW w:w="5778" w:type="dxa"/>
            <w:tcBorders>
              <w:top w:val="single" w:sz="4" w:space="0" w:color="D9D9D9"/>
              <w:left w:val="single" w:sz="4" w:space="0" w:color="D9D9D9"/>
              <w:bottom w:val="single" w:sz="4" w:space="0" w:color="D9D9D9"/>
              <w:right w:val="single" w:sz="4" w:space="0" w:color="D9D9D9"/>
            </w:tcBorders>
            <w:shd w:val="clear" w:color="auto" w:fill="auto"/>
            <w:noWrap/>
            <w:vAlign w:val="center"/>
            <w:hideMark/>
          </w:tcPr>
          <w:p w14:paraId="04969D5F" w14:textId="77777777" w:rsidR="009D6E2B" w:rsidRPr="00DD2634" w:rsidRDefault="009D6E2B" w:rsidP="00E838FE">
            <w:pPr>
              <w:spacing w:after="0" w:line="240" w:lineRule="auto"/>
              <w:rPr>
                <w:rFonts w:ascii="Calibri" w:eastAsia="Times New Roman" w:hAnsi="Calibri" w:cs="Calibri"/>
                <w:b/>
                <w:bCs/>
                <w:lang w:eastAsia="en-AU"/>
              </w:rPr>
            </w:pPr>
            <w:proofErr w:type="spellStart"/>
            <w:r w:rsidRPr="00DD2634">
              <w:rPr>
                <w:rFonts w:ascii="Calibri" w:eastAsia="Times New Roman" w:hAnsi="Calibri" w:cs="Calibri"/>
                <w:b/>
                <w:bCs/>
                <w:lang w:eastAsia="en-AU"/>
              </w:rPr>
              <w:t>CSP</w:t>
            </w:r>
            <w:proofErr w:type="spellEnd"/>
            <w:r w:rsidRPr="00DD2634">
              <w:rPr>
                <w:rFonts w:ascii="Calibri" w:eastAsia="Times New Roman" w:hAnsi="Calibri" w:cs="Calibri"/>
                <w:b/>
                <w:bCs/>
                <w:lang w:eastAsia="en-AU"/>
              </w:rPr>
              <w:t xml:space="preserve"> Mainstream Expenditure 2012-13</w:t>
            </w:r>
          </w:p>
        </w:tc>
        <w:tc>
          <w:tcPr>
            <w:tcW w:w="1134" w:type="dxa"/>
            <w:tcBorders>
              <w:top w:val="single" w:sz="4" w:space="0" w:color="D9D9D9"/>
              <w:left w:val="nil"/>
              <w:bottom w:val="single" w:sz="4" w:space="0" w:color="D9D9D9"/>
              <w:right w:val="single" w:sz="4" w:space="0" w:color="D9D9D9"/>
            </w:tcBorders>
            <w:shd w:val="clear" w:color="auto" w:fill="auto"/>
            <w:noWrap/>
            <w:vAlign w:val="center"/>
            <w:hideMark/>
          </w:tcPr>
          <w:p w14:paraId="04969D60" w14:textId="77777777" w:rsidR="009D6E2B" w:rsidRPr="00DD2634" w:rsidRDefault="009D6E2B" w:rsidP="00E838FE">
            <w:pPr>
              <w:spacing w:after="0" w:line="240" w:lineRule="auto"/>
              <w:jc w:val="center"/>
              <w:rPr>
                <w:rFonts w:ascii="Calibri" w:eastAsia="Times New Roman" w:hAnsi="Calibri" w:cs="Calibri"/>
                <w:b/>
                <w:bCs/>
                <w:lang w:eastAsia="en-AU"/>
              </w:rPr>
            </w:pPr>
            <w:r w:rsidRPr="00DD2634">
              <w:rPr>
                <w:rFonts w:ascii="Calibri" w:eastAsia="Times New Roman" w:hAnsi="Calibri" w:cs="Calibri"/>
                <w:b/>
                <w:bCs/>
                <w:lang w:eastAsia="en-AU"/>
              </w:rPr>
              <w:t>$m</w:t>
            </w:r>
          </w:p>
        </w:tc>
        <w:tc>
          <w:tcPr>
            <w:tcW w:w="1134" w:type="dxa"/>
            <w:tcBorders>
              <w:top w:val="single" w:sz="4" w:space="0" w:color="D9D9D9"/>
              <w:left w:val="nil"/>
              <w:bottom w:val="single" w:sz="4" w:space="0" w:color="D9D9D9"/>
              <w:right w:val="single" w:sz="4" w:space="0" w:color="D9D9D9"/>
            </w:tcBorders>
          </w:tcPr>
          <w:p w14:paraId="04969D61" w14:textId="77777777" w:rsidR="009D6E2B" w:rsidRPr="00DD2634" w:rsidRDefault="009D6E2B" w:rsidP="00E838FE">
            <w:pPr>
              <w:spacing w:after="0" w:line="240" w:lineRule="auto"/>
              <w:jc w:val="center"/>
              <w:rPr>
                <w:rFonts w:ascii="Calibri" w:eastAsia="Times New Roman" w:hAnsi="Calibri" w:cs="Calibri"/>
                <w:b/>
                <w:bCs/>
                <w:lang w:eastAsia="en-AU"/>
              </w:rPr>
            </w:pPr>
            <w:r w:rsidRPr="00DD2634">
              <w:rPr>
                <w:rFonts w:ascii="Calibri" w:eastAsia="Times New Roman" w:hAnsi="Calibri" w:cs="Calibri"/>
                <w:b/>
                <w:bCs/>
                <w:lang w:eastAsia="en-AU"/>
              </w:rPr>
              <w:t>% of children(a)</w:t>
            </w:r>
          </w:p>
        </w:tc>
      </w:tr>
      <w:tr w:rsidR="009D6E2B" w:rsidRPr="00DD2634" w14:paraId="04969D66" w14:textId="77777777" w:rsidTr="009D6E2B">
        <w:trPr>
          <w:trHeight w:val="300"/>
        </w:trPr>
        <w:tc>
          <w:tcPr>
            <w:tcW w:w="5778" w:type="dxa"/>
            <w:tcBorders>
              <w:top w:val="nil"/>
              <w:left w:val="single" w:sz="4" w:space="0" w:color="D9D9D9"/>
              <w:bottom w:val="single" w:sz="4" w:space="0" w:color="D9D9D9"/>
              <w:right w:val="single" w:sz="4" w:space="0" w:color="D9D9D9"/>
            </w:tcBorders>
            <w:shd w:val="clear" w:color="auto" w:fill="auto"/>
            <w:vAlign w:val="center"/>
            <w:hideMark/>
          </w:tcPr>
          <w:p w14:paraId="04969D63" w14:textId="77777777" w:rsidR="009D6E2B" w:rsidRPr="00DD2634" w:rsidRDefault="009D6E2B" w:rsidP="00E838FE">
            <w:pPr>
              <w:spacing w:after="0" w:line="240" w:lineRule="auto"/>
              <w:rPr>
                <w:rFonts w:ascii="Calibri" w:eastAsia="Times New Roman" w:hAnsi="Calibri" w:cs="Calibri"/>
                <w:lang w:eastAsia="en-AU"/>
              </w:rPr>
            </w:pPr>
            <w:r w:rsidRPr="00DD2634">
              <w:rPr>
                <w:rFonts w:ascii="Calibri" w:eastAsia="Times New Roman" w:hAnsi="Calibri" w:cs="Calibri"/>
                <w:lang w:eastAsia="en-AU"/>
              </w:rPr>
              <w:t>Family Day Care</w:t>
            </w:r>
          </w:p>
        </w:tc>
        <w:tc>
          <w:tcPr>
            <w:tcW w:w="1134" w:type="dxa"/>
            <w:tcBorders>
              <w:top w:val="nil"/>
              <w:left w:val="nil"/>
              <w:bottom w:val="single" w:sz="4" w:space="0" w:color="D9D9D9"/>
              <w:right w:val="single" w:sz="4" w:space="0" w:color="D9D9D9"/>
            </w:tcBorders>
            <w:shd w:val="clear" w:color="auto" w:fill="auto"/>
            <w:vAlign w:val="center"/>
            <w:hideMark/>
          </w:tcPr>
          <w:p w14:paraId="04969D64" w14:textId="77777777" w:rsidR="009D6E2B" w:rsidRPr="00DD2634" w:rsidRDefault="009D6E2B" w:rsidP="00E838FE">
            <w:pPr>
              <w:spacing w:after="0" w:line="240" w:lineRule="auto"/>
              <w:jc w:val="right"/>
              <w:rPr>
                <w:rFonts w:ascii="Calibri" w:eastAsia="Times New Roman" w:hAnsi="Calibri" w:cs="Calibri"/>
                <w:lang w:eastAsia="en-AU"/>
              </w:rPr>
            </w:pPr>
            <w:r w:rsidRPr="00DD2634">
              <w:rPr>
                <w:rFonts w:ascii="Calibri" w:eastAsia="Times New Roman" w:hAnsi="Calibri" w:cs="Calibri"/>
                <w:lang w:eastAsia="en-AU"/>
              </w:rPr>
              <w:t>97.6</w:t>
            </w:r>
          </w:p>
        </w:tc>
        <w:tc>
          <w:tcPr>
            <w:tcW w:w="1134" w:type="dxa"/>
            <w:tcBorders>
              <w:top w:val="nil"/>
              <w:left w:val="nil"/>
              <w:bottom w:val="single" w:sz="4" w:space="0" w:color="D9D9D9"/>
              <w:right w:val="single" w:sz="4" w:space="0" w:color="D9D9D9"/>
            </w:tcBorders>
          </w:tcPr>
          <w:p w14:paraId="04969D65" w14:textId="7EF0F47B" w:rsidR="009D6E2B" w:rsidRPr="00DD2634" w:rsidRDefault="003C51D0" w:rsidP="00E838FE">
            <w:pPr>
              <w:spacing w:after="0" w:line="240" w:lineRule="auto"/>
              <w:jc w:val="right"/>
              <w:rPr>
                <w:rFonts w:ascii="Calibri" w:eastAsia="Times New Roman" w:hAnsi="Calibri" w:cs="Calibri"/>
                <w:lang w:eastAsia="en-AU"/>
              </w:rPr>
            </w:pPr>
            <w:r w:rsidRPr="00DD2634">
              <w:rPr>
                <w:rFonts w:ascii="Calibri" w:eastAsia="Times New Roman" w:hAnsi="Calibri" w:cs="Calibri"/>
                <w:lang w:eastAsia="en-AU"/>
              </w:rPr>
              <w:t>13.5</w:t>
            </w:r>
            <w:r w:rsidR="009D6E2B" w:rsidRPr="00DD2634">
              <w:rPr>
                <w:rFonts w:ascii="Calibri" w:eastAsia="Times New Roman" w:hAnsi="Calibri" w:cs="Calibri"/>
                <w:lang w:eastAsia="en-AU"/>
              </w:rPr>
              <w:t>(b)</w:t>
            </w:r>
          </w:p>
        </w:tc>
      </w:tr>
      <w:tr w:rsidR="009D6E2B" w:rsidRPr="00DD2634" w14:paraId="04969D6A" w14:textId="77777777" w:rsidTr="009D6E2B">
        <w:trPr>
          <w:trHeight w:val="300"/>
        </w:trPr>
        <w:tc>
          <w:tcPr>
            <w:tcW w:w="5778" w:type="dxa"/>
            <w:tcBorders>
              <w:top w:val="nil"/>
              <w:left w:val="single" w:sz="4" w:space="0" w:color="D9D9D9"/>
              <w:bottom w:val="single" w:sz="4" w:space="0" w:color="D9D9D9"/>
              <w:right w:val="single" w:sz="4" w:space="0" w:color="D9D9D9"/>
            </w:tcBorders>
            <w:shd w:val="clear" w:color="auto" w:fill="auto"/>
            <w:vAlign w:val="center"/>
            <w:hideMark/>
          </w:tcPr>
          <w:p w14:paraId="04969D67" w14:textId="3E6DDF02" w:rsidR="009D6E2B" w:rsidRPr="00DD2634" w:rsidRDefault="009D6E2B" w:rsidP="00E838FE">
            <w:pPr>
              <w:spacing w:after="0" w:line="240" w:lineRule="auto"/>
              <w:rPr>
                <w:rFonts w:ascii="Calibri" w:eastAsia="Times New Roman" w:hAnsi="Calibri" w:cs="Calibri"/>
                <w:lang w:eastAsia="en-AU"/>
              </w:rPr>
            </w:pPr>
            <w:r w:rsidRPr="00DD2634">
              <w:rPr>
                <w:rFonts w:ascii="Calibri" w:eastAsia="Times New Roman" w:hAnsi="Calibri" w:cs="Calibri"/>
                <w:lang w:eastAsia="en-AU"/>
              </w:rPr>
              <w:t xml:space="preserve">Outside School Hours Care </w:t>
            </w:r>
            <w:r w:rsidR="00CA587E" w:rsidRPr="00DD2634">
              <w:rPr>
                <w:rFonts w:ascii="Calibri" w:eastAsia="Times New Roman" w:hAnsi="Calibri" w:cs="Calibri"/>
                <w:i/>
                <w:sz w:val="16"/>
                <w:szCs w:val="16"/>
                <w:lang w:eastAsia="en-AU"/>
              </w:rPr>
              <w:t>(Before School ($</w:t>
            </w:r>
            <w:proofErr w:type="spellStart"/>
            <w:r w:rsidR="00CA587E" w:rsidRPr="00DD2634">
              <w:rPr>
                <w:rFonts w:ascii="Calibri" w:eastAsia="Times New Roman" w:hAnsi="Calibri" w:cs="Calibri"/>
                <w:i/>
                <w:sz w:val="16"/>
                <w:szCs w:val="16"/>
                <w:lang w:eastAsia="en-AU"/>
              </w:rPr>
              <w:t>2.3m</w:t>
            </w:r>
            <w:proofErr w:type="spellEnd"/>
            <w:r w:rsidR="00CA587E" w:rsidRPr="00DD2634">
              <w:rPr>
                <w:rFonts w:ascii="Calibri" w:eastAsia="Times New Roman" w:hAnsi="Calibri" w:cs="Calibri"/>
                <w:i/>
                <w:sz w:val="16"/>
                <w:szCs w:val="16"/>
                <w:lang w:eastAsia="en-AU"/>
              </w:rPr>
              <w:t>), After School (</w:t>
            </w:r>
            <w:r w:rsidRPr="00DD2634">
              <w:rPr>
                <w:rFonts w:ascii="Calibri" w:eastAsia="Times New Roman" w:hAnsi="Calibri" w:cs="Calibri"/>
                <w:i/>
                <w:sz w:val="16"/>
                <w:szCs w:val="16"/>
                <w:lang w:eastAsia="en-AU"/>
              </w:rPr>
              <w:t>$</w:t>
            </w:r>
            <w:proofErr w:type="spellStart"/>
            <w:r w:rsidRPr="00DD2634">
              <w:rPr>
                <w:rFonts w:ascii="Calibri" w:eastAsia="Times New Roman" w:hAnsi="Calibri" w:cs="Calibri"/>
                <w:i/>
                <w:sz w:val="16"/>
                <w:szCs w:val="16"/>
                <w:lang w:eastAsia="en-AU"/>
              </w:rPr>
              <w:t>5.7m</w:t>
            </w:r>
            <w:proofErr w:type="spellEnd"/>
            <w:r w:rsidRPr="00DD2634">
              <w:rPr>
                <w:rFonts w:ascii="Calibri" w:eastAsia="Times New Roman" w:hAnsi="Calibri" w:cs="Calibri"/>
                <w:i/>
                <w:sz w:val="16"/>
                <w:szCs w:val="16"/>
                <w:lang w:eastAsia="en-AU"/>
              </w:rPr>
              <w:t>) and Vacation care ($</w:t>
            </w:r>
            <w:proofErr w:type="spellStart"/>
            <w:r w:rsidRPr="00DD2634">
              <w:rPr>
                <w:rFonts w:ascii="Calibri" w:eastAsia="Times New Roman" w:hAnsi="Calibri" w:cs="Calibri"/>
                <w:i/>
                <w:sz w:val="16"/>
                <w:szCs w:val="16"/>
                <w:lang w:eastAsia="en-AU"/>
              </w:rPr>
              <w:t>3.6m</w:t>
            </w:r>
            <w:proofErr w:type="spellEnd"/>
            <w:r w:rsidRPr="00DD2634">
              <w:rPr>
                <w:rFonts w:ascii="Calibri" w:eastAsia="Times New Roman" w:hAnsi="Calibri" w:cs="Calibri"/>
                <w:i/>
                <w:sz w:val="16"/>
                <w:szCs w:val="16"/>
                <w:lang w:eastAsia="en-AU"/>
              </w:rPr>
              <w:t>)</w:t>
            </w:r>
          </w:p>
        </w:tc>
        <w:tc>
          <w:tcPr>
            <w:tcW w:w="1134" w:type="dxa"/>
            <w:tcBorders>
              <w:top w:val="nil"/>
              <w:left w:val="nil"/>
              <w:bottom w:val="single" w:sz="4" w:space="0" w:color="D9D9D9"/>
              <w:right w:val="single" w:sz="4" w:space="0" w:color="D9D9D9"/>
            </w:tcBorders>
            <w:shd w:val="clear" w:color="auto" w:fill="auto"/>
            <w:vAlign w:val="center"/>
            <w:hideMark/>
          </w:tcPr>
          <w:p w14:paraId="04969D68" w14:textId="77777777" w:rsidR="009D6E2B" w:rsidRPr="00DD2634" w:rsidRDefault="009D6E2B" w:rsidP="00E838FE">
            <w:pPr>
              <w:spacing w:after="0" w:line="240" w:lineRule="auto"/>
              <w:jc w:val="right"/>
              <w:rPr>
                <w:rFonts w:ascii="Calibri" w:eastAsia="Times New Roman" w:hAnsi="Calibri" w:cs="Calibri"/>
                <w:lang w:eastAsia="en-AU"/>
              </w:rPr>
            </w:pPr>
            <w:r w:rsidRPr="00DD2634">
              <w:rPr>
                <w:rFonts w:ascii="Calibri" w:eastAsia="Times New Roman" w:hAnsi="Calibri" w:cs="Calibri"/>
                <w:lang w:eastAsia="en-AU"/>
              </w:rPr>
              <w:t>11.5</w:t>
            </w:r>
          </w:p>
        </w:tc>
        <w:tc>
          <w:tcPr>
            <w:tcW w:w="1134" w:type="dxa"/>
            <w:tcBorders>
              <w:top w:val="nil"/>
              <w:left w:val="nil"/>
              <w:bottom w:val="single" w:sz="4" w:space="0" w:color="D9D9D9"/>
              <w:right w:val="single" w:sz="4" w:space="0" w:color="D9D9D9"/>
            </w:tcBorders>
          </w:tcPr>
          <w:p w14:paraId="04969D69" w14:textId="09892716" w:rsidR="009D6E2B" w:rsidRPr="00DD2634" w:rsidRDefault="003C51D0" w:rsidP="009D6E2B">
            <w:pPr>
              <w:spacing w:after="0" w:line="240" w:lineRule="auto"/>
              <w:jc w:val="right"/>
              <w:rPr>
                <w:rFonts w:ascii="Calibri" w:eastAsia="Times New Roman" w:hAnsi="Calibri" w:cs="Calibri"/>
                <w:lang w:eastAsia="en-AU"/>
              </w:rPr>
            </w:pPr>
            <w:r w:rsidRPr="00DD2634">
              <w:rPr>
                <w:rFonts w:ascii="Calibri" w:eastAsia="Times New Roman" w:hAnsi="Calibri" w:cs="Calibri"/>
                <w:lang w:eastAsia="en-AU"/>
              </w:rPr>
              <w:t>31.6</w:t>
            </w:r>
          </w:p>
        </w:tc>
      </w:tr>
      <w:tr w:rsidR="009D6E2B" w:rsidRPr="00DD2634" w14:paraId="04969D6E" w14:textId="77777777" w:rsidTr="009D6E2B">
        <w:trPr>
          <w:trHeight w:val="300"/>
        </w:trPr>
        <w:tc>
          <w:tcPr>
            <w:tcW w:w="5778" w:type="dxa"/>
            <w:tcBorders>
              <w:top w:val="nil"/>
              <w:left w:val="single" w:sz="4" w:space="0" w:color="D9D9D9"/>
              <w:bottom w:val="single" w:sz="4" w:space="0" w:color="D9D9D9"/>
              <w:right w:val="single" w:sz="4" w:space="0" w:color="D9D9D9"/>
            </w:tcBorders>
            <w:shd w:val="clear" w:color="auto" w:fill="auto"/>
            <w:vAlign w:val="center"/>
            <w:hideMark/>
          </w:tcPr>
          <w:p w14:paraId="04969D6B" w14:textId="77777777" w:rsidR="009D6E2B" w:rsidRPr="00DD2634" w:rsidRDefault="009D6E2B" w:rsidP="00E838FE">
            <w:pPr>
              <w:spacing w:after="0" w:line="240" w:lineRule="auto"/>
              <w:rPr>
                <w:rFonts w:ascii="Calibri" w:eastAsia="Times New Roman" w:hAnsi="Calibri" w:cs="Calibri"/>
                <w:lang w:eastAsia="en-AU"/>
              </w:rPr>
            </w:pPr>
            <w:r w:rsidRPr="00DD2634">
              <w:rPr>
                <w:rFonts w:ascii="Calibri" w:eastAsia="Times New Roman" w:hAnsi="Calibri" w:cs="Calibri"/>
                <w:lang w:eastAsia="en-AU"/>
              </w:rPr>
              <w:t>Long Day Care</w:t>
            </w:r>
          </w:p>
        </w:tc>
        <w:tc>
          <w:tcPr>
            <w:tcW w:w="1134" w:type="dxa"/>
            <w:tcBorders>
              <w:top w:val="nil"/>
              <w:left w:val="nil"/>
              <w:bottom w:val="single" w:sz="4" w:space="0" w:color="D9D9D9"/>
              <w:right w:val="single" w:sz="4" w:space="0" w:color="D9D9D9"/>
            </w:tcBorders>
            <w:shd w:val="clear" w:color="auto" w:fill="auto"/>
            <w:vAlign w:val="center"/>
            <w:hideMark/>
          </w:tcPr>
          <w:p w14:paraId="04969D6C" w14:textId="77777777" w:rsidR="009D6E2B" w:rsidRPr="00DD2634" w:rsidRDefault="009D6E2B" w:rsidP="00E838FE">
            <w:pPr>
              <w:spacing w:after="0" w:line="240" w:lineRule="auto"/>
              <w:jc w:val="right"/>
              <w:rPr>
                <w:rFonts w:ascii="Calibri" w:eastAsia="Times New Roman" w:hAnsi="Calibri" w:cs="Calibri"/>
                <w:lang w:eastAsia="en-AU"/>
              </w:rPr>
            </w:pPr>
            <w:r w:rsidRPr="00DD2634">
              <w:rPr>
                <w:rFonts w:ascii="Calibri" w:eastAsia="Times New Roman" w:hAnsi="Calibri" w:cs="Calibri"/>
                <w:lang w:eastAsia="en-AU"/>
              </w:rPr>
              <w:t>9.7</w:t>
            </w:r>
          </w:p>
        </w:tc>
        <w:tc>
          <w:tcPr>
            <w:tcW w:w="1134" w:type="dxa"/>
            <w:tcBorders>
              <w:top w:val="nil"/>
              <w:left w:val="nil"/>
              <w:bottom w:val="single" w:sz="4" w:space="0" w:color="D9D9D9"/>
              <w:right w:val="single" w:sz="4" w:space="0" w:color="D9D9D9"/>
            </w:tcBorders>
          </w:tcPr>
          <w:p w14:paraId="04969D6D" w14:textId="460CEF75" w:rsidR="009D6E2B" w:rsidRPr="00DD2634" w:rsidRDefault="003C51D0" w:rsidP="00E838FE">
            <w:pPr>
              <w:spacing w:after="0" w:line="240" w:lineRule="auto"/>
              <w:jc w:val="right"/>
              <w:rPr>
                <w:rFonts w:ascii="Calibri" w:eastAsia="Times New Roman" w:hAnsi="Calibri" w:cs="Calibri"/>
                <w:lang w:eastAsia="en-AU"/>
              </w:rPr>
            </w:pPr>
            <w:r w:rsidRPr="00DD2634">
              <w:rPr>
                <w:rFonts w:ascii="Calibri" w:eastAsia="Times New Roman" w:hAnsi="Calibri" w:cs="Calibri"/>
                <w:lang w:eastAsia="en-AU"/>
              </w:rPr>
              <w:t>57.4</w:t>
            </w:r>
          </w:p>
        </w:tc>
      </w:tr>
      <w:tr w:rsidR="009D6E2B" w:rsidRPr="00DD2634" w14:paraId="04969D72" w14:textId="77777777" w:rsidTr="009D6E2B">
        <w:trPr>
          <w:trHeight w:val="300"/>
        </w:trPr>
        <w:tc>
          <w:tcPr>
            <w:tcW w:w="5778" w:type="dxa"/>
            <w:tcBorders>
              <w:top w:val="nil"/>
              <w:left w:val="single" w:sz="4" w:space="0" w:color="D9D9D9"/>
              <w:bottom w:val="single" w:sz="4" w:space="0" w:color="D9D9D9"/>
              <w:right w:val="single" w:sz="4" w:space="0" w:color="D9D9D9"/>
            </w:tcBorders>
            <w:shd w:val="clear" w:color="auto" w:fill="auto"/>
            <w:vAlign w:val="center"/>
            <w:hideMark/>
          </w:tcPr>
          <w:p w14:paraId="04969D6F" w14:textId="77777777" w:rsidR="009D6E2B" w:rsidRPr="00DD2634" w:rsidRDefault="009D6E2B" w:rsidP="00E838FE">
            <w:pPr>
              <w:spacing w:after="0" w:line="240" w:lineRule="auto"/>
              <w:rPr>
                <w:rFonts w:ascii="Calibri" w:eastAsia="Times New Roman" w:hAnsi="Calibri" w:cs="Calibri"/>
                <w:lang w:eastAsia="en-AU"/>
              </w:rPr>
            </w:pPr>
            <w:r w:rsidRPr="00DD2634">
              <w:rPr>
                <w:rFonts w:ascii="Calibri" w:eastAsia="Times New Roman" w:hAnsi="Calibri" w:cs="Calibri"/>
                <w:lang w:eastAsia="en-AU"/>
              </w:rPr>
              <w:t>In Home Care</w:t>
            </w:r>
          </w:p>
        </w:tc>
        <w:tc>
          <w:tcPr>
            <w:tcW w:w="1134" w:type="dxa"/>
            <w:tcBorders>
              <w:top w:val="nil"/>
              <w:left w:val="nil"/>
              <w:bottom w:val="single" w:sz="4" w:space="0" w:color="D9D9D9"/>
              <w:right w:val="single" w:sz="4" w:space="0" w:color="D9D9D9"/>
            </w:tcBorders>
            <w:shd w:val="clear" w:color="auto" w:fill="auto"/>
            <w:vAlign w:val="center"/>
            <w:hideMark/>
          </w:tcPr>
          <w:p w14:paraId="04969D70" w14:textId="77777777" w:rsidR="009D6E2B" w:rsidRPr="00DD2634" w:rsidRDefault="009D6E2B" w:rsidP="00E838FE">
            <w:pPr>
              <w:spacing w:after="0" w:line="240" w:lineRule="auto"/>
              <w:jc w:val="right"/>
              <w:rPr>
                <w:rFonts w:ascii="Calibri" w:eastAsia="Times New Roman" w:hAnsi="Calibri" w:cs="Calibri"/>
                <w:lang w:eastAsia="en-AU"/>
              </w:rPr>
            </w:pPr>
            <w:r w:rsidRPr="00DD2634">
              <w:rPr>
                <w:rFonts w:ascii="Calibri" w:eastAsia="Times New Roman" w:hAnsi="Calibri" w:cs="Calibri"/>
                <w:lang w:eastAsia="en-AU"/>
              </w:rPr>
              <w:t>6.2</w:t>
            </w:r>
          </w:p>
        </w:tc>
        <w:tc>
          <w:tcPr>
            <w:tcW w:w="1134" w:type="dxa"/>
            <w:tcBorders>
              <w:top w:val="nil"/>
              <w:left w:val="nil"/>
              <w:bottom w:val="single" w:sz="4" w:space="0" w:color="D9D9D9"/>
              <w:right w:val="single" w:sz="4" w:space="0" w:color="D9D9D9"/>
            </w:tcBorders>
          </w:tcPr>
          <w:p w14:paraId="04969D71" w14:textId="77777777" w:rsidR="009D6E2B" w:rsidRPr="00DD2634" w:rsidRDefault="009D6E2B" w:rsidP="009D6E2B">
            <w:pPr>
              <w:spacing w:after="0" w:line="240" w:lineRule="auto"/>
              <w:jc w:val="right"/>
              <w:rPr>
                <w:rFonts w:ascii="Calibri" w:eastAsia="Times New Roman" w:hAnsi="Calibri" w:cs="Calibri"/>
                <w:lang w:eastAsia="en-AU"/>
              </w:rPr>
            </w:pPr>
            <w:r w:rsidRPr="00DD2634">
              <w:rPr>
                <w:rFonts w:ascii="Calibri" w:eastAsia="Times New Roman" w:hAnsi="Calibri" w:cs="Calibri"/>
                <w:lang w:eastAsia="en-AU"/>
              </w:rPr>
              <w:t>(b)</w:t>
            </w:r>
          </w:p>
        </w:tc>
      </w:tr>
      <w:tr w:rsidR="009D6E2B" w:rsidRPr="00DD2634" w14:paraId="04969D76" w14:textId="77777777" w:rsidTr="009D6E2B">
        <w:trPr>
          <w:trHeight w:val="300"/>
        </w:trPr>
        <w:tc>
          <w:tcPr>
            <w:tcW w:w="5778" w:type="dxa"/>
            <w:tcBorders>
              <w:top w:val="nil"/>
              <w:left w:val="single" w:sz="4" w:space="0" w:color="D9D9D9"/>
              <w:bottom w:val="single" w:sz="4" w:space="0" w:color="D9D9D9"/>
              <w:right w:val="single" w:sz="4" w:space="0" w:color="D9D9D9"/>
            </w:tcBorders>
            <w:shd w:val="clear" w:color="auto" w:fill="auto"/>
            <w:vAlign w:val="center"/>
            <w:hideMark/>
          </w:tcPr>
          <w:p w14:paraId="04969D73" w14:textId="77777777" w:rsidR="009D6E2B" w:rsidRPr="00DD2634" w:rsidRDefault="009D6E2B" w:rsidP="00E838FE">
            <w:pPr>
              <w:spacing w:after="0" w:line="240" w:lineRule="auto"/>
              <w:rPr>
                <w:rFonts w:ascii="Calibri" w:eastAsia="Times New Roman" w:hAnsi="Calibri" w:cs="Calibri"/>
                <w:lang w:eastAsia="en-AU"/>
              </w:rPr>
            </w:pPr>
            <w:r w:rsidRPr="00DD2634">
              <w:rPr>
                <w:rFonts w:ascii="Calibri" w:eastAsia="Times New Roman" w:hAnsi="Calibri" w:cs="Calibri"/>
                <w:lang w:eastAsia="en-AU"/>
              </w:rPr>
              <w:t>Occasional Child Care</w:t>
            </w:r>
          </w:p>
        </w:tc>
        <w:tc>
          <w:tcPr>
            <w:tcW w:w="1134" w:type="dxa"/>
            <w:tcBorders>
              <w:top w:val="nil"/>
              <w:left w:val="nil"/>
              <w:bottom w:val="single" w:sz="4" w:space="0" w:color="D9D9D9"/>
              <w:right w:val="single" w:sz="4" w:space="0" w:color="D9D9D9"/>
            </w:tcBorders>
            <w:shd w:val="clear" w:color="auto" w:fill="auto"/>
            <w:vAlign w:val="center"/>
            <w:hideMark/>
          </w:tcPr>
          <w:p w14:paraId="04969D74" w14:textId="77777777" w:rsidR="009D6E2B" w:rsidRPr="00DD2634" w:rsidRDefault="009D6E2B" w:rsidP="00E838FE">
            <w:pPr>
              <w:spacing w:after="0" w:line="240" w:lineRule="auto"/>
              <w:jc w:val="right"/>
              <w:rPr>
                <w:rFonts w:ascii="Calibri" w:eastAsia="Times New Roman" w:hAnsi="Calibri" w:cs="Calibri"/>
                <w:lang w:eastAsia="en-AU"/>
              </w:rPr>
            </w:pPr>
            <w:r w:rsidRPr="00DD2634">
              <w:rPr>
                <w:rFonts w:ascii="Calibri" w:eastAsia="Times New Roman" w:hAnsi="Calibri" w:cs="Calibri"/>
                <w:lang w:eastAsia="en-AU"/>
              </w:rPr>
              <w:t>4.2</w:t>
            </w:r>
          </w:p>
        </w:tc>
        <w:tc>
          <w:tcPr>
            <w:tcW w:w="1134" w:type="dxa"/>
            <w:tcBorders>
              <w:top w:val="nil"/>
              <w:left w:val="nil"/>
              <w:bottom w:val="single" w:sz="4" w:space="0" w:color="D9D9D9"/>
              <w:right w:val="single" w:sz="4" w:space="0" w:color="D9D9D9"/>
            </w:tcBorders>
          </w:tcPr>
          <w:p w14:paraId="04969D75" w14:textId="77777777" w:rsidR="009D6E2B" w:rsidRPr="00DD2634" w:rsidRDefault="009D6E2B" w:rsidP="00E838FE">
            <w:pPr>
              <w:spacing w:after="0" w:line="240" w:lineRule="auto"/>
              <w:jc w:val="right"/>
              <w:rPr>
                <w:rFonts w:ascii="Calibri" w:eastAsia="Times New Roman" w:hAnsi="Calibri" w:cs="Calibri"/>
                <w:lang w:eastAsia="en-AU"/>
              </w:rPr>
            </w:pPr>
            <w:r w:rsidRPr="00DD2634">
              <w:rPr>
                <w:rFonts w:ascii="Calibri" w:eastAsia="Times New Roman" w:hAnsi="Calibri" w:cs="Calibri"/>
                <w:lang w:eastAsia="en-AU"/>
              </w:rPr>
              <w:t>0.7</w:t>
            </w:r>
          </w:p>
        </w:tc>
      </w:tr>
      <w:tr w:rsidR="009D6E2B" w:rsidRPr="00DD2634" w14:paraId="04969D7A" w14:textId="77777777" w:rsidTr="009D6E2B">
        <w:trPr>
          <w:trHeight w:val="300"/>
        </w:trPr>
        <w:tc>
          <w:tcPr>
            <w:tcW w:w="5778" w:type="dxa"/>
            <w:tcBorders>
              <w:top w:val="nil"/>
              <w:left w:val="single" w:sz="4" w:space="0" w:color="D9D9D9"/>
              <w:bottom w:val="single" w:sz="4" w:space="0" w:color="D9D9D9"/>
              <w:right w:val="single" w:sz="4" w:space="0" w:color="D9D9D9"/>
            </w:tcBorders>
            <w:shd w:val="clear" w:color="auto" w:fill="D9D9D9" w:themeFill="background1" w:themeFillShade="D9"/>
            <w:vAlign w:val="center"/>
            <w:hideMark/>
          </w:tcPr>
          <w:p w14:paraId="04969D77" w14:textId="77777777" w:rsidR="009D6E2B" w:rsidRPr="00DD2634" w:rsidRDefault="009D6E2B" w:rsidP="00E838FE">
            <w:pPr>
              <w:spacing w:after="0" w:line="240" w:lineRule="auto"/>
              <w:rPr>
                <w:rFonts w:ascii="Calibri" w:eastAsia="Times New Roman" w:hAnsi="Calibri" w:cs="Calibri"/>
                <w:b/>
                <w:bCs/>
                <w:lang w:eastAsia="en-AU"/>
              </w:rPr>
            </w:pPr>
            <w:r w:rsidRPr="00DD2634">
              <w:rPr>
                <w:rFonts w:ascii="Calibri" w:eastAsia="Times New Roman" w:hAnsi="Calibri" w:cs="Calibri"/>
                <w:b/>
                <w:bCs/>
                <w:lang w:eastAsia="en-AU"/>
              </w:rPr>
              <w:t xml:space="preserve">Totals </w:t>
            </w:r>
            <w:r w:rsidRPr="00DD2634">
              <w:rPr>
                <w:rFonts w:ascii="Calibri" w:eastAsia="Times New Roman" w:hAnsi="Calibri" w:cs="Calibri"/>
                <w:bCs/>
                <w:sz w:val="16"/>
                <w:szCs w:val="16"/>
                <w:lang w:eastAsia="en-AU"/>
              </w:rPr>
              <w:t>(may not total due to rounding)</w:t>
            </w:r>
          </w:p>
        </w:tc>
        <w:tc>
          <w:tcPr>
            <w:tcW w:w="1134" w:type="dxa"/>
            <w:tcBorders>
              <w:top w:val="nil"/>
              <w:left w:val="nil"/>
              <w:bottom w:val="single" w:sz="4" w:space="0" w:color="D9D9D9"/>
              <w:right w:val="single" w:sz="4" w:space="0" w:color="D9D9D9"/>
            </w:tcBorders>
            <w:shd w:val="clear" w:color="auto" w:fill="D9D9D9" w:themeFill="background1" w:themeFillShade="D9"/>
            <w:noWrap/>
            <w:vAlign w:val="center"/>
            <w:hideMark/>
          </w:tcPr>
          <w:p w14:paraId="04969D78" w14:textId="1F9BE98F" w:rsidR="009D6E2B" w:rsidRPr="00DD2634" w:rsidRDefault="005B1270" w:rsidP="00E838FE">
            <w:pPr>
              <w:spacing w:after="0" w:line="240" w:lineRule="auto"/>
              <w:jc w:val="right"/>
              <w:rPr>
                <w:rFonts w:ascii="Calibri" w:eastAsia="Times New Roman" w:hAnsi="Calibri" w:cs="Calibri"/>
                <w:b/>
                <w:bCs/>
                <w:lang w:eastAsia="en-AU"/>
              </w:rPr>
            </w:pPr>
            <w:r w:rsidRPr="00DD2634">
              <w:rPr>
                <w:rFonts w:ascii="Calibri" w:eastAsia="Times New Roman" w:hAnsi="Calibri" w:cs="Calibri"/>
                <w:b/>
                <w:bCs/>
                <w:lang w:eastAsia="en-AU"/>
              </w:rPr>
              <w:t>129.2</w:t>
            </w:r>
          </w:p>
        </w:tc>
        <w:tc>
          <w:tcPr>
            <w:tcW w:w="1134" w:type="dxa"/>
            <w:tcBorders>
              <w:top w:val="nil"/>
              <w:left w:val="nil"/>
              <w:bottom w:val="single" w:sz="4" w:space="0" w:color="D9D9D9"/>
              <w:right w:val="single" w:sz="4" w:space="0" w:color="D9D9D9"/>
            </w:tcBorders>
            <w:shd w:val="clear" w:color="auto" w:fill="D9D9D9" w:themeFill="background1" w:themeFillShade="D9"/>
          </w:tcPr>
          <w:p w14:paraId="04969D79" w14:textId="77777777" w:rsidR="009D6E2B" w:rsidRPr="00DD2634" w:rsidRDefault="009D6E2B" w:rsidP="00E838FE">
            <w:pPr>
              <w:spacing w:after="0" w:line="240" w:lineRule="auto"/>
              <w:jc w:val="right"/>
              <w:rPr>
                <w:rFonts w:ascii="Calibri" w:eastAsia="Times New Roman" w:hAnsi="Calibri" w:cs="Calibri"/>
                <w:b/>
                <w:bCs/>
                <w:lang w:eastAsia="en-AU"/>
              </w:rPr>
            </w:pPr>
            <w:r w:rsidRPr="00DD2634">
              <w:rPr>
                <w:rFonts w:ascii="Calibri" w:eastAsia="Times New Roman" w:hAnsi="Calibri" w:cs="Calibri"/>
                <w:b/>
                <w:bCs/>
                <w:lang w:eastAsia="en-AU"/>
              </w:rPr>
              <w:t>(c)</w:t>
            </w:r>
          </w:p>
        </w:tc>
      </w:tr>
    </w:tbl>
    <w:p w14:paraId="04969D7B" w14:textId="3BB17B18" w:rsidR="00866FD9" w:rsidRPr="00DD2634" w:rsidRDefault="00BC5B88" w:rsidP="00BC5B88">
      <w:pPr>
        <w:spacing w:after="120" w:line="240" w:lineRule="auto"/>
        <w:rPr>
          <w:sz w:val="20"/>
          <w:szCs w:val="20"/>
        </w:rPr>
      </w:pPr>
      <w:r w:rsidRPr="00DD2634">
        <w:rPr>
          <w:sz w:val="20"/>
          <w:szCs w:val="20"/>
        </w:rPr>
        <w:t>Source: Department of Education</w:t>
      </w:r>
      <w:r w:rsidR="009D6E2B" w:rsidRPr="00DD2634">
        <w:rPr>
          <w:sz w:val="20"/>
          <w:szCs w:val="20"/>
        </w:rPr>
        <w:t xml:space="preserve">, unpublished data. (a) As at </w:t>
      </w:r>
      <w:r w:rsidR="003C51D0" w:rsidRPr="00DD2634">
        <w:rPr>
          <w:sz w:val="20"/>
          <w:szCs w:val="20"/>
        </w:rPr>
        <w:t>June</w:t>
      </w:r>
      <w:r w:rsidR="009D6E2B" w:rsidRPr="00DD2634">
        <w:rPr>
          <w:sz w:val="20"/>
          <w:szCs w:val="20"/>
        </w:rPr>
        <w:t xml:space="preserve"> quarter 2013. (b) FDC includes IHC. (c) Total does not </w:t>
      </w:r>
      <w:r w:rsidR="00A20D5E" w:rsidRPr="00DD2634">
        <w:rPr>
          <w:sz w:val="20"/>
          <w:szCs w:val="20"/>
        </w:rPr>
        <w:t>equal</w:t>
      </w:r>
      <w:r w:rsidR="009D6E2B" w:rsidRPr="00DD2634">
        <w:rPr>
          <w:sz w:val="20"/>
          <w:szCs w:val="20"/>
        </w:rPr>
        <w:t xml:space="preserve"> 100% </w:t>
      </w:r>
      <w:r w:rsidR="00A20D5E" w:rsidRPr="00DD2634">
        <w:rPr>
          <w:sz w:val="20"/>
          <w:szCs w:val="20"/>
        </w:rPr>
        <w:t>because children may use more than one service type in a particular quarter.</w:t>
      </w:r>
      <w:r w:rsidR="009D6E2B" w:rsidRPr="00DD2634">
        <w:rPr>
          <w:sz w:val="20"/>
          <w:szCs w:val="20"/>
        </w:rPr>
        <w:t xml:space="preserve"> </w:t>
      </w:r>
    </w:p>
    <w:p w14:paraId="04969D7C" w14:textId="77777777" w:rsidR="00AB076C" w:rsidRPr="00DD2634" w:rsidRDefault="00AB076C" w:rsidP="00866FD9">
      <w:pPr>
        <w:spacing w:after="120" w:line="240" w:lineRule="auto"/>
        <w:rPr>
          <w:sz w:val="24"/>
          <w:szCs w:val="24"/>
        </w:rPr>
      </w:pPr>
    </w:p>
    <w:p w14:paraId="04969D7D" w14:textId="7D7C97F2" w:rsidR="00866FD9" w:rsidRPr="00DD2634" w:rsidRDefault="00866FD9" w:rsidP="00264A99">
      <w:pPr>
        <w:pStyle w:val="Caption"/>
        <w:rPr>
          <w:szCs w:val="16"/>
        </w:rPr>
      </w:pPr>
      <w:r w:rsidRPr="00DD2634">
        <w:rPr>
          <w:szCs w:val="16"/>
        </w:rPr>
        <w:t xml:space="preserve">Figure </w:t>
      </w:r>
      <w:proofErr w:type="spellStart"/>
      <w:r w:rsidRPr="00DD2634">
        <w:rPr>
          <w:szCs w:val="16"/>
        </w:rPr>
        <w:t>A1.1</w:t>
      </w:r>
      <w:proofErr w:type="spellEnd"/>
      <w:r w:rsidRPr="00DD2634">
        <w:rPr>
          <w:szCs w:val="16"/>
        </w:rPr>
        <w:t xml:space="preserve">. </w:t>
      </w:r>
      <w:proofErr w:type="spellStart"/>
      <w:r w:rsidRPr="00DD2634">
        <w:rPr>
          <w:szCs w:val="16"/>
        </w:rPr>
        <w:t>CSP</w:t>
      </w:r>
      <w:proofErr w:type="spellEnd"/>
      <w:r w:rsidRPr="00DD2634">
        <w:rPr>
          <w:szCs w:val="16"/>
        </w:rPr>
        <w:t xml:space="preserve"> </w:t>
      </w:r>
      <w:r w:rsidR="00CA587E" w:rsidRPr="00DD2634">
        <w:rPr>
          <w:szCs w:val="16"/>
        </w:rPr>
        <w:t>Expenditure b</w:t>
      </w:r>
      <w:r w:rsidR="009D4628" w:rsidRPr="00DD2634">
        <w:rPr>
          <w:szCs w:val="16"/>
        </w:rPr>
        <w:t>y state, 2012-13</w:t>
      </w:r>
    </w:p>
    <w:p w14:paraId="04969D7E" w14:textId="77777777" w:rsidR="006225EE" w:rsidRPr="00DD2634" w:rsidRDefault="006225EE" w:rsidP="00381744">
      <w:pPr>
        <w:pStyle w:val="NormalNumbered"/>
        <w:numPr>
          <w:ilvl w:val="0"/>
          <w:numId w:val="0"/>
        </w:numPr>
        <w:rPr>
          <w:sz w:val="22"/>
        </w:rPr>
      </w:pPr>
      <w:r w:rsidRPr="00DD2634">
        <w:rPr>
          <w:noProof/>
          <w:lang w:eastAsia="en-AU"/>
        </w:rPr>
        <w:drawing>
          <wp:inline distT="0" distB="0" distL="0" distR="0" wp14:anchorId="04969EE5" wp14:editId="30675721">
            <wp:extent cx="5133975" cy="2695575"/>
            <wp:effectExtent l="0" t="0" r="0" b="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04969D7F" w14:textId="77777777" w:rsidR="00BC5B88" w:rsidRPr="00DD2634" w:rsidRDefault="00BC5B88" w:rsidP="00866FD9">
      <w:pPr>
        <w:spacing w:after="120" w:line="240" w:lineRule="auto"/>
        <w:rPr>
          <w:sz w:val="20"/>
          <w:szCs w:val="20"/>
        </w:rPr>
      </w:pPr>
      <w:r w:rsidRPr="00DD2634">
        <w:rPr>
          <w:sz w:val="20"/>
          <w:szCs w:val="20"/>
        </w:rPr>
        <w:t>Source: Department of Education, unpublished data.</w:t>
      </w:r>
    </w:p>
    <w:p w14:paraId="04969D83" w14:textId="75E9C440" w:rsidR="00866FD9" w:rsidRPr="00DD2634" w:rsidRDefault="00866FD9" w:rsidP="00264A99">
      <w:pPr>
        <w:pStyle w:val="Caption"/>
        <w:rPr>
          <w:szCs w:val="16"/>
        </w:rPr>
      </w:pPr>
      <w:r w:rsidRPr="00DD2634">
        <w:rPr>
          <w:szCs w:val="16"/>
        </w:rPr>
        <w:lastRenderedPageBreak/>
        <w:t xml:space="preserve">Figure </w:t>
      </w:r>
      <w:proofErr w:type="spellStart"/>
      <w:r w:rsidRPr="00DD2634">
        <w:rPr>
          <w:szCs w:val="16"/>
        </w:rPr>
        <w:t>A1.2</w:t>
      </w:r>
      <w:proofErr w:type="spellEnd"/>
      <w:r w:rsidRPr="00DD2634">
        <w:rPr>
          <w:szCs w:val="16"/>
        </w:rPr>
        <w:t xml:space="preserve">. </w:t>
      </w:r>
      <w:proofErr w:type="spellStart"/>
      <w:r w:rsidRPr="00DD2634">
        <w:rPr>
          <w:szCs w:val="16"/>
        </w:rPr>
        <w:t>CSP</w:t>
      </w:r>
      <w:proofErr w:type="spellEnd"/>
      <w:r w:rsidRPr="00DD2634">
        <w:rPr>
          <w:szCs w:val="16"/>
        </w:rPr>
        <w:t xml:space="preserve"> </w:t>
      </w:r>
      <w:r w:rsidR="00CA587E" w:rsidRPr="00DD2634">
        <w:rPr>
          <w:szCs w:val="16"/>
        </w:rPr>
        <w:t xml:space="preserve">Expenditure </w:t>
      </w:r>
      <w:r w:rsidRPr="00DD2634">
        <w:rPr>
          <w:szCs w:val="16"/>
        </w:rPr>
        <w:t xml:space="preserve">by </w:t>
      </w:r>
      <w:r w:rsidR="00CA587E" w:rsidRPr="00DD2634">
        <w:rPr>
          <w:szCs w:val="16"/>
        </w:rPr>
        <w:t>remoteness classification</w:t>
      </w:r>
      <w:r w:rsidR="009D4628" w:rsidRPr="00DD2634">
        <w:rPr>
          <w:szCs w:val="16"/>
        </w:rPr>
        <w:t>, 2012-13</w:t>
      </w:r>
    </w:p>
    <w:p w14:paraId="04969D84" w14:textId="77777777" w:rsidR="006225EE" w:rsidRPr="00DD2634" w:rsidRDefault="006225EE" w:rsidP="00381744">
      <w:pPr>
        <w:pStyle w:val="NormalNumbered"/>
        <w:numPr>
          <w:ilvl w:val="0"/>
          <w:numId w:val="0"/>
        </w:numPr>
        <w:rPr>
          <w:sz w:val="22"/>
        </w:rPr>
      </w:pPr>
      <w:r w:rsidRPr="00DD2634">
        <w:rPr>
          <w:noProof/>
          <w:lang w:eastAsia="en-AU"/>
        </w:rPr>
        <w:drawing>
          <wp:inline distT="0" distB="0" distL="0" distR="0" wp14:anchorId="04969EE7" wp14:editId="3C18EC24">
            <wp:extent cx="5133975" cy="3181350"/>
            <wp:effectExtent l="0" t="0" r="0" b="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04969D85" w14:textId="77777777" w:rsidR="00BC5B88" w:rsidRPr="00DD2634" w:rsidRDefault="00BC5B88" w:rsidP="00BC5B88">
      <w:pPr>
        <w:spacing w:after="120" w:line="240" w:lineRule="auto"/>
        <w:rPr>
          <w:sz w:val="20"/>
          <w:szCs w:val="20"/>
        </w:rPr>
      </w:pPr>
      <w:r w:rsidRPr="00DD2634">
        <w:rPr>
          <w:sz w:val="20"/>
          <w:szCs w:val="20"/>
        </w:rPr>
        <w:t>Source: Department of Education, unpublished data.</w:t>
      </w:r>
    </w:p>
    <w:p w14:paraId="04969D86" w14:textId="77777777" w:rsidR="006225EE" w:rsidRPr="00DD2634" w:rsidRDefault="006225EE" w:rsidP="00097FF7">
      <w:pPr>
        <w:spacing w:before="240" w:after="120" w:line="240" w:lineRule="auto"/>
        <w:rPr>
          <w:sz w:val="24"/>
          <w:szCs w:val="24"/>
          <w:u w:val="single"/>
        </w:rPr>
      </w:pPr>
      <w:r w:rsidRPr="00DD2634">
        <w:rPr>
          <w:sz w:val="24"/>
          <w:szCs w:val="24"/>
          <w:u w:val="single"/>
        </w:rPr>
        <w:t>Budget Based Funding (BBF) Programme</w:t>
      </w:r>
    </w:p>
    <w:p w14:paraId="04969D87" w14:textId="0915E4D0" w:rsidR="008368B9" w:rsidRPr="00DD2634" w:rsidRDefault="008368B9" w:rsidP="008368B9">
      <w:pPr>
        <w:widowControl w:val="0"/>
        <w:spacing w:after="120" w:line="240" w:lineRule="auto"/>
        <w:rPr>
          <w:sz w:val="24"/>
          <w:szCs w:val="24"/>
        </w:rPr>
      </w:pPr>
      <w:r w:rsidRPr="00DD2634">
        <w:rPr>
          <w:sz w:val="24"/>
          <w:szCs w:val="24"/>
        </w:rPr>
        <w:t xml:space="preserve">The BBF programme shares the same objective as the </w:t>
      </w:r>
      <w:proofErr w:type="spellStart"/>
      <w:r w:rsidRPr="00DD2634">
        <w:rPr>
          <w:sz w:val="24"/>
          <w:szCs w:val="24"/>
        </w:rPr>
        <w:t>CSP</w:t>
      </w:r>
      <w:proofErr w:type="spellEnd"/>
      <w:r w:rsidRPr="00DD2634">
        <w:rPr>
          <w:sz w:val="24"/>
          <w:szCs w:val="24"/>
        </w:rPr>
        <w:t>, but with an emphasis upon supporting services predominantly located in rural, remote and Indigenous communities</w:t>
      </w:r>
      <w:r w:rsidR="006D129E" w:rsidRPr="00DD2634">
        <w:rPr>
          <w:sz w:val="24"/>
          <w:szCs w:val="24"/>
        </w:rPr>
        <w:t>. Generally, the focus is on areas w</w:t>
      </w:r>
      <w:r w:rsidRPr="00DD2634">
        <w:rPr>
          <w:sz w:val="24"/>
          <w:szCs w:val="24"/>
        </w:rPr>
        <w:t xml:space="preserve">here the market may not </w:t>
      </w:r>
      <w:r w:rsidR="006D129E" w:rsidRPr="00DD2634">
        <w:rPr>
          <w:sz w:val="24"/>
          <w:szCs w:val="24"/>
        </w:rPr>
        <w:t xml:space="preserve">adequately </w:t>
      </w:r>
      <w:r w:rsidRPr="00DD2634">
        <w:rPr>
          <w:sz w:val="24"/>
          <w:szCs w:val="24"/>
        </w:rPr>
        <w:t>support the viable operation of services</w:t>
      </w:r>
      <w:r w:rsidR="006D129E" w:rsidRPr="00DD2634">
        <w:rPr>
          <w:sz w:val="24"/>
          <w:szCs w:val="24"/>
        </w:rPr>
        <w:t>,</w:t>
      </w:r>
      <w:r w:rsidRPr="00DD2634">
        <w:rPr>
          <w:sz w:val="24"/>
          <w:szCs w:val="24"/>
        </w:rPr>
        <w:t xml:space="preserve"> or where there has historically been an additional need for culturally competent services for Aboriginal and Torres Strait Islander children and families.</w:t>
      </w:r>
    </w:p>
    <w:p w14:paraId="04969D88" w14:textId="77777777" w:rsidR="006225EE" w:rsidRPr="00DD2634" w:rsidRDefault="006225EE" w:rsidP="006225EE">
      <w:pPr>
        <w:spacing w:before="240" w:after="120" w:line="240" w:lineRule="auto"/>
        <w:rPr>
          <w:sz w:val="24"/>
          <w:szCs w:val="24"/>
        </w:rPr>
      </w:pPr>
      <w:r w:rsidRPr="00DD2634">
        <w:rPr>
          <w:sz w:val="24"/>
          <w:szCs w:val="24"/>
        </w:rPr>
        <w:t>Programme Operation</w:t>
      </w:r>
    </w:p>
    <w:p w14:paraId="04969D89" w14:textId="77777777" w:rsidR="008368B9" w:rsidRPr="00DD2634" w:rsidRDefault="008368B9" w:rsidP="008368B9">
      <w:pPr>
        <w:widowControl w:val="0"/>
        <w:spacing w:after="120" w:line="240" w:lineRule="auto"/>
        <w:rPr>
          <w:sz w:val="24"/>
          <w:szCs w:val="24"/>
        </w:rPr>
      </w:pPr>
      <w:r w:rsidRPr="00DD2634">
        <w:rPr>
          <w:sz w:val="24"/>
          <w:szCs w:val="24"/>
        </w:rPr>
        <w:t xml:space="preserve">Services funded under the BBF Programme are known as Budget Based Funded services or ‘Non Mainstream’ services and are not generally approved to administer </w:t>
      </w:r>
      <w:proofErr w:type="spellStart"/>
      <w:r w:rsidR="007406CC" w:rsidRPr="00DD2634">
        <w:rPr>
          <w:sz w:val="24"/>
          <w:szCs w:val="24"/>
        </w:rPr>
        <w:t>CCB</w:t>
      </w:r>
      <w:proofErr w:type="spellEnd"/>
      <w:r w:rsidRPr="00DD2634">
        <w:rPr>
          <w:sz w:val="24"/>
          <w:szCs w:val="24"/>
        </w:rPr>
        <w:t xml:space="preserve"> on behalf of families. </w:t>
      </w:r>
    </w:p>
    <w:p w14:paraId="04969D8A" w14:textId="77777777" w:rsidR="008368B9" w:rsidRPr="00DD2634" w:rsidRDefault="008368B9" w:rsidP="008368B9">
      <w:pPr>
        <w:widowControl w:val="0"/>
        <w:spacing w:after="120" w:line="240" w:lineRule="auto"/>
        <w:rPr>
          <w:sz w:val="24"/>
          <w:szCs w:val="24"/>
        </w:rPr>
      </w:pPr>
      <w:r w:rsidRPr="00DD2634">
        <w:rPr>
          <w:sz w:val="24"/>
          <w:szCs w:val="24"/>
        </w:rPr>
        <w:t xml:space="preserve">BBF provides a contribution to the operational costs of approximately 340 early education, child care and school age care services in approved locations. A range of service types are funded including before and after school care, Indigenous playgroups, crèches, mobile services and Multifunctional Aboriginal Children’s Services (MACS). </w:t>
      </w:r>
    </w:p>
    <w:p w14:paraId="04969D8B" w14:textId="0041356A" w:rsidR="008368B9" w:rsidRPr="00DD2634" w:rsidRDefault="008368B9" w:rsidP="008368B9">
      <w:pPr>
        <w:widowControl w:val="0"/>
        <w:spacing w:after="120" w:line="240" w:lineRule="auto"/>
        <w:rPr>
          <w:sz w:val="24"/>
          <w:szCs w:val="24"/>
        </w:rPr>
      </w:pPr>
      <w:r w:rsidRPr="00DD2634">
        <w:rPr>
          <w:sz w:val="24"/>
          <w:szCs w:val="24"/>
        </w:rPr>
        <w:t>The annual allocation for the BBF Programme is capped and the programme is closed to applications for the establishment of additional services in new locations.</w:t>
      </w:r>
      <w:r w:rsidR="008B2450" w:rsidRPr="00DD2634">
        <w:rPr>
          <w:sz w:val="24"/>
          <w:szCs w:val="24"/>
        </w:rPr>
        <w:t xml:space="preserve"> </w:t>
      </w:r>
      <w:r w:rsidRPr="00DD2634">
        <w:rPr>
          <w:sz w:val="24"/>
          <w:szCs w:val="24"/>
        </w:rPr>
        <w:t xml:space="preserve">BBF funding is delivered through a funding agreement (grant) of one year. </w:t>
      </w:r>
    </w:p>
    <w:p w14:paraId="04969D8C" w14:textId="25CE5427" w:rsidR="006225EE" w:rsidRPr="00DD2634" w:rsidRDefault="006225EE" w:rsidP="006225EE">
      <w:pPr>
        <w:spacing w:after="120" w:line="240" w:lineRule="auto"/>
        <w:rPr>
          <w:sz w:val="24"/>
          <w:szCs w:val="24"/>
        </w:rPr>
      </w:pPr>
      <w:r w:rsidRPr="00DD2634">
        <w:rPr>
          <w:sz w:val="24"/>
          <w:szCs w:val="24"/>
        </w:rPr>
        <w:t xml:space="preserve">For the 2012-13 financial year, the Government </w:t>
      </w:r>
      <w:r w:rsidR="00CA587E" w:rsidRPr="00DD2634">
        <w:rPr>
          <w:sz w:val="24"/>
          <w:szCs w:val="24"/>
        </w:rPr>
        <w:t xml:space="preserve">spent </w:t>
      </w:r>
      <w:r w:rsidRPr="00DD2634">
        <w:rPr>
          <w:sz w:val="24"/>
          <w:szCs w:val="24"/>
        </w:rPr>
        <w:t>around $</w:t>
      </w:r>
      <w:r w:rsidR="0034200A" w:rsidRPr="00DD2634">
        <w:rPr>
          <w:sz w:val="24"/>
          <w:szCs w:val="24"/>
        </w:rPr>
        <w:t>78.8</w:t>
      </w:r>
      <w:r w:rsidRPr="00DD2634">
        <w:rPr>
          <w:sz w:val="24"/>
          <w:szCs w:val="24"/>
        </w:rPr>
        <w:t xml:space="preserve"> million to support the BBF Programme. Noting that some organisations deliver BBF services in a number of states but operate from a single jurisdiction, an indicative brea</w:t>
      </w:r>
      <w:r w:rsidR="00866FD9" w:rsidRPr="00DD2634">
        <w:rPr>
          <w:sz w:val="24"/>
          <w:szCs w:val="24"/>
        </w:rPr>
        <w:t>kdown by state and t</w:t>
      </w:r>
      <w:r w:rsidR="00071A74">
        <w:rPr>
          <w:sz w:val="24"/>
          <w:szCs w:val="24"/>
        </w:rPr>
        <w:t xml:space="preserve">erritory is shown in Figure </w:t>
      </w:r>
      <w:proofErr w:type="spellStart"/>
      <w:r w:rsidR="00071A74">
        <w:rPr>
          <w:sz w:val="24"/>
          <w:szCs w:val="24"/>
        </w:rPr>
        <w:t>A1.3</w:t>
      </w:r>
      <w:proofErr w:type="spellEnd"/>
      <w:r w:rsidR="00071A74">
        <w:rPr>
          <w:sz w:val="24"/>
          <w:szCs w:val="24"/>
        </w:rPr>
        <w:t xml:space="preserve">, and by ARIA in Figure </w:t>
      </w:r>
      <w:proofErr w:type="spellStart"/>
      <w:r w:rsidR="00071A74">
        <w:rPr>
          <w:sz w:val="24"/>
          <w:szCs w:val="24"/>
        </w:rPr>
        <w:t>A1.4</w:t>
      </w:r>
      <w:proofErr w:type="spellEnd"/>
      <w:r w:rsidR="00866FD9" w:rsidRPr="00DD2634">
        <w:rPr>
          <w:sz w:val="24"/>
          <w:szCs w:val="24"/>
        </w:rPr>
        <w:t>.</w:t>
      </w:r>
    </w:p>
    <w:p w14:paraId="04969D8D" w14:textId="77777777" w:rsidR="00AB076C" w:rsidRPr="00DD2634" w:rsidRDefault="00AB076C" w:rsidP="006225EE">
      <w:pPr>
        <w:spacing w:after="120" w:line="240" w:lineRule="auto"/>
        <w:rPr>
          <w:sz w:val="24"/>
          <w:szCs w:val="24"/>
        </w:rPr>
      </w:pPr>
    </w:p>
    <w:p w14:paraId="04969D91" w14:textId="73496C28" w:rsidR="00866FD9" w:rsidRPr="00DD2634" w:rsidRDefault="00071A74" w:rsidP="00264A99">
      <w:pPr>
        <w:pStyle w:val="Caption"/>
        <w:rPr>
          <w:szCs w:val="16"/>
        </w:rPr>
      </w:pPr>
      <w:r>
        <w:rPr>
          <w:szCs w:val="16"/>
        </w:rPr>
        <w:t xml:space="preserve">Figure </w:t>
      </w:r>
      <w:proofErr w:type="spellStart"/>
      <w:r>
        <w:rPr>
          <w:szCs w:val="16"/>
        </w:rPr>
        <w:t>A1.3</w:t>
      </w:r>
      <w:proofErr w:type="spellEnd"/>
      <w:r w:rsidR="00866FD9" w:rsidRPr="00DD2634">
        <w:rPr>
          <w:szCs w:val="16"/>
        </w:rPr>
        <w:t xml:space="preserve">. BBF </w:t>
      </w:r>
      <w:r w:rsidR="00CA587E" w:rsidRPr="00DD2634">
        <w:rPr>
          <w:szCs w:val="16"/>
        </w:rPr>
        <w:t>Expenditure b</w:t>
      </w:r>
      <w:r w:rsidR="00866FD9" w:rsidRPr="00DD2634">
        <w:rPr>
          <w:szCs w:val="16"/>
        </w:rPr>
        <w:t>y state, 2012-13</w:t>
      </w:r>
      <w:r w:rsidR="00CA04A5" w:rsidRPr="00DD2634">
        <w:rPr>
          <w:szCs w:val="16"/>
        </w:rPr>
        <w:t>^</w:t>
      </w:r>
    </w:p>
    <w:p w14:paraId="04969D92" w14:textId="77777777" w:rsidR="006225EE" w:rsidRPr="00DD2634" w:rsidRDefault="006225EE" w:rsidP="009D4628">
      <w:pPr>
        <w:spacing w:after="0"/>
        <w:rPr>
          <w:b/>
        </w:rPr>
      </w:pPr>
      <w:r w:rsidRPr="00DD2634">
        <w:rPr>
          <w:noProof/>
          <w:lang w:eastAsia="en-AU"/>
        </w:rPr>
        <w:drawing>
          <wp:inline distT="0" distB="0" distL="0" distR="0" wp14:anchorId="04969EE9" wp14:editId="30211AB5">
            <wp:extent cx="5128592" cy="2313830"/>
            <wp:effectExtent l="0" t="0" r="0" b="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04969D93" w14:textId="77777777" w:rsidR="00BC5B88" w:rsidRPr="00DD2634" w:rsidRDefault="00BC5B88" w:rsidP="009D4628">
      <w:pPr>
        <w:pStyle w:val="Source"/>
      </w:pPr>
      <w:r w:rsidRPr="00DD2634">
        <w:t>Source: Department of Education, unpublished data.</w:t>
      </w:r>
      <w:r w:rsidR="00CA04A5" w:rsidRPr="00DD2634">
        <w:t xml:space="preserve"> </w:t>
      </w:r>
    </w:p>
    <w:p w14:paraId="06021D08" w14:textId="77777777" w:rsidR="009D4628" w:rsidRPr="00DD2634" w:rsidRDefault="009D4628" w:rsidP="009D4628">
      <w:pPr>
        <w:pStyle w:val="Source"/>
      </w:pPr>
    </w:p>
    <w:p w14:paraId="04969D94" w14:textId="1985FF45" w:rsidR="00866FD9" w:rsidRPr="00DD2634" w:rsidRDefault="00071A74" w:rsidP="00264A99">
      <w:pPr>
        <w:pStyle w:val="Caption"/>
        <w:rPr>
          <w:szCs w:val="16"/>
        </w:rPr>
      </w:pPr>
      <w:r>
        <w:rPr>
          <w:szCs w:val="16"/>
        </w:rPr>
        <w:t xml:space="preserve">Figure </w:t>
      </w:r>
      <w:proofErr w:type="spellStart"/>
      <w:r>
        <w:rPr>
          <w:szCs w:val="16"/>
        </w:rPr>
        <w:t>A1.4</w:t>
      </w:r>
      <w:proofErr w:type="spellEnd"/>
      <w:r w:rsidR="00CA587E" w:rsidRPr="00DD2634">
        <w:rPr>
          <w:szCs w:val="16"/>
        </w:rPr>
        <w:t>. BBF Expenditure by remoteness classification</w:t>
      </w:r>
      <w:r w:rsidR="00866FD9" w:rsidRPr="00DD2634">
        <w:rPr>
          <w:szCs w:val="16"/>
        </w:rPr>
        <w:t>, 2012-13</w:t>
      </w:r>
      <w:r w:rsidR="00CA04A5" w:rsidRPr="00DD2634">
        <w:rPr>
          <w:szCs w:val="16"/>
        </w:rPr>
        <w:t>^</w:t>
      </w:r>
    </w:p>
    <w:p w14:paraId="04969D95" w14:textId="77777777" w:rsidR="006225EE" w:rsidRPr="00DD2634" w:rsidRDefault="006225EE" w:rsidP="009D4628">
      <w:pPr>
        <w:spacing w:after="0"/>
        <w:rPr>
          <w:b/>
        </w:rPr>
      </w:pPr>
      <w:r w:rsidRPr="00DD2634">
        <w:rPr>
          <w:noProof/>
          <w:lang w:eastAsia="en-AU"/>
        </w:rPr>
        <w:drawing>
          <wp:inline distT="0" distB="0" distL="0" distR="0" wp14:anchorId="04969EEB" wp14:editId="04591FBA">
            <wp:extent cx="5178669" cy="2198077"/>
            <wp:effectExtent l="0" t="0" r="3175" b="0"/>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04969D96" w14:textId="7860D5B2" w:rsidR="00BC5B88" w:rsidRPr="00DD2634" w:rsidRDefault="00BC5B88" w:rsidP="009D4628">
      <w:pPr>
        <w:pStyle w:val="Source"/>
      </w:pPr>
      <w:r w:rsidRPr="00DD2634">
        <w:t>Source: Department of Education, unpublished data.</w:t>
      </w:r>
      <w:r w:rsidR="00CA04A5" w:rsidRPr="00DD2634">
        <w:t xml:space="preserve"> ^Note that these charts do </w:t>
      </w:r>
      <w:r w:rsidR="00CA587E" w:rsidRPr="00DD2634">
        <w:t xml:space="preserve">not include </w:t>
      </w:r>
      <w:r w:rsidR="00CA04A5" w:rsidRPr="00DD2634">
        <w:t xml:space="preserve">expenditure for the BBF Improved Standards initiative </w:t>
      </w:r>
      <w:r w:rsidR="00CA587E" w:rsidRPr="00DD2634">
        <w:t xml:space="preserve">(BBF Quality Measure) </w:t>
      </w:r>
      <w:r w:rsidR="00CA04A5" w:rsidRPr="00DD2634">
        <w:t>and the Indigenous Traineeship programme.</w:t>
      </w:r>
    </w:p>
    <w:p w14:paraId="04969D97" w14:textId="77777777" w:rsidR="006225EE" w:rsidRPr="00DD2634" w:rsidRDefault="00AB076C" w:rsidP="006225EE">
      <w:pPr>
        <w:spacing w:before="240" w:after="120" w:line="240" w:lineRule="auto"/>
        <w:rPr>
          <w:sz w:val="24"/>
          <w:szCs w:val="24"/>
          <w:u w:val="single"/>
        </w:rPr>
      </w:pPr>
      <w:r w:rsidRPr="00DD2634">
        <w:rPr>
          <w:sz w:val="24"/>
          <w:szCs w:val="24"/>
          <w:u w:val="single"/>
        </w:rPr>
        <w:t>BBF Quality Measure</w:t>
      </w:r>
    </w:p>
    <w:p w14:paraId="04969D98" w14:textId="02A1BBEA" w:rsidR="008368B9" w:rsidRPr="00DD2634" w:rsidRDefault="008368B9" w:rsidP="008368B9">
      <w:pPr>
        <w:spacing w:after="120" w:line="240" w:lineRule="auto"/>
        <w:rPr>
          <w:sz w:val="24"/>
          <w:szCs w:val="24"/>
        </w:rPr>
      </w:pPr>
      <w:r w:rsidRPr="00DD2634">
        <w:rPr>
          <w:sz w:val="24"/>
          <w:szCs w:val="24"/>
        </w:rPr>
        <w:t xml:space="preserve">In recognition of the differences in quality that have historically existed between </w:t>
      </w:r>
      <w:r w:rsidR="00CA587E" w:rsidRPr="00DD2634">
        <w:rPr>
          <w:sz w:val="24"/>
          <w:szCs w:val="24"/>
        </w:rPr>
        <w:t xml:space="preserve">BBF </w:t>
      </w:r>
      <w:r w:rsidRPr="00DD2634">
        <w:rPr>
          <w:sz w:val="24"/>
          <w:szCs w:val="24"/>
        </w:rPr>
        <w:t xml:space="preserve">services and those approved to administer </w:t>
      </w:r>
      <w:proofErr w:type="spellStart"/>
      <w:r w:rsidR="007406CC" w:rsidRPr="00DD2634">
        <w:rPr>
          <w:sz w:val="24"/>
          <w:szCs w:val="24"/>
        </w:rPr>
        <w:t>CCB</w:t>
      </w:r>
      <w:proofErr w:type="spellEnd"/>
      <w:r w:rsidRPr="00DD2634">
        <w:rPr>
          <w:sz w:val="24"/>
          <w:szCs w:val="24"/>
        </w:rPr>
        <w:t xml:space="preserve">, since 2010-11 there has been additional support provided through the BBF Quality Measure for centre-based BBF services to move towards the National Quality Standard. </w:t>
      </w:r>
    </w:p>
    <w:p w14:paraId="04969D99" w14:textId="5B659BBD" w:rsidR="008368B9" w:rsidRPr="00DD2634" w:rsidRDefault="008368B9" w:rsidP="008368B9">
      <w:pPr>
        <w:spacing w:after="120" w:line="240" w:lineRule="auto"/>
        <w:rPr>
          <w:sz w:val="24"/>
          <w:szCs w:val="24"/>
        </w:rPr>
      </w:pPr>
      <w:r w:rsidRPr="00DD2634">
        <w:rPr>
          <w:sz w:val="24"/>
          <w:szCs w:val="24"/>
        </w:rPr>
        <w:t xml:space="preserve">The Quality Measure is supporting </w:t>
      </w:r>
      <w:r w:rsidR="00CA587E" w:rsidRPr="00DD2634">
        <w:rPr>
          <w:sz w:val="24"/>
          <w:szCs w:val="24"/>
        </w:rPr>
        <w:t xml:space="preserve">BBF </w:t>
      </w:r>
      <w:r w:rsidRPr="00DD2634">
        <w:rPr>
          <w:sz w:val="24"/>
          <w:szCs w:val="24"/>
        </w:rPr>
        <w:t>services to improve against three key areas of the National Quality Standard:</w:t>
      </w:r>
    </w:p>
    <w:p w14:paraId="04969D9A" w14:textId="054FD005" w:rsidR="008368B9" w:rsidRPr="00DD2634" w:rsidRDefault="008368B9" w:rsidP="006E1311">
      <w:pPr>
        <w:pStyle w:val="ListParagraph"/>
        <w:numPr>
          <w:ilvl w:val="0"/>
          <w:numId w:val="17"/>
        </w:numPr>
        <w:spacing w:after="120" w:line="240" w:lineRule="auto"/>
        <w:ind w:left="284" w:hanging="284"/>
        <w:rPr>
          <w:sz w:val="24"/>
          <w:szCs w:val="24"/>
        </w:rPr>
      </w:pPr>
      <w:r w:rsidRPr="00DD2634">
        <w:rPr>
          <w:sz w:val="24"/>
          <w:szCs w:val="24"/>
        </w:rPr>
        <w:t>improving</w:t>
      </w:r>
      <w:r w:rsidR="009D4628" w:rsidRPr="00DD2634">
        <w:rPr>
          <w:sz w:val="24"/>
          <w:szCs w:val="24"/>
        </w:rPr>
        <w:t xml:space="preserve"> the quality of their facilities</w:t>
      </w:r>
    </w:p>
    <w:p w14:paraId="04969D9B" w14:textId="61EC08D6" w:rsidR="008368B9" w:rsidRPr="00DD2634" w:rsidRDefault="008368B9" w:rsidP="006E1311">
      <w:pPr>
        <w:pStyle w:val="ListParagraph"/>
        <w:numPr>
          <w:ilvl w:val="0"/>
          <w:numId w:val="17"/>
        </w:numPr>
        <w:spacing w:after="120" w:line="240" w:lineRule="auto"/>
        <w:ind w:left="284" w:hanging="284"/>
        <w:rPr>
          <w:sz w:val="24"/>
          <w:szCs w:val="24"/>
        </w:rPr>
      </w:pPr>
      <w:r w:rsidRPr="00DD2634">
        <w:rPr>
          <w:sz w:val="24"/>
          <w:szCs w:val="24"/>
        </w:rPr>
        <w:t>improving the qualifications of staff</w:t>
      </w:r>
    </w:p>
    <w:p w14:paraId="04969D9C" w14:textId="77777777" w:rsidR="008368B9" w:rsidRPr="00DD2634" w:rsidRDefault="008368B9" w:rsidP="006E1311">
      <w:pPr>
        <w:pStyle w:val="ListParagraph"/>
        <w:numPr>
          <w:ilvl w:val="0"/>
          <w:numId w:val="17"/>
        </w:numPr>
        <w:spacing w:after="120" w:line="240" w:lineRule="auto"/>
        <w:ind w:left="284" w:hanging="284"/>
        <w:rPr>
          <w:sz w:val="24"/>
          <w:szCs w:val="24"/>
        </w:rPr>
      </w:pPr>
      <w:r w:rsidRPr="00DD2634">
        <w:rPr>
          <w:sz w:val="24"/>
          <w:szCs w:val="24"/>
        </w:rPr>
        <w:t xml:space="preserve">strengthening governance and administrative capacity. </w:t>
      </w:r>
    </w:p>
    <w:p w14:paraId="04969D9D" w14:textId="3BDDBC6A" w:rsidR="00AB076C" w:rsidRPr="00DD2634" w:rsidRDefault="00AB076C" w:rsidP="00AB076C">
      <w:pPr>
        <w:spacing w:after="120" w:line="240" w:lineRule="auto"/>
        <w:rPr>
          <w:sz w:val="24"/>
          <w:szCs w:val="24"/>
        </w:rPr>
      </w:pPr>
      <w:r w:rsidRPr="00DD2634">
        <w:rPr>
          <w:sz w:val="24"/>
          <w:szCs w:val="24"/>
        </w:rPr>
        <w:t xml:space="preserve">From 2010-11 to 2012-13 the Government spent </w:t>
      </w:r>
      <w:r w:rsidR="00A20D5E" w:rsidRPr="00DD2634">
        <w:rPr>
          <w:sz w:val="24"/>
          <w:szCs w:val="24"/>
        </w:rPr>
        <w:t>around $36</w:t>
      </w:r>
      <w:r w:rsidR="003C1085" w:rsidRPr="00DD2634">
        <w:rPr>
          <w:sz w:val="24"/>
          <w:szCs w:val="24"/>
        </w:rPr>
        <w:t xml:space="preserve"> million</w:t>
      </w:r>
      <w:r w:rsidRPr="00DD2634">
        <w:rPr>
          <w:sz w:val="24"/>
          <w:szCs w:val="24"/>
        </w:rPr>
        <w:t xml:space="preserve"> on this measure.</w:t>
      </w:r>
    </w:p>
    <w:p w14:paraId="04969D9E" w14:textId="21B26A65" w:rsidR="006225EE" w:rsidRPr="00DD2634" w:rsidRDefault="006225EE" w:rsidP="00CC7424">
      <w:pPr>
        <w:pStyle w:val="Heading3"/>
        <w:rPr>
          <w:rFonts w:asciiTheme="minorHAnsi" w:hAnsiTheme="minorHAnsi" w:cstheme="minorHAnsi"/>
          <w:b w:val="0"/>
          <w:i w:val="0"/>
          <w:u w:val="single"/>
        </w:rPr>
      </w:pPr>
      <w:bookmarkStart w:id="88" w:name="_Toc377217353"/>
      <w:r w:rsidRPr="00DD2634">
        <w:rPr>
          <w:rFonts w:asciiTheme="minorHAnsi" w:hAnsiTheme="minorHAnsi" w:cstheme="minorHAnsi"/>
          <w:b w:val="0"/>
          <w:i w:val="0"/>
          <w:u w:val="single"/>
        </w:rPr>
        <w:lastRenderedPageBreak/>
        <w:t>Inclusion an</w:t>
      </w:r>
      <w:r w:rsidR="00D05A2C">
        <w:rPr>
          <w:rFonts w:asciiTheme="minorHAnsi" w:hAnsiTheme="minorHAnsi" w:cstheme="minorHAnsi"/>
          <w:b w:val="0"/>
          <w:i w:val="0"/>
          <w:u w:val="single"/>
        </w:rPr>
        <w:t>d Professional Support Program</w:t>
      </w:r>
      <w:r w:rsidRPr="00DD2634">
        <w:rPr>
          <w:rFonts w:asciiTheme="minorHAnsi" w:hAnsiTheme="minorHAnsi" w:cstheme="minorHAnsi"/>
          <w:b w:val="0"/>
          <w:i w:val="0"/>
          <w:u w:val="single"/>
        </w:rPr>
        <w:t xml:space="preserve"> (</w:t>
      </w:r>
      <w:proofErr w:type="spellStart"/>
      <w:r w:rsidRPr="00DD2634">
        <w:rPr>
          <w:rFonts w:asciiTheme="minorHAnsi" w:hAnsiTheme="minorHAnsi" w:cstheme="minorHAnsi"/>
          <w:b w:val="0"/>
          <w:i w:val="0"/>
          <w:u w:val="single"/>
        </w:rPr>
        <w:t>IPSP</w:t>
      </w:r>
      <w:proofErr w:type="spellEnd"/>
      <w:r w:rsidRPr="00DD2634">
        <w:rPr>
          <w:rFonts w:asciiTheme="minorHAnsi" w:hAnsiTheme="minorHAnsi" w:cstheme="minorHAnsi"/>
          <w:b w:val="0"/>
          <w:i w:val="0"/>
          <w:u w:val="single"/>
        </w:rPr>
        <w:t>)</w:t>
      </w:r>
      <w:bookmarkEnd w:id="88"/>
    </w:p>
    <w:p w14:paraId="04969D9F" w14:textId="77777777" w:rsidR="006225EE" w:rsidRPr="00DD2634" w:rsidRDefault="006225EE" w:rsidP="006225EE">
      <w:pPr>
        <w:spacing w:after="120" w:line="240" w:lineRule="auto"/>
        <w:rPr>
          <w:sz w:val="24"/>
          <w:szCs w:val="24"/>
        </w:rPr>
      </w:pPr>
      <w:r w:rsidRPr="00DD2634">
        <w:rPr>
          <w:sz w:val="24"/>
          <w:szCs w:val="24"/>
        </w:rPr>
        <w:t xml:space="preserve">The </w:t>
      </w:r>
      <w:r w:rsidR="00927B2E" w:rsidRPr="00DD2634">
        <w:rPr>
          <w:sz w:val="24"/>
          <w:szCs w:val="24"/>
        </w:rPr>
        <w:t>o</w:t>
      </w:r>
      <w:r w:rsidRPr="00DD2634">
        <w:rPr>
          <w:sz w:val="24"/>
          <w:szCs w:val="24"/>
        </w:rPr>
        <w:t>bjective of the Inclusion and Professional Support Program (</w:t>
      </w:r>
      <w:proofErr w:type="spellStart"/>
      <w:r w:rsidRPr="00DD2634">
        <w:rPr>
          <w:sz w:val="24"/>
          <w:szCs w:val="24"/>
        </w:rPr>
        <w:t>IPSP</w:t>
      </w:r>
      <w:proofErr w:type="spellEnd"/>
      <w:r w:rsidRPr="00DD2634">
        <w:rPr>
          <w:sz w:val="24"/>
          <w:szCs w:val="24"/>
        </w:rPr>
        <w:t xml:space="preserve">) is to </w:t>
      </w:r>
      <w:r w:rsidRPr="00DD2634">
        <w:rPr>
          <w:i/>
          <w:sz w:val="24"/>
          <w:szCs w:val="24"/>
        </w:rPr>
        <w:t>“promote and maintain high quality, inclusive education and care, for all children, including those with ongoing high support needs, in eligible early childhood education and care settings. This is achieved by increasing the knowledge and skills of educators, and the capacity of education and care services, through providing professional development, advice and access to additional resources as well as inclusion support”.</w:t>
      </w:r>
    </w:p>
    <w:p w14:paraId="04969DA0" w14:textId="77777777" w:rsidR="006225EE" w:rsidRPr="00DD2634" w:rsidRDefault="006225EE" w:rsidP="00381744">
      <w:pPr>
        <w:pStyle w:val="NormalNumbered"/>
        <w:numPr>
          <w:ilvl w:val="0"/>
          <w:numId w:val="0"/>
        </w:numPr>
      </w:pPr>
      <w:r w:rsidRPr="00DD2634">
        <w:t>Programme Operation</w:t>
      </w:r>
    </w:p>
    <w:p w14:paraId="04969DA1" w14:textId="77BF97F2" w:rsidR="006225EE" w:rsidRPr="00DD2634" w:rsidRDefault="006225EE" w:rsidP="006225EE">
      <w:pPr>
        <w:spacing w:after="120" w:line="240" w:lineRule="auto"/>
        <w:rPr>
          <w:sz w:val="24"/>
          <w:szCs w:val="24"/>
        </w:rPr>
      </w:pPr>
      <w:r w:rsidRPr="00DD2634">
        <w:rPr>
          <w:sz w:val="24"/>
          <w:szCs w:val="24"/>
        </w:rPr>
        <w:t xml:space="preserve">As with the </w:t>
      </w:r>
      <w:proofErr w:type="spellStart"/>
      <w:r w:rsidRPr="00DD2634">
        <w:rPr>
          <w:sz w:val="24"/>
          <w:szCs w:val="24"/>
        </w:rPr>
        <w:t>CSP</w:t>
      </w:r>
      <w:proofErr w:type="spellEnd"/>
      <w:r w:rsidRPr="00DD2634">
        <w:rPr>
          <w:sz w:val="24"/>
          <w:szCs w:val="24"/>
        </w:rPr>
        <w:t xml:space="preserve">, the </w:t>
      </w:r>
      <w:proofErr w:type="spellStart"/>
      <w:r w:rsidRPr="00DD2634">
        <w:rPr>
          <w:sz w:val="24"/>
          <w:szCs w:val="24"/>
        </w:rPr>
        <w:t>IPSP</w:t>
      </w:r>
      <w:proofErr w:type="spellEnd"/>
      <w:r w:rsidRPr="00DD2634">
        <w:rPr>
          <w:sz w:val="24"/>
          <w:szCs w:val="24"/>
        </w:rPr>
        <w:t xml:space="preserve"> </w:t>
      </w:r>
      <w:r w:rsidR="00CA587E" w:rsidRPr="00DD2634">
        <w:rPr>
          <w:sz w:val="24"/>
          <w:szCs w:val="24"/>
        </w:rPr>
        <w:t xml:space="preserve">contains a range of support </w:t>
      </w:r>
      <w:r w:rsidRPr="00DD2634">
        <w:rPr>
          <w:sz w:val="24"/>
          <w:szCs w:val="24"/>
        </w:rPr>
        <w:t xml:space="preserve">payments to increase the quality of the child care sector. This is achieved by funding </w:t>
      </w:r>
      <w:r w:rsidR="002D70D6" w:rsidRPr="00DD2634">
        <w:rPr>
          <w:sz w:val="24"/>
          <w:szCs w:val="24"/>
        </w:rPr>
        <w:t>organisations</w:t>
      </w:r>
      <w:r w:rsidRPr="00DD2634">
        <w:rPr>
          <w:sz w:val="24"/>
          <w:szCs w:val="24"/>
        </w:rPr>
        <w:t xml:space="preserve"> such as Inclusion Support Agencies (</w:t>
      </w:r>
      <w:proofErr w:type="spellStart"/>
      <w:r w:rsidRPr="00DD2634">
        <w:rPr>
          <w:sz w:val="24"/>
          <w:szCs w:val="24"/>
        </w:rPr>
        <w:t>ISAs</w:t>
      </w:r>
      <w:proofErr w:type="spellEnd"/>
      <w:r w:rsidRPr="00DD2634">
        <w:rPr>
          <w:sz w:val="24"/>
          <w:szCs w:val="24"/>
        </w:rPr>
        <w:t>), Professional Support Co-ordinators (</w:t>
      </w:r>
      <w:proofErr w:type="spellStart"/>
      <w:r w:rsidRPr="00DD2634">
        <w:rPr>
          <w:sz w:val="24"/>
          <w:szCs w:val="24"/>
        </w:rPr>
        <w:t>PSCs</w:t>
      </w:r>
      <w:proofErr w:type="spellEnd"/>
      <w:r w:rsidRPr="00DD2634">
        <w:rPr>
          <w:sz w:val="24"/>
          <w:szCs w:val="24"/>
        </w:rPr>
        <w:t>) and Indigenous P</w:t>
      </w:r>
      <w:r w:rsidR="00CA04A5" w:rsidRPr="00DD2634">
        <w:rPr>
          <w:sz w:val="24"/>
          <w:szCs w:val="24"/>
        </w:rPr>
        <w:t>rofessional Support Units (</w:t>
      </w:r>
      <w:proofErr w:type="spellStart"/>
      <w:r w:rsidR="00CA04A5" w:rsidRPr="00DD2634">
        <w:rPr>
          <w:sz w:val="24"/>
          <w:szCs w:val="24"/>
        </w:rPr>
        <w:t>IPSU</w:t>
      </w:r>
      <w:r w:rsidRPr="00DD2634">
        <w:rPr>
          <w:sz w:val="24"/>
          <w:szCs w:val="24"/>
        </w:rPr>
        <w:t>s</w:t>
      </w:r>
      <w:proofErr w:type="spellEnd"/>
      <w:r w:rsidRPr="00DD2634">
        <w:rPr>
          <w:sz w:val="24"/>
          <w:szCs w:val="24"/>
        </w:rPr>
        <w:t xml:space="preserve">) to support child care and early learning services. Support and funding is also directly available to services in the form of practical support, subsidies, and professional development. </w:t>
      </w:r>
    </w:p>
    <w:p w14:paraId="04969DA2" w14:textId="716894F2" w:rsidR="006225EE" w:rsidRPr="00DD2634" w:rsidRDefault="006225EE" w:rsidP="006225EE">
      <w:pPr>
        <w:spacing w:after="120" w:line="240" w:lineRule="auto"/>
        <w:rPr>
          <w:sz w:val="24"/>
          <w:szCs w:val="24"/>
        </w:rPr>
      </w:pPr>
      <w:r w:rsidRPr="00DD2634">
        <w:rPr>
          <w:sz w:val="24"/>
          <w:szCs w:val="24"/>
        </w:rPr>
        <w:t xml:space="preserve">Broadly speaking, the support, professional development and subsidies are available to eligible </w:t>
      </w:r>
      <w:proofErr w:type="spellStart"/>
      <w:r w:rsidRPr="00DD2634">
        <w:rPr>
          <w:sz w:val="24"/>
          <w:szCs w:val="24"/>
        </w:rPr>
        <w:t>CCB</w:t>
      </w:r>
      <w:proofErr w:type="spellEnd"/>
      <w:r w:rsidRPr="00DD2634">
        <w:rPr>
          <w:sz w:val="24"/>
          <w:szCs w:val="24"/>
        </w:rPr>
        <w:t xml:space="preserve"> approved services and those receiving funding under the BBF</w:t>
      </w:r>
      <w:r w:rsidR="00CA587E" w:rsidRPr="00DD2634">
        <w:rPr>
          <w:sz w:val="24"/>
          <w:szCs w:val="24"/>
        </w:rPr>
        <w:t xml:space="preserve"> P</w:t>
      </w:r>
      <w:r w:rsidRPr="00DD2634">
        <w:rPr>
          <w:sz w:val="24"/>
          <w:szCs w:val="24"/>
        </w:rPr>
        <w:t xml:space="preserve">rogramme. There are additional eligibility criteria to access the different types of support available under the </w:t>
      </w:r>
      <w:proofErr w:type="spellStart"/>
      <w:r w:rsidRPr="00DD2634">
        <w:rPr>
          <w:sz w:val="24"/>
          <w:szCs w:val="24"/>
        </w:rPr>
        <w:t>IPSP</w:t>
      </w:r>
      <w:proofErr w:type="spellEnd"/>
      <w:r w:rsidRPr="00DD2634">
        <w:rPr>
          <w:sz w:val="24"/>
          <w:szCs w:val="24"/>
        </w:rPr>
        <w:t xml:space="preserve">. Further information on these can be found in the comprehensive </w:t>
      </w:r>
      <w:proofErr w:type="spellStart"/>
      <w:r w:rsidRPr="00DD2634">
        <w:rPr>
          <w:sz w:val="24"/>
          <w:szCs w:val="24"/>
        </w:rPr>
        <w:t>IPSP</w:t>
      </w:r>
      <w:proofErr w:type="spellEnd"/>
      <w:r w:rsidRPr="00DD2634">
        <w:rPr>
          <w:sz w:val="24"/>
          <w:szCs w:val="24"/>
        </w:rPr>
        <w:t xml:space="preserve"> Guidelines available online at </w:t>
      </w:r>
      <w:hyperlink r:id="rId28" w:history="1">
        <w:r w:rsidRPr="003B44C3">
          <w:rPr>
            <w:rStyle w:val="Hyperlink"/>
            <w:color w:val="auto"/>
            <w:sz w:val="24"/>
            <w:szCs w:val="24"/>
            <w:u w:val="none"/>
          </w:rPr>
          <w:t>education.gov.au</w:t>
        </w:r>
      </w:hyperlink>
      <w:r w:rsidRPr="00DD2634">
        <w:rPr>
          <w:sz w:val="24"/>
          <w:szCs w:val="24"/>
        </w:rPr>
        <w:t xml:space="preserve">. </w:t>
      </w:r>
    </w:p>
    <w:p w14:paraId="04969DA3" w14:textId="77777777" w:rsidR="006225EE" w:rsidRPr="00DD2634" w:rsidRDefault="006225EE" w:rsidP="006225EE">
      <w:pPr>
        <w:spacing w:after="120" w:line="240" w:lineRule="auto"/>
        <w:rPr>
          <w:sz w:val="24"/>
          <w:szCs w:val="24"/>
        </w:rPr>
      </w:pPr>
      <w:r w:rsidRPr="00DD2634">
        <w:rPr>
          <w:sz w:val="24"/>
          <w:szCs w:val="24"/>
        </w:rPr>
        <w:t xml:space="preserve">To achieve its objective, the </w:t>
      </w:r>
      <w:proofErr w:type="spellStart"/>
      <w:r w:rsidRPr="00DD2634">
        <w:rPr>
          <w:sz w:val="24"/>
          <w:szCs w:val="24"/>
        </w:rPr>
        <w:t>IPSP</w:t>
      </w:r>
      <w:proofErr w:type="spellEnd"/>
      <w:r w:rsidRPr="00DD2634">
        <w:rPr>
          <w:sz w:val="24"/>
          <w:szCs w:val="24"/>
        </w:rPr>
        <w:t xml:space="preserve"> is divided into two streams: </w:t>
      </w:r>
      <w:r w:rsidRPr="00DD2634">
        <w:rPr>
          <w:i/>
          <w:sz w:val="24"/>
          <w:szCs w:val="24"/>
        </w:rPr>
        <w:t>Inclusion Support</w:t>
      </w:r>
      <w:r w:rsidRPr="00DD2634">
        <w:rPr>
          <w:sz w:val="24"/>
          <w:szCs w:val="24"/>
        </w:rPr>
        <w:t xml:space="preserve"> and </w:t>
      </w:r>
      <w:r w:rsidRPr="00DD2634">
        <w:rPr>
          <w:i/>
          <w:sz w:val="24"/>
          <w:szCs w:val="24"/>
        </w:rPr>
        <w:t>Professional Development and Support:</w:t>
      </w:r>
    </w:p>
    <w:p w14:paraId="04969DA4" w14:textId="7335126E" w:rsidR="00EC5924" w:rsidRPr="00DD2634" w:rsidRDefault="006225EE" w:rsidP="006E1311">
      <w:pPr>
        <w:pStyle w:val="ListParagraph"/>
        <w:widowControl w:val="0"/>
        <w:numPr>
          <w:ilvl w:val="0"/>
          <w:numId w:val="7"/>
        </w:numPr>
        <w:spacing w:after="120" w:line="240" w:lineRule="auto"/>
        <w:ind w:left="426" w:hanging="426"/>
        <w:contextualSpacing w:val="0"/>
        <w:rPr>
          <w:sz w:val="24"/>
          <w:szCs w:val="24"/>
        </w:rPr>
      </w:pPr>
      <w:r w:rsidRPr="00DD2634">
        <w:rPr>
          <w:sz w:val="24"/>
          <w:szCs w:val="24"/>
        </w:rPr>
        <w:t xml:space="preserve">Inclusion Support is available to increase access to quality care for families by assisting services to build capacity to include children with additional needs including children with disability. </w:t>
      </w:r>
      <w:proofErr w:type="spellStart"/>
      <w:r w:rsidRPr="00DD2634">
        <w:rPr>
          <w:sz w:val="24"/>
          <w:szCs w:val="24"/>
        </w:rPr>
        <w:t>ISAs</w:t>
      </w:r>
      <w:proofErr w:type="spellEnd"/>
      <w:r w:rsidRPr="00DD2634">
        <w:rPr>
          <w:sz w:val="24"/>
          <w:szCs w:val="24"/>
        </w:rPr>
        <w:t xml:space="preserve"> may provide onsite practical inclusion activities, assisting services to link with relevant community organisations and to work in partnership with families, and to ac</w:t>
      </w:r>
      <w:r w:rsidR="00D05A2C">
        <w:rPr>
          <w:sz w:val="24"/>
          <w:szCs w:val="24"/>
        </w:rPr>
        <w:t xml:space="preserve">cess </w:t>
      </w:r>
      <w:proofErr w:type="spellStart"/>
      <w:r w:rsidR="00D05A2C">
        <w:rPr>
          <w:sz w:val="24"/>
          <w:szCs w:val="24"/>
        </w:rPr>
        <w:t>ISS</w:t>
      </w:r>
      <w:proofErr w:type="spellEnd"/>
      <w:r w:rsidR="00D05A2C">
        <w:rPr>
          <w:sz w:val="24"/>
          <w:szCs w:val="24"/>
        </w:rPr>
        <w:t xml:space="preserve"> where this is required.</w:t>
      </w:r>
    </w:p>
    <w:p w14:paraId="04969DA5" w14:textId="77777777" w:rsidR="006225EE" w:rsidRPr="00DD2634" w:rsidRDefault="006225EE" w:rsidP="00BA5320">
      <w:pPr>
        <w:suppressAutoHyphens/>
        <w:autoSpaceDE w:val="0"/>
        <w:autoSpaceDN w:val="0"/>
        <w:adjustRightInd w:val="0"/>
        <w:spacing w:after="120" w:line="240" w:lineRule="auto"/>
        <w:textAlignment w:val="center"/>
        <w:rPr>
          <w:sz w:val="24"/>
          <w:szCs w:val="24"/>
        </w:rPr>
      </w:pPr>
      <w:r w:rsidRPr="00DD2634">
        <w:rPr>
          <w:sz w:val="24"/>
          <w:szCs w:val="24"/>
        </w:rPr>
        <w:t>Inclusion Support Subsidy (</w:t>
      </w:r>
      <w:proofErr w:type="spellStart"/>
      <w:r w:rsidRPr="00DD2634">
        <w:rPr>
          <w:sz w:val="24"/>
          <w:szCs w:val="24"/>
        </w:rPr>
        <w:t>ISS</w:t>
      </w:r>
      <w:proofErr w:type="spellEnd"/>
      <w:r w:rsidRPr="00DD2634">
        <w:rPr>
          <w:sz w:val="24"/>
          <w:szCs w:val="24"/>
        </w:rPr>
        <w:t>):</w:t>
      </w:r>
    </w:p>
    <w:p w14:paraId="04969DA6" w14:textId="39B0CB2A" w:rsidR="006225EE" w:rsidRPr="00DD2634" w:rsidRDefault="00CA587E" w:rsidP="006E1311">
      <w:pPr>
        <w:pStyle w:val="ListParagraph"/>
        <w:widowControl w:val="0"/>
        <w:numPr>
          <w:ilvl w:val="0"/>
          <w:numId w:val="7"/>
        </w:numPr>
        <w:spacing w:after="120" w:line="240" w:lineRule="auto"/>
        <w:ind w:left="426" w:hanging="426"/>
        <w:contextualSpacing w:val="0"/>
        <w:rPr>
          <w:sz w:val="24"/>
          <w:szCs w:val="24"/>
        </w:rPr>
      </w:pPr>
      <w:r w:rsidRPr="00DD2634">
        <w:rPr>
          <w:sz w:val="24"/>
          <w:szCs w:val="24"/>
        </w:rPr>
        <w:t>In centre-</w:t>
      </w:r>
      <w:r w:rsidR="006225EE" w:rsidRPr="00DD2634">
        <w:rPr>
          <w:sz w:val="24"/>
          <w:szCs w:val="24"/>
        </w:rPr>
        <w:t xml:space="preserve">based services </w:t>
      </w:r>
      <w:proofErr w:type="spellStart"/>
      <w:r w:rsidR="006225EE" w:rsidRPr="00DD2634">
        <w:rPr>
          <w:sz w:val="24"/>
          <w:szCs w:val="24"/>
        </w:rPr>
        <w:t>ISS</w:t>
      </w:r>
      <w:proofErr w:type="spellEnd"/>
      <w:r w:rsidR="006225EE" w:rsidRPr="00DD2634">
        <w:rPr>
          <w:sz w:val="24"/>
          <w:szCs w:val="24"/>
        </w:rPr>
        <w:t xml:space="preserve"> is a contribution towards the costs associated with engaging an additional educator to include a child or children with ongoing high support needs alongside their typically developing peers.</w:t>
      </w:r>
    </w:p>
    <w:p w14:paraId="04969DA7" w14:textId="10C1D0F2" w:rsidR="006225EE" w:rsidRPr="00DD2634" w:rsidRDefault="006225EE" w:rsidP="006E1311">
      <w:pPr>
        <w:pStyle w:val="ListParagraph"/>
        <w:widowControl w:val="0"/>
        <w:numPr>
          <w:ilvl w:val="0"/>
          <w:numId w:val="7"/>
        </w:numPr>
        <w:spacing w:after="120" w:line="240" w:lineRule="auto"/>
        <w:ind w:left="426" w:hanging="426"/>
        <w:contextualSpacing w:val="0"/>
        <w:rPr>
          <w:sz w:val="24"/>
          <w:szCs w:val="24"/>
        </w:rPr>
      </w:pPr>
      <w:r w:rsidRPr="00DD2634">
        <w:rPr>
          <w:sz w:val="24"/>
          <w:szCs w:val="24"/>
        </w:rPr>
        <w:t>In</w:t>
      </w:r>
      <w:r w:rsidR="00CA587E" w:rsidRPr="00DD2634">
        <w:rPr>
          <w:sz w:val="24"/>
          <w:szCs w:val="24"/>
        </w:rPr>
        <w:t xml:space="preserve"> home-</w:t>
      </w:r>
      <w:r w:rsidRPr="00DD2634">
        <w:rPr>
          <w:sz w:val="24"/>
          <w:szCs w:val="24"/>
        </w:rPr>
        <w:t xml:space="preserve">based services </w:t>
      </w:r>
      <w:proofErr w:type="spellStart"/>
      <w:r w:rsidRPr="00DD2634">
        <w:rPr>
          <w:sz w:val="24"/>
          <w:szCs w:val="24"/>
        </w:rPr>
        <w:t>ISS</w:t>
      </w:r>
      <w:proofErr w:type="spellEnd"/>
      <w:r w:rsidRPr="00DD2634">
        <w:rPr>
          <w:sz w:val="24"/>
          <w:szCs w:val="24"/>
        </w:rPr>
        <w:t xml:space="preserve"> is as an additional</w:t>
      </w:r>
      <w:r w:rsidR="00CA587E" w:rsidRPr="00DD2634">
        <w:rPr>
          <w:sz w:val="24"/>
          <w:szCs w:val="24"/>
        </w:rPr>
        <w:t>/</w:t>
      </w:r>
      <w:r w:rsidRPr="00DD2634">
        <w:rPr>
          <w:sz w:val="24"/>
          <w:szCs w:val="24"/>
        </w:rPr>
        <w:t xml:space="preserve">capacity payment to FDC educators and IHC </w:t>
      </w:r>
      <w:r w:rsidR="00714B4F" w:rsidRPr="00DD2634">
        <w:rPr>
          <w:sz w:val="24"/>
          <w:szCs w:val="24"/>
        </w:rPr>
        <w:t>educator</w:t>
      </w:r>
      <w:r w:rsidRPr="00DD2634">
        <w:rPr>
          <w:sz w:val="24"/>
          <w:szCs w:val="24"/>
        </w:rPr>
        <w:t>s respectively in recognition of the impact of including a child with ongoing high support needs. It can also be used to engage additional staff to accompany an FDC or IHC educator caring for a child or children with ongoing high support needs on out-of-home excursions or other special activities.</w:t>
      </w:r>
    </w:p>
    <w:p w14:paraId="04969DA8" w14:textId="77777777" w:rsidR="006225EE" w:rsidRPr="00DD2634" w:rsidRDefault="006225EE" w:rsidP="00BA5320">
      <w:pPr>
        <w:suppressAutoHyphens/>
        <w:autoSpaceDE w:val="0"/>
        <w:autoSpaceDN w:val="0"/>
        <w:adjustRightInd w:val="0"/>
        <w:spacing w:after="120" w:line="240" w:lineRule="auto"/>
        <w:textAlignment w:val="center"/>
        <w:rPr>
          <w:sz w:val="24"/>
          <w:szCs w:val="24"/>
        </w:rPr>
      </w:pPr>
      <w:r w:rsidRPr="00DD2634">
        <w:rPr>
          <w:sz w:val="24"/>
          <w:szCs w:val="24"/>
        </w:rPr>
        <w:t>National Inclusion Support Subsidy Provider (</w:t>
      </w:r>
      <w:proofErr w:type="spellStart"/>
      <w:r w:rsidRPr="00DD2634">
        <w:rPr>
          <w:sz w:val="24"/>
          <w:szCs w:val="24"/>
        </w:rPr>
        <w:t>NISSP</w:t>
      </w:r>
      <w:proofErr w:type="spellEnd"/>
      <w:r w:rsidRPr="00DD2634">
        <w:rPr>
          <w:sz w:val="24"/>
          <w:szCs w:val="24"/>
        </w:rPr>
        <w:t>):</w:t>
      </w:r>
    </w:p>
    <w:p w14:paraId="04969DA9" w14:textId="5296E8A7" w:rsidR="006225EE" w:rsidRPr="00DD2634" w:rsidRDefault="006225EE" w:rsidP="006E1311">
      <w:pPr>
        <w:pStyle w:val="ListParagraph"/>
        <w:widowControl w:val="0"/>
        <w:numPr>
          <w:ilvl w:val="0"/>
          <w:numId w:val="7"/>
        </w:numPr>
        <w:spacing w:after="120" w:line="240" w:lineRule="auto"/>
        <w:ind w:left="426" w:hanging="426"/>
        <w:contextualSpacing w:val="0"/>
        <w:rPr>
          <w:sz w:val="24"/>
          <w:szCs w:val="24"/>
        </w:rPr>
      </w:pPr>
      <w:r w:rsidRPr="00DD2634">
        <w:rPr>
          <w:sz w:val="24"/>
          <w:szCs w:val="24"/>
        </w:rPr>
        <w:t xml:space="preserve">KU Children’s Services is the organisation funded </w:t>
      </w:r>
      <w:r w:rsidR="00CA587E" w:rsidRPr="00DD2634">
        <w:rPr>
          <w:sz w:val="24"/>
          <w:szCs w:val="24"/>
        </w:rPr>
        <w:t xml:space="preserve">currently </w:t>
      </w:r>
      <w:r w:rsidR="00D05A2C">
        <w:rPr>
          <w:sz w:val="24"/>
          <w:szCs w:val="24"/>
        </w:rPr>
        <w:t>by the d</w:t>
      </w:r>
      <w:r w:rsidRPr="00DD2634">
        <w:rPr>
          <w:sz w:val="24"/>
          <w:szCs w:val="24"/>
        </w:rPr>
        <w:t>epartment to be the National Inclusion Support Subsidy Provider (</w:t>
      </w:r>
      <w:proofErr w:type="spellStart"/>
      <w:r w:rsidRPr="00DD2634">
        <w:rPr>
          <w:sz w:val="24"/>
          <w:szCs w:val="24"/>
        </w:rPr>
        <w:t>NISSP</w:t>
      </w:r>
      <w:proofErr w:type="spellEnd"/>
      <w:r w:rsidRPr="00DD2634">
        <w:rPr>
          <w:sz w:val="24"/>
          <w:szCs w:val="24"/>
        </w:rPr>
        <w:t xml:space="preserve">). The </w:t>
      </w:r>
      <w:proofErr w:type="spellStart"/>
      <w:r w:rsidRPr="00DD2634">
        <w:rPr>
          <w:sz w:val="24"/>
          <w:szCs w:val="24"/>
        </w:rPr>
        <w:t>NISSP</w:t>
      </w:r>
      <w:proofErr w:type="spellEnd"/>
      <w:r w:rsidR="001A168A" w:rsidRPr="00DD2634">
        <w:rPr>
          <w:sz w:val="24"/>
          <w:szCs w:val="24"/>
        </w:rPr>
        <w:t xml:space="preserve"> </w:t>
      </w:r>
      <w:r w:rsidRPr="00DD2634">
        <w:rPr>
          <w:sz w:val="24"/>
          <w:szCs w:val="24"/>
        </w:rPr>
        <w:t xml:space="preserve">is responsible for the assessment and approval of applications for </w:t>
      </w:r>
      <w:proofErr w:type="spellStart"/>
      <w:r w:rsidRPr="00DD2634">
        <w:rPr>
          <w:sz w:val="24"/>
          <w:szCs w:val="24"/>
        </w:rPr>
        <w:t>ISS</w:t>
      </w:r>
      <w:proofErr w:type="spellEnd"/>
      <w:r w:rsidRPr="00DD2634">
        <w:rPr>
          <w:sz w:val="24"/>
          <w:szCs w:val="24"/>
        </w:rPr>
        <w:t>.</w:t>
      </w:r>
    </w:p>
    <w:p w14:paraId="04969DAB" w14:textId="77777777" w:rsidR="006225EE" w:rsidRPr="00DD2634" w:rsidRDefault="006225EE" w:rsidP="006225EE">
      <w:pPr>
        <w:suppressAutoHyphens/>
        <w:autoSpaceDE w:val="0"/>
        <w:autoSpaceDN w:val="0"/>
        <w:adjustRightInd w:val="0"/>
        <w:spacing w:before="180" w:after="60" w:line="240" w:lineRule="auto"/>
        <w:textAlignment w:val="center"/>
        <w:rPr>
          <w:sz w:val="24"/>
          <w:szCs w:val="24"/>
        </w:rPr>
      </w:pPr>
      <w:r w:rsidRPr="00DD2634">
        <w:rPr>
          <w:sz w:val="24"/>
          <w:szCs w:val="24"/>
        </w:rPr>
        <w:t>Inclusion Support Agencies (</w:t>
      </w:r>
      <w:proofErr w:type="spellStart"/>
      <w:r w:rsidRPr="00DD2634">
        <w:rPr>
          <w:sz w:val="24"/>
          <w:szCs w:val="24"/>
        </w:rPr>
        <w:t>ISAs</w:t>
      </w:r>
      <w:proofErr w:type="spellEnd"/>
      <w:r w:rsidRPr="00DD2634">
        <w:rPr>
          <w:sz w:val="24"/>
          <w:szCs w:val="24"/>
        </w:rPr>
        <w:t>):</w:t>
      </w:r>
    </w:p>
    <w:p w14:paraId="04969DAC" w14:textId="6A51478D" w:rsidR="006225EE" w:rsidRPr="00DD2634" w:rsidRDefault="006225EE" w:rsidP="006E1311">
      <w:pPr>
        <w:pStyle w:val="ListParagraph"/>
        <w:widowControl w:val="0"/>
        <w:numPr>
          <w:ilvl w:val="0"/>
          <w:numId w:val="7"/>
        </w:numPr>
        <w:spacing w:after="120" w:line="240" w:lineRule="auto"/>
        <w:ind w:left="426" w:hanging="426"/>
        <w:contextualSpacing w:val="0"/>
        <w:rPr>
          <w:sz w:val="24"/>
          <w:szCs w:val="24"/>
          <w:u w:val="single"/>
        </w:rPr>
      </w:pPr>
      <w:r w:rsidRPr="00DD2634">
        <w:rPr>
          <w:sz w:val="24"/>
          <w:szCs w:val="24"/>
        </w:rPr>
        <w:lastRenderedPageBreak/>
        <w:t>Nationally there are 29 </w:t>
      </w:r>
      <w:proofErr w:type="spellStart"/>
      <w:r w:rsidRPr="00DD2634">
        <w:rPr>
          <w:sz w:val="24"/>
          <w:szCs w:val="24"/>
        </w:rPr>
        <w:t>ISAs</w:t>
      </w:r>
      <w:proofErr w:type="spellEnd"/>
      <w:r w:rsidRPr="00DD2634">
        <w:rPr>
          <w:sz w:val="24"/>
          <w:szCs w:val="24"/>
        </w:rPr>
        <w:t xml:space="preserve"> funded to support services and educators in 67 regions to</w:t>
      </w:r>
      <w:r w:rsidR="00BA5320" w:rsidRPr="00DD2634">
        <w:rPr>
          <w:sz w:val="24"/>
          <w:szCs w:val="24"/>
        </w:rPr>
        <w:t>:</w:t>
      </w:r>
      <w:r w:rsidRPr="00DD2634">
        <w:rPr>
          <w:sz w:val="24"/>
          <w:szCs w:val="24"/>
          <w:u w:val="single"/>
        </w:rPr>
        <w:t xml:space="preserve"> </w:t>
      </w:r>
    </w:p>
    <w:p w14:paraId="04969DAD" w14:textId="5D5EAA17" w:rsidR="006225EE" w:rsidRPr="00DD2634" w:rsidRDefault="006225EE" w:rsidP="006E1311">
      <w:pPr>
        <w:pStyle w:val="ListParagraph"/>
        <w:widowControl w:val="0"/>
        <w:numPr>
          <w:ilvl w:val="1"/>
          <w:numId w:val="7"/>
        </w:numPr>
        <w:spacing w:after="120" w:line="240" w:lineRule="auto"/>
        <w:ind w:left="851" w:hanging="425"/>
        <w:contextualSpacing w:val="0"/>
        <w:rPr>
          <w:sz w:val="24"/>
          <w:szCs w:val="24"/>
        </w:rPr>
      </w:pPr>
      <w:r w:rsidRPr="00DD2634">
        <w:rPr>
          <w:sz w:val="24"/>
          <w:szCs w:val="24"/>
        </w:rPr>
        <w:t>provide practical support to help build a service’s capacity in providing a quality, inclusive environment for children with additional needs, including children with disabil</w:t>
      </w:r>
      <w:r w:rsidR="008D1276" w:rsidRPr="00DD2634">
        <w:rPr>
          <w:sz w:val="24"/>
          <w:szCs w:val="24"/>
        </w:rPr>
        <w:t>ity</w:t>
      </w:r>
    </w:p>
    <w:p w14:paraId="04969DAE" w14:textId="67D1D370" w:rsidR="006225EE" w:rsidRPr="00DD2634" w:rsidRDefault="00927B2E" w:rsidP="006E1311">
      <w:pPr>
        <w:pStyle w:val="ListParagraph"/>
        <w:widowControl w:val="0"/>
        <w:numPr>
          <w:ilvl w:val="1"/>
          <w:numId w:val="7"/>
        </w:numPr>
        <w:spacing w:after="120" w:line="240" w:lineRule="auto"/>
        <w:ind w:left="851" w:hanging="425"/>
        <w:contextualSpacing w:val="0"/>
        <w:rPr>
          <w:sz w:val="24"/>
          <w:szCs w:val="24"/>
        </w:rPr>
      </w:pPr>
      <w:r w:rsidRPr="00DD2634">
        <w:rPr>
          <w:sz w:val="24"/>
          <w:szCs w:val="24"/>
        </w:rPr>
        <w:t>s</w:t>
      </w:r>
      <w:r w:rsidR="006225EE" w:rsidRPr="00DD2634">
        <w:rPr>
          <w:sz w:val="24"/>
          <w:szCs w:val="24"/>
        </w:rPr>
        <w:t>upport services to identify goals and actions to increase their capacity to deliver quality incl</w:t>
      </w:r>
      <w:r w:rsidR="008D1276" w:rsidRPr="00DD2634">
        <w:rPr>
          <w:sz w:val="24"/>
          <w:szCs w:val="24"/>
        </w:rPr>
        <w:t>usive care for all children</w:t>
      </w:r>
    </w:p>
    <w:p w14:paraId="04969DAF" w14:textId="4B32EB00" w:rsidR="006225EE" w:rsidRPr="00DD2634" w:rsidRDefault="00927B2E" w:rsidP="006E1311">
      <w:pPr>
        <w:pStyle w:val="ListParagraph"/>
        <w:widowControl w:val="0"/>
        <w:numPr>
          <w:ilvl w:val="1"/>
          <w:numId w:val="7"/>
        </w:numPr>
        <w:spacing w:after="120" w:line="240" w:lineRule="auto"/>
        <w:ind w:left="851" w:hanging="425"/>
        <w:contextualSpacing w:val="0"/>
        <w:rPr>
          <w:sz w:val="24"/>
          <w:szCs w:val="24"/>
        </w:rPr>
      </w:pPr>
      <w:r w:rsidRPr="00DD2634">
        <w:rPr>
          <w:sz w:val="24"/>
          <w:szCs w:val="24"/>
        </w:rPr>
        <w:t>a</w:t>
      </w:r>
      <w:r w:rsidR="006225EE" w:rsidRPr="00DD2634">
        <w:rPr>
          <w:sz w:val="24"/>
          <w:szCs w:val="24"/>
        </w:rPr>
        <w:t xml:space="preserve">ccess and apply for other support such as </w:t>
      </w:r>
      <w:proofErr w:type="spellStart"/>
      <w:r w:rsidR="006225EE" w:rsidRPr="00DD2634">
        <w:rPr>
          <w:sz w:val="24"/>
          <w:szCs w:val="24"/>
        </w:rPr>
        <w:t>ISS</w:t>
      </w:r>
      <w:proofErr w:type="spellEnd"/>
      <w:r w:rsidR="006225EE" w:rsidRPr="00DD2634">
        <w:rPr>
          <w:sz w:val="24"/>
          <w:szCs w:val="24"/>
        </w:rPr>
        <w:t>, Flexible Support Funding, Specialist Equipment and Bicultural Support</w:t>
      </w:r>
      <w:r w:rsidR="00BA5320" w:rsidRPr="00DD2634">
        <w:rPr>
          <w:sz w:val="24"/>
          <w:szCs w:val="24"/>
        </w:rPr>
        <w:t>.</w:t>
      </w:r>
    </w:p>
    <w:p w14:paraId="04969DB0" w14:textId="489C0CD0" w:rsidR="006225EE" w:rsidRPr="00DD2634" w:rsidRDefault="006225EE" w:rsidP="003C1085">
      <w:pPr>
        <w:widowControl w:val="0"/>
        <w:spacing w:after="120" w:line="240" w:lineRule="auto"/>
        <w:rPr>
          <w:sz w:val="24"/>
          <w:szCs w:val="24"/>
        </w:rPr>
      </w:pPr>
      <w:r w:rsidRPr="00DD2634">
        <w:rPr>
          <w:sz w:val="24"/>
          <w:szCs w:val="24"/>
        </w:rPr>
        <w:t>Professional Devel</w:t>
      </w:r>
      <w:r w:rsidR="00D05A2C">
        <w:rPr>
          <w:sz w:val="24"/>
          <w:szCs w:val="24"/>
        </w:rPr>
        <w:t xml:space="preserve">opment and Support is focused </w:t>
      </w:r>
      <w:r w:rsidRPr="00DD2634">
        <w:rPr>
          <w:sz w:val="24"/>
          <w:szCs w:val="24"/>
        </w:rPr>
        <w:t>on providing funding to organisations to assist child care services to raise the quality of the child care and early learning they provide. This includes:</w:t>
      </w:r>
    </w:p>
    <w:p w14:paraId="04969DB1" w14:textId="77777777" w:rsidR="006225EE" w:rsidRPr="00DD2634" w:rsidRDefault="006225EE" w:rsidP="006E1311">
      <w:pPr>
        <w:pStyle w:val="ListParagraph"/>
        <w:widowControl w:val="0"/>
        <w:numPr>
          <w:ilvl w:val="0"/>
          <w:numId w:val="7"/>
        </w:numPr>
        <w:spacing w:after="120" w:line="240" w:lineRule="auto"/>
        <w:ind w:left="426" w:hanging="426"/>
        <w:contextualSpacing w:val="0"/>
        <w:rPr>
          <w:sz w:val="24"/>
          <w:szCs w:val="24"/>
        </w:rPr>
      </w:pPr>
      <w:r w:rsidRPr="00DD2634">
        <w:rPr>
          <w:sz w:val="24"/>
          <w:szCs w:val="24"/>
        </w:rPr>
        <w:t>Professional Support Coordinators (</w:t>
      </w:r>
      <w:proofErr w:type="spellStart"/>
      <w:r w:rsidRPr="00DD2634">
        <w:rPr>
          <w:sz w:val="24"/>
          <w:szCs w:val="24"/>
        </w:rPr>
        <w:t>PSCs</w:t>
      </w:r>
      <w:proofErr w:type="spellEnd"/>
      <w:r w:rsidRPr="00DD2634">
        <w:rPr>
          <w:sz w:val="24"/>
          <w:szCs w:val="24"/>
        </w:rPr>
        <w:t>):</w:t>
      </w:r>
    </w:p>
    <w:p w14:paraId="04969DB2" w14:textId="2B9E52D1" w:rsidR="00AB076C" w:rsidRPr="00DD2634" w:rsidRDefault="00AB076C" w:rsidP="006E1311">
      <w:pPr>
        <w:pStyle w:val="ListParagraph"/>
        <w:widowControl w:val="0"/>
        <w:numPr>
          <w:ilvl w:val="1"/>
          <w:numId w:val="7"/>
        </w:numPr>
        <w:spacing w:after="120" w:line="240" w:lineRule="auto"/>
        <w:ind w:left="851" w:hanging="425"/>
        <w:contextualSpacing w:val="0"/>
        <w:rPr>
          <w:sz w:val="24"/>
          <w:szCs w:val="24"/>
        </w:rPr>
      </w:pPr>
      <w:r w:rsidRPr="00DD2634">
        <w:rPr>
          <w:sz w:val="24"/>
          <w:szCs w:val="24"/>
        </w:rPr>
        <w:t xml:space="preserve">There are eight </w:t>
      </w:r>
      <w:proofErr w:type="spellStart"/>
      <w:r w:rsidRPr="00DD2634">
        <w:rPr>
          <w:sz w:val="24"/>
          <w:szCs w:val="24"/>
        </w:rPr>
        <w:t>PSC</w:t>
      </w:r>
      <w:proofErr w:type="spellEnd"/>
      <w:r w:rsidR="001901F0" w:rsidRPr="00DD2634">
        <w:rPr>
          <w:sz w:val="24"/>
          <w:szCs w:val="24"/>
        </w:rPr>
        <w:t xml:space="preserve"> organisations</w:t>
      </w:r>
      <w:r w:rsidRPr="00DD2634">
        <w:rPr>
          <w:sz w:val="24"/>
          <w:szCs w:val="24"/>
        </w:rPr>
        <w:t>.</w:t>
      </w:r>
    </w:p>
    <w:p w14:paraId="04969DB3" w14:textId="58E326E6" w:rsidR="006225EE" w:rsidRPr="00DD2634" w:rsidRDefault="006225EE" w:rsidP="006E1311">
      <w:pPr>
        <w:pStyle w:val="ListParagraph"/>
        <w:widowControl w:val="0"/>
        <w:numPr>
          <w:ilvl w:val="1"/>
          <w:numId w:val="7"/>
        </w:numPr>
        <w:spacing w:after="120" w:line="240" w:lineRule="auto"/>
        <w:ind w:left="851" w:hanging="425"/>
        <w:contextualSpacing w:val="0"/>
        <w:rPr>
          <w:sz w:val="24"/>
          <w:szCs w:val="24"/>
        </w:rPr>
      </w:pPr>
      <w:r w:rsidRPr="00DD2634">
        <w:rPr>
          <w:sz w:val="24"/>
          <w:szCs w:val="24"/>
        </w:rPr>
        <w:t xml:space="preserve">Deliver and facilitate professional development and support to eligible services to assist them to </w:t>
      </w:r>
      <w:r w:rsidR="00D05A2C">
        <w:rPr>
          <w:sz w:val="24"/>
          <w:szCs w:val="24"/>
        </w:rPr>
        <w:t xml:space="preserve">improve their effectiveness, </w:t>
      </w:r>
      <w:r w:rsidRPr="00DD2634">
        <w:rPr>
          <w:sz w:val="24"/>
          <w:szCs w:val="24"/>
        </w:rPr>
        <w:t xml:space="preserve">meet the requirements of the </w:t>
      </w:r>
      <w:proofErr w:type="spellStart"/>
      <w:r w:rsidRPr="00DD2634">
        <w:rPr>
          <w:sz w:val="24"/>
          <w:szCs w:val="24"/>
        </w:rPr>
        <w:t>NQF</w:t>
      </w:r>
      <w:proofErr w:type="spellEnd"/>
      <w:r w:rsidR="00D05A2C">
        <w:rPr>
          <w:sz w:val="24"/>
          <w:szCs w:val="24"/>
        </w:rPr>
        <w:t>, and</w:t>
      </w:r>
      <w:r w:rsidRPr="00DD2634">
        <w:rPr>
          <w:sz w:val="24"/>
          <w:szCs w:val="24"/>
        </w:rPr>
        <w:t xml:space="preserve"> implement approved learning frameworks including the Early Years Learning Framework.</w:t>
      </w:r>
    </w:p>
    <w:p w14:paraId="04969DB4" w14:textId="77777777" w:rsidR="006225EE" w:rsidRPr="00DD2634" w:rsidRDefault="006225EE" w:rsidP="006E1311">
      <w:pPr>
        <w:pStyle w:val="ListParagraph"/>
        <w:widowControl w:val="0"/>
        <w:numPr>
          <w:ilvl w:val="1"/>
          <w:numId w:val="7"/>
        </w:numPr>
        <w:spacing w:after="120" w:line="240" w:lineRule="auto"/>
        <w:ind w:left="851" w:hanging="425"/>
        <w:contextualSpacing w:val="0"/>
        <w:rPr>
          <w:sz w:val="24"/>
          <w:szCs w:val="24"/>
        </w:rPr>
      </w:pPr>
      <w:r w:rsidRPr="00DD2634">
        <w:rPr>
          <w:sz w:val="24"/>
          <w:szCs w:val="24"/>
        </w:rPr>
        <w:t>Manage the provision of Bicultural Support and associated resources to assist with the enrolment and inclusion of children from culturally and linguistically diverse and/or Indigenous backgrounds.</w:t>
      </w:r>
    </w:p>
    <w:p w14:paraId="04969DB5" w14:textId="77777777" w:rsidR="006225EE" w:rsidRPr="00DD2634" w:rsidRDefault="006225EE" w:rsidP="006E1311">
      <w:pPr>
        <w:pStyle w:val="ListParagraph"/>
        <w:widowControl w:val="0"/>
        <w:numPr>
          <w:ilvl w:val="1"/>
          <w:numId w:val="7"/>
        </w:numPr>
        <w:spacing w:after="120" w:line="240" w:lineRule="auto"/>
        <w:ind w:left="851" w:hanging="425"/>
        <w:contextualSpacing w:val="0"/>
        <w:rPr>
          <w:sz w:val="24"/>
          <w:szCs w:val="24"/>
        </w:rPr>
      </w:pPr>
      <w:r w:rsidRPr="00DD2634">
        <w:rPr>
          <w:sz w:val="24"/>
          <w:szCs w:val="24"/>
        </w:rPr>
        <w:t>Manage access to the loan of specialist equipment to assist the inclusion of a child with ongoing high support needs.</w:t>
      </w:r>
    </w:p>
    <w:p w14:paraId="04969DB6" w14:textId="77777777" w:rsidR="006225EE" w:rsidRPr="00DD2634" w:rsidRDefault="006225EE" w:rsidP="006E1311">
      <w:pPr>
        <w:pStyle w:val="ListParagraph"/>
        <w:widowControl w:val="0"/>
        <w:numPr>
          <w:ilvl w:val="0"/>
          <w:numId w:val="7"/>
        </w:numPr>
        <w:spacing w:after="120" w:line="240" w:lineRule="auto"/>
        <w:ind w:left="426" w:hanging="426"/>
        <w:contextualSpacing w:val="0"/>
        <w:rPr>
          <w:sz w:val="24"/>
          <w:szCs w:val="24"/>
        </w:rPr>
      </w:pPr>
      <w:r w:rsidRPr="00DD2634">
        <w:rPr>
          <w:sz w:val="24"/>
          <w:szCs w:val="24"/>
        </w:rPr>
        <w:t>Indigenous Professional Support Units (</w:t>
      </w:r>
      <w:proofErr w:type="spellStart"/>
      <w:r w:rsidRPr="00DD2634">
        <w:rPr>
          <w:sz w:val="24"/>
          <w:szCs w:val="24"/>
        </w:rPr>
        <w:t>IPSUs</w:t>
      </w:r>
      <w:proofErr w:type="spellEnd"/>
      <w:r w:rsidRPr="00DD2634">
        <w:rPr>
          <w:sz w:val="24"/>
          <w:szCs w:val="24"/>
        </w:rPr>
        <w:t>)</w:t>
      </w:r>
      <w:r w:rsidR="00927B2E" w:rsidRPr="00DD2634">
        <w:rPr>
          <w:sz w:val="24"/>
          <w:szCs w:val="24"/>
        </w:rPr>
        <w:t>:</w:t>
      </w:r>
    </w:p>
    <w:p w14:paraId="04969DB7" w14:textId="40BF0861" w:rsidR="00AB076C" w:rsidRPr="00DD2634" w:rsidRDefault="00AB076C" w:rsidP="003930AA">
      <w:pPr>
        <w:pStyle w:val="ListParagraph"/>
        <w:widowControl w:val="0"/>
        <w:numPr>
          <w:ilvl w:val="1"/>
          <w:numId w:val="7"/>
        </w:numPr>
        <w:spacing w:after="120" w:line="240" w:lineRule="auto"/>
        <w:ind w:left="851" w:hanging="425"/>
        <w:contextualSpacing w:val="0"/>
        <w:rPr>
          <w:sz w:val="24"/>
          <w:szCs w:val="24"/>
        </w:rPr>
      </w:pPr>
      <w:r w:rsidRPr="00DD2634">
        <w:rPr>
          <w:sz w:val="24"/>
          <w:szCs w:val="24"/>
        </w:rPr>
        <w:t xml:space="preserve">There are eight </w:t>
      </w:r>
      <w:proofErr w:type="spellStart"/>
      <w:r w:rsidRPr="00DD2634">
        <w:rPr>
          <w:sz w:val="24"/>
          <w:szCs w:val="24"/>
        </w:rPr>
        <w:t>IPSUs</w:t>
      </w:r>
      <w:proofErr w:type="spellEnd"/>
      <w:r w:rsidRPr="00DD2634">
        <w:rPr>
          <w:sz w:val="24"/>
          <w:szCs w:val="24"/>
        </w:rPr>
        <w:t>, two in the NT, a single provider for NSW/ACT, and one provider in each other jurisdiction.</w:t>
      </w:r>
    </w:p>
    <w:p w14:paraId="04969DB8" w14:textId="77777777" w:rsidR="00EC5924" w:rsidRPr="00DD2634" w:rsidRDefault="006225EE" w:rsidP="003930AA">
      <w:pPr>
        <w:pStyle w:val="ListParagraph"/>
        <w:widowControl w:val="0"/>
        <w:numPr>
          <w:ilvl w:val="1"/>
          <w:numId w:val="7"/>
        </w:numPr>
        <w:spacing w:after="120" w:line="240" w:lineRule="auto"/>
        <w:ind w:left="851" w:hanging="425"/>
        <w:contextualSpacing w:val="0"/>
        <w:rPr>
          <w:sz w:val="24"/>
          <w:szCs w:val="24"/>
        </w:rPr>
      </w:pPr>
      <w:r w:rsidRPr="00DD2634">
        <w:rPr>
          <w:sz w:val="24"/>
          <w:szCs w:val="24"/>
        </w:rPr>
        <w:t xml:space="preserve">Provide similar support as offered by </w:t>
      </w:r>
      <w:proofErr w:type="spellStart"/>
      <w:r w:rsidRPr="00DD2634">
        <w:rPr>
          <w:sz w:val="24"/>
          <w:szCs w:val="24"/>
        </w:rPr>
        <w:t>PSCs</w:t>
      </w:r>
      <w:proofErr w:type="spellEnd"/>
      <w:r w:rsidRPr="00DD2634">
        <w:rPr>
          <w:sz w:val="24"/>
          <w:szCs w:val="24"/>
        </w:rPr>
        <w:t xml:space="preserve"> to assist services in receipt of Budget Based Funding and also provide advice to other </w:t>
      </w:r>
      <w:proofErr w:type="spellStart"/>
      <w:r w:rsidRPr="00DD2634">
        <w:rPr>
          <w:sz w:val="24"/>
          <w:szCs w:val="24"/>
        </w:rPr>
        <w:t>IPSP</w:t>
      </w:r>
      <w:proofErr w:type="spellEnd"/>
      <w:r w:rsidRPr="00DD2634">
        <w:rPr>
          <w:sz w:val="24"/>
          <w:szCs w:val="24"/>
        </w:rPr>
        <w:t xml:space="preserve"> Providers on culturally appropriate support and resources to assist mainstream services to include and support Indigenous children and educators.</w:t>
      </w:r>
    </w:p>
    <w:p w14:paraId="04969DB9" w14:textId="77777777" w:rsidR="006225EE" w:rsidRPr="00DD2634" w:rsidRDefault="006225EE" w:rsidP="003930AA">
      <w:pPr>
        <w:pStyle w:val="ListParagraph"/>
        <w:widowControl w:val="0"/>
        <w:numPr>
          <w:ilvl w:val="1"/>
          <w:numId w:val="7"/>
        </w:numPr>
        <w:spacing w:after="120" w:line="240" w:lineRule="auto"/>
        <w:ind w:left="851" w:hanging="425"/>
        <w:contextualSpacing w:val="0"/>
        <w:rPr>
          <w:sz w:val="24"/>
          <w:szCs w:val="24"/>
        </w:rPr>
      </w:pPr>
      <w:r w:rsidRPr="00DD2634">
        <w:rPr>
          <w:sz w:val="24"/>
          <w:szCs w:val="24"/>
        </w:rPr>
        <w:t xml:space="preserve">Funding to </w:t>
      </w:r>
      <w:proofErr w:type="spellStart"/>
      <w:r w:rsidRPr="00DD2634">
        <w:rPr>
          <w:sz w:val="24"/>
          <w:szCs w:val="24"/>
        </w:rPr>
        <w:t>IPSP</w:t>
      </w:r>
      <w:proofErr w:type="spellEnd"/>
      <w:r w:rsidRPr="00DD2634">
        <w:rPr>
          <w:sz w:val="24"/>
          <w:szCs w:val="24"/>
        </w:rPr>
        <w:t xml:space="preserve"> Providers is delivered through funding agreements (grants) which operate from 1 January 2013 to 30 June 2016. </w:t>
      </w:r>
      <w:proofErr w:type="spellStart"/>
      <w:r w:rsidRPr="00DD2634">
        <w:rPr>
          <w:sz w:val="24"/>
          <w:szCs w:val="24"/>
        </w:rPr>
        <w:t>FSF</w:t>
      </w:r>
      <w:proofErr w:type="spellEnd"/>
      <w:r w:rsidRPr="00DD2634">
        <w:rPr>
          <w:sz w:val="24"/>
          <w:szCs w:val="24"/>
        </w:rPr>
        <w:t xml:space="preserve"> and </w:t>
      </w:r>
      <w:proofErr w:type="spellStart"/>
      <w:r w:rsidRPr="00DD2634">
        <w:rPr>
          <w:sz w:val="24"/>
          <w:szCs w:val="24"/>
        </w:rPr>
        <w:t>ISS</w:t>
      </w:r>
      <w:proofErr w:type="spellEnd"/>
      <w:r w:rsidRPr="00DD2634">
        <w:rPr>
          <w:sz w:val="24"/>
          <w:szCs w:val="24"/>
        </w:rPr>
        <w:t xml:space="preserve"> is delivered through conditions of funding agreements with child care and early learning services and are of variable duration based on the relevant criteria. </w:t>
      </w:r>
    </w:p>
    <w:p w14:paraId="04969DBA" w14:textId="77777777" w:rsidR="006225EE" w:rsidRPr="00DD2634" w:rsidRDefault="006225EE" w:rsidP="003930AA">
      <w:pPr>
        <w:pStyle w:val="ListParagraph"/>
        <w:widowControl w:val="0"/>
        <w:numPr>
          <w:ilvl w:val="1"/>
          <w:numId w:val="7"/>
        </w:numPr>
        <w:spacing w:after="120" w:line="240" w:lineRule="auto"/>
        <w:ind w:left="851" w:hanging="425"/>
        <w:contextualSpacing w:val="0"/>
        <w:rPr>
          <w:sz w:val="24"/>
          <w:szCs w:val="24"/>
        </w:rPr>
      </w:pPr>
      <w:r w:rsidRPr="00DD2634">
        <w:rPr>
          <w:sz w:val="24"/>
          <w:szCs w:val="24"/>
        </w:rPr>
        <w:t>The level of funding and payment rates are subject to annual indexation.</w:t>
      </w:r>
    </w:p>
    <w:p w14:paraId="04969DBB" w14:textId="547451B6" w:rsidR="00BC5B88" w:rsidRPr="00DD2634" w:rsidRDefault="006225EE" w:rsidP="00381744">
      <w:pPr>
        <w:pStyle w:val="NormalNumbered"/>
        <w:numPr>
          <w:ilvl w:val="0"/>
          <w:numId w:val="0"/>
        </w:numPr>
      </w:pPr>
      <w:r w:rsidRPr="00DD2634">
        <w:t>Recent Expenditure:</w:t>
      </w:r>
    </w:p>
    <w:p w14:paraId="04969DBC" w14:textId="7FB9BF3E" w:rsidR="006225EE" w:rsidRPr="00DD2634" w:rsidRDefault="00CA587E" w:rsidP="00381744">
      <w:pPr>
        <w:pStyle w:val="NormalNumbered"/>
        <w:numPr>
          <w:ilvl w:val="0"/>
          <w:numId w:val="0"/>
        </w:numPr>
      </w:pPr>
      <w:r w:rsidRPr="00DD2634">
        <w:t xml:space="preserve">In </w:t>
      </w:r>
      <w:r w:rsidR="006225EE" w:rsidRPr="00DD2634">
        <w:t xml:space="preserve">2012-13, the Government </w:t>
      </w:r>
      <w:r w:rsidRPr="00DD2634">
        <w:t xml:space="preserve">spent around </w:t>
      </w:r>
      <w:r w:rsidR="006225EE" w:rsidRPr="00DD2634">
        <w:t>$10</w:t>
      </w:r>
      <w:r w:rsidR="00EC5924" w:rsidRPr="00DD2634">
        <w:t>4 </w:t>
      </w:r>
      <w:r w:rsidR="006225EE" w:rsidRPr="00DD2634">
        <w:t xml:space="preserve">million </w:t>
      </w:r>
      <w:r w:rsidRPr="00DD2634">
        <w:t xml:space="preserve">on the </w:t>
      </w:r>
      <w:proofErr w:type="spellStart"/>
      <w:r w:rsidR="006225EE" w:rsidRPr="00DD2634">
        <w:t>IPSP</w:t>
      </w:r>
      <w:proofErr w:type="spellEnd"/>
      <w:r w:rsidR="00071A74">
        <w:t xml:space="preserve">. Details at Figure </w:t>
      </w:r>
      <w:proofErr w:type="spellStart"/>
      <w:r w:rsidR="00071A74">
        <w:t>A1.5</w:t>
      </w:r>
      <w:proofErr w:type="spellEnd"/>
      <w:r w:rsidR="009D4628" w:rsidRPr="00DD2634">
        <w:t>.</w:t>
      </w:r>
    </w:p>
    <w:p w14:paraId="04969DC1" w14:textId="57F569DE" w:rsidR="006225EE" w:rsidRPr="00DD2634" w:rsidRDefault="00071A74" w:rsidP="00264A99">
      <w:pPr>
        <w:pStyle w:val="Caption"/>
        <w:rPr>
          <w:szCs w:val="16"/>
        </w:rPr>
      </w:pPr>
      <w:r>
        <w:rPr>
          <w:szCs w:val="16"/>
        </w:rPr>
        <w:lastRenderedPageBreak/>
        <w:t xml:space="preserve">Figure </w:t>
      </w:r>
      <w:proofErr w:type="spellStart"/>
      <w:r>
        <w:rPr>
          <w:szCs w:val="16"/>
        </w:rPr>
        <w:t>A1.5</w:t>
      </w:r>
      <w:proofErr w:type="spellEnd"/>
      <w:r w:rsidR="008B2450" w:rsidRPr="00DD2634">
        <w:rPr>
          <w:szCs w:val="16"/>
        </w:rPr>
        <w:t xml:space="preserve">. </w:t>
      </w:r>
      <w:proofErr w:type="spellStart"/>
      <w:r w:rsidR="006225EE" w:rsidRPr="00DD2634">
        <w:rPr>
          <w:szCs w:val="16"/>
        </w:rPr>
        <w:t>IPSP</w:t>
      </w:r>
      <w:proofErr w:type="spellEnd"/>
      <w:r w:rsidR="006225EE" w:rsidRPr="00DD2634">
        <w:rPr>
          <w:szCs w:val="16"/>
        </w:rPr>
        <w:t xml:space="preserve"> </w:t>
      </w:r>
      <w:r w:rsidR="00CA587E" w:rsidRPr="00DD2634">
        <w:rPr>
          <w:szCs w:val="16"/>
        </w:rPr>
        <w:t xml:space="preserve">Expenditure </w:t>
      </w:r>
      <w:r w:rsidR="000036F5" w:rsidRPr="00DD2634">
        <w:rPr>
          <w:szCs w:val="16"/>
        </w:rPr>
        <w:t>by activity, 2012-13</w:t>
      </w:r>
    </w:p>
    <w:p w14:paraId="04969DC2" w14:textId="77777777" w:rsidR="006225EE" w:rsidRPr="00DD2634" w:rsidRDefault="006225EE" w:rsidP="009D4628">
      <w:pPr>
        <w:spacing w:after="0" w:line="240" w:lineRule="auto"/>
      </w:pPr>
      <w:r w:rsidRPr="00DD2634">
        <w:rPr>
          <w:noProof/>
          <w:lang w:eastAsia="en-AU"/>
        </w:rPr>
        <w:drawing>
          <wp:inline distT="0" distB="0" distL="0" distR="0" wp14:anchorId="04969EED" wp14:editId="6B97F307">
            <wp:extent cx="5086350" cy="2762250"/>
            <wp:effectExtent l="0" t="0" r="0" b="0"/>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04969DC3" w14:textId="77777777" w:rsidR="00BC5B88" w:rsidRPr="00DD2634" w:rsidRDefault="00BC5B88" w:rsidP="009D4628">
      <w:pPr>
        <w:pStyle w:val="Source"/>
      </w:pPr>
      <w:r w:rsidRPr="00DD2634">
        <w:t>Source: Department of Education, unpublished data.</w:t>
      </w:r>
    </w:p>
    <w:p w14:paraId="53474472" w14:textId="77777777" w:rsidR="009D4628" w:rsidRPr="00DD2634" w:rsidRDefault="009D4628" w:rsidP="009D6E2B">
      <w:pPr>
        <w:rPr>
          <w:b/>
          <w:i/>
        </w:rPr>
      </w:pPr>
      <w:bookmarkStart w:id="89" w:name="_Toc377217354"/>
    </w:p>
    <w:p w14:paraId="04969DC5" w14:textId="77777777" w:rsidR="006225EE" w:rsidRPr="00DD2634" w:rsidRDefault="006225EE" w:rsidP="00016891">
      <w:pPr>
        <w:pStyle w:val="NormalNumbered"/>
        <w:numPr>
          <w:ilvl w:val="0"/>
          <w:numId w:val="30"/>
        </w:numPr>
        <w:ind w:hanging="720"/>
        <w:rPr>
          <w:b/>
        </w:rPr>
      </w:pPr>
      <w:r w:rsidRPr="00DD2634">
        <w:rPr>
          <w:b/>
        </w:rPr>
        <w:t>Child Care Quality/Programme Support</w:t>
      </w:r>
      <w:bookmarkEnd w:id="89"/>
    </w:p>
    <w:p w14:paraId="04969DC6" w14:textId="77777777" w:rsidR="006225EE" w:rsidRPr="00DD2634" w:rsidRDefault="006225EE" w:rsidP="006225EE">
      <w:pPr>
        <w:spacing w:after="120" w:line="240" w:lineRule="auto"/>
        <w:rPr>
          <w:sz w:val="24"/>
          <w:szCs w:val="24"/>
        </w:rPr>
      </w:pPr>
      <w:r w:rsidRPr="00DD2634">
        <w:rPr>
          <w:sz w:val="24"/>
          <w:szCs w:val="24"/>
        </w:rPr>
        <w:t xml:space="preserve">This sub-programme provides funding towards a number of initiatives to increase the information available to families to inform their child care decisions as well as contribute to the body of evidence and research underpinning the Government’s understanding of the sector. </w:t>
      </w:r>
    </w:p>
    <w:p w14:paraId="04969DC7" w14:textId="77777777" w:rsidR="006225EE" w:rsidRPr="00DD2634" w:rsidRDefault="006225EE" w:rsidP="006225EE">
      <w:pPr>
        <w:spacing w:before="240" w:after="120" w:line="240" w:lineRule="auto"/>
        <w:rPr>
          <w:sz w:val="24"/>
          <w:szCs w:val="24"/>
          <w:u w:val="single"/>
        </w:rPr>
      </w:pPr>
      <w:r w:rsidRPr="00DD2634">
        <w:rPr>
          <w:sz w:val="24"/>
          <w:szCs w:val="24"/>
          <w:u w:val="single"/>
        </w:rPr>
        <w:t>Australian Early Development Index (</w:t>
      </w:r>
      <w:proofErr w:type="spellStart"/>
      <w:r w:rsidRPr="00DD2634">
        <w:rPr>
          <w:sz w:val="24"/>
          <w:szCs w:val="24"/>
          <w:u w:val="single"/>
        </w:rPr>
        <w:t>AEDI</w:t>
      </w:r>
      <w:proofErr w:type="spellEnd"/>
      <w:r w:rsidRPr="00DD2634">
        <w:rPr>
          <w:sz w:val="24"/>
          <w:szCs w:val="24"/>
          <w:u w:val="single"/>
        </w:rPr>
        <w:t xml:space="preserve">) </w:t>
      </w:r>
    </w:p>
    <w:p w14:paraId="04969DC8" w14:textId="77777777" w:rsidR="006225EE" w:rsidRPr="00DD2634" w:rsidRDefault="006225EE" w:rsidP="006225EE">
      <w:pPr>
        <w:spacing w:after="120" w:line="240" w:lineRule="auto"/>
        <w:rPr>
          <w:sz w:val="24"/>
          <w:szCs w:val="24"/>
        </w:rPr>
      </w:pPr>
      <w:r w:rsidRPr="00DD2634">
        <w:rPr>
          <w:sz w:val="24"/>
          <w:szCs w:val="24"/>
        </w:rPr>
        <w:t xml:space="preserve">The </w:t>
      </w:r>
      <w:proofErr w:type="spellStart"/>
      <w:r w:rsidRPr="00DD2634">
        <w:rPr>
          <w:sz w:val="24"/>
          <w:szCs w:val="24"/>
        </w:rPr>
        <w:t>AEDI</w:t>
      </w:r>
      <w:proofErr w:type="spellEnd"/>
      <w:r w:rsidRPr="00DD2634">
        <w:rPr>
          <w:sz w:val="24"/>
          <w:szCs w:val="24"/>
        </w:rPr>
        <w:t xml:space="preserve"> is a population based measure of young children’s development. Parents, teachers and school communities can benefit from the </w:t>
      </w:r>
      <w:proofErr w:type="spellStart"/>
      <w:r w:rsidRPr="00DD2634">
        <w:rPr>
          <w:sz w:val="24"/>
          <w:szCs w:val="24"/>
        </w:rPr>
        <w:t>AEDI</w:t>
      </w:r>
      <w:proofErr w:type="spellEnd"/>
      <w:r w:rsidRPr="00DD2634">
        <w:rPr>
          <w:sz w:val="24"/>
          <w:szCs w:val="24"/>
        </w:rPr>
        <w:t xml:space="preserve"> in measuring young children's health and wellbeing.</w:t>
      </w:r>
    </w:p>
    <w:p w14:paraId="04969DC9" w14:textId="77777777" w:rsidR="006225EE" w:rsidRPr="00DD2634" w:rsidRDefault="006225EE" w:rsidP="006225EE">
      <w:pPr>
        <w:spacing w:after="120" w:line="240" w:lineRule="auto"/>
        <w:rPr>
          <w:sz w:val="24"/>
          <w:szCs w:val="24"/>
        </w:rPr>
      </w:pPr>
      <w:r w:rsidRPr="00DD2634">
        <w:rPr>
          <w:sz w:val="24"/>
          <w:szCs w:val="24"/>
        </w:rPr>
        <w:t xml:space="preserve">Teachers complete a checklist for children in their first year of full-time school </w:t>
      </w:r>
      <w:r w:rsidR="00160E07" w:rsidRPr="00DD2634">
        <w:rPr>
          <w:sz w:val="24"/>
          <w:szCs w:val="24"/>
        </w:rPr>
        <w:t>across each of these areas</w:t>
      </w:r>
      <w:r w:rsidRPr="00DD2634">
        <w:rPr>
          <w:sz w:val="24"/>
          <w:szCs w:val="24"/>
        </w:rPr>
        <w:t xml:space="preserve">: </w:t>
      </w:r>
      <w:r w:rsidRPr="00DD2634">
        <w:rPr>
          <w:i/>
          <w:sz w:val="24"/>
          <w:szCs w:val="24"/>
        </w:rPr>
        <w:t>physical health &amp; wellbeing, social competence, emotional maturity, language &amp; cognitive skills and communication skills &amp; general knowledge</w:t>
      </w:r>
      <w:r w:rsidRPr="00DD2634">
        <w:rPr>
          <w:sz w:val="24"/>
          <w:szCs w:val="24"/>
        </w:rPr>
        <w:t>.</w:t>
      </w:r>
    </w:p>
    <w:p w14:paraId="04969DCA" w14:textId="77777777" w:rsidR="006225EE" w:rsidRPr="00DD2634" w:rsidRDefault="006225EE" w:rsidP="006225EE">
      <w:pPr>
        <w:spacing w:after="120" w:line="240" w:lineRule="auto"/>
        <w:rPr>
          <w:sz w:val="24"/>
          <w:szCs w:val="24"/>
        </w:rPr>
      </w:pPr>
      <w:r w:rsidRPr="00DD2634">
        <w:rPr>
          <w:sz w:val="24"/>
          <w:szCs w:val="24"/>
        </w:rPr>
        <w:t>Government</w:t>
      </w:r>
      <w:r w:rsidR="00EC5924" w:rsidRPr="00DD2634">
        <w:rPr>
          <w:sz w:val="24"/>
          <w:szCs w:val="24"/>
        </w:rPr>
        <w:t>s</w:t>
      </w:r>
      <w:r w:rsidRPr="00DD2634">
        <w:rPr>
          <w:sz w:val="24"/>
          <w:szCs w:val="24"/>
        </w:rPr>
        <w:t xml:space="preserve"> and communities can use </w:t>
      </w:r>
      <w:proofErr w:type="spellStart"/>
      <w:r w:rsidR="00EC5924" w:rsidRPr="00DD2634">
        <w:rPr>
          <w:sz w:val="24"/>
          <w:szCs w:val="24"/>
        </w:rPr>
        <w:t>AEDI</w:t>
      </w:r>
      <w:proofErr w:type="spellEnd"/>
      <w:r w:rsidR="00EC5924" w:rsidRPr="00DD2634">
        <w:rPr>
          <w:sz w:val="24"/>
          <w:szCs w:val="24"/>
        </w:rPr>
        <w:t xml:space="preserve"> </w:t>
      </w:r>
      <w:r w:rsidRPr="00DD2634">
        <w:rPr>
          <w:sz w:val="24"/>
          <w:szCs w:val="24"/>
        </w:rPr>
        <w:t xml:space="preserve">data to understand what policies and practices are working well and what could be improved to better support children and their families. Information is collected every three years. </w:t>
      </w:r>
    </w:p>
    <w:p w14:paraId="04969DCB" w14:textId="0C26405D" w:rsidR="00F5598D" w:rsidRPr="00DD2634" w:rsidRDefault="00F5598D" w:rsidP="00F5598D">
      <w:pPr>
        <w:spacing w:after="120" w:line="240" w:lineRule="auto"/>
        <w:rPr>
          <w:sz w:val="24"/>
          <w:szCs w:val="24"/>
        </w:rPr>
      </w:pPr>
      <w:r w:rsidRPr="00DD2634">
        <w:rPr>
          <w:sz w:val="24"/>
          <w:szCs w:val="24"/>
        </w:rPr>
        <w:t xml:space="preserve">The first two national </w:t>
      </w:r>
      <w:proofErr w:type="spellStart"/>
      <w:r w:rsidRPr="00DD2634">
        <w:rPr>
          <w:sz w:val="24"/>
          <w:szCs w:val="24"/>
        </w:rPr>
        <w:t>AEDI</w:t>
      </w:r>
      <w:proofErr w:type="spellEnd"/>
      <w:r w:rsidRPr="00DD2634">
        <w:rPr>
          <w:sz w:val="24"/>
          <w:szCs w:val="24"/>
        </w:rPr>
        <w:t xml:space="preserve"> data collections took place in 2009 and 2012 with subsequent collections planned every three years. </w:t>
      </w:r>
      <w:r w:rsidR="006225EE" w:rsidRPr="00DD2634">
        <w:rPr>
          <w:sz w:val="24"/>
          <w:szCs w:val="24"/>
        </w:rPr>
        <w:t xml:space="preserve">The 2012 </w:t>
      </w:r>
      <w:proofErr w:type="spellStart"/>
      <w:r w:rsidR="006225EE" w:rsidRPr="00DD2634">
        <w:rPr>
          <w:sz w:val="24"/>
          <w:szCs w:val="24"/>
        </w:rPr>
        <w:t>AEDI</w:t>
      </w:r>
      <w:proofErr w:type="spellEnd"/>
      <w:r w:rsidR="006225EE" w:rsidRPr="00DD2634">
        <w:rPr>
          <w:sz w:val="24"/>
          <w:szCs w:val="24"/>
        </w:rPr>
        <w:t xml:space="preserve"> data collection results were released in April 2013 and are available from the department’s website at </w:t>
      </w:r>
      <w:hyperlink r:id="rId30" w:history="1">
        <w:r w:rsidR="006225EE" w:rsidRPr="003B44C3">
          <w:rPr>
            <w:rStyle w:val="Hyperlink"/>
            <w:color w:val="auto"/>
            <w:sz w:val="24"/>
            <w:szCs w:val="24"/>
            <w:u w:val="none"/>
          </w:rPr>
          <w:t>education.gov.au</w:t>
        </w:r>
      </w:hyperlink>
      <w:r w:rsidR="006225EE" w:rsidRPr="00DD2634">
        <w:rPr>
          <w:sz w:val="24"/>
          <w:szCs w:val="24"/>
        </w:rPr>
        <w:t>.</w:t>
      </w:r>
      <w:r w:rsidRPr="00DD2634">
        <w:rPr>
          <w:sz w:val="24"/>
          <w:szCs w:val="24"/>
        </w:rPr>
        <w:t xml:space="preserve"> Preparations are now underway for the 2015 </w:t>
      </w:r>
      <w:r w:rsidR="00EC5924" w:rsidRPr="00DD2634">
        <w:rPr>
          <w:sz w:val="24"/>
          <w:szCs w:val="24"/>
        </w:rPr>
        <w:t xml:space="preserve">data </w:t>
      </w:r>
      <w:r w:rsidRPr="00DD2634">
        <w:rPr>
          <w:sz w:val="24"/>
          <w:szCs w:val="24"/>
        </w:rPr>
        <w:t>collection.</w:t>
      </w:r>
    </w:p>
    <w:p w14:paraId="04969DCC" w14:textId="77777777" w:rsidR="006225EE" w:rsidRPr="00DD2634" w:rsidRDefault="006225EE" w:rsidP="00F5598D">
      <w:pPr>
        <w:spacing w:after="120" w:line="240" w:lineRule="auto"/>
        <w:rPr>
          <w:sz w:val="24"/>
          <w:szCs w:val="24"/>
          <w:u w:val="single"/>
        </w:rPr>
      </w:pPr>
      <w:r w:rsidRPr="00DD2634">
        <w:rPr>
          <w:sz w:val="24"/>
          <w:szCs w:val="24"/>
          <w:u w:val="single"/>
        </w:rPr>
        <w:t>Home Interaction Program for Parents and Youngsters (HIPPY)</w:t>
      </w:r>
    </w:p>
    <w:p w14:paraId="04969DCD" w14:textId="6DAD34BB" w:rsidR="006225EE" w:rsidRPr="00DD2634" w:rsidRDefault="00EC5924" w:rsidP="006225EE">
      <w:pPr>
        <w:spacing w:after="120" w:line="240" w:lineRule="auto"/>
        <w:rPr>
          <w:sz w:val="24"/>
          <w:szCs w:val="24"/>
        </w:rPr>
      </w:pPr>
      <w:r w:rsidRPr="00DD2634">
        <w:rPr>
          <w:sz w:val="24"/>
          <w:szCs w:val="24"/>
        </w:rPr>
        <w:t xml:space="preserve">HIPPY is a </w:t>
      </w:r>
      <w:r w:rsidR="006225EE" w:rsidRPr="00DD2634">
        <w:rPr>
          <w:sz w:val="24"/>
          <w:szCs w:val="24"/>
        </w:rPr>
        <w:t xml:space="preserve">home-based parenting and early childhood programme that helps parents and </w:t>
      </w:r>
      <w:r w:rsidR="00714B4F" w:rsidRPr="00DD2634">
        <w:rPr>
          <w:sz w:val="24"/>
          <w:szCs w:val="24"/>
        </w:rPr>
        <w:t>educator</w:t>
      </w:r>
      <w:r w:rsidR="006225EE" w:rsidRPr="00DD2634">
        <w:rPr>
          <w:sz w:val="24"/>
          <w:szCs w:val="24"/>
        </w:rPr>
        <w:t xml:space="preserve">s to be their child’s first teacher to help prepare their child for school. Parents and their children enrol in the programme in the year before the child commences formal school and participate for two years. </w:t>
      </w:r>
    </w:p>
    <w:p w14:paraId="04969DCE" w14:textId="77777777" w:rsidR="006225EE" w:rsidRPr="00DD2634" w:rsidRDefault="006225EE" w:rsidP="006225EE">
      <w:pPr>
        <w:spacing w:after="120" w:line="240" w:lineRule="auto"/>
        <w:rPr>
          <w:sz w:val="24"/>
          <w:szCs w:val="24"/>
        </w:rPr>
      </w:pPr>
      <w:r w:rsidRPr="00DD2634">
        <w:rPr>
          <w:sz w:val="24"/>
          <w:szCs w:val="24"/>
        </w:rPr>
        <w:lastRenderedPageBreak/>
        <w:t>The programme activities are designed to be integrated into the daily life of the family. The first year of the programme focuses on literacy and numeracy skills. The second year extends these activities and provides parents with additional information about children's learning and development.</w:t>
      </w:r>
    </w:p>
    <w:p w14:paraId="04969DCF" w14:textId="6F1AA8CA" w:rsidR="006225EE" w:rsidRPr="00DD2634" w:rsidRDefault="006225EE" w:rsidP="006225EE">
      <w:pPr>
        <w:spacing w:after="120" w:line="240" w:lineRule="auto"/>
        <w:rPr>
          <w:sz w:val="24"/>
          <w:szCs w:val="24"/>
        </w:rPr>
      </w:pPr>
      <w:r w:rsidRPr="00DD2634">
        <w:rPr>
          <w:sz w:val="24"/>
          <w:szCs w:val="24"/>
        </w:rPr>
        <w:t>Each programme location is staffed by a qualified leader</w:t>
      </w:r>
      <w:r w:rsidR="007B2673" w:rsidRPr="00DD2634">
        <w:rPr>
          <w:sz w:val="24"/>
          <w:szCs w:val="24"/>
        </w:rPr>
        <w:t xml:space="preserve"> and a team of home tutors, who, in many cases, </w:t>
      </w:r>
      <w:r w:rsidRPr="00DD2634">
        <w:rPr>
          <w:sz w:val="24"/>
          <w:szCs w:val="24"/>
        </w:rPr>
        <w:t>are usually past or current parents in the programme who live in the community.</w:t>
      </w:r>
    </w:p>
    <w:p w14:paraId="04969DD0" w14:textId="12663E0D" w:rsidR="00097FF7" w:rsidRPr="00DD2634" w:rsidRDefault="006C1473" w:rsidP="006225EE">
      <w:pPr>
        <w:spacing w:after="120" w:line="240" w:lineRule="auto"/>
        <w:rPr>
          <w:sz w:val="24"/>
          <w:szCs w:val="24"/>
        </w:rPr>
      </w:pPr>
      <w:r w:rsidRPr="00DD2634">
        <w:rPr>
          <w:sz w:val="24"/>
          <w:szCs w:val="24"/>
        </w:rPr>
        <w:t xml:space="preserve">More than $100 million has been committed to HIPPY to support continuing programme delivery and expand the programme to additional locations. </w:t>
      </w:r>
      <w:r w:rsidR="00F5598D" w:rsidRPr="00DD2634">
        <w:rPr>
          <w:sz w:val="24"/>
          <w:szCs w:val="24"/>
        </w:rPr>
        <w:t>In July 2013,</w:t>
      </w:r>
      <w:r w:rsidR="001A168A" w:rsidRPr="00DD2634">
        <w:rPr>
          <w:sz w:val="24"/>
          <w:szCs w:val="24"/>
        </w:rPr>
        <w:t xml:space="preserve"> </w:t>
      </w:r>
      <w:r w:rsidR="00F5598D" w:rsidRPr="00DD2634">
        <w:rPr>
          <w:sz w:val="24"/>
          <w:szCs w:val="24"/>
        </w:rPr>
        <w:t xml:space="preserve">an additional 25 Indigenous focussed communities were selected for HIPPY with programme delivery to commence in early 2014. A further 25 Indigenous focussed HIPPY sites will be selected in 2014 and are scheduled to commence delivery in 2015. This </w:t>
      </w:r>
      <w:r w:rsidR="00160E07" w:rsidRPr="00DD2634">
        <w:rPr>
          <w:sz w:val="24"/>
          <w:szCs w:val="24"/>
        </w:rPr>
        <w:t>will bring</w:t>
      </w:r>
      <w:r w:rsidR="00F5598D" w:rsidRPr="00DD2634">
        <w:rPr>
          <w:sz w:val="24"/>
          <w:szCs w:val="24"/>
        </w:rPr>
        <w:t xml:space="preserve"> the total number of HIPPY sites operating nationally from 2015 to 100.</w:t>
      </w:r>
    </w:p>
    <w:p w14:paraId="04969DD1" w14:textId="6912D445" w:rsidR="006225EE" w:rsidRPr="00DD2634" w:rsidRDefault="006225EE" w:rsidP="00016891">
      <w:pPr>
        <w:pStyle w:val="NormalNumbered"/>
        <w:numPr>
          <w:ilvl w:val="0"/>
          <w:numId w:val="30"/>
        </w:numPr>
        <w:ind w:hanging="720"/>
        <w:rPr>
          <w:b/>
        </w:rPr>
      </w:pPr>
      <w:bookmarkStart w:id="90" w:name="_Toc377217355"/>
      <w:r w:rsidRPr="00DD2634">
        <w:rPr>
          <w:b/>
        </w:rPr>
        <w:t>Jobs, Education and Training Child Care Fee Assistance</w:t>
      </w:r>
      <w:bookmarkEnd w:id="90"/>
      <w:r w:rsidR="00D05A2C">
        <w:rPr>
          <w:b/>
        </w:rPr>
        <w:t xml:space="preserve"> (JETCCFA)</w:t>
      </w:r>
    </w:p>
    <w:p w14:paraId="3422ADFC" w14:textId="547008EA" w:rsidR="00BF5E08" w:rsidRDefault="00D05A2C" w:rsidP="00BF5E08">
      <w:pPr>
        <w:spacing w:after="120" w:line="240" w:lineRule="auto"/>
        <w:rPr>
          <w:sz w:val="24"/>
          <w:szCs w:val="24"/>
        </w:rPr>
      </w:pPr>
      <w:r>
        <w:rPr>
          <w:sz w:val="24"/>
          <w:szCs w:val="24"/>
        </w:rPr>
        <w:t>JETCCFA</w:t>
      </w:r>
      <w:r w:rsidR="006225EE" w:rsidRPr="00DD2634">
        <w:rPr>
          <w:sz w:val="24"/>
          <w:szCs w:val="24"/>
        </w:rPr>
        <w:t xml:space="preserve"> helps eligible income support parents with the cost of approved child care while they are working, studying or training. The programme assists parents to enter or return to the workforce, without the cost of child care being a barrier.</w:t>
      </w:r>
      <w:r w:rsidR="005541E0" w:rsidRPr="00BF5E08">
        <w:rPr>
          <w:sz w:val="24"/>
          <w:szCs w:val="24"/>
        </w:rPr>
        <w:t xml:space="preserve"> </w:t>
      </w:r>
      <w:r w:rsidR="005541E0" w:rsidRPr="00DD2634">
        <w:rPr>
          <w:sz w:val="24"/>
          <w:szCs w:val="24"/>
        </w:rPr>
        <w:t xml:space="preserve">JETCCFA meets the net costs of care, after </w:t>
      </w:r>
      <w:proofErr w:type="spellStart"/>
      <w:r w:rsidR="005541E0" w:rsidRPr="00DD2634">
        <w:rPr>
          <w:sz w:val="24"/>
          <w:szCs w:val="24"/>
        </w:rPr>
        <w:t>CCB</w:t>
      </w:r>
      <w:proofErr w:type="spellEnd"/>
      <w:r w:rsidR="005541E0" w:rsidRPr="00DD2634">
        <w:rPr>
          <w:sz w:val="24"/>
          <w:szCs w:val="24"/>
        </w:rPr>
        <w:t>, apart from a $1 per hour parental co-contribution. Parents can claim 50 per cent of this co-contribution from CCR, reducing the actual out of pocket cost of care to parents to 50 cents per hour.</w:t>
      </w:r>
      <w:r w:rsidR="006225EE" w:rsidRPr="00DD2634">
        <w:rPr>
          <w:sz w:val="24"/>
          <w:szCs w:val="24"/>
        </w:rPr>
        <w:t xml:space="preserve"> </w:t>
      </w:r>
    </w:p>
    <w:p w14:paraId="41326563" w14:textId="31796095" w:rsidR="00BF5E08" w:rsidRPr="00BF5E08" w:rsidRDefault="00BF5E08" w:rsidP="00BF5E08">
      <w:pPr>
        <w:spacing w:after="120" w:line="240" w:lineRule="auto"/>
        <w:rPr>
          <w:sz w:val="24"/>
          <w:szCs w:val="24"/>
        </w:rPr>
      </w:pPr>
      <w:r w:rsidRPr="00BF5E08">
        <w:rPr>
          <w:sz w:val="24"/>
          <w:szCs w:val="24"/>
        </w:rPr>
        <w:t>The number of JETCCFA hours per week is determined by a parent’s work, training or study commitments and can be approved for up to 52 weeks in advance for study activities, and up to 26 weeks for work activities. JETCCFA hours of care are approved in multiples of 12 (up to 60), which reflects general service operating hours and sessional charging practices of child care services.</w:t>
      </w:r>
    </w:p>
    <w:p w14:paraId="04969DD3" w14:textId="53A0B1D4" w:rsidR="00A033A4" w:rsidRPr="00DD2634" w:rsidRDefault="00A033A4" w:rsidP="00A033A4">
      <w:pPr>
        <w:spacing w:after="120" w:line="240" w:lineRule="auto"/>
        <w:rPr>
          <w:sz w:val="24"/>
          <w:szCs w:val="24"/>
        </w:rPr>
      </w:pPr>
      <w:r w:rsidRPr="00DD2634">
        <w:rPr>
          <w:sz w:val="24"/>
          <w:szCs w:val="24"/>
        </w:rPr>
        <w:t>Since 2010-11, demand for JETCCFA has increased, with around 36,000 parents annually assisted by JETCCFA compared with an average of 24,000</w:t>
      </w:r>
      <w:r w:rsidR="007B2673" w:rsidRPr="00DD2634">
        <w:rPr>
          <w:sz w:val="24"/>
          <w:szCs w:val="24"/>
        </w:rPr>
        <w:t xml:space="preserve"> in the previous three years. </w:t>
      </w:r>
      <w:r w:rsidRPr="00DD2634">
        <w:rPr>
          <w:sz w:val="24"/>
          <w:szCs w:val="24"/>
        </w:rPr>
        <w:t>Over 80 per cent of parents receiving JETCCFA are undertaking study activities</w:t>
      </w:r>
      <w:r w:rsidR="007B2673" w:rsidRPr="00DD2634">
        <w:rPr>
          <w:sz w:val="24"/>
          <w:szCs w:val="24"/>
        </w:rPr>
        <w:t>.</w:t>
      </w:r>
    </w:p>
    <w:p w14:paraId="04969DD4" w14:textId="77777777" w:rsidR="006225EE" w:rsidRPr="00DD2634" w:rsidRDefault="006225EE" w:rsidP="006225EE">
      <w:pPr>
        <w:spacing w:after="120" w:line="240" w:lineRule="auto"/>
        <w:rPr>
          <w:sz w:val="24"/>
          <w:szCs w:val="24"/>
        </w:rPr>
      </w:pPr>
      <w:r w:rsidRPr="00DD2634">
        <w:rPr>
          <w:sz w:val="24"/>
          <w:szCs w:val="24"/>
        </w:rPr>
        <w:t xml:space="preserve">The number of parents and children in receipt of JETCCFA during 2012–13 continued </w:t>
      </w:r>
      <w:r w:rsidR="00276B73" w:rsidRPr="00DD2634">
        <w:rPr>
          <w:sz w:val="24"/>
          <w:szCs w:val="24"/>
        </w:rPr>
        <w:t xml:space="preserve">the trend of the previous two financial years </w:t>
      </w:r>
      <w:r w:rsidRPr="00DD2634">
        <w:rPr>
          <w:sz w:val="24"/>
          <w:szCs w:val="24"/>
        </w:rPr>
        <w:t xml:space="preserve">to increase throughout the year beyond </w:t>
      </w:r>
      <w:r w:rsidR="0063640F" w:rsidRPr="00DD2634">
        <w:rPr>
          <w:sz w:val="24"/>
          <w:szCs w:val="24"/>
        </w:rPr>
        <w:t xml:space="preserve">expected </w:t>
      </w:r>
      <w:r w:rsidRPr="00DD2634">
        <w:rPr>
          <w:sz w:val="24"/>
          <w:szCs w:val="24"/>
        </w:rPr>
        <w:t>estimated usage. This resulted in increases in JETCCFA funding as more income support families are accessing JETCCFA, particularly while children are below school age.</w:t>
      </w:r>
    </w:p>
    <w:p w14:paraId="04969DD5" w14:textId="72D7A7F1" w:rsidR="00F15BD7" w:rsidRPr="00DD2634" w:rsidRDefault="00F15BD7" w:rsidP="00381744">
      <w:pPr>
        <w:pStyle w:val="NormalNumbered"/>
        <w:numPr>
          <w:ilvl w:val="0"/>
          <w:numId w:val="0"/>
        </w:numPr>
      </w:pPr>
      <w:r w:rsidRPr="00DD2634">
        <w:t xml:space="preserve">JETCCFA is </w:t>
      </w:r>
      <w:r w:rsidR="00862A00" w:rsidRPr="00DD2634">
        <w:t>demand driven programme with a capped appropriation. W</w:t>
      </w:r>
      <w:r w:rsidRPr="00DD2634">
        <w:t>henever there are changes in related policy areas, such as workforce participation requirements for parents on income support, pressure on this subsidy grows</w:t>
      </w:r>
      <w:r w:rsidR="00E700F9" w:rsidRPr="00DD2634">
        <w:t>.</w:t>
      </w:r>
    </w:p>
    <w:p w14:paraId="04969DD6" w14:textId="33D0F870" w:rsidR="006225EE" w:rsidRPr="00DD2634" w:rsidRDefault="006225EE" w:rsidP="006225EE">
      <w:pPr>
        <w:spacing w:after="120" w:line="240" w:lineRule="auto"/>
        <w:rPr>
          <w:sz w:val="24"/>
          <w:szCs w:val="24"/>
        </w:rPr>
      </w:pPr>
      <w:r w:rsidRPr="00DD2634">
        <w:rPr>
          <w:sz w:val="24"/>
          <w:szCs w:val="24"/>
        </w:rPr>
        <w:t xml:space="preserve">In 2012-13 the Government </w:t>
      </w:r>
      <w:r w:rsidR="007B2673" w:rsidRPr="00DD2634">
        <w:rPr>
          <w:sz w:val="24"/>
          <w:szCs w:val="24"/>
        </w:rPr>
        <w:t xml:space="preserve">spent around </w:t>
      </w:r>
      <w:r w:rsidRPr="00DD2634">
        <w:rPr>
          <w:sz w:val="24"/>
          <w:szCs w:val="24"/>
        </w:rPr>
        <w:t>$</w:t>
      </w:r>
      <w:r w:rsidR="00F915AD" w:rsidRPr="00DD2634">
        <w:rPr>
          <w:sz w:val="24"/>
          <w:szCs w:val="24"/>
        </w:rPr>
        <w:t>108.9</w:t>
      </w:r>
      <w:r w:rsidRPr="00DD2634">
        <w:rPr>
          <w:sz w:val="24"/>
          <w:szCs w:val="24"/>
        </w:rPr>
        <w:t xml:space="preserve"> million in JETCCFA funding.</w:t>
      </w:r>
    </w:p>
    <w:p w14:paraId="04969DD7" w14:textId="77777777" w:rsidR="0013429C" w:rsidRPr="00DD2634" w:rsidRDefault="00160E07" w:rsidP="00016891">
      <w:pPr>
        <w:pStyle w:val="NormalNumbered"/>
        <w:numPr>
          <w:ilvl w:val="0"/>
          <w:numId w:val="30"/>
        </w:numPr>
        <w:ind w:hanging="720"/>
        <w:rPr>
          <w:b/>
        </w:rPr>
      </w:pPr>
      <w:r w:rsidRPr="00DD2634">
        <w:rPr>
          <w:b/>
        </w:rPr>
        <w:t>Professional Development Programme for LDC Services</w:t>
      </w:r>
    </w:p>
    <w:p w14:paraId="04969DD8" w14:textId="586AD050" w:rsidR="008C3E11" w:rsidRPr="00DD2634" w:rsidRDefault="008C3E11" w:rsidP="008C3E11">
      <w:pPr>
        <w:spacing w:after="120" w:line="240" w:lineRule="auto"/>
        <w:rPr>
          <w:sz w:val="24"/>
          <w:szCs w:val="24"/>
        </w:rPr>
      </w:pPr>
      <w:r w:rsidRPr="00DD2634">
        <w:rPr>
          <w:sz w:val="24"/>
          <w:szCs w:val="24"/>
        </w:rPr>
        <w:t xml:space="preserve">In December 2013 the Government announced that it </w:t>
      </w:r>
      <w:r w:rsidR="00ED0AA6" w:rsidRPr="00DD2634">
        <w:rPr>
          <w:sz w:val="24"/>
          <w:szCs w:val="24"/>
        </w:rPr>
        <w:t xml:space="preserve">had </w:t>
      </w:r>
      <w:r w:rsidR="00160E07" w:rsidRPr="00DD2634">
        <w:rPr>
          <w:sz w:val="24"/>
          <w:szCs w:val="24"/>
        </w:rPr>
        <w:t>establish</w:t>
      </w:r>
      <w:r w:rsidR="00ED0AA6" w:rsidRPr="00DD2634">
        <w:rPr>
          <w:sz w:val="24"/>
          <w:szCs w:val="24"/>
        </w:rPr>
        <w:t>ed</w:t>
      </w:r>
      <w:r w:rsidRPr="00DD2634">
        <w:rPr>
          <w:sz w:val="24"/>
          <w:szCs w:val="24"/>
        </w:rPr>
        <w:t xml:space="preserve"> a new professional development programme for educators working in</w:t>
      </w:r>
      <w:r w:rsidR="007B2673" w:rsidRPr="00DD2634">
        <w:rPr>
          <w:sz w:val="24"/>
          <w:szCs w:val="24"/>
        </w:rPr>
        <w:t xml:space="preserve"> LDC</w:t>
      </w:r>
      <w:r w:rsidRPr="00DD2634">
        <w:rPr>
          <w:sz w:val="24"/>
          <w:szCs w:val="24"/>
        </w:rPr>
        <w:t xml:space="preserve">. The new programme will assist educators meet the qualification requirements under the </w:t>
      </w:r>
      <w:proofErr w:type="spellStart"/>
      <w:r w:rsidRPr="00DD2634">
        <w:rPr>
          <w:sz w:val="24"/>
          <w:szCs w:val="24"/>
        </w:rPr>
        <w:lastRenderedPageBreak/>
        <w:t>NQF</w:t>
      </w:r>
      <w:proofErr w:type="spellEnd"/>
      <w:r w:rsidRPr="00DD2634">
        <w:rPr>
          <w:sz w:val="24"/>
          <w:szCs w:val="24"/>
        </w:rPr>
        <w:t xml:space="preserve"> and improve quality outcomes for children. The new programme is due to commence in </w:t>
      </w:r>
      <w:r w:rsidR="00160E07" w:rsidRPr="00DD2634">
        <w:rPr>
          <w:sz w:val="24"/>
          <w:szCs w:val="24"/>
        </w:rPr>
        <w:t>March/April</w:t>
      </w:r>
      <w:r w:rsidRPr="00DD2634">
        <w:rPr>
          <w:sz w:val="24"/>
          <w:szCs w:val="24"/>
        </w:rPr>
        <w:t xml:space="preserve"> 2014.</w:t>
      </w:r>
    </w:p>
    <w:p w14:paraId="04969DD9" w14:textId="7A2A04EC" w:rsidR="006225EE" w:rsidRPr="00DD2634" w:rsidRDefault="006225EE" w:rsidP="0011648D">
      <w:pPr>
        <w:pStyle w:val="Heading3"/>
      </w:pPr>
      <w:bookmarkStart w:id="91" w:name="_Toc377217356"/>
      <w:r w:rsidRPr="00DD2634">
        <w:t>Pro</w:t>
      </w:r>
      <w:r w:rsidR="00F915AD" w:rsidRPr="00DD2634">
        <w:t>gramme 1.2: Child Care F</w:t>
      </w:r>
      <w:r w:rsidRPr="00DD2634">
        <w:t>ee Assistanc</w:t>
      </w:r>
      <w:bookmarkEnd w:id="91"/>
      <w:r w:rsidR="00097FF7" w:rsidRPr="00DD2634">
        <w:t>e</w:t>
      </w:r>
    </w:p>
    <w:p w14:paraId="04969DDA" w14:textId="747DDA80" w:rsidR="006225EE" w:rsidRPr="00DD2634" w:rsidRDefault="006225EE" w:rsidP="006225EE">
      <w:pPr>
        <w:spacing w:after="120" w:line="240" w:lineRule="auto"/>
        <w:rPr>
          <w:rFonts w:cstheme="minorHAnsi"/>
          <w:sz w:val="24"/>
          <w:szCs w:val="24"/>
        </w:rPr>
      </w:pPr>
      <w:r w:rsidRPr="00DD2634">
        <w:rPr>
          <w:rFonts w:cstheme="minorHAnsi"/>
          <w:sz w:val="24"/>
          <w:szCs w:val="24"/>
        </w:rPr>
        <w:t xml:space="preserve">Programme 1.2 is focused upon the provision of funding to families to assist with the costs of child care and accounts for over 90 per cent of the total Australian Government expenditure within the </w:t>
      </w:r>
      <w:r w:rsidR="00BA5320" w:rsidRPr="00DD2634">
        <w:rPr>
          <w:rFonts w:cstheme="minorHAnsi"/>
          <w:sz w:val="24"/>
          <w:szCs w:val="24"/>
        </w:rPr>
        <w:t>CCECL sector</w:t>
      </w:r>
      <w:r w:rsidRPr="00DD2634">
        <w:rPr>
          <w:rFonts w:cstheme="minorHAnsi"/>
          <w:sz w:val="24"/>
          <w:szCs w:val="24"/>
        </w:rPr>
        <w:t>.</w:t>
      </w:r>
    </w:p>
    <w:p w14:paraId="04969DDC" w14:textId="394165A3" w:rsidR="006225EE" w:rsidRDefault="006225EE" w:rsidP="006225EE">
      <w:pPr>
        <w:spacing w:after="120" w:line="240" w:lineRule="auto"/>
        <w:rPr>
          <w:rFonts w:cstheme="minorHAnsi"/>
          <w:sz w:val="24"/>
          <w:szCs w:val="24"/>
        </w:rPr>
      </w:pPr>
      <w:r w:rsidRPr="00DD2634">
        <w:rPr>
          <w:rFonts w:cstheme="minorHAnsi"/>
          <w:sz w:val="24"/>
          <w:szCs w:val="24"/>
          <w:u w:val="single"/>
        </w:rPr>
        <w:t>Child Care Benefit (</w:t>
      </w:r>
      <w:proofErr w:type="spellStart"/>
      <w:r w:rsidRPr="00DD2634">
        <w:rPr>
          <w:rFonts w:cstheme="minorHAnsi"/>
          <w:sz w:val="24"/>
          <w:szCs w:val="24"/>
          <w:u w:val="single"/>
        </w:rPr>
        <w:t>CCB</w:t>
      </w:r>
      <w:proofErr w:type="spellEnd"/>
      <w:r w:rsidRPr="00DD2634">
        <w:rPr>
          <w:rFonts w:cstheme="minorHAnsi"/>
          <w:sz w:val="24"/>
          <w:szCs w:val="24"/>
          <w:u w:val="single"/>
        </w:rPr>
        <w:t>)</w:t>
      </w:r>
      <w:r w:rsidR="00ED0AA6" w:rsidRPr="00DD2634">
        <w:rPr>
          <w:rFonts w:cstheme="minorHAnsi"/>
          <w:sz w:val="24"/>
          <w:szCs w:val="24"/>
        </w:rPr>
        <w:t xml:space="preserve"> </w:t>
      </w:r>
      <w:r w:rsidR="00412E8F" w:rsidRPr="00DD2634">
        <w:t xml:space="preserve">– </w:t>
      </w:r>
      <w:r w:rsidRPr="00DD2634">
        <w:rPr>
          <w:rFonts w:cstheme="minorHAnsi"/>
          <w:sz w:val="24"/>
          <w:szCs w:val="24"/>
        </w:rPr>
        <w:t xml:space="preserve">assists parents with the cost of approved and registered child care. The payment of </w:t>
      </w:r>
      <w:proofErr w:type="spellStart"/>
      <w:r w:rsidRPr="00DD2634">
        <w:rPr>
          <w:rFonts w:cstheme="minorHAnsi"/>
          <w:sz w:val="24"/>
          <w:szCs w:val="24"/>
        </w:rPr>
        <w:t>CCB</w:t>
      </w:r>
      <w:proofErr w:type="spellEnd"/>
      <w:r w:rsidRPr="00DD2634">
        <w:rPr>
          <w:rFonts w:cstheme="minorHAnsi"/>
          <w:sz w:val="24"/>
          <w:szCs w:val="24"/>
        </w:rPr>
        <w:t xml:space="preserve"> </w:t>
      </w:r>
      <w:r w:rsidR="007B2673" w:rsidRPr="00DD2634">
        <w:rPr>
          <w:rFonts w:cstheme="minorHAnsi"/>
          <w:sz w:val="24"/>
          <w:szCs w:val="24"/>
        </w:rPr>
        <w:t xml:space="preserve">for approved care </w:t>
      </w:r>
      <w:r w:rsidRPr="00DD2634">
        <w:rPr>
          <w:rFonts w:cstheme="minorHAnsi"/>
          <w:sz w:val="24"/>
          <w:szCs w:val="24"/>
        </w:rPr>
        <w:t xml:space="preserve">varies depending on family income, the number of children in care, the hours of care, and the type of child care used. </w:t>
      </w:r>
      <w:proofErr w:type="spellStart"/>
      <w:r w:rsidR="009B0EB4" w:rsidRPr="00DD2634">
        <w:rPr>
          <w:rFonts w:cstheme="minorHAnsi"/>
          <w:sz w:val="24"/>
          <w:szCs w:val="24"/>
        </w:rPr>
        <w:t>CCB</w:t>
      </w:r>
      <w:proofErr w:type="spellEnd"/>
      <w:r w:rsidR="009B0EB4" w:rsidRPr="00DD2634">
        <w:rPr>
          <w:rFonts w:cstheme="minorHAnsi"/>
          <w:sz w:val="24"/>
          <w:szCs w:val="24"/>
        </w:rPr>
        <w:t xml:space="preserve"> for registered care is paid at a much lower rate than </w:t>
      </w:r>
      <w:proofErr w:type="spellStart"/>
      <w:r w:rsidR="009B0EB4" w:rsidRPr="00DD2634">
        <w:rPr>
          <w:rFonts w:cstheme="minorHAnsi"/>
          <w:sz w:val="24"/>
          <w:szCs w:val="24"/>
        </w:rPr>
        <w:t>CCB</w:t>
      </w:r>
      <w:proofErr w:type="spellEnd"/>
      <w:r w:rsidR="009B0EB4" w:rsidRPr="00DD2634">
        <w:rPr>
          <w:rFonts w:cstheme="minorHAnsi"/>
          <w:sz w:val="24"/>
          <w:szCs w:val="24"/>
        </w:rPr>
        <w:t xml:space="preserve"> for approved care, as the latter payment requires the provider to meet various quality and compliance requirements.</w:t>
      </w:r>
    </w:p>
    <w:p w14:paraId="23B55C1A" w14:textId="73B9AC15" w:rsidR="001936B3" w:rsidRPr="00DD2634" w:rsidRDefault="001936B3" w:rsidP="006225EE">
      <w:pPr>
        <w:spacing w:after="120" w:line="240" w:lineRule="auto"/>
        <w:rPr>
          <w:rFonts w:cstheme="minorHAnsi"/>
          <w:sz w:val="24"/>
          <w:szCs w:val="24"/>
        </w:rPr>
      </w:pPr>
      <w:r>
        <w:rPr>
          <w:rFonts w:cstheme="minorHAnsi"/>
          <w:sz w:val="24"/>
          <w:szCs w:val="24"/>
        </w:rPr>
        <w:t xml:space="preserve">Support available under </w:t>
      </w:r>
      <w:proofErr w:type="spellStart"/>
      <w:r>
        <w:rPr>
          <w:rFonts w:cstheme="minorHAnsi"/>
          <w:sz w:val="24"/>
          <w:szCs w:val="24"/>
        </w:rPr>
        <w:t>CCB</w:t>
      </w:r>
      <w:proofErr w:type="spellEnd"/>
      <w:r>
        <w:rPr>
          <w:rFonts w:cstheme="minorHAnsi"/>
          <w:sz w:val="24"/>
          <w:szCs w:val="24"/>
        </w:rPr>
        <w:t xml:space="preserve"> varies with the family’s circumstances. By way of example:</w:t>
      </w:r>
    </w:p>
    <w:p w14:paraId="19D64AA3" w14:textId="4D6EA28E" w:rsidR="000F12A6" w:rsidRPr="001936B3" w:rsidRDefault="001936B3" w:rsidP="001936B3">
      <w:pPr>
        <w:pStyle w:val="ListParagraph"/>
        <w:numPr>
          <w:ilvl w:val="0"/>
          <w:numId w:val="45"/>
        </w:numPr>
        <w:spacing w:after="120" w:line="240" w:lineRule="auto"/>
        <w:rPr>
          <w:rFonts w:cstheme="minorHAnsi"/>
          <w:sz w:val="24"/>
          <w:szCs w:val="24"/>
        </w:rPr>
      </w:pPr>
      <w:r w:rsidRPr="001936B3">
        <w:rPr>
          <w:rFonts w:cstheme="minorHAnsi"/>
          <w:sz w:val="24"/>
          <w:szCs w:val="24"/>
        </w:rPr>
        <w:t>t</w:t>
      </w:r>
      <w:r w:rsidR="000F12A6" w:rsidRPr="001936B3">
        <w:rPr>
          <w:rFonts w:cstheme="minorHAnsi"/>
          <w:sz w:val="24"/>
          <w:szCs w:val="24"/>
        </w:rPr>
        <w:t xml:space="preserve">he current approved care </w:t>
      </w:r>
      <w:proofErr w:type="spellStart"/>
      <w:r w:rsidR="000F12A6" w:rsidRPr="001936B3">
        <w:rPr>
          <w:rFonts w:cstheme="minorHAnsi"/>
          <w:sz w:val="24"/>
          <w:szCs w:val="24"/>
        </w:rPr>
        <w:t>CCB</w:t>
      </w:r>
      <w:proofErr w:type="spellEnd"/>
      <w:r w:rsidR="000F12A6" w:rsidRPr="001936B3">
        <w:rPr>
          <w:rFonts w:cstheme="minorHAnsi"/>
          <w:sz w:val="24"/>
          <w:szCs w:val="24"/>
        </w:rPr>
        <w:t xml:space="preserve"> rate for a </w:t>
      </w:r>
      <w:proofErr w:type="spellStart"/>
      <w:r w:rsidR="000F12A6" w:rsidRPr="001936B3">
        <w:rPr>
          <w:rFonts w:cstheme="minorHAnsi"/>
          <w:sz w:val="24"/>
          <w:szCs w:val="24"/>
        </w:rPr>
        <w:t>non school</w:t>
      </w:r>
      <w:proofErr w:type="spellEnd"/>
      <w:r w:rsidR="000F12A6" w:rsidRPr="001936B3">
        <w:rPr>
          <w:rFonts w:cstheme="minorHAnsi"/>
          <w:sz w:val="24"/>
          <w:szCs w:val="24"/>
        </w:rPr>
        <w:t>-aged child in up to 50 hours of care per week is $3.9</w:t>
      </w:r>
      <w:r w:rsidRPr="001936B3">
        <w:rPr>
          <w:rFonts w:cstheme="minorHAnsi"/>
          <w:sz w:val="24"/>
          <w:szCs w:val="24"/>
        </w:rPr>
        <w:t>9 per hour, or $199.50 per week</w:t>
      </w:r>
      <w:r w:rsidR="000F12A6" w:rsidRPr="001936B3">
        <w:rPr>
          <w:rFonts w:cstheme="minorHAnsi"/>
          <w:sz w:val="24"/>
          <w:szCs w:val="24"/>
        </w:rPr>
        <w:t xml:space="preserve"> </w:t>
      </w:r>
    </w:p>
    <w:p w14:paraId="544723CA" w14:textId="77777777" w:rsidR="001936B3" w:rsidRPr="001936B3" w:rsidRDefault="001936B3" w:rsidP="001936B3">
      <w:pPr>
        <w:pStyle w:val="ListParagraph"/>
        <w:numPr>
          <w:ilvl w:val="0"/>
          <w:numId w:val="45"/>
        </w:numPr>
        <w:rPr>
          <w:rFonts w:cstheme="minorHAnsi"/>
          <w:sz w:val="24"/>
          <w:szCs w:val="24"/>
        </w:rPr>
      </w:pPr>
      <w:r w:rsidRPr="001936B3">
        <w:rPr>
          <w:rFonts w:cstheme="minorHAnsi"/>
          <w:sz w:val="24"/>
          <w:szCs w:val="24"/>
        </w:rPr>
        <w:t>t</w:t>
      </w:r>
      <w:r w:rsidR="000F12A6" w:rsidRPr="001936B3">
        <w:rPr>
          <w:rFonts w:cstheme="minorHAnsi"/>
          <w:sz w:val="24"/>
          <w:szCs w:val="24"/>
        </w:rPr>
        <w:t xml:space="preserve">he current registered care </w:t>
      </w:r>
      <w:proofErr w:type="spellStart"/>
      <w:r w:rsidR="006F098E" w:rsidRPr="001936B3">
        <w:rPr>
          <w:rFonts w:cstheme="minorHAnsi"/>
          <w:sz w:val="24"/>
          <w:szCs w:val="24"/>
        </w:rPr>
        <w:t>CCB</w:t>
      </w:r>
      <w:proofErr w:type="spellEnd"/>
      <w:r w:rsidR="006F098E" w:rsidRPr="001936B3">
        <w:rPr>
          <w:rFonts w:cstheme="minorHAnsi"/>
          <w:sz w:val="24"/>
          <w:szCs w:val="24"/>
        </w:rPr>
        <w:t xml:space="preserve"> </w:t>
      </w:r>
      <w:r w:rsidR="000F12A6" w:rsidRPr="001936B3">
        <w:rPr>
          <w:rFonts w:cstheme="minorHAnsi"/>
          <w:sz w:val="24"/>
          <w:szCs w:val="24"/>
        </w:rPr>
        <w:t xml:space="preserve">rate for a </w:t>
      </w:r>
      <w:proofErr w:type="spellStart"/>
      <w:r w:rsidR="000F12A6" w:rsidRPr="001936B3">
        <w:rPr>
          <w:rFonts w:cstheme="minorHAnsi"/>
          <w:sz w:val="24"/>
          <w:szCs w:val="24"/>
        </w:rPr>
        <w:t>non school</w:t>
      </w:r>
      <w:proofErr w:type="spellEnd"/>
      <w:r w:rsidR="000F12A6" w:rsidRPr="001936B3">
        <w:rPr>
          <w:rFonts w:cstheme="minorHAnsi"/>
          <w:sz w:val="24"/>
          <w:szCs w:val="24"/>
        </w:rPr>
        <w:t>-aged child in up to 50 hours of care per week is $0.6</w:t>
      </w:r>
      <w:r w:rsidRPr="001936B3">
        <w:rPr>
          <w:rFonts w:cstheme="minorHAnsi"/>
          <w:sz w:val="24"/>
          <w:szCs w:val="24"/>
        </w:rPr>
        <w:t>66 per hour, or $33.30 per week</w:t>
      </w:r>
    </w:p>
    <w:p w14:paraId="301A2994" w14:textId="285F0086" w:rsidR="000F12A6" w:rsidRPr="001936B3" w:rsidRDefault="001936B3" w:rsidP="001936B3">
      <w:pPr>
        <w:pStyle w:val="ListParagraph"/>
        <w:numPr>
          <w:ilvl w:val="0"/>
          <w:numId w:val="45"/>
        </w:numPr>
        <w:rPr>
          <w:rFonts w:cstheme="minorHAnsi"/>
          <w:sz w:val="24"/>
          <w:szCs w:val="24"/>
        </w:rPr>
      </w:pPr>
      <w:r w:rsidRPr="001936B3">
        <w:rPr>
          <w:rFonts w:cstheme="minorHAnsi"/>
          <w:sz w:val="24"/>
          <w:szCs w:val="24"/>
        </w:rPr>
        <w:t>p</w:t>
      </w:r>
      <w:r w:rsidR="000F12A6" w:rsidRPr="001936B3">
        <w:rPr>
          <w:rFonts w:cstheme="minorHAnsi"/>
          <w:sz w:val="24"/>
          <w:szCs w:val="24"/>
        </w:rPr>
        <w:t>ayment rates for school-aged children are 85 per cent of the non-school-aged rate.</w:t>
      </w:r>
    </w:p>
    <w:p w14:paraId="5FA3CD79" w14:textId="4A2E8A8D" w:rsidR="001936B3" w:rsidRPr="00DD2634" w:rsidRDefault="001936B3" w:rsidP="001936B3">
      <w:pPr>
        <w:rPr>
          <w:rFonts w:cstheme="minorHAnsi"/>
          <w:sz w:val="24"/>
          <w:szCs w:val="24"/>
        </w:rPr>
      </w:pPr>
      <w:r>
        <w:rPr>
          <w:rFonts w:cstheme="minorHAnsi"/>
          <w:sz w:val="24"/>
          <w:szCs w:val="24"/>
        </w:rPr>
        <w:t xml:space="preserve">Further details on </w:t>
      </w:r>
      <w:proofErr w:type="spellStart"/>
      <w:r>
        <w:rPr>
          <w:rFonts w:cstheme="minorHAnsi"/>
          <w:sz w:val="24"/>
          <w:szCs w:val="24"/>
        </w:rPr>
        <w:t>CCB</w:t>
      </w:r>
      <w:proofErr w:type="spellEnd"/>
      <w:r>
        <w:rPr>
          <w:rFonts w:cstheme="minorHAnsi"/>
          <w:sz w:val="24"/>
          <w:szCs w:val="24"/>
        </w:rPr>
        <w:t xml:space="preserve"> rates are available on the </w:t>
      </w:r>
      <w:proofErr w:type="spellStart"/>
      <w:r>
        <w:rPr>
          <w:rFonts w:cstheme="minorHAnsi"/>
          <w:sz w:val="24"/>
          <w:szCs w:val="24"/>
        </w:rPr>
        <w:t>DHS</w:t>
      </w:r>
      <w:proofErr w:type="spellEnd"/>
      <w:r>
        <w:rPr>
          <w:rFonts w:cstheme="minorHAnsi"/>
          <w:sz w:val="24"/>
          <w:szCs w:val="24"/>
        </w:rPr>
        <w:t xml:space="preserve"> website (</w:t>
      </w:r>
      <w:proofErr w:type="spellStart"/>
      <w:r>
        <w:rPr>
          <w:rFonts w:cstheme="minorHAnsi"/>
          <w:sz w:val="24"/>
          <w:szCs w:val="24"/>
        </w:rPr>
        <w:t>humanservices.gov.au</w:t>
      </w:r>
      <w:proofErr w:type="spellEnd"/>
      <w:r>
        <w:rPr>
          <w:rFonts w:cstheme="minorHAnsi"/>
          <w:sz w:val="24"/>
          <w:szCs w:val="24"/>
        </w:rPr>
        <w:t>).</w:t>
      </w:r>
    </w:p>
    <w:p w14:paraId="04969DDD" w14:textId="76B9E0FD" w:rsidR="006225EE" w:rsidRPr="00DD2634" w:rsidRDefault="006225EE" w:rsidP="006225EE">
      <w:pPr>
        <w:spacing w:after="120" w:line="240" w:lineRule="auto"/>
        <w:rPr>
          <w:rFonts w:cstheme="minorHAnsi"/>
          <w:sz w:val="24"/>
          <w:szCs w:val="24"/>
        </w:rPr>
      </w:pPr>
      <w:r w:rsidRPr="00DD2634">
        <w:rPr>
          <w:rFonts w:cstheme="minorHAnsi"/>
          <w:sz w:val="24"/>
          <w:szCs w:val="24"/>
        </w:rPr>
        <w:t xml:space="preserve">Families are entitled to </w:t>
      </w:r>
      <w:proofErr w:type="spellStart"/>
      <w:r w:rsidRPr="00DD2634">
        <w:rPr>
          <w:rFonts w:cstheme="minorHAnsi"/>
          <w:sz w:val="24"/>
          <w:szCs w:val="24"/>
        </w:rPr>
        <w:t>CCB</w:t>
      </w:r>
      <w:proofErr w:type="spellEnd"/>
      <w:r w:rsidRPr="00DD2634">
        <w:rPr>
          <w:rFonts w:cstheme="minorHAnsi"/>
          <w:sz w:val="24"/>
          <w:szCs w:val="24"/>
        </w:rPr>
        <w:t xml:space="preserve"> for up to 50 hours of care per child per week if both parents (or one if a sole parent) are undertaking work, training or study for more than 15 hours. </w:t>
      </w:r>
      <w:proofErr w:type="spellStart"/>
      <w:r w:rsidRPr="00DD2634">
        <w:rPr>
          <w:rFonts w:cstheme="minorHAnsi"/>
          <w:sz w:val="24"/>
          <w:szCs w:val="24"/>
        </w:rPr>
        <w:t>CCB</w:t>
      </w:r>
      <w:proofErr w:type="spellEnd"/>
      <w:r w:rsidRPr="00DD2634">
        <w:rPr>
          <w:rFonts w:cstheme="minorHAnsi"/>
          <w:sz w:val="24"/>
          <w:szCs w:val="24"/>
        </w:rPr>
        <w:t xml:space="preserve"> is available for up to 24 hours per week if parents are undertaking less than 15 hours </w:t>
      </w:r>
      <w:r w:rsidR="00276B73" w:rsidRPr="00DD2634">
        <w:rPr>
          <w:rFonts w:cstheme="minorHAnsi"/>
          <w:sz w:val="24"/>
          <w:szCs w:val="24"/>
        </w:rPr>
        <w:t xml:space="preserve">(or 30 hours per fortnight) </w:t>
      </w:r>
      <w:r w:rsidRPr="00DD2634">
        <w:rPr>
          <w:rFonts w:cstheme="minorHAnsi"/>
          <w:sz w:val="24"/>
          <w:szCs w:val="24"/>
        </w:rPr>
        <w:t>of work, training or study.</w:t>
      </w:r>
    </w:p>
    <w:p w14:paraId="04969DDE" w14:textId="77777777" w:rsidR="000927AA" w:rsidRPr="00DD2634" w:rsidRDefault="000927AA" w:rsidP="00381744">
      <w:pPr>
        <w:pStyle w:val="NormalNumbered"/>
        <w:numPr>
          <w:ilvl w:val="0"/>
          <w:numId w:val="0"/>
        </w:numPr>
      </w:pPr>
      <w:proofErr w:type="spellStart"/>
      <w:r w:rsidRPr="00DD2634">
        <w:t>CCB</w:t>
      </w:r>
      <w:proofErr w:type="spellEnd"/>
      <w:r w:rsidRPr="00DD2634">
        <w:t xml:space="preserve"> maximum rates and income test thresholds are indexed annually in line with the Consumer Price Index (CPI). As child care fees have increased at a greater rate than CPI (between 5 and 8 per cent per annum over the past 7 years), the value of </w:t>
      </w:r>
      <w:proofErr w:type="spellStart"/>
      <w:r w:rsidRPr="00DD2634">
        <w:t>CCB</w:t>
      </w:r>
      <w:proofErr w:type="spellEnd"/>
      <w:r w:rsidRPr="00DD2634">
        <w:t xml:space="preserve"> has not kept pace with growth in child care fees. In 2006 there was a one-off 10 per cent increase in the rate of </w:t>
      </w:r>
      <w:proofErr w:type="spellStart"/>
      <w:r w:rsidRPr="00DD2634">
        <w:t>CCB</w:t>
      </w:r>
      <w:proofErr w:type="spellEnd"/>
      <w:r w:rsidRPr="00DD2634">
        <w:t>.</w:t>
      </w:r>
    </w:p>
    <w:p w14:paraId="04969DDF" w14:textId="39A7EA26" w:rsidR="006225EE" w:rsidRPr="00DD2634" w:rsidRDefault="006225EE" w:rsidP="006225EE">
      <w:pPr>
        <w:spacing w:after="120" w:line="240" w:lineRule="auto"/>
        <w:rPr>
          <w:rFonts w:cstheme="minorHAnsi"/>
          <w:sz w:val="24"/>
          <w:szCs w:val="24"/>
        </w:rPr>
      </w:pPr>
      <w:r w:rsidRPr="00DD2634">
        <w:rPr>
          <w:rFonts w:cstheme="minorHAnsi"/>
          <w:sz w:val="24"/>
          <w:szCs w:val="24"/>
        </w:rPr>
        <w:t>Low</w:t>
      </w:r>
      <w:r w:rsidR="009B0EB4" w:rsidRPr="00DD2634">
        <w:rPr>
          <w:rFonts w:cstheme="minorHAnsi"/>
          <w:sz w:val="24"/>
          <w:szCs w:val="24"/>
        </w:rPr>
        <w:t>er</w:t>
      </w:r>
      <w:r w:rsidRPr="00DD2634">
        <w:rPr>
          <w:rFonts w:cstheme="minorHAnsi"/>
          <w:sz w:val="24"/>
          <w:szCs w:val="24"/>
        </w:rPr>
        <w:t xml:space="preserve"> income families receive the highest rate of </w:t>
      </w:r>
      <w:proofErr w:type="spellStart"/>
      <w:r w:rsidRPr="00DD2634">
        <w:rPr>
          <w:rFonts w:cstheme="minorHAnsi"/>
          <w:sz w:val="24"/>
          <w:szCs w:val="24"/>
        </w:rPr>
        <w:t>CCB</w:t>
      </w:r>
      <w:proofErr w:type="spellEnd"/>
      <w:r w:rsidRPr="00DD2634">
        <w:rPr>
          <w:rFonts w:cstheme="minorHAnsi"/>
          <w:sz w:val="24"/>
          <w:szCs w:val="24"/>
        </w:rPr>
        <w:t xml:space="preserve">. In addition to the standard </w:t>
      </w:r>
      <w:proofErr w:type="spellStart"/>
      <w:r w:rsidRPr="00DD2634">
        <w:rPr>
          <w:rFonts w:cstheme="minorHAnsi"/>
          <w:sz w:val="24"/>
          <w:szCs w:val="24"/>
        </w:rPr>
        <w:t>CCB</w:t>
      </w:r>
      <w:proofErr w:type="spellEnd"/>
      <w:r w:rsidRPr="00DD2634">
        <w:rPr>
          <w:rFonts w:cstheme="minorHAnsi"/>
          <w:sz w:val="24"/>
          <w:szCs w:val="24"/>
        </w:rPr>
        <w:t xml:space="preserve">, </w:t>
      </w:r>
      <w:r w:rsidR="00001C79" w:rsidRPr="00DD2634">
        <w:rPr>
          <w:rFonts w:cstheme="minorHAnsi"/>
          <w:sz w:val="24"/>
          <w:szCs w:val="24"/>
        </w:rPr>
        <w:t>t</w:t>
      </w:r>
      <w:r w:rsidRPr="00DD2634">
        <w:rPr>
          <w:rFonts w:cstheme="minorHAnsi"/>
          <w:sz w:val="24"/>
          <w:szCs w:val="24"/>
        </w:rPr>
        <w:t xml:space="preserve">here two additional </w:t>
      </w:r>
      <w:proofErr w:type="spellStart"/>
      <w:r w:rsidR="007B2673" w:rsidRPr="00DD2634">
        <w:rPr>
          <w:rFonts w:cstheme="minorHAnsi"/>
          <w:sz w:val="24"/>
          <w:szCs w:val="24"/>
        </w:rPr>
        <w:t>CCB</w:t>
      </w:r>
      <w:proofErr w:type="spellEnd"/>
      <w:r w:rsidR="007B2673" w:rsidRPr="00DD2634">
        <w:rPr>
          <w:rFonts w:cstheme="minorHAnsi"/>
          <w:sz w:val="24"/>
          <w:szCs w:val="24"/>
        </w:rPr>
        <w:t xml:space="preserve"> sub-</w:t>
      </w:r>
      <w:r w:rsidRPr="00DD2634">
        <w:rPr>
          <w:rFonts w:cstheme="minorHAnsi"/>
          <w:sz w:val="24"/>
          <w:szCs w:val="24"/>
        </w:rPr>
        <w:t>types</w:t>
      </w:r>
      <w:r w:rsidR="00276B73" w:rsidRPr="00DD2634">
        <w:rPr>
          <w:rFonts w:cstheme="minorHAnsi"/>
          <w:sz w:val="24"/>
          <w:szCs w:val="24"/>
        </w:rPr>
        <w:t xml:space="preserve"> aimed at families in specific circumstances</w:t>
      </w:r>
      <w:r w:rsidRPr="00DD2634">
        <w:rPr>
          <w:rFonts w:cstheme="minorHAnsi"/>
          <w:sz w:val="24"/>
          <w:szCs w:val="24"/>
        </w:rPr>
        <w:t>:</w:t>
      </w:r>
    </w:p>
    <w:p w14:paraId="04969DE0" w14:textId="789FE767" w:rsidR="006225EE" w:rsidRPr="00DD2634" w:rsidRDefault="006225EE" w:rsidP="009B0EB4">
      <w:pPr>
        <w:pStyle w:val="NormalNumbered"/>
        <w:numPr>
          <w:ilvl w:val="0"/>
          <w:numId w:val="5"/>
        </w:numPr>
        <w:ind w:left="426"/>
      </w:pPr>
      <w:r w:rsidRPr="00DD2634">
        <w:rPr>
          <w:b/>
        </w:rPr>
        <w:t xml:space="preserve">Special Child Care Benefit (SCCB) </w:t>
      </w:r>
      <w:r w:rsidRPr="00D05A2C">
        <w:t>– assists</w:t>
      </w:r>
      <w:r w:rsidRPr="00DD2634">
        <w:t xml:space="preserve"> where there is a child at risk of serious abuse or neglect, or a family with </w:t>
      </w:r>
      <w:r w:rsidR="00276B73" w:rsidRPr="00DD2634">
        <w:t>experiencing</w:t>
      </w:r>
      <w:r w:rsidRPr="00DD2634">
        <w:t xml:space="preserve"> short term financial hardship which has substantially reduced their capacity to pay child care fees.</w:t>
      </w:r>
      <w:r w:rsidR="006F098E" w:rsidRPr="00DD2634">
        <w:t xml:space="preserve"> Initial claims are limited to three months, and reassessed thereafter.</w:t>
      </w:r>
    </w:p>
    <w:p w14:paraId="04969DE1" w14:textId="77777777" w:rsidR="006225EE" w:rsidRPr="00DD2634" w:rsidRDefault="006225EE" w:rsidP="009B0EB4">
      <w:pPr>
        <w:pStyle w:val="NormalNumbered"/>
        <w:numPr>
          <w:ilvl w:val="0"/>
          <w:numId w:val="5"/>
        </w:numPr>
        <w:ind w:left="426"/>
      </w:pPr>
      <w:r w:rsidRPr="00DD2634">
        <w:rPr>
          <w:b/>
        </w:rPr>
        <w:t>Grandparents Child Care Benefit (</w:t>
      </w:r>
      <w:proofErr w:type="spellStart"/>
      <w:r w:rsidRPr="00DD2634">
        <w:rPr>
          <w:b/>
        </w:rPr>
        <w:t>GCCB</w:t>
      </w:r>
      <w:proofErr w:type="spellEnd"/>
      <w:r w:rsidRPr="00DD2634">
        <w:rPr>
          <w:b/>
        </w:rPr>
        <w:t>)</w:t>
      </w:r>
      <w:r w:rsidR="00097FF7" w:rsidRPr="00DD2634">
        <w:rPr>
          <w:b/>
        </w:rPr>
        <w:t xml:space="preserve"> </w:t>
      </w:r>
      <w:r w:rsidR="00097FF7" w:rsidRPr="00D05A2C">
        <w:t xml:space="preserve">– </w:t>
      </w:r>
      <w:r w:rsidRPr="00D05A2C">
        <w:t>assists</w:t>
      </w:r>
      <w:r w:rsidRPr="00DD2634">
        <w:t xml:space="preserve"> grandparents who are the primary carers for their grandchildren and who receive an income support payment. </w:t>
      </w:r>
      <w:proofErr w:type="spellStart"/>
      <w:r w:rsidRPr="00DD2634">
        <w:t>GCCB</w:t>
      </w:r>
      <w:proofErr w:type="spellEnd"/>
      <w:r w:rsidRPr="00DD2634">
        <w:t xml:space="preserve"> pays the full cost of child care fees for each child in </w:t>
      </w:r>
      <w:proofErr w:type="spellStart"/>
      <w:r w:rsidR="007406CC" w:rsidRPr="00DD2634">
        <w:t>CCB</w:t>
      </w:r>
      <w:proofErr w:type="spellEnd"/>
      <w:r w:rsidRPr="00DD2634">
        <w:t xml:space="preserve"> </w:t>
      </w:r>
      <w:r w:rsidRPr="00DD2634">
        <w:lastRenderedPageBreak/>
        <w:t xml:space="preserve">approved care for up to 50 hours a week. Grandparents need to meet the </w:t>
      </w:r>
      <w:proofErr w:type="spellStart"/>
      <w:r w:rsidR="007406CC" w:rsidRPr="00DD2634">
        <w:t>CCB</w:t>
      </w:r>
      <w:proofErr w:type="spellEnd"/>
      <w:r w:rsidRPr="00DD2634">
        <w:t xml:space="preserve"> eligibi</w:t>
      </w:r>
      <w:r w:rsidR="00F15BD7" w:rsidRPr="00DD2634">
        <w:t xml:space="preserve">lity requirements to claim </w:t>
      </w:r>
      <w:proofErr w:type="spellStart"/>
      <w:r w:rsidR="00F15BD7" w:rsidRPr="00DD2634">
        <w:t>GCCB</w:t>
      </w:r>
      <w:proofErr w:type="spellEnd"/>
      <w:r w:rsidR="00F15BD7" w:rsidRPr="00DD2634">
        <w:t>.</w:t>
      </w:r>
    </w:p>
    <w:p w14:paraId="04969DE2" w14:textId="700E32B7" w:rsidR="00F15BD7" w:rsidRPr="00DD2634" w:rsidRDefault="00F15BD7" w:rsidP="00381744">
      <w:pPr>
        <w:pStyle w:val="NormalNumbered"/>
        <w:numPr>
          <w:ilvl w:val="0"/>
          <w:numId w:val="0"/>
        </w:numPr>
      </w:pPr>
      <w:r w:rsidRPr="00DD2634">
        <w:t>SCCB is d</w:t>
      </w:r>
      <w:r w:rsidR="00862A00" w:rsidRPr="00DD2634">
        <w:t>emand driven and</w:t>
      </w:r>
      <w:r w:rsidRPr="00DD2634">
        <w:t xml:space="preserve"> child care ser</w:t>
      </w:r>
      <w:r w:rsidR="00862A00" w:rsidRPr="00DD2634">
        <w:t>vices determine</w:t>
      </w:r>
      <w:r w:rsidRPr="00DD2634">
        <w:t xml:space="preserve"> access to t</w:t>
      </w:r>
      <w:r w:rsidR="00862A00" w:rsidRPr="00DD2634">
        <w:t>he payment for the first 13 weeks</w:t>
      </w:r>
      <w:r w:rsidRPr="00DD2634">
        <w:t>. However, outcomes for children benefitting from accessing this payment are not monitored or evaluated. Under current policy settings SCCB is not intended to</w:t>
      </w:r>
      <w:r w:rsidR="00811113" w:rsidRPr="00DD2634">
        <w:t xml:space="preserve"> be an ongoing support payment.</w:t>
      </w:r>
    </w:p>
    <w:p w14:paraId="04969DE3" w14:textId="3FA5EAA8" w:rsidR="006225EE" w:rsidRPr="00DD2634" w:rsidRDefault="006225EE" w:rsidP="006225EE">
      <w:pPr>
        <w:spacing w:after="120" w:line="240" w:lineRule="auto"/>
        <w:rPr>
          <w:rFonts w:cstheme="minorHAnsi"/>
          <w:sz w:val="24"/>
          <w:szCs w:val="24"/>
        </w:rPr>
      </w:pPr>
      <w:r w:rsidRPr="00DD2634">
        <w:rPr>
          <w:rFonts w:cstheme="minorHAnsi"/>
          <w:sz w:val="24"/>
          <w:szCs w:val="24"/>
          <w:u w:val="single"/>
        </w:rPr>
        <w:t>Child Care Rebate (CCR</w:t>
      </w:r>
      <w:r w:rsidR="00097FF7" w:rsidRPr="00DD2634">
        <w:rPr>
          <w:rFonts w:cstheme="minorHAnsi"/>
          <w:sz w:val="24"/>
          <w:szCs w:val="24"/>
          <w:u w:val="single"/>
        </w:rPr>
        <w:t>)</w:t>
      </w:r>
      <w:r w:rsidR="00097FF7" w:rsidRPr="00DD2634">
        <w:rPr>
          <w:rFonts w:cstheme="minorHAnsi"/>
          <w:sz w:val="24"/>
          <w:szCs w:val="24"/>
        </w:rPr>
        <w:t xml:space="preserve"> – </w:t>
      </w:r>
      <w:r w:rsidR="009B0EB4" w:rsidRPr="00DD2634">
        <w:rPr>
          <w:rFonts w:cstheme="minorHAnsi"/>
          <w:sz w:val="24"/>
          <w:szCs w:val="24"/>
        </w:rPr>
        <w:t>provides all</w:t>
      </w:r>
      <w:r w:rsidRPr="00DD2634">
        <w:rPr>
          <w:rFonts w:cstheme="minorHAnsi"/>
          <w:sz w:val="24"/>
          <w:szCs w:val="24"/>
        </w:rPr>
        <w:t xml:space="preserve"> families </w:t>
      </w:r>
      <w:r w:rsidR="007B2673" w:rsidRPr="00DD2634">
        <w:rPr>
          <w:rFonts w:cstheme="minorHAnsi"/>
          <w:sz w:val="24"/>
          <w:szCs w:val="24"/>
        </w:rPr>
        <w:t xml:space="preserve">up to </w:t>
      </w:r>
      <w:r w:rsidRPr="00DD2634">
        <w:rPr>
          <w:rFonts w:cstheme="minorHAnsi"/>
          <w:sz w:val="24"/>
          <w:szCs w:val="24"/>
        </w:rPr>
        <w:t xml:space="preserve">50 per cent of their out-of-pocket approved child care expenses after </w:t>
      </w:r>
      <w:proofErr w:type="spellStart"/>
      <w:r w:rsidRPr="00DD2634">
        <w:rPr>
          <w:rFonts w:cstheme="minorHAnsi"/>
          <w:sz w:val="24"/>
          <w:szCs w:val="24"/>
        </w:rPr>
        <w:t>CCB</w:t>
      </w:r>
      <w:proofErr w:type="spellEnd"/>
      <w:r w:rsidRPr="00DD2634">
        <w:rPr>
          <w:rFonts w:cstheme="minorHAnsi"/>
          <w:sz w:val="24"/>
          <w:szCs w:val="24"/>
        </w:rPr>
        <w:t xml:space="preserve"> has been received, up to an annual maximum of $7,500 per child. </w:t>
      </w:r>
    </w:p>
    <w:p w14:paraId="04969DE4" w14:textId="34306D0B" w:rsidR="000927AA" w:rsidRPr="00DD2634" w:rsidRDefault="000927AA" w:rsidP="00381744">
      <w:pPr>
        <w:pStyle w:val="NormalNumbered"/>
        <w:numPr>
          <w:ilvl w:val="0"/>
          <w:numId w:val="0"/>
        </w:numPr>
      </w:pPr>
      <w:r w:rsidRPr="00DD2634">
        <w:t>CCR is a capped, proportional payment and the a</w:t>
      </w:r>
      <w:r w:rsidR="006321A4" w:rsidRPr="00DD2634">
        <w:t>mount received is linked to the</w:t>
      </w:r>
      <w:r w:rsidRPr="00DD2634">
        <w:t xml:space="preserve"> fees charged by the service. It was introduced in 2004 as the Child Care Tax Rebate, four years after the </w:t>
      </w:r>
      <w:proofErr w:type="spellStart"/>
      <w:r w:rsidRPr="00DD2634">
        <w:t>CCB</w:t>
      </w:r>
      <w:proofErr w:type="spellEnd"/>
      <w:r w:rsidRPr="00DD2634">
        <w:t xml:space="preserve"> system became operational, and covered 30 per cent of out</w:t>
      </w:r>
      <w:r w:rsidR="0073655D" w:rsidRPr="00DD2634">
        <w:t>-of-pocket child care expenses.</w:t>
      </w:r>
    </w:p>
    <w:p w14:paraId="04969DE5" w14:textId="6CD143D1" w:rsidR="000927AA" w:rsidRPr="00DD2634" w:rsidRDefault="006225EE" w:rsidP="006225EE">
      <w:pPr>
        <w:spacing w:after="120" w:line="240" w:lineRule="auto"/>
        <w:rPr>
          <w:sz w:val="24"/>
          <w:szCs w:val="24"/>
        </w:rPr>
      </w:pPr>
      <w:r w:rsidRPr="00DD2634">
        <w:rPr>
          <w:sz w:val="24"/>
          <w:szCs w:val="24"/>
        </w:rPr>
        <w:t>In 2012-13 th</w:t>
      </w:r>
      <w:r w:rsidR="00F915AD" w:rsidRPr="00DD2634">
        <w:rPr>
          <w:sz w:val="24"/>
          <w:szCs w:val="24"/>
        </w:rPr>
        <w:t xml:space="preserve">e Government </w:t>
      </w:r>
      <w:r w:rsidR="007B2673" w:rsidRPr="00DD2634">
        <w:rPr>
          <w:sz w:val="24"/>
          <w:szCs w:val="24"/>
        </w:rPr>
        <w:t xml:space="preserve">spent around </w:t>
      </w:r>
      <w:r w:rsidR="00F915AD" w:rsidRPr="00DD2634">
        <w:rPr>
          <w:sz w:val="24"/>
          <w:szCs w:val="24"/>
        </w:rPr>
        <w:t>$2.</w:t>
      </w:r>
      <w:r w:rsidR="0034200A" w:rsidRPr="00DD2634">
        <w:rPr>
          <w:sz w:val="24"/>
          <w:szCs w:val="24"/>
        </w:rPr>
        <w:t xml:space="preserve">6 </w:t>
      </w:r>
      <w:r w:rsidR="00F915AD" w:rsidRPr="00DD2634">
        <w:rPr>
          <w:sz w:val="24"/>
          <w:szCs w:val="24"/>
        </w:rPr>
        <w:t xml:space="preserve">billion in </w:t>
      </w:r>
      <w:proofErr w:type="spellStart"/>
      <w:r w:rsidR="00F915AD" w:rsidRPr="00DD2634">
        <w:rPr>
          <w:sz w:val="24"/>
          <w:szCs w:val="24"/>
        </w:rPr>
        <w:t>CCB</w:t>
      </w:r>
      <w:proofErr w:type="spellEnd"/>
      <w:r w:rsidR="00F915AD" w:rsidRPr="00DD2634">
        <w:rPr>
          <w:sz w:val="24"/>
          <w:szCs w:val="24"/>
        </w:rPr>
        <w:t xml:space="preserve"> </w:t>
      </w:r>
      <w:r w:rsidR="00160E07" w:rsidRPr="00DD2634">
        <w:rPr>
          <w:sz w:val="24"/>
          <w:szCs w:val="24"/>
        </w:rPr>
        <w:t>(including $</w:t>
      </w:r>
      <w:r w:rsidR="00811113" w:rsidRPr="00DD2634">
        <w:rPr>
          <w:sz w:val="24"/>
          <w:szCs w:val="24"/>
        </w:rPr>
        <w:t>139 </w:t>
      </w:r>
      <w:r w:rsidR="009D6E2B" w:rsidRPr="00DD2634">
        <w:rPr>
          <w:sz w:val="24"/>
          <w:szCs w:val="24"/>
        </w:rPr>
        <w:t>million in</w:t>
      </w:r>
      <w:r w:rsidR="00160E07" w:rsidRPr="00DD2634">
        <w:rPr>
          <w:sz w:val="24"/>
          <w:szCs w:val="24"/>
        </w:rPr>
        <w:t xml:space="preserve"> SCCB) </w:t>
      </w:r>
      <w:r w:rsidR="00F915AD" w:rsidRPr="00DD2634">
        <w:rPr>
          <w:sz w:val="24"/>
          <w:szCs w:val="24"/>
        </w:rPr>
        <w:t>and $2.18</w:t>
      </w:r>
      <w:r w:rsidRPr="00DD2634">
        <w:rPr>
          <w:sz w:val="24"/>
          <w:szCs w:val="24"/>
        </w:rPr>
        <w:t xml:space="preserve"> billion in CCR funding.</w:t>
      </w:r>
    </w:p>
    <w:p w14:paraId="04969DE6" w14:textId="77777777" w:rsidR="004B370D" w:rsidRPr="00DD2634" w:rsidRDefault="004B370D" w:rsidP="0011648D">
      <w:pPr>
        <w:keepNext/>
        <w:spacing w:after="120" w:line="240" w:lineRule="auto"/>
        <w:rPr>
          <w:rFonts w:cstheme="minorHAnsi"/>
          <w:sz w:val="24"/>
          <w:szCs w:val="24"/>
          <w:u w:val="single"/>
        </w:rPr>
      </w:pPr>
      <w:r w:rsidRPr="00DD2634">
        <w:rPr>
          <w:rFonts w:cstheme="minorHAnsi"/>
          <w:sz w:val="24"/>
          <w:szCs w:val="24"/>
          <w:u w:val="single"/>
        </w:rPr>
        <w:t>Service Delivery of Child Care Fee Assistance</w:t>
      </w:r>
    </w:p>
    <w:p w14:paraId="04969DE7" w14:textId="1641DBD8" w:rsidR="004B370D" w:rsidRPr="00DD2634" w:rsidRDefault="00BA5320" w:rsidP="001A168A">
      <w:pPr>
        <w:spacing w:after="120" w:line="240" w:lineRule="auto"/>
        <w:rPr>
          <w:rFonts w:cstheme="minorHAnsi"/>
          <w:sz w:val="24"/>
          <w:szCs w:val="24"/>
        </w:rPr>
      </w:pPr>
      <w:proofErr w:type="spellStart"/>
      <w:r w:rsidRPr="00DD2634">
        <w:rPr>
          <w:rFonts w:cstheme="minorHAnsi"/>
          <w:sz w:val="24"/>
          <w:szCs w:val="24"/>
        </w:rPr>
        <w:t>DHS</w:t>
      </w:r>
      <w:proofErr w:type="spellEnd"/>
      <w:r w:rsidR="004B370D" w:rsidRPr="00DD2634">
        <w:rPr>
          <w:rFonts w:cstheme="minorHAnsi"/>
          <w:sz w:val="24"/>
          <w:szCs w:val="24"/>
        </w:rPr>
        <w:t xml:space="preserve"> is responsible for the assessment of an individual’s eligibility for </w:t>
      </w:r>
      <w:proofErr w:type="spellStart"/>
      <w:r w:rsidR="004B370D" w:rsidRPr="00DD2634">
        <w:rPr>
          <w:rFonts w:cstheme="minorHAnsi"/>
          <w:sz w:val="24"/>
          <w:szCs w:val="24"/>
        </w:rPr>
        <w:t>CCB</w:t>
      </w:r>
      <w:proofErr w:type="spellEnd"/>
      <w:r w:rsidR="004B370D" w:rsidRPr="00DD2634">
        <w:rPr>
          <w:rFonts w:cstheme="minorHAnsi"/>
          <w:sz w:val="24"/>
          <w:szCs w:val="24"/>
        </w:rPr>
        <w:t xml:space="preserve"> and </w:t>
      </w:r>
      <w:proofErr w:type="spellStart"/>
      <w:r w:rsidR="004B370D" w:rsidRPr="00DD2634">
        <w:rPr>
          <w:rFonts w:cstheme="minorHAnsi"/>
          <w:sz w:val="24"/>
          <w:szCs w:val="24"/>
        </w:rPr>
        <w:t>CCR</w:t>
      </w:r>
      <w:proofErr w:type="spellEnd"/>
      <w:r w:rsidR="004B370D" w:rsidRPr="00DD2634">
        <w:rPr>
          <w:rFonts w:cstheme="minorHAnsi"/>
          <w:sz w:val="24"/>
          <w:szCs w:val="24"/>
        </w:rPr>
        <w:t xml:space="preserve">; and service delivery of </w:t>
      </w:r>
      <w:proofErr w:type="spellStart"/>
      <w:r w:rsidR="00033752" w:rsidRPr="00DD2634">
        <w:rPr>
          <w:rFonts w:cstheme="minorHAnsi"/>
          <w:sz w:val="24"/>
          <w:szCs w:val="24"/>
        </w:rPr>
        <w:t>CCB</w:t>
      </w:r>
      <w:proofErr w:type="spellEnd"/>
      <w:r w:rsidR="00033752" w:rsidRPr="00DD2634">
        <w:rPr>
          <w:rFonts w:cstheme="minorHAnsi"/>
          <w:sz w:val="24"/>
          <w:szCs w:val="24"/>
        </w:rPr>
        <w:t xml:space="preserve"> and </w:t>
      </w:r>
      <w:proofErr w:type="spellStart"/>
      <w:r w:rsidR="00033752" w:rsidRPr="00DD2634">
        <w:rPr>
          <w:rFonts w:cstheme="minorHAnsi"/>
          <w:sz w:val="24"/>
          <w:szCs w:val="24"/>
        </w:rPr>
        <w:t>CCR</w:t>
      </w:r>
      <w:proofErr w:type="spellEnd"/>
      <w:r w:rsidR="004B370D" w:rsidRPr="00DD2634">
        <w:rPr>
          <w:rFonts w:cstheme="minorHAnsi"/>
          <w:sz w:val="24"/>
          <w:szCs w:val="24"/>
        </w:rPr>
        <w:t xml:space="preserve"> payments paid directly to families, including the ongoing eligibility for payments. </w:t>
      </w:r>
      <w:proofErr w:type="spellStart"/>
      <w:r w:rsidR="004B370D" w:rsidRPr="00DD2634">
        <w:rPr>
          <w:rFonts w:cstheme="minorHAnsi"/>
          <w:sz w:val="24"/>
          <w:szCs w:val="24"/>
        </w:rPr>
        <w:t>DHS</w:t>
      </w:r>
      <w:proofErr w:type="spellEnd"/>
      <w:r w:rsidR="004B370D" w:rsidRPr="00DD2634">
        <w:rPr>
          <w:rFonts w:cstheme="minorHAnsi"/>
          <w:sz w:val="24"/>
          <w:szCs w:val="24"/>
        </w:rPr>
        <w:t xml:space="preserve"> is accountable for controlling risks to payment accuracy that are solely the result of individuals’ behaviours and changed circumstances.</w:t>
      </w:r>
    </w:p>
    <w:p w14:paraId="04969DE8" w14:textId="037B5EE0" w:rsidR="00EC5924" w:rsidRPr="00DD2634" w:rsidRDefault="004B370D" w:rsidP="001A168A">
      <w:pPr>
        <w:spacing w:after="120" w:line="240" w:lineRule="auto"/>
        <w:rPr>
          <w:rFonts w:cstheme="minorHAnsi"/>
          <w:sz w:val="24"/>
          <w:szCs w:val="24"/>
        </w:rPr>
      </w:pPr>
      <w:r w:rsidRPr="00DD2634">
        <w:rPr>
          <w:rFonts w:cstheme="minorHAnsi"/>
          <w:sz w:val="24"/>
          <w:szCs w:val="24"/>
        </w:rPr>
        <w:t>A fundamental principle in the design o</w:t>
      </w:r>
      <w:r w:rsidR="00033752" w:rsidRPr="00DD2634">
        <w:rPr>
          <w:rFonts w:cstheme="minorHAnsi"/>
          <w:sz w:val="24"/>
          <w:szCs w:val="24"/>
        </w:rPr>
        <w:t>f the Child Care payment programme introduced in 2000</w:t>
      </w:r>
      <w:r w:rsidRPr="00DD2634">
        <w:rPr>
          <w:rFonts w:cstheme="minorHAnsi"/>
          <w:sz w:val="24"/>
          <w:szCs w:val="24"/>
        </w:rPr>
        <w:t xml:space="preserve"> was to make </w:t>
      </w:r>
      <w:r w:rsidR="00033752" w:rsidRPr="00DD2634">
        <w:rPr>
          <w:rFonts w:cstheme="minorHAnsi"/>
          <w:sz w:val="24"/>
          <w:szCs w:val="24"/>
        </w:rPr>
        <w:t>payments</w:t>
      </w:r>
      <w:r w:rsidRPr="00DD2634">
        <w:rPr>
          <w:rFonts w:cstheme="minorHAnsi"/>
          <w:sz w:val="24"/>
          <w:szCs w:val="24"/>
        </w:rPr>
        <w:t xml:space="preserve"> readily accessible to families and minimise compliance impost and costs.</w:t>
      </w:r>
      <w:r w:rsidR="001A168A" w:rsidRPr="00DD2634">
        <w:rPr>
          <w:rFonts w:cstheme="minorHAnsi"/>
          <w:sz w:val="24"/>
          <w:szCs w:val="24"/>
        </w:rPr>
        <w:t xml:space="preserve"> </w:t>
      </w:r>
      <w:r w:rsidR="00033752" w:rsidRPr="00DD2634">
        <w:rPr>
          <w:rFonts w:cstheme="minorHAnsi"/>
          <w:sz w:val="24"/>
          <w:szCs w:val="24"/>
        </w:rPr>
        <w:t xml:space="preserve">As a result, </w:t>
      </w:r>
      <w:proofErr w:type="spellStart"/>
      <w:r w:rsidR="00033752" w:rsidRPr="00DD2634">
        <w:rPr>
          <w:rFonts w:cstheme="minorHAnsi"/>
          <w:sz w:val="24"/>
          <w:szCs w:val="24"/>
        </w:rPr>
        <w:t>DHS’</w:t>
      </w:r>
      <w:proofErr w:type="spellEnd"/>
      <w:r w:rsidR="007B2673" w:rsidRPr="00DD2634">
        <w:rPr>
          <w:rFonts w:cstheme="minorHAnsi"/>
          <w:sz w:val="24"/>
          <w:szCs w:val="24"/>
        </w:rPr>
        <w:t xml:space="preserve"> </w:t>
      </w:r>
      <w:r w:rsidRPr="00DD2634">
        <w:rPr>
          <w:rFonts w:cstheme="minorHAnsi"/>
          <w:sz w:val="24"/>
          <w:szCs w:val="24"/>
        </w:rPr>
        <w:t>approac</w:t>
      </w:r>
      <w:r w:rsidR="00033752" w:rsidRPr="00DD2634">
        <w:rPr>
          <w:rFonts w:cstheme="minorHAnsi"/>
          <w:sz w:val="24"/>
          <w:szCs w:val="24"/>
        </w:rPr>
        <w:t>h to managing the key risks to child c</w:t>
      </w:r>
      <w:r w:rsidRPr="00DD2634">
        <w:rPr>
          <w:rFonts w:cstheme="minorHAnsi"/>
          <w:sz w:val="24"/>
          <w:szCs w:val="24"/>
        </w:rPr>
        <w:t>are payments has been to rely to a large degree on up-front assessment of eligibility, voluntary self-disc</w:t>
      </w:r>
      <w:r w:rsidR="00033752" w:rsidRPr="00DD2634">
        <w:rPr>
          <w:rFonts w:cstheme="minorHAnsi"/>
          <w:sz w:val="24"/>
          <w:szCs w:val="24"/>
        </w:rPr>
        <w:t>losure and end-of-</w:t>
      </w:r>
      <w:r w:rsidRPr="00DD2634">
        <w:rPr>
          <w:rFonts w:cstheme="minorHAnsi"/>
          <w:sz w:val="24"/>
          <w:szCs w:val="24"/>
        </w:rPr>
        <w:t xml:space="preserve">year </w:t>
      </w:r>
      <w:r w:rsidR="00033752" w:rsidRPr="00DD2634">
        <w:rPr>
          <w:rFonts w:cstheme="minorHAnsi"/>
          <w:sz w:val="24"/>
          <w:szCs w:val="24"/>
        </w:rPr>
        <w:t xml:space="preserve">income </w:t>
      </w:r>
      <w:r w:rsidRPr="00DD2634">
        <w:rPr>
          <w:rFonts w:cstheme="minorHAnsi"/>
          <w:sz w:val="24"/>
          <w:szCs w:val="24"/>
        </w:rPr>
        <w:t>reconciliation.</w:t>
      </w:r>
      <w:r w:rsidR="001A168A" w:rsidRPr="00DD2634">
        <w:rPr>
          <w:rFonts w:cstheme="minorHAnsi"/>
          <w:sz w:val="24"/>
          <w:szCs w:val="24"/>
        </w:rPr>
        <w:t xml:space="preserve"> </w:t>
      </w:r>
      <w:bookmarkStart w:id="92" w:name="_Toc377217357"/>
    </w:p>
    <w:p w14:paraId="04969DE9" w14:textId="77777777" w:rsidR="006225EE" w:rsidRPr="00DD2634" w:rsidRDefault="006225EE" w:rsidP="0011648D">
      <w:pPr>
        <w:pStyle w:val="Heading3"/>
      </w:pPr>
      <w:r w:rsidRPr="00DD2634">
        <w:t>Programme 1.3 – Early Childhood Education (National Partnership Agreements)</w:t>
      </w:r>
      <w:bookmarkEnd w:id="92"/>
    </w:p>
    <w:p w14:paraId="04969DEA" w14:textId="77777777" w:rsidR="006225EE" w:rsidRPr="00DD2634" w:rsidRDefault="006225EE" w:rsidP="006225EE">
      <w:pPr>
        <w:spacing w:after="120" w:line="240" w:lineRule="auto"/>
        <w:rPr>
          <w:sz w:val="24"/>
          <w:szCs w:val="24"/>
        </w:rPr>
      </w:pPr>
      <w:r w:rsidRPr="00DD2634">
        <w:rPr>
          <w:sz w:val="24"/>
          <w:szCs w:val="24"/>
        </w:rPr>
        <w:t xml:space="preserve">Programme 1.3 consists of Government </w:t>
      </w:r>
      <w:r w:rsidR="00B61CB2" w:rsidRPr="00DD2634">
        <w:rPr>
          <w:sz w:val="24"/>
          <w:szCs w:val="24"/>
        </w:rPr>
        <w:t>support through</w:t>
      </w:r>
      <w:r w:rsidRPr="00DD2634">
        <w:rPr>
          <w:sz w:val="24"/>
          <w:szCs w:val="24"/>
        </w:rPr>
        <w:t xml:space="preserve"> National Partnership Agreements </w:t>
      </w:r>
      <w:r w:rsidR="00B61CB2" w:rsidRPr="00DD2634">
        <w:rPr>
          <w:sz w:val="24"/>
          <w:szCs w:val="24"/>
        </w:rPr>
        <w:t>(</w:t>
      </w:r>
      <w:proofErr w:type="spellStart"/>
      <w:r w:rsidR="00B61CB2" w:rsidRPr="00DD2634">
        <w:rPr>
          <w:sz w:val="24"/>
          <w:szCs w:val="24"/>
        </w:rPr>
        <w:t>NPA</w:t>
      </w:r>
      <w:proofErr w:type="spellEnd"/>
      <w:r w:rsidR="00B61CB2" w:rsidRPr="00DD2634">
        <w:rPr>
          <w:sz w:val="24"/>
          <w:szCs w:val="24"/>
        </w:rPr>
        <w:t>) with states and territories</w:t>
      </w:r>
      <w:r w:rsidRPr="00DD2634">
        <w:rPr>
          <w:sz w:val="24"/>
          <w:szCs w:val="24"/>
        </w:rPr>
        <w:t xml:space="preserve">. The four </w:t>
      </w:r>
      <w:proofErr w:type="spellStart"/>
      <w:r w:rsidR="00B61CB2" w:rsidRPr="00DD2634">
        <w:rPr>
          <w:sz w:val="24"/>
          <w:szCs w:val="24"/>
        </w:rPr>
        <w:t>NPAs</w:t>
      </w:r>
      <w:proofErr w:type="spellEnd"/>
      <w:r w:rsidRPr="00DD2634">
        <w:rPr>
          <w:sz w:val="24"/>
          <w:szCs w:val="24"/>
        </w:rPr>
        <w:t xml:space="preserve"> that focus primarily upon </w:t>
      </w:r>
      <w:r w:rsidR="00B61CB2" w:rsidRPr="00DD2634">
        <w:rPr>
          <w:sz w:val="24"/>
          <w:szCs w:val="24"/>
        </w:rPr>
        <w:t>CCECL</w:t>
      </w:r>
      <w:r w:rsidRPr="00DD2634">
        <w:rPr>
          <w:sz w:val="24"/>
          <w:szCs w:val="24"/>
        </w:rPr>
        <w:t xml:space="preserve"> are:</w:t>
      </w:r>
    </w:p>
    <w:p w14:paraId="04969DEB" w14:textId="77672A2C" w:rsidR="00160E07" w:rsidRPr="00DD2634" w:rsidRDefault="006225EE" w:rsidP="00381744">
      <w:pPr>
        <w:pStyle w:val="NormalNumbered"/>
        <w:numPr>
          <w:ilvl w:val="0"/>
          <w:numId w:val="5"/>
        </w:numPr>
      </w:pPr>
      <w:proofErr w:type="spellStart"/>
      <w:r w:rsidRPr="00DD2634">
        <w:t>NPA</w:t>
      </w:r>
      <w:proofErr w:type="spellEnd"/>
      <w:r w:rsidRPr="00DD2634">
        <w:t xml:space="preserve"> on Universal Acce</w:t>
      </w:r>
      <w:r w:rsidR="00160E07" w:rsidRPr="00DD2634">
        <w:t>ss to Early Childhood</w:t>
      </w:r>
      <w:r w:rsidR="00A413C1" w:rsidRPr="00DD2634">
        <w:t xml:space="preserve"> Education</w:t>
      </w:r>
    </w:p>
    <w:p w14:paraId="04969DEC" w14:textId="4BC9D5B1" w:rsidR="006225EE" w:rsidRPr="00DD2634" w:rsidRDefault="006225EE" w:rsidP="00381744">
      <w:pPr>
        <w:pStyle w:val="NormalNumbered"/>
        <w:numPr>
          <w:ilvl w:val="0"/>
          <w:numId w:val="5"/>
        </w:numPr>
      </w:pPr>
      <w:proofErr w:type="spellStart"/>
      <w:r w:rsidRPr="00DD2634">
        <w:t>NPA</w:t>
      </w:r>
      <w:proofErr w:type="spellEnd"/>
      <w:r w:rsidRPr="00DD2634">
        <w:t xml:space="preserve"> on the National Quality Agenda for Ear</w:t>
      </w:r>
      <w:r w:rsidR="00160E07" w:rsidRPr="00DD2634">
        <w:t>ly Childhood Education and Care</w:t>
      </w:r>
    </w:p>
    <w:p w14:paraId="04969DED" w14:textId="41879C43" w:rsidR="00160E07" w:rsidRPr="00DD2634" w:rsidRDefault="006225EE" w:rsidP="00381744">
      <w:pPr>
        <w:pStyle w:val="NormalNumbered"/>
        <w:numPr>
          <w:ilvl w:val="0"/>
          <w:numId w:val="5"/>
        </w:numPr>
      </w:pPr>
      <w:proofErr w:type="spellStart"/>
      <w:r w:rsidRPr="00DD2634">
        <w:t>NPA</w:t>
      </w:r>
      <w:proofErr w:type="spellEnd"/>
      <w:r w:rsidRPr="00DD2634">
        <w:t xml:space="preserve"> on Indigenous Early Childhood Development</w:t>
      </w:r>
    </w:p>
    <w:p w14:paraId="04969DEE" w14:textId="0A8295F4" w:rsidR="00160E07" w:rsidRPr="00DD2634" w:rsidRDefault="006225EE" w:rsidP="00381744">
      <w:pPr>
        <w:pStyle w:val="NormalNumbered"/>
        <w:numPr>
          <w:ilvl w:val="0"/>
          <w:numId w:val="5"/>
        </w:numPr>
      </w:pPr>
      <w:proofErr w:type="spellStart"/>
      <w:r w:rsidRPr="00DD2634">
        <w:t>NPA</w:t>
      </w:r>
      <w:proofErr w:type="spellEnd"/>
      <w:r w:rsidRPr="00DD2634">
        <w:t xml:space="preserve"> on TAFE Fee Waivers for Child Care Qualifications</w:t>
      </w:r>
    </w:p>
    <w:p w14:paraId="39AF4093" w14:textId="38EFE2DC" w:rsidR="00C31BC0" w:rsidRPr="00DD2634" w:rsidRDefault="00160E07" w:rsidP="00381744">
      <w:pPr>
        <w:pStyle w:val="NormalNumbered"/>
        <w:numPr>
          <w:ilvl w:val="0"/>
          <w:numId w:val="0"/>
        </w:numPr>
        <w:rPr>
          <w:rStyle w:val="Strong"/>
          <w:rFonts w:ascii="Arial" w:hAnsi="Arial" w:cs="Arial"/>
          <w:b w:val="0"/>
          <w:color w:val="009030"/>
          <w:lang w:val="en"/>
        </w:rPr>
      </w:pPr>
      <w:r w:rsidRPr="003B44C3">
        <w:rPr>
          <w:szCs w:val="24"/>
        </w:rPr>
        <w:t xml:space="preserve">More information on these </w:t>
      </w:r>
      <w:proofErr w:type="spellStart"/>
      <w:r w:rsidRPr="003B44C3">
        <w:rPr>
          <w:szCs w:val="24"/>
        </w:rPr>
        <w:t>NPAs</w:t>
      </w:r>
      <w:proofErr w:type="spellEnd"/>
      <w:r w:rsidRPr="003B44C3">
        <w:rPr>
          <w:szCs w:val="24"/>
        </w:rPr>
        <w:t xml:space="preserve"> can be found at </w:t>
      </w:r>
      <w:hyperlink r:id="rId31" w:history="1">
        <w:r w:rsidR="003B44C3" w:rsidRPr="003B44C3">
          <w:rPr>
            <w:rStyle w:val="Hyperlink"/>
            <w:color w:val="auto"/>
            <w:szCs w:val="24"/>
            <w:u w:val="none"/>
          </w:rPr>
          <w:t>education.gov.au</w:t>
        </w:r>
      </w:hyperlink>
      <w:r w:rsidR="00A413C1" w:rsidRPr="003B44C3">
        <w:rPr>
          <w:szCs w:val="24"/>
        </w:rPr>
        <w:t xml:space="preserve">, </w:t>
      </w:r>
      <w:hyperlink r:id="rId32" w:history="1">
        <w:r w:rsidR="003B44C3" w:rsidRPr="003B44C3">
          <w:rPr>
            <w:rStyle w:val="Hyperlink"/>
            <w:color w:val="auto"/>
            <w:szCs w:val="24"/>
            <w:u w:val="none"/>
          </w:rPr>
          <w:t>coag.gov.au</w:t>
        </w:r>
      </w:hyperlink>
      <w:r w:rsidRPr="003B44C3">
        <w:rPr>
          <w:szCs w:val="24"/>
        </w:rPr>
        <w:t xml:space="preserve"> </w:t>
      </w:r>
      <w:r w:rsidR="00A413C1" w:rsidRPr="003B44C3">
        <w:rPr>
          <w:szCs w:val="24"/>
        </w:rPr>
        <w:t xml:space="preserve">and </w:t>
      </w:r>
      <w:hyperlink r:id="rId33" w:history="1">
        <w:r w:rsidR="00A413C1" w:rsidRPr="003B44C3">
          <w:rPr>
            <w:rStyle w:val="Hyperlink"/>
            <w:color w:val="auto"/>
            <w:szCs w:val="24"/>
            <w:u w:val="none"/>
          </w:rPr>
          <w:t>federalfinancialrelations.gov.au</w:t>
        </w:r>
      </w:hyperlink>
      <w:r w:rsidR="00A413C1" w:rsidRPr="00DD2634">
        <w:rPr>
          <w:rStyle w:val="Strong"/>
          <w:rFonts w:ascii="Arial" w:hAnsi="Arial" w:cs="Arial"/>
          <w:b w:val="0"/>
          <w:color w:val="009030"/>
          <w:lang w:val="en"/>
        </w:rPr>
        <w:t>.</w:t>
      </w:r>
    </w:p>
    <w:p w14:paraId="04969DF0" w14:textId="260C1720" w:rsidR="00097FF7" w:rsidRPr="00DD2634" w:rsidRDefault="00866FD9" w:rsidP="006A2594">
      <w:pPr>
        <w:pStyle w:val="Heading3"/>
      </w:pPr>
      <w:r w:rsidRPr="00DD2634">
        <w:lastRenderedPageBreak/>
        <w:t xml:space="preserve">Outcome 1 </w:t>
      </w:r>
      <w:r w:rsidR="006A2594" w:rsidRPr="00DD2634">
        <w:t>forward estimates</w:t>
      </w:r>
    </w:p>
    <w:p w14:paraId="04969DF1" w14:textId="77777777" w:rsidR="00866FD9" w:rsidRPr="00DD2634" w:rsidRDefault="008B2450" w:rsidP="002058BE">
      <w:pPr>
        <w:pStyle w:val="Caption"/>
        <w:rPr>
          <w:szCs w:val="16"/>
        </w:rPr>
      </w:pPr>
      <w:r w:rsidRPr="00DD2634">
        <w:rPr>
          <w:szCs w:val="16"/>
        </w:rPr>
        <w:t xml:space="preserve">Table </w:t>
      </w:r>
      <w:proofErr w:type="spellStart"/>
      <w:r w:rsidRPr="00DD2634">
        <w:rPr>
          <w:szCs w:val="16"/>
        </w:rPr>
        <w:t>A1.2</w:t>
      </w:r>
      <w:proofErr w:type="spellEnd"/>
      <w:r w:rsidRPr="00DD2634">
        <w:rPr>
          <w:szCs w:val="16"/>
        </w:rPr>
        <w:t xml:space="preserve">. </w:t>
      </w:r>
      <w:r w:rsidR="0034200A" w:rsidRPr="00DD2634">
        <w:rPr>
          <w:szCs w:val="16"/>
        </w:rPr>
        <w:t xml:space="preserve">Forward estimates </w:t>
      </w:r>
      <w:r w:rsidRPr="00DD2634">
        <w:rPr>
          <w:szCs w:val="16"/>
        </w:rPr>
        <w:t>by progr</w:t>
      </w:r>
      <w:r w:rsidR="0063640F" w:rsidRPr="00DD2634">
        <w:rPr>
          <w:szCs w:val="16"/>
        </w:rPr>
        <w:t>amme</w:t>
      </w:r>
    </w:p>
    <w:tbl>
      <w:tblPr>
        <w:tblW w:w="8649" w:type="dxa"/>
        <w:tblInd w:w="108" w:type="dxa"/>
        <w:tblLook w:val="04A0" w:firstRow="1" w:lastRow="0" w:firstColumn="1" w:lastColumn="0" w:noHBand="0" w:noVBand="1"/>
      </w:tblPr>
      <w:tblGrid>
        <w:gridCol w:w="3402"/>
        <w:gridCol w:w="1029"/>
        <w:gridCol w:w="1029"/>
        <w:gridCol w:w="1029"/>
        <w:gridCol w:w="1029"/>
        <w:gridCol w:w="1131"/>
      </w:tblGrid>
      <w:tr w:rsidR="00866FD9" w:rsidRPr="00DD2634" w14:paraId="04969DF8" w14:textId="77777777" w:rsidTr="006E1311">
        <w:trPr>
          <w:trHeight w:val="269"/>
        </w:trPr>
        <w:tc>
          <w:tcPr>
            <w:tcW w:w="3402" w:type="dxa"/>
            <w:tcBorders>
              <w:top w:val="single" w:sz="4" w:space="0" w:color="auto"/>
              <w:left w:val="single" w:sz="4" w:space="0" w:color="auto"/>
              <w:bottom w:val="nil"/>
              <w:right w:val="single" w:sz="4" w:space="0" w:color="auto"/>
            </w:tcBorders>
            <w:shd w:val="clear" w:color="000000" w:fill="auto"/>
            <w:vAlign w:val="center"/>
            <w:hideMark/>
          </w:tcPr>
          <w:p w14:paraId="04969DF2" w14:textId="77777777" w:rsidR="00866FD9" w:rsidRPr="00DD2634" w:rsidRDefault="00866FD9" w:rsidP="00C31BC0">
            <w:pPr>
              <w:keepNext/>
              <w:spacing w:after="0" w:line="240" w:lineRule="auto"/>
              <w:rPr>
                <w:rFonts w:ascii="Calibri" w:eastAsia="Times New Roman" w:hAnsi="Calibri" w:cs="Calibri"/>
                <w:b/>
                <w:bCs/>
                <w:sz w:val="20"/>
                <w:szCs w:val="20"/>
                <w:lang w:eastAsia="en-AU"/>
              </w:rPr>
            </w:pPr>
            <w:r w:rsidRPr="00DD2634">
              <w:rPr>
                <w:rFonts w:ascii="Calibri" w:eastAsia="Times New Roman" w:hAnsi="Calibri" w:cs="Calibri"/>
                <w:b/>
                <w:bCs/>
                <w:sz w:val="20"/>
                <w:szCs w:val="20"/>
                <w:lang w:eastAsia="en-AU"/>
              </w:rPr>
              <w:t> </w:t>
            </w:r>
          </w:p>
        </w:tc>
        <w:tc>
          <w:tcPr>
            <w:tcW w:w="1029" w:type="dxa"/>
            <w:tcBorders>
              <w:top w:val="single" w:sz="4" w:space="0" w:color="auto"/>
              <w:left w:val="nil"/>
              <w:bottom w:val="nil"/>
              <w:right w:val="nil"/>
            </w:tcBorders>
            <w:shd w:val="clear" w:color="auto" w:fill="FFFFFF" w:themeFill="background1"/>
            <w:vAlign w:val="bottom"/>
            <w:hideMark/>
          </w:tcPr>
          <w:p w14:paraId="04969DF3" w14:textId="77777777" w:rsidR="00866FD9" w:rsidRPr="00DD2634" w:rsidRDefault="00866FD9" w:rsidP="00C31BC0">
            <w:pPr>
              <w:keepNext/>
              <w:spacing w:after="0" w:line="240" w:lineRule="auto"/>
              <w:jc w:val="center"/>
              <w:rPr>
                <w:rFonts w:ascii="Calibri" w:eastAsia="Times New Roman" w:hAnsi="Calibri" w:cs="Calibri"/>
                <w:b/>
                <w:bCs/>
                <w:sz w:val="20"/>
                <w:szCs w:val="20"/>
                <w:lang w:eastAsia="en-AU"/>
              </w:rPr>
            </w:pPr>
            <w:r w:rsidRPr="00DD2634">
              <w:rPr>
                <w:rFonts w:ascii="Calibri" w:eastAsia="Times New Roman" w:hAnsi="Calibri" w:cs="Calibri"/>
                <w:b/>
                <w:bCs/>
                <w:sz w:val="20"/>
                <w:szCs w:val="20"/>
                <w:lang w:eastAsia="en-AU"/>
              </w:rPr>
              <w:t>2013-14</w:t>
            </w:r>
          </w:p>
        </w:tc>
        <w:tc>
          <w:tcPr>
            <w:tcW w:w="1029" w:type="dxa"/>
            <w:tcBorders>
              <w:top w:val="single" w:sz="4" w:space="0" w:color="auto"/>
              <w:left w:val="nil"/>
              <w:bottom w:val="nil"/>
              <w:right w:val="nil"/>
            </w:tcBorders>
            <w:shd w:val="clear" w:color="auto" w:fill="FFFFFF" w:themeFill="background1"/>
            <w:vAlign w:val="bottom"/>
            <w:hideMark/>
          </w:tcPr>
          <w:p w14:paraId="04969DF4" w14:textId="77777777" w:rsidR="00866FD9" w:rsidRPr="00DD2634" w:rsidRDefault="00866FD9" w:rsidP="00C31BC0">
            <w:pPr>
              <w:keepNext/>
              <w:spacing w:after="0" w:line="240" w:lineRule="auto"/>
              <w:jc w:val="center"/>
              <w:rPr>
                <w:rFonts w:ascii="Calibri" w:eastAsia="Times New Roman" w:hAnsi="Calibri" w:cs="Calibri"/>
                <w:b/>
                <w:bCs/>
                <w:sz w:val="20"/>
                <w:szCs w:val="20"/>
                <w:lang w:eastAsia="en-AU"/>
              </w:rPr>
            </w:pPr>
            <w:r w:rsidRPr="00DD2634">
              <w:rPr>
                <w:rFonts w:ascii="Calibri" w:eastAsia="Times New Roman" w:hAnsi="Calibri" w:cs="Calibri"/>
                <w:b/>
                <w:bCs/>
                <w:sz w:val="20"/>
                <w:szCs w:val="20"/>
                <w:lang w:eastAsia="en-AU"/>
              </w:rPr>
              <w:t>2014-15</w:t>
            </w:r>
          </w:p>
        </w:tc>
        <w:tc>
          <w:tcPr>
            <w:tcW w:w="1029" w:type="dxa"/>
            <w:tcBorders>
              <w:top w:val="single" w:sz="4" w:space="0" w:color="auto"/>
              <w:left w:val="nil"/>
              <w:bottom w:val="nil"/>
              <w:right w:val="nil"/>
            </w:tcBorders>
            <w:shd w:val="clear" w:color="auto" w:fill="FFFFFF" w:themeFill="background1"/>
            <w:vAlign w:val="bottom"/>
            <w:hideMark/>
          </w:tcPr>
          <w:p w14:paraId="04969DF5" w14:textId="77777777" w:rsidR="00866FD9" w:rsidRPr="00DD2634" w:rsidRDefault="00866FD9" w:rsidP="00C31BC0">
            <w:pPr>
              <w:keepNext/>
              <w:spacing w:after="0" w:line="240" w:lineRule="auto"/>
              <w:jc w:val="center"/>
              <w:rPr>
                <w:rFonts w:ascii="Calibri" w:eastAsia="Times New Roman" w:hAnsi="Calibri" w:cs="Calibri"/>
                <w:b/>
                <w:bCs/>
                <w:sz w:val="20"/>
                <w:szCs w:val="20"/>
                <w:lang w:eastAsia="en-AU"/>
              </w:rPr>
            </w:pPr>
            <w:r w:rsidRPr="00DD2634">
              <w:rPr>
                <w:rFonts w:ascii="Calibri" w:eastAsia="Times New Roman" w:hAnsi="Calibri" w:cs="Calibri"/>
                <w:b/>
                <w:bCs/>
                <w:sz w:val="20"/>
                <w:szCs w:val="20"/>
                <w:lang w:eastAsia="en-AU"/>
              </w:rPr>
              <w:t>2015-16</w:t>
            </w:r>
          </w:p>
        </w:tc>
        <w:tc>
          <w:tcPr>
            <w:tcW w:w="1029" w:type="dxa"/>
            <w:tcBorders>
              <w:top w:val="single" w:sz="4" w:space="0" w:color="auto"/>
              <w:left w:val="nil"/>
              <w:bottom w:val="nil"/>
              <w:right w:val="nil"/>
            </w:tcBorders>
            <w:shd w:val="clear" w:color="auto" w:fill="FFFFFF" w:themeFill="background1"/>
            <w:vAlign w:val="bottom"/>
            <w:hideMark/>
          </w:tcPr>
          <w:p w14:paraId="04969DF6" w14:textId="77777777" w:rsidR="00866FD9" w:rsidRPr="00DD2634" w:rsidRDefault="00866FD9" w:rsidP="00C31BC0">
            <w:pPr>
              <w:keepNext/>
              <w:spacing w:after="0" w:line="240" w:lineRule="auto"/>
              <w:jc w:val="center"/>
              <w:rPr>
                <w:rFonts w:ascii="Calibri" w:eastAsia="Times New Roman" w:hAnsi="Calibri" w:cs="Calibri"/>
                <w:b/>
                <w:bCs/>
                <w:sz w:val="20"/>
                <w:szCs w:val="20"/>
                <w:lang w:eastAsia="en-AU"/>
              </w:rPr>
            </w:pPr>
            <w:r w:rsidRPr="00DD2634">
              <w:rPr>
                <w:rFonts w:ascii="Calibri" w:eastAsia="Times New Roman" w:hAnsi="Calibri" w:cs="Calibri"/>
                <w:b/>
                <w:bCs/>
                <w:sz w:val="20"/>
                <w:szCs w:val="20"/>
                <w:lang w:eastAsia="en-AU"/>
              </w:rPr>
              <w:t>2016-17</w:t>
            </w:r>
          </w:p>
        </w:tc>
        <w:tc>
          <w:tcPr>
            <w:tcW w:w="1131" w:type="dxa"/>
            <w:tcBorders>
              <w:top w:val="single" w:sz="4" w:space="0" w:color="auto"/>
              <w:left w:val="single" w:sz="4" w:space="0" w:color="auto"/>
              <w:bottom w:val="nil"/>
              <w:right w:val="single" w:sz="4" w:space="0" w:color="auto"/>
            </w:tcBorders>
            <w:shd w:val="clear" w:color="auto" w:fill="D9D9D9" w:themeFill="background1" w:themeFillShade="D9"/>
            <w:vAlign w:val="bottom"/>
            <w:hideMark/>
          </w:tcPr>
          <w:p w14:paraId="04969DF7" w14:textId="0BAF594E" w:rsidR="00866FD9" w:rsidRPr="00DD2634" w:rsidRDefault="00866FD9" w:rsidP="00C31BC0">
            <w:pPr>
              <w:keepNext/>
              <w:spacing w:after="0" w:line="240" w:lineRule="auto"/>
              <w:jc w:val="center"/>
              <w:rPr>
                <w:rFonts w:ascii="Calibri" w:eastAsia="Times New Roman" w:hAnsi="Calibri" w:cs="Calibri"/>
                <w:b/>
                <w:bCs/>
                <w:sz w:val="20"/>
                <w:szCs w:val="20"/>
                <w:lang w:eastAsia="en-AU"/>
              </w:rPr>
            </w:pPr>
            <w:r w:rsidRPr="00DD2634">
              <w:rPr>
                <w:rFonts w:ascii="Calibri" w:eastAsia="Times New Roman" w:hAnsi="Calibri" w:cs="Calibri"/>
                <w:b/>
                <w:bCs/>
                <w:sz w:val="20"/>
                <w:szCs w:val="20"/>
                <w:lang w:eastAsia="en-AU"/>
              </w:rPr>
              <w:t>Total</w:t>
            </w:r>
            <w:r w:rsidR="006E1311" w:rsidRPr="00DD2634">
              <w:rPr>
                <w:rFonts w:ascii="Calibri" w:eastAsia="Times New Roman" w:hAnsi="Calibri" w:cs="Calibri"/>
                <w:b/>
                <w:bCs/>
                <w:sz w:val="20"/>
                <w:szCs w:val="20"/>
                <w:lang w:eastAsia="en-AU"/>
              </w:rPr>
              <w:t>^</w:t>
            </w:r>
          </w:p>
        </w:tc>
      </w:tr>
      <w:tr w:rsidR="00866FD9" w:rsidRPr="00DD2634" w14:paraId="04969DFF" w14:textId="77777777" w:rsidTr="00BA5320">
        <w:trPr>
          <w:trHeight w:val="148"/>
        </w:trPr>
        <w:tc>
          <w:tcPr>
            <w:tcW w:w="3402" w:type="dxa"/>
            <w:tcBorders>
              <w:top w:val="nil"/>
              <w:left w:val="single" w:sz="4" w:space="0" w:color="auto"/>
              <w:bottom w:val="single" w:sz="4" w:space="0" w:color="auto"/>
              <w:right w:val="single" w:sz="4" w:space="0" w:color="auto"/>
            </w:tcBorders>
            <w:shd w:val="clear" w:color="000000" w:fill="auto"/>
            <w:noWrap/>
            <w:vAlign w:val="center"/>
            <w:hideMark/>
          </w:tcPr>
          <w:p w14:paraId="04969DF9" w14:textId="77777777" w:rsidR="00866FD9" w:rsidRPr="00DD2634" w:rsidRDefault="00866FD9" w:rsidP="00C31BC0">
            <w:pPr>
              <w:keepNext/>
              <w:spacing w:after="0" w:line="240" w:lineRule="auto"/>
              <w:rPr>
                <w:rFonts w:ascii="Calibri" w:eastAsia="Times New Roman" w:hAnsi="Calibri" w:cs="Calibri"/>
                <w:sz w:val="20"/>
                <w:szCs w:val="20"/>
                <w:lang w:eastAsia="en-AU"/>
              </w:rPr>
            </w:pPr>
            <w:r w:rsidRPr="00DD2634">
              <w:rPr>
                <w:rFonts w:ascii="Calibri" w:eastAsia="Times New Roman" w:hAnsi="Calibri" w:cs="Calibri"/>
                <w:sz w:val="20"/>
                <w:szCs w:val="20"/>
                <w:lang w:eastAsia="en-AU"/>
              </w:rPr>
              <w:t> </w:t>
            </w:r>
          </w:p>
        </w:tc>
        <w:tc>
          <w:tcPr>
            <w:tcW w:w="1029" w:type="dxa"/>
            <w:tcBorders>
              <w:top w:val="nil"/>
              <w:left w:val="nil"/>
              <w:bottom w:val="single" w:sz="4" w:space="0" w:color="auto"/>
              <w:right w:val="nil"/>
            </w:tcBorders>
            <w:shd w:val="clear" w:color="auto" w:fill="FFFFFF" w:themeFill="background1"/>
            <w:noWrap/>
            <w:vAlign w:val="bottom"/>
            <w:hideMark/>
          </w:tcPr>
          <w:p w14:paraId="04969DFA" w14:textId="77777777" w:rsidR="00866FD9" w:rsidRPr="00DD2634" w:rsidRDefault="00866FD9" w:rsidP="00C31BC0">
            <w:pPr>
              <w:keepNext/>
              <w:spacing w:after="0" w:line="240" w:lineRule="auto"/>
              <w:jc w:val="center"/>
              <w:rPr>
                <w:rFonts w:ascii="Calibri" w:eastAsia="Times New Roman" w:hAnsi="Calibri" w:cs="Calibri"/>
                <w:b/>
                <w:bCs/>
                <w:sz w:val="20"/>
                <w:szCs w:val="20"/>
                <w:lang w:eastAsia="en-AU"/>
              </w:rPr>
            </w:pPr>
            <w:r w:rsidRPr="00DD2634">
              <w:rPr>
                <w:rFonts w:ascii="Calibri" w:eastAsia="Times New Roman" w:hAnsi="Calibri" w:cs="Calibri"/>
                <w:b/>
                <w:bCs/>
                <w:sz w:val="20"/>
                <w:szCs w:val="20"/>
                <w:lang w:eastAsia="en-AU"/>
              </w:rPr>
              <w:t>$'000</w:t>
            </w:r>
          </w:p>
        </w:tc>
        <w:tc>
          <w:tcPr>
            <w:tcW w:w="1029" w:type="dxa"/>
            <w:tcBorders>
              <w:top w:val="nil"/>
              <w:left w:val="nil"/>
              <w:bottom w:val="single" w:sz="4" w:space="0" w:color="auto"/>
              <w:right w:val="nil"/>
            </w:tcBorders>
            <w:shd w:val="clear" w:color="auto" w:fill="FFFFFF" w:themeFill="background1"/>
            <w:noWrap/>
            <w:vAlign w:val="bottom"/>
            <w:hideMark/>
          </w:tcPr>
          <w:p w14:paraId="04969DFB" w14:textId="77777777" w:rsidR="00866FD9" w:rsidRPr="00DD2634" w:rsidRDefault="00866FD9" w:rsidP="00C31BC0">
            <w:pPr>
              <w:keepNext/>
              <w:spacing w:after="0" w:line="240" w:lineRule="auto"/>
              <w:jc w:val="center"/>
              <w:rPr>
                <w:rFonts w:ascii="Calibri" w:eastAsia="Times New Roman" w:hAnsi="Calibri" w:cs="Calibri"/>
                <w:b/>
                <w:bCs/>
                <w:sz w:val="20"/>
                <w:szCs w:val="20"/>
                <w:lang w:eastAsia="en-AU"/>
              </w:rPr>
            </w:pPr>
            <w:r w:rsidRPr="00DD2634">
              <w:rPr>
                <w:rFonts w:ascii="Calibri" w:eastAsia="Times New Roman" w:hAnsi="Calibri" w:cs="Calibri"/>
                <w:b/>
                <w:bCs/>
                <w:sz w:val="20"/>
                <w:szCs w:val="20"/>
                <w:lang w:eastAsia="en-AU"/>
              </w:rPr>
              <w:t>$'000</w:t>
            </w:r>
          </w:p>
        </w:tc>
        <w:tc>
          <w:tcPr>
            <w:tcW w:w="1029" w:type="dxa"/>
            <w:tcBorders>
              <w:top w:val="nil"/>
              <w:left w:val="nil"/>
              <w:bottom w:val="single" w:sz="4" w:space="0" w:color="auto"/>
              <w:right w:val="nil"/>
            </w:tcBorders>
            <w:shd w:val="clear" w:color="auto" w:fill="FFFFFF" w:themeFill="background1"/>
            <w:noWrap/>
            <w:vAlign w:val="bottom"/>
            <w:hideMark/>
          </w:tcPr>
          <w:p w14:paraId="04969DFC" w14:textId="77777777" w:rsidR="00866FD9" w:rsidRPr="00DD2634" w:rsidRDefault="00866FD9" w:rsidP="00C31BC0">
            <w:pPr>
              <w:keepNext/>
              <w:spacing w:after="0" w:line="240" w:lineRule="auto"/>
              <w:jc w:val="center"/>
              <w:rPr>
                <w:rFonts w:ascii="Calibri" w:eastAsia="Times New Roman" w:hAnsi="Calibri" w:cs="Calibri"/>
                <w:b/>
                <w:bCs/>
                <w:sz w:val="20"/>
                <w:szCs w:val="20"/>
                <w:lang w:eastAsia="en-AU"/>
              </w:rPr>
            </w:pPr>
            <w:r w:rsidRPr="00DD2634">
              <w:rPr>
                <w:rFonts w:ascii="Calibri" w:eastAsia="Times New Roman" w:hAnsi="Calibri" w:cs="Calibri"/>
                <w:b/>
                <w:bCs/>
                <w:sz w:val="20"/>
                <w:szCs w:val="20"/>
                <w:lang w:eastAsia="en-AU"/>
              </w:rPr>
              <w:t>$'000</w:t>
            </w:r>
          </w:p>
        </w:tc>
        <w:tc>
          <w:tcPr>
            <w:tcW w:w="1029" w:type="dxa"/>
            <w:tcBorders>
              <w:top w:val="nil"/>
              <w:left w:val="nil"/>
              <w:bottom w:val="single" w:sz="4" w:space="0" w:color="auto"/>
              <w:right w:val="nil"/>
            </w:tcBorders>
            <w:shd w:val="clear" w:color="auto" w:fill="FFFFFF" w:themeFill="background1"/>
            <w:noWrap/>
            <w:vAlign w:val="bottom"/>
            <w:hideMark/>
          </w:tcPr>
          <w:p w14:paraId="04969DFD" w14:textId="77777777" w:rsidR="00866FD9" w:rsidRPr="00DD2634" w:rsidRDefault="00866FD9" w:rsidP="00C31BC0">
            <w:pPr>
              <w:keepNext/>
              <w:spacing w:after="0" w:line="240" w:lineRule="auto"/>
              <w:jc w:val="center"/>
              <w:rPr>
                <w:rFonts w:ascii="Calibri" w:eastAsia="Times New Roman" w:hAnsi="Calibri" w:cs="Calibri"/>
                <w:b/>
                <w:bCs/>
                <w:sz w:val="20"/>
                <w:szCs w:val="20"/>
                <w:lang w:eastAsia="en-AU"/>
              </w:rPr>
            </w:pPr>
            <w:r w:rsidRPr="00DD2634">
              <w:rPr>
                <w:rFonts w:ascii="Calibri" w:eastAsia="Times New Roman" w:hAnsi="Calibri" w:cs="Calibri"/>
                <w:b/>
                <w:bCs/>
                <w:sz w:val="20"/>
                <w:szCs w:val="20"/>
                <w:lang w:eastAsia="en-AU"/>
              </w:rPr>
              <w:t>$'000</w:t>
            </w:r>
          </w:p>
        </w:tc>
        <w:tc>
          <w:tcPr>
            <w:tcW w:w="1131"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04969DFE" w14:textId="77777777" w:rsidR="00866FD9" w:rsidRPr="00DD2634" w:rsidRDefault="00866FD9" w:rsidP="00C31BC0">
            <w:pPr>
              <w:keepNext/>
              <w:spacing w:after="0" w:line="240" w:lineRule="auto"/>
              <w:jc w:val="center"/>
              <w:rPr>
                <w:rFonts w:ascii="Calibri" w:eastAsia="Times New Roman" w:hAnsi="Calibri" w:cs="Calibri"/>
                <w:b/>
                <w:bCs/>
                <w:sz w:val="20"/>
                <w:szCs w:val="20"/>
                <w:lang w:eastAsia="en-AU"/>
              </w:rPr>
            </w:pPr>
            <w:r w:rsidRPr="00DD2634">
              <w:rPr>
                <w:rFonts w:ascii="Calibri" w:eastAsia="Times New Roman" w:hAnsi="Calibri" w:cs="Calibri"/>
                <w:b/>
                <w:bCs/>
                <w:sz w:val="20"/>
                <w:szCs w:val="20"/>
                <w:lang w:eastAsia="en-AU"/>
              </w:rPr>
              <w:t>$'000</w:t>
            </w:r>
          </w:p>
        </w:tc>
      </w:tr>
      <w:tr w:rsidR="00866FD9" w:rsidRPr="00DD2634" w14:paraId="04969E06" w14:textId="77777777" w:rsidTr="00BA5320">
        <w:trPr>
          <w:trHeight w:val="255"/>
        </w:trPr>
        <w:tc>
          <w:tcPr>
            <w:tcW w:w="3402" w:type="dxa"/>
            <w:tcBorders>
              <w:top w:val="single" w:sz="4" w:space="0" w:color="auto"/>
              <w:left w:val="single" w:sz="4" w:space="0" w:color="auto"/>
              <w:bottom w:val="nil"/>
              <w:right w:val="single" w:sz="4" w:space="0" w:color="auto"/>
            </w:tcBorders>
            <w:shd w:val="clear" w:color="000000" w:fill="auto"/>
            <w:noWrap/>
            <w:vAlign w:val="bottom"/>
            <w:hideMark/>
          </w:tcPr>
          <w:p w14:paraId="04969E00" w14:textId="77777777" w:rsidR="00866FD9" w:rsidRPr="00DD2634" w:rsidRDefault="00866FD9" w:rsidP="00C31BC0">
            <w:pPr>
              <w:keepNext/>
              <w:spacing w:after="0" w:line="240" w:lineRule="auto"/>
              <w:rPr>
                <w:rFonts w:ascii="Calibri" w:eastAsia="Times New Roman" w:hAnsi="Calibri" w:cs="Calibri"/>
                <w:b/>
                <w:sz w:val="20"/>
                <w:szCs w:val="20"/>
                <w:lang w:eastAsia="en-AU"/>
              </w:rPr>
            </w:pPr>
            <w:r w:rsidRPr="00DD2634">
              <w:rPr>
                <w:rFonts w:ascii="Calibri" w:eastAsia="Times New Roman" w:hAnsi="Calibri" w:cs="Calibri"/>
                <w:b/>
                <w:sz w:val="20"/>
                <w:szCs w:val="20"/>
                <w:lang w:eastAsia="en-AU"/>
              </w:rPr>
              <w:t>Programme 1.1</w:t>
            </w:r>
          </w:p>
        </w:tc>
        <w:tc>
          <w:tcPr>
            <w:tcW w:w="1029" w:type="dxa"/>
            <w:tcBorders>
              <w:top w:val="single" w:sz="4" w:space="0" w:color="auto"/>
              <w:left w:val="single" w:sz="4" w:space="0" w:color="auto"/>
              <w:bottom w:val="nil"/>
              <w:right w:val="nil"/>
            </w:tcBorders>
            <w:shd w:val="clear" w:color="auto" w:fill="FFFFFF" w:themeFill="background1"/>
            <w:vAlign w:val="bottom"/>
            <w:hideMark/>
          </w:tcPr>
          <w:p w14:paraId="04969E01" w14:textId="77777777" w:rsidR="00866FD9" w:rsidRPr="00DD2634" w:rsidRDefault="00866FD9" w:rsidP="00C31BC0">
            <w:pPr>
              <w:keepNext/>
              <w:spacing w:after="0" w:line="240" w:lineRule="auto"/>
              <w:rPr>
                <w:rFonts w:ascii="Calibri" w:eastAsia="Times New Roman" w:hAnsi="Calibri" w:cs="Calibri"/>
                <w:b/>
                <w:bCs/>
                <w:sz w:val="20"/>
                <w:szCs w:val="20"/>
                <w:lang w:eastAsia="en-AU"/>
              </w:rPr>
            </w:pPr>
            <w:r w:rsidRPr="00DD2634">
              <w:rPr>
                <w:rFonts w:ascii="Calibri" w:eastAsia="Times New Roman" w:hAnsi="Calibri" w:cs="Calibri"/>
                <w:b/>
                <w:bCs/>
                <w:sz w:val="20"/>
                <w:szCs w:val="20"/>
                <w:lang w:eastAsia="en-AU"/>
              </w:rPr>
              <w:t> </w:t>
            </w:r>
          </w:p>
        </w:tc>
        <w:tc>
          <w:tcPr>
            <w:tcW w:w="1029" w:type="dxa"/>
            <w:tcBorders>
              <w:top w:val="single" w:sz="4" w:space="0" w:color="auto"/>
              <w:left w:val="nil"/>
              <w:bottom w:val="nil"/>
              <w:right w:val="nil"/>
            </w:tcBorders>
            <w:shd w:val="clear" w:color="auto" w:fill="FFFFFF" w:themeFill="background1"/>
            <w:vAlign w:val="bottom"/>
            <w:hideMark/>
          </w:tcPr>
          <w:p w14:paraId="04969E02" w14:textId="77777777" w:rsidR="00866FD9" w:rsidRPr="00DD2634" w:rsidRDefault="00866FD9" w:rsidP="00C31BC0">
            <w:pPr>
              <w:keepNext/>
              <w:spacing w:after="0" w:line="240" w:lineRule="auto"/>
              <w:rPr>
                <w:rFonts w:ascii="Calibri" w:eastAsia="Times New Roman" w:hAnsi="Calibri" w:cs="Calibri"/>
                <w:b/>
                <w:bCs/>
                <w:sz w:val="20"/>
                <w:szCs w:val="20"/>
                <w:lang w:eastAsia="en-AU"/>
              </w:rPr>
            </w:pPr>
          </w:p>
        </w:tc>
        <w:tc>
          <w:tcPr>
            <w:tcW w:w="1029" w:type="dxa"/>
            <w:tcBorders>
              <w:top w:val="single" w:sz="4" w:space="0" w:color="auto"/>
              <w:left w:val="nil"/>
              <w:bottom w:val="nil"/>
              <w:right w:val="nil"/>
            </w:tcBorders>
            <w:shd w:val="clear" w:color="auto" w:fill="FFFFFF" w:themeFill="background1"/>
            <w:vAlign w:val="bottom"/>
            <w:hideMark/>
          </w:tcPr>
          <w:p w14:paraId="04969E03" w14:textId="77777777" w:rsidR="00866FD9" w:rsidRPr="00DD2634" w:rsidRDefault="00866FD9" w:rsidP="00C31BC0">
            <w:pPr>
              <w:keepNext/>
              <w:spacing w:after="0" w:line="240" w:lineRule="auto"/>
              <w:rPr>
                <w:rFonts w:ascii="Calibri" w:eastAsia="Times New Roman" w:hAnsi="Calibri" w:cs="Calibri"/>
                <w:b/>
                <w:bCs/>
                <w:sz w:val="20"/>
                <w:szCs w:val="20"/>
                <w:lang w:eastAsia="en-AU"/>
              </w:rPr>
            </w:pPr>
          </w:p>
        </w:tc>
        <w:tc>
          <w:tcPr>
            <w:tcW w:w="1029" w:type="dxa"/>
            <w:tcBorders>
              <w:top w:val="single" w:sz="4" w:space="0" w:color="auto"/>
              <w:left w:val="nil"/>
              <w:bottom w:val="nil"/>
              <w:right w:val="nil"/>
            </w:tcBorders>
            <w:shd w:val="clear" w:color="auto" w:fill="FFFFFF" w:themeFill="background1"/>
            <w:vAlign w:val="bottom"/>
            <w:hideMark/>
          </w:tcPr>
          <w:p w14:paraId="04969E04" w14:textId="77777777" w:rsidR="00866FD9" w:rsidRPr="00DD2634" w:rsidRDefault="00866FD9" w:rsidP="00C31BC0">
            <w:pPr>
              <w:keepNext/>
              <w:spacing w:after="0" w:line="240" w:lineRule="auto"/>
              <w:rPr>
                <w:rFonts w:ascii="Calibri" w:eastAsia="Times New Roman" w:hAnsi="Calibri" w:cs="Calibri"/>
                <w:b/>
                <w:bCs/>
                <w:sz w:val="20"/>
                <w:szCs w:val="20"/>
                <w:lang w:eastAsia="en-AU"/>
              </w:rPr>
            </w:pPr>
          </w:p>
        </w:tc>
        <w:tc>
          <w:tcPr>
            <w:tcW w:w="1131" w:type="dxa"/>
            <w:tcBorders>
              <w:top w:val="single" w:sz="4" w:space="0" w:color="auto"/>
              <w:left w:val="single" w:sz="4" w:space="0" w:color="auto"/>
              <w:bottom w:val="nil"/>
              <w:right w:val="single" w:sz="4" w:space="0" w:color="auto"/>
            </w:tcBorders>
            <w:shd w:val="clear" w:color="auto" w:fill="D9D9D9" w:themeFill="background1" w:themeFillShade="D9"/>
            <w:vAlign w:val="bottom"/>
            <w:hideMark/>
          </w:tcPr>
          <w:p w14:paraId="04969E05" w14:textId="77777777" w:rsidR="00866FD9" w:rsidRPr="00DD2634" w:rsidRDefault="00866FD9" w:rsidP="00C31BC0">
            <w:pPr>
              <w:keepNext/>
              <w:spacing w:after="0" w:line="240" w:lineRule="auto"/>
              <w:rPr>
                <w:rFonts w:ascii="Calibri" w:eastAsia="Times New Roman" w:hAnsi="Calibri" w:cs="Calibri"/>
                <w:b/>
                <w:bCs/>
                <w:sz w:val="20"/>
                <w:szCs w:val="20"/>
                <w:lang w:eastAsia="en-AU"/>
              </w:rPr>
            </w:pPr>
            <w:r w:rsidRPr="00DD2634">
              <w:rPr>
                <w:rFonts w:ascii="Calibri" w:eastAsia="Times New Roman" w:hAnsi="Calibri" w:cs="Calibri"/>
                <w:b/>
                <w:bCs/>
                <w:sz w:val="20"/>
                <w:szCs w:val="20"/>
                <w:lang w:eastAsia="en-AU"/>
              </w:rPr>
              <w:t> </w:t>
            </w:r>
          </w:p>
        </w:tc>
      </w:tr>
      <w:tr w:rsidR="00866FD9" w:rsidRPr="00DD2634" w14:paraId="04969E0D" w14:textId="77777777" w:rsidTr="00BA5320">
        <w:trPr>
          <w:trHeight w:val="300"/>
        </w:trPr>
        <w:tc>
          <w:tcPr>
            <w:tcW w:w="3402" w:type="dxa"/>
            <w:tcBorders>
              <w:top w:val="nil"/>
              <w:left w:val="single" w:sz="4" w:space="0" w:color="auto"/>
              <w:bottom w:val="nil"/>
              <w:right w:val="single" w:sz="4" w:space="0" w:color="auto"/>
            </w:tcBorders>
            <w:shd w:val="clear" w:color="000000" w:fill="auto"/>
            <w:vAlign w:val="center"/>
            <w:hideMark/>
          </w:tcPr>
          <w:p w14:paraId="04969E07" w14:textId="77777777" w:rsidR="00866FD9" w:rsidRPr="00DD2634" w:rsidRDefault="00866FD9" w:rsidP="00C31BC0">
            <w:pPr>
              <w:keepNext/>
              <w:spacing w:after="0" w:line="240" w:lineRule="auto"/>
              <w:rPr>
                <w:rFonts w:ascii="Calibri" w:eastAsia="Times New Roman" w:hAnsi="Calibri" w:cs="Calibri"/>
                <w:sz w:val="20"/>
                <w:szCs w:val="20"/>
                <w:lang w:eastAsia="en-AU"/>
              </w:rPr>
            </w:pPr>
            <w:r w:rsidRPr="00DD2634">
              <w:rPr>
                <w:rFonts w:ascii="Calibri" w:eastAsia="Times New Roman" w:hAnsi="Calibri" w:cs="Calibri"/>
                <w:sz w:val="20"/>
                <w:szCs w:val="20"/>
                <w:lang w:eastAsia="en-AU"/>
              </w:rPr>
              <w:t>Child Care Services Support</w:t>
            </w:r>
          </w:p>
        </w:tc>
        <w:tc>
          <w:tcPr>
            <w:tcW w:w="1029" w:type="dxa"/>
            <w:tcBorders>
              <w:top w:val="nil"/>
              <w:left w:val="single" w:sz="4" w:space="0" w:color="auto"/>
              <w:bottom w:val="nil"/>
              <w:right w:val="nil"/>
            </w:tcBorders>
            <w:shd w:val="clear" w:color="auto" w:fill="FFFFFF" w:themeFill="background1"/>
            <w:vAlign w:val="center"/>
            <w:hideMark/>
          </w:tcPr>
          <w:p w14:paraId="04969E08" w14:textId="77777777" w:rsidR="00866FD9" w:rsidRPr="00DD2634" w:rsidRDefault="002974BA" w:rsidP="00C31BC0">
            <w:pPr>
              <w:keepNext/>
              <w:spacing w:after="0" w:line="240" w:lineRule="auto"/>
              <w:jc w:val="right"/>
              <w:rPr>
                <w:rFonts w:ascii="Calibri" w:eastAsia="Times New Roman" w:hAnsi="Calibri" w:cs="Calibri"/>
                <w:sz w:val="20"/>
                <w:szCs w:val="20"/>
                <w:lang w:eastAsia="en-AU"/>
              </w:rPr>
            </w:pPr>
            <w:r w:rsidRPr="00DD2634">
              <w:rPr>
                <w:rFonts w:ascii="Calibri" w:eastAsia="Times New Roman" w:hAnsi="Calibri" w:cs="Calibri"/>
                <w:sz w:val="20"/>
                <w:szCs w:val="20"/>
                <w:lang w:eastAsia="en-AU"/>
              </w:rPr>
              <w:t xml:space="preserve"> </w:t>
            </w:r>
            <w:r w:rsidR="00866FD9" w:rsidRPr="00DD2634">
              <w:rPr>
                <w:rFonts w:ascii="Calibri" w:eastAsia="Times New Roman" w:hAnsi="Calibri" w:cs="Calibri"/>
                <w:sz w:val="20"/>
                <w:szCs w:val="20"/>
                <w:lang w:eastAsia="en-AU"/>
              </w:rPr>
              <w:t xml:space="preserve">342,632 </w:t>
            </w:r>
          </w:p>
        </w:tc>
        <w:tc>
          <w:tcPr>
            <w:tcW w:w="1029" w:type="dxa"/>
            <w:tcBorders>
              <w:top w:val="nil"/>
              <w:left w:val="nil"/>
              <w:bottom w:val="nil"/>
              <w:right w:val="nil"/>
            </w:tcBorders>
            <w:shd w:val="clear" w:color="auto" w:fill="FFFFFF" w:themeFill="background1"/>
            <w:vAlign w:val="center"/>
            <w:hideMark/>
          </w:tcPr>
          <w:p w14:paraId="04969E09" w14:textId="77777777" w:rsidR="00866FD9" w:rsidRPr="00DD2634" w:rsidRDefault="002974BA" w:rsidP="00C31BC0">
            <w:pPr>
              <w:keepNext/>
              <w:spacing w:after="0" w:line="240" w:lineRule="auto"/>
              <w:jc w:val="right"/>
              <w:rPr>
                <w:rFonts w:ascii="Calibri" w:eastAsia="Times New Roman" w:hAnsi="Calibri" w:cs="Calibri"/>
                <w:sz w:val="20"/>
                <w:szCs w:val="20"/>
                <w:lang w:eastAsia="en-AU"/>
              </w:rPr>
            </w:pPr>
            <w:r w:rsidRPr="00DD2634">
              <w:rPr>
                <w:rFonts w:ascii="Calibri" w:eastAsia="Times New Roman" w:hAnsi="Calibri" w:cs="Calibri"/>
                <w:sz w:val="20"/>
                <w:szCs w:val="20"/>
                <w:lang w:eastAsia="en-AU"/>
              </w:rPr>
              <w:t xml:space="preserve"> </w:t>
            </w:r>
            <w:r w:rsidR="00866FD9" w:rsidRPr="00DD2634">
              <w:rPr>
                <w:rFonts w:ascii="Calibri" w:eastAsia="Times New Roman" w:hAnsi="Calibri" w:cs="Calibri"/>
                <w:sz w:val="20"/>
                <w:szCs w:val="20"/>
                <w:lang w:eastAsia="en-AU"/>
              </w:rPr>
              <w:t xml:space="preserve">367,635 </w:t>
            </w:r>
          </w:p>
        </w:tc>
        <w:tc>
          <w:tcPr>
            <w:tcW w:w="1029" w:type="dxa"/>
            <w:tcBorders>
              <w:top w:val="nil"/>
              <w:left w:val="nil"/>
              <w:bottom w:val="nil"/>
              <w:right w:val="nil"/>
            </w:tcBorders>
            <w:shd w:val="clear" w:color="auto" w:fill="FFFFFF" w:themeFill="background1"/>
            <w:vAlign w:val="center"/>
            <w:hideMark/>
          </w:tcPr>
          <w:p w14:paraId="04969E0A" w14:textId="77777777" w:rsidR="00866FD9" w:rsidRPr="00DD2634" w:rsidRDefault="001A168A" w:rsidP="00C31BC0">
            <w:pPr>
              <w:keepNext/>
              <w:spacing w:after="0" w:line="240" w:lineRule="auto"/>
              <w:jc w:val="right"/>
              <w:rPr>
                <w:rFonts w:ascii="Calibri" w:eastAsia="Times New Roman" w:hAnsi="Calibri" w:cs="Calibri"/>
                <w:sz w:val="20"/>
                <w:szCs w:val="20"/>
                <w:lang w:eastAsia="en-AU"/>
              </w:rPr>
            </w:pPr>
            <w:r w:rsidRPr="00DD2634">
              <w:rPr>
                <w:rFonts w:ascii="Calibri" w:eastAsia="Times New Roman" w:hAnsi="Calibri" w:cs="Calibri"/>
                <w:sz w:val="20"/>
                <w:szCs w:val="20"/>
                <w:lang w:eastAsia="en-AU"/>
              </w:rPr>
              <w:t xml:space="preserve"> </w:t>
            </w:r>
            <w:r w:rsidR="00866FD9" w:rsidRPr="00DD2634">
              <w:rPr>
                <w:rFonts w:ascii="Calibri" w:eastAsia="Times New Roman" w:hAnsi="Calibri" w:cs="Calibri"/>
                <w:sz w:val="20"/>
                <w:szCs w:val="20"/>
                <w:lang w:eastAsia="en-AU"/>
              </w:rPr>
              <w:t xml:space="preserve">359,110 </w:t>
            </w:r>
          </w:p>
        </w:tc>
        <w:tc>
          <w:tcPr>
            <w:tcW w:w="1029" w:type="dxa"/>
            <w:tcBorders>
              <w:top w:val="nil"/>
              <w:left w:val="nil"/>
              <w:bottom w:val="nil"/>
              <w:right w:val="nil"/>
            </w:tcBorders>
            <w:shd w:val="clear" w:color="auto" w:fill="FFFFFF" w:themeFill="background1"/>
            <w:vAlign w:val="center"/>
            <w:hideMark/>
          </w:tcPr>
          <w:p w14:paraId="04969E0B" w14:textId="77777777" w:rsidR="00866FD9" w:rsidRPr="00DD2634" w:rsidRDefault="002974BA" w:rsidP="00C31BC0">
            <w:pPr>
              <w:keepNext/>
              <w:spacing w:after="0" w:line="240" w:lineRule="auto"/>
              <w:jc w:val="right"/>
              <w:rPr>
                <w:rFonts w:ascii="Calibri" w:eastAsia="Times New Roman" w:hAnsi="Calibri" w:cs="Calibri"/>
                <w:sz w:val="20"/>
                <w:szCs w:val="20"/>
                <w:lang w:eastAsia="en-AU"/>
              </w:rPr>
            </w:pPr>
            <w:r w:rsidRPr="00DD2634">
              <w:rPr>
                <w:rFonts w:ascii="Calibri" w:eastAsia="Times New Roman" w:hAnsi="Calibri" w:cs="Calibri"/>
                <w:sz w:val="20"/>
                <w:szCs w:val="20"/>
                <w:lang w:eastAsia="en-AU"/>
              </w:rPr>
              <w:t xml:space="preserve"> </w:t>
            </w:r>
            <w:r w:rsidR="00866FD9" w:rsidRPr="00DD2634">
              <w:rPr>
                <w:rFonts w:ascii="Calibri" w:eastAsia="Times New Roman" w:hAnsi="Calibri" w:cs="Calibri"/>
                <w:sz w:val="20"/>
                <w:szCs w:val="20"/>
                <w:lang w:eastAsia="en-AU"/>
              </w:rPr>
              <w:t xml:space="preserve">366,556 </w:t>
            </w:r>
          </w:p>
        </w:tc>
        <w:tc>
          <w:tcPr>
            <w:tcW w:w="1131" w:type="dxa"/>
            <w:tcBorders>
              <w:top w:val="nil"/>
              <w:left w:val="single" w:sz="4" w:space="0" w:color="auto"/>
              <w:bottom w:val="nil"/>
              <w:right w:val="single" w:sz="4" w:space="0" w:color="auto"/>
            </w:tcBorders>
            <w:shd w:val="clear" w:color="auto" w:fill="D9D9D9" w:themeFill="background1" w:themeFillShade="D9"/>
            <w:vAlign w:val="center"/>
            <w:hideMark/>
          </w:tcPr>
          <w:p w14:paraId="04969E0C" w14:textId="77777777" w:rsidR="00866FD9" w:rsidRPr="00DD2634" w:rsidRDefault="001A168A" w:rsidP="00C31BC0">
            <w:pPr>
              <w:keepNext/>
              <w:spacing w:after="0" w:line="240" w:lineRule="auto"/>
              <w:jc w:val="right"/>
              <w:rPr>
                <w:rFonts w:ascii="Calibri" w:eastAsia="Times New Roman" w:hAnsi="Calibri" w:cs="Calibri"/>
                <w:sz w:val="20"/>
                <w:szCs w:val="20"/>
                <w:lang w:eastAsia="en-AU"/>
              </w:rPr>
            </w:pPr>
            <w:r w:rsidRPr="00DD2634">
              <w:rPr>
                <w:rFonts w:ascii="Calibri" w:eastAsia="Times New Roman" w:hAnsi="Calibri" w:cs="Calibri"/>
                <w:sz w:val="20"/>
                <w:szCs w:val="20"/>
                <w:lang w:eastAsia="en-AU"/>
              </w:rPr>
              <w:t xml:space="preserve"> </w:t>
            </w:r>
            <w:r w:rsidR="00866FD9" w:rsidRPr="00DD2634">
              <w:rPr>
                <w:rFonts w:ascii="Calibri" w:eastAsia="Times New Roman" w:hAnsi="Calibri" w:cs="Calibri"/>
                <w:sz w:val="20"/>
                <w:szCs w:val="20"/>
                <w:lang w:eastAsia="en-AU"/>
              </w:rPr>
              <w:t xml:space="preserve">1,435,933 </w:t>
            </w:r>
          </w:p>
        </w:tc>
      </w:tr>
      <w:tr w:rsidR="00866FD9" w:rsidRPr="00DD2634" w14:paraId="04969E14" w14:textId="77777777" w:rsidTr="00BA5320">
        <w:trPr>
          <w:trHeight w:val="255"/>
        </w:trPr>
        <w:tc>
          <w:tcPr>
            <w:tcW w:w="3402" w:type="dxa"/>
            <w:tcBorders>
              <w:top w:val="nil"/>
              <w:left w:val="single" w:sz="4" w:space="0" w:color="auto"/>
              <w:bottom w:val="nil"/>
              <w:right w:val="single" w:sz="4" w:space="0" w:color="auto"/>
            </w:tcBorders>
            <w:shd w:val="clear" w:color="000000" w:fill="auto"/>
            <w:vAlign w:val="center"/>
            <w:hideMark/>
          </w:tcPr>
          <w:p w14:paraId="04969E0E" w14:textId="77777777" w:rsidR="00866FD9" w:rsidRPr="00DD2634" w:rsidRDefault="00866FD9" w:rsidP="00C31BC0">
            <w:pPr>
              <w:keepNext/>
              <w:spacing w:after="0" w:line="240" w:lineRule="auto"/>
              <w:rPr>
                <w:rFonts w:ascii="Calibri" w:eastAsia="Times New Roman" w:hAnsi="Calibri" w:cs="Calibri"/>
                <w:sz w:val="20"/>
                <w:szCs w:val="20"/>
                <w:lang w:eastAsia="en-AU"/>
              </w:rPr>
            </w:pPr>
            <w:r w:rsidRPr="00DD2634">
              <w:rPr>
                <w:rFonts w:ascii="Calibri" w:eastAsia="Times New Roman" w:hAnsi="Calibri" w:cs="Calibri"/>
                <w:sz w:val="20"/>
                <w:szCs w:val="20"/>
                <w:lang w:eastAsia="en-AU"/>
              </w:rPr>
              <w:t>Job Education and Training</w:t>
            </w:r>
          </w:p>
        </w:tc>
        <w:tc>
          <w:tcPr>
            <w:tcW w:w="1029" w:type="dxa"/>
            <w:tcBorders>
              <w:top w:val="nil"/>
              <w:left w:val="single" w:sz="4" w:space="0" w:color="auto"/>
              <w:bottom w:val="nil"/>
              <w:right w:val="nil"/>
            </w:tcBorders>
            <w:shd w:val="clear" w:color="auto" w:fill="FFFFFF" w:themeFill="background1"/>
            <w:vAlign w:val="center"/>
            <w:hideMark/>
          </w:tcPr>
          <w:p w14:paraId="04969E0F" w14:textId="77777777" w:rsidR="00866FD9" w:rsidRPr="00DD2634" w:rsidRDefault="002974BA" w:rsidP="00C31BC0">
            <w:pPr>
              <w:keepNext/>
              <w:spacing w:after="0" w:line="240" w:lineRule="auto"/>
              <w:jc w:val="right"/>
              <w:rPr>
                <w:rFonts w:ascii="Calibri" w:eastAsia="Times New Roman" w:hAnsi="Calibri" w:cs="Calibri"/>
                <w:sz w:val="20"/>
                <w:szCs w:val="20"/>
                <w:lang w:eastAsia="en-AU"/>
              </w:rPr>
            </w:pPr>
            <w:r w:rsidRPr="00DD2634">
              <w:rPr>
                <w:rFonts w:ascii="Calibri" w:eastAsia="Times New Roman" w:hAnsi="Calibri" w:cs="Calibri"/>
                <w:sz w:val="20"/>
                <w:szCs w:val="20"/>
                <w:lang w:eastAsia="en-AU"/>
              </w:rPr>
              <w:t xml:space="preserve"> </w:t>
            </w:r>
            <w:r w:rsidR="00866FD9" w:rsidRPr="00DD2634">
              <w:rPr>
                <w:rFonts w:ascii="Calibri" w:eastAsia="Times New Roman" w:hAnsi="Calibri" w:cs="Calibri"/>
                <w:sz w:val="20"/>
                <w:szCs w:val="20"/>
                <w:lang w:eastAsia="en-AU"/>
              </w:rPr>
              <w:t xml:space="preserve">82,941 </w:t>
            </w:r>
          </w:p>
        </w:tc>
        <w:tc>
          <w:tcPr>
            <w:tcW w:w="1029" w:type="dxa"/>
            <w:tcBorders>
              <w:top w:val="nil"/>
              <w:left w:val="nil"/>
              <w:bottom w:val="nil"/>
              <w:right w:val="nil"/>
            </w:tcBorders>
            <w:shd w:val="clear" w:color="auto" w:fill="FFFFFF" w:themeFill="background1"/>
            <w:vAlign w:val="center"/>
            <w:hideMark/>
          </w:tcPr>
          <w:p w14:paraId="04969E10" w14:textId="77777777" w:rsidR="00866FD9" w:rsidRPr="00DD2634" w:rsidRDefault="002974BA" w:rsidP="00C31BC0">
            <w:pPr>
              <w:keepNext/>
              <w:spacing w:after="0" w:line="240" w:lineRule="auto"/>
              <w:jc w:val="right"/>
              <w:rPr>
                <w:rFonts w:ascii="Calibri" w:eastAsia="Times New Roman" w:hAnsi="Calibri" w:cs="Calibri"/>
                <w:sz w:val="20"/>
                <w:szCs w:val="20"/>
                <w:lang w:eastAsia="en-AU"/>
              </w:rPr>
            </w:pPr>
            <w:r w:rsidRPr="00DD2634">
              <w:rPr>
                <w:rFonts w:ascii="Calibri" w:eastAsia="Times New Roman" w:hAnsi="Calibri" w:cs="Calibri"/>
                <w:sz w:val="20"/>
                <w:szCs w:val="20"/>
                <w:lang w:eastAsia="en-AU"/>
              </w:rPr>
              <w:t xml:space="preserve"> </w:t>
            </w:r>
            <w:r w:rsidR="00866FD9" w:rsidRPr="00DD2634">
              <w:rPr>
                <w:rFonts w:ascii="Calibri" w:eastAsia="Times New Roman" w:hAnsi="Calibri" w:cs="Calibri"/>
                <w:sz w:val="20"/>
                <w:szCs w:val="20"/>
                <w:lang w:eastAsia="en-AU"/>
              </w:rPr>
              <w:t xml:space="preserve">109,822 </w:t>
            </w:r>
          </w:p>
        </w:tc>
        <w:tc>
          <w:tcPr>
            <w:tcW w:w="1029" w:type="dxa"/>
            <w:tcBorders>
              <w:top w:val="nil"/>
              <w:left w:val="nil"/>
              <w:bottom w:val="nil"/>
              <w:right w:val="nil"/>
            </w:tcBorders>
            <w:shd w:val="clear" w:color="auto" w:fill="FFFFFF" w:themeFill="background1"/>
            <w:vAlign w:val="center"/>
            <w:hideMark/>
          </w:tcPr>
          <w:p w14:paraId="04969E11" w14:textId="77777777" w:rsidR="00866FD9" w:rsidRPr="00DD2634" w:rsidRDefault="002974BA" w:rsidP="00C31BC0">
            <w:pPr>
              <w:keepNext/>
              <w:spacing w:after="0" w:line="240" w:lineRule="auto"/>
              <w:jc w:val="right"/>
              <w:rPr>
                <w:rFonts w:ascii="Calibri" w:eastAsia="Times New Roman" w:hAnsi="Calibri" w:cs="Calibri"/>
                <w:sz w:val="20"/>
                <w:szCs w:val="20"/>
                <w:lang w:eastAsia="en-AU"/>
              </w:rPr>
            </w:pPr>
            <w:r w:rsidRPr="00DD2634">
              <w:rPr>
                <w:rFonts w:ascii="Calibri" w:eastAsia="Times New Roman" w:hAnsi="Calibri" w:cs="Calibri"/>
                <w:sz w:val="20"/>
                <w:szCs w:val="20"/>
                <w:lang w:eastAsia="en-AU"/>
              </w:rPr>
              <w:t xml:space="preserve"> </w:t>
            </w:r>
            <w:r w:rsidR="00866FD9" w:rsidRPr="00DD2634">
              <w:rPr>
                <w:rFonts w:ascii="Calibri" w:eastAsia="Times New Roman" w:hAnsi="Calibri" w:cs="Calibri"/>
                <w:sz w:val="20"/>
                <w:szCs w:val="20"/>
                <w:lang w:eastAsia="en-AU"/>
              </w:rPr>
              <w:t xml:space="preserve">134,918 </w:t>
            </w:r>
          </w:p>
        </w:tc>
        <w:tc>
          <w:tcPr>
            <w:tcW w:w="1029" w:type="dxa"/>
            <w:tcBorders>
              <w:top w:val="nil"/>
              <w:left w:val="nil"/>
              <w:bottom w:val="nil"/>
              <w:right w:val="nil"/>
            </w:tcBorders>
            <w:shd w:val="clear" w:color="auto" w:fill="FFFFFF" w:themeFill="background1"/>
            <w:vAlign w:val="center"/>
            <w:hideMark/>
          </w:tcPr>
          <w:p w14:paraId="04969E12" w14:textId="77777777" w:rsidR="00866FD9" w:rsidRPr="00DD2634" w:rsidRDefault="002974BA" w:rsidP="00C31BC0">
            <w:pPr>
              <w:keepNext/>
              <w:spacing w:after="0" w:line="240" w:lineRule="auto"/>
              <w:jc w:val="right"/>
              <w:rPr>
                <w:rFonts w:ascii="Calibri" w:eastAsia="Times New Roman" w:hAnsi="Calibri" w:cs="Calibri"/>
                <w:sz w:val="20"/>
                <w:szCs w:val="20"/>
                <w:lang w:eastAsia="en-AU"/>
              </w:rPr>
            </w:pPr>
            <w:r w:rsidRPr="00DD2634">
              <w:rPr>
                <w:rFonts w:ascii="Calibri" w:eastAsia="Times New Roman" w:hAnsi="Calibri" w:cs="Calibri"/>
                <w:sz w:val="20"/>
                <w:szCs w:val="20"/>
                <w:lang w:eastAsia="en-AU"/>
              </w:rPr>
              <w:t xml:space="preserve"> </w:t>
            </w:r>
            <w:r w:rsidR="00866FD9" w:rsidRPr="00DD2634">
              <w:rPr>
                <w:rFonts w:ascii="Calibri" w:eastAsia="Times New Roman" w:hAnsi="Calibri" w:cs="Calibri"/>
                <w:sz w:val="20"/>
                <w:szCs w:val="20"/>
                <w:lang w:eastAsia="en-AU"/>
              </w:rPr>
              <w:t xml:space="preserve">138,468 </w:t>
            </w:r>
          </w:p>
        </w:tc>
        <w:tc>
          <w:tcPr>
            <w:tcW w:w="1131" w:type="dxa"/>
            <w:tcBorders>
              <w:top w:val="nil"/>
              <w:left w:val="single" w:sz="4" w:space="0" w:color="auto"/>
              <w:bottom w:val="nil"/>
              <w:right w:val="single" w:sz="4" w:space="0" w:color="auto"/>
            </w:tcBorders>
            <w:shd w:val="clear" w:color="auto" w:fill="D9D9D9" w:themeFill="background1" w:themeFillShade="D9"/>
            <w:vAlign w:val="center"/>
            <w:hideMark/>
          </w:tcPr>
          <w:p w14:paraId="04969E13" w14:textId="77777777" w:rsidR="00866FD9" w:rsidRPr="00DD2634" w:rsidRDefault="002974BA" w:rsidP="00C31BC0">
            <w:pPr>
              <w:keepNext/>
              <w:spacing w:after="0" w:line="240" w:lineRule="auto"/>
              <w:jc w:val="right"/>
              <w:rPr>
                <w:rFonts w:ascii="Calibri" w:eastAsia="Times New Roman" w:hAnsi="Calibri" w:cs="Calibri"/>
                <w:sz w:val="20"/>
                <w:szCs w:val="20"/>
                <w:lang w:eastAsia="en-AU"/>
              </w:rPr>
            </w:pPr>
            <w:r w:rsidRPr="00DD2634">
              <w:rPr>
                <w:rFonts w:ascii="Calibri" w:eastAsia="Times New Roman" w:hAnsi="Calibri" w:cs="Calibri"/>
                <w:sz w:val="20"/>
                <w:szCs w:val="20"/>
                <w:lang w:eastAsia="en-AU"/>
              </w:rPr>
              <w:t xml:space="preserve"> </w:t>
            </w:r>
            <w:r w:rsidR="00866FD9" w:rsidRPr="00DD2634">
              <w:rPr>
                <w:rFonts w:ascii="Calibri" w:eastAsia="Times New Roman" w:hAnsi="Calibri" w:cs="Calibri"/>
                <w:sz w:val="20"/>
                <w:szCs w:val="20"/>
                <w:lang w:eastAsia="en-AU"/>
              </w:rPr>
              <w:t xml:space="preserve">466,149 </w:t>
            </w:r>
          </w:p>
        </w:tc>
      </w:tr>
      <w:tr w:rsidR="00866FD9" w:rsidRPr="00DD2634" w14:paraId="04969E1B" w14:textId="77777777" w:rsidTr="00BA5320">
        <w:trPr>
          <w:trHeight w:val="255"/>
        </w:trPr>
        <w:tc>
          <w:tcPr>
            <w:tcW w:w="3402" w:type="dxa"/>
            <w:tcBorders>
              <w:top w:val="nil"/>
              <w:left w:val="single" w:sz="4" w:space="0" w:color="auto"/>
              <w:bottom w:val="nil"/>
              <w:right w:val="single" w:sz="4" w:space="0" w:color="auto"/>
            </w:tcBorders>
            <w:shd w:val="clear" w:color="000000" w:fill="auto"/>
            <w:vAlign w:val="center"/>
            <w:hideMark/>
          </w:tcPr>
          <w:p w14:paraId="04969E15" w14:textId="77777777" w:rsidR="00866FD9" w:rsidRPr="00DD2634" w:rsidRDefault="00866FD9" w:rsidP="00C31BC0">
            <w:pPr>
              <w:keepNext/>
              <w:spacing w:after="0" w:line="240" w:lineRule="auto"/>
              <w:rPr>
                <w:rFonts w:ascii="Calibri" w:eastAsia="Times New Roman" w:hAnsi="Calibri" w:cs="Calibri"/>
                <w:sz w:val="20"/>
                <w:szCs w:val="20"/>
                <w:lang w:eastAsia="en-AU"/>
              </w:rPr>
            </w:pPr>
            <w:r w:rsidRPr="00DD2634">
              <w:rPr>
                <w:rFonts w:ascii="Calibri" w:eastAsia="Times New Roman" w:hAnsi="Calibri" w:cs="Calibri"/>
                <w:sz w:val="20"/>
                <w:szCs w:val="20"/>
                <w:lang w:eastAsia="en-AU"/>
              </w:rPr>
              <w:t>Early Years Quality Fund</w:t>
            </w:r>
          </w:p>
        </w:tc>
        <w:tc>
          <w:tcPr>
            <w:tcW w:w="1029" w:type="dxa"/>
            <w:tcBorders>
              <w:top w:val="nil"/>
              <w:left w:val="single" w:sz="4" w:space="0" w:color="auto"/>
              <w:bottom w:val="nil"/>
              <w:right w:val="nil"/>
            </w:tcBorders>
            <w:shd w:val="clear" w:color="auto" w:fill="FFFFFF" w:themeFill="background1"/>
            <w:vAlign w:val="center"/>
            <w:hideMark/>
          </w:tcPr>
          <w:p w14:paraId="04969E16" w14:textId="77777777" w:rsidR="00866FD9" w:rsidRPr="00DD2634" w:rsidRDefault="001A168A" w:rsidP="00C31BC0">
            <w:pPr>
              <w:keepNext/>
              <w:spacing w:after="0" w:line="240" w:lineRule="auto"/>
              <w:jc w:val="right"/>
              <w:rPr>
                <w:rFonts w:ascii="Calibri" w:eastAsia="Times New Roman" w:hAnsi="Calibri" w:cs="Calibri"/>
                <w:sz w:val="20"/>
                <w:szCs w:val="20"/>
                <w:lang w:eastAsia="en-AU"/>
              </w:rPr>
            </w:pPr>
            <w:r w:rsidRPr="00DD2634">
              <w:rPr>
                <w:rFonts w:ascii="Calibri" w:eastAsia="Times New Roman" w:hAnsi="Calibri" w:cs="Calibri"/>
                <w:sz w:val="20"/>
                <w:szCs w:val="20"/>
                <w:lang w:eastAsia="en-AU"/>
              </w:rPr>
              <w:t xml:space="preserve"> </w:t>
            </w:r>
            <w:r w:rsidR="00866FD9" w:rsidRPr="00DD2634">
              <w:rPr>
                <w:rFonts w:ascii="Calibri" w:eastAsia="Times New Roman" w:hAnsi="Calibri" w:cs="Calibri"/>
                <w:sz w:val="20"/>
                <w:szCs w:val="20"/>
                <w:lang w:eastAsia="en-AU"/>
              </w:rPr>
              <w:t xml:space="preserve"> 134,833 </w:t>
            </w:r>
          </w:p>
        </w:tc>
        <w:tc>
          <w:tcPr>
            <w:tcW w:w="1029" w:type="dxa"/>
            <w:tcBorders>
              <w:top w:val="nil"/>
              <w:left w:val="nil"/>
              <w:bottom w:val="nil"/>
              <w:right w:val="nil"/>
            </w:tcBorders>
            <w:shd w:val="clear" w:color="auto" w:fill="FFFFFF" w:themeFill="background1"/>
            <w:vAlign w:val="center"/>
            <w:hideMark/>
          </w:tcPr>
          <w:p w14:paraId="04969E17" w14:textId="77777777" w:rsidR="00866FD9" w:rsidRPr="00DD2634" w:rsidRDefault="001A168A" w:rsidP="00C31BC0">
            <w:pPr>
              <w:keepNext/>
              <w:spacing w:after="0" w:line="240" w:lineRule="auto"/>
              <w:jc w:val="right"/>
              <w:rPr>
                <w:rFonts w:ascii="Calibri" w:eastAsia="Times New Roman" w:hAnsi="Calibri" w:cs="Calibri"/>
                <w:sz w:val="20"/>
                <w:szCs w:val="20"/>
                <w:lang w:eastAsia="en-AU"/>
              </w:rPr>
            </w:pPr>
            <w:r w:rsidRPr="00DD2634">
              <w:rPr>
                <w:rFonts w:ascii="Calibri" w:eastAsia="Times New Roman" w:hAnsi="Calibri" w:cs="Calibri"/>
                <w:sz w:val="20"/>
                <w:szCs w:val="20"/>
                <w:lang w:eastAsia="en-AU"/>
              </w:rPr>
              <w:t xml:space="preserve"> </w:t>
            </w:r>
            <w:r w:rsidR="00866FD9" w:rsidRPr="00DD2634">
              <w:rPr>
                <w:rFonts w:ascii="Calibri" w:eastAsia="Times New Roman" w:hAnsi="Calibri" w:cs="Calibri"/>
                <w:sz w:val="20"/>
                <w:szCs w:val="20"/>
                <w:lang w:eastAsia="en-AU"/>
              </w:rPr>
              <w:t xml:space="preserve"> 164,973 </w:t>
            </w:r>
          </w:p>
        </w:tc>
        <w:tc>
          <w:tcPr>
            <w:tcW w:w="1029" w:type="dxa"/>
            <w:tcBorders>
              <w:top w:val="nil"/>
              <w:left w:val="nil"/>
              <w:bottom w:val="nil"/>
              <w:right w:val="nil"/>
            </w:tcBorders>
            <w:shd w:val="clear" w:color="auto" w:fill="FFFFFF" w:themeFill="background1"/>
            <w:vAlign w:val="center"/>
            <w:hideMark/>
          </w:tcPr>
          <w:p w14:paraId="04969E18" w14:textId="77777777" w:rsidR="00866FD9" w:rsidRPr="00DD2634" w:rsidRDefault="001A168A" w:rsidP="00C31BC0">
            <w:pPr>
              <w:keepNext/>
              <w:spacing w:after="0" w:line="240" w:lineRule="auto"/>
              <w:jc w:val="right"/>
              <w:rPr>
                <w:rFonts w:ascii="Calibri" w:eastAsia="Times New Roman" w:hAnsi="Calibri" w:cs="Calibri"/>
                <w:sz w:val="20"/>
                <w:szCs w:val="20"/>
                <w:lang w:eastAsia="en-AU"/>
              </w:rPr>
            </w:pPr>
            <w:r w:rsidRPr="00DD2634">
              <w:rPr>
                <w:rFonts w:ascii="Calibri" w:eastAsia="Times New Roman" w:hAnsi="Calibri" w:cs="Calibri"/>
                <w:sz w:val="20"/>
                <w:szCs w:val="20"/>
                <w:lang w:eastAsia="en-AU"/>
              </w:rPr>
              <w:t xml:space="preserve">    </w:t>
            </w:r>
            <w:r w:rsidR="00866FD9" w:rsidRPr="00DD2634">
              <w:rPr>
                <w:rFonts w:ascii="Calibri" w:eastAsia="Times New Roman" w:hAnsi="Calibri" w:cs="Calibri"/>
                <w:sz w:val="20"/>
                <w:szCs w:val="20"/>
                <w:lang w:eastAsia="en-AU"/>
              </w:rPr>
              <w:t>-</w:t>
            </w:r>
            <w:r w:rsidRPr="00DD2634">
              <w:rPr>
                <w:rFonts w:ascii="Calibri" w:eastAsia="Times New Roman" w:hAnsi="Calibri" w:cs="Calibri"/>
                <w:sz w:val="20"/>
                <w:szCs w:val="20"/>
                <w:lang w:eastAsia="en-AU"/>
              </w:rPr>
              <w:t xml:space="preserve"> </w:t>
            </w:r>
          </w:p>
        </w:tc>
        <w:tc>
          <w:tcPr>
            <w:tcW w:w="1029" w:type="dxa"/>
            <w:tcBorders>
              <w:top w:val="nil"/>
              <w:left w:val="nil"/>
              <w:bottom w:val="nil"/>
              <w:right w:val="nil"/>
            </w:tcBorders>
            <w:shd w:val="clear" w:color="auto" w:fill="FFFFFF" w:themeFill="background1"/>
            <w:vAlign w:val="center"/>
            <w:hideMark/>
          </w:tcPr>
          <w:p w14:paraId="04969E19" w14:textId="77777777" w:rsidR="00866FD9" w:rsidRPr="00DD2634" w:rsidRDefault="001A168A" w:rsidP="00C31BC0">
            <w:pPr>
              <w:keepNext/>
              <w:spacing w:after="0" w:line="240" w:lineRule="auto"/>
              <w:jc w:val="right"/>
              <w:rPr>
                <w:rFonts w:ascii="Calibri" w:eastAsia="Times New Roman" w:hAnsi="Calibri" w:cs="Calibri"/>
                <w:sz w:val="20"/>
                <w:szCs w:val="20"/>
                <w:lang w:eastAsia="en-AU"/>
              </w:rPr>
            </w:pPr>
            <w:r w:rsidRPr="00DD2634">
              <w:rPr>
                <w:rFonts w:ascii="Calibri" w:eastAsia="Times New Roman" w:hAnsi="Calibri" w:cs="Calibri"/>
                <w:sz w:val="20"/>
                <w:szCs w:val="20"/>
                <w:lang w:eastAsia="en-AU"/>
              </w:rPr>
              <w:t xml:space="preserve">    </w:t>
            </w:r>
            <w:r w:rsidR="00866FD9" w:rsidRPr="00DD2634">
              <w:rPr>
                <w:rFonts w:ascii="Calibri" w:eastAsia="Times New Roman" w:hAnsi="Calibri" w:cs="Calibri"/>
                <w:sz w:val="20"/>
                <w:szCs w:val="20"/>
                <w:lang w:eastAsia="en-AU"/>
              </w:rPr>
              <w:t>-</w:t>
            </w:r>
            <w:r w:rsidRPr="00DD2634">
              <w:rPr>
                <w:rFonts w:ascii="Calibri" w:eastAsia="Times New Roman" w:hAnsi="Calibri" w:cs="Calibri"/>
                <w:sz w:val="20"/>
                <w:szCs w:val="20"/>
                <w:lang w:eastAsia="en-AU"/>
              </w:rPr>
              <w:t xml:space="preserve"> </w:t>
            </w:r>
          </w:p>
        </w:tc>
        <w:tc>
          <w:tcPr>
            <w:tcW w:w="1131" w:type="dxa"/>
            <w:tcBorders>
              <w:top w:val="nil"/>
              <w:left w:val="single" w:sz="4" w:space="0" w:color="auto"/>
              <w:bottom w:val="nil"/>
              <w:right w:val="single" w:sz="4" w:space="0" w:color="auto"/>
            </w:tcBorders>
            <w:shd w:val="clear" w:color="auto" w:fill="D9D9D9" w:themeFill="background1" w:themeFillShade="D9"/>
            <w:vAlign w:val="center"/>
            <w:hideMark/>
          </w:tcPr>
          <w:p w14:paraId="04969E1A" w14:textId="77777777" w:rsidR="00866FD9" w:rsidRPr="00DD2634" w:rsidRDefault="001A168A" w:rsidP="00C31BC0">
            <w:pPr>
              <w:keepNext/>
              <w:spacing w:after="0" w:line="240" w:lineRule="auto"/>
              <w:jc w:val="right"/>
              <w:rPr>
                <w:rFonts w:ascii="Calibri" w:eastAsia="Times New Roman" w:hAnsi="Calibri" w:cs="Calibri"/>
                <w:sz w:val="20"/>
                <w:szCs w:val="20"/>
                <w:lang w:eastAsia="en-AU"/>
              </w:rPr>
            </w:pPr>
            <w:r w:rsidRPr="00DD2634">
              <w:rPr>
                <w:rFonts w:ascii="Calibri" w:eastAsia="Times New Roman" w:hAnsi="Calibri" w:cs="Calibri"/>
                <w:sz w:val="20"/>
                <w:szCs w:val="20"/>
                <w:lang w:eastAsia="en-AU"/>
              </w:rPr>
              <w:t xml:space="preserve">  </w:t>
            </w:r>
            <w:r w:rsidR="00866FD9" w:rsidRPr="00DD2634">
              <w:rPr>
                <w:rFonts w:ascii="Calibri" w:eastAsia="Times New Roman" w:hAnsi="Calibri" w:cs="Calibri"/>
                <w:sz w:val="20"/>
                <w:szCs w:val="20"/>
                <w:lang w:eastAsia="en-AU"/>
              </w:rPr>
              <w:t xml:space="preserve">299,806 </w:t>
            </w:r>
          </w:p>
        </w:tc>
      </w:tr>
      <w:tr w:rsidR="00866FD9" w:rsidRPr="00DD2634" w14:paraId="04969E22" w14:textId="77777777" w:rsidTr="00BA5320">
        <w:trPr>
          <w:trHeight w:val="255"/>
        </w:trPr>
        <w:tc>
          <w:tcPr>
            <w:tcW w:w="3402" w:type="dxa"/>
            <w:tcBorders>
              <w:top w:val="single" w:sz="4" w:space="0" w:color="auto"/>
              <w:left w:val="single" w:sz="4" w:space="0" w:color="auto"/>
              <w:bottom w:val="single" w:sz="4" w:space="0" w:color="auto"/>
              <w:right w:val="single" w:sz="4" w:space="0" w:color="auto"/>
            </w:tcBorders>
            <w:shd w:val="clear" w:color="000000" w:fill="auto"/>
            <w:vAlign w:val="center"/>
            <w:hideMark/>
          </w:tcPr>
          <w:p w14:paraId="04969E1C" w14:textId="77777777" w:rsidR="00866FD9" w:rsidRPr="00DD2634" w:rsidRDefault="00866FD9" w:rsidP="00C31BC0">
            <w:pPr>
              <w:keepNext/>
              <w:spacing w:after="0" w:line="240" w:lineRule="auto"/>
              <w:rPr>
                <w:rFonts w:ascii="Calibri" w:eastAsia="Times New Roman" w:hAnsi="Calibri" w:cs="Calibri"/>
                <w:b/>
                <w:sz w:val="20"/>
                <w:szCs w:val="20"/>
                <w:lang w:eastAsia="en-AU"/>
              </w:rPr>
            </w:pPr>
            <w:r w:rsidRPr="00DD2634">
              <w:rPr>
                <w:rFonts w:ascii="Calibri" w:eastAsia="Times New Roman" w:hAnsi="Calibri" w:cs="Calibri"/>
                <w:b/>
                <w:sz w:val="20"/>
                <w:szCs w:val="20"/>
                <w:lang w:eastAsia="en-AU"/>
              </w:rPr>
              <w:t>TOTAL</w:t>
            </w:r>
          </w:p>
        </w:tc>
        <w:tc>
          <w:tcPr>
            <w:tcW w:w="1029" w:type="dxa"/>
            <w:tcBorders>
              <w:top w:val="single" w:sz="4" w:space="0" w:color="auto"/>
              <w:left w:val="single" w:sz="4" w:space="0" w:color="auto"/>
              <w:bottom w:val="single" w:sz="4" w:space="0" w:color="auto"/>
              <w:right w:val="nil"/>
            </w:tcBorders>
            <w:shd w:val="clear" w:color="auto" w:fill="FFFFFF" w:themeFill="background1"/>
            <w:vAlign w:val="center"/>
            <w:hideMark/>
          </w:tcPr>
          <w:p w14:paraId="04969E1D" w14:textId="77777777" w:rsidR="00866FD9" w:rsidRPr="00DD2634" w:rsidRDefault="001A168A" w:rsidP="00C31BC0">
            <w:pPr>
              <w:keepNext/>
              <w:spacing w:after="0" w:line="240" w:lineRule="auto"/>
              <w:jc w:val="right"/>
              <w:rPr>
                <w:rFonts w:ascii="Calibri" w:eastAsia="Times New Roman" w:hAnsi="Calibri" w:cs="Calibri"/>
                <w:b/>
                <w:sz w:val="20"/>
                <w:szCs w:val="20"/>
                <w:lang w:eastAsia="en-AU"/>
              </w:rPr>
            </w:pPr>
            <w:r w:rsidRPr="00DD2634">
              <w:rPr>
                <w:rFonts w:ascii="Calibri" w:eastAsia="Times New Roman" w:hAnsi="Calibri" w:cs="Calibri"/>
                <w:b/>
                <w:sz w:val="20"/>
                <w:szCs w:val="20"/>
                <w:lang w:eastAsia="en-AU"/>
              </w:rPr>
              <w:t xml:space="preserve"> </w:t>
            </w:r>
            <w:r w:rsidR="00866FD9" w:rsidRPr="00DD2634">
              <w:rPr>
                <w:rFonts w:ascii="Calibri" w:eastAsia="Times New Roman" w:hAnsi="Calibri" w:cs="Calibri"/>
                <w:b/>
                <w:sz w:val="20"/>
                <w:szCs w:val="20"/>
                <w:lang w:eastAsia="en-AU"/>
              </w:rPr>
              <w:t xml:space="preserve"> 560,406 </w:t>
            </w:r>
          </w:p>
        </w:tc>
        <w:tc>
          <w:tcPr>
            <w:tcW w:w="1029" w:type="dxa"/>
            <w:tcBorders>
              <w:top w:val="single" w:sz="4" w:space="0" w:color="auto"/>
              <w:left w:val="nil"/>
              <w:bottom w:val="single" w:sz="4" w:space="0" w:color="auto"/>
              <w:right w:val="nil"/>
            </w:tcBorders>
            <w:shd w:val="clear" w:color="auto" w:fill="FFFFFF" w:themeFill="background1"/>
            <w:vAlign w:val="center"/>
            <w:hideMark/>
          </w:tcPr>
          <w:p w14:paraId="04969E1E" w14:textId="77777777" w:rsidR="00866FD9" w:rsidRPr="00DD2634" w:rsidRDefault="001A168A" w:rsidP="00C31BC0">
            <w:pPr>
              <w:keepNext/>
              <w:spacing w:after="0" w:line="240" w:lineRule="auto"/>
              <w:jc w:val="right"/>
              <w:rPr>
                <w:rFonts w:ascii="Calibri" w:eastAsia="Times New Roman" w:hAnsi="Calibri" w:cs="Calibri"/>
                <w:b/>
                <w:sz w:val="20"/>
                <w:szCs w:val="20"/>
                <w:lang w:eastAsia="en-AU"/>
              </w:rPr>
            </w:pPr>
            <w:r w:rsidRPr="00DD2634">
              <w:rPr>
                <w:rFonts w:ascii="Calibri" w:eastAsia="Times New Roman" w:hAnsi="Calibri" w:cs="Calibri"/>
                <w:b/>
                <w:sz w:val="20"/>
                <w:szCs w:val="20"/>
                <w:lang w:eastAsia="en-AU"/>
              </w:rPr>
              <w:t xml:space="preserve"> </w:t>
            </w:r>
            <w:r w:rsidR="00866FD9" w:rsidRPr="00DD2634">
              <w:rPr>
                <w:rFonts w:ascii="Calibri" w:eastAsia="Times New Roman" w:hAnsi="Calibri" w:cs="Calibri"/>
                <w:b/>
                <w:sz w:val="20"/>
                <w:szCs w:val="20"/>
                <w:lang w:eastAsia="en-AU"/>
              </w:rPr>
              <w:t xml:space="preserve"> 642,430 </w:t>
            </w:r>
          </w:p>
        </w:tc>
        <w:tc>
          <w:tcPr>
            <w:tcW w:w="1029" w:type="dxa"/>
            <w:tcBorders>
              <w:top w:val="single" w:sz="4" w:space="0" w:color="auto"/>
              <w:left w:val="nil"/>
              <w:bottom w:val="single" w:sz="4" w:space="0" w:color="auto"/>
              <w:right w:val="nil"/>
            </w:tcBorders>
            <w:shd w:val="clear" w:color="auto" w:fill="FFFFFF" w:themeFill="background1"/>
            <w:vAlign w:val="center"/>
            <w:hideMark/>
          </w:tcPr>
          <w:p w14:paraId="04969E1F" w14:textId="77777777" w:rsidR="00866FD9" w:rsidRPr="00DD2634" w:rsidRDefault="001A168A" w:rsidP="00C31BC0">
            <w:pPr>
              <w:keepNext/>
              <w:spacing w:after="0" w:line="240" w:lineRule="auto"/>
              <w:jc w:val="right"/>
              <w:rPr>
                <w:rFonts w:ascii="Calibri" w:eastAsia="Times New Roman" w:hAnsi="Calibri" w:cs="Calibri"/>
                <w:b/>
                <w:sz w:val="20"/>
                <w:szCs w:val="20"/>
                <w:lang w:eastAsia="en-AU"/>
              </w:rPr>
            </w:pPr>
            <w:r w:rsidRPr="00DD2634">
              <w:rPr>
                <w:rFonts w:ascii="Calibri" w:eastAsia="Times New Roman" w:hAnsi="Calibri" w:cs="Calibri"/>
                <w:b/>
                <w:sz w:val="20"/>
                <w:szCs w:val="20"/>
                <w:lang w:eastAsia="en-AU"/>
              </w:rPr>
              <w:t xml:space="preserve"> </w:t>
            </w:r>
            <w:r w:rsidR="00866FD9" w:rsidRPr="00DD2634">
              <w:rPr>
                <w:rFonts w:ascii="Calibri" w:eastAsia="Times New Roman" w:hAnsi="Calibri" w:cs="Calibri"/>
                <w:b/>
                <w:sz w:val="20"/>
                <w:szCs w:val="20"/>
                <w:lang w:eastAsia="en-AU"/>
              </w:rPr>
              <w:t xml:space="preserve"> 494,028 </w:t>
            </w:r>
          </w:p>
        </w:tc>
        <w:tc>
          <w:tcPr>
            <w:tcW w:w="1029" w:type="dxa"/>
            <w:tcBorders>
              <w:top w:val="single" w:sz="4" w:space="0" w:color="auto"/>
              <w:left w:val="nil"/>
              <w:bottom w:val="single" w:sz="4" w:space="0" w:color="auto"/>
              <w:right w:val="nil"/>
            </w:tcBorders>
            <w:shd w:val="clear" w:color="auto" w:fill="FFFFFF" w:themeFill="background1"/>
            <w:vAlign w:val="center"/>
            <w:hideMark/>
          </w:tcPr>
          <w:p w14:paraId="04969E20" w14:textId="77777777" w:rsidR="00866FD9" w:rsidRPr="00DD2634" w:rsidRDefault="001A168A" w:rsidP="00C31BC0">
            <w:pPr>
              <w:keepNext/>
              <w:spacing w:after="0" w:line="240" w:lineRule="auto"/>
              <w:jc w:val="right"/>
              <w:rPr>
                <w:rFonts w:ascii="Calibri" w:eastAsia="Times New Roman" w:hAnsi="Calibri" w:cs="Calibri"/>
                <w:b/>
                <w:sz w:val="20"/>
                <w:szCs w:val="20"/>
                <w:lang w:eastAsia="en-AU"/>
              </w:rPr>
            </w:pPr>
            <w:r w:rsidRPr="00DD2634">
              <w:rPr>
                <w:rFonts w:ascii="Calibri" w:eastAsia="Times New Roman" w:hAnsi="Calibri" w:cs="Calibri"/>
                <w:b/>
                <w:sz w:val="20"/>
                <w:szCs w:val="20"/>
                <w:lang w:eastAsia="en-AU"/>
              </w:rPr>
              <w:t xml:space="preserve"> </w:t>
            </w:r>
            <w:r w:rsidR="00866FD9" w:rsidRPr="00DD2634">
              <w:rPr>
                <w:rFonts w:ascii="Calibri" w:eastAsia="Times New Roman" w:hAnsi="Calibri" w:cs="Calibri"/>
                <w:b/>
                <w:sz w:val="20"/>
                <w:szCs w:val="20"/>
                <w:lang w:eastAsia="en-AU"/>
              </w:rPr>
              <w:t xml:space="preserve"> 505,024 </w:t>
            </w:r>
          </w:p>
        </w:tc>
        <w:tc>
          <w:tcPr>
            <w:tcW w:w="113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4969E21" w14:textId="77777777" w:rsidR="00866FD9" w:rsidRPr="00DD2634" w:rsidRDefault="001A168A" w:rsidP="00C31BC0">
            <w:pPr>
              <w:keepNext/>
              <w:spacing w:after="0" w:line="240" w:lineRule="auto"/>
              <w:jc w:val="right"/>
              <w:rPr>
                <w:rFonts w:ascii="Calibri" w:eastAsia="Times New Roman" w:hAnsi="Calibri" w:cs="Calibri"/>
                <w:b/>
                <w:sz w:val="20"/>
                <w:szCs w:val="20"/>
                <w:lang w:eastAsia="en-AU"/>
              </w:rPr>
            </w:pPr>
            <w:r w:rsidRPr="00DD2634">
              <w:rPr>
                <w:rFonts w:ascii="Calibri" w:eastAsia="Times New Roman" w:hAnsi="Calibri" w:cs="Calibri"/>
                <w:b/>
                <w:sz w:val="20"/>
                <w:szCs w:val="20"/>
                <w:lang w:eastAsia="en-AU"/>
              </w:rPr>
              <w:t xml:space="preserve"> </w:t>
            </w:r>
            <w:r w:rsidR="00866FD9" w:rsidRPr="00DD2634">
              <w:rPr>
                <w:rFonts w:ascii="Calibri" w:eastAsia="Times New Roman" w:hAnsi="Calibri" w:cs="Calibri"/>
                <w:b/>
                <w:sz w:val="20"/>
                <w:szCs w:val="20"/>
                <w:lang w:eastAsia="en-AU"/>
              </w:rPr>
              <w:t xml:space="preserve">2,201,888 </w:t>
            </w:r>
          </w:p>
        </w:tc>
      </w:tr>
      <w:tr w:rsidR="00866FD9" w:rsidRPr="00DD2634" w14:paraId="04969E29" w14:textId="77777777" w:rsidTr="00BA5320">
        <w:trPr>
          <w:trHeight w:val="255"/>
        </w:trPr>
        <w:tc>
          <w:tcPr>
            <w:tcW w:w="3402" w:type="dxa"/>
            <w:tcBorders>
              <w:top w:val="nil"/>
              <w:left w:val="single" w:sz="4" w:space="0" w:color="auto"/>
              <w:bottom w:val="nil"/>
              <w:right w:val="single" w:sz="4" w:space="0" w:color="auto"/>
            </w:tcBorders>
            <w:shd w:val="clear" w:color="000000" w:fill="auto"/>
            <w:noWrap/>
            <w:vAlign w:val="bottom"/>
            <w:hideMark/>
          </w:tcPr>
          <w:p w14:paraId="04969E23" w14:textId="77777777" w:rsidR="00866FD9" w:rsidRPr="00DD2634" w:rsidRDefault="00866FD9" w:rsidP="00C31BC0">
            <w:pPr>
              <w:keepNext/>
              <w:spacing w:after="0" w:line="240" w:lineRule="auto"/>
              <w:rPr>
                <w:rFonts w:ascii="Calibri" w:eastAsia="Times New Roman" w:hAnsi="Calibri" w:cs="Calibri"/>
                <w:b/>
                <w:sz w:val="20"/>
                <w:szCs w:val="20"/>
                <w:lang w:eastAsia="en-AU"/>
              </w:rPr>
            </w:pPr>
            <w:r w:rsidRPr="00DD2634">
              <w:rPr>
                <w:rFonts w:ascii="Calibri" w:eastAsia="Times New Roman" w:hAnsi="Calibri" w:cs="Calibri"/>
                <w:b/>
                <w:sz w:val="20"/>
                <w:szCs w:val="20"/>
                <w:lang w:eastAsia="en-AU"/>
              </w:rPr>
              <w:t>Programme 1.2</w:t>
            </w:r>
          </w:p>
        </w:tc>
        <w:tc>
          <w:tcPr>
            <w:tcW w:w="1029" w:type="dxa"/>
            <w:tcBorders>
              <w:top w:val="nil"/>
              <w:left w:val="single" w:sz="4" w:space="0" w:color="auto"/>
              <w:bottom w:val="nil"/>
              <w:right w:val="nil"/>
            </w:tcBorders>
            <w:shd w:val="clear" w:color="auto" w:fill="FFFFFF" w:themeFill="background1"/>
            <w:vAlign w:val="center"/>
            <w:hideMark/>
          </w:tcPr>
          <w:p w14:paraId="04969E24" w14:textId="77777777" w:rsidR="00866FD9" w:rsidRPr="00DD2634" w:rsidRDefault="00866FD9" w:rsidP="00C31BC0">
            <w:pPr>
              <w:keepNext/>
              <w:spacing w:after="0" w:line="240" w:lineRule="auto"/>
              <w:jc w:val="right"/>
              <w:rPr>
                <w:rFonts w:ascii="Calibri" w:eastAsia="Times New Roman" w:hAnsi="Calibri" w:cs="Calibri"/>
                <w:b/>
                <w:bCs/>
                <w:sz w:val="20"/>
                <w:szCs w:val="20"/>
                <w:lang w:eastAsia="en-AU"/>
              </w:rPr>
            </w:pPr>
            <w:r w:rsidRPr="00DD2634">
              <w:rPr>
                <w:rFonts w:ascii="Calibri" w:eastAsia="Times New Roman" w:hAnsi="Calibri" w:cs="Calibri"/>
                <w:b/>
                <w:bCs/>
                <w:sz w:val="20"/>
                <w:szCs w:val="20"/>
                <w:lang w:eastAsia="en-AU"/>
              </w:rPr>
              <w:t> </w:t>
            </w:r>
          </w:p>
        </w:tc>
        <w:tc>
          <w:tcPr>
            <w:tcW w:w="1029" w:type="dxa"/>
            <w:tcBorders>
              <w:top w:val="nil"/>
              <w:left w:val="nil"/>
              <w:bottom w:val="nil"/>
              <w:right w:val="nil"/>
            </w:tcBorders>
            <w:shd w:val="clear" w:color="auto" w:fill="FFFFFF" w:themeFill="background1"/>
            <w:vAlign w:val="center"/>
            <w:hideMark/>
          </w:tcPr>
          <w:p w14:paraId="04969E25" w14:textId="77777777" w:rsidR="00866FD9" w:rsidRPr="00DD2634" w:rsidRDefault="00866FD9" w:rsidP="00C31BC0">
            <w:pPr>
              <w:keepNext/>
              <w:spacing w:after="0" w:line="240" w:lineRule="auto"/>
              <w:jc w:val="right"/>
              <w:rPr>
                <w:rFonts w:ascii="Calibri" w:eastAsia="Times New Roman" w:hAnsi="Calibri" w:cs="Calibri"/>
                <w:b/>
                <w:bCs/>
                <w:sz w:val="20"/>
                <w:szCs w:val="20"/>
                <w:lang w:eastAsia="en-AU"/>
              </w:rPr>
            </w:pPr>
          </w:p>
        </w:tc>
        <w:tc>
          <w:tcPr>
            <w:tcW w:w="1029" w:type="dxa"/>
            <w:tcBorders>
              <w:top w:val="nil"/>
              <w:left w:val="nil"/>
              <w:bottom w:val="nil"/>
              <w:right w:val="nil"/>
            </w:tcBorders>
            <w:shd w:val="clear" w:color="auto" w:fill="FFFFFF" w:themeFill="background1"/>
            <w:vAlign w:val="center"/>
            <w:hideMark/>
          </w:tcPr>
          <w:p w14:paraId="04969E26" w14:textId="77777777" w:rsidR="00866FD9" w:rsidRPr="00DD2634" w:rsidRDefault="00866FD9" w:rsidP="00C31BC0">
            <w:pPr>
              <w:keepNext/>
              <w:spacing w:after="0" w:line="240" w:lineRule="auto"/>
              <w:jc w:val="right"/>
              <w:rPr>
                <w:rFonts w:ascii="Calibri" w:eastAsia="Times New Roman" w:hAnsi="Calibri" w:cs="Calibri"/>
                <w:b/>
                <w:bCs/>
                <w:sz w:val="20"/>
                <w:szCs w:val="20"/>
                <w:lang w:eastAsia="en-AU"/>
              </w:rPr>
            </w:pPr>
          </w:p>
        </w:tc>
        <w:tc>
          <w:tcPr>
            <w:tcW w:w="1029" w:type="dxa"/>
            <w:tcBorders>
              <w:top w:val="nil"/>
              <w:left w:val="nil"/>
              <w:bottom w:val="nil"/>
              <w:right w:val="nil"/>
            </w:tcBorders>
            <w:shd w:val="clear" w:color="auto" w:fill="FFFFFF" w:themeFill="background1"/>
            <w:vAlign w:val="center"/>
            <w:hideMark/>
          </w:tcPr>
          <w:p w14:paraId="04969E27" w14:textId="77777777" w:rsidR="00866FD9" w:rsidRPr="00DD2634" w:rsidRDefault="00866FD9" w:rsidP="00C31BC0">
            <w:pPr>
              <w:keepNext/>
              <w:spacing w:after="0" w:line="240" w:lineRule="auto"/>
              <w:jc w:val="right"/>
              <w:rPr>
                <w:rFonts w:ascii="Calibri" w:eastAsia="Times New Roman" w:hAnsi="Calibri" w:cs="Calibri"/>
                <w:b/>
                <w:bCs/>
                <w:sz w:val="20"/>
                <w:szCs w:val="20"/>
                <w:lang w:eastAsia="en-AU"/>
              </w:rPr>
            </w:pPr>
          </w:p>
        </w:tc>
        <w:tc>
          <w:tcPr>
            <w:tcW w:w="1131" w:type="dxa"/>
            <w:tcBorders>
              <w:top w:val="nil"/>
              <w:left w:val="single" w:sz="4" w:space="0" w:color="auto"/>
              <w:bottom w:val="nil"/>
              <w:right w:val="single" w:sz="4" w:space="0" w:color="auto"/>
            </w:tcBorders>
            <w:shd w:val="clear" w:color="auto" w:fill="D9D9D9" w:themeFill="background1" w:themeFillShade="D9"/>
            <w:vAlign w:val="center"/>
            <w:hideMark/>
          </w:tcPr>
          <w:p w14:paraId="04969E28" w14:textId="77777777" w:rsidR="00866FD9" w:rsidRPr="00DD2634" w:rsidRDefault="00866FD9" w:rsidP="00C31BC0">
            <w:pPr>
              <w:keepNext/>
              <w:spacing w:after="0" w:line="240" w:lineRule="auto"/>
              <w:jc w:val="right"/>
              <w:rPr>
                <w:rFonts w:ascii="Calibri" w:eastAsia="Times New Roman" w:hAnsi="Calibri" w:cs="Calibri"/>
                <w:b/>
                <w:bCs/>
                <w:sz w:val="20"/>
                <w:szCs w:val="20"/>
                <w:lang w:eastAsia="en-AU"/>
              </w:rPr>
            </w:pPr>
            <w:r w:rsidRPr="00DD2634">
              <w:rPr>
                <w:rFonts w:ascii="Calibri" w:eastAsia="Times New Roman" w:hAnsi="Calibri" w:cs="Calibri"/>
                <w:b/>
                <w:bCs/>
                <w:sz w:val="20"/>
                <w:szCs w:val="20"/>
                <w:lang w:eastAsia="en-AU"/>
              </w:rPr>
              <w:t> </w:t>
            </w:r>
          </w:p>
        </w:tc>
      </w:tr>
      <w:tr w:rsidR="00866FD9" w:rsidRPr="00DD2634" w14:paraId="04969E30" w14:textId="77777777" w:rsidTr="00BA5320">
        <w:trPr>
          <w:trHeight w:val="255"/>
        </w:trPr>
        <w:tc>
          <w:tcPr>
            <w:tcW w:w="3402" w:type="dxa"/>
            <w:tcBorders>
              <w:top w:val="nil"/>
              <w:left w:val="single" w:sz="4" w:space="0" w:color="auto"/>
              <w:bottom w:val="nil"/>
              <w:right w:val="single" w:sz="4" w:space="0" w:color="auto"/>
            </w:tcBorders>
            <w:shd w:val="clear" w:color="000000" w:fill="auto"/>
            <w:vAlign w:val="center"/>
            <w:hideMark/>
          </w:tcPr>
          <w:p w14:paraId="04969E2A" w14:textId="77777777" w:rsidR="00866FD9" w:rsidRPr="00DD2634" w:rsidRDefault="00866FD9" w:rsidP="00C31BC0">
            <w:pPr>
              <w:keepNext/>
              <w:spacing w:after="0" w:line="240" w:lineRule="auto"/>
              <w:rPr>
                <w:rFonts w:ascii="Calibri" w:eastAsia="Times New Roman" w:hAnsi="Calibri" w:cs="Calibri"/>
                <w:sz w:val="20"/>
                <w:szCs w:val="20"/>
                <w:lang w:eastAsia="en-AU"/>
              </w:rPr>
            </w:pPr>
            <w:r w:rsidRPr="00DD2634">
              <w:rPr>
                <w:rFonts w:ascii="Calibri" w:eastAsia="Times New Roman" w:hAnsi="Calibri" w:cs="Calibri"/>
                <w:sz w:val="20"/>
                <w:szCs w:val="20"/>
                <w:lang w:eastAsia="en-AU"/>
              </w:rPr>
              <w:t>Child Care Benefit</w:t>
            </w:r>
          </w:p>
        </w:tc>
        <w:tc>
          <w:tcPr>
            <w:tcW w:w="1029" w:type="dxa"/>
            <w:tcBorders>
              <w:top w:val="nil"/>
              <w:left w:val="single" w:sz="4" w:space="0" w:color="auto"/>
              <w:bottom w:val="nil"/>
              <w:right w:val="nil"/>
            </w:tcBorders>
            <w:shd w:val="clear" w:color="auto" w:fill="FFFFFF" w:themeFill="background1"/>
            <w:vAlign w:val="center"/>
            <w:hideMark/>
          </w:tcPr>
          <w:p w14:paraId="04969E2B" w14:textId="77777777" w:rsidR="00866FD9" w:rsidRPr="00DD2634" w:rsidRDefault="00866FD9" w:rsidP="00C31BC0">
            <w:pPr>
              <w:keepNext/>
              <w:spacing w:after="0" w:line="240" w:lineRule="auto"/>
              <w:jc w:val="right"/>
              <w:rPr>
                <w:rFonts w:ascii="Calibri" w:eastAsia="Times New Roman" w:hAnsi="Calibri" w:cs="Calibri"/>
                <w:sz w:val="20"/>
                <w:szCs w:val="20"/>
                <w:lang w:eastAsia="en-AU"/>
              </w:rPr>
            </w:pPr>
            <w:r w:rsidRPr="00DD2634">
              <w:rPr>
                <w:rFonts w:ascii="Calibri" w:eastAsia="Times New Roman" w:hAnsi="Calibri" w:cs="Calibri"/>
                <w:sz w:val="20"/>
                <w:szCs w:val="20"/>
                <w:lang w:eastAsia="en-AU"/>
              </w:rPr>
              <w:t xml:space="preserve">2,815,568 </w:t>
            </w:r>
          </w:p>
        </w:tc>
        <w:tc>
          <w:tcPr>
            <w:tcW w:w="1029" w:type="dxa"/>
            <w:tcBorders>
              <w:top w:val="nil"/>
              <w:left w:val="nil"/>
              <w:bottom w:val="nil"/>
              <w:right w:val="nil"/>
            </w:tcBorders>
            <w:shd w:val="clear" w:color="auto" w:fill="FFFFFF" w:themeFill="background1"/>
            <w:vAlign w:val="center"/>
            <w:hideMark/>
          </w:tcPr>
          <w:p w14:paraId="04969E2C" w14:textId="77777777" w:rsidR="00866FD9" w:rsidRPr="00DD2634" w:rsidRDefault="00866FD9" w:rsidP="00C31BC0">
            <w:pPr>
              <w:keepNext/>
              <w:spacing w:after="0" w:line="240" w:lineRule="auto"/>
              <w:jc w:val="right"/>
              <w:rPr>
                <w:rFonts w:ascii="Calibri" w:eastAsia="Times New Roman" w:hAnsi="Calibri" w:cs="Calibri"/>
                <w:sz w:val="20"/>
                <w:szCs w:val="20"/>
                <w:lang w:eastAsia="en-AU"/>
              </w:rPr>
            </w:pPr>
            <w:r w:rsidRPr="00DD2634">
              <w:rPr>
                <w:rFonts w:ascii="Calibri" w:eastAsia="Times New Roman" w:hAnsi="Calibri" w:cs="Calibri"/>
                <w:sz w:val="20"/>
                <w:szCs w:val="20"/>
                <w:lang w:eastAsia="en-AU"/>
              </w:rPr>
              <w:t xml:space="preserve">3,013,024 </w:t>
            </w:r>
          </w:p>
        </w:tc>
        <w:tc>
          <w:tcPr>
            <w:tcW w:w="1029" w:type="dxa"/>
            <w:tcBorders>
              <w:top w:val="nil"/>
              <w:left w:val="nil"/>
              <w:bottom w:val="nil"/>
              <w:right w:val="nil"/>
            </w:tcBorders>
            <w:shd w:val="clear" w:color="auto" w:fill="FFFFFF" w:themeFill="background1"/>
            <w:vAlign w:val="center"/>
            <w:hideMark/>
          </w:tcPr>
          <w:p w14:paraId="04969E2D" w14:textId="77777777" w:rsidR="00866FD9" w:rsidRPr="00DD2634" w:rsidRDefault="00866FD9" w:rsidP="00C31BC0">
            <w:pPr>
              <w:keepNext/>
              <w:spacing w:after="0" w:line="240" w:lineRule="auto"/>
              <w:jc w:val="right"/>
              <w:rPr>
                <w:rFonts w:ascii="Calibri" w:eastAsia="Times New Roman" w:hAnsi="Calibri" w:cs="Calibri"/>
                <w:sz w:val="20"/>
                <w:szCs w:val="20"/>
                <w:lang w:eastAsia="en-AU"/>
              </w:rPr>
            </w:pPr>
            <w:r w:rsidRPr="00DD2634">
              <w:rPr>
                <w:rFonts w:ascii="Calibri" w:eastAsia="Times New Roman" w:hAnsi="Calibri" w:cs="Calibri"/>
                <w:sz w:val="20"/>
                <w:szCs w:val="20"/>
                <w:lang w:eastAsia="en-AU"/>
              </w:rPr>
              <w:t xml:space="preserve">3,152,954 </w:t>
            </w:r>
          </w:p>
        </w:tc>
        <w:tc>
          <w:tcPr>
            <w:tcW w:w="1029" w:type="dxa"/>
            <w:tcBorders>
              <w:top w:val="nil"/>
              <w:left w:val="nil"/>
              <w:bottom w:val="nil"/>
              <w:right w:val="nil"/>
            </w:tcBorders>
            <w:shd w:val="clear" w:color="auto" w:fill="FFFFFF" w:themeFill="background1"/>
            <w:vAlign w:val="center"/>
            <w:hideMark/>
          </w:tcPr>
          <w:p w14:paraId="04969E2E" w14:textId="77777777" w:rsidR="00866FD9" w:rsidRPr="00DD2634" w:rsidRDefault="00866FD9" w:rsidP="00C31BC0">
            <w:pPr>
              <w:keepNext/>
              <w:spacing w:after="0" w:line="240" w:lineRule="auto"/>
              <w:jc w:val="right"/>
              <w:rPr>
                <w:rFonts w:ascii="Calibri" w:eastAsia="Times New Roman" w:hAnsi="Calibri" w:cs="Calibri"/>
                <w:sz w:val="20"/>
                <w:szCs w:val="20"/>
                <w:lang w:eastAsia="en-AU"/>
              </w:rPr>
            </w:pPr>
            <w:r w:rsidRPr="00DD2634">
              <w:rPr>
                <w:rFonts w:ascii="Calibri" w:eastAsia="Times New Roman" w:hAnsi="Calibri" w:cs="Calibri"/>
                <w:sz w:val="20"/>
                <w:szCs w:val="20"/>
                <w:lang w:eastAsia="en-AU"/>
              </w:rPr>
              <w:t xml:space="preserve">3,334,983 </w:t>
            </w:r>
          </w:p>
        </w:tc>
        <w:tc>
          <w:tcPr>
            <w:tcW w:w="1131" w:type="dxa"/>
            <w:tcBorders>
              <w:top w:val="nil"/>
              <w:left w:val="single" w:sz="4" w:space="0" w:color="auto"/>
              <w:bottom w:val="nil"/>
              <w:right w:val="single" w:sz="4" w:space="0" w:color="auto"/>
            </w:tcBorders>
            <w:shd w:val="clear" w:color="auto" w:fill="D9D9D9" w:themeFill="background1" w:themeFillShade="D9"/>
            <w:vAlign w:val="center"/>
            <w:hideMark/>
          </w:tcPr>
          <w:p w14:paraId="04969E2F" w14:textId="77777777" w:rsidR="00866FD9" w:rsidRPr="00DD2634" w:rsidRDefault="00866FD9" w:rsidP="00C31BC0">
            <w:pPr>
              <w:keepNext/>
              <w:spacing w:after="0" w:line="240" w:lineRule="auto"/>
              <w:jc w:val="right"/>
              <w:rPr>
                <w:rFonts w:ascii="Calibri" w:eastAsia="Times New Roman" w:hAnsi="Calibri" w:cs="Calibri"/>
                <w:sz w:val="20"/>
                <w:szCs w:val="20"/>
                <w:lang w:eastAsia="en-AU"/>
              </w:rPr>
            </w:pPr>
            <w:r w:rsidRPr="00DD2634">
              <w:rPr>
                <w:rFonts w:ascii="Calibri" w:eastAsia="Times New Roman" w:hAnsi="Calibri" w:cs="Calibri"/>
                <w:sz w:val="20"/>
                <w:szCs w:val="20"/>
                <w:lang w:eastAsia="en-AU"/>
              </w:rPr>
              <w:t xml:space="preserve">12,316,529 </w:t>
            </w:r>
          </w:p>
        </w:tc>
      </w:tr>
      <w:tr w:rsidR="00866FD9" w:rsidRPr="00DD2634" w14:paraId="04969E37" w14:textId="77777777" w:rsidTr="00BA5320">
        <w:trPr>
          <w:trHeight w:val="255"/>
        </w:trPr>
        <w:tc>
          <w:tcPr>
            <w:tcW w:w="3402" w:type="dxa"/>
            <w:tcBorders>
              <w:top w:val="nil"/>
              <w:left w:val="single" w:sz="4" w:space="0" w:color="auto"/>
              <w:bottom w:val="nil"/>
              <w:right w:val="single" w:sz="4" w:space="0" w:color="auto"/>
            </w:tcBorders>
            <w:shd w:val="clear" w:color="000000" w:fill="auto"/>
            <w:vAlign w:val="center"/>
            <w:hideMark/>
          </w:tcPr>
          <w:p w14:paraId="04969E31" w14:textId="77777777" w:rsidR="00866FD9" w:rsidRPr="00DD2634" w:rsidRDefault="00866FD9" w:rsidP="00C31BC0">
            <w:pPr>
              <w:keepNext/>
              <w:spacing w:after="0" w:line="240" w:lineRule="auto"/>
              <w:rPr>
                <w:rFonts w:ascii="Calibri" w:eastAsia="Times New Roman" w:hAnsi="Calibri" w:cs="Calibri"/>
                <w:sz w:val="20"/>
                <w:szCs w:val="20"/>
                <w:lang w:eastAsia="en-AU"/>
              </w:rPr>
            </w:pPr>
            <w:r w:rsidRPr="00DD2634">
              <w:rPr>
                <w:rFonts w:ascii="Calibri" w:eastAsia="Times New Roman" w:hAnsi="Calibri" w:cs="Calibri"/>
                <w:sz w:val="20"/>
                <w:szCs w:val="20"/>
                <w:lang w:eastAsia="en-AU"/>
              </w:rPr>
              <w:t>Child Care Rebate</w:t>
            </w:r>
          </w:p>
        </w:tc>
        <w:tc>
          <w:tcPr>
            <w:tcW w:w="1029" w:type="dxa"/>
            <w:tcBorders>
              <w:top w:val="nil"/>
              <w:left w:val="single" w:sz="4" w:space="0" w:color="auto"/>
              <w:bottom w:val="nil"/>
              <w:right w:val="nil"/>
            </w:tcBorders>
            <w:shd w:val="clear" w:color="auto" w:fill="FFFFFF" w:themeFill="background1"/>
            <w:vAlign w:val="center"/>
            <w:hideMark/>
          </w:tcPr>
          <w:p w14:paraId="04969E32" w14:textId="77777777" w:rsidR="00866FD9" w:rsidRPr="00DD2634" w:rsidRDefault="00866FD9" w:rsidP="00C31BC0">
            <w:pPr>
              <w:keepNext/>
              <w:spacing w:after="0" w:line="240" w:lineRule="auto"/>
              <w:jc w:val="right"/>
              <w:rPr>
                <w:rFonts w:ascii="Calibri" w:eastAsia="Times New Roman" w:hAnsi="Calibri" w:cs="Calibri"/>
                <w:sz w:val="20"/>
                <w:szCs w:val="20"/>
                <w:lang w:eastAsia="en-AU"/>
              </w:rPr>
            </w:pPr>
            <w:r w:rsidRPr="00DD2634">
              <w:rPr>
                <w:rFonts w:ascii="Calibri" w:eastAsia="Times New Roman" w:hAnsi="Calibri" w:cs="Calibri"/>
                <w:sz w:val="20"/>
                <w:szCs w:val="20"/>
                <w:lang w:eastAsia="en-AU"/>
              </w:rPr>
              <w:t xml:space="preserve">2,627,095 </w:t>
            </w:r>
          </w:p>
        </w:tc>
        <w:tc>
          <w:tcPr>
            <w:tcW w:w="1029" w:type="dxa"/>
            <w:tcBorders>
              <w:top w:val="nil"/>
              <w:left w:val="nil"/>
              <w:bottom w:val="nil"/>
              <w:right w:val="nil"/>
            </w:tcBorders>
            <w:shd w:val="clear" w:color="auto" w:fill="FFFFFF" w:themeFill="background1"/>
            <w:vAlign w:val="center"/>
            <w:hideMark/>
          </w:tcPr>
          <w:p w14:paraId="04969E33" w14:textId="77777777" w:rsidR="00866FD9" w:rsidRPr="00DD2634" w:rsidRDefault="00866FD9" w:rsidP="00C31BC0">
            <w:pPr>
              <w:keepNext/>
              <w:spacing w:after="0" w:line="240" w:lineRule="auto"/>
              <w:jc w:val="right"/>
              <w:rPr>
                <w:rFonts w:ascii="Calibri" w:eastAsia="Times New Roman" w:hAnsi="Calibri" w:cs="Calibri"/>
                <w:sz w:val="20"/>
                <w:szCs w:val="20"/>
                <w:lang w:eastAsia="en-AU"/>
              </w:rPr>
            </w:pPr>
            <w:r w:rsidRPr="00DD2634">
              <w:rPr>
                <w:rFonts w:ascii="Calibri" w:eastAsia="Times New Roman" w:hAnsi="Calibri" w:cs="Calibri"/>
                <w:sz w:val="20"/>
                <w:szCs w:val="20"/>
                <w:lang w:eastAsia="en-AU"/>
              </w:rPr>
              <w:t xml:space="preserve">3,009,358 </w:t>
            </w:r>
          </w:p>
        </w:tc>
        <w:tc>
          <w:tcPr>
            <w:tcW w:w="1029" w:type="dxa"/>
            <w:tcBorders>
              <w:top w:val="nil"/>
              <w:left w:val="nil"/>
              <w:bottom w:val="nil"/>
              <w:right w:val="nil"/>
            </w:tcBorders>
            <w:shd w:val="clear" w:color="auto" w:fill="FFFFFF" w:themeFill="background1"/>
            <w:vAlign w:val="center"/>
            <w:hideMark/>
          </w:tcPr>
          <w:p w14:paraId="04969E34" w14:textId="77777777" w:rsidR="00866FD9" w:rsidRPr="00DD2634" w:rsidRDefault="00866FD9" w:rsidP="00C31BC0">
            <w:pPr>
              <w:keepNext/>
              <w:spacing w:after="0" w:line="240" w:lineRule="auto"/>
              <w:jc w:val="right"/>
              <w:rPr>
                <w:rFonts w:ascii="Calibri" w:eastAsia="Times New Roman" w:hAnsi="Calibri" w:cs="Calibri"/>
                <w:sz w:val="20"/>
                <w:szCs w:val="20"/>
                <w:lang w:eastAsia="en-AU"/>
              </w:rPr>
            </w:pPr>
            <w:r w:rsidRPr="00DD2634">
              <w:rPr>
                <w:rFonts w:ascii="Calibri" w:eastAsia="Times New Roman" w:hAnsi="Calibri" w:cs="Calibri"/>
                <w:sz w:val="20"/>
                <w:szCs w:val="20"/>
                <w:lang w:eastAsia="en-AU"/>
              </w:rPr>
              <w:t xml:space="preserve">3,376,617 </w:t>
            </w:r>
          </w:p>
        </w:tc>
        <w:tc>
          <w:tcPr>
            <w:tcW w:w="1029" w:type="dxa"/>
            <w:tcBorders>
              <w:top w:val="nil"/>
              <w:left w:val="nil"/>
              <w:bottom w:val="nil"/>
              <w:right w:val="nil"/>
            </w:tcBorders>
            <w:shd w:val="clear" w:color="auto" w:fill="FFFFFF" w:themeFill="background1"/>
            <w:vAlign w:val="center"/>
            <w:hideMark/>
          </w:tcPr>
          <w:p w14:paraId="04969E35" w14:textId="77777777" w:rsidR="00866FD9" w:rsidRPr="00DD2634" w:rsidRDefault="00866FD9" w:rsidP="00C31BC0">
            <w:pPr>
              <w:keepNext/>
              <w:spacing w:after="0" w:line="240" w:lineRule="auto"/>
              <w:jc w:val="right"/>
              <w:rPr>
                <w:rFonts w:ascii="Calibri" w:eastAsia="Times New Roman" w:hAnsi="Calibri" w:cs="Calibri"/>
                <w:sz w:val="20"/>
                <w:szCs w:val="20"/>
                <w:lang w:eastAsia="en-AU"/>
              </w:rPr>
            </w:pPr>
            <w:r w:rsidRPr="00DD2634">
              <w:rPr>
                <w:rFonts w:ascii="Calibri" w:eastAsia="Times New Roman" w:hAnsi="Calibri" w:cs="Calibri"/>
                <w:sz w:val="20"/>
                <w:szCs w:val="20"/>
                <w:lang w:eastAsia="en-AU"/>
              </w:rPr>
              <w:t xml:space="preserve">3,786,847 </w:t>
            </w:r>
          </w:p>
        </w:tc>
        <w:tc>
          <w:tcPr>
            <w:tcW w:w="1131" w:type="dxa"/>
            <w:tcBorders>
              <w:top w:val="nil"/>
              <w:left w:val="single" w:sz="4" w:space="0" w:color="auto"/>
              <w:bottom w:val="nil"/>
              <w:right w:val="single" w:sz="4" w:space="0" w:color="auto"/>
            </w:tcBorders>
            <w:shd w:val="clear" w:color="auto" w:fill="D9D9D9" w:themeFill="background1" w:themeFillShade="D9"/>
            <w:vAlign w:val="center"/>
            <w:hideMark/>
          </w:tcPr>
          <w:p w14:paraId="04969E36" w14:textId="77777777" w:rsidR="00866FD9" w:rsidRPr="00DD2634" w:rsidRDefault="00866FD9" w:rsidP="00C31BC0">
            <w:pPr>
              <w:keepNext/>
              <w:spacing w:after="0" w:line="240" w:lineRule="auto"/>
              <w:jc w:val="right"/>
              <w:rPr>
                <w:rFonts w:ascii="Calibri" w:eastAsia="Times New Roman" w:hAnsi="Calibri" w:cs="Calibri"/>
                <w:sz w:val="20"/>
                <w:szCs w:val="20"/>
                <w:lang w:eastAsia="en-AU"/>
              </w:rPr>
            </w:pPr>
            <w:r w:rsidRPr="00DD2634">
              <w:rPr>
                <w:rFonts w:ascii="Calibri" w:eastAsia="Times New Roman" w:hAnsi="Calibri" w:cs="Calibri"/>
                <w:sz w:val="20"/>
                <w:szCs w:val="20"/>
                <w:lang w:eastAsia="en-AU"/>
              </w:rPr>
              <w:t xml:space="preserve">12,799,917 </w:t>
            </w:r>
          </w:p>
        </w:tc>
      </w:tr>
      <w:tr w:rsidR="00866FD9" w:rsidRPr="00DD2634" w14:paraId="04969E3E" w14:textId="77777777" w:rsidTr="00BA5320">
        <w:trPr>
          <w:trHeight w:val="255"/>
        </w:trPr>
        <w:tc>
          <w:tcPr>
            <w:tcW w:w="3402" w:type="dxa"/>
            <w:tcBorders>
              <w:top w:val="single" w:sz="4" w:space="0" w:color="auto"/>
              <w:left w:val="single" w:sz="4" w:space="0" w:color="auto"/>
              <w:bottom w:val="single" w:sz="4" w:space="0" w:color="auto"/>
              <w:right w:val="single" w:sz="4" w:space="0" w:color="auto"/>
            </w:tcBorders>
            <w:shd w:val="clear" w:color="000000" w:fill="auto"/>
            <w:vAlign w:val="center"/>
            <w:hideMark/>
          </w:tcPr>
          <w:p w14:paraId="04969E38" w14:textId="77777777" w:rsidR="00866FD9" w:rsidRPr="00DD2634" w:rsidRDefault="00866FD9" w:rsidP="00C31BC0">
            <w:pPr>
              <w:keepNext/>
              <w:spacing w:after="0" w:line="240" w:lineRule="auto"/>
              <w:rPr>
                <w:rFonts w:ascii="Calibri" w:eastAsia="Times New Roman" w:hAnsi="Calibri" w:cs="Calibri"/>
                <w:b/>
                <w:sz w:val="20"/>
                <w:szCs w:val="20"/>
                <w:lang w:eastAsia="en-AU"/>
              </w:rPr>
            </w:pPr>
            <w:r w:rsidRPr="00DD2634">
              <w:rPr>
                <w:rFonts w:ascii="Calibri" w:eastAsia="Times New Roman" w:hAnsi="Calibri" w:cs="Calibri"/>
                <w:b/>
                <w:sz w:val="20"/>
                <w:szCs w:val="20"/>
                <w:lang w:eastAsia="en-AU"/>
              </w:rPr>
              <w:t>TOTAL</w:t>
            </w:r>
          </w:p>
        </w:tc>
        <w:tc>
          <w:tcPr>
            <w:tcW w:w="1029" w:type="dxa"/>
            <w:tcBorders>
              <w:top w:val="single" w:sz="4" w:space="0" w:color="auto"/>
              <w:left w:val="single" w:sz="4" w:space="0" w:color="auto"/>
              <w:bottom w:val="single" w:sz="4" w:space="0" w:color="auto"/>
              <w:right w:val="nil"/>
            </w:tcBorders>
            <w:shd w:val="clear" w:color="auto" w:fill="FFFFFF" w:themeFill="background1"/>
            <w:vAlign w:val="center"/>
            <w:hideMark/>
          </w:tcPr>
          <w:p w14:paraId="04969E39" w14:textId="4AAEE154" w:rsidR="00866FD9" w:rsidRPr="00DD2634" w:rsidRDefault="00866FD9" w:rsidP="00C31BC0">
            <w:pPr>
              <w:keepNext/>
              <w:spacing w:after="0" w:line="240" w:lineRule="auto"/>
              <w:jc w:val="right"/>
              <w:rPr>
                <w:rFonts w:ascii="Calibri" w:eastAsia="Times New Roman" w:hAnsi="Calibri" w:cs="Calibri"/>
                <w:b/>
                <w:sz w:val="20"/>
                <w:szCs w:val="20"/>
                <w:lang w:eastAsia="en-AU"/>
              </w:rPr>
            </w:pPr>
            <w:r w:rsidRPr="00DD2634">
              <w:rPr>
                <w:rFonts w:ascii="Calibri" w:eastAsia="Times New Roman" w:hAnsi="Calibri" w:cs="Calibri"/>
                <w:b/>
                <w:sz w:val="20"/>
                <w:szCs w:val="20"/>
                <w:lang w:eastAsia="en-AU"/>
              </w:rPr>
              <w:t xml:space="preserve">5,442,663 </w:t>
            </w:r>
          </w:p>
        </w:tc>
        <w:tc>
          <w:tcPr>
            <w:tcW w:w="1029" w:type="dxa"/>
            <w:tcBorders>
              <w:top w:val="single" w:sz="4" w:space="0" w:color="auto"/>
              <w:left w:val="nil"/>
              <w:bottom w:val="single" w:sz="4" w:space="0" w:color="auto"/>
              <w:right w:val="nil"/>
            </w:tcBorders>
            <w:shd w:val="clear" w:color="auto" w:fill="FFFFFF" w:themeFill="background1"/>
            <w:vAlign w:val="center"/>
            <w:hideMark/>
          </w:tcPr>
          <w:p w14:paraId="04969E3A" w14:textId="32072DE2" w:rsidR="00866FD9" w:rsidRPr="00DD2634" w:rsidRDefault="00866FD9" w:rsidP="00C31BC0">
            <w:pPr>
              <w:keepNext/>
              <w:spacing w:after="0" w:line="240" w:lineRule="auto"/>
              <w:jc w:val="right"/>
              <w:rPr>
                <w:rFonts w:ascii="Calibri" w:eastAsia="Times New Roman" w:hAnsi="Calibri" w:cs="Calibri"/>
                <w:b/>
                <w:sz w:val="20"/>
                <w:szCs w:val="20"/>
                <w:lang w:eastAsia="en-AU"/>
              </w:rPr>
            </w:pPr>
            <w:r w:rsidRPr="00DD2634">
              <w:rPr>
                <w:rFonts w:ascii="Calibri" w:eastAsia="Times New Roman" w:hAnsi="Calibri" w:cs="Calibri"/>
                <w:b/>
                <w:sz w:val="20"/>
                <w:szCs w:val="20"/>
                <w:lang w:eastAsia="en-AU"/>
              </w:rPr>
              <w:t xml:space="preserve">6,022,382 </w:t>
            </w:r>
          </w:p>
        </w:tc>
        <w:tc>
          <w:tcPr>
            <w:tcW w:w="1029" w:type="dxa"/>
            <w:tcBorders>
              <w:top w:val="single" w:sz="4" w:space="0" w:color="auto"/>
              <w:left w:val="nil"/>
              <w:bottom w:val="single" w:sz="4" w:space="0" w:color="auto"/>
              <w:right w:val="nil"/>
            </w:tcBorders>
            <w:shd w:val="clear" w:color="auto" w:fill="FFFFFF" w:themeFill="background1"/>
            <w:vAlign w:val="center"/>
            <w:hideMark/>
          </w:tcPr>
          <w:p w14:paraId="04969E3B" w14:textId="5877F84A" w:rsidR="00866FD9" w:rsidRPr="00DD2634" w:rsidRDefault="00866FD9" w:rsidP="00C31BC0">
            <w:pPr>
              <w:keepNext/>
              <w:spacing w:after="0" w:line="240" w:lineRule="auto"/>
              <w:jc w:val="right"/>
              <w:rPr>
                <w:rFonts w:ascii="Calibri" w:eastAsia="Times New Roman" w:hAnsi="Calibri" w:cs="Calibri"/>
                <w:b/>
                <w:sz w:val="20"/>
                <w:szCs w:val="20"/>
                <w:lang w:eastAsia="en-AU"/>
              </w:rPr>
            </w:pPr>
            <w:r w:rsidRPr="00DD2634">
              <w:rPr>
                <w:rFonts w:ascii="Calibri" w:eastAsia="Times New Roman" w:hAnsi="Calibri" w:cs="Calibri"/>
                <w:b/>
                <w:sz w:val="20"/>
                <w:szCs w:val="20"/>
                <w:lang w:eastAsia="en-AU"/>
              </w:rPr>
              <w:t xml:space="preserve">6,529,571 </w:t>
            </w:r>
          </w:p>
        </w:tc>
        <w:tc>
          <w:tcPr>
            <w:tcW w:w="1029" w:type="dxa"/>
            <w:tcBorders>
              <w:top w:val="single" w:sz="4" w:space="0" w:color="auto"/>
              <w:left w:val="nil"/>
              <w:bottom w:val="single" w:sz="4" w:space="0" w:color="auto"/>
              <w:right w:val="nil"/>
            </w:tcBorders>
            <w:shd w:val="clear" w:color="auto" w:fill="FFFFFF" w:themeFill="background1"/>
            <w:vAlign w:val="center"/>
            <w:hideMark/>
          </w:tcPr>
          <w:p w14:paraId="04969E3C" w14:textId="0D7D09C6" w:rsidR="00866FD9" w:rsidRPr="00DD2634" w:rsidRDefault="00866FD9" w:rsidP="00C31BC0">
            <w:pPr>
              <w:keepNext/>
              <w:spacing w:after="0" w:line="240" w:lineRule="auto"/>
              <w:jc w:val="right"/>
              <w:rPr>
                <w:rFonts w:ascii="Calibri" w:eastAsia="Times New Roman" w:hAnsi="Calibri" w:cs="Calibri"/>
                <w:b/>
                <w:sz w:val="20"/>
                <w:szCs w:val="20"/>
                <w:lang w:eastAsia="en-AU"/>
              </w:rPr>
            </w:pPr>
            <w:r w:rsidRPr="00DD2634">
              <w:rPr>
                <w:rFonts w:ascii="Calibri" w:eastAsia="Times New Roman" w:hAnsi="Calibri" w:cs="Calibri"/>
                <w:b/>
                <w:sz w:val="20"/>
                <w:szCs w:val="20"/>
                <w:lang w:eastAsia="en-AU"/>
              </w:rPr>
              <w:t xml:space="preserve">7,121,830 </w:t>
            </w:r>
          </w:p>
        </w:tc>
        <w:tc>
          <w:tcPr>
            <w:tcW w:w="113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4969E3D" w14:textId="10ECB112" w:rsidR="00866FD9" w:rsidRPr="00DD2634" w:rsidRDefault="00866FD9" w:rsidP="00C31BC0">
            <w:pPr>
              <w:keepNext/>
              <w:spacing w:after="0" w:line="240" w:lineRule="auto"/>
              <w:jc w:val="right"/>
              <w:rPr>
                <w:rFonts w:ascii="Calibri" w:eastAsia="Times New Roman" w:hAnsi="Calibri" w:cs="Calibri"/>
                <w:b/>
                <w:sz w:val="20"/>
                <w:szCs w:val="20"/>
                <w:lang w:eastAsia="en-AU"/>
              </w:rPr>
            </w:pPr>
            <w:r w:rsidRPr="00DD2634">
              <w:rPr>
                <w:rFonts w:ascii="Calibri" w:eastAsia="Times New Roman" w:hAnsi="Calibri" w:cs="Calibri"/>
                <w:b/>
                <w:sz w:val="20"/>
                <w:szCs w:val="20"/>
                <w:lang w:eastAsia="en-AU"/>
              </w:rPr>
              <w:t xml:space="preserve">25,116,446 </w:t>
            </w:r>
          </w:p>
        </w:tc>
      </w:tr>
      <w:tr w:rsidR="00866FD9" w:rsidRPr="00DD2634" w14:paraId="04969E45" w14:textId="77777777" w:rsidTr="00BA5320">
        <w:trPr>
          <w:trHeight w:val="255"/>
        </w:trPr>
        <w:tc>
          <w:tcPr>
            <w:tcW w:w="3402" w:type="dxa"/>
            <w:tcBorders>
              <w:top w:val="nil"/>
              <w:left w:val="single" w:sz="4" w:space="0" w:color="auto"/>
              <w:bottom w:val="nil"/>
              <w:right w:val="single" w:sz="4" w:space="0" w:color="auto"/>
            </w:tcBorders>
            <w:shd w:val="clear" w:color="000000" w:fill="auto"/>
            <w:vAlign w:val="center"/>
            <w:hideMark/>
          </w:tcPr>
          <w:p w14:paraId="04969E3F" w14:textId="77777777" w:rsidR="00866FD9" w:rsidRPr="00DD2634" w:rsidRDefault="00866FD9" w:rsidP="00C31BC0">
            <w:pPr>
              <w:keepNext/>
              <w:spacing w:after="0" w:line="240" w:lineRule="auto"/>
              <w:rPr>
                <w:rFonts w:ascii="Calibri" w:eastAsia="Times New Roman" w:hAnsi="Calibri" w:cs="Calibri"/>
                <w:b/>
                <w:sz w:val="20"/>
                <w:szCs w:val="20"/>
                <w:lang w:eastAsia="en-AU"/>
              </w:rPr>
            </w:pPr>
            <w:r w:rsidRPr="00DD2634">
              <w:rPr>
                <w:rFonts w:ascii="Calibri" w:eastAsia="Times New Roman" w:hAnsi="Calibri" w:cs="Calibri"/>
                <w:b/>
                <w:sz w:val="20"/>
                <w:szCs w:val="20"/>
                <w:lang w:eastAsia="en-AU"/>
              </w:rPr>
              <w:t>Programme 1.3</w:t>
            </w:r>
          </w:p>
        </w:tc>
        <w:tc>
          <w:tcPr>
            <w:tcW w:w="1029" w:type="dxa"/>
            <w:tcBorders>
              <w:top w:val="nil"/>
              <w:left w:val="single" w:sz="4" w:space="0" w:color="auto"/>
              <w:bottom w:val="nil"/>
              <w:right w:val="nil"/>
            </w:tcBorders>
            <w:shd w:val="clear" w:color="auto" w:fill="FFFFFF" w:themeFill="background1"/>
            <w:noWrap/>
            <w:vAlign w:val="center"/>
            <w:hideMark/>
          </w:tcPr>
          <w:p w14:paraId="04969E40" w14:textId="77777777" w:rsidR="00866FD9" w:rsidRPr="00DD2634" w:rsidRDefault="00866FD9" w:rsidP="00C31BC0">
            <w:pPr>
              <w:keepNext/>
              <w:spacing w:after="0" w:line="240" w:lineRule="auto"/>
              <w:jc w:val="right"/>
              <w:rPr>
                <w:rFonts w:ascii="Calibri" w:eastAsia="Times New Roman" w:hAnsi="Calibri" w:cs="Calibri"/>
                <w:sz w:val="20"/>
                <w:szCs w:val="20"/>
                <w:lang w:eastAsia="en-AU"/>
              </w:rPr>
            </w:pPr>
            <w:r w:rsidRPr="00DD2634">
              <w:rPr>
                <w:rFonts w:ascii="Calibri" w:eastAsia="Times New Roman" w:hAnsi="Calibri" w:cs="Calibri"/>
                <w:sz w:val="20"/>
                <w:szCs w:val="20"/>
                <w:lang w:eastAsia="en-AU"/>
              </w:rPr>
              <w:t> </w:t>
            </w:r>
          </w:p>
        </w:tc>
        <w:tc>
          <w:tcPr>
            <w:tcW w:w="1029" w:type="dxa"/>
            <w:tcBorders>
              <w:top w:val="nil"/>
              <w:left w:val="nil"/>
              <w:bottom w:val="nil"/>
              <w:right w:val="nil"/>
            </w:tcBorders>
            <w:shd w:val="clear" w:color="auto" w:fill="FFFFFF" w:themeFill="background1"/>
            <w:noWrap/>
            <w:vAlign w:val="center"/>
            <w:hideMark/>
          </w:tcPr>
          <w:p w14:paraId="04969E41" w14:textId="77777777" w:rsidR="00866FD9" w:rsidRPr="00DD2634" w:rsidRDefault="00866FD9" w:rsidP="00C31BC0">
            <w:pPr>
              <w:keepNext/>
              <w:spacing w:after="0" w:line="240" w:lineRule="auto"/>
              <w:jc w:val="right"/>
              <w:rPr>
                <w:rFonts w:ascii="Calibri" w:eastAsia="Times New Roman" w:hAnsi="Calibri" w:cs="Calibri"/>
                <w:sz w:val="20"/>
                <w:szCs w:val="20"/>
                <w:lang w:eastAsia="en-AU"/>
              </w:rPr>
            </w:pPr>
          </w:p>
        </w:tc>
        <w:tc>
          <w:tcPr>
            <w:tcW w:w="1029" w:type="dxa"/>
            <w:tcBorders>
              <w:top w:val="nil"/>
              <w:left w:val="nil"/>
              <w:bottom w:val="nil"/>
              <w:right w:val="nil"/>
            </w:tcBorders>
            <w:shd w:val="clear" w:color="auto" w:fill="FFFFFF" w:themeFill="background1"/>
            <w:noWrap/>
            <w:vAlign w:val="center"/>
            <w:hideMark/>
          </w:tcPr>
          <w:p w14:paraId="04969E42" w14:textId="77777777" w:rsidR="00866FD9" w:rsidRPr="00DD2634" w:rsidRDefault="00866FD9" w:rsidP="00C31BC0">
            <w:pPr>
              <w:keepNext/>
              <w:spacing w:after="0" w:line="240" w:lineRule="auto"/>
              <w:jc w:val="right"/>
              <w:rPr>
                <w:rFonts w:ascii="Calibri" w:eastAsia="Times New Roman" w:hAnsi="Calibri" w:cs="Calibri"/>
                <w:sz w:val="20"/>
                <w:szCs w:val="20"/>
                <w:lang w:eastAsia="en-AU"/>
              </w:rPr>
            </w:pPr>
          </w:p>
        </w:tc>
        <w:tc>
          <w:tcPr>
            <w:tcW w:w="1029" w:type="dxa"/>
            <w:tcBorders>
              <w:top w:val="nil"/>
              <w:left w:val="nil"/>
              <w:bottom w:val="nil"/>
              <w:right w:val="nil"/>
            </w:tcBorders>
            <w:shd w:val="clear" w:color="auto" w:fill="FFFFFF" w:themeFill="background1"/>
            <w:noWrap/>
            <w:vAlign w:val="center"/>
            <w:hideMark/>
          </w:tcPr>
          <w:p w14:paraId="04969E43" w14:textId="77777777" w:rsidR="00866FD9" w:rsidRPr="00DD2634" w:rsidRDefault="00866FD9" w:rsidP="00C31BC0">
            <w:pPr>
              <w:keepNext/>
              <w:spacing w:after="0" w:line="240" w:lineRule="auto"/>
              <w:jc w:val="right"/>
              <w:rPr>
                <w:rFonts w:ascii="Calibri" w:eastAsia="Times New Roman" w:hAnsi="Calibri" w:cs="Calibri"/>
                <w:sz w:val="20"/>
                <w:szCs w:val="20"/>
                <w:lang w:eastAsia="en-AU"/>
              </w:rPr>
            </w:pPr>
          </w:p>
        </w:tc>
        <w:tc>
          <w:tcPr>
            <w:tcW w:w="1131" w:type="dxa"/>
            <w:tcBorders>
              <w:top w:val="nil"/>
              <w:left w:val="single" w:sz="4" w:space="0" w:color="auto"/>
              <w:bottom w:val="nil"/>
              <w:right w:val="single" w:sz="4" w:space="0" w:color="auto"/>
            </w:tcBorders>
            <w:shd w:val="clear" w:color="auto" w:fill="D9D9D9" w:themeFill="background1" w:themeFillShade="D9"/>
            <w:vAlign w:val="center"/>
            <w:hideMark/>
          </w:tcPr>
          <w:p w14:paraId="04969E44" w14:textId="77777777" w:rsidR="00866FD9" w:rsidRPr="00DD2634" w:rsidRDefault="00866FD9" w:rsidP="00C31BC0">
            <w:pPr>
              <w:keepNext/>
              <w:spacing w:after="0" w:line="240" w:lineRule="auto"/>
              <w:jc w:val="right"/>
              <w:rPr>
                <w:rFonts w:ascii="Calibri" w:eastAsia="Times New Roman" w:hAnsi="Calibri" w:cs="Calibri"/>
                <w:b/>
                <w:bCs/>
                <w:sz w:val="20"/>
                <w:szCs w:val="20"/>
                <w:lang w:eastAsia="en-AU"/>
              </w:rPr>
            </w:pPr>
            <w:r w:rsidRPr="00DD2634">
              <w:rPr>
                <w:rFonts w:ascii="Calibri" w:eastAsia="Times New Roman" w:hAnsi="Calibri" w:cs="Calibri"/>
                <w:b/>
                <w:bCs/>
                <w:sz w:val="20"/>
                <w:szCs w:val="20"/>
                <w:lang w:eastAsia="en-AU"/>
              </w:rPr>
              <w:t> </w:t>
            </w:r>
          </w:p>
        </w:tc>
      </w:tr>
      <w:tr w:rsidR="00866FD9" w:rsidRPr="00DD2634" w14:paraId="04969E4C" w14:textId="77777777" w:rsidTr="00BA5320">
        <w:trPr>
          <w:trHeight w:val="255"/>
        </w:trPr>
        <w:tc>
          <w:tcPr>
            <w:tcW w:w="3402" w:type="dxa"/>
            <w:tcBorders>
              <w:top w:val="nil"/>
              <w:left w:val="single" w:sz="4" w:space="0" w:color="auto"/>
              <w:bottom w:val="nil"/>
              <w:right w:val="single" w:sz="4" w:space="0" w:color="auto"/>
            </w:tcBorders>
            <w:shd w:val="clear" w:color="000000" w:fill="auto"/>
            <w:vAlign w:val="center"/>
            <w:hideMark/>
          </w:tcPr>
          <w:p w14:paraId="04969E46" w14:textId="77777777" w:rsidR="00866FD9" w:rsidRPr="00DD2634" w:rsidRDefault="001A168A" w:rsidP="00C31BC0">
            <w:pPr>
              <w:keepNext/>
              <w:spacing w:after="0" w:line="240" w:lineRule="auto"/>
              <w:rPr>
                <w:rFonts w:ascii="Calibri" w:eastAsia="Times New Roman" w:hAnsi="Calibri" w:cs="Calibri"/>
                <w:sz w:val="20"/>
                <w:szCs w:val="20"/>
                <w:lang w:eastAsia="en-AU"/>
              </w:rPr>
            </w:pPr>
            <w:r w:rsidRPr="00DD2634">
              <w:rPr>
                <w:rFonts w:ascii="Calibri" w:eastAsia="Times New Roman" w:hAnsi="Calibri" w:cs="Calibri"/>
                <w:sz w:val="20"/>
                <w:szCs w:val="20"/>
                <w:lang w:eastAsia="en-AU"/>
              </w:rPr>
              <w:t>Universal Access (</w:t>
            </w:r>
            <w:r w:rsidR="00866FD9" w:rsidRPr="00DD2634">
              <w:rPr>
                <w:rFonts w:ascii="Calibri" w:eastAsia="Times New Roman" w:hAnsi="Calibri" w:cs="Calibri"/>
                <w:sz w:val="20"/>
                <w:szCs w:val="20"/>
                <w:lang w:eastAsia="en-AU"/>
              </w:rPr>
              <w:t>Retained Funds)</w:t>
            </w:r>
          </w:p>
        </w:tc>
        <w:tc>
          <w:tcPr>
            <w:tcW w:w="1029" w:type="dxa"/>
            <w:tcBorders>
              <w:top w:val="nil"/>
              <w:left w:val="single" w:sz="4" w:space="0" w:color="auto"/>
              <w:bottom w:val="nil"/>
              <w:right w:val="nil"/>
            </w:tcBorders>
            <w:shd w:val="clear" w:color="auto" w:fill="FFFFFF" w:themeFill="background1"/>
            <w:vAlign w:val="center"/>
            <w:hideMark/>
          </w:tcPr>
          <w:p w14:paraId="04969E47" w14:textId="77777777" w:rsidR="00866FD9" w:rsidRPr="00DD2634" w:rsidRDefault="001A168A" w:rsidP="00C31BC0">
            <w:pPr>
              <w:keepNext/>
              <w:spacing w:after="0" w:line="240" w:lineRule="auto"/>
              <w:jc w:val="right"/>
              <w:rPr>
                <w:rFonts w:ascii="Calibri" w:eastAsia="Times New Roman" w:hAnsi="Calibri" w:cs="Calibri"/>
                <w:sz w:val="20"/>
                <w:szCs w:val="20"/>
                <w:lang w:eastAsia="en-AU"/>
              </w:rPr>
            </w:pPr>
            <w:r w:rsidRPr="00DD2634">
              <w:rPr>
                <w:rFonts w:ascii="Calibri" w:eastAsia="Times New Roman" w:hAnsi="Calibri" w:cs="Calibri"/>
                <w:sz w:val="20"/>
                <w:szCs w:val="20"/>
                <w:lang w:eastAsia="en-AU"/>
              </w:rPr>
              <w:t xml:space="preserve">  </w:t>
            </w:r>
            <w:r w:rsidR="00866FD9" w:rsidRPr="00DD2634">
              <w:rPr>
                <w:rFonts w:ascii="Calibri" w:eastAsia="Times New Roman" w:hAnsi="Calibri" w:cs="Calibri"/>
                <w:sz w:val="20"/>
                <w:szCs w:val="20"/>
                <w:lang w:eastAsia="en-AU"/>
              </w:rPr>
              <w:t xml:space="preserve"> 3,000 </w:t>
            </w:r>
          </w:p>
        </w:tc>
        <w:tc>
          <w:tcPr>
            <w:tcW w:w="1029" w:type="dxa"/>
            <w:tcBorders>
              <w:top w:val="nil"/>
              <w:left w:val="nil"/>
              <w:bottom w:val="nil"/>
              <w:right w:val="nil"/>
            </w:tcBorders>
            <w:shd w:val="clear" w:color="auto" w:fill="FFFFFF" w:themeFill="background1"/>
            <w:vAlign w:val="center"/>
            <w:hideMark/>
          </w:tcPr>
          <w:p w14:paraId="04969E48" w14:textId="77777777" w:rsidR="00866FD9" w:rsidRPr="00DD2634" w:rsidRDefault="001A168A" w:rsidP="00C31BC0">
            <w:pPr>
              <w:keepNext/>
              <w:spacing w:after="0" w:line="240" w:lineRule="auto"/>
              <w:jc w:val="right"/>
              <w:rPr>
                <w:rFonts w:ascii="Calibri" w:eastAsia="Times New Roman" w:hAnsi="Calibri" w:cs="Calibri"/>
                <w:sz w:val="20"/>
                <w:szCs w:val="20"/>
                <w:lang w:eastAsia="en-AU"/>
              </w:rPr>
            </w:pPr>
            <w:r w:rsidRPr="00DD2634">
              <w:rPr>
                <w:rFonts w:ascii="Calibri" w:eastAsia="Times New Roman" w:hAnsi="Calibri" w:cs="Calibri"/>
                <w:sz w:val="20"/>
                <w:szCs w:val="20"/>
                <w:lang w:eastAsia="en-AU"/>
              </w:rPr>
              <w:t xml:space="preserve">  </w:t>
            </w:r>
            <w:r w:rsidR="00866FD9" w:rsidRPr="00DD2634">
              <w:rPr>
                <w:rFonts w:ascii="Calibri" w:eastAsia="Times New Roman" w:hAnsi="Calibri" w:cs="Calibri"/>
                <w:sz w:val="20"/>
                <w:szCs w:val="20"/>
                <w:lang w:eastAsia="en-AU"/>
              </w:rPr>
              <w:t xml:space="preserve"> 1,500 </w:t>
            </w:r>
          </w:p>
        </w:tc>
        <w:tc>
          <w:tcPr>
            <w:tcW w:w="1029" w:type="dxa"/>
            <w:tcBorders>
              <w:top w:val="nil"/>
              <w:left w:val="nil"/>
              <w:bottom w:val="nil"/>
              <w:right w:val="nil"/>
            </w:tcBorders>
            <w:shd w:val="clear" w:color="auto" w:fill="FFFFFF" w:themeFill="background1"/>
            <w:vAlign w:val="center"/>
            <w:hideMark/>
          </w:tcPr>
          <w:p w14:paraId="04969E49" w14:textId="77777777" w:rsidR="00866FD9" w:rsidRPr="00DD2634" w:rsidRDefault="001A168A" w:rsidP="00C31BC0">
            <w:pPr>
              <w:keepNext/>
              <w:spacing w:after="0" w:line="240" w:lineRule="auto"/>
              <w:jc w:val="right"/>
              <w:rPr>
                <w:rFonts w:ascii="Calibri" w:eastAsia="Times New Roman" w:hAnsi="Calibri" w:cs="Calibri"/>
                <w:sz w:val="20"/>
                <w:szCs w:val="20"/>
                <w:lang w:eastAsia="en-AU"/>
              </w:rPr>
            </w:pPr>
            <w:r w:rsidRPr="00DD2634">
              <w:rPr>
                <w:rFonts w:ascii="Calibri" w:eastAsia="Times New Roman" w:hAnsi="Calibri" w:cs="Calibri"/>
                <w:sz w:val="20"/>
                <w:szCs w:val="20"/>
                <w:lang w:eastAsia="en-AU"/>
              </w:rPr>
              <w:t xml:space="preserve">    </w:t>
            </w:r>
            <w:r w:rsidR="00866FD9" w:rsidRPr="00DD2634">
              <w:rPr>
                <w:rFonts w:ascii="Calibri" w:eastAsia="Times New Roman" w:hAnsi="Calibri" w:cs="Calibri"/>
                <w:sz w:val="20"/>
                <w:szCs w:val="20"/>
                <w:lang w:eastAsia="en-AU"/>
              </w:rPr>
              <w:t>-</w:t>
            </w:r>
            <w:r w:rsidRPr="00DD2634">
              <w:rPr>
                <w:rFonts w:ascii="Calibri" w:eastAsia="Times New Roman" w:hAnsi="Calibri" w:cs="Calibri"/>
                <w:sz w:val="20"/>
                <w:szCs w:val="20"/>
                <w:lang w:eastAsia="en-AU"/>
              </w:rPr>
              <w:t xml:space="preserve"> </w:t>
            </w:r>
          </w:p>
        </w:tc>
        <w:tc>
          <w:tcPr>
            <w:tcW w:w="1029" w:type="dxa"/>
            <w:tcBorders>
              <w:top w:val="nil"/>
              <w:left w:val="nil"/>
              <w:bottom w:val="nil"/>
              <w:right w:val="nil"/>
            </w:tcBorders>
            <w:shd w:val="clear" w:color="auto" w:fill="FFFFFF" w:themeFill="background1"/>
            <w:vAlign w:val="center"/>
            <w:hideMark/>
          </w:tcPr>
          <w:p w14:paraId="04969E4A" w14:textId="77777777" w:rsidR="00866FD9" w:rsidRPr="00DD2634" w:rsidRDefault="001A168A" w:rsidP="00C31BC0">
            <w:pPr>
              <w:keepNext/>
              <w:spacing w:after="0" w:line="240" w:lineRule="auto"/>
              <w:jc w:val="right"/>
              <w:rPr>
                <w:rFonts w:ascii="Calibri" w:eastAsia="Times New Roman" w:hAnsi="Calibri" w:cs="Calibri"/>
                <w:sz w:val="20"/>
                <w:szCs w:val="20"/>
                <w:lang w:eastAsia="en-AU"/>
              </w:rPr>
            </w:pPr>
            <w:r w:rsidRPr="00DD2634">
              <w:rPr>
                <w:rFonts w:ascii="Calibri" w:eastAsia="Times New Roman" w:hAnsi="Calibri" w:cs="Calibri"/>
                <w:sz w:val="20"/>
                <w:szCs w:val="20"/>
                <w:lang w:eastAsia="en-AU"/>
              </w:rPr>
              <w:t xml:space="preserve">    </w:t>
            </w:r>
            <w:r w:rsidR="00866FD9" w:rsidRPr="00DD2634">
              <w:rPr>
                <w:rFonts w:ascii="Calibri" w:eastAsia="Times New Roman" w:hAnsi="Calibri" w:cs="Calibri"/>
                <w:sz w:val="20"/>
                <w:szCs w:val="20"/>
                <w:lang w:eastAsia="en-AU"/>
              </w:rPr>
              <w:t>-</w:t>
            </w:r>
            <w:r w:rsidRPr="00DD2634">
              <w:rPr>
                <w:rFonts w:ascii="Calibri" w:eastAsia="Times New Roman" w:hAnsi="Calibri" w:cs="Calibri"/>
                <w:sz w:val="20"/>
                <w:szCs w:val="20"/>
                <w:lang w:eastAsia="en-AU"/>
              </w:rPr>
              <w:t xml:space="preserve"> </w:t>
            </w:r>
          </w:p>
        </w:tc>
        <w:tc>
          <w:tcPr>
            <w:tcW w:w="1131" w:type="dxa"/>
            <w:tcBorders>
              <w:top w:val="nil"/>
              <w:left w:val="single" w:sz="4" w:space="0" w:color="auto"/>
              <w:bottom w:val="nil"/>
              <w:right w:val="single" w:sz="4" w:space="0" w:color="auto"/>
            </w:tcBorders>
            <w:shd w:val="clear" w:color="auto" w:fill="D9D9D9" w:themeFill="background1" w:themeFillShade="D9"/>
            <w:vAlign w:val="center"/>
            <w:hideMark/>
          </w:tcPr>
          <w:p w14:paraId="04969E4B" w14:textId="77777777" w:rsidR="00866FD9" w:rsidRPr="00DD2634" w:rsidRDefault="001A168A" w:rsidP="00C31BC0">
            <w:pPr>
              <w:keepNext/>
              <w:spacing w:after="0" w:line="240" w:lineRule="auto"/>
              <w:jc w:val="right"/>
              <w:rPr>
                <w:rFonts w:ascii="Calibri" w:eastAsia="Times New Roman" w:hAnsi="Calibri" w:cs="Calibri"/>
                <w:sz w:val="20"/>
                <w:szCs w:val="20"/>
                <w:lang w:eastAsia="en-AU"/>
              </w:rPr>
            </w:pPr>
            <w:r w:rsidRPr="00DD2634">
              <w:rPr>
                <w:rFonts w:ascii="Calibri" w:eastAsia="Times New Roman" w:hAnsi="Calibri" w:cs="Calibri"/>
                <w:sz w:val="20"/>
                <w:szCs w:val="20"/>
                <w:lang w:eastAsia="en-AU"/>
              </w:rPr>
              <w:t xml:space="preserve">   </w:t>
            </w:r>
            <w:r w:rsidR="00866FD9" w:rsidRPr="00DD2634">
              <w:rPr>
                <w:rFonts w:ascii="Calibri" w:eastAsia="Times New Roman" w:hAnsi="Calibri" w:cs="Calibri"/>
                <w:sz w:val="20"/>
                <w:szCs w:val="20"/>
                <w:lang w:eastAsia="en-AU"/>
              </w:rPr>
              <w:t xml:space="preserve">4,500 </w:t>
            </w:r>
          </w:p>
        </w:tc>
      </w:tr>
      <w:tr w:rsidR="00866FD9" w:rsidRPr="00DD2634" w14:paraId="04969E53" w14:textId="77777777" w:rsidTr="00BA5320">
        <w:trPr>
          <w:trHeight w:val="300"/>
        </w:trPr>
        <w:tc>
          <w:tcPr>
            <w:tcW w:w="3402" w:type="dxa"/>
            <w:tcBorders>
              <w:top w:val="nil"/>
              <w:left w:val="single" w:sz="4" w:space="0" w:color="auto"/>
              <w:bottom w:val="nil"/>
              <w:right w:val="single" w:sz="4" w:space="0" w:color="auto"/>
            </w:tcBorders>
            <w:shd w:val="clear" w:color="000000" w:fill="auto"/>
            <w:vAlign w:val="center"/>
            <w:hideMark/>
          </w:tcPr>
          <w:p w14:paraId="04969E4D" w14:textId="77777777" w:rsidR="00866FD9" w:rsidRPr="00DD2634" w:rsidRDefault="00866FD9" w:rsidP="00C31BC0">
            <w:pPr>
              <w:keepNext/>
              <w:spacing w:after="0" w:line="240" w:lineRule="auto"/>
              <w:rPr>
                <w:rFonts w:ascii="Calibri" w:eastAsia="Times New Roman" w:hAnsi="Calibri" w:cs="Calibri"/>
                <w:bCs/>
                <w:sz w:val="20"/>
                <w:szCs w:val="20"/>
                <w:u w:val="single"/>
                <w:lang w:eastAsia="en-AU"/>
              </w:rPr>
            </w:pPr>
            <w:r w:rsidRPr="00DD2634">
              <w:rPr>
                <w:rFonts w:ascii="Calibri" w:eastAsia="Times New Roman" w:hAnsi="Calibri" w:cs="Calibri"/>
                <w:bCs/>
                <w:sz w:val="20"/>
                <w:szCs w:val="20"/>
                <w:u w:val="single"/>
                <w:lang w:eastAsia="en-AU"/>
              </w:rPr>
              <w:t>National Partnerships</w:t>
            </w:r>
          </w:p>
        </w:tc>
        <w:tc>
          <w:tcPr>
            <w:tcW w:w="1029" w:type="dxa"/>
            <w:tcBorders>
              <w:top w:val="nil"/>
              <w:left w:val="single" w:sz="4" w:space="0" w:color="auto"/>
              <w:bottom w:val="nil"/>
              <w:right w:val="nil"/>
            </w:tcBorders>
            <w:shd w:val="clear" w:color="auto" w:fill="FFFFFF" w:themeFill="background1"/>
            <w:vAlign w:val="center"/>
            <w:hideMark/>
          </w:tcPr>
          <w:p w14:paraId="04969E4E" w14:textId="77777777" w:rsidR="00866FD9" w:rsidRPr="00DD2634" w:rsidRDefault="00866FD9" w:rsidP="00C31BC0">
            <w:pPr>
              <w:keepNext/>
              <w:spacing w:after="0" w:line="240" w:lineRule="auto"/>
              <w:jc w:val="right"/>
              <w:rPr>
                <w:rFonts w:ascii="Calibri" w:eastAsia="Times New Roman" w:hAnsi="Calibri" w:cs="Calibri"/>
                <w:sz w:val="20"/>
                <w:szCs w:val="20"/>
                <w:lang w:eastAsia="en-AU"/>
              </w:rPr>
            </w:pPr>
            <w:r w:rsidRPr="00DD2634">
              <w:rPr>
                <w:rFonts w:ascii="Calibri" w:eastAsia="Times New Roman" w:hAnsi="Calibri" w:cs="Calibri"/>
                <w:sz w:val="20"/>
                <w:szCs w:val="20"/>
                <w:lang w:eastAsia="en-AU"/>
              </w:rPr>
              <w:t> </w:t>
            </w:r>
          </w:p>
        </w:tc>
        <w:tc>
          <w:tcPr>
            <w:tcW w:w="1029" w:type="dxa"/>
            <w:tcBorders>
              <w:top w:val="nil"/>
              <w:left w:val="nil"/>
              <w:bottom w:val="nil"/>
              <w:right w:val="nil"/>
            </w:tcBorders>
            <w:shd w:val="clear" w:color="auto" w:fill="FFFFFF" w:themeFill="background1"/>
            <w:vAlign w:val="center"/>
            <w:hideMark/>
          </w:tcPr>
          <w:p w14:paraId="04969E4F" w14:textId="77777777" w:rsidR="00866FD9" w:rsidRPr="00DD2634" w:rsidRDefault="00866FD9" w:rsidP="00C31BC0">
            <w:pPr>
              <w:keepNext/>
              <w:spacing w:after="0" w:line="240" w:lineRule="auto"/>
              <w:jc w:val="right"/>
              <w:rPr>
                <w:rFonts w:ascii="Calibri" w:eastAsia="Times New Roman" w:hAnsi="Calibri" w:cs="Calibri"/>
                <w:sz w:val="20"/>
                <w:szCs w:val="20"/>
                <w:lang w:eastAsia="en-AU"/>
              </w:rPr>
            </w:pPr>
            <w:r w:rsidRPr="00DD2634">
              <w:rPr>
                <w:rFonts w:ascii="Calibri" w:eastAsia="Times New Roman" w:hAnsi="Calibri" w:cs="Calibri"/>
                <w:sz w:val="20"/>
                <w:szCs w:val="20"/>
                <w:lang w:eastAsia="en-AU"/>
              </w:rPr>
              <w:t> </w:t>
            </w:r>
          </w:p>
        </w:tc>
        <w:tc>
          <w:tcPr>
            <w:tcW w:w="1029" w:type="dxa"/>
            <w:tcBorders>
              <w:top w:val="nil"/>
              <w:left w:val="nil"/>
              <w:bottom w:val="nil"/>
              <w:right w:val="nil"/>
            </w:tcBorders>
            <w:shd w:val="clear" w:color="auto" w:fill="FFFFFF" w:themeFill="background1"/>
            <w:vAlign w:val="center"/>
            <w:hideMark/>
          </w:tcPr>
          <w:p w14:paraId="04969E50" w14:textId="77777777" w:rsidR="00866FD9" w:rsidRPr="00DD2634" w:rsidRDefault="00866FD9" w:rsidP="00C31BC0">
            <w:pPr>
              <w:keepNext/>
              <w:spacing w:after="0" w:line="240" w:lineRule="auto"/>
              <w:jc w:val="right"/>
              <w:rPr>
                <w:rFonts w:ascii="Calibri" w:eastAsia="Times New Roman" w:hAnsi="Calibri" w:cs="Calibri"/>
                <w:sz w:val="20"/>
                <w:szCs w:val="20"/>
                <w:lang w:eastAsia="en-AU"/>
              </w:rPr>
            </w:pPr>
            <w:r w:rsidRPr="00DD2634">
              <w:rPr>
                <w:rFonts w:ascii="Calibri" w:eastAsia="Times New Roman" w:hAnsi="Calibri" w:cs="Calibri"/>
                <w:sz w:val="20"/>
                <w:szCs w:val="20"/>
                <w:lang w:eastAsia="en-AU"/>
              </w:rPr>
              <w:t> </w:t>
            </w:r>
          </w:p>
        </w:tc>
        <w:tc>
          <w:tcPr>
            <w:tcW w:w="1029" w:type="dxa"/>
            <w:tcBorders>
              <w:top w:val="nil"/>
              <w:left w:val="nil"/>
              <w:bottom w:val="nil"/>
              <w:right w:val="nil"/>
            </w:tcBorders>
            <w:shd w:val="clear" w:color="auto" w:fill="FFFFFF" w:themeFill="background1"/>
            <w:vAlign w:val="center"/>
            <w:hideMark/>
          </w:tcPr>
          <w:p w14:paraId="04969E51" w14:textId="77777777" w:rsidR="00866FD9" w:rsidRPr="00DD2634" w:rsidRDefault="00866FD9" w:rsidP="00C31BC0">
            <w:pPr>
              <w:keepNext/>
              <w:spacing w:after="0" w:line="240" w:lineRule="auto"/>
              <w:jc w:val="right"/>
              <w:rPr>
                <w:rFonts w:ascii="Calibri" w:eastAsia="Times New Roman" w:hAnsi="Calibri" w:cs="Calibri"/>
                <w:sz w:val="20"/>
                <w:szCs w:val="20"/>
                <w:lang w:eastAsia="en-AU"/>
              </w:rPr>
            </w:pPr>
            <w:r w:rsidRPr="00DD2634">
              <w:rPr>
                <w:rFonts w:ascii="Calibri" w:eastAsia="Times New Roman" w:hAnsi="Calibri" w:cs="Calibri"/>
                <w:sz w:val="20"/>
                <w:szCs w:val="20"/>
                <w:lang w:eastAsia="en-AU"/>
              </w:rPr>
              <w:t> </w:t>
            </w:r>
          </w:p>
        </w:tc>
        <w:tc>
          <w:tcPr>
            <w:tcW w:w="1131" w:type="dxa"/>
            <w:tcBorders>
              <w:top w:val="nil"/>
              <w:left w:val="single" w:sz="4" w:space="0" w:color="auto"/>
              <w:bottom w:val="nil"/>
              <w:right w:val="single" w:sz="4" w:space="0" w:color="auto"/>
            </w:tcBorders>
            <w:shd w:val="clear" w:color="auto" w:fill="D9D9D9" w:themeFill="background1" w:themeFillShade="D9"/>
            <w:vAlign w:val="center"/>
            <w:hideMark/>
          </w:tcPr>
          <w:p w14:paraId="04969E52" w14:textId="77777777" w:rsidR="00866FD9" w:rsidRPr="00DD2634" w:rsidRDefault="00866FD9" w:rsidP="00C31BC0">
            <w:pPr>
              <w:keepNext/>
              <w:spacing w:after="0" w:line="240" w:lineRule="auto"/>
              <w:jc w:val="right"/>
              <w:rPr>
                <w:rFonts w:ascii="Calibri" w:eastAsia="Times New Roman" w:hAnsi="Calibri" w:cs="Calibri"/>
                <w:sz w:val="20"/>
                <w:szCs w:val="20"/>
                <w:lang w:eastAsia="en-AU"/>
              </w:rPr>
            </w:pPr>
            <w:r w:rsidRPr="00DD2634">
              <w:rPr>
                <w:rFonts w:ascii="Calibri" w:eastAsia="Times New Roman" w:hAnsi="Calibri" w:cs="Calibri"/>
                <w:sz w:val="20"/>
                <w:szCs w:val="20"/>
                <w:lang w:eastAsia="en-AU"/>
              </w:rPr>
              <w:t> </w:t>
            </w:r>
          </w:p>
        </w:tc>
      </w:tr>
      <w:tr w:rsidR="00866FD9" w:rsidRPr="00DD2634" w14:paraId="04969E5A" w14:textId="77777777" w:rsidTr="00BA5320">
        <w:trPr>
          <w:trHeight w:val="255"/>
        </w:trPr>
        <w:tc>
          <w:tcPr>
            <w:tcW w:w="3402" w:type="dxa"/>
            <w:tcBorders>
              <w:top w:val="nil"/>
              <w:left w:val="single" w:sz="4" w:space="0" w:color="auto"/>
              <w:bottom w:val="nil"/>
              <w:right w:val="single" w:sz="4" w:space="0" w:color="auto"/>
            </w:tcBorders>
            <w:shd w:val="clear" w:color="000000" w:fill="FFFFFF"/>
            <w:vAlign w:val="center"/>
            <w:hideMark/>
          </w:tcPr>
          <w:p w14:paraId="04969E54" w14:textId="77777777" w:rsidR="00866FD9" w:rsidRPr="00DD2634" w:rsidRDefault="00866FD9" w:rsidP="00C31BC0">
            <w:pPr>
              <w:keepNext/>
              <w:spacing w:after="0" w:line="240" w:lineRule="auto"/>
              <w:rPr>
                <w:rFonts w:ascii="Calibri" w:eastAsia="Times New Roman" w:hAnsi="Calibri" w:cs="Calibri"/>
                <w:sz w:val="20"/>
                <w:szCs w:val="20"/>
                <w:lang w:eastAsia="en-AU"/>
              </w:rPr>
            </w:pPr>
            <w:r w:rsidRPr="00DD2634">
              <w:rPr>
                <w:rFonts w:ascii="Calibri" w:eastAsia="Times New Roman" w:hAnsi="Calibri" w:cs="Calibri"/>
                <w:sz w:val="20"/>
                <w:szCs w:val="20"/>
                <w:lang w:eastAsia="en-AU"/>
              </w:rPr>
              <w:t>Universal Access</w:t>
            </w:r>
          </w:p>
        </w:tc>
        <w:tc>
          <w:tcPr>
            <w:tcW w:w="1029" w:type="dxa"/>
            <w:tcBorders>
              <w:top w:val="nil"/>
              <w:left w:val="single" w:sz="4" w:space="0" w:color="auto"/>
              <w:bottom w:val="nil"/>
              <w:right w:val="nil"/>
            </w:tcBorders>
            <w:shd w:val="clear" w:color="auto" w:fill="FFFFFF" w:themeFill="background1"/>
            <w:vAlign w:val="center"/>
            <w:hideMark/>
          </w:tcPr>
          <w:p w14:paraId="04969E55" w14:textId="77777777" w:rsidR="00866FD9" w:rsidRPr="00DD2634" w:rsidRDefault="001A168A" w:rsidP="00C31BC0">
            <w:pPr>
              <w:keepNext/>
              <w:spacing w:after="0" w:line="240" w:lineRule="auto"/>
              <w:jc w:val="right"/>
              <w:rPr>
                <w:rFonts w:ascii="Calibri" w:eastAsia="Times New Roman" w:hAnsi="Calibri" w:cs="Calibri"/>
                <w:sz w:val="20"/>
                <w:szCs w:val="20"/>
                <w:lang w:eastAsia="en-AU"/>
              </w:rPr>
            </w:pPr>
            <w:r w:rsidRPr="00DD2634">
              <w:rPr>
                <w:rFonts w:ascii="Calibri" w:eastAsia="Times New Roman" w:hAnsi="Calibri" w:cs="Calibri"/>
                <w:sz w:val="20"/>
                <w:szCs w:val="20"/>
                <w:lang w:eastAsia="en-AU"/>
              </w:rPr>
              <w:t xml:space="preserve"> </w:t>
            </w:r>
            <w:r w:rsidR="00866FD9" w:rsidRPr="00DD2634">
              <w:rPr>
                <w:rFonts w:ascii="Calibri" w:eastAsia="Times New Roman" w:hAnsi="Calibri" w:cs="Calibri"/>
                <w:sz w:val="20"/>
                <w:szCs w:val="20"/>
                <w:lang w:eastAsia="en-AU"/>
              </w:rPr>
              <w:t xml:space="preserve"> 407,000 </w:t>
            </w:r>
          </w:p>
        </w:tc>
        <w:tc>
          <w:tcPr>
            <w:tcW w:w="1029" w:type="dxa"/>
            <w:tcBorders>
              <w:top w:val="nil"/>
              <w:left w:val="nil"/>
              <w:bottom w:val="nil"/>
              <w:right w:val="nil"/>
            </w:tcBorders>
            <w:shd w:val="clear" w:color="auto" w:fill="FFFFFF" w:themeFill="background1"/>
            <w:vAlign w:val="center"/>
            <w:hideMark/>
          </w:tcPr>
          <w:p w14:paraId="04969E56" w14:textId="77777777" w:rsidR="00866FD9" w:rsidRPr="00DD2634" w:rsidRDefault="001A168A" w:rsidP="00C31BC0">
            <w:pPr>
              <w:keepNext/>
              <w:spacing w:after="0" w:line="240" w:lineRule="auto"/>
              <w:jc w:val="right"/>
              <w:rPr>
                <w:rFonts w:ascii="Calibri" w:eastAsia="Times New Roman" w:hAnsi="Calibri" w:cs="Calibri"/>
                <w:sz w:val="20"/>
                <w:szCs w:val="20"/>
                <w:lang w:eastAsia="en-AU"/>
              </w:rPr>
            </w:pPr>
            <w:r w:rsidRPr="00DD2634">
              <w:rPr>
                <w:rFonts w:ascii="Calibri" w:eastAsia="Times New Roman" w:hAnsi="Calibri" w:cs="Calibri"/>
                <w:sz w:val="20"/>
                <w:szCs w:val="20"/>
                <w:lang w:eastAsia="en-AU"/>
              </w:rPr>
              <w:t xml:space="preserve"> </w:t>
            </w:r>
            <w:r w:rsidR="00866FD9" w:rsidRPr="00DD2634">
              <w:rPr>
                <w:rFonts w:ascii="Calibri" w:eastAsia="Times New Roman" w:hAnsi="Calibri" w:cs="Calibri"/>
                <w:sz w:val="20"/>
                <w:szCs w:val="20"/>
                <w:lang w:eastAsia="en-AU"/>
              </w:rPr>
              <w:t xml:space="preserve"> 234,900 </w:t>
            </w:r>
          </w:p>
        </w:tc>
        <w:tc>
          <w:tcPr>
            <w:tcW w:w="1029" w:type="dxa"/>
            <w:tcBorders>
              <w:top w:val="nil"/>
              <w:left w:val="nil"/>
              <w:bottom w:val="nil"/>
              <w:right w:val="nil"/>
            </w:tcBorders>
            <w:shd w:val="clear" w:color="auto" w:fill="FFFFFF" w:themeFill="background1"/>
            <w:vAlign w:val="center"/>
            <w:hideMark/>
          </w:tcPr>
          <w:p w14:paraId="04969E57" w14:textId="77777777" w:rsidR="00866FD9" w:rsidRPr="00DD2634" w:rsidRDefault="001A168A" w:rsidP="00C31BC0">
            <w:pPr>
              <w:keepNext/>
              <w:spacing w:after="0" w:line="240" w:lineRule="auto"/>
              <w:jc w:val="right"/>
              <w:rPr>
                <w:rFonts w:ascii="Calibri" w:eastAsia="Times New Roman" w:hAnsi="Calibri" w:cs="Calibri"/>
                <w:sz w:val="20"/>
                <w:szCs w:val="20"/>
                <w:lang w:eastAsia="en-AU"/>
              </w:rPr>
            </w:pPr>
            <w:r w:rsidRPr="00DD2634">
              <w:rPr>
                <w:rFonts w:ascii="Calibri" w:eastAsia="Times New Roman" w:hAnsi="Calibri" w:cs="Calibri"/>
                <w:sz w:val="20"/>
                <w:szCs w:val="20"/>
                <w:lang w:eastAsia="en-AU"/>
              </w:rPr>
              <w:t xml:space="preserve">    </w:t>
            </w:r>
            <w:r w:rsidR="00866FD9" w:rsidRPr="00DD2634">
              <w:rPr>
                <w:rFonts w:ascii="Calibri" w:eastAsia="Times New Roman" w:hAnsi="Calibri" w:cs="Calibri"/>
                <w:sz w:val="20"/>
                <w:szCs w:val="20"/>
                <w:lang w:eastAsia="en-AU"/>
              </w:rPr>
              <w:t>-</w:t>
            </w:r>
            <w:r w:rsidRPr="00DD2634">
              <w:rPr>
                <w:rFonts w:ascii="Calibri" w:eastAsia="Times New Roman" w:hAnsi="Calibri" w:cs="Calibri"/>
                <w:sz w:val="20"/>
                <w:szCs w:val="20"/>
                <w:lang w:eastAsia="en-AU"/>
              </w:rPr>
              <w:t xml:space="preserve"> </w:t>
            </w:r>
          </w:p>
        </w:tc>
        <w:tc>
          <w:tcPr>
            <w:tcW w:w="1029" w:type="dxa"/>
            <w:tcBorders>
              <w:top w:val="nil"/>
              <w:left w:val="nil"/>
              <w:bottom w:val="nil"/>
              <w:right w:val="nil"/>
            </w:tcBorders>
            <w:shd w:val="clear" w:color="auto" w:fill="FFFFFF" w:themeFill="background1"/>
            <w:vAlign w:val="center"/>
            <w:hideMark/>
          </w:tcPr>
          <w:p w14:paraId="04969E58" w14:textId="77777777" w:rsidR="00866FD9" w:rsidRPr="00DD2634" w:rsidRDefault="001A168A" w:rsidP="00C31BC0">
            <w:pPr>
              <w:keepNext/>
              <w:spacing w:after="0" w:line="240" w:lineRule="auto"/>
              <w:jc w:val="right"/>
              <w:rPr>
                <w:rFonts w:ascii="Calibri" w:eastAsia="Times New Roman" w:hAnsi="Calibri" w:cs="Calibri"/>
                <w:sz w:val="20"/>
                <w:szCs w:val="20"/>
                <w:lang w:eastAsia="en-AU"/>
              </w:rPr>
            </w:pPr>
            <w:r w:rsidRPr="00DD2634">
              <w:rPr>
                <w:rFonts w:ascii="Calibri" w:eastAsia="Times New Roman" w:hAnsi="Calibri" w:cs="Calibri"/>
                <w:sz w:val="20"/>
                <w:szCs w:val="20"/>
                <w:lang w:eastAsia="en-AU"/>
              </w:rPr>
              <w:t xml:space="preserve">     </w:t>
            </w:r>
            <w:r w:rsidR="00866FD9" w:rsidRPr="00DD2634">
              <w:rPr>
                <w:rFonts w:ascii="Calibri" w:eastAsia="Times New Roman" w:hAnsi="Calibri" w:cs="Calibri"/>
                <w:sz w:val="20"/>
                <w:szCs w:val="20"/>
                <w:lang w:eastAsia="en-AU"/>
              </w:rPr>
              <w:t xml:space="preserve"> -</w:t>
            </w:r>
            <w:r w:rsidRPr="00DD2634">
              <w:rPr>
                <w:rFonts w:ascii="Calibri" w:eastAsia="Times New Roman" w:hAnsi="Calibri" w:cs="Calibri"/>
                <w:sz w:val="20"/>
                <w:szCs w:val="20"/>
                <w:lang w:eastAsia="en-AU"/>
              </w:rPr>
              <w:t xml:space="preserve"> </w:t>
            </w:r>
            <w:r w:rsidR="00866FD9" w:rsidRPr="00DD2634">
              <w:rPr>
                <w:rFonts w:ascii="Calibri" w:eastAsia="Times New Roman" w:hAnsi="Calibri" w:cs="Calibri"/>
                <w:sz w:val="20"/>
                <w:szCs w:val="20"/>
                <w:lang w:eastAsia="en-AU"/>
              </w:rPr>
              <w:t xml:space="preserve"> </w:t>
            </w:r>
          </w:p>
        </w:tc>
        <w:tc>
          <w:tcPr>
            <w:tcW w:w="1131" w:type="dxa"/>
            <w:tcBorders>
              <w:top w:val="nil"/>
              <w:left w:val="single" w:sz="4" w:space="0" w:color="auto"/>
              <w:bottom w:val="nil"/>
              <w:right w:val="single" w:sz="4" w:space="0" w:color="auto"/>
            </w:tcBorders>
            <w:shd w:val="clear" w:color="auto" w:fill="D9D9D9" w:themeFill="background1" w:themeFillShade="D9"/>
            <w:vAlign w:val="center"/>
            <w:hideMark/>
          </w:tcPr>
          <w:p w14:paraId="04969E59" w14:textId="77777777" w:rsidR="00866FD9" w:rsidRPr="00DD2634" w:rsidRDefault="001A168A" w:rsidP="00C31BC0">
            <w:pPr>
              <w:keepNext/>
              <w:spacing w:after="0" w:line="240" w:lineRule="auto"/>
              <w:jc w:val="right"/>
              <w:rPr>
                <w:rFonts w:ascii="Calibri" w:eastAsia="Times New Roman" w:hAnsi="Calibri" w:cs="Calibri"/>
                <w:sz w:val="20"/>
                <w:szCs w:val="20"/>
                <w:lang w:eastAsia="en-AU"/>
              </w:rPr>
            </w:pPr>
            <w:r w:rsidRPr="00DD2634">
              <w:rPr>
                <w:rFonts w:ascii="Calibri" w:eastAsia="Times New Roman" w:hAnsi="Calibri" w:cs="Calibri"/>
                <w:sz w:val="20"/>
                <w:szCs w:val="20"/>
                <w:lang w:eastAsia="en-AU"/>
              </w:rPr>
              <w:t xml:space="preserve">   </w:t>
            </w:r>
            <w:r w:rsidR="00866FD9" w:rsidRPr="00DD2634">
              <w:rPr>
                <w:rFonts w:ascii="Calibri" w:eastAsia="Times New Roman" w:hAnsi="Calibri" w:cs="Calibri"/>
                <w:sz w:val="20"/>
                <w:szCs w:val="20"/>
                <w:lang w:eastAsia="en-AU"/>
              </w:rPr>
              <w:t xml:space="preserve"> 641,900 </w:t>
            </w:r>
          </w:p>
        </w:tc>
      </w:tr>
      <w:tr w:rsidR="00866FD9" w:rsidRPr="00DD2634" w14:paraId="04969E61" w14:textId="77777777" w:rsidTr="00BA5320">
        <w:trPr>
          <w:trHeight w:val="255"/>
        </w:trPr>
        <w:tc>
          <w:tcPr>
            <w:tcW w:w="3402" w:type="dxa"/>
            <w:tcBorders>
              <w:top w:val="nil"/>
              <w:left w:val="single" w:sz="4" w:space="0" w:color="auto"/>
              <w:bottom w:val="nil"/>
              <w:right w:val="single" w:sz="4" w:space="0" w:color="auto"/>
            </w:tcBorders>
            <w:shd w:val="clear" w:color="000000" w:fill="FFFFFF"/>
            <w:vAlign w:val="center"/>
            <w:hideMark/>
          </w:tcPr>
          <w:p w14:paraId="04969E5B" w14:textId="77777777" w:rsidR="00866FD9" w:rsidRPr="00DD2634" w:rsidRDefault="00866FD9" w:rsidP="00C31BC0">
            <w:pPr>
              <w:keepNext/>
              <w:spacing w:after="0" w:line="240" w:lineRule="auto"/>
              <w:rPr>
                <w:rFonts w:ascii="Calibri" w:eastAsia="Times New Roman" w:hAnsi="Calibri" w:cs="Calibri"/>
                <w:sz w:val="20"/>
                <w:szCs w:val="20"/>
                <w:lang w:eastAsia="en-AU"/>
              </w:rPr>
            </w:pPr>
            <w:r w:rsidRPr="00DD2634">
              <w:rPr>
                <w:rFonts w:ascii="Calibri" w:eastAsia="Times New Roman" w:hAnsi="Calibri" w:cs="Calibri"/>
                <w:sz w:val="20"/>
                <w:szCs w:val="20"/>
                <w:lang w:eastAsia="en-AU"/>
              </w:rPr>
              <w:t>Indigenous Early Childhood Development Children and Family Centres</w:t>
            </w:r>
          </w:p>
        </w:tc>
        <w:tc>
          <w:tcPr>
            <w:tcW w:w="1029" w:type="dxa"/>
            <w:tcBorders>
              <w:top w:val="nil"/>
              <w:left w:val="single" w:sz="4" w:space="0" w:color="auto"/>
              <w:bottom w:val="nil"/>
              <w:right w:val="nil"/>
            </w:tcBorders>
            <w:shd w:val="clear" w:color="auto" w:fill="FFFFFF" w:themeFill="background1"/>
            <w:vAlign w:val="center"/>
            <w:hideMark/>
          </w:tcPr>
          <w:p w14:paraId="04969E5C" w14:textId="77777777" w:rsidR="00866FD9" w:rsidRPr="00DD2634" w:rsidRDefault="001A168A" w:rsidP="00C31BC0">
            <w:pPr>
              <w:keepNext/>
              <w:spacing w:after="0" w:line="240" w:lineRule="auto"/>
              <w:jc w:val="right"/>
              <w:rPr>
                <w:rFonts w:ascii="Calibri" w:eastAsia="Times New Roman" w:hAnsi="Calibri" w:cs="Calibri"/>
                <w:sz w:val="20"/>
                <w:szCs w:val="20"/>
                <w:lang w:eastAsia="en-AU"/>
              </w:rPr>
            </w:pPr>
            <w:r w:rsidRPr="00DD2634">
              <w:rPr>
                <w:rFonts w:ascii="Calibri" w:eastAsia="Times New Roman" w:hAnsi="Calibri" w:cs="Calibri"/>
                <w:sz w:val="20"/>
                <w:szCs w:val="20"/>
                <w:lang w:eastAsia="en-AU"/>
              </w:rPr>
              <w:t xml:space="preserve">   </w:t>
            </w:r>
            <w:r w:rsidR="00866FD9" w:rsidRPr="00DD2634">
              <w:rPr>
                <w:rFonts w:ascii="Calibri" w:eastAsia="Times New Roman" w:hAnsi="Calibri" w:cs="Calibri"/>
                <w:sz w:val="20"/>
                <w:szCs w:val="20"/>
                <w:lang w:eastAsia="en-AU"/>
              </w:rPr>
              <w:t xml:space="preserve"> 78,024 </w:t>
            </w:r>
          </w:p>
        </w:tc>
        <w:tc>
          <w:tcPr>
            <w:tcW w:w="1029" w:type="dxa"/>
            <w:tcBorders>
              <w:top w:val="nil"/>
              <w:left w:val="nil"/>
              <w:bottom w:val="nil"/>
              <w:right w:val="nil"/>
            </w:tcBorders>
            <w:shd w:val="clear" w:color="auto" w:fill="FFFFFF" w:themeFill="background1"/>
            <w:vAlign w:val="center"/>
            <w:hideMark/>
          </w:tcPr>
          <w:p w14:paraId="04969E5D" w14:textId="77777777" w:rsidR="00866FD9" w:rsidRPr="00DD2634" w:rsidRDefault="001A168A" w:rsidP="00C31BC0">
            <w:pPr>
              <w:keepNext/>
              <w:spacing w:after="0" w:line="240" w:lineRule="auto"/>
              <w:jc w:val="right"/>
              <w:rPr>
                <w:rFonts w:ascii="Calibri" w:eastAsia="Times New Roman" w:hAnsi="Calibri" w:cs="Calibri"/>
                <w:sz w:val="20"/>
                <w:szCs w:val="20"/>
                <w:lang w:eastAsia="en-AU"/>
              </w:rPr>
            </w:pPr>
            <w:r w:rsidRPr="00DD2634">
              <w:rPr>
                <w:rFonts w:ascii="Calibri" w:eastAsia="Times New Roman" w:hAnsi="Calibri" w:cs="Calibri"/>
                <w:sz w:val="20"/>
                <w:szCs w:val="20"/>
                <w:lang w:eastAsia="en-AU"/>
              </w:rPr>
              <w:t xml:space="preserve">        </w:t>
            </w:r>
            <w:r w:rsidR="00866FD9" w:rsidRPr="00DD2634">
              <w:rPr>
                <w:rFonts w:ascii="Calibri" w:eastAsia="Times New Roman" w:hAnsi="Calibri" w:cs="Calibri"/>
                <w:sz w:val="20"/>
                <w:szCs w:val="20"/>
                <w:lang w:eastAsia="en-AU"/>
              </w:rPr>
              <w:t>-</w:t>
            </w:r>
            <w:r w:rsidRPr="00DD2634">
              <w:rPr>
                <w:rFonts w:ascii="Calibri" w:eastAsia="Times New Roman" w:hAnsi="Calibri" w:cs="Calibri"/>
                <w:sz w:val="20"/>
                <w:szCs w:val="20"/>
                <w:lang w:eastAsia="en-AU"/>
              </w:rPr>
              <w:t xml:space="preserve"> </w:t>
            </w:r>
            <w:r w:rsidR="00866FD9" w:rsidRPr="00DD2634">
              <w:rPr>
                <w:rFonts w:ascii="Calibri" w:eastAsia="Times New Roman" w:hAnsi="Calibri" w:cs="Calibri"/>
                <w:sz w:val="20"/>
                <w:szCs w:val="20"/>
                <w:lang w:eastAsia="en-AU"/>
              </w:rPr>
              <w:t xml:space="preserve"> </w:t>
            </w:r>
          </w:p>
        </w:tc>
        <w:tc>
          <w:tcPr>
            <w:tcW w:w="1029" w:type="dxa"/>
            <w:tcBorders>
              <w:top w:val="nil"/>
              <w:left w:val="nil"/>
              <w:bottom w:val="nil"/>
              <w:right w:val="nil"/>
            </w:tcBorders>
            <w:shd w:val="clear" w:color="auto" w:fill="FFFFFF" w:themeFill="background1"/>
            <w:vAlign w:val="center"/>
            <w:hideMark/>
          </w:tcPr>
          <w:p w14:paraId="04969E5E" w14:textId="77777777" w:rsidR="00866FD9" w:rsidRPr="00DD2634" w:rsidRDefault="001A168A" w:rsidP="00C31BC0">
            <w:pPr>
              <w:keepNext/>
              <w:spacing w:after="0" w:line="240" w:lineRule="auto"/>
              <w:jc w:val="right"/>
              <w:rPr>
                <w:rFonts w:ascii="Calibri" w:eastAsia="Times New Roman" w:hAnsi="Calibri" w:cs="Calibri"/>
                <w:sz w:val="20"/>
                <w:szCs w:val="20"/>
                <w:lang w:eastAsia="en-AU"/>
              </w:rPr>
            </w:pPr>
            <w:r w:rsidRPr="00DD2634">
              <w:rPr>
                <w:rFonts w:ascii="Calibri" w:eastAsia="Times New Roman" w:hAnsi="Calibri" w:cs="Calibri"/>
                <w:sz w:val="20"/>
                <w:szCs w:val="20"/>
                <w:lang w:eastAsia="en-AU"/>
              </w:rPr>
              <w:t xml:space="preserve">        </w:t>
            </w:r>
            <w:r w:rsidR="00866FD9" w:rsidRPr="00DD2634">
              <w:rPr>
                <w:rFonts w:ascii="Calibri" w:eastAsia="Times New Roman" w:hAnsi="Calibri" w:cs="Calibri"/>
                <w:sz w:val="20"/>
                <w:szCs w:val="20"/>
                <w:lang w:eastAsia="en-AU"/>
              </w:rPr>
              <w:t>-</w:t>
            </w:r>
            <w:r w:rsidRPr="00DD2634">
              <w:rPr>
                <w:rFonts w:ascii="Calibri" w:eastAsia="Times New Roman" w:hAnsi="Calibri" w:cs="Calibri"/>
                <w:sz w:val="20"/>
                <w:szCs w:val="20"/>
                <w:lang w:eastAsia="en-AU"/>
              </w:rPr>
              <w:t xml:space="preserve"> </w:t>
            </w:r>
            <w:r w:rsidR="00866FD9" w:rsidRPr="00DD2634">
              <w:rPr>
                <w:rFonts w:ascii="Calibri" w:eastAsia="Times New Roman" w:hAnsi="Calibri" w:cs="Calibri"/>
                <w:sz w:val="20"/>
                <w:szCs w:val="20"/>
                <w:lang w:eastAsia="en-AU"/>
              </w:rPr>
              <w:t xml:space="preserve"> </w:t>
            </w:r>
          </w:p>
        </w:tc>
        <w:tc>
          <w:tcPr>
            <w:tcW w:w="1029" w:type="dxa"/>
            <w:tcBorders>
              <w:top w:val="nil"/>
              <w:left w:val="nil"/>
              <w:bottom w:val="nil"/>
              <w:right w:val="nil"/>
            </w:tcBorders>
            <w:shd w:val="clear" w:color="auto" w:fill="FFFFFF" w:themeFill="background1"/>
            <w:vAlign w:val="center"/>
            <w:hideMark/>
          </w:tcPr>
          <w:p w14:paraId="04969E5F" w14:textId="77777777" w:rsidR="00866FD9" w:rsidRPr="00DD2634" w:rsidRDefault="001A168A" w:rsidP="00C31BC0">
            <w:pPr>
              <w:keepNext/>
              <w:spacing w:after="0" w:line="240" w:lineRule="auto"/>
              <w:jc w:val="right"/>
              <w:rPr>
                <w:rFonts w:ascii="Calibri" w:eastAsia="Times New Roman" w:hAnsi="Calibri" w:cs="Calibri"/>
                <w:sz w:val="20"/>
                <w:szCs w:val="20"/>
                <w:lang w:eastAsia="en-AU"/>
              </w:rPr>
            </w:pPr>
            <w:r w:rsidRPr="00DD2634">
              <w:rPr>
                <w:rFonts w:ascii="Calibri" w:eastAsia="Times New Roman" w:hAnsi="Calibri" w:cs="Calibri"/>
                <w:sz w:val="20"/>
                <w:szCs w:val="20"/>
                <w:lang w:eastAsia="en-AU"/>
              </w:rPr>
              <w:t xml:space="preserve">        </w:t>
            </w:r>
            <w:r w:rsidR="00866FD9" w:rsidRPr="00DD2634">
              <w:rPr>
                <w:rFonts w:ascii="Calibri" w:eastAsia="Times New Roman" w:hAnsi="Calibri" w:cs="Calibri"/>
                <w:sz w:val="20"/>
                <w:szCs w:val="20"/>
                <w:lang w:eastAsia="en-AU"/>
              </w:rPr>
              <w:t>-</w:t>
            </w:r>
            <w:r w:rsidRPr="00DD2634">
              <w:rPr>
                <w:rFonts w:ascii="Calibri" w:eastAsia="Times New Roman" w:hAnsi="Calibri" w:cs="Calibri"/>
                <w:sz w:val="20"/>
                <w:szCs w:val="20"/>
                <w:lang w:eastAsia="en-AU"/>
              </w:rPr>
              <w:t xml:space="preserve"> </w:t>
            </w:r>
            <w:r w:rsidR="00866FD9" w:rsidRPr="00DD2634">
              <w:rPr>
                <w:rFonts w:ascii="Calibri" w:eastAsia="Times New Roman" w:hAnsi="Calibri" w:cs="Calibri"/>
                <w:sz w:val="20"/>
                <w:szCs w:val="20"/>
                <w:lang w:eastAsia="en-AU"/>
              </w:rPr>
              <w:t xml:space="preserve"> </w:t>
            </w:r>
          </w:p>
        </w:tc>
        <w:tc>
          <w:tcPr>
            <w:tcW w:w="1131" w:type="dxa"/>
            <w:tcBorders>
              <w:top w:val="nil"/>
              <w:left w:val="single" w:sz="4" w:space="0" w:color="auto"/>
              <w:bottom w:val="nil"/>
              <w:right w:val="single" w:sz="4" w:space="0" w:color="auto"/>
            </w:tcBorders>
            <w:shd w:val="clear" w:color="auto" w:fill="D9D9D9" w:themeFill="background1" w:themeFillShade="D9"/>
            <w:vAlign w:val="center"/>
            <w:hideMark/>
          </w:tcPr>
          <w:p w14:paraId="04969E60" w14:textId="77777777" w:rsidR="00866FD9" w:rsidRPr="00DD2634" w:rsidRDefault="001A168A" w:rsidP="00C31BC0">
            <w:pPr>
              <w:keepNext/>
              <w:spacing w:after="0" w:line="240" w:lineRule="auto"/>
              <w:jc w:val="right"/>
              <w:rPr>
                <w:rFonts w:ascii="Calibri" w:eastAsia="Times New Roman" w:hAnsi="Calibri" w:cs="Calibri"/>
                <w:sz w:val="20"/>
                <w:szCs w:val="20"/>
                <w:lang w:eastAsia="en-AU"/>
              </w:rPr>
            </w:pPr>
            <w:r w:rsidRPr="00DD2634">
              <w:rPr>
                <w:rFonts w:ascii="Calibri" w:eastAsia="Times New Roman" w:hAnsi="Calibri" w:cs="Calibri"/>
                <w:sz w:val="20"/>
                <w:szCs w:val="20"/>
                <w:lang w:eastAsia="en-AU"/>
              </w:rPr>
              <w:t xml:space="preserve">    </w:t>
            </w:r>
            <w:r w:rsidR="00866FD9" w:rsidRPr="00DD2634">
              <w:rPr>
                <w:rFonts w:ascii="Calibri" w:eastAsia="Times New Roman" w:hAnsi="Calibri" w:cs="Calibri"/>
                <w:sz w:val="20"/>
                <w:szCs w:val="20"/>
                <w:lang w:eastAsia="en-AU"/>
              </w:rPr>
              <w:t xml:space="preserve"> 78,024 </w:t>
            </w:r>
          </w:p>
        </w:tc>
      </w:tr>
      <w:tr w:rsidR="00866FD9" w:rsidRPr="00DD2634" w14:paraId="04969E68" w14:textId="77777777" w:rsidTr="00BA5320">
        <w:trPr>
          <w:trHeight w:val="255"/>
        </w:trPr>
        <w:tc>
          <w:tcPr>
            <w:tcW w:w="3402" w:type="dxa"/>
            <w:tcBorders>
              <w:top w:val="nil"/>
              <w:left w:val="single" w:sz="4" w:space="0" w:color="auto"/>
              <w:bottom w:val="nil"/>
              <w:right w:val="single" w:sz="4" w:space="0" w:color="auto"/>
            </w:tcBorders>
            <w:shd w:val="clear" w:color="000000" w:fill="FFFFFF"/>
            <w:vAlign w:val="center"/>
            <w:hideMark/>
          </w:tcPr>
          <w:p w14:paraId="04969E62" w14:textId="77777777" w:rsidR="00866FD9" w:rsidRPr="00DD2634" w:rsidRDefault="00866FD9" w:rsidP="00C31BC0">
            <w:pPr>
              <w:keepNext/>
              <w:spacing w:after="0" w:line="240" w:lineRule="auto"/>
              <w:rPr>
                <w:rFonts w:ascii="Calibri" w:eastAsia="Times New Roman" w:hAnsi="Calibri" w:cs="Calibri"/>
                <w:sz w:val="20"/>
                <w:szCs w:val="20"/>
                <w:lang w:eastAsia="en-AU"/>
              </w:rPr>
            </w:pPr>
            <w:r w:rsidRPr="00DD2634">
              <w:rPr>
                <w:rFonts w:ascii="Calibri" w:eastAsia="Times New Roman" w:hAnsi="Calibri" w:cs="Calibri"/>
                <w:sz w:val="20"/>
                <w:szCs w:val="20"/>
                <w:lang w:eastAsia="en-AU"/>
              </w:rPr>
              <w:t>TAFE Fee Waivers for Child Care Qualifications</w:t>
            </w:r>
          </w:p>
        </w:tc>
        <w:tc>
          <w:tcPr>
            <w:tcW w:w="1029" w:type="dxa"/>
            <w:tcBorders>
              <w:top w:val="nil"/>
              <w:left w:val="single" w:sz="4" w:space="0" w:color="auto"/>
              <w:bottom w:val="nil"/>
              <w:right w:val="nil"/>
            </w:tcBorders>
            <w:shd w:val="clear" w:color="auto" w:fill="FFFFFF" w:themeFill="background1"/>
            <w:vAlign w:val="center"/>
            <w:hideMark/>
          </w:tcPr>
          <w:p w14:paraId="04969E63" w14:textId="77777777" w:rsidR="00866FD9" w:rsidRPr="00DD2634" w:rsidRDefault="001A168A" w:rsidP="00C31BC0">
            <w:pPr>
              <w:keepNext/>
              <w:spacing w:after="0" w:line="240" w:lineRule="auto"/>
              <w:jc w:val="right"/>
              <w:rPr>
                <w:rFonts w:ascii="Calibri" w:eastAsia="Times New Roman" w:hAnsi="Calibri" w:cs="Calibri"/>
                <w:sz w:val="20"/>
                <w:szCs w:val="20"/>
                <w:lang w:eastAsia="en-AU"/>
              </w:rPr>
            </w:pPr>
            <w:r w:rsidRPr="00DD2634">
              <w:rPr>
                <w:rFonts w:ascii="Calibri" w:eastAsia="Times New Roman" w:hAnsi="Calibri" w:cs="Calibri"/>
                <w:sz w:val="20"/>
                <w:szCs w:val="20"/>
                <w:lang w:eastAsia="en-AU"/>
              </w:rPr>
              <w:t xml:space="preserve">   </w:t>
            </w:r>
            <w:r w:rsidR="00866FD9" w:rsidRPr="00DD2634">
              <w:rPr>
                <w:rFonts w:ascii="Calibri" w:eastAsia="Times New Roman" w:hAnsi="Calibri" w:cs="Calibri"/>
                <w:sz w:val="20"/>
                <w:szCs w:val="20"/>
                <w:lang w:eastAsia="en-AU"/>
              </w:rPr>
              <w:t xml:space="preserve"> 17,205 </w:t>
            </w:r>
          </w:p>
        </w:tc>
        <w:tc>
          <w:tcPr>
            <w:tcW w:w="1029" w:type="dxa"/>
            <w:tcBorders>
              <w:top w:val="nil"/>
              <w:left w:val="nil"/>
              <w:bottom w:val="nil"/>
              <w:right w:val="nil"/>
            </w:tcBorders>
            <w:shd w:val="clear" w:color="auto" w:fill="FFFFFF" w:themeFill="background1"/>
            <w:vAlign w:val="center"/>
            <w:hideMark/>
          </w:tcPr>
          <w:p w14:paraId="04969E64" w14:textId="77777777" w:rsidR="00866FD9" w:rsidRPr="00DD2634" w:rsidRDefault="001A168A" w:rsidP="00C31BC0">
            <w:pPr>
              <w:keepNext/>
              <w:spacing w:after="0" w:line="240" w:lineRule="auto"/>
              <w:jc w:val="right"/>
              <w:rPr>
                <w:rFonts w:ascii="Calibri" w:eastAsia="Times New Roman" w:hAnsi="Calibri" w:cs="Calibri"/>
                <w:sz w:val="20"/>
                <w:szCs w:val="20"/>
                <w:lang w:eastAsia="en-AU"/>
              </w:rPr>
            </w:pPr>
            <w:r w:rsidRPr="00DD2634">
              <w:rPr>
                <w:rFonts w:ascii="Calibri" w:eastAsia="Times New Roman" w:hAnsi="Calibri" w:cs="Calibri"/>
                <w:sz w:val="20"/>
                <w:szCs w:val="20"/>
                <w:lang w:eastAsia="en-AU"/>
              </w:rPr>
              <w:t xml:space="preserve">    </w:t>
            </w:r>
            <w:r w:rsidR="00866FD9" w:rsidRPr="00DD2634">
              <w:rPr>
                <w:rFonts w:ascii="Calibri" w:eastAsia="Times New Roman" w:hAnsi="Calibri" w:cs="Calibri"/>
                <w:sz w:val="20"/>
                <w:szCs w:val="20"/>
                <w:lang w:eastAsia="en-AU"/>
              </w:rPr>
              <w:t xml:space="preserve"> 9,671 </w:t>
            </w:r>
          </w:p>
        </w:tc>
        <w:tc>
          <w:tcPr>
            <w:tcW w:w="1029" w:type="dxa"/>
            <w:tcBorders>
              <w:top w:val="nil"/>
              <w:left w:val="nil"/>
              <w:bottom w:val="nil"/>
              <w:right w:val="nil"/>
            </w:tcBorders>
            <w:shd w:val="clear" w:color="auto" w:fill="FFFFFF" w:themeFill="background1"/>
            <w:vAlign w:val="center"/>
            <w:hideMark/>
          </w:tcPr>
          <w:p w14:paraId="04969E65" w14:textId="77777777" w:rsidR="00866FD9" w:rsidRPr="00DD2634" w:rsidRDefault="001A168A" w:rsidP="00C31BC0">
            <w:pPr>
              <w:keepNext/>
              <w:spacing w:after="0" w:line="240" w:lineRule="auto"/>
              <w:jc w:val="right"/>
              <w:rPr>
                <w:rFonts w:ascii="Calibri" w:eastAsia="Times New Roman" w:hAnsi="Calibri" w:cs="Calibri"/>
                <w:sz w:val="20"/>
                <w:szCs w:val="20"/>
                <w:lang w:eastAsia="en-AU"/>
              </w:rPr>
            </w:pPr>
            <w:r w:rsidRPr="00DD2634">
              <w:rPr>
                <w:rFonts w:ascii="Calibri" w:eastAsia="Times New Roman" w:hAnsi="Calibri" w:cs="Calibri"/>
                <w:sz w:val="20"/>
                <w:szCs w:val="20"/>
                <w:lang w:eastAsia="en-AU"/>
              </w:rPr>
              <w:t xml:space="preserve">        </w:t>
            </w:r>
            <w:r w:rsidR="00866FD9" w:rsidRPr="00DD2634">
              <w:rPr>
                <w:rFonts w:ascii="Calibri" w:eastAsia="Times New Roman" w:hAnsi="Calibri" w:cs="Calibri"/>
                <w:sz w:val="20"/>
                <w:szCs w:val="20"/>
                <w:lang w:eastAsia="en-AU"/>
              </w:rPr>
              <w:t>-</w:t>
            </w:r>
            <w:r w:rsidRPr="00DD2634">
              <w:rPr>
                <w:rFonts w:ascii="Calibri" w:eastAsia="Times New Roman" w:hAnsi="Calibri" w:cs="Calibri"/>
                <w:sz w:val="20"/>
                <w:szCs w:val="20"/>
                <w:lang w:eastAsia="en-AU"/>
              </w:rPr>
              <w:t xml:space="preserve"> </w:t>
            </w:r>
            <w:r w:rsidR="00866FD9" w:rsidRPr="00DD2634">
              <w:rPr>
                <w:rFonts w:ascii="Calibri" w:eastAsia="Times New Roman" w:hAnsi="Calibri" w:cs="Calibri"/>
                <w:sz w:val="20"/>
                <w:szCs w:val="20"/>
                <w:lang w:eastAsia="en-AU"/>
              </w:rPr>
              <w:t xml:space="preserve"> </w:t>
            </w:r>
          </w:p>
        </w:tc>
        <w:tc>
          <w:tcPr>
            <w:tcW w:w="1029" w:type="dxa"/>
            <w:tcBorders>
              <w:top w:val="nil"/>
              <w:left w:val="nil"/>
              <w:bottom w:val="nil"/>
              <w:right w:val="nil"/>
            </w:tcBorders>
            <w:shd w:val="clear" w:color="auto" w:fill="FFFFFF" w:themeFill="background1"/>
            <w:vAlign w:val="center"/>
            <w:hideMark/>
          </w:tcPr>
          <w:p w14:paraId="04969E66" w14:textId="77777777" w:rsidR="00866FD9" w:rsidRPr="00DD2634" w:rsidRDefault="001A168A" w:rsidP="00C31BC0">
            <w:pPr>
              <w:keepNext/>
              <w:spacing w:after="0" w:line="240" w:lineRule="auto"/>
              <w:jc w:val="right"/>
              <w:rPr>
                <w:rFonts w:ascii="Calibri" w:eastAsia="Times New Roman" w:hAnsi="Calibri" w:cs="Calibri"/>
                <w:sz w:val="20"/>
                <w:szCs w:val="20"/>
                <w:lang w:eastAsia="en-AU"/>
              </w:rPr>
            </w:pPr>
            <w:r w:rsidRPr="00DD2634">
              <w:rPr>
                <w:rFonts w:ascii="Calibri" w:eastAsia="Times New Roman" w:hAnsi="Calibri" w:cs="Calibri"/>
                <w:sz w:val="20"/>
                <w:szCs w:val="20"/>
                <w:lang w:eastAsia="en-AU"/>
              </w:rPr>
              <w:t xml:space="preserve">        </w:t>
            </w:r>
            <w:r w:rsidR="00866FD9" w:rsidRPr="00DD2634">
              <w:rPr>
                <w:rFonts w:ascii="Calibri" w:eastAsia="Times New Roman" w:hAnsi="Calibri" w:cs="Calibri"/>
                <w:sz w:val="20"/>
                <w:szCs w:val="20"/>
                <w:lang w:eastAsia="en-AU"/>
              </w:rPr>
              <w:t>-</w:t>
            </w:r>
            <w:r w:rsidRPr="00DD2634">
              <w:rPr>
                <w:rFonts w:ascii="Calibri" w:eastAsia="Times New Roman" w:hAnsi="Calibri" w:cs="Calibri"/>
                <w:sz w:val="20"/>
                <w:szCs w:val="20"/>
                <w:lang w:eastAsia="en-AU"/>
              </w:rPr>
              <w:t xml:space="preserve"> </w:t>
            </w:r>
            <w:r w:rsidR="00866FD9" w:rsidRPr="00DD2634">
              <w:rPr>
                <w:rFonts w:ascii="Calibri" w:eastAsia="Times New Roman" w:hAnsi="Calibri" w:cs="Calibri"/>
                <w:sz w:val="20"/>
                <w:szCs w:val="20"/>
                <w:lang w:eastAsia="en-AU"/>
              </w:rPr>
              <w:t xml:space="preserve"> </w:t>
            </w:r>
          </w:p>
        </w:tc>
        <w:tc>
          <w:tcPr>
            <w:tcW w:w="1131" w:type="dxa"/>
            <w:tcBorders>
              <w:top w:val="nil"/>
              <w:left w:val="single" w:sz="4" w:space="0" w:color="auto"/>
              <w:bottom w:val="nil"/>
              <w:right w:val="single" w:sz="4" w:space="0" w:color="auto"/>
            </w:tcBorders>
            <w:shd w:val="clear" w:color="auto" w:fill="D9D9D9" w:themeFill="background1" w:themeFillShade="D9"/>
            <w:vAlign w:val="center"/>
            <w:hideMark/>
          </w:tcPr>
          <w:p w14:paraId="04969E67" w14:textId="77777777" w:rsidR="00866FD9" w:rsidRPr="00DD2634" w:rsidRDefault="001A168A" w:rsidP="00C31BC0">
            <w:pPr>
              <w:keepNext/>
              <w:spacing w:after="0" w:line="240" w:lineRule="auto"/>
              <w:jc w:val="right"/>
              <w:rPr>
                <w:rFonts w:ascii="Calibri" w:eastAsia="Times New Roman" w:hAnsi="Calibri" w:cs="Calibri"/>
                <w:sz w:val="20"/>
                <w:szCs w:val="20"/>
                <w:lang w:eastAsia="en-AU"/>
              </w:rPr>
            </w:pPr>
            <w:r w:rsidRPr="00DD2634">
              <w:rPr>
                <w:rFonts w:ascii="Calibri" w:eastAsia="Times New Roman" w:hAnsi="Calibri" w:cs="Calibri"/>
                <w:sz w:val="20"/>
                <w:szCs w:val="20"/>
                <w:lang w:eastAsia="en-AU"/>
              </w:rPr>
              <w:t xml:space="preserve">    </w:t>
            </w:r>
            <w:r w:rsidR="00866FD9" w:rsidRPr="00DD2634">
              <w:rPr>
                <w:rFonts w:ascii="Calibri" w:eastAsia="Times New Roman" w:hAnsi="Calibri" w:cs="Calibri"/>
                <w:sz w:val="20"/>
                <w:szCs w:val="20"/>
                <w:lang w:eastAsia="en-AU"/>
              </w:rPr>
              <w:t xml:space="preserve"> 26,876 </w:t>
            </w:r>
          </w:p>
        </w:tc>
      </w:tr>
      <w:tr w:rsidR="00866FD9" w:rsidRPr="00DD2634" w14:paraId="04969E6F" w14:textId="77777777" w:rsidTr="00BA5320">
        <w:trPr>
          <w:trHeight w:val="300"/>
        </w:trPr>
        <w:tc>
          <w:tcPr>
            <w:tcW w:w="3402" w:type="dxa"/>
            <w:tcBorders>
              <w:top w:val="nil"/>
              <w:left w:val="single" w:sz="4" w:space="0" w:color="auto"/>
              <w:bottom w:val="nil"/>
              <w:right w:val="single" w:sz="4" w:space="0" w:color="auto"/>
            </w:tcBorders>
            <w:shd w:val="clear" w:color="000000" w:fill="FFFFFF"/>
            <w:vAlign w:val="center"/>
            <w:hideMark/>
          </w:tcPr>
          <w:p w14:paraId="04969E69" w14:textId="77777777" w:rsidR="00866FD9" w:rsidRPr="00DD2634" w:rsidRDefault="00866FD9" w:rsidP="00C31BC0">
            <w:pPr>
              <w:keepNext/>
              <w:spacing w:after="0" w:line="240" w:lineRule="auto"/>
              <w:rPr>
                <w:rFonts w:ascii="Calibri" w:eastAsia="Times New Roman" w:hAnsi="Calibri" w:cs="Calibri"/>
                <w:sz w:val="20"/>
                <w:szCs w:val="20"/>
                <w:lang w:eastAsia="en-AU"/>
              </w:rPr>
            </w:pPr>
            <w:r w:rsidRPr="00DD2634">
              <w:rPr>
                <w:rFonts w:ascii="Calibri" w:eastAsia="Times New Roman" w:hAnsi="Calibri" w:cs="Calibri"/>
                <w:sz w:val="20"/>
                <w:szCs w:val="20"/>
                <w:lang w:eastAsia="en-AU"/>
              </w:rPr>
              <w:t>National Quality Agenda</w:t>
            </w:r>
          </w:p>
        </w:tc>
        <w:tc>
          <w:tcPr>
            <w:tcW w:w="1029" w:type="dxa"/>
            <w:tcBorders>
              <w:top w:val="nil"/>
              <w:left w:val="single" w:sz="4" w:space="0" w:color="auto"/>
              <w:bottom w:val="nil"/>
              <w:right w:val="nil"/>
            </w:tcBorders>
            <w:shd w:val="clear" w:color="auto" w:fill="FFFFFF" w:themeFill="background1"/>
            <w:vAlign w:val="center"/>
            <w:hideMark/>
          </w:tcPr>
          <w:p w14:paraId="04969E6A" w14:textId="77777777" w:rsidR="00866FD9" w:rsidRPr="00DD2634" w:rsidRDefault="001A168A" w:rsidP="00C31BC0">
            <w:pPr>
              <w:keepNext/>
              <w:spacing w:after="0" w:line="240" w:lineRule="auto"/>
              <w:jc w:val="right"/>
              <w:rPr>
                <w:rFonts w:ascii="Calibri" w:eastAsia="Times New Roman" w:hAnsi="Calibri" w:cs="Calibri"/>
                <w:sz w:val="20"/>
                <w:szCs w:val="20"/>
                <w:lang w:eastAsia="en-AU"/>
              </w:rPr>
            </w:pPr>
            <w:r w:rsidRPr="00DD2634">
              <w:rPr>
                <w:rFonts w:ascii="Calibri" w:eastAsia="Times New Roman" w:hAnsi="Calibri" w:cs="Calibri"/>
                <w:sz w:val="20"/>
                <w:szCs w:val="20"/>
                <w:lang w:eastAsia="en-AU"/>
              </w:rPr>
              <w:t xml:space="preserve">   </w:t>
            </w:r>
            <w:r w:rsidR="00866FD9" w:rsidRPr="00DD2634">
              <w:rPr>
                <w:rFonts w:ascii="Calibri" w:eastAsia="Times New Roman" w:hAnsi="Calibri" w:cs="Calibri"/>
                <w:sz w:val="20"/>
                <w:szCs w:val="20"/>
                <w:lang w:eastAsia="en-AU"/>
              </w:rPr>
              <w:t xml:space="preserve"> 19,080 </w:t>
            </w:r>
          </w:p>
        </w:tc>
        <w:tc>
          <w:tcPr>
            <w:tcW w:w="1029" w:type="dxa"/>
            <w:tcBorders>
              <w:top w:val="nil"/>
              <w:left w:val="nil"/>
              <w:bottom w:val="nil"/>
              <w:right w:val="nil"/>
            </w:tcBorders>
            <w:shd w:val="clear" w:color="auto" w:fill="FFFFFF" w:themeFill="background1"/>
            <w:vAlign w:val="center"/>
            <w:hideMark/>
          </w:tcPr>
          <w:p w14:paraId="04969E6B" w14:textId="77777777" w:rsidR="00866FD9" w:rsidRPr="00DD2634" w:rsidRDefault="001A168A" w:rsidP="00C31BC0">
            <w:pPr>
              <w:keepNext/>
              <w:spacing w:after="0" w:line="240" w:lineRule="auto"/>
              <w:jc w:val="right"/>
              <w:rPr>
                <w:rFonts w:ascii="Calibri" w:eastAsia="Times New Roman" w:hAnsi="Calibri" w:cs="Calibri"/>
                <w:sz w:val="20"/>
                <w:szCs w:val="20"/>
                <w:lang w:eastAsia="en-AU"/>
              </w:rPr>
            </w:pPr>
            <w:r w:rsidRPr="00DD2634">
              <w:rPr>
                <w:rFonts w:ascii="Calibri" w:eastAsia="Times New Roman" w:hAnsi="Calibri" w:cs="Calibri"/>
                <w:sz w:val="20"/>
                <w:szCs w:val="20"/>
                <w:lang w:eastAsia="en-AU"/>
              </w:rPr>
              <w:t xml:space="preserve"> </w:t>
            </w:r>
            <w:proofErr w:type="spellStart"/>
            <w:r w:rsidR="00C7233A" w:rsidRPr="00DD2634">
              <w:rPr>
                <w:rFonts w:ascii="Calibri" w:eastAsia="Times New Roman" w:hAnsi="Calibri" w:cs="Calibri"/>
                <w:sz w:val="20"/>
                <w:szCs w:val="20"/>
                <w:lang w:eastAsia="en-AU"/>
              </w:rPr>
              <w:t>NFP</w:t>
            </w:r>
            <w:proofErr w:type="spellEnd"/>
            <w:r w:rsidRPr="00DD2634">
              <w:rPr>
                <w:rFonts w:ascii="Calibri" w:eastAsia="Times New Roman" w:hAnsi="Calibri" w:cs="Calibri"/>
                <w:sz w:val="20"/>
                <w:szCs w:val="20"/>
                <w:lang w:eastAsia="en-AU"/>
              </w:rPr>
              <w:t xml:space="preserve"> </w:t>
            </w:r>
          </w:p>
        </w:tc>
        <w:tc>
          <w:tcPr>
            <w:tcW w:w="1029" w:type="dxa"/>
            <w:tcBorders>
              <w:top w:val="nil"/>
              <w:left w:val="nil"/>
              <w:bottom w:val="nil"/>
              <w:right w:val="nil"/>
            </w:tcBorders>
            <w:shd w:val="clear" w:color="auto" w:fill="FFFFFF" w:themeFill="background1"/>
            <w:vAlign w:val="center"/>
            <w:hideMark/>
          </w:tcPr>
          <w:p w14:paraId="04969E6C" w14:textId="77777777" w:rsidR="00866FD9" w:rsidRPr="00DD2634" w:rsidRDefault="001A168A" w:rsidP="00C31BC0">
            <w:pPr>
              <w:keepNext/>
              <w:spacing w:after="0" w:line="240" w:lineRule="auto"/>
              <w:jc w:val="right"/>
              <w:rPr>
                <w:rFonts w:ascii="Calibri" w:eastAsia="Times New Roman" w:hAnsi="Calibri" w:cs="Calibri"/>
                <w:sz w:val="20"/>
                <w:szCs w:val="20"/>
                <w:lang w:eastAsia="en-AU"/>
              </w:rPr>
            </w:pPr>
            <w:r w:rsidRPr="00DD2634">
              <w:rPr>
                <w:rFonts w:ascii="Calibri" w:eastAsia="Times New Roman" w:hAnsi="Calibri" w:cs="Calibri"/>
                <w:sz w:val="20"/>
                <w:szCs w:val="20"/>
                <w:lang w:eastAsia="en-AU"/>
              </w:rPr>
              <w:t xml:space="preserve"> </w:t>
            </w:r>
            <w:proofErr w:type="spellStart"/>
            <w:r w:rsidR="00C7233A" w:rsidRPr="00DD2634">
              <w:rPr>
                <w:rFonts w:ascii="Calibri" w:eastAsia="Times New Roman" w:hAnsi="Calibri" w:cs="Calibri"/>
                <w:sz w:val="20"/>
                <w:szCs w:val="20"/>
                <w:lang w:eastAsia="en-AU"/>
              </w:rPr>
              <w:t>NFP</w:t>
            </w:r>
            <w:proofErr w:type="spellEnd"/>
            <w:r w:rsidRPr="00DD2634">
              <w:rPr>
                <w:rFonts w:ascii="Calibri" w:eastAsia="Times New Roman" w:hAnsi="Calibri" w:cs="Calibri"/>
                <w:sz w:val="20"/>
                <w:szCs w:val="20"/>
                <w:lang w:eastAsia="en-AU"/>
              </w:rPr>
              <w:t xml:space="preserve"> </w:t>
            </w:r>
          </w:p>
        </w:tc>
        <w:tc>
          <w:tcPr>
            <w:tcW w:w="1029" w:type="dxa"/>
            <w:tcBorders>
              <w:top w:val="nil"/>
              <w:left w:val="nil"/>
              <w:bottom w:val="nil"/>
              <w:right w:val="nil"/>
            </w:tcBorders>
            <w:shd w:val="clear" w:color="auto" w:fill="FFFFFF" w:themeFill="background1"/>
            <w:vAlign w:val="center"/>
            <w:hideMark/>
          </w:tcPr>
          <w:p w14:paraId="04969E6D" w14:textId="77777777" w:rsidR="00866FD9" w:rsidRPr="00DD2634" w:rsidRDefault="00866FD9" w:rsidP="00C31BC0">
            <w:pPr>
              <w:keepNext/>
              <w:spacing w:after="0" w:line="240" w:lineRule="auto"/>
              <w:jc w:val="right"/>
              <w:rPr>
                <w:rFonts w:ascii="Calibri" w:eastAsia="Times New Roman" w:hAnsi="Calibri" w:cs="Calibri"/>
                <w:sz w:val="20"/>
                <w:szCs w:val="20"/>
                <w:lang w:eastAsia="en-AU"/>
              </w:rPr>
            </w:pPr>
            <w:r w:rsidRPr="00DD2634">
              <w:rPr>
                <w:rFonts w:ascii="Calibri" w:eastAsia="Times New Roman" w:hAnsi="Calibri" w:cs="Calibri"/>
                <w:sz w:val="20"/>
                <w:szCs w:val="20"/>
                <w:lang w:eastAsia="en-AU"/>
              </w:rPr>
              <w:t xml:space="preserve"> </w:t>
            </w:r>
            <w:proofErr w:type="spellStart"/>
            <w:r w:rsidR="00C7233A" w:rsidRPr="00DD2634">
              <w:rPr>
                <w:rFonts w:ascii="Calibri" w:eastAsia="Times New Roman" w:hAnsi="Calibri" w:cs="Calibri"/>
                <w:sz w:val="20"/>
                <w:szCs w:val="20"/>
                <w:lang w:eastAsia="en-AU"/>
              </w:rPr>
              <w:t>NFP</w:t>
            </w:r>
            <w:proofErr w:type="spellEnd"/>
            <w:r w:rsidRPr="00DD2634">
              <w:rPr>
                <w:rFonts w:ascii="Calibri" w:eastAsia="Times New Roman" w:hAnsi="Calibri" w:cs="Calibri"/>
                <w:sz w:val="20"/>
                <w:szCs w:val="20"/>
                <w:lang w:eastAsia="en-AU"/>
              </w:rPr>
              <w:t xml:space="preserve"> </w:t>
            </w:r>
          </w:p>
        </w:tc>
        <w:tc>
          <w:tcPr>
            <w:tcW w:w="1131" w:type="dxa"/>
            <w:tcBorders>
              <w:top w:val="nil"/>
              <w:left w:val="single" w:sz="4" w:space="0" w:color="auto"/>
              <w:bottom w:val="nil"/>
              <w:right w:val="single" w:sz="4" w:space="0" w:color="auto"/>
            </w:tcBorders>
            <w:shd w:val="clear" w:color="auto" w:fill="D9D9D9" w:themeFill="background1" w:themeFillShade="D9"/>
            <w:vAlign w:val="center"/>
            <w:hideMark/>
          </w:tcPr>
          <w:p w14:paraId="04969E6E" w14:textId="77777777" w:rsidR="00866FD9" w:rsidRPr="00DD2634" w:rsidRDefault="001A168A" w:rsidP="00C31BC0">
            <w:pPr>
              <w:keepNext/>
              <w:spacing w:after="0" w:line="240" w:lineRule="auto"/>
              <w:jc w:val="right"/>
              <w:rPr>
                <w:rFonts w:ascii="Calibri" w:eastAsia="Times New Roman" w:hAnsi="Calibri" w:cs="Calibri"/>
                <w:sz w:val="20"/>
                <w:szCs w:val="20"/>
                <w:lang w:eastAsia="en-AU"/>
              </w:rPr>
            </w:pPr>
            <w:r w:rsidRPr="00DD2634">
              <w:rPr>
                <w:rFonts w:ascii="Calibri" w:eastAsia="Times New Roman" w:hAnsi="Calibri" w:cs="Calibri"/>
                <w:sz w:val="20"/>
                <w:szCs w:val="20"/>
                <w:lang w:eastAsia="en-AU"/>
              </w:rPr>
              <w:t xml:space="preserve">    </w:t>
            </w:r>
            <w:r w:rsidR="00866FD9" w:rsidRPr="00DD2634">
              <w:rPr>
                <w:rFonts w:ascii="Calibri" w:eastAsia="Times New Roman" w:hAnsi="Calibri" w:cs="Calibri"/>
                <w:sz w:val="20"/>
                <w:szCs w:val="20"/>
                <w:lang w:eastAsia="en-AU"/>
              </w:rPr>
              <w:t xml:space="preserve"> 19,080 </w:t>
            </w:r>
          </w:p>
        </w:tc>
      </w:tr>
      <w:tr w:rsidR="00866FD9" w:rsidRPr="00DD2634" w14:paraId="04969E76" w14:textId="77777777" w:rsidTr="00BA5320">
        <w:trPr>
          <w:trHeight w:val="255"/>
        </w:trPr>
        <w:tc>
          <w:tcPr>
            <w:tcW w:w="3402" w:type="dxa"/>
            <w:tcBorders>
              <w:top w:val="single" w:sz="4" w:space="0" w:color="auto"/>
              <w:left w:val="single" w:sz="4" w:space="0" w:color="auto"/>
              <w:bottom w:val="single" w:sz="4" w:space="0" w:color="auto"/>
              <w:right w:val="single" w:sz="4" w:space="0" w:color="auto"/>
            </w:tcBorders>
            <w:shd w:val="clear" w:color="000000" w:fill="auto"/>
            <w:vAlign w:val="center"/>
            <w:hideMark/>
          </w:tcPr>
          <w:p w14:paraId="04969E70" w14:textId="77777777" w:rsidR="00866FD9" w:rsidRPr="00DD2634" w:rsidRDefault="00866FD9" w:rsidP="00C31BC0">
            <w:pPr>
              <w:keepNext/>
              <w:spacing w:after="0" w:line="240" w:lineRule="auto"/>
              <w:rPr>
                <w:rFonts w:ascii="Calibri" w:eastAsia="Times New Roman" w:hAnsi="Calibri" w:cs="Calibri"/>
                <w:sz w:val="20"/>
                <w:szCs w:val="20"/>
                <w:lang w:eastAsia="en-AU"/>
              </w:rPr>
            </w:pPr>
            <w:r w:rsidRPr="00DD2634">
              <w:rPr>
                <w:rFonts w:ascii="Calibri" w:eastAsia="Times New Roman" w:hAnsi="Calibri" w:cs="Calibri"/>
                <w:sz w:val="20"/>
                <w:szCs w:val="20"/>
                <w:lang w:eastAsia="en-AU"/>
              </w:rPr>
              <w:t>TOTAL</w:t>
            </w:r>
          </w:p>
        </w:tc>
        <w:tc>
          <w:tcPr>
            <w:tcW w:w="1029" w:type="dxa"/>
            <w:tcBorders>
              <w:top w:val="single" w:sz="4" w:space="0" w:color="auto"/>
              <w:left w:val="single" w:sz="4" w:space="0" w:color="auto"/>
              <w:bottom w:val="single" w:sz="4" w:space="0" w:color="auto"/>
              <w:right w:val="nil"/>
            </w:tcBorders>
            <w:shd w:val="clear" w:color="auto" w:fill="FFFFFF" w:themeFill="background1"/>
            <w:vAlign w:val="center"/>
            <w:hideMark/>
          </w:tcPr>
          <w:p w14:paraId="04969E71" w14:textId="77777777" w:rsidR="00866FD9" w:rsidRPr="00DD2634" w:rsidRDefault="001A168A" w:rsidP="00C31BC0">
            <w:pPr>
              <w:keepNext/>
              <w:spacing w:after="0" w:line="240" w:lineRule="auto"/>
              <w:jc w:val="right"/>
              <w:rPr>
                <w:rFonts w:ascii="Calibri" w:eastAsia="Times New Roman" w:hAnsi="Calibri" w:cs="Calibri"/>
                <w:sz w:val="20"/>
                <w:szCs w:val="20"/>
                <w:lang w:eastAsia="en-AU"/>
              </w:rPr>
            </w:pPr>
            <w:r w:rsidRPr="00DD2634">
              <w:rPr>
                <w:rFonts w:ascii="Calibri" w:eastAsia="Times New Roman" w:hAnsi="Calibri" w:cs="Calibri"/>
                <w:sz w:val="20"/>
                <w:szCs w:val="20"/>
                <w:lang w:eastAsia="en-AU"/>
              </w:rPr>
              <w:t xml:space="preserve">  </w:t>
            </w:r>
            <w:r w:rsidR="00866FD9" w:rsidRPr="00DD2634">
              <w:rPr>
                <w:rFonts w:ascii="Calibri" w:eastAsia="Times New Roman" w:hAnsi="Calibri" w:cs="Calibri"/>
                <w:sz w:val="20"/>
                <w:szCs w:val="20"/>
                <w:lang w:eastAsia="en-AU"/>
              </w:rPr>
              <w:t xml:space="preserve"> 524,309 </w:t>
            </w:r>
          </w:p>
        </w:tc>
        <w:tc>
          <w:tcPr>
            <w:tcW w:w="1029" w:type="dxa"/>
            <w:tcBorders>
              <w:top w:val="single" w:sz="4" w:space="0" w:color="auto"/>
              <w:left w:val="nil"/>
              <w:bottom w:val="single" w:sz="4" w:space="0" w:color="auto"/>
              <w:right w:val="nil"/>
            </w:tcBorders>
            <w:shd w:val="clear" w:color="auto" w:fill="FFFFFF" w:themeFill="background1"/>
            <w:vAlign w:val="center"/>
            <w:hideMark/>
          </w:tcPr>
          <w:p w14:paraId="04969E72" w14:textId="77777777" w:rsidR="00866FD9" w:rsidRPr="00DD2634" w:rsidRDefault="001A168A" w:rsidP="00C31BC0">
            <w:pPr>
              <w:keepNext/>
              <w:spacing w:after="0" w:line="240" w:lineRule="auto"/>
              <w:jc w:val="right"/>
              <w:rPr>
                <w:rFonts w:ascii="Calibri" w:eastAsia="Times New Roman" w:hAnsi="Calibri" w:cs="Calibri"/>
                <w:sz w:val="20"/>
                <w:szCs w:val="20"/>
                <w:lang w:eastAsia="en-AU"/>
              </w:rPr>
            </w:pPr>
            <w:r w:rsidRPr="00DD2634">
              <w:rPr>
                <w:rFonts w:ascii="Calibri" w:eastAsia="Times New Roman" w:hAnsi="Calibri" w:cs="Calibri"/>
                <w:sz w:val="20"/>
                <w:szCs w:val="20"/>
                <w:lang w:eastAsia="en-AU"/>
              </w:rPr>
              <w:t xml:space="preserve">  </w:t>
            </w:r>
            <w:r w:rsidR="00866FD9" w:rsidRPr="00DD2634">
              <w:rPr>
                <w:rFonts w:ascii="Calibri" w:eastAsia="Times New Roman" w:hAnsi="Calibri" w:cs="Calibri"/>
                <w:sz w:val="20"/>
                <w:szCs w:val="20"/>
                <w:lang w:eastAsia="en-AU"/>
              </w:rPr>
              <w:t xml:space="preserve"> 246,071 </w:t>
            </w:r>
          </w:p>
        </w:tc>
        <w:tc>
          <w:tcPr>
            <w:tcW w:w="1029" w:type="dxa"/>
            <w:tcBorders>
              <w:top w:val="single" w:sz="4" w:space="0" w:color="auto"/>
              <w:left w:val="nil"/>
              <w:bottom w:val="single" w:sz="4" w:space="0" w:color="auto"/>
              <w:right w:val="nil"/>
            </w:tcBorders>
            <w:shd w:val="clear" w:color="auto" w:fill="FFFFFF" w:themeFill="background1"/>
            <w:vAlign w:val="center"/>
            <w:hideMark/>
          </w:tcPr>
          <w:p w14:paraId="04969E73" w14:textId="77777777" w:rsidR="00866FD9" w:rsidRPr="00DD2634" w:rsidRDefault="001A168A" w:rsidP="00C31BC0">
            <w:pPr>
              <w:keepNext/>
              <w:spacing w:after="0" w:line="240" w:lineRule="auto"/>
              <w:jc w:val="right"/>
              <w:rPr>
                <w:rFonts w:ascii="Calibri" w:eastAsia="Times New Roman" w:hAnsi="Calibri" w:cs="Calibri"/>
                <w:sz w:val="20"/>
                <w:szCs w:val="20"/>
                <w:lang w:eastAsia="en-AU"/>
              </w:rPr>
            </w:pPr>
            <w:r w:rsidRPr="00DD2634">
              <w:rPr>
                <w:rFonts w:ascii="Calibri" w:eastAsia="Times New Roman" w:hAnsi="Calibri" w:cs="Calibri"/>
                <w:sz w:val="20"/>
                <w:szCs w:val="20"/>
                <w:lang w:eastAsia="en-AU"/>
              </w:rPr>
              <w:t xml:space="preserve">        </w:t>
            </w:r>
            <w:r w:rsidR="00866FD9" w:rsidRPr="00DD2634">
              <w:rPr>
                <w:rFonts w:ascii="Calibri" w:eastAsia="Times New Roman" w:hAnsi="Calibri" w:cs="Calibri"/>
                <w:sz w:val="20"/>
                <w:szCs w:val="20"/>
                <w:lang w:eastAsia="en-AU"/>
              </w:rPr>
              <w:t>-</w:t>
            </w:r>
            <w:r w:rsidRPr="00DD2634">
              <w:rPr>
                <w:rFonts w:ascii="Calibri" w:eastAsia="Times New Roman" w:hAnsi="Calibri" w:cs="Calibri"/>
                <w:sz w:val="20"/>
                <w:szCs w:val="20"/>
                <w:lang w:eastAsia="en-AU"/>
              </w:rPr>
              <w:t xml:space="preserve"> </w:t>
            </w:r>
            <w:r w:rsidR="00866FD9" w:rsidRPr="00DD2634">
              <w:rPr>
                <w:rFonts w:ascii="Calibri" w:eastAsia="Times New Roman" w:hAnsi="Calibri" w:cs="Calibri"/>
                <w:sz w:val="20"/>
                <w:szCs w:val="20"/>
                <w:lang w:eastAsia="en-AU"/>
              </w:rPr>
              <w:t xml:space="preserve"> </w:t>
            </w:r>
          </w:p>
        </w:tc>
        <w:tc>
          <w:tcPr>
            <w:tcW w:w="1029" w:type="dxa"/>
            <w:tcBorders>
              <w:top w:val="single" w:sz="4" w:space="0" w:color="auto"/>
              <w:left w:val="nil"/>
              <w:bottom w:val="single" w:sz="4" w:space="0" w:color="auto"/>
              <w:right w:val="nil"/>
            </w:tcBorders>
            <w:shd w:val="clear" w:color="auto" w:fill="FFFFFF" w:themeFill="background1"/>
            <w:vAlign w:val="center"/>
            <w:hideMark/>
          </w:tcPr>
          <w:p w14:paraId="04969E74" w14:textId="77777777" w:rsidR="00866FD9" w:rsidRPr="00DD2634" w:rsidRDefault="001A168A" w:rsidP="00C31BC0">
            <w:pPr>
              <w:keepNext/>
              <w:spacing w:after="0" w:line="240" w:lineRule="auto"/>
              <w:jc w:val="right"/>
              <w:rPr>
                <w:rFonts w:ascii="Calibri" w:eastAsia="Times New Roman" w:hAnsi="Calibri" w:cs="Calibri"/>
                <w:sz w:val="20"/>
                <w:szCs w:val="20"/>
                <w:lang w:eastAsia="en-AU"/>
              </w:rPr>
            </w:pPr>
            <w:r w:rsidRPr="00DD2634">
              <w:rPr>
                <w:rFonts w:ascii="Calibri" w:eastAsia="Times New Roman" w:hAnsi="Calibri" w:cs="Calibri"/>
                <w:sz w:val="20"/>
                <w:szCs w:val="20"/>
                <w:lang w:eastAsia="en-AU"/>
              </w:rPr>
              <w:t xml:space="preserve">        </w:t>
            </w:r>
            <w:r w:rsidR="00866FD9" w:rsidRPr="00DD2634">
              <w:rPr>
                <w:rFonts w:ascii="Calibri" w:eastAsia="Times New Roman" w:hAnsi="Calibri" w:cs="Calibri"/>
                <w:sz w:val="20"/>
                <w:szCs w:val="20"/>
                <w:lang w:eastAsia="en-AU"/>
              </w:rPr>
              <w:t>-</w:t>
            </w:r>
            <w:r w:rsidRPr="00DD2634">
              <w:rPr>
                <w:rFonts w:ascii="Calibri" w:eastAsia="Times New Roman" w:hAnsi="Calibri" w:cs="Calibri"/>
                <w:sz w:val="20"/>
                <w:szCs w:val="20"/>
                <w:lang w:eastAsia="en-AU"/>
              </w:rPr>
              <w:t xml:space="preserve"> </w:t>
            </w:r>
            <w:r w:rsidR="00866FD9" w:rsidRPr="00DD2634">
              <w:rPr>
                <w:rFonts w:ascii="Calibri" w:eastAsia="Times New Roman" w:hAnsi="Calibri" w:cs="Calibri"/>
                <w:sz w:val="20"/>
                <w:szCs w:val="20"/>
                <w:lang w:eastAsia="en-AU"/>
              </w:rPr>
              <w:t xml:space="preserve"> </w:t>
            </w:r>
          </w:p>
        </w:tc>
        <w:tc>
          <w:tcPr>
            <w:tcW w:w="113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4969E75" w14:textId="77777777" w:rsidR="00866FD9" w:rsidRPr="00DD2634" w:rsidRDefault="001A168A" w:rsidP="00C31BC0">
            <w:pPr>
              <w:keepNext/>
              <w:spacing w:after="0" w:line="240" w:lineRule="auto"/>
              <w:jc w:val="right"/>
              <w:rPr>
                <w:rFonts w:ascii="Calibri" w:eastAsia="Times New Roman" w:hAnsi="Calibri" w:cs="Calibri"/>
                <w:sz w:val="20"/>
                <w:szCs w:val="20"/>
                <w:lang w:eastAsia="en-AU"/>
              </w:rPr>
            </w:pPr>
            <w:r w:rsidRPr="00DD2634">
              <w:rPr>
                <w:rFonts w:ascii="Calibri" w:eastAsia="Times New Roman" w:hAnsi="Calibri" w:cs="Calibri"/>
                <w:sz w:val="20"/>
                <w:szCs w:val="20"/>
                <w:lang w:eastAsia="en-AU"/>
              </w:rPr>
              <w:t xml:space="preserve">   </w:t>
            </w:r>
            <w:r w:rsidR="00866FD9" w:rsidRPr="00DD2634">
              <w:rPr>
                <w:rFonts w:ascii="Calibri" w:eastAsia="Times New Roman" w:hAnsi="Calibri" w:cs="Calibri"/>
                <w:sz w:val="20"/>
                <w:szCs w:val="20"/>
                <w:lang w:eastAsia="en-AU"/>
              </w:rPr>
              <w:t xml:space="preserve"> 770,380 </w:t>
            </w:r>
          </w:p>
        </w:tc>
      </w:tr>
      <w:tr w:rsidR="00866FD9" w:rsidRPr="00DD2634" w14:paraId="04969E7D" w14:textId="77777777" w:rsidTr="00BA5320">
        <w:trPr>
          <w:trHeight w:val="255"/>
        </w:trPr>
        <w:tc>
          <w:tcPr>
            <w:tcW w:w="3402" w:type="dxa"/>
            <w:tcBorders>
              <w:top w:val="nil"/>
              <w:left w:val="single" w:sz="4" w:space="0" w:color="auto"/>
              <w:bottom w:val="single" w:sz="4" w:space="0" w:color="auto"/>
              <w:right w:val="single" w:sz="4" w:space="0" w:color="auto"/>
            </w:tcBorders>
            <w:shd w:val="clear" w:color="000000" w:fill="auto"/>
            <w:vAlign w:val="center"/>
            <w:hideMark/>
          </w:tcPr>
          <w:p w14:paraId="04969E77" w14:textId="435EB479" w:rsidR="00866FD9" w:rsidRPr="00DD2634" w:rsidRDefault="00BA5320" w:rsidP="00C31BC0">
            <w:pPr>
              <w:keepNext/>
              <w:spacing w:after="0" w:line="240" w:lineRule="auto"/>
              <w:rPr>
                <w:rFonts w:ascii="Calibri" w:eastAsia="Times New Roman" w:hAnsi="Calibri" w:cs="Calibri"/>
                <w:b/>
                <w:bCs/>
                <w:sz w:val="20"/>
                <w:szCs w:val="20"/>
                <w:lang w:eastAsia="en-AU"/>
              </w:rPr>
            </w:pPr>
            <w:r w:rsidRPr="00DD2634">
              <w:rPr>
                <w:rFonts w:ascii="Calibri" w:eastAsia="Times New Roman" w:hAnsi="Calibri" w:cs="Calibri"/>
                <w:b/>
                <w:bCs/>
                <w:sz w:val="20"/>
                <w:szCs w:val="20"/>
                <w:lang w:eastAsia="en-AU"/>
              </w:rPr>
              <w:t>Grand Total</w:t>
            </w:r>
          </w:p>
        </w:tc>
        <w:tc>
          <w:tcPr>
            <w:tcW w:w="1029" w:type="dxa"/>
            <w:tcBorders>
              <w:top w:val="nil"/>
              <w:left w:val="single" w:sz="4" w:space="0" w:color="auto"/>
              <w:bottom w:val="single" w:sz="4" w:space="0" w:color="auto"/>
              <w:right w:val="nil"/>
            </w:tcBorders>
            <w:shd w:val="clear" w:color="auto" w:fill="FFFFFF" w:themeFill="background1"/>
            <w:vAlign w:val="center"/>
            <w:hideMark/>
          </w:tcPr>
          <w:p w14:paraId="04969E78" w14:textId="2BCFEF2D" w:rsidR="00866FD9" w:rsidRPr="00DD2634" w:rsidRDefault="00866FD9" w:rsidP="00C31BC0">
            <w:pPr>
              <w:keepNext/>
              <w:spacing w:after="0" w:line="240" w:lineRule="auto"/>
              <w:jc w:val="right"/>
              <w:rPr>
                <w:rFonts w:ascii="Calibri" w:eastAsia="Times New Roman" w:hAnsi="Calibri" w:cs="Calibri"/>
                <w:b/>
                <w:bCs/>
                <w:sz w:val="20"/>
                <w:szCs w:val="20"/>
                <w:lang w:eastAsia="en-AU"/>
              </w:rPr>
            </w:pPr>
            <w:r w:rsidRPr="00DD2634">
              <w:rPr>
                <w:rFonts w:ascii="Calibri" w:eastAsia="Times New Roman" w:hAnsi="Calibri" w:cs="Calibri"/>
                <w:b/>
                <w:bCs/>
                <w:sz w:val="20"/>
                <w:szCs w:val="20"/>
                <w:lang w:eastAsia="en-AU"/>
              </w:rPr>
              <w:t xml:space="preserve">6,527,378 </w:t>
            </w:r>
          </w:p>
        </w:tc>
        <w:tc>
          <w:tcPr>
            <w:tcW w:w="1029" w:type="dxa"/>
            <w:tcBorders>
              <w:top w:val="nil"/>
              <w:left w:val="nil"/>
              <w:bottom w:val="single" w:sz="4" w:space="0" w:color="auto"/>
              <w:right w:val="nil"/>
            </w:tcBorders>
            <w:shd w:val="clear" w:color="auto" w:fill="FFFFFF" w:themeFill="background1"/>
            <w:vAlign w:val="center"/>
            <w:hideMark/>
          </w:tcPr>
          <w:p w14:paraId="04969E79" w14:textId="63176E7B" w:rsidR="00866FD9" w:rsidRPr="00DD2634" w:rsidRDefault="00866FD9" w:rsidP="00C31BC0">
            <w:pPr>
              <w:keepNext/>
              <w:spacing w:after="0" w:line="240" w:lineRule="auto"/>
              <w:jc w:val="right"/>
              <w:rPr>
                <w:rFonts w:ascii="Calibri" w:eastAsia="Times New Roman" w:hAnsi="Calibri" w:cs="Calibri"/>
                <w:b/>
                <w:bCs/>
                <w:sz w:val="20"/>
                <w:szCs w:val="20"/>
                <w:lang w:eastAsia="en-AU"/>
              </w:rPr>
            </w:pPr>
            <w:r w:rsidRPr="00DD2634">
              <w:rPr>
                <w:rFonts w:ascii="Calibri" w:eastAsia="Times New Roman" w:hAnsi="Calibri" w:cs="Calibri"/>
                <w:b/>
                <w:bCs/>
                <w:sz w:val="20"/>
                <w:szCs w:val="20"/>
                <w:lang w:eastAsia="en-AU"/>
              </w:rPr>
              <w:t xml:space="preserve">6,910,883 </w:t>
            </w:r>
          </w:p>
        </w:tc>
        <w:tc>
          <w:tcPr>
            <w:tcW w:w="1029" w:type="dxa"/>
            <w:tcBorders>
              <w:top w:val="nil"/>
              <w:left w:val="nil"/>
              <w:bottom w:val="single" w:sz="4" w:space="0" w:color="auto"/>
              <w:right w:val="nil"/>
            </w:tcBorders>
            <w:shd w:val="clear" w:color="auto" w:fill="FFFFFF" w:themeFill="background1"/>
            <w:vAlign w:val="center"/>
            <w:hideMark/>
          </w:tcPr>
          <w:p w14:paraId="04969E7A" w14:textId="14F65C6C" w:rsidR="00866FD9" w:rsidRPr="00DD2634" w:rsidRDefault="00866FD9" w:rsidP="00C31BC0">
            <w:pPr>
              <w:keepNext/>
              <w:spacing w:after="0" w:line="240" w:lineRule="auto"/>
              <w:jc w:val="right"/>
              <w:rPr>
                <w:rFonts w:ascii="Calibri" w:eastAsia="Times New Roman" w:hAnsi="Calibri" w:cs="Calibri"/>
                <w:b/>
                <w:bCs/>
                <w:sz w:val="20"/>
                <w:szCs w:val="20"/>
                <w:lang w:eastAsia="en-AU"/>
              </w:rPr>
            </w:pPr>
            <w:r w:rsidRPr="00DD2634">
              <w:rPr>
                <w:rFonts w:ascii="Calibri" w:eastAsia="Times New Roman" w:hAnsi="Calibri" w:cs="Calibri"/>
                <w:b/>
                <w:bCs/>
                <w:sz w:val="20"/>
                <w:szCs w:val="20"/>
                <w:lang w:eastAsia="en-AU"/>
              </w:rPr>
              <w:t xml:space="preserve">7,023,599 </w:t>
            </w:r>
          </w:p>
        </w:tc>
        <w:tc>
          <w:tcPr>
            <w:tcW w:w="1029" w:type="dxa"/>
            <w:tcBorders>
              <w:top w:val="nil"/>
              <w:left w:val="nil"/>
              <w:bottom w:val="single" w:sz="4" w:space="0" w:color="auto"/>
              <w:right w:val="nil"/>
            </w:tcBorders>
            <w:shd w:val="clear" w:color="auto" w:fill="FFFFFF" w:themeFill="background1"/>
            <w:vAlign w:val="center"/>
            <w:hideMark/>
          </w:tcPr>
          <w:p w14:paraId="04969E7B" w14:textId="4A4458C0" w:rsidR="00866FD9" w:rsidRPr="00DD2634" w:rsidRDefault="00866FD9" w:rsidP="00C31BC0">
            <w:pPr>
              <w:keepNext/>
              <w:spacing w:after="0" w:line="240" w:lineRule="auto"/>
              <w:jc w:val="right"/>
              <w:rPr>
                <w:rFonts w:ascii="Calibri" w:eastAsia="Times New Roman" w:hAnsi="Calibri" w:cs="Calibri"/>
                <w:b/>
                <w:bCs/>
                <w:sz w:val="20"/>
                <w:szCs w:val="20"/>
                <w:lang w:eastAsia="en-AU"/>
              </w:rPr>
            </w:pPr>
            <w:r w:rsidRPr="00DD2634">
              <w:rPr>
                <w:rFonts w:ascii="Calibri" w:eastAsia="Times New Roman" w:hAnsi="Calibri" w:cs="Calibri"/>
                <w:b/>
                <w:bCs/>
                <w:sz w:val="20"/>
                <w:szCs w:val="20"/>
                <w:lang w:eastAsia="en-AU"/>
              </w:rPr>
              <w:t xml:space="preserve">7,626,854 </w:t>
            </w:r>
          </w:p>
        </w:tc>
        <w:tc>
          <w:tcPr>
            <w:tcW w:w="1131"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04969E7C" w14:textId="3B0D9C76" w:rsidR="00866FD9" w:rsidRPr="00DD2634" w:rsidRDefault="00866FD9" w:rsidP="00C31BC0">
            <w:pPr>
              <w:keepNext/>
              <w:spacing w:after="0" w:line="240" w:lineRule="auto"/>
              <w:jc w:val="right"/>
              <w:rPr>
                <w:rFonts w:ascii="Calibri" w:eastAsia="Times New Roman" w:hAnsi="Calibri" w:cs="Calibri"/>
                <w:b/>
                <w:bCs/>
                <w:sz w:val="20"/>
                <w:szCs w:val="20"/>
                <w:lang w:eastAsia="en-AU"/>
              </w:rPr>
            </w:pPr>
            <w:r w:rsidRPr="00DD2634">
              <w:rPr>
                <w:rFonts w:ascii="Calibri" w:eastAsia="Times New Roman" w:hAnsi="Calibri" w:cs="Calibri"/>
                <w:b/>
                <w:bCs/>
                <w:sz w:val="20"/>
                <w:szCs w:val="20"/>
                <w:lang w:eastAsia="en-AU"/>
              </w:rPr>
              <w:t xml:space="preserve">28,088,714 </w:t>
            </w:r>
          </w:p>
        </w:tc>
      </w:tr>
    </w:tbl>
    <w:p w14:paraId="62826C79" w14:textId="77777777" w:rsidR="0011648D" w:rsidRPr="00DD2634" w:rsidRDefault="0011648D" w:rsidP="0011648D">
      <w:pPr>
        <w:pStyle w:val="Source"/>
        <w:rPr>
          <w:lang w:eastAsia="en-AU"/>
        </w:rPr>
      </w:pPr>
      <w:r w:rsidRPr="00DD2634">
        <w:rPr>
          <w:lang w:eastAsia="en-AU"/>
        </w:rPr>
        <w:t xml:space="preserve">Source: </w:t>
      </w:r>
      <w:proofErr w:type="spellStart"/>
      <w:r w:rsidRPr="00DD2634">
        <w:rPr>
          <w:lang w:eastAsia="en-AU"/>
        </w:rPr>
        <w:t>MYEFO</w:t>
      </w:r>
      <w:proofErr w:type="spellEnd"/>
      <w:r w:rsidRPr="00DD2634">
        <w:rPr>
          <w:lang w:eastAsia="en-AU"/>
        </w:rPr>
        <w:t xml:space="preserve"> 2013-14</w:t>
      </w:r>
    </w:p>
    <w:p w14:paraId="408855D8" w14:textId="49520AEC" w:rsidR="0011648D" w:rsidRPr="00DD2634" w:rsidRDefault="0011648D" w:rsidP="0011648D">
      <w:pPr>
        <w:pStyle w:val="Source"/>
        <w:rPr>
          <w:lang w:eastAsia="en-AU"/>
        </w:rPr>
      </w:pPr>
      <w:r w:rsidRPr="00DD2634">
        <w:rPr>
          <w:lang w:eastAsia="en-AU"/>
        </w:rPr>
        <w:t>^ as at 2013-14</w:t>
      </w:r>
    </w:p>
    <w:p w14:paraId="04969E80" w14:textId="77777777" w:rsidR="00866FD9" w:rsidRPr="00DD2634" w:rsidRDefault="00C7233A" w:rsidP="0011648D">
      <w:pPr>
        <w:pStyle w:val="Source"/>
      </w:pPr>
      <w:proofErr w:type="spellStart"/>
      <w:r w:rsidRPr="00DD2634">
        <w:t>NFP</w:t>
      </w:r>
      <w:proofErr w:type="spellEnd"/>
      <w:r w:rsidR="00866FD9" w:rsidRPr="00DD2634">
        <w:t xml:space="preserve"> = Not for publication</w:t>
      </w:r>
    </w:p>
    <w:p w14:paraId="51C8D2F5" w14:textId="77777777" w:rsidR="0011648D" w:rsidRPr="00DD2634" w:rsidRDefault="0011648D" w:rsidP="003E3AF9">
      <w:pPr>
        <w:spacing w:after="120" w:line="240" w:lineRule="auto"/>
        <w:ind w:right="-141"/>
        <w:rPr>
          <w:sz w:val="20"/>
          <w:szCs w:val="20"/>
        </w:rPr>
      </w:pPr>
    </w:p>
    <w:p w14:paraId="2051EFD3" w14:textId="77777777" w:rsidR="0011648D" w:rsidRPr="00DD2634" w:rsidRDefault="0011648D" w:rsidP="003E3AF9">
      <w:pPr>
        <w:spacing w:after="120" w:line="240" w:lineRule="auto"/>
        <w:ind w:right="-141"/>
        <w:rPr>
          <w:sz w:val="20"/>
          <w:szCs w:val="20"/>
        </w:rPr>
        <w:sectPr w:rsidR="0011648D" w:rsidRPr="00DD2634" w:rsidSect="00E12D6B">
          <w:headerReference w:type="default" r:id="rId34"/>
          <w:footerReference w:type="default" r:id="rId35"/>
          <w:pgSz w:w="11906" w:h="16838"/>
          <w:pgMar w:top="1246" w:right="1985" w:bottom="1134" w:left="1985" w:header="567" w:footer="720" w:gutter="0"/>
          <w:cols w:space="720"/>
          <w:docGrid w:linePitch="360"/>
        </w:sectPr>
      </w:pPr>
    </w:p>
    <w:p w14:paraId="04969E81" w14:textId="77777777" w:rsidR="00E700F9" w:rsidRPr="00DD2634" w:rsidRDefault="00E700F9" w:rsidP="0011648D">
      <w:pPr>
        <w:pStyle w:val="Heading2unnumbered"/>
      </w:pPr>
      <w:bookmarkStart w:id="93" w:name="_Toc379208194"/>
      <w:bookmarkStart w:id="94" w:name="_Toc377217327"/>
      <w:r w:rsidRPr="00DD2634">
        <w:lastRenderedPageBreak/>
        <w:t>Appendix 2: Further details on child care subsidies</w:t>
      </w:r>
      <w:bookmarkEnd w:id="93"/>
    </w:p>
    <w:p w14:paraId="04969E82" w14:textId="77777777" w:rsidR="006D330D" w:rsidRPr="00DD2634" w:rsidRDefault="006D330D" w:rsidP="0011648D">
      <w:pPr>
        <w:pStyle w:val="Heading3"/>
      </w:pPr>
      <w:r w:rsidRPr="00DD2634">
        <w:t>Cost of CCECL for taxpayers</w:t>
      </w:r>
    </w:p>
    <w:p w14:paraId="04969E88" w14:textId="1E499093" w:rsidR="006D330D" w:rsidRPr="00DD2634" w:rsidRDefault="006D330D" w:rsidP="0073655D">
      <w:pPr>
        <w:pStyle w:val="NormalNumbered"/>
        <w:numPr>
          <w:ilvl w:val="0"/>
          <w:numId w:val="0"/>
        </w:numPr>
      </w:pPr>
      <w:r w:rsidRPr="00DD2634">
        <w:t>Over the next four years (to 2016-17), Australian Government expenditure on CCECL is expected to exceed $28 billion (see</w:t>
      </w:r>
      <w:r w:rsidR="0073655D" w:rsidRPr="00DD2634">
        <w:t xml:space="preserve"> </w:t>
      </w:r>
      <w:r w:rsidR="0073655D" w:rsidRPr="00DD2634">
        <w:rPr>
          <w:i/>
        </w:rPr>
        <w:fldChar w:fldCharType="begin"/>
      </w:r>
      <w:r w:rsidR="0073655D" w:rsidRPr="00DD2634">
        <w:rPr>
          <w:i/>
        </w:rPr>
        <w:instrText xml:space="preserve"> REF _Ref378875498 \h  \* MERGEFORMAT </w:instrText>
      </w:r>
      <w:r w:rsidR="0073655D" w:rsidRPr="00DD2634">
        <w:rPr>
          <w:i/>
        </w:rPr>
      </w:r>
      <w:r w:rsidR="0073655D" w:rsidRPr="00DD2634">
        <w:rPr>
          <w:i/>
        </w:rPr>
        <w:fldChar w:fldCharType="separate"/>
      </w:r>
      <w:r w:rsidR="00CE4F92" w:rsidRPr="00CE4F92">
        <w:rPr>
          <w:i/>
        </w:rPr>
        <w:t xml:space="preserve">Figure </w:t>
      </w:r>
      <w:r w:rsidR="00CE4F92" w:rsidRPr="00CE4F92">
        <w:rPr>
          <w:i/>
          <w:noProof/>
        </w:rPr>
        <w:t>2</w:t>
      </w:r>
      <w:r w:rsidR="00CE4F92" w:rsidRPr="00CE4F92">
        <w:rPr>
          <w:i/>
        </w:rPr>
        <w:t xml:space="preserve">: Australian Government </w:t>
      </w:r>
      <w:proofErr w:type="spellStart"/>
      <w:r w:rsidR="00CE4F92" w:rsidRPr="00CE4F92">
        <w:rPr>
          <w:i/>
        </w:rPr>
        <w:t>CCECL</w:t>
      </w:r>
      <w:proofErr w:type="spellEnd"/>
      <w:r w:rsidR="00CE4F92" w:rsidRPr="00CE4F92">
        <w:rPr>
          <w:i/>
        </w:rPr>
        <w:t xml:space="preserve"> outlays</w:t>
      </w:r>
      <w:r w:rsidR="00CE4F92" w:rsidRPr="00DD2634">
        <w:t>, 2003-04 to 2016-17 ($000)</w:t>
      </w:r>
      <w:r w:rsidR="0073655D" w:rsidRPr="00DD2634">
        <w:rPr>
          <w:i/>
        </w:rPr>
        <w:fldChar w:fldCharType="end"/>
      </w:r>
      <w:r w:rsidR="0073655D" w:rsidRPr="00DD2634">
        <w:t xml:space="preserve"> </w:t>
      </w:r>
      <w:r w:rsidR="0073655D" w:rsidRPr="00DD2634">
        <w:fldChar w:fldCharType="begin"/>
      </w:r>
      <w:r w:rsidR="0073655D" w:rsidRPr="00DD2634">
        <w:instrText xml:space="preserve"> REF _Ref378875505 \p \h </w:instrText>
      </w:r>
      <w:r w:rsidR="00DD2634">
        <w:instrText xml:space="preserve"> \* MERGEFORMAT </w:instrText>
      </w:r>
      <w:r w:rsidR="0073655D" w:rsidRPr="00DD2634">
        <w:fldChar w:fldCharType="separate"/>
      </w:r>
      <w:r w:rsidR="00CE4F92">
        <w:t>above</w:t>
      </w:r>
      <w:r w:rsidR="0073655D" w:rsidRPr="00DD2634">
        <w:fldChar w:fldCharType="end"/>
      </w:r>
      <w:r w:rsidRPr="00DD2634">
        <w:t xml:space="preserve">). Child care fee subsidies </w:t>
      </w:r>
      <w:r w:rsidR="00FE3060">
        <w:t>(</w:t>
      </w:r>
      <w:proofErr w:type="spellStart"/>
      <w:r w:rsidR="00FE3060">
        <w:t>CCB</w:t>
      </w:r>
      <w:proofErr w:type="spellEnd"/>
      <w:r w:rsidR="00FE3060">
        <w:t xml:space="preserve"> and </w:t>
      </w:r>
      <w:proofErr w:type="spellStart"/>
      <w:r w:rsidR="00FE3060">
        <w:t>CCR</w:t>
      </w:r>
      <w:proofErr w:type="spellEnd"/>
      <w:r w:rsidR="00FE3060">
        <w:t xml:space="preserve">) </w:t>
      </w:r>
      <w:r w:rsidRPr="00DD2634">
        <w:t>form one of the fastest growing areas of Australian Government outlay, driven principally by increased numbers of children in care, increased hours in care and rises in fees. In 2003</w:t>
      </w:r>
      <w:r w:rsidR="009B2971">
        <w:t>–</w:t>
      </w:r>
      <w:r w:rsidRPr="00DD2634">
        <w:t>04, exp</w:t>
      </w:r>
      <w:r w:rsidR="00FE21E6" w:rsidRPr="00DD2634">
        <w:t xml:space="preserve">enditure on </w:t>
      </w:r>
      <w:proofErr w:type="spellStart"/>
      <w:r w:rsidR="00FE21E6" w:rsidRPr="00DD2634">
        <w:t>CCB</w:t>
      </w:r>
      <w:proofErr w:type="spellEnd"/>
      <w:r w:rsidR="00FE21E6" w:rsidRPr="00DD2634">
        <w:t xml:space="preserve"> and </w:t>
      </w:r>
      <w:proofErr w:type="spellStart"/>
      <w:r w:rsidR="00FE21E6" w:rsidRPr="00DD2634">
        <w:t>CCR</w:t>
      </w:r>
      <w:proofErr w:type="spellEnd"/>
      <w:r w:rsidR="00FE21E6" w:rsidRPr="00DD2634">
        <w:t xml:space="preserve"> was $1.4</w:t>
      </w:r>
      <w:r w:rsidRPr="00DD2634">
        <w:t xml:space="preserve"> billion. Latest projections suggest that by 2016</w:t>
      </w:r>
      <w:r w:rsidR="009B2971">
        <w:t>–</w:t>
      </w:r>
      <w:r w:rsidRPr="00DD2634">
        <w:t>17 this figure could be around $7</w:t>
      </w:r>
      <w:r w:rsidR="00FE21E6" w:rsidRPr="00DD2634">
        <w:t>.1</w:t>
      </w:r>
      <w:r w:rsidR="00D05A2C">
        <w:t> </w:t>
      </w:r>
      <w:r w:rsidRPr="00DD2634">
        <w:t>billion.</w:t>
      </w:r>
    </w:p>
    <w:p w14:paraId="20E07D29" w14:textId="77777777" w:rsidR="00FE21E6" w:rsidRPr="00DD2634" w:rsidRDefault="00FE21E6" w:rsidP="00FE21E6">
      <w:pPr>
        <w:pStyle w:val="NormalNumbered"/>
        <w:numPr>
          <w:ilvl w:val="0"/>
          <w:numId w:val="0"/>
        </w:numPr>
      </w:pPr>
      <w:r w:rsidRPr="00DD2634">
        <w:t xml:space="preserve">Currently, families with incomes under $41,000 are eligible to receive the maximum </w:t>
      </w:r>
      <w:proofErr w:type="spellStart"/>
      <w:r w:rsidRPr="00DD2634">
        <w:t>CCB</w:t>
      </w:r>
      <w:proofErr w:type="spellEnd"/>
      <w:r w:rsidRPr="00DD2634">
        <w:t xml:space="preserve"> rate. In the June quarter 2013, approximately 25.8 per cent of all families using approved child care, were receiving the maximum </w:t>
      </w:r>
      <w:proofErr w:type="spellStart"/>
      <w:r w:rsidRPr="00DD2634">
        <w:t>CCB</w:t>
      </w:r>
      <w:proofErr w:type="spellEnd"/>
      <w:r w:rsidRPr="00DD2634">
        <w:t xml:space="preserve"> amount available. Around $333.4 million (or 54.6 per cent of the total </w:t>
      </w:r>
      <w:proofErr w:type="spellStart"/>
      <w:r w:rsidRPr="00DD2634">
        <w:t>CCB</w:t>
      </w:r>
      <w:proofErr w:type="spellEnd"/>
      <w:r w:rsidRPr="00DD2634">
        <w:t xml:space="preserve"> expenditure) was the estimated entitlement for families receiving the maximum amount of </w:t>
      </w:r>
      <w:proofErr w:type="spellStart"/>
      <w:r w:rsidRPr="00DD2634">
        <w:t>CCB</w:t>
      </w:r>
      <w:proofErr w:type="spellEnd"/>
      <w:r w:rsidRPr="00DD2634">
        <w:t>.</w:t>
      </w:r>
    </w:p>
    <w:p w14:paraId="04969E89" w14:textId="789A8DFD" w:rsidR="006D330D" w:rsidRPr="00DD2634" w:rsidRDefault="006D330D" w:rsidP="00381744">
      <w:pPr>
        <w:pStyle w:val="NormalNumbered"/>
        <w:numPr>
          <w:ilvl w:val="0"/>
          <w:numId w:val="0"/>
        </w:numPr>
      </w:pPr>
      <w:r w:rsidRPr="00DD2634">
        <w:t xml:space="preserve">By 2015, it is estimated that outlays for CCR will exceed outlays for </w:t>
      </w:r>
      <w:proofErr w:type="spellStart"/>
      <w:r w:rsidRPr="00DD2634">
        <w:t>CCB</w:t>
      </w:r>
      <w:proofErr w:type="spellEnd"/>
      <w:r w:rsidRPr="00DD2634">
        <w:t xml:space="preserve">. Beyond this, CCR outlays will continue to grow rapidly, while </w:t>
      </w:r>
      <w:proofErr w:type="spellStart"/>
      <w:r w:rsidRPr="00DD2634">
        <w:t>CCB</w:t>
      </w:r>
      <w:proofErr w:type="spellEnd"/>
      <w:r w:rsidRPr="00DD2634">
        <w:t xml:space="preserve"> will grow at a high, but much slower rate. </w:t>
      </w:r>
      <w:r w:rsidR="00FE21E6" w:rsidRPr="00DD2634">
        <w:t>T</w:t>
      </w:r>
      <w:r w:rsidRPr="00DD2634">
        <w:t xml:space="preserve">he expectation is that upward pressures on fees, including from wage growth, the </w:t>
      </w:r>
      <w:proofErr w:type="spellStart"/>
      <w:r w:rsidRPr="00DD2634">
        <w:t>NQF</w:t>
      </w:r>
      <w:proofErr w:type="spellEnd"/>
      <w:r w:rsidRPr="00DD2634">
        <w:t xml:space="preserve"> and popu</w:t>
      </w:r>
      <w:r w:rsidR="00FE21E6" w:rsidRPr="00DD2634">
        <w:t>lation increases, will continue. This will</w:t>
      </w:r>
      <w:r w:rsidRPr="00DD2634">
        <w:t xml:space="preserve"> result </w:t>
      </w:r>
      <w:r w:rsidR="00FE21E6" w:rsidRPr="00DD2634">
        <w:t>in continued growth in</w:t>
      </w:r>
      <w:r w:rsidRPr="00DD2634">
        <w:t xml:space="preserve"> outlays.</w:t>
      </w:r>
    </w:p>
    <w:bookmarkEnd w:id="94"/>
    <w:p w14:paraId="04969E95" w14:textId="4DC9F1E2" w:rsidR="00196061" w:rsidRPr="00DD2634" w:rsidRDefault="00196061" w:rsidP="00381744">
      <w:pPr>
        <w:pStyle w:val="NormalNumbered"/>
        <w:numPr>
          <w:ilvl w:val="0"/>
          <w:numId w:val="0"/>
        </w:numPr>
      </w:pPr>
      <w:r w:rsidRPr="00DD2634">
        <w:t xml:space="preserve">In the </w:t>
      </w:r>
      <w:r w:rsidR="00A21C06" w:rsidRPr="00DD2634">
        <w:t>June</w:t>
      </w:r>
      <w:r w:rsidRPr="00DD2634">
        <w:t xml:space="preserve"> quarter 2013, total expenditure for CCR was around $</w:t>
      </w:r>
      <w:r w:rsidR="00D05A2C">
        <w:t>583</w:t>
      </w:r>
      <w:r w:rsidRPr="00DD2634">
        <w:t xml:space="preserve"> million. Of this total expenditure,</w:t>
      </w:r>
      <w:r w:rsidR="00A21C06" w:rsidRPr="00DD2634">
        <w:t xml:space="preserve"> 42.9</w:t>
      </w:r>
      <w:r w:rsidRPr="00DD2634">
        <w:t xml:space="preserve"> per cent went to families </w:t>
      </w:r>
      <w:r w:rsidR="00D05A2C">
        <w:t>who</w:t>
      </w:r>
      <w:r w:rsidRPr="00DD2634">
        <w:t xml:space="preserve"> did not receive any </w:t>
      </w:r>
      <w:proofErr w:type="spellStart"/>
      <w:r w:rsidRPr="00DD2634">
        <w:t>CCB</w:t>
      </w:r>
      <w:proofErr w:type="spellEnd"/>
      <w:r w:rsidRPr="00DD2634">
        <w:t xml:space="preserve"> entitlement, either </w:t>
      </w:r>
      <w:r w:rsidR="00A21C06" w:rsidRPr="00DD2634">
        <w:t xml:space="preserve">because families did not claim </w:t>
      </w:r>
      <w:r w:rsidRPr="00DD2634">
        <w:t>or because their income was too high to qualify. Around 1</w:t>
      </w:r>
      <w:r w:rsidR="00D05A2C">
        <w:t>4</w:t>
      </w:r>
      <w:r w:rsidRPr="00DD2634">
        <w:t xml:space="preserve"> per cent of CCR expenditure went to families receiving th</w:t>
      </w:r>
      <w:r w:rsidR="007131DA">
        <w:t xml:space="preserve">e maximum </w:t>
      </w:r>
      <w:proofErr w:type="spellStart"/>
      <w:r w:rsidR="007131DA">
        <w:t>CCB</w:t>
      </w:r>
      <w:proofErr w:type="spellEnd"/>
      <w:r w:rsidR="007131DA">
        <w:t xml:space="preserve"> amount available.</w:t>
      </w:r>
    </w:p>
    <w:p w14:paraId="724E0D31" w14:textId="73DE366F" w:rsidR="00B26692" w:rsidRPr="00DD2634" w:rsidRDefault="00B26692" w:rsidP="00B26692">
      <w:pPr>
        <w:pStyle w:val="Heading3"/>
      </w:pPr>
      <w:r w:rsidRPr="00DD2634">
        <w:t>Child Care Fees</w:t>
      </w:r>
    </w:p>
    <w:p w14:paraId="375D0D2F" w14:textId="77777777" w:rsidR="00B26692" w:rsidRPr="00DD2634" w:rsidRDefault="00B26692" w:rsidP="00B26692">
      <w:pPr>
        <w:pStyle w:val="NormalNumbered"/>
        <w:numPr>
          <w:ilvl w:val="0"/>
          <w:numId w:val="0"/>
        </w:numPr>
      </w:pPr>
      <w:r w:rsidRPr="00DD2634">
        <w:t xml:space="preserve">Child care services are responsible for setting their own fees. Approved child care services submit information to the Department of Education about fees charged for their services. This information is published on the </w:t>
      </w:r>
      <w:proofErr w:type="spellStart"/>
      <w:r w:rsidRPr="00DD2634">
        <w:t>MyChild</w:t>
      </w:r>
      <w:proofErr w:type="spellEnd"/>
      <w:r w:rsidRPr="00DD2634">
        <w:t xml:space="preserve"> website.</w:t>
      </w:r>
    </w:p>
    <w:p w14:paraId="07CF8BA2" w14:textId="77777777" w:rsidR="00B26692" w:rsidRPr="00DD2634" w:rsidRDefault="00B26692" w:rsidP="00B26692">
      <w:pPr>
        <w:pStyle w:val="Caption"/>
        <w:rPr>
          <w:szCs w:val="16"/>
        </w:rPr>
      </w:pPr>
      <w:r w:rsidRPr="00DD2634">
        <w:rPr>
          <w:szCs w:val="16"/>
        </w:rPr>
        <w:t xml:space="preserve">Table </w:t>
      </w:r>
      <w:proofErr w:type="spellStart"/>
      <w:r w:rsidRPr="00DD2634">
        <w:rPr>
          <w:szCs w:val="16"/>
        </w:rPr>
        <w:t>A2.1</w:t>
      </w:r>
      <w:proofErr w:type="spellEnd"/>
      <w:r w:rsidRPr="00DD2634">
        <w:rPr>
          <w:szCs w:val="16"/>
        </w:rPr>
        <w:t xml:space="preserve">: Average hourly fees and average number of hours per week by service type, June quarter 2013 </w:t>
      </w:r>
    </w:p>
    <w:tbl>
      <w:tblPr>
        <w:tblStyle w:val="TableGrid"/>
        <w:tblW w:w="0" w:type="auto"/>
        <w:tblInd w:w="108" w:type="dxa"/>
        <w:tblLook w:val="04A0" w:firstRow="1" w:lastRow="0" w:firstColumn="1" w:lastColumn="0" w:noHBand="0" w:noVBand="1"/>
      </w:tblPr>
      <w:tblGrid>
        <w:gridCol w:w="4111"/>
        <w:gridCol w:w="1843"/>
        <w:gridCol w:w="1984"/>
      </w:tblGrid>
      <w:tr w:rsidR="00B26692" w:rsidRPr="00DD2634" w14:paraId="5A501AB3" w14:textId="77777777" w:rsidTr="00712F65">
        <w:tc>
          <w:tcPr>
            <w:tcW w:w="4111" w:type="dxa"/>
            <w:shd w:val="clear" w:color="auto" w:fill="F2F2F2" w:themeFill="background1" w:themeFillShade="F2"/>
          </w:tcPr>
          <w:p w14:paraId="402C8B3C" w14:textId="77777777" w:rsidR="00B26692" w:rsidRPr="00DD2634" w:rsidRDefault="00B26692" w:rsidP="00712F65">
            <w:pPr>
              <w:rPr>
                <w:rFonts w:cstheme="minorHAnsi"/>
                <w:b/>
                <w:sz w:val="18"/>
                <w:szCs w:val="18"/>
              </w:rPr>
            </w:pPr>
            <w:r w:rsidRPr="00DD2634">
              <w:rPr>
                <w:rFonts w:cstheme="minorHAnsi"/>
                <w:b/>
                <w:sz w:val="18"/>
                <w:szCs w:val="18"/>
              </w:rPr>
              <w:t>Approved care type</w:t>
            </w:r>
          </w:p>
        </w:tc>
        <w:tc>
          <w:tcPr>
            <w:tcW w:w="1843" w:type="dxa"/>
            <w:shd w:val="clear" w:color="auto" w:fill="F2F2F2" w:themeFill="background1" w:themeFillShade="F2"/>
          </w:tcPr>
          <w:p w14:paraId="07E65E48" w14:textId="77777777" w:rsidR="00B26692" w:rsidRPr="00DD2634" w:rsidRDefault="00B26692" w:rsidP="00712F65">
            <w:pPr>
              <w:jc w:val="center"/>
              <w:rPr>
                <w:rFonts w:cstheme="minorHAnsi"/>
                <w:b/>
                <w:sz w:val="18"/>
                <w:szCs w:val="18"/>
              </w:rPr>
            </w:pPr>
            <w:r w:rsidRPr="00DD2634">
              <w:rPr>
                <w:rFonts w:cstheme="minorHAnsi"/>
                <w:b/>
                <w:sz w:val="18"/>
                <w:szCs w:val="18"/>
              </w:rPr>
              <w:t>Average hourly fee (gross)</w:t>
            </w:r>
          </w:p>
        </w:tc>
        <w:tc>
          <w:tcPr>
            <w:tcW w:w="1984" w:type="dxa"/>
            <w:shd w:val="clear" w:color="auto" w:fill="F2F2F2" w:themeFill="background1" w:themeFillShade="F2"/>
          </w:tcPr>
          <w:p w14:paraId="2BBBAFB2" w14:textId="77777777" w:rsidR="00B26692" w:rsidRPr="00DD2634" w:rsidRDefault="00B26692" w:rsidP="00712F65">
            <w:pPr>
              <w:jc w:val="center"/>
              <w:rPr>
                <w:rFonts w:cstheme="minorHAnsi"/>
                <w:b/>
                <w:sz w:val="18"/>
                <w:szCs w:val="18"/>
              </w:rPr>
            </w:pPr>
            <w:r w:rsidRPr="00DD2634">
              <w:rPr>
                <w:rFonts w:cstheme="minorHAnsi"/>
                <w:b/>
                <w:sz w:val="18"/>
                <w:szCs w:val="18"/>
              </w:rPr>
              <w:t>Average number of hours per week</w:t>
            </w:r>
          </w:p>
        </w:tc>
      </w:tr>
      <w:tr w:rsidR="00B26692" w:rsidRPr="00DD2634" w14:paraId="08A97DEC" w14:textId="77777777" w:rsidTr="00712F65">
        <w:tc>
          <w:tcPr>
            <w:tcW w:w="4111" w:type="dxa"/>
          </w:tcPr>
          <w:p w14:paraId="4E1D3977" w14:textId="77777777" w:rsidR="00B26692" w:rsidRPr="00DD2634" w:rsidRDefault="00B26692" w:rsidP="00712F65">
            <w:pPr>
              <w:rPr>
                <w:rFonts w:cstheme="minorHAnsi"/>
                <w:sz w:val="20"/>
                <w:szCs w:val="20"/>
              </w:rPr>
            </w:pPr>
            <w:r w:rsidRPr="00DD2634">
              <w:rPr>
                <w:rFonts w:cstheme="minorHAnsi"/>
                <w:sz w:val="20"/>
                <w:szCs w:val="20"/>
              </w:rPr>
              <w:t>Long Day Care</w:t>
            </w:r>
          </w:p>
        </w:tc>
        <w:tc>
          <w:tcPr>
            <w:tcW w:w="1843" w:type="dxa"/>
          </w:tcPr>
          <w:p w14:paraId="52326E69" w14:textId="77777777" w:rsidR="00B26692" w:rsidRPr="00DD2634" w:rsidRDefault="00B26692" w:rsidP="00712F65">
            <w:pPr>
              <w:jc w:val="center"/>
              <w:rPr>
                <w:rFonts w:cstheme="minorHAnsi"/>
                <w:sz w:val="20"/>
                <w:szCs w:val="20"/>
              </w:rPr>
            </w:pPr>
            <w:r w:rsidRPr="00DD2634">
              <w:rPr>
                <w:rFonts w:cstheme="minorHAnsi"/>
                <w:sz w:val="20"/>
                <w:szCs w:val="20"/>
              </w:rPr>
              <w:t>$7.50</w:t>
            </w:r>
          </w:p>
        </w:tc>
        <w:tc>
          <w:tcPr>
            <w:tcW w:w="1984" w:type="dxa"/>
          </w:tcPr>
          <w:p w14:paraId="73C2865C" w14:textId="77777777" w:rsidR="00B26692" w:rsidRPr="00DD2634" w:rsidRDefault="00B26692" w:rsidP="00712F65">
            <w:pPr>
              <w:tabs>
                <w:tab w:val="left" w:pos="855"/>
              </w:tabs>
              <w:jc w:val="center"/>
              <w:rPr>
                <w:rFonts w:cstheme="minorHAnsi"/>
                <w:sz w:val="20"/>
                <w:szCs w:val="20"/>
              </w:rPr>
            </w:pPr>
            <w:r w:rsidRPr="00DD2634">
              <w:rPr>
                <w:rFonts w:cstheme="minorHAnsi"/>
                <w:sz w:val="20"/>
                <w:szCs w:val="20"/>
              </w:rPr>
              <w:t>27.2</w:t>
            </w:r>
          </w:p>
        </w:tc>
      </w:tr>
      <w:tr w:rsidR="00B26692" w:rsidRPr="00DD2634" w14:paraId="55E35385" w14:textId="77777777" w:rsidTr="00712F65">
        <w:tc>
          <w:tcPr>
            <w:tcW w:w="4111" w:type="dxa"/>
          </w:tcPr>
          <w:p w14:paraId="69507C02" w14:textId="77777777" w:rsidR="00B26692" w:rsidRPr="00DD2634" w:rsidRDefault="00B26692" w:rsidP="00712F65">
            <w:pPr>
              <w:rPr>
                <w:rFonts w:cstheme="minorHAnsi"/>
                <w:sz w:val="20"/>
                <w:szCs w:val="20"/>
              </w:rPr>
            </w:pPr>
            <w:r w:rsidRPr="00DD2634">
              <w:rPr>
                <w:rFonts w:cstheme="minorHAnsi"/>
                <w:sz w:val="20"/>
                <w:szCs w:val="20"/>
              </w:rPr>
              <w:t>Family Day Care</w:t>
            </w:r>
          </w:p>
        </w:tc>
        <w:tc>
          <w:tcPr>
            <w:tcW w:w="1843" w:type="dxa"/>
          </w:tcPr>
          <w:p w14:paraId="4FB2382F" w14:textId="77777777" w:rsidR="00B26692" w:rsidRPr="00DD2634" w:rsidRDefault="00B26692" w:rsidP="00712F65">
            <w:pPr>
              <w:jc w:val="center"/>
              <w:rPr>
                <w:rFonts w:cstheme="minorHAnsi"/>
                <w:sz w:val="20"/>
                <w:szCs w:val="20"/>
              </w:rPr>
            </w:pPr>
            <w:r w:rsidRPr="00DD2634">
              <w:rPr>
                <w:rFonts w:cstheme="minorHAnsi"/>
                <w:sz w:val="20"/>
                <w:szCs w:val="20"/>
              </w:rPr>
              <w:t>$7.30</w:t>
            </w:r>
          </w:p>
        </w:tc>
        <w:tc>
          <w:tcPr>
            <w:tcW w:w="1984" w:type="dxa"/>
          </w:tcPr>
          <w:p w14:paraId="03224CA7" w14:textId="77777777" w:rsidR="00B26692" w:rsidRPr="00DD2634" w:rsidRDefault="00B26692" w:rsidP="00712F65">
            <w:pPr>
              <w:jc w:val="center"/>
              <w:rPr>
                <w:rFonts w:cstheme="minorHAnsi"/>
                <w:sz w:val="20"/>
                <w:szCs w:val="20"/>
              </w:rPr>
            </w:pPr>
            <w:r w:rsidRPr="00DD2634">
              <w:rPr>
                <w:rFonts w:cstheme="minorHAnsi"/>
                <w:sz w:val="20"/>
                <w:szCs w:val="20"/>
              </w:rPr>
              <w:t>27.0</w:t>
            </w:r>
          </w:p>
        </w:tc>
      </w:tr>
      <w:tr w:rsidR="00B26692" w:rsidRPr="00DD2634" w14:paraId="5C2A106C" w14:textId="77777777" w:rsidTr="00712F65">
        <w:tc>
          <w:tcPr>
            <w:tcW w:w="4111" w:type="dxa"/>
          </w:tcPr>
          <w:p w14:paraId="0D07FFA5" w14:textId="77777777" w:rsidR="00B26692" w:rsidRPr="00DD2634" w:rsidRDefault="00B26692" w:rsidP="00712F65">
            <w:pPr>
              <w:rPr>
                <w:rFonts w:cstheme="minorHAnsi"/>
                <w:sz w:val="20"/>
                <w:szCs w:val="20"/>
              </w:rPr>
            </w:pPr>
            <w:r w:rsidRPr="00DD2634">
              <w:rPr>
                <w:rFonts w:cstheme="minorHAnsi"/>
                <w:sz w:val="20"/>
                <w:szCs w:val="20"/>
              </w:rPr>
              <w:t>Outside School Hours Care</w:t>
            </w:r>
          </w:p>
        </w:tc>
        <w:tc>
          <w:tcPr>
            <w:tcW w:w="1843" w:type="dxa"/>
          </w:tcPr>
          <w:p w14:paraId="06E71DC2" w14:textId="77777777" w:rsidR="00B26692" w:rsidRPr="00DD2634" w:rsidRDefault="00B26692" w:rsidP="00712F65">
            <w:pPr>
              <w:jc w:val="center"/>
              <w:rPr>
                <w:rFonts w:cstheme="minorHAnsi"/>
                <w:sz w:val="20"/>
                <w:szCs w:val="20"/>
              </w:rPr>
            </w:pPr>
            <w:r w:rsidRPr="00DD2634">
              <w:rPr>
                <w:rFonts w:cstheme="minorHAnsi"/>
                <w:sz w:val="20"/>
                <w:szCs w:val="20"/>
              </w:rPr>
              <w:t>$6.05</w:t>
            </w:r>
          </w:p>
        </w:tc>
        <w:tc>
          <w:tcPr>
            <w:tcW w:w="1984" w:type="dxa"/>
          </w:tcPr>
          <w:p w14:paraId="6B6D5385" w14:textId="77777777" w:rsidR="00B26692" w:rsidRPr="00DD2634" w:rsidRDefault="00B26692" w:rsidP="00712F65">
            <w:pPr>
              <w:jc w:val="center"/>
              <w:rPr>
                <w:rFonts w:cstheme="minorHAnsi"/>
                <w:sz w:val="20"/>
                <w:szCs w:val="20"/>
              </w:rPr>
            </w:pPr>
            <w:r w:rsidRPr="00DD2634">
              <w:rPr>
                <w:rFonts w:cstheme="minorHAnsi"/>
                <w:sz w:val="20"/>
                <w:szCs w:val="20"/>
              </w:rPr>
              <w:t>10.7</w:t>
            </w:r>
          </w:p>
        </w:tc>
      </w:tr>
      <w:tr w:rsidR="00B26692" w:rsidRPr="00DD2634" w14:paraId="790B7E63" w14:textId="77777777" w:rsidTr="00712F65">
        <w:tc>
          <w:tcPr>
            <w:tcW w:w="4111" w:type="dxa"/>
          </w:tcPr>
          <w:p w14:paraId="54C4E9DB" w14:textId="522EC3E2" w:rsidR="00B26692" w:rsidRPr="00DD2634" w:rsidRDefault="00D05A2C" w:rsidP="00712F65">
            <w:pPr>
              <w:rPr>
                <w:rFonts w:cstheme="minorHAnsi"/>
                <w:sz w:val="20"/>
                <w:szCs w:val="20"/>
              </w:rPr>
            </w:pPr>
            <w:r>
              <w:rPr>
                <w:rFonts w:cstheme="minorHAnsi"/>
                <w:sz w:val="20"/>
                <w:szCs w:val="20"/>
              </w:rPr>
              <w:t xml:space="preserve">In Home </w:t>
            </w:r>
            <w:r w:rsidR="00B26692" w:rsidRPr="00DD2634">
              <w:rPr>
                <w:rFonts w:cstheme="minorHAnsi"/>
                <w:sz w:val="20"/>
                <w:szCs w:val="20"/>
              </w:rPr>
              <w:t>Care</w:t>
            </w:r>
          </w:p>
        </w:tc>
        <w:tc>
          <w:tcPr>
            <w:tcW w:w="1843" w:type="dxa"/>
          </w:tcPr>
          <w:p w14:paraId="214C629B" w14:textId="77777777" w:rsidR="00B26692" w:rsidRPr="00DD2634" w:rsidRDefault="00B26692" w:rsidP="00712F65">
            <w:pPr>
              <w:jc w:val="center"/>
              <w:rPr>
                <w:rFonts w:cstheme="minorHAnsi"/>
                <w:sz w:val="20"/>
                <w:szCs w:val="20"/>
              </w:rPr>
            </w:pPr>
            <w:r w:rsidRPr="00DD2634">
              <w:rPr>
                <w:rFonts w:cstheme="minorHAnsi"/>
                <w:sz w:val="20"/>
                <w:szCs w:val="20"/>
              </w:rPr>
              <w:t>$13.85</w:t>
            </w:r>
          </w:p>
        </w:tc>
        <w:tc>
          <w:tcPr>
            <w:tcW w:w="1984" w:type="dxa"/>
          </w:tcPr>
          <w:p w14:paraId="0A6FAB4E" w14:textId="77777777" w:rsidR="00B26692" w:rsidRPr="00DD2634" w:rsidRDefault="00B26692" w:rsidP="00712F65">
            <w:pPr>
              <w:jc w:val="center"/>
              <w:rPr>
                <w:rFonts w:cstheme="minorHAnsi"/>
                <w:sz w:val="20"/>
                <w:szCs w:val="20"/>
              </w:rPr>
            </w:pPr>
            <w:r w:rsidRPr="00DD2634">
              <w:rPr>
                <w:rFonts w:cstheme="minorHAnsi"/>
                <w:sz w:val="20"/>
                <w:szCs w:val="20"/>
              </w:rPr>
              <w:t>27.7</w:t>
            </w:r>
          </w:p>
        </w:tc>
      </w:tr>
      <w:tr w:rsidR="00B26692" w:rsidRPr="00DD2634" w14:paraId="3D9091A1" w14:textId="77777777" w:rsidTr="00712F65">
        <w:tc>
          <w:tcPr>
            <w:tcW w:w="4111" w:type="dxa"/>
          </w:tcPr>
          <w:p w14:paraId="48FC9EDD" w14:textId="77777777" w:rsidR="00B26692" w:rsidRPr="00DD2634" w:rsidRDefault="00B26692" w:rsidP="00712F65">
            <w:pPr>
              <w:rPr>
                <w:rFonts w:cstheme="minorHAnsi"/>
                <w:sz w:val="20"/>
                <w:szCs w:val="20"/>
              </w:rPr>
            </w:pPr>
            <w:r w:rsidRPr="00DD2634">
              <w:rPr>
                <w:rFonts w:cstheme="minorHAnsi"/>
                <w:sz w:val="20"/>
                <w:szCs w:val="20"/>
              </w:rPr>
              <w:t>Occasional Care</w:t>
            </w:r>
          </w:p>
        </w:tc>
        <w:tc>
          <w:tcPr>
            <w:tcW w:w="1843" w:type="dxa"/>
          </w:tcPr>
          <w:p w14:paraId="1E676AB7" w14:textId="77777777" w:rsidR="00B26692" w:rsidRPr="00DD2634" w:rsidRDefault="00B26692" w:rsidP="00712F65">
            <w:pPr>
              <w:jc w:val="center"/>
              <w:rPr>
                <w:rFonts w:cstheme="minorHAnsi"/>
                <w:sz w:val="20"/>
                <w:szCs w:val="20"/>
              </w:rPr>
            </w:pPr>
            <w:r w:rsidRPr="00DD2634">
              <w:rPr>
                <w:rFonts w:cstheme="minorHAnsi"/>
                <w:sz w:val="20"/>
                <w:szCs w:val="20"/>
              </w:rPr>
              <w:t>$8.85</w:t>
            </w:r>
          </w:p>
        </w:tc>
        <w:tc>
          <w:tcPr>
            <w:tcW w:w="1984" w:type="dxa"/>
          </w:tcPr>
          <w:p w14:paraId="0075AD93" w14:textId="77777777" w:rsidR="00B26692" w:rsidRPr="00DD2634" w:rsidRDefault="00B26692" w:rsidP="00712F65">
            <w:pPr>
              <w:jc w:val="center"/>
              <w:rPr>
                <w:rFonts w:cstheme="minorHAnsi"/>
                <w:sz w:val="20"/>
                <w:szCs w:val="20"/>
              </w:rPr>
            </w:pPr>
            <w:r w:rsidRPr="00DD2634">
              <w:rPr>
                <w:rFonts w:cstheme="minorHAnsi"/>
                <w:sz w:val="20"/>
                <w:szCs w:val="20"/>
              </w:rPr>
              <w:t>10.9</w:t>
            </w:r>
          </w:p>
        </w:tc>
      </w:tr>
    </w:tbl>
    <w:p w14:paraId="6E2FB44A" w14:textId="77777777" w:rsidR="00B26692" w:rsidRPr="00DD2634" w:rsidRDefault="00B26692" w:rsidP="00B26692">
      <w:pPr>
        <w:pStyle w:val="Source"/>
        <w:rPr>
          <w:rFonts w:cstheme="minorHAnsi"/>
        </w:rPr>
      </w:pPr>
      <w:r w:rsidRPr="00DD2634">
        <w:rPr>
          <w:lang w:eastAsia="en-AU"/>
        </w:rPr>
        <w:t>Source: Department of Education administrative data</w:t>
      </w:r>
    </w:p>
    <w:p w14:paraId="04969E96" w14:textId="25B821E2" w:rsidR="00862A00" w:rsidRPr="00DD2634" w:rsidRDefault="006E1311" w:rsidP="00196061">
      <w:pPr>
        <w:pStyle w:val="Heading3"/>
        <w:tabs>
          <w:tab w:val="clear" w:pos="0"/>
          <w:tab w:val="left" w:pos="-567"/>
        </w:tabs>
      </w:pPr>
      <w:r w:rsidRPr="00DD2634">
        <w:t>Out-of-</w:t>
      </w:r>
      <w:r w:rsidR="00862A00" w:rsidRPr="00DD2634">
        <w:t>pocket costs</w:t>
      </w:r>
    </w:p>
    <w:p w14:paraId="04969E97" w14:textId="77777777" w:rsidR="00862A00" w:rsidRPr="00DD2634" w:rsidRDefault="00862A00" w:rsidP="00381744">
      <w:pPr>
        <w:pStyle w:val="NormalNumbered"/>
        <w:numPr>
          <w:ilvl w:val="0"/>
          <w:numId w:val="0"/>
        </w:numPr>
      </w:pPr>
      <w:r w:rsidRPr="00DD2634">
        <w:t xml:space="preserve">Gross fees are the total cost of child care and are usually the service’s advertised price. As most families receive a significant fee reduction through a combination </w:t>
      </w:r>
      <w:r w:rsidRPr="00DD2634">
        <w:lastRenderedPageBreak/>
        <w:t xml:space="preserve">of </w:t>
      </w:r>
      <w:proofErr w:type="spellStart"/>
      <w:r w:rsidRPr="00DD2634">
        <w:t>CCB</w:t>
      </w:r>
      <w:proofErr w:type="spellEnd"/>
      <w:r w:rsidRPr="00DD2634">
        <w:t xml:space="preserve"> and </w:t>
      </w:r>
      <w:proofErr w:type="spellStart"/>
      <w:r w:rsidRPr="00DD2634">
        <w:t>CCR</w:t>
      </w:r>
      <w:proofErr w:type="spellEnd"/>
      <w:r w:rsidRPr="00DD2634">
        <w:t>, the gross price is not reflective of the actual costs paid by families. Net fees, or out-of-pocket costs, are the costs to families after child care subsidies have been taken into account.</w:t>
      </w:r>
    </w:p>
    <w:p w14:paraId="39F33210" w14:textId="3B76E521" w:rsidR="00B26692" w:rsidRPr="00DD2634" w:rsidRDefault="00B26692" w:rsidP="00B26692">
      <w:pPr>
        <w:pStyle w:val="NormalNumbered"/>
        <w:numPr>
          <w:ilvl w:val="0"/>
          <w:numId w:val="0"/>
        </w:numPr>
      </w:pPr>
      <w:r w:rsidRPr="00DD2634">
        <w:t xml:space="preserve">Figure </w:t>
      </w:r>
      <w:proofErr w:type="spellStart"/>
      <w:r w:rsidRPr="00DD2634">
        <w:t>A2.1</w:t>
      </w:r>
      <w:proofErr w:type="spellEnd"/>
      <w:r w:rsidRPr="00DD2634">
        <w:t xml:space="preserve"> shows the current out-of-pocket costs as a proportion of disposable income for families at eight annual gross incomes and illustrates the relative affordability of child care for different income groups and their relative ability to pay for child care. </w:t>
      </w:r>
    </w:p>
    <w:p w14:paraId="41D464B5" w14:textId="66640BDE" w:rsidR="00B26692" w:rsidRPr="00DD2634" w:rsidRDefault="00B26692" w:rsidP="00B26692">
      <w:pPr>
        <w:pStyle w:val="Caption"/>
        <w:rPr>
          <w:szCs w:val="16"/>
        </w:rPr>
      </w:pPr>
      <w:r w:rsidRPr="00DD2634">
        <w:rPr>
          <w:szCs w:val="16"/>
        </w:rPr>
        <w:t xml:space="preserve">Figure </w:t>
      </w:r>
      <w:proofErr w:type="spellStart"/>
      <w:r w:rsidRPr="00DD2634">
        <w:rPr>
          <w:szCs w:val="16"/>
        </w:rPr>
        <w:t>A2.1</w:t>
      </w:r>
      <w:proofErr w:type="spellEnd"/>
      <w:r w:rsidRPr="00DD2634">
        <w:rPr>
          <w:szCs w:val="16"/>
        </w:rPr>
        <w:t>: Out of pocket costs for one child in long day care before and after Australian Government subsidies, March quarter 2013</w:t>
      </w:r>
    </w:p>
    <w:p w14:paraId="0C2845E1" w14:textId="77777777" w:rsidR="00B26692" w:rsidRPr="00DD2634" w:rsidRDefault="00B26692" w:rsidP="00B26692">
      <w:pPr>
        <w:pStyle w:val="Source"/>
      </w:pPr>
      <w:r w:rsidRPr="00DD2634">
        <w:rPr>
          <w:noProof/>
          <w:bdr w:val="single" w:sz="4" w:space="0" w:color="auto"/>
          <w:lang w:eastAsia="en-AU"/>
        </w:rPr>
        <w:drawing>
          <wp:inline distT="0" distB="0" distL="0" distR="0" wp14:anchorId="20D6167B" wp14:editId="50293AAF">
            <wp:extent cx="5039360" cy="2571811"/>
            <wp:effectExtent l="0" t="0" r="889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r w:rsidRPr="00DD2634">
        <w:t>Note: Out-of-pocket costs (before and after Australian Government subsidies) are shown for families with one child using long day care for 50 hours of care per week.</w:t>
      </w:r>
    </w:p>
    <w:p w14:paraId="000D7F37" w14:textId="77777777" w:rsidR="00B26692" w:rsidRPr="00DD2634" w:rsidRDefault="00B26692" w:rsidP="00B26692">
      <w:pPr>
        <w:pStyle w:val="Source"/>
      </w:pPr>
      <w:r w:rsidRPr="00DD2634">
        <w:t>Source: Department of Education administrative data</w:t>
      </w:r>
    </w:p>
    <w:p w14:paraId="426DA103" w14:textId="77777777" w:rsidR="00B26692" w:rsidRPr="00DD2634" w:rsidRDefault="00B26692" w:rsidP="00B26692">
      <w:pPr>
        <w:pStyle w:val="NormalNumbered"/>
        <w:numPr>
          <w:ilvl w:val="0"/>
          <w:numId w:val="0"/>
        </w:numPr>
      </w:pPr>
    </w:p>
    <w:p w14:paraId="3C51F23D" w14:textId="4C898D58" w:rsidR="00B26692" w:rsidRPr="00DD2634" w:rsidRDefault="00B26692" w:rsidP="00B26692">
      <w:pPr>
        <w:pStyle w:val="NormalNumbered"/>
        <w:numPr>
          <w:ilvl w:val="0"/>
          <w:numId w:val="0"/>
        </w:numPr>
      </w:pPr>
      <w:r w:rsidRPr="00DD2634">
        <w:t xml:space="preserve">Figure </w:t>
      </w:r>
      <w:proofErr w:type="spellStart"/>
      <w:r w:rsidRPr="00DD2634">
        <w:t>A2.2</w:t>
      </w:r>
      <w:proofErr w:type="spellEnd"/>
      <w:r w:rsidRPr="00DD2634">
        <w:t xml:space="preserve"> shows the amount of child care subsidies and out-of-pocket costs for families at different income levels (assuming one child in Long Day Care for 50 hours per week with a child care fee of $360 per week). </w:t>
      </w:r>
    </w:p>
    <w:p w14:paraId="2EC6DE69" w14:textId="29ED26EA" w:rsidR="00B26692" w:rsidRPr="00DD2634" w:rsidRDefault="00B26692" w:rsidP="00B26692">
      <w:pPr>
        <w:pStyle w:val="Caption"/>
        <w:rPr>
          <w:szCs w:val="16"/>
        </w:rPr>
      </w:pPr>
      <w:r w:rsidRPr="00DD2634">
        <w:rPr>
          <w:szCs w:val="16"/>
        </w:rPr>
        <w:lastRenderedPageBreak/>
        <w:t xml:space="preserve">Figure </w:t>
      </w:r>
      <w:proofErr w:type="spellStart"/>
      <w:r w:rsidRPr="00DD2634">
        <w:rPr>
          <w:szCs w:val="16"/>
        </w:rPr>
        <w:t>A2.2</w:t>
      </w:r>
      <w:proofErr w:type="spellEnd"/>
      <w:r w:rsidRPr="00DD2634">
        <w:rPr>
          <w:szCs w:val="16"/>
        </w:rPr>
        <w:t>: One child in LDC, 50 hours per week, estimated fee $360 pw ($18,720 pa) (2012-13)</w:t>
      </w:r>
    </w:p>
    <w:p w14:paraId="1E4F2A3A" w14:textId="77777777" w:rsidR="00B26692" w:rsidRPr="00DD2634" w:rsidRDefault="00B26692" w:rsidP="00B26692">
      <w:pPr>
        <w:pStyle w:val="NormalNumbered"/>
        <w:numPr>
          <w:ilvl w:val="0"/>
          <w:numId w:val="0"/>
        </w:numPr>
        <w:rPr>
          <w:szCs w:val="24"/>
        </w:rPr>
      </w:pPr>
      <w:r w:rsidRPr="00DD2634">
        <w:rPr>
          <w:noProof/>
          <w:lang w:eastAsia="en-AU"/>
        </w:rPr>
        <w:drawing>
          <wp:inline distT="0" distB="0" distL="0" distR="0" wp14:anchorId="3727A9A6" wp14:editId="07A40778">
            <wp:extent cx="5039360" cy="3125773"/>
            <wp:effectExtent l="19050" t="19050" r="27940" b="17780"/>
            <wp:docPr id="5" name="Picture 5" descr="cid:image004.png@01CF191C.1FEABD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 2" descr="cid:image004.png@01CF191C.1FEABD50"/>
                    <pic:cNvPicPr>
                      <a:picLocks noChangeAspect="1" noChangeArrowheads="1"/>
                    </pic:cNvPicPr>
                  </pic:nvPicPr>
                  <pic:blipFill>
                    <a:blip r:embed="rId37" r:link="rId38">
                      <a:extLst>
                        <a:ext uri="{28A0092B-C50C-407E-A947-70E740481C1C}">
                          <a14:useLocalDpi xmlns:a14="http://schemas.microsoft.com/office/drawing/2010/main" val="0"/>
                        </a:ext>
                      </a:extLst>
                    </a:blip>
                    <a:srcRect/>
                    <a:stretch>
                      <a:fillRect/>
                    </a:stretch>
                  </pic:blipFill>
                  <pic:spPr bwMode="auto">
                    <a:xfrm>
                      <a:off x="0" y="0"/>
                      <a:ext cx="5039360" cy="3125773"/>
                    </a:xfrm>
                    <a:prstGeom prst="rect">
                      <a:avLst/>
                    </a:prstGeom>
                    <a:noFill/>
                    <a:ln>
                      <a:solidFill>
                        <a:schemeClr val="tx1"/>
                      </a:solidFill>
                    </a:ln>
                  </pic:spPr>
                </pic:pic>
              </a:graphicData>
            </a:graphic>
          </wp:inline>
        </w:drawing>
      </w:r>
    </w:p>
    <w:p w14:paraId="5E13C2DE" w14:textId="77777777" w:rsidR="00B26692" w:rsidRPr="00DD2634" w:rsidRDefault="00B26692" w:rsidP="00B26692">
      <w:pPr>
        <w:pStyle w:val="Heading3"/>
        <w:tabs>
          <w:tab w:val="clear" w:pos="0"/>
          <w:tab w:val="left" w:pos="-567"/>
        </w:tabs>
        <w:spacing w:before="0" w:after="0"/>
        <w:ind w:left="-567"/>
        <w:rPr>
          <w:b w:val="0"/>
          <w:i w:val="0"/>
          <w:sz w:val="16"/>
          <w:szCs w:val="16"/>
        </w:rPr>
      </w:pPr>
      <w:r w:rsidRPr="00DD2634">
        <w:rPr>
          <w:rFonts w:ascii="Calibri" w:eastAsia="Times New Roman" w:hAnsi="Calibri" w:cs="Calibri"/>
          <w:b w:val="0"/>
          <w:i w:val="0"/>
          <w:color w:val="000000"/>
          <w:sz w:val="16"/>
          <w:szCs w:val="16"/>
          <w:lang w:eastAsia="en-AU"/>
        </w:rPr>
        <w:tab/>
        <w:t>Source: Department of Education administrative data. OOP = Out of Pocket.</w:t>
      </w:r>
    </w:p>
    <w:p w14:paraId="64B985E1" w14:textId="77777777" w:rsidR="00B26692" w:rsidRPr="00DD2634" w:rsidRDefault="00B26692" w:rsidP="00B26692">
      <w:pPr>
        <w:pStyle w:val="NormalNumbered"/>
        <w:numPr>
          <w:ilvl w:val="0"/>
          <w:numId w:val="0"/>
        </w:numPr>
      </w:pPr>
    </w:p>
    <w:p w14:paraId="6A3297F6" w14:textId="7830492C" w:rsidR="00B26692" w:rsidRPr="00DD2634" w:rsidRDefault="00B26692" w:rsidP="00B26692">
      <w:pPr>
        <w:pStyle w:val="NormalNumbered"/>
        <w:numPr>
          <w:ilvl w:val="0"/>
          <w:numId w:val="0"/>
        </w:numPr>
      </w:pPr>
      <w:r w:rsidRPr="00DD2634">
        <w:t xml:space="preserve">Figure </w:t>
      </w:r>
      <w:proofErr w:type="spellStart"/>
      <w:r w:rsidRPr="00DD2634">
        <w:t>A2.3</w:t>
      </w:r>
      <w:proofErr w:type="spellEnd"/>
      <w:r w:rsidRPr="00DD2634">
        <w:t xml:space="preserve"> shows the projected proportion of disposable incomes for </w:t>
      </w:r>
      <w:r w:rsidR="00660788" w:rsidRPr="00DD2634">
        <w:t xml:space="preserve">different income level families over time, indicating the </w:t>
      </w:r>
      <w:r w:rsidRPr="00DD2634">
        <w:t xml:space="preserve">comparative loss of the value of </w:t>
      </w:r>
      <w:proofErr w:type="spellStart"/>
      <w:r w:rsidRPr="00DD2634">
        <w:t>CCB</w:t>
      </w:r>
      <w:proofErr w:type="spellEnd"/>
      <w:r w:rsidRPr="00DD2634">
        <w:t xml:space="preserve"> to </w:t>
      </w:r>
      <w:proofErr w:type="spellStart"/>
      <w:r w:rsidRPr="00DD2634">
        <w:t>CCR</w:t>
      </w:r>
      <w:proofErr w:type="spellEnd"/>
      <w:r w:rsidRPr="00DD2634">
        <w:t>.</w:t>
      </w:r>
    </w:p>
    <w:p w14:paraId="31FCB007" w14:textId="111DF271" w:rsidR="00B26692" w:rsidRPr="00DD2634" w:rsidRDefault="00B26692" w:rsidP="00B26692">
      <w:pPr>
        <w:pStyle w:val="Caption"/>
        <w:rPr>
          <w:szCs w:val="16"/>
        </w:rPr>
      </w:pPr>
      <w:r w:rsidRPr="00DD2634">
        <w:rPr>
          <w:szCs w:val="16"/>
        </w:rPr>
        <w:t xml:space="preserve">Figure </w:t>
      </w:r>
      <w:proofErr w:type="spellStart"/>
      <w:r w:rsidRPr="00DD2634">
        <w:rPr>
          <w:szCs w:val="16"/>
        </w:rPr>
        <w:t>A2.3</w:t>
      </w:r>
      <w:proofErr w:type="spellEnd"/>
      <w:r w:rsidRPr="00DD2634">
        <w:rPr>
          <w:szCs w:val="16"/>
        </w:rPr>
        <w:t xml:space="preserve">: Out-of-pocket costs as a proportion of disposable income </w:t>
      </w:r>
    </w:p>
    <w:p w14:paraId="45F9D974" w14:textId="77777777" w:rsidR="00B26692" w:rsidRPr="00DD2634" w:rsidRDefault="00B26692" w:rsidP="00B26692">
      <w:pPr>
        <w:pStyle w:val="NormalNumbered"/>
        <w:numPr>
          <w:ilvl w:val="0"/>
          <w:numId w:val="0"/>
        </w:numPr>
      </w:pPr>
      <w:r w:rsidRPr="00DD2634">
        <w:rPr>
          <w:noProof/>
          <w:lang w:eastAsia="en-AU"/>
        </w:rPr>
        <w:drawing>
          <wp:inline distT="0" distB="0" distL="0" distR="0" wp14:anchorId="40A92F56" wp14:editId="3589D3D4">
            <wp:extent cx="5095875" cy="3333750"/>
            <wp:effectExtent l="0" t="0" r="9525"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1D1819F9" w14:textId="77777777" w:rsidR="00B26692" w:rsidRPr="00DD2634" w:rsidRDefault="00B26692" w:rsidP="00B26692">
      <w:pPr>
        <w:pStyle w:val="Source"/>
      </w:pPr>
      <w:r w:rsidRPr="00DD2634">
        <w:t>Source: Department of Education administrative data</w:t>
      </w:r>
    </w:p>
    <w:p w14:paraId="039040D7" w14:textId="77777777" w:rsidR="00B26692" w:rsidRPr="00DD2634" w:rsidRDefault="00B26692" w:rsidP="00381744">
      <w:pPr>
        <w:pStyle w:val="NormalNumbered"/>
        <w:numPr>
          <w:ilvl w:val="0"/>
          <w:numId w:val="0"/>
        </w:numPr>
      </w:pPr>
    </w:p>
    <w:p w14:paraId="04969EC1" w14:textId="765F9106" w:rsidR="0007469E" w:rsidRPr="00DD2634" w:rsidRDefault="0007469E" w:rsidP="00196061">
      <w:pPr>
        <w:pStyle w:val="Heading3"/>
      </w:pPr>
      <w:r w:rsidRPr="00DD2634">
        <w:lastRenderedPageBreak/>
        <w:t>Affordability over time</w:t>
      </w:r>
    </w:p>
    <w:p w14:paraId="04969EC2" w14:textId="3A558B2B" w:rsidR="002A4A22" w:rsidRPr="00DD2634" w:rsidRDefault="0007469E" w:rsidP="00381744">
      <w:pPr>
        <w:pStyle w:val="NormalNumbered"/>
        <w:numPr>
          <w:ilvl w:val="0"/>
          <w:numId w:val="0"/>
        </w:numPr>
      </w:pPr>
      <w:r w:rsidRPr="00DD2634">
        <w:t xml:space="preserve">To produce an estimate of an average household’s gross child care fees payable, the ABS collects prices from a sample of child care centres, including FDC, and private and community child care centres in each capital city. The net child care cost index is the gross cost less the estimated </w:t>
      </w:r>
      <w:proofErr w:type="spellStart"/>
      <w:r w:rsidRPr="00DD2634">
        <w:t>CCB</w:t>
      </w:r>
      <w:proofErr w:type="spellEnd"/>
      <w:r w:rsidRPr="00DD2634">
        <w:t xml:space="preserve"> and </w:t>
      </w:r>
      <w:proofErr w:type="spellStart"/>
      <w:r w:rsidRPr="00DD2634">
        <w:t>CCR</w:t>
      </w:r>
      <w:proofErr w:type="spellEnd"/>
      <w:r w:rsidRPr="00DD2634">
        <w:t xml:space="preserve"> entitlements, based on income and usage profiles of a representat</w:t>
      </w:r>
      <w:r w:rsidR="009D6E2B" w:rsidRPr="00DD2634">
        <w:t xml:space="preserve">ive sample of child care users. </w:t>
      </w:r>
      <w:r w:rsidR="00FD5571" w:rsidRPr="00DD2634">
        <w:t xml:space="preserve">Figure </w:t>
      </w:r>
      <w:proofErr w:type="spellStart"/>
      <w:r w:rsidR="00AC6EAF" w:rsidRPr="00DD2634">
        <w:t>A2</w:t>
      </w:r>
      <w:r w:rsidR="00FE21E6" w:rsidRPr="00DD2634">
        <w:t>.4</w:t>
      </w:r>
      <w:proofErr w:type="spellEnd"/>
      <w:r w:rsidR="00FE21E6" w:rsidRPr="00DD2634">
        <w:t xml:space="preserve"> </w:t>
      </w:r>
      <w:r w:rsidRPr="00DD2634">
        <w:t xml:space="preserve">shows how policy changes have impacted on affordability between 1996 and 2013. </w:t>
      </w:r>
    </w:p>
    <w:p w14:paraId="4D93B109" w14:textId="0E9F1BC6" w:rsidR="006C2087" w:rsidRPr="00DD2634" w:rsidRDefault="00FE21E6" w:rsidP="006C2087">
      <w:pPr>
        <w:pStyle w:val="Caption"/>
        <w:rPr>
          <w:szCs w:val="16"/>
        </w:rPr>
      </w:pPr>
      <w:r w:rsidRPr="00DD2634">
        <w:rPr>
          <w:szCs w:val="16"/>
        </w:rPr>
        <w:t xml:space="preserve">Figure </w:t>
      </w:r>
      <w:proofErr w:type="spellStart"/>
      <w:r w:rsidRPr="00DD2634">
        <w:rPr>
          <w:szCs w:val="16"/>
        </w:rPr>
        <w:t>A2.4</w:t>
      </w:r>
      <w:proofErr w:type="spellEnd"/>
      <w:r w:rsidR="006C2087" w:rsidRPr="00DD2634">
        <w:rPr>
          <w:szCs w:val="16"/>
        </w:rPr>
        <w:t>: Child Care Prices and CPI 1996 to 2013</w:t>
      </w:r>
    </w:p>
    <w:p w14:paraId="35FB8967" w14:textId="77777777" w:rsidR="006C2087" w:rsidRPr="00DD2634" w:rsidRDefault="006C2087" w:rsidP="006C2087">
      <w:pPr>
        <w:spacing w:after="0"/>
        <w:rPr>
          <w:rFonts w:cs="Calibri"/>
          <w:b/>
          <w:sz w:val="24"/>
          <w:szCs w:val="24"/>
        </w:rPr>
      </w:pPr>
      <w:r w:rsidRPr="00DD2634">
        <w:rPr>
          <w:rFonts w:cs="Calibri"/>
          <w:b/>
          <w:noProof/>
          <w:sz w:val="24"/>
          <w:szCs w:val="24"/>
          <w:lang w:eastAsia="en-AU"/>
        </w:rPr>
        <w:drawing>
          <wp:inline distT="0" distB="0" distL="0" distR="0" wp14:anchorId="70E0194C" wp14:editId="6037754A">
            <wp:extent cx="4990012" cy="3213463"/>
            <wp:effectExtent l="19050" t="19050" r="20320" b="2540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4995192" cy="3216799"/>
                    </a:xfrm>
                    <a:prstGeom prst="rect">
                      <a:avLst/>
                    </a:prstGeom>
                    <a:noFill/>
                    <a:ln>
                      <a:solidFill>
                        <a:schemeClr val="tx1"/>
                      </a:solidFill>
                    </a:ln>
                  </pic:spPr>
                </pic:pic>
              </a:graphicData>
            </a:graphic>
          </wp:inline>
        </w:drawing>
      </w:r>
    </w:p>
    <w:p w14:paraId="0DD2F3D0" w14:textId="77777777" w:rsidR="006C2087" w:rsidRPr="006E1311" w:rsidRDefault="006C2087" w:rsidP="006C2087">
      <w:pPr>
        <w:pStyle w:val="Source"/>
      </w:pPr>
      <w:r w:rsidRPr="00DD2634">
        <w:t xml:space="preserve">Note: The ABS did not include CCTR/CCR in the Child Care CPI estimate until 2007. A one-off </w:t>
      </w:r>
      <w:proofErr w:type="spellStart"/>
      <w:r w:rsidRPr="00DD2634">
        <w:t>CCB</w:t>
      </w:r>
      <w:proofErr w:type="spellEnd"/>
      <w:r w:rsidRPr="00DD2634">
        <w:t xml:space="preserve"> increase of 10 per cent occurred in the 2006-7 Budget.</w:t>
      </w:r>
    </w:p>
    <w:p w14:paraId="083480BC" w14:textId="41A75F41" w:rsidR="0079698B" w:rsidRPr="00E700F9" w:rsidRDefault="0079698B" w:rsidP="00367BC9">
      <w:pPr>
        <w:rPr>
          <w:rFonts w:cs="Calibri"/>
          <w:sz w:val="20"/>
          <w:szCs w:val="20"/>
        </w:rPr>
      </w:pPr>
    </w:p>
    <w:sectPr w:rsidR="0079698B" w:rsidRPr="00E700F9" w:rsidSect="00A46F62">
      <w:pgSz w:w="11906" w:h="16838"/>
      <w:pgMar w:top="1246" w:right="1985" w:bottom="1418" w:left="1985" w:header="426"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15EE0B" w14:textId="77777777" w:rsidR="006678AE" w:rsidRDefault="006678AE" w:rsidP="00A8049B">
      <w:pPr>
        <w:spacing w:after="0" w:line="240" w:lineRule="auto"/>
      </w:pPr>
      <w:r>
        <w:separator/>
      </w:r>
    </w:p>
  </w:endnote>
  <w:endnote w:type="continuationSeparator" w:id="0">
    <w:p w14:paraId="3DDA6B34" w14:textId="77777777" w:rsidR="006678AE" w:rsidRDefault="006678AE" w:rsidP="00A804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inionPro-Regular">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969EFF" w14:textId="77777777" w:rsidR="006678AE" w:rsidRPr="000812BC" w:rsidRDefault="006678AE" w:rsidP="000812BC">
    <w:pPr>
      <w:pStyle w:val="Footer"/>
      <w:pBdr>
        <w:top w:val="single" w:sz="4" w:space="1" w:color="auto"/>
      </w:pBdr>
      <w:tabs>
        <w:tab w:val="clear" w:pos="4513"/>
        <w:tab w:val="clear" w:pos="9026"/>
        <w:tab w:val="right" w:pos="9498"/>
      </w:tabs>
      <w:rPr>
        <w:color w:val="7F7F7F" w:themeColor="text1" w:themeTint="80"/>
      </w:rPr>
    </w:pPr>
    <w:r w:rsidRPr="00270665">
      <w:t xml:space="preserve">Page </w:t>
    </w:r>
    <w:r>
      <w:fldChar w:fldCharType="begin"/>
    </w:r>
    <w:r>
      <w:instrText xml:space="preserve"> PAGE   \* MERGEFORMAT </w:instrText>
    </w:r>
    <w:r>
      <w:fldChar w:fldCharType="separate"/>
    </w:r>
    <w:r>
      <w:rPr>
        <w:noProof/>
      </w:rPr>
      <w:t>26</w:t>
    </w:r>
    <w:r>
      <w:fldChar w:fldCharType="end"/>
    </w:r>
    <w:r w:rsidRPr="00270665">
      <w:tab/>
    </w:r>
    <w:r>
      <w:fldChar w:fldCharType="begin"/>
    </w:r>
    <w:r>
      <w:instrText xml:space="preserve"> DATE  \@ "d MMMM yyyy"  \* MERGEFORMAT </w:instrText>
    </w:r>
    <w:r>
      <w:fldChar w:fldCharType="separate"/>
    </w:r>
    <w:r w:rsidR="00390079">
      <w:rPr>
        <w:noProof/>
      </w:rPr>
      <w:t>5 February 2014</w:t>
    </w:r>
    <w:r>
      <w:fldChar w:fldCharType="end"/>
    </w:r>
    <w:r>
      <w:br/>
    </w:r>
    <w:r w:rsidRPr="001E1DD2">
      <w:rPr>
        <w:color w:val="7F7F7F" w:themeColor="text1" w:themeTint="80"/>
      </w:rPr>
      <w:fldChar w:fldCharType="begin"/>
    </w:r>
    <w:r w:rsidRPr="001E1DD2">
      <w:rPr>
        <w:color w:val="7F7F7F" w:themeColor="text1" w:themeTint="80"/>
      </w:rPr>
      <w:instrText xml:space="preserve"> FILENAME   \* MERGEFORMAT </w:instrText>
    </w:r>
    <w:r w:rsidRPr="001E1DD2">
      <w:rPr>
        <w:color w:val="7F7F7F" w:themeColor="text1" w:themeTint="80"/>
      </w:rPr>
      <w:fldChar w:fldCharType="separate"/>
    </w:r>
    <w:r>
      <w:rPr>
        <w:noProof/>
        <w:color w:val="7F7F7F" w:themeColor="text1" w:themeTint="80"/>
      </w:rPr>
      <w:t>Education Submission PCI CCECL v12.docx</w:t>
    </w:r>
    <w:r w:rsidRPr="001E1DD2">
      <w:rPr>
        <w:color w:val="7F7F7F" w:themeColor="text1" w:themeTint="80"/>
      </w:rPr>
      <w:fldChar w:fldCharType="end"/>
    </w:r>
    <w:r>
      <w:rPr>
        <w:color w:val="7F7F7F" w:themeColor="text1" w:themeTint="80"/>
      </w:rPr>
      <w:tab/>
      <w:t>DRAFT VERSION 4</w:t>
    </w:r>
    <w:r w:rsidRPr="001E1DD2">
      <w:rPr>
        <w:color w:val="7F7F7F" w:themeColor="text1" w:themeTint="80"/>
      </w:rPr>
      <w:t>.0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364CFA" w14:textId="77777777" w:rsidR="00C651BC" w:rsidRDefault="00C651B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629C6F" w14:textId="77777777" w:rsidR="00C651BC" w:rsidRDefault="00C651B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969F01" w14:textId="77777777" w:rsidR="006678AE" w:rsidRPr="006E1311" w:rsidRDefault="006678AE" w:rsidP="00A46F62">
    <w:pPr>
      <w:pStyle w:val="Footer"/>
      <w:pBdr>
        <w:top w:val="single" w:sz="4" w:space="1" w:color="auto"/>
      </w:pBdr>
      <w:tabs>
        <w:tab w:val="clear" w:pos="4513"/>
        <w:tab w:val="clear" w:pos="9026"/>
        <w:tab w:val="right" w:pos="7938"/>
      </w:tabs>
      <w:rPr>
        <w:color w:val="7F7F7F" w:themeColor="text1" w:themeTint="80"/>
        <w:sz w:val="16"/>
        <w:szCs w:val="16"/>
      </w:rPr>
    </w:pPr>
    <w:r w:rsidRPr="006E1311">
      <w:rPr>
        <w:sz w:val="16"/>
        <w:szCs w:val="16"/>
      </w:rPr>
      <w:t xml:space="preserve">Page </w:t>
    </w:r>
    <w:r w:rsidRPr="006E1311">
      <w:rPr>
        <w:sz w:val="16"/>
        <w:szCs w:val="16"/>
      </w:rPr>
      <w:fldChar w:fldCharType="begin"/>
    </w:r>
    <w:r w:rsidRPr="006E1311">
      <w:rPr>
        <w:sz w:val="16"/>
        <w:szCs w:val="16"/>
      </w:rPr>
      <w:instrText xml:space="preserve"> PAGE   \* MERGEFORMAT </w:instrText>
    </w:r>
    <w:r w:rsidRPr="006E1311">
      <w:rPr>
        <w:sz w:val="16"/>
        <w:szCs w:val="16"/>
      </w:rPr>
      <w:fldChar w:fldCharType="separate"/>
    </w:r>
    <w:r w:rsidR="0003292C">
      <w:rPr>
        <w:noProof/>
        <w:sz w:val="16"/>
        <w:szCs w:val="16"/>
      </w:rPr>
      <w:t>40</w:t>
    </w:r>
    <w:r w:rsidRPr="006E1311">
      <w:rPr>
        <w:sz w:val="16"/>
        <w:szCs w:val="16"/>
      </w:rPr>
      <w:fldChar w:fldCharType="end"/>
    </w:r>
    <w:r w:rsidRPr="006E1311">
      <w:rPr>
        <w:sz w:val="16"/>
        <w:szCs w:val="16"/>
      </w:rPr>
      <w:tab/>
      <w:t>Australian Government Department of Education</w:t>
    </w:r>
    <w:r w:rsidRPr="006E1311">
      <w:rPr>
        <w:color w:val="7F7F7F" w:themeColor="text1" w:themeTint="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752CB9" w14:textId="77777777" w:rsidR="006678AE" w:rsidRDefault="006678AE" w:rsidP="00A8049B">
      <w:pPr>
        <w:spacing w:after="0" w:line="240" w:lineRule="auto"/>
      </w:pPr>
      <w:r>
        <w:separator/>
      </w:r>
    </w:p>
  </w:footnote>
  <w:footnote w:type="continuationSeparator" w:id="0">
    <w:p w14:paraId="2A119F76" w14:textId="77777777" w:rsidR="006678AE" w:rsidRDefault="006678AE" w:rsidP="00A8049B">
      <w:pPr>
        <w:spacing w:after="0" w:line="240" w:lineRule="auto"/>
      </w:pPr>
      <w:r>
        <w:continuationSeparator/>
      </w:r>
    </w:p>
  </w:footnote>
  <w:footnote w:id="1">
    <w:p w14:paraId="74441EB5" w14:textId="59A79ADB" w:rsidR="006678AE" w:rsidRDefault="006678AE">
      <w:pPr>
        <w:pStyle w:val="FootnoteText"/>
      </w:pPr>
      <w:r>
        <w:rPr>
          <w:rStyle w:val="FootnoteReference"/>
        </w:rPr>
        <w:footnoteRef/>
      </w:r>
      <w:r>
        <w:t xml:space="preserve"> In this submission  and unless otherwise indicated ‘</w:t>
      </w:r>
      <w:r w:rsidRPr="004A26A4">
        <w:rPr>
          <w:i/>
        </w:rPr>
        <w:t>approved’</w:t>
      </w:r>
      <w:r>
        <w:t xml:space="preserve"> means a child care service(s) that has been approved to administer Child Care Benefit on behalf of families and subject to Family Assistance law.</w:t>
      </w:r>
    </w:p>
  </w:footnote>
  <w:footnote w:id="2">
    <w:p w14:paraId="4B6D756B" w14:textId="5EBB028A" w:rsidR="006678AE" w:rsidRDefault="006678AE">
      <w:pPr>
        <w:pStyle w:val="FootnoteText"/>
      </w:pPr>
      <w:r>
        <w:rPr>
          <w:rStyle w:val="FootnoteReference"/>
        </w:rPr>
        <w:footnoteRef/>
      </w:r>
      <w:r>
        <w:t xml:space="preserve"> Sources: Department of Education administrative data; ABS: </w:t>
      </w:r>
      <w:r>
        <w:rPr>
          <w:i/>
        </w:rPr>
        <w:t>Preschool Education,</w:t>
      </w:r>
      <w:r w:rsidRPr="003B3887">
        <w:rPr>
          <w:i/>
        </w:rPr>
        <w:t xml:space="preserve"> Australia, 2012</w:t>
      </w:r>
      <w:r>
        <w:rPr>
          <w:i/>
        </w:rPr>
        <w:t xml:space="preserve">, </w:t>
      </w:r>
      <w:r>
        <w:t>Cat 4240.0.</w:t>
      </w:r>
    </w:p>
  </w:footnote>
  <w:footnote w:id="3">
    <w:p w14:paraId="04969F03" w14:textId="0DECBA40" w:rsidR="006678AE" w:rsidRPr="00214DFF" w:rsidRDefault="006678AE" w:rsidP="003B0D5E">
      <w:pPr>
        <w:pStyle w:val="FootnoteText"/>
        <w:rPr>
          <w:lang w:val="en-US"/>
        </w:rPr>
      </w:pPr>
      <w:r>
        <w:rPr>
          <w:rStyle w:val="FootnoteReference"/>
        </w:rPr>
        <w:footnoteRef/>
      </w:r>
      <w:r>
        <w:t xml:space="preserve"> Sources: Department of Education administrative data and the </w:t>
      </w:r>
      <w:r>
        <w:rPr>
          <w:i/>
        </w:rPr>
        <w:t>Report on Government Services</w:t>
      </w:r>
      <w:r>
        <w:t xml:space="preserve">. </w:t>
      </w:r>
      <w:r>
        <w:rPr>
          <w:lang w:val="en-US"/>
        </w:rPr>
        <w:t>The Department of Education estimates the sector has turnover in excess of $10 billion a year from all sources, based on extrapolations from Australian and state/territory governments’ expenditures and child care fees data.</w:t>
      </w:r>
    </w:p>
  </w:footnote>
  <w:footnote w:id="4">
    <w:p w14:paraId="04969F04" w14:textId="5379DB04" w:rsidR="006678AE" w:rsidRDefault="006678AE">
      <w:pPr>
        <w:pStyle w:val="FootnoteText"/>
      </w:pPr>
      <w:r>
        <w:rPr>
          <w:rStyle w:val="FootnoteReference"/>
        </w:rPr>
        <w:footnoteRef/>
      </w:r>
      <w:r>
        <w:t xml:space="preserve"> 2013–14 Mid-Year Economic Forecast.</w:t>
      </w:r>
    </w:p>
  </w:footnote>
  <w:footnote w:id="5">
    <w:p w14:paraId="04969F05" w14:textId="658B0F52" w:rsidR="006678AE" w:rsidRDefault="006678AE" w:rsidP="00C62EA0">
      <w:pPr>
        <w:pStyle w:val="FootnoteText"/>
      </w:pPr>
      <w:r>
        <w:rPr>
          <w:rStyle w:val="FootnoteReference"/>
        </w:rPr>
        <w:footnoteRef/>
      </w:r>
      <w:r>
        <w:t xml:space="preserve"> </w:t>
      </w:r>
      <w:r w:rsidRPr="00B24FE4">
        <w:rPr>
          <w:rFonts w:cstheme="minorHAnsi"/>
        </w:rPr>
        <w:t xml:space="preserve">ABS: </w:t>
      </w:r>
      <w:hyperlink r:id="rId1" w:history="1">
        <w:r w:rsidRPr="009E5B7C">
          <w:rPr>
            <w:rFonts w:cstheme="minorHAnsi"/>
            <w:i/>
          </w:rPr>
          <w:t>Childhood Education and Care</w:t>
        </w:r>
        <w:r w:rsidRPr="00B24FE4">
          <w:rPr>
            <w:rFonts w:cstheme="minorHAnsi"/>
          </w:rPr>
          <w:t>, Australia, June 2011</w:t>
        </w:r>
      </w:hyperlink>
      <w:r>
        <w:rPr>
          <w:rFonts w:cstheme="minorHAnsi"/>
        </w:rPr>
        <w:t>, C</w:t>
      </w:r>
      <w:r w:rsidRPr="00B24FE4">
        <w:rPr>
          <w:rFonts w:cstheme="minorHAnsi"/>
        </w:rPr>
        <w:t>at</w:t>
      </w:r>
      <w:r>
        <w:rPr>
          <w:rFonts w:cstheme="minorHAnsi"/>
        </w:rPr>
        <w:t xml:space="preserve"> 4402.</w:t>
      </w:r>
    </w:p>
  </w:footnote>
  <w:footnote w:id="6">
    <w:p w14:paraId="686D487E" w14:textId="22D7ADA2" w:rsidR="006678AE" w:rsidRPr="00932022" w:rsidRDefault="006678AE" w:rsidP="00277190">
      <w:pPr>
        <w:pStyle w:val="Source"/>
        <w:rPr>
          <w:sz w:val="20"/>
        </w:rPr>
      </w:pPr>
      <w:r>
        <w:rPr>
          <w:rStyle w:val="FootnoteReference"/>
        </w:rPr>
        <w:footnoteRef/>
      </w:r>
      <w:r>
        <w:t xml:space="preserve"> </w:t>
      </w:r>
      <w:r w:rsidRPr="00932022">
        <w:rPr>
          <w:sz w:val="20"/>
        </w:rPr>
        <w:t xml:space="preserve">ABS: </w:t>
      </w:r>
      <w:r w:rsidRPr="00932022">
        <w:rPr>
          <w:i/>
          <w:sz w:val="20"/>
        </w:rPr>
        <w:t>Preschool Education</w:t>
      </w:r>
      <w:r w:rsidRPr="00932022">
        <w:rPr>
          <w:sz w:val="20"/>
        </w:rPr>
        <w:t>, Australia, 2012, Cat 4240.0.</w:t>
      </w:r>
    </w:p>
  </w:footnote>
  <w:footnote w:id="7">
    <w:p w14:paraId="04969F06" w14:textId="472CE875" w:rsidR="006678AE" w:rsidRPr="00755FB3" w:rsidRDefault="006678AE">
      <w:pPr>
        <w:pStyle w:val="FootnoteText"/>
        <w:rPr>
          <w:lang w:val="en-US"/>
        </w:rPr>
      </w:pPr>
      <w:r>
        <w:rPr>
          <w:rStyle w:val="FootnoteReference"/>
        </w:rPr>
        <w:footnoteRef/>
      </w:r>
      <w:r>
        <w:t xml:space="preserve"> </w:t>
      </w:r>
      <w:r w:rsidRPr="00B24FE4">
        <w:rPr>
          <w:rFonts w:cstheme="minorHAnsi"/>
        </w:rPr>
        <w:t xml:space="preserve">ABS: </w:t>
      </w:r>
      <w:hyperlink r:id="rId2" w:history="1">
        <w:r w:rsidRPr="009E5B7C">
          <w:rPr>
            <w:rFonts w:cstheme="minorHAnsi"/>
            <w:i/>
          </w:rPr>
          <w:t>Childhood Education and Care</w:t>
        </w:r>
        <w:r w:rsidRPr="00B24FE4">
          <w:rPr>
            <w:rFonts w:cstheme="minorHAnsi"/>
          </w:rPr>
          <w:t>, Australia, June 2011</w:t>
        </w:r>
      </w:hyperlink>
      <w:r>
        <w:rPr>
          <w:rFonts w:cstheme="minorHAnsi"/>
        </w:rPr>
        <w:t>, C</w:t>
      </w:r>
      <w:r w:rsidRPr="00B24FE4">
        <w:rPr>
          <w:rFonts w:cstheme="minorHAnsi"/>
        </w:rPr>
        <w:t>at</w:t>
      </w:r>
      <w:r>
        <w:rPr>
          <w:rFonts w:cstheme="minorHAnsi"/>
        </w:rPr>
        <w:t xml:space="preserve"> </w:t>
      </w:r>
      <w:r w:rsidRPr="003F06B2">
        <w:rPr>
          <w:rFonts w:cstheme="minorHAnsi"/>
        </w:rPr>
        <w:t>4402.0.55.003</w:t>
      </w:r>
      <w:r>
        <w:rPr>
          <w:rFonts w:cstheme="minorHAnsi"/>
        </w:rPr>
        <w:t>.</w:t>
      </w:r>
    </w:p>
  </w:footnote>
  <w:footnote w:id="8">
    <w:p w14:paraId="04969F07" w14:textId="77777777" w:rsidR="006678AE" w:rsidRDefault="006678AE">
      <w:pPr>
        <w:pStyle w:val="FootnoteText"/>
      </w:pPr>
      <w:r>
        <w:rPr>
          <w:rStyle w:val="FootnoteReference"/>
        </w:rPr>
        <w:footnoteRef/>
      </w:r>
      <w:r>
        <w:t xml:space="preserve"> 2010 National Early Childhood Education and Care Workforce Census, Department of Education.</w:t>
      </w:r>
    </w:p>
  </w:footnote>
  <w:footnote w:id="9">
    <w:p w14:paraId="04969F08" w14:textId="77777777" w:rsidR="006678AE" w:rsidRDefault="006678AE">
      <w:pPr>
        <w:pStyle w:val="FootnoteText"/>
      </w:pPr>
      <w:r>
        <w:rPr>
          <w:rStyle w:val="FootnoteReference"/>
        </w:rPr>
        <w:footnoteRef/>
      </w:r>
      <w:r>
        <w:t xml:space="preserve"> JET has existed as a programme in various forms since 1989.</w:t>
      </w:r>
    </w:p>
  </w:footnote>
  <w:footnote w:id="10">
    <w:p w14:paraId="643BE959" w14:textId="77777777" w:rsidR="006678AE" w:rsidRDefault="006678AE">
      <w:pPr>
        <w:pStyle w:val="FootnoteText"/>
      </w:pPr>
      <w:r>
        <w:rPr>
          <w:rStyle w:val="FootnoteReference"/>
        </w:rPr>
        <w:footnoteRef/>
      </w:r>
      <w:r>
        <w:t xml:space="preserve"> ABS, ‘Caring for Children’, </w:t>
      </w:r>
      <w:r>
        <w:rPr>
          <w:i/>
          <w:iCs/>
        </w:rPr>
        <w:t xml:space="preserve">Gender Indicators Australia </w:t>
      </w:r>
      <w:r>
        <w:t>(Cat. No. 4125.0) August 2013 (using 2006 time survey data).</w:t>
      </w:r>
    </w:p>
  </w:footnote>
  <w:footnote w:id="11">
    <w:p w14:paraId="6973D76B" w14:textId="77777777" w:rsidR="006678AE" w:rsidRDefault="006678AE" w:rsidP="00596059">
      <w:pPr>
        <w:pStyle w:val="FootnoteText"/>
      </w:pPr>
      <w:r>
        <w:rPr>
          <w:rStyle w:val="FootnoteReference"/>
        </w:rPr>
        <w:footnoteRef/>
      </w:r>
      <w:r>
        <w:t xml:space="preserve"> ABS </w:t>
      </w:r>
      <w:r w:rsidRPr="00205195">
        <w:rPr>
          <w:i/>
        </w:rPr>
        <w:t>Labour Force, Australia</w:t>
      </w:r>
      <w:r>
        <w:rPr>
          <w:i/>
        </w:rPr>
        <w:t xml:space="preserve"> </w:t>
      </w:r>
      <w:r w:rsidRPr="00205195">
        <w:t xml:space="preserve">(Cat. No. </w:t>
      </w:r>
      <w:r>
        <w:t>6202.0</w:t>
      </w:r>
      <w:r w:rsidRPr="00205195">
        <w:t xml:space="preserve">), </w:t>
      </w:r>
      <w:r>
        <w:t>November 2013, seasonally adjusted.</w:t>
      </w:r>
    </w:p>
  </w:footnote>
  <w:footnote w:id="12">
    <w:p w14:paraId="1C1C06C7" w14:textId="77777777" w:rsidR="006678AE" w:rsidRDefault="006678AE" w:rsidP="00596059">
      <w:pPr>
        <w:pStyle w:val="FootnoteText"/>
      </w:pPr>
      <w:r>
        <w:rPr>
          <w:rStyle w:val="FootnoteReference"/>
        </w:rPr>
        <w:footnoteRef/>
      </w:r>
      <w:r>
        <w:t xml:space="preserve"> Daley, John (Grattan Institute), </w:t>
      </w:r>
      <w:r w:rsidRPr="00157510">
        <w:rPr>
          <w:i/>
        </w:rPr>
        <w:t>Game Changers: Economic Reform Priorities for Australia</w:t>
      </w:r>
      <w:r>
        <w:t>, June 2012.</w:t>
      </w:r>
    </w:p>
  </w:footnote>
  <w:footnote w:id="13">
    <w:p w14:paraId="7A3CD123" w14:textId="77777777" w:rsidR="006678AE" w:rsidRDefault="006678AE" w:rsidP="00596059">
      <w:pPr>
        <w:pStyle w:val="FootnoteText"/>
      </w:pPr>
      <w:r>
        <w:rPr>
          <w:rStyle w:val="FootnoteReference"/>
        </w:rPr>
        <w:footnoteRef/>
      </w:r>
      <w:r>
        <w:t xml:space="preserve"> OECD, </w:t>
      </w:r>
      <w:r w:rsidRPr="00DD1AFB">
        <w:rPr>
          <w:i/>
        </w:rPr>
        <w:t xml:space="preserve">Closing the Gender Gap – Act Now! </w:t>
      </w:r>
      <w:r>
        <w:t xml:space="preserve">2012. </w:t>
      </w:r>
    </w:p>
  </w:footnote>
  <w:footnote w:id="14">
    <w:p w14:paraId="0A302B8C" w14:textId="2083A64D" w:rsidR="006678AE" w:rsidRDefault="006678AE" w:rsidP="00277190">
      <w:pPr>
        <w:pStyle w:val="FootnoteText"/>
      </w:pPr>
      <w:r>
        <w:rPr>
          <w:rStyle w:val="FootnoteReference"/>
        </w:rPr>
        <w:footnoteRef/>
      </w:r>
      <w:r>
        <w:t xml:space="preserve"> OECD, </w:t>
      </w:r>
      <w:r w:rsidRPr="00DD1AFB">
        <w:rPr>
          <w:i/>
        </w:rPr>
        <w:t xml:space="preserve">Closing the Gender Gap – Act Now! </w:t>
      </w:r>
      <w:r>
        <w:t>2012</w:t>
      </w:r>
      <w:r w:rsidR="00D05A2C">
        <w:t>.</w:t>
      </w:r>
    </w:p>
  </w:footnote>
  <w:footnote w:id="15">
    <w:p w14:paraId="750348B0" w14:textId="31372128" w:rsidR="006678AE" w:rsidRDefault="006678AE" w:rsidP="002A6E60">
      <w:pPr>
        <w:pStyle w:val="FootnoteText"/>
      </w:pPr>
      <w:r>
        <w:rPr>
          <w:rStyle w:val="FootnoteReference"/>
        </w:rPr>
        <w:footnoteRef/>
      </w:r>
      <w:r>
        <w:t xml:space="preserve"> </w:t>
      </w:r>
      <w:r w:rsidRPr="00B0626D">
        <w:t xml:space="preserve">Gong and </w:t>
      </w:r>
      <w:proofErr w:type="spellStart"/>
      <w:r w:rsidRPr="00B0626D">
        <w:t>Breunig</w:t>
      </w:r>
      <w:proofErr w:type="spellEnd"/>
      <w:r w:rsidRPr="00B0626D">
        <w:t>,</w:t>
      </w:r>
      <w:r>
        <w:t xml:space="preserve"> </w:t>
      </w:r>
      <w:r w:rsidRPr="00772C05">
        <w:rPr>
          <w:i/>
        </w:rPr>
        <w:t>Estimating net child care price elasticities of partnered women with pre-school children using a discrete structural labour supply-child care model – Treasury Working Paper,</w:t>
      </w:r>
      <w:r w:rsidRPr="00B0626D">
        <w:t xml:space="preserve"> 2012</w:t>
      </w:r>
      <w:r>
        <w:t xml:space="preserve">. See also </w:t>
      </w:r>
      <w:proofErr w:type="spellStart"/>
      <w:r>
        <w:t>Kalb</w:t>
      </w:r>
      <w:proofErr w:type="spellEnd"/>
      <w:r>
        <w:t xml:space="preserve"> and Lee, </w:t>
      </w:r>
      <w:r>
        <w:rPr>
          <w:i/>
        </w:rPr>
        <w:t xml:space="preserve">Childcare Use and Parent’s Labour Supply in Australia – </w:t>
      </w:r>
      <w:r w:rsidRPr="003D37AA">
        <w:t>Melbourne Institute Working Paper No. 13/07</w:t>
      </w:r>
      <w:r>
        <w:t xml:space="preserve">, </w:t>
      </w:r>
      <w:r w:rsidRPr="003D37AA">
        <w:t>2007</w:t>
      </w:r>
      <w:r>
        <w:t>, which found a similar if smaller effect.</w:t>
      </w:r>
    </w:p>
  </w:footnote>
  <w:footnote w:id="16">
    <w:p w14:paraId="51A11E2D" w14:textId="77777777" w:rsidR="006678AE" w:rsidRDefault="006678AE" w:rsidP="00596059">
      <w:pPr>
        <w:pStyle w:val="FootnoteText"/>
      </w:pPr>
      <w:r>
        <w:rPr>
          <w:rStyle w:val="FootnoteReference"/>
        </w:rPr>
        <w:footnoteRef/>
      </w:r>
      <w:r>
        <w:t xml:space="preserve"> </w:t>
      </w:r>
      <w:r>
        <w:rPr>
          <w:rFonts w:cstheme="minorHAnsi"/>
        </w:rPr>
        <w:t>COAG Decision Regulation Impact Statement</w:t>
      </w:r>
      <w:r w:rsidRPr="00E0602E">
        <w:rPr>
          <w:rFonts w:cstheme="minorHAnsi"/>
        </w:rPr>
        <w:t xml:space="preserve"> </w:t>
      </w:r>
      <w:r>
        <w:rPr>
          <w:rFonts w:cstheme="minorHAnsi"/>
        </w:rPr>
        <w:t>(</w:t>
      </w:r>
      <w:r w:rsidRPr="00E0602E">
        <w:rPr>
          <w:rFonts w:cstheme="minorHAnsi"/>
        </w:rPr>
        <w:t>2009</w:t>
      </w:r>
      <w:r>
        <w:rPr>
          <w:rFonts w:cstheme="minorHAnsi"/>
        </w:rPr>
        <w:t xml:space="preserve">) </w:t>
      </w:r>
      <w:proofErr w:type="spellStart"/>
      <w:r>
        <w:rPr>
          <w:rFonts w:cstheme="minorHAnsi"/>
        </w:rPr>
        <w:t>Breunig</w:t>
      </w:r>
      <w:proofErr w:type="spellEnd"/>
      <w:r>
        <w:rPr>
          <w:rFonts w:cstheme="minorHAnsi"/>
        </w:rPr>
        <w:t xml:space="preserve"> </w:t>
      </w:r>
      <w:r>
        <w:rPr>
          <w:rFonts w:cstheme="minorHAnsi"/>
          <w:i/>
        </w:rPr>
        <w:t>et al</w:t>
      </w:r>
      <w:r>
        <w:rPr>
          <w:rFonts w:cstheme="minorHAnsi"/>
        </w:rPr>
        <w:t xml:space="preserve">, </w:t>
      </w:r>
      <w:r w:rsidRPr="003D37AA">
        <w:rPr>
          <w:rFonts w:cstheme="minorHAnsi"/>
          <w:i/>
        </w:rPr>
        <w:t>The New National Quality Fr</w:t>
      </w:r>
      <w:r w:rsidRPr="0040515A">
        <w:rPr>
          <w:rFonts w:cstheme="minorHAnsi"/>
          <w:i/>
        </w:rPr>
        <w:t>am</w:t>
      </w:r>
      <w:r w:rsidRPr="003D37AA">
        <w:rPr>
          <w:rFonts w:cstheme="minorHAnsi"/>
          <w:i/>
        </w:rPr>
        <w:t>e</w:t>
      </w:r>
      <w:r>
        <w:rPr>
          <w:rFonts w:cstheme="minorHAnsi"/>
          <w:i/>
        </w:rPr>
        <w:t>w</w:t>
      </w:r>
      <w:r w:rsidRPr="003D37AA">
        <w:rPr>
          <w:rFonts w:cstheme="minorHAnsi"/>
          <w:i/>
        </w:rPr>
        <w:t xml:space="preserve">ork: Quantifying some of the </w:t>
      </w:r>
      <w:r>
        <w:rPr>
          <w:rFonts w:cstheme="minorHAnsi"/>
          <w:i/>
        </w:rPr>
        <w:t>e</w:t>
      </w:r>
      <w:r w:rsidRPr="003D37AA">
        <w:rPr>
          <w:rFonts w:cstheme="minorHAnsi"/>
          <w:i/>
        </w:rPr>
        <w:t>ffects on labour supply, child care demand and household finances</w:t>
      </w:r>
      <w:r>
        <w:rPr>
          <w:rFonts w:cstheme="minorHAnsi"/>
        </w:rPr>
        <w:t xml:space="preserve"> – 2011.</w:t>
      </w:r>
    </w:p>
  </w:footnote>
  <w:footnote w:id="17">
    <w:p w14:paraId="04969F09" w14:textId="77777777" w:rsidR="006678AE" w:rsidRPr="005C5638" w:rsidRDefault="006678AE" w:rsidP="004263E8">
      <w:pPr>
        <w:pStyle w:val="FootnoteText"/>
        <w:rPr>
          <w:rFonts w:cstheme="minorHAnsi"/>
        </w:rPr>
      </w:pPr>
      <w:r w:rsidRPr="005C5638">
        <w:rPr>
          <w:rStyle w:val="FootnoteReference"/>
          <w:rFonts w:cstheme="minorHAnsi"/>
        </w:rPr>
        <w:footnoteRef/>
      </w:r>
      <w:r>
        <w:rPr>
          <w:rFonts w:cstheme="minorHAnsi"/>
        </w:rPr>
        <w:t xml:space="preserve"> McCain</w:t>
      </w:r>
      <w:r w:rsidRPr="005C5638">
        <w:rPr>
          <w:rFonts w:cstheme="minorHAnsi"/>
        </w:rPr>
        <w:t xml:space="preserve"> &amp; Mustard</w:t>
      </w:r>
      <w:r>
        <w:rPr>
          <w:rFonts w:cstheme="minorHAnsi"/>
        </w:rPr>
        <w:t>, 2002,</w:t>
      </w:r>
      <w:r w:rsidRPr="005C5638">
        <w:rPr>
          <w:rFonts w:cstheme="minorHAnsi"/>
        </w:rPr>
        <w:t xml:space="preserve"> </w:t>
      </w:r>
      <w:r w:rsidRPr="005C5638">
        <w:rPr>
          <w:rFonts w:cstheme="minorHAnsi"/>
          <w:i/>
        </w:rPr>
        <w:t>The Early Years Study Three Years Later</w:t>
      </w:r>
      <w:r w:rsidRPr="005C5638">
        <w:rPr>
          <w:rFonts w:cstheme="minorHAnsi"/>
        </w:rPr>
        <w:t>.</w:t>
      </w:r>
    </w:p>
  </w:footnote>
  <w:footnote w:id="18">
    <w:p w14:paraId="276B24F7" w14:textId="77777777" w:rsidR="006678AE" w:rsidRPr="004A26A4" w:rsidRDefault="006678AE" w:rsidP="004A26A4">
      <w:pPr>
        <w:pStyle w:val="FootnoteText"/>
        <w:rPr>
          <w:i/>
        </w:rPr>
      </w:pPr>
      <w:r>
        <w:rPr>
          <w:rStyle w:val="FootnoteReference"/>
        </w:rPr>
        <w:footnoteRef/>
      </w:r>
      <w:r>
        <w:t xml:space="preserve"> Van der </w:t>
      </w:r>
      <w:proofErr w:type="spellStart"/>
      <w:r>
        <w:t>Gaag</w:t>
      </w:r>
      <w:proofErr w:type="spellEnd"/>
      <w:r>
        <w:t xml:space="preserve"> J, 2000, </w:t>
      </w:r>
      <w:r w:rsidRPr="004A26A4">
        <w:rPr>
          <w:i/>
        </w:rPr>
        <w:t>Early Childhood Development to Human Development: Investing in our</w:t>
      </w:r>
    </w:p>
    <w:p w14:paraId="7DFFDFD3" w14:textId="5475F1F1" w:rsidR="006678AE" w:rsidRDefault="006678AE" w:rsidP="004A26A4">
      <w:pPr>
        <w:pStyle w:val="FootnoteText"/>
      </w:pPr>
      <w:r w:rsidRPr="004A26A4">
        <w:rPr>
          <w:i/>
        </w:rPr>
        <w:t>Children’s Future</w:t>
      </w:r>
      <w:r>
        <w:t>.</w:t>
      </w:r>
    </w:p>
  </w:footnote>
  <w:footnote w:id="19">
    <w:p w14:paraId="04969F0A" w14:textId="4278623F" w:rsidR="006678AE" w:rsidRPr="005C5638" w:rsidRDefault="006678AE" w:rsidP="004263E8">
      <w:pPr>
        <w:pStyle w:val="FootnoteText"/>
        <w:rPr>
          <w:rFonts w:cstheme="minorHAnsi"/>
        </w:rPr>
      </w:pPr>
      <w:r w:rsidRPr="005C5638">
        <w:rPr>
          <w:rStyle w:val="FootnoteReference"/>
          <w:rFonts w:cstheme="minorHAnsi"/>
        </w:rPr>
        <w:footnoteRef/>
      </w:r>
      <w:r w:rsidRPr="005C5638">
        <w:rPr>
          <w:rFonts w:cstheme="minorHAnsi"/>
        </w:rPr>
        <w:t xml:space="preserve"> Heckman</w:t>
      </w:r>
      <w:r>
        <w:rPr>
          <w:rFonts w:cstheme="minorHAnsi"/>
        </w:rPr>
        <w:t>, Grunewald &amp;</w:t>
      </w:r>
      <w:r w:rsidRPr="005C5638">
        <w:rPr>
          <w:rFonts w:cstheme="minorHAnsi"/>
        </w:rPr>
        <w:t xml:space="preserve"> Reynolds,</w:t>
      </w:r>
      <w:r>
        <w:rPr>
          <w:rFonts w:cstheme="minorHAnsi"/>
        </w:rPr>
        <w:t xml:space="preserve"> </w:t>
      </w:r>
      <w:r w:rsidRPr="005C5638">
        <w:rPr>
          <w:rFonts w:cstheme="minorHAnsi"/>
        </w:rPr>
        <w:t xml:space="preserve">2006 </w:t>
      </w:r>
      <w:r w:rsidRPr="003C01E1">
        <w:rPr>
          <w:rFonts w:cstheme="minorHAnsi"/>
          <w:i/>
        </w:rPr>
        <w:t>The Dollars and Cents of Investing Early: Cost-Benefit Analysis in Early Care and Education</w:t>
      </w:r>
      <w:r>
        <w:rPr>
          <w:rFonts w:cstheme="minorHAnsi"/>
          <w:i/>
        </w:rPr>
        <w:t>.</w:t>
      </w:r>
      <w:r w:rsidRPr="005C5638">
        <w:rPr>
          <w:rFonts w:cstheme="minorHAnsi"/>
        </w:rPr>
        <w:t xml:space="preserve"> </w:t>
      </w:r>
    </w:p>
  </w:footnote>
  <w:footnote w:id="20">
    <w:p w14:paraId="04969F0B" w14:textId="6F8F9C16" w:rsidR="006678AE" w:rsidRPr="005C5638" w:rsidRDefault="006678AE" w:rsidP="004263E8">
      <w:pPr>
        <w:pStyle w:val="FootnoteText"/>
        <w:rPr>
          <w:rFonts w:cstheme="minorHAnsi"/>
        </w:rPr>
      </w:pPr>
      <w:r w:rsidRPr="005C5638">
        <w:rPr>
          <w:rStyle w:val="FootnoteReference"/>
          <w:rFonts w:cstheme="minorHAnsi"/>
        </w:rPr>
        <w:footnoteRef/>
      </w:r>
      <w:r w:rsidRPr="005C5638">
        <w:rPr>
          <w:rFonts w:cstheme="minorHAnsi"/>
        </w:rPr>
        <w:t xml:space="preserve"> </w:t>
      </w:r>
      <w:r w:rsidRPr="00277190">
        <w:rPr>
          <w:rFonts w:cstheme="minorHAnsi"/>
          <w:i/>
        </w:rPr>
        <w:t>Report on Government Services</w:t>
      </w:r>
      <w:r w:rsidRPr="005C5638">
        <w:rPr>
          <w:rFonts w:cstheme="minorHAnsi"/>
        </w:rPr>
        <w:t>, 2013</w:t>
      </w:r>
      <w:r>
        <w:rPr>
          <w:rFonts w:cstheme="minorHAnsi"/>
        </w:rPr>
        <w:t>.</w:t>
      </w:r>
    </w:p>
  </w:footnote>
  <w:footnote w:id="21">
    <w:p w14:paraId="04969F0C" w14:textId="7363FB1D" w:rsidR="006678AE" w:rsidRPr="00277190" w:rsidRDefault="006678AE" w:rsidP="004263E8">
      <w:pPr>
        <w:pStyle w:val="Default"/>
      </w:pPr>
      <w:r w:rsidRPr="00292222">
        <w:rPr>
          <w:rStyle w:val="FootnoteReference"/>
          <w:rFonts w:asciiTheme="minorHAnsi" w:hAnsiTheme="minorHAnsi" w:cstheme="minorHAnsi"/>
          <w:color w:val="auto"/>
          <w:sz w:val="20"/>
          <w:szCs w:val="20"/>
          <w:lang w:eastAsia="en-US"/>
        </w:rPr>
        <w:footnoteRef/>
      </w:r>
      <w:r w:rsidRPr="00292222">
        <w:rPr>
          <w:rStyle w:val="FootnoteReference"/>
          <w:rFonts w:asciiTheme="minorHAnsi" w:hAnsiTheme="minorHAnsi" w:cstheme="minorHAnsi"/>
          <w:color w:val="auto"/>
          <w:sz w:val="20"/>
          <w:szCs w:val="20"/>
          <w:lang w:eastAsia="en-US"/>
        </w:rPr>
        <w:t xml:space="preserve"> </w:t>
      </w:r>
      <w:r w:rsidRPr="00277190">
        <w:rPr>
          <w:rFonts w:asciiTheme="minorHAnsi" w:hAnsiTheme="minorHAnsi" w:cstheme="minorHAnsi"/>
          <w:color w:val="auto"/>
          <w:sz w:val="20"/>
          <w:szCs w:val="20"/>
          <w:lang w:eastAsia="en-US"/>
        </w:rPr>
        <w:t xml:space="preserve">D. Warren and J. P. </w:t>
      </w:r>
      <w:proofErr w:type="spellStart"/>
      <w:r w:rsidRPr="00277190">
        <w:rPr>
          <w:rFonts w:asciiTheme="minorHAnsi" w:hAnsiTheme="minorHAnsi" w:cstheme="minorHAnsi"/>
          <w:color w:val="auto"/>
          <w:sz w:val="20"/>
          <w:szCs w:val="20"/>
          <w:lang w:eastAsia="en-US"/>
        </w:rPr>
        <w:t>Haisken-DeNew</w:t>
      </w:r>
      <w:proofErr w:type="spellEnd"/>
      <w:r w:rsidRPr="00277190">
        <w:rPr>
          <w:rFonts w:asciiTheme="minorHAnsi" w:hAnsiTheme="minorHAnsi" w:cstheme="minorHAnsi"/>
          <w:color w:val="auto"/>
          <w:sz w:val="20"/>
          <w:szCs w:val="20"/>
          <w:lang w:eastAsia="en-US"/>
        </w:rPr>
        <w:t>, 2013,</w:t>
      </w:r>
      <w:r w:rsidRPr="00DC7E68">
        <w:rPr>
          <w:rFonts w:asciiTheme="minorHAnsi" w:hAnsiTheme="minorHAnsi" w:cstheme="minorHAnsi"/>
          <w:i/>
          <w:color w:val="auto"/>
          <w:sz w:val="20"/>
          <w:szCs w:val="20"/>
          <w:lang w:eastAsia="en-US"/>
        </w:rPr>
        <w:t xml:space="preserve"> The Causal Impact of Pre-school Participation and Teacher Qualifications on Year 3 NAPLAN Cognitive Tests</w:t>
      </w:r>
      <w:r>
        <w:rPr>
          <w:rFonts w:asciiTheme="minorHAnsi" w:hAnsiTheme="minorHAnsi" w:cstheme="minorHAnsi"/>
          <w:color w:val="auto"/>
          <w:sz w:val="20"/>
          <w:szCs w:val="20"/>
          <w:lang w:eastAsia="en-US"/>
        </w:rPr>
        <w:t>.</w:t>
      </w:r>
    </w:p>
  </w:footnote>
  <w:footnote w:id="22">
    <w:p w14:paraId="04969F0D" w14:textId="77777777" w:rsidR="006678AE" w:rsidRDefault="006678AE" w:rsidP="004263E8">
      <w:pPr>
        <w:pStyle w:val="FootnoteText"/>
      </w:pPr>
      <w:r w:rsidRPr="00292222">
        <w:rPr>
          <w:rStyle w:val="FootnoteReference"/>
        </w:rPr>
        <w:footnoteRef/>
      </w:r>
      <w:r w:rsidRPr="00292222">
        <w:rPr>
          <w:rFonts w:cstheme="minorHAnsi"/>
        </w:rPr>
        <w:t xml:space="preserve"> </w:t>
      </w:r>
      <w:r>
        <w:rPr>
          <w:rFonts w:cstheme="minorHAnsi"/>
        </w:rPr>
        <w:t xml:space="preserve">The </w:t>
      </w:r>
      <w:proofErr w:type="spellStart"/>
      <w:r>
        <w:rPr>
          <w:rFonts w:cstheme="minorHAnsi"/>
        </w:rPr>
        <w:t>AEDI</w:t>
      </w:r>
      <w:proofErr w:type="spellEnd"/>
      <w:r>
        <w:rPr>
          <w:rFonts w:cstheme="minorHAnsi"/>
        </w:rPr>
        <w:t xml:space="preserve"> is a</w:t>
      </w:r>
      <w:r w:rsidRPr="00292222">
        <w:rPr>
          <w:rFonts w:cstheme="minorHAnsi"/>
        </w:rPr>
        <w:t xml:space="preserve"> population measure of children's development as they enter their first year of formal school. Information for the </w:t>
      </w:r>
      <w:proofErr w:type="spellStart"/>
      <w:r w:rsidRPr="00292222">
        <w:rPr>
          <w:rFonts w:cstheme="minorHAnsi"/>
        </w:rPr>
        <w:t>AEDI</w:t>
      </w:r>
      <w:proofErr w:type="spellEnd"/>
      <w:r w:rsidRPr="00292222">
        <w:rPr>
          <w:rFonts w:cstheme="minorHAnsi"/>
        </w:rPr>
        <w:t xml:space="preserve"> is collected through a teacher-completed checklist that measures five areas of early childhood development linked to the predictors of adult health</w:t>
      </w:r>
      <w:r>
        <w:rPr>
          <w:rFonts w:cstheme="minorHAnsi"/>
        </w:rPr>
        <w:t>, education and social outcomes.</w:t>
      </w:r>
    </w:p>
  </w:footnote>
  <w:footnote w:id="23">
    <w:p w14:paraId="04969F0E" w14:textId="77777777" w:rsidR="006678AE" w:rsidRPr="00D8266C" w:rsidRDefault="006678AE" w:rsidP="004263E8">
      <w:pPr>
        <w:pStyle w:val="FootnoteText"/>
      </w:pPr>
      <w:r w:rsidRPr="00D8266C">
        <w:rPr>
          <w:rStyle w:val="FootnoteReference"/>
        </w:rPr>
        <w:footnoteRef/>
      </w:r>
      <w:r w:rsidRPr="00D8266C">
        <w:t xml:space="preserve">Janus, </w:t>
      </w:r>
      <w:r>
        <w:t xml:space="preserve">&amp; </w:t>
      </w:r>
      <w:proofErr w:type="spellStart"/>
      <w:r>
        <w:t>Duku</w:t>
      </w:r>
      <w:proofErr w:type="spellEnd"/>
      <w:r>
        <w:t xml:space="preserve">, 2007, </w:t>
      </w:r>
      <w:r w:rsidRPr="0083137F">
        <w:rPr>
          <w:i/>
        </w:rPr>
        <w:t>The school entry gap: Socioeconomic,</w:t>
      </w:r>
      <w:r>
        <w:rPr>
          <w:i/>
        </w:rPr>
        <w:t xml:space="preserve"> </w:t>
      </w:r>
      <w:r w:rsidRPr="0083137F">
        <w:rPr>
          <w:i/>
        </w:rPr>
        <w:t>family, and health factors associated with children’s school readiness to learn</w:t>
      </w:r>
      <w:r>
        <w:t xml:space="preserve">, Early Education and </w:t>
      </w:r>
      <w:r w:rsidRPr="00D8266C">
        <w:t>Development, 18(3), 375–403.</w:t>
      </w:r>
      <w:r>
        <w:t xml:space="preserve"> </w:t>
      </w:r>
    </w:p>
  </w:footnote>
  <w:footnote w:id="24">
    <w:p w14:paraId="04969F0F" w14:textId="77777777" w:rsidR="006678AE" w:rsidRDefault="006678AE" w:rsidP="004263E8">
      <w:pPr>
        <w:pStyle w:val="FootnoteText"/>
      </w:pPr>
      <w:r w:rsidRPr="00D8266C">
        <w:rPr>
          <w:rStyle w:val="FootnoteReference"/>
        </w:rPr>
        <w:footnoteRef/>
      </w:r>
      <w:r w:rsidRPr="00D8266C">
        <w:t xml:space="preserve"> Brinkman, Harris, </w:t>
      </w:r>
      <w:r>
        <w:t>Blackmore, &amp; Janus, 2013,</w:t>
      </w:r>
      <w:r w:rsidRPr="00D8266C">
        <w:t xml:space="preserve"> </w:t>
      </w:r>
      <w:r w:rsidRPr="0083137F">
        <w:rPr>
          <w:i/>
        </w:rPr>
        <w:t>Associations between the Early Development Instrument at Age 5, and Reading and Nume</w:t>
      </w:r>
      <w:r>
        <w:rPr>
          <w:i/>
        </w:rPr>
        <w:t>racy Skills at Ages 8, 10 an</w:t>
      </w:r>
      <w:r w:rsidRPr="0083137F">
        <w:rPr>
          <w:i/>
        </w:rPr>
        <w:t>d 12: a Prospective linked Data Study</w:t>
      </w:r>
      <w:r>
        <w:t xml:space="preserve">, </w:t>
      </w:r>
      <w:hyperlink r:id="rId3" w:tgtFrame="_blank" w:tooltip="View this publication at the journal (restricted access)" w:history="1">
        <w:r w:rsidRPr="00D8266C">
          <w:rPr>
            <w:rStyle w:val="Hyperlink"/>
            <w:lang w:val="en"/>
          </w:rPr>
          <w:t>Child Indicators Research. 2013;online:1-14</w:t>
        </w:r>
      </w:hyperlink>
      <w:r w:rsidRPr="00D8266C">
        <w:t>. S</w:t>
      </w:r>
      <w:r w:rsidRPr="00D8266C">
        <w:rPr>
          <w:rFonts w:cstheme="minorHAnsi"/>
        </w:rPr>
        <w:t>ee also ‘</w:t>
      </w:r>
      <w:proofErr w:type="spellStart"/>
      <w:r w:rsidRPr="00D8266C">
        <w:rPr>
          <w:rFonts w:cstheme="minorHAnsi"/>
        </w:rPr>
        <w:t>AEDI’s</w:t>
      </w:r>
      <w:proofErr w:type="spellEnd"/>
      <w:r w:rsidRPr="00D8266C">
        <w:rPr>
          <w:rFonts w:cstheme="minorHAnsi"/>
        </w:rPr>
        <w:t xml:space="preserve"> Predictive Value’ at </w:t>
      </w:r>
      <w:hyperlink r:id="rId4" w:history="1">
        <w:r w:rsidRPr="00D8266C">
          <w:rPr>
            <w:rStyle w:val="Hyperlink"/>
            <w:rFonts w:cstheme="minorHAnsi"/>
          </w:rPr>
          <w:t>http://www.rch.org.au/aedi/schools/</w:t>
        </w:r>
      </w:hyperlink>
      <w:r w:rsidRPr="00D8266C">
        <w:rPr>
          <w:rFonts w:cstheme="minorHAnsi"/>
        </w:rPr>
        <w:t>.</w:t>
      </w:r>
    </w:p>
  </w:footnote>
  <w:footnote w:id="25">
    <w:p w14:paraId="04969F18" w14:textId="77777777" w:rsidR="006678AE" w:rsidRDefault="006678AE" w:rsidP="00C55FEB">
      <w:pPr>
        <w:pStyle w:val="FootnoteText"/>
      </w:pPr>
      <w:r>
        <w:rPr>
          <w:rStyle w:val="FootnoteReference"/>
        </w:rPr>
        <w:footnoteRef/>
      </w:r>
      <w:r w:rsidRPr="00E0602E">
        <w:rPr>
          <w:rFonts w:cstheme="minorHAnsi"/>
        </w:rPr>
        <w:t xml:space="preserve"> </w:t>
      </w:r>
      <w:r>
        <w:rPr>
          <w:rFonts w:cstheme="minorHAnsi"/>
        </w:rPr>
        <w:t>Th</w:t>
      </w:r>
      <w:r w:rsidRPr="00E0602E">
        <w:rPr>
          <w:rFonts w:cstheme="minorHAnsi"/>
        </w:rPr>
        <w:t xml:space="preserve">e full list is at </w:t>
      </w:r>
      <w:hyperlink r:id="rId5" w:history="1">
        <w:r w:rsidRPr="00E0602E">
          <w:rPr>
            <w:rStyle w:val="Hyperlink"/>
            <w:rFonts w:cstheme="minorHAnsi"/>
          </w:rPr>
          <w:t>http://education.gov.au/family-assistance-law</w:t>
        </w:r>
      </w:hyperlink>
    </w:p>
  </w:footnote>
  <w:footnote w:id="26">
    <w:p w14:paraId="17922662" w14:textId="2BBCD0EF" w:rsidR="006678AE" w:rsidRDefault="006678AE">
      <w:pPr>
        <w:pStyle w:val="FootnoteText"/>
      </w:pPr>
      <w:r>
        <w:rPr>
          <w:rStyle w:val="FootnoteReference"/>
        </w:rPr>
        <w:footnoteRef/>
      </w:r>
      <w:r>
        <w:t xml:space="preserve"> ACECQA 2012, </w:t>
      </w:r>
      <w:r w:rsidRPr="00182452">
        <w:rPr>
          <w:i/>
        </w:rPr>
        <w:t>A Report on the National Quality Framework and Regulatory Burden.</w:t>
      </w:r>
    </w:p>
  </w:footnote>
  <w:footnote w:id="27">
    <w:p w14:paraId="04969F19" w14:textId="5FFE9283" w:rsidR="006678AE" w:rsidRPr="00D04A1B" w:rsidRDefault="006678AE" w:rsidP="00D04A1B">
      <w:pPr>
        <w:autoSpaceDE w:val="0"/>
        <w:autoSpaceDN w:val="0"/>
        <w:adjustRightInd w:val="0"/>
        <w:spacing w:after="0" w:line="240" w:lineRule="auto"/>
        <w:rPr>
          <w:rFonts w:eastAsia="MinionPro-Regular" w:cstheme="minorHAnsi"/>
          <w:i/>
          <w:iCs/>
          <w:color w:val="231F20"/>
          <w:sz w:val="20"/>
          <w:szCs w:val="20"/>
        </w:rPr>
      </w:pPr>
      <w:r>
        <w:rPr>
          <w:rStyle w:val="FootnoteReference"/>
        </w:rPr>
        <w:footnoteRef/>
      </w:r>
      <w:r>
        <w:t xml:space="preserve"> </w:t>
      </w:r>
      <w:r w:rsidRPr="00D04A1B">
        <w:rPr>
          <w:rFonts w:eastAsia="MinionPro-Regular" w:cstheme="minorHAnsi"/>
          <w:color w:val="231F20"/>
          <w:sz w:val="20"/>
          <w:szCs w:val="20"/>
        </w:rPr>
        <w:t xml:space="preserve">Davidoff, I. 2007, ‘Evidence on the child care market’, </w:t>
      </w:r>
      <w:r w:rsidRPr="00D04A1B">
        <w:rPr>
          <w:rFonts w:eastAsia="MinionPro-Regular" w:cstheme="minorHAnsi"/>
          <w:i/>
          <w:iCs/>
          <w:color w:val="231F20"/>
          <w:sz w:val="20"/>
          <w:szCs w:val="20"/>
        </w:rPr>
        <w:t>Economic Roundup</w:t>
      </w:r>
      <w:r>
        <w:rPr>
          <w:rFonts w:eastAsia="MinionPro-Regular" w:cstheme="minorHAnsi"/>
          <w:i/>
          <w:iCs/>
          <w:color w:val="231F20"/>
          <w:sz w:val="20"/>
          <w:szCs w:val="20"/>
        </w:rPr>
        <w:t xml:space="preserve"> </w:t>
      </w:r>
      <w:r w:rsidRPr="00D04A1B">
        <w:rPr>
          <w:rFonts w:eastAsia="MinionPro-Regular" w:cstheme="minorHAnsi"/>
          <w:i/>
          <w:iCs/>
          <w:color w:val="231F20"/>
          <w:sz w:val="20"/>
          <w:szCs w:val="20"/>
        </w:rPr>
        <w:t>Summer 2007</w:t>
      </w:r>
      <w:r w:rsidRPr="00D04A1B">
        <w:rPr>
          <w:rFonts w:eastAsia="MinionPro-Regular" w:cstheme="minorHAnsi"/>
          <w:color w:val="231F20"/>
          <w:sz w:val="20"/>
          <w:szCs w:val="20"/>
        </w:rPr>
        <w:t>, Department of Treasury, Canberra</w:t>
      </w:r>
      <w:r>
        <w:rPr>
          <w:rFonts w:eastAsia="MinionPro-Regular" w:cstheme="minorHAnsi"/>
          <w:color w:val="231F20"/>
          <w:sz w:val="20"/>
          <w:szCs w:val="20"/>
        </w:rPr>
        <w:t>.</w:t>
      </w:r>
    </w:p>
  </w:footnote>
  <w:footnote w:id="28">
    <w:p w14:paraId="04969F1A" w14:textId="7A872F60" w:rsidR="006678AE" w:rsidRDefault="006678AE">
      <w:pPr>
        <w:pStyle w:val="FootnoteText"/>
      </w:pPr>
      <w:r>
        <w:rPr>
          <w:rStyle w:val="FootnoteReference"/>
        </w:rPr>
        <w:footnoteRef/>
      </w:r>
      <w:r>
        <w:t xml:space="preserve"> Department of Education, unpublished research.</w:t>
      </w:r>
    </w:p>
  </w:footnote>
  <w:footnote w:id="29">
    <w:p w14:paraId="04969F1B" w14:textId="77777777" w:rsidR="006678AE" w:rsidRDefault="006678AE">
      <w:pPr>
        <w:pStyle w:val="FootnoteText"/>
      </w:pPr>
      <w:r>
        <w:rPr>
          <w:rStyle w:val="FootnoteReference"/>
        </w:rPr>
        <w:footnoteRef/>
      </w:r>
      <w:r>
        <w:t xml:space="preserve"> Department of Education, unpublished research.</w:t>
      </w:r>
    </w:p>
  </w:footnote>
  <w:footnote w:id="30">
    <w:p w14:paraId="04969F1C" w14:textId="77777777" w:rsidR="006678AE" w:rsidRPr="0066196A" w:rsidRDefault="006678AE">
      <w:pPr>
        <w:pStyle w:val="FootnoteText"/>
      </w:pPr>
      <w:r>
        <w:rPr>
          <w:rStyle w:val="FootnoteReference"/>
        </w:rPr>
        <w:footnoteRef/>
      </w:r>
      <w:r>
        <w:t xml:space="preserve"> </w:t>
      </w:r>
      <w:proofErr w:type="spellStart"/>
      <w:r>
        <w:t>IBISWorld</w:t>
      </w:r>
      <w:proofErr w:type="spellEnd"/>
      <w:r>
        <w:t xml:space="preserve"> 2013, </w:t>
      </w:r>
      <w:r>
        <w:rPr>
          <w:i/>
        </w:rPr>
        <w:t xml:space="preserve">Child Care Services in Australia, </w:t>
      </w:r>
      <w:r w:rsidRPr="0066196A">
        <w:t>September 2013</w:t>
      </w:r>
      <w:r>
        <w:t xml:space="preserve">, </w:t>
      </w:r>
      <w:proofErr w:type="spellStart"/>
      <w:r>
        <w:t>p22</w:t>
      </w:r>
      <w:proofErr w:type="spellEnd"/>
      <w:r>
        <w:t>.</w:t>
      </w:r>
    </w:p>
  </w:footnote>
  <w:footnote w:id="31">
    <w:p w14:paraId="04969F1D" w14:textId="77777777" w:rsidR="006678AE" w:rsidRPr="00262EC6" w:rsidRDefault="006678AE">
      <w:pPr>
        <w:pStyle w:val="FootnoteText"/>
      </w:pPr>
      <w:r>
        <w:rPr>
          <w:rStyle w:val="FootnoteReference"/>
        </w:rPr>
        <w:footnoteRef/>
      </w:r>
      <w:r>
        <w:t xml:space="preserve"> </w:t>
      </w:r>
      <w:r w:rsidRPr="00262EC6">
        <w:rPr>
          <w:rFonts w:eastAsia="MinionPro-Regular" w:cstheme="minorHAnsi"/>
          <w:color w:val="231F20"/>
        </w:rPr>
        <w:t>Lyons et al</w:t>
      </w:r>
      <w:r>
        <w:rPr>
          <w:rFonts w:eastAsia="MinionPro-Regular" w:cstheme="minorHAnsi"/>
          <w:color w:val="231F20"/>
        </w:rPr>
        <w:t>,</w:t>
      </w:r>
      <w:r w:rsidRPr="00262EC6">
        <w:rPr>
          <w:rFonts w:eastAsia="MinionPro-Regular" w:cstheme="minorHAnsi"/>
          <w:color w:val="231F20"/>
        </w:rPr>
        <w:t xml:space="preserve"> 2007</w:t>
      </w:r>
      <w:r>
        <w:rPr>
          <w:rFonts w:eastAsia="MinionPro-Regular" w:cstheme="minorHAnsi"/>
          <w:color w:val="231F20"/>
        </w:rPr>
        <w:t xml:space="preserve">, ‘Capital access of non-profit organisations’, </w:t>
      </w:r>
      <w:r>
        <w:rPr>
          <w:rFonts w:eastAsia="MinionPro-Regular" w:cstheme="minorHAnsi"/>
          <w:i/>
          <w:color w:val="231F20"/>
        </w:rPr>
        <w:t>Agenda, 14:2, pages 99-110</w:t>
      </w:r>
      <w:r>
        <w:rPr>
          <w:rFonts w:eastAsia="MinionPro-Regular" w:cstheme="minorHAnsi"/>
          <w:color w:val="231F20"/>
        </w:rPr>
        <w:t>.</w:t>
      </w:r>
    </w:p>
  </w:footnote>
  <w:footnote w:id="32">
    <w:p w14:paraId="04969F1E" w14:textId="5D3498B6" w:rsidR="006678AE" w:rsidRDefault="006678AE">
      <w:pPr>
        <w:pStyle w:val="FootnoteText"/>
      </w:pPr>
      <w:r>
        <w:rPr>
          <w:rStyle w:val="FootnoteReference"/>
        </w:rPr>
        <w:footnoteRef/>
      </w:r>
      <w:r>
        <w:t xml:space="preserve"> Department of Education,</w:t>
      </w:r>
      <w:r>
        <w:rPr>
          <w:i/>
        </w:rPr>
        <w:t xml:space="preserve"> </w:t>
      </w:r>
      <w:r>
        <w:t>unpublished research.</w:t>
      </w:r>
    </w:p>
  </w:footnote>
  <w:footnote w:id="33">
    <w:p w14:paraId="04969F1F" w14:textId="77777777" w:rsidR="006678AE" w:rsidRDefault="006678AE">
      <w:pPr>
        <w:pStyle w:val="FootnoteText"/>
      </w:pPr>
      <w:r>
        <w:rPr>
          <w:rStyle w:val="FootnoteReference"/>
        </w:rPr>
        <w:footnoteRef/>
      </w:r>
      <w:r>
        <w:t xml:space="preserve"> Department of Education. </w:t>
      </w:r>
      <w:r w:rsidRPr="00302618">
        <w:rPr>
          <w:i/>
        </w:rPr>
        <w:t>Child care and public policy in Australia: a review of selected issues</w:t>
      </w:r>
      <w:r>
        <w:t>, unpublished, 2008.</w:t>
      </w:r>
    </w:p>
  </w:footnote>
  <w:footnote w:id="34">
    <w:p w14:paraId="04969F20" w14:textId="77777777" w:rsidR="006678AE" w:rsidRDefault="006678AE">
      <w:pPr>
        <w:pStyle w:val="FootnoteText"/>
      </w:pPr>
      <w:r>
        <w:rPr>
          <w:rStyle w:val="FootnoteReference"/>
        </w:rPr>
        <w:footnoteRef/>
      </w:r>
      <w:r>
        <w:t xml:space="preserve"> See for example, </w:t>
      </w:r>
      <w:proofErr w:type="spellStart"/>
      <w:r>
        <w:t>SSROC</w:t>
      </w:r>
      <w:proofErr w:type="spellEnd"/>
      <w:r>
        <w:t xml:space="preserve"> 2005, </w:t>
      </w:r>
      <w:r w:rsidRPr="00270CD2">
        <w:rPr>
          <w:i/>
        </w:rPr>
        <w:t>Discussion paper on planning requirements for child care centres.</w:t>
      </w:r>
    </w:p>
  </w:footnote>
  <w:footnote w:id="35">
    <w:p w14:paraId="521D58EB" w14:textId="77777777" w:rsidR="006678AE" w:rsidRDefault="006678AE" w:rsidP="00892841">
      <w:pPr>
        <w:pStyle w:val="FootnoteText"/>
      </w:pPr>
      <w:r>
        <w:rPr>
          <w:rStyle w:val="FootnoteReference"/>
        </w:rPr>
        <w:footnoteRef/>
      </w:r>
      <w:r>
        <w:t xml:space="preserve"> Based on information provided to the Department of Education as part of its management of the Inclusion and Professional Support Program.</w:t>
      </w:r>
    </w:p>
  </w:footnote>
  <w:footnote w:id="36">
    <w:p w14:paraId="04969F21" w14:textId="0DC20C7B" w:rsidR="006678AE" w:rsidRDefault="006678AE">
      <w:pPr>
        <w:pStyle w:val="FootnoteText"/>
      </w:pPr>
      <w:r w:rsidRPr="001338CE">
        <w:rPr>
          <w:rStyle w:val="FootnoteReference"/>
        </w:rPr>
        <w:footnoteRef/>
      </w:r>
      <w:r w:rsidRPr="001338CE">
        <w:t xml:space="preserve"> </w:t>
      </w:r>
      <w:r w:rsidRPr="001338CE">
        <w:rPr>
          <w:i/>
        </w:rPr>
        <w:t>Regulation Impact Statement for Early Childhood Education and Care Quality Reforms</w:t>
      </w:r>
      <w:r w:rsidRPr="001338CE">
        <w:t xml:space="preserve">, COAG Decision </w:t>
      </w:r>
      <w:proofErr w:type="spellStart"/>
      <w:r w:rsidRPr="001338CE">
        <w:t>RIS</w:t>
      </w:r>
      <w:proofErr w:type="spellEnd"/>
      <w:r w:rsidRPr="001338CE">
        <w:t>, December 2009.</w:t>
      </w:r>
    </w:p>
  </w:footnote>
  <w:footnote w:id="37">
    <w:p w14:paraId="04969F22" w14:textId="77777777" w:rsidR="006678AE" w:rsidRPr="009F57A8" w:rsidRDefault="006678AE" w:rsidP="00F17358">
      <w:pPr>
        <w:pStyle w:val="FootnoteText"/>
      </w:pPr>
      <w:r>
        <w:rPr>
          <w:rStyle w:val="FootnoteReference"/>
        </w:rPr>
        <w:footnoteRef/>
      </w:r>
      <w:r>
        <w:t xml:space="preserve"> </w:t>
      </w:r>
      <w:proofErr w:type="spellStart"/>
      <w:r>
        <w:t>Mocan</w:t>
      </w:r>
      <w:proofErr w:type="spellEnd"/>
      <w:r>
        <w:t xml:space="preserve">, N. 2007, Can consumers detect lemons? An empirical analysis of information asymmetry in the market for child care. </w:t>
      </w:r>
      <w:r>
        <w:rPr>
          <w:i/>
        </w:rPr>
        <w:t>Journal of Population Economics</w:t>
      </w:r>
      <w:r>
        <w:t>, 20(4):743-780.</w:t>
      </w:r>
    </w:p>
  </w:footnote>
  <w:footnote w:id="38">
    <w:p w14:paraId="04969F24" w14:textId="77777777" w:rsidR="006678AE" w:rsidRDefault="006678AE">
      <w:pPr>
        <w:pStyle w:val="FootnoteText"/>
      </w:pPr>
      <w:r>
        <w:rPr>
          <w:rStyle w:val="FootnoteReference"/>
        </w:rPr>
        <w:footnoteRef/>
      </w:r>
      <w:r>
        <w:t xml:space="preserve"> Department of Education, unpublished information.</w:t>
      </w:r>
    </w:p>
  </w:footnote>
  <w:footnote w:id="39">
    <w:p w14:paraId="41FF06DA" w14:textId="77777777" w:rsidR="006678AE" w:rsidRDefault="006678AE" w:rsidP="00B41422">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w:t>
      </w:r>
      <w:r w:rsidRPr="00E0602E">
        <w:rPr>
          <w:rFonts w:cstheme="minorHAnsi"/>
        </w:rPr>
        <w:t xml:space="preserve">Organisation for Economic Co-operation and Development (2006), </w:t>
      </w:r>
      <w:r w:rsidRPr="00E0602E">
        <w:rPr>
          <w:rFonts w:cstheme="minorHAnsi"/>
          <w:i/>
        </w:rPr>
        <w:t>Starting Strong II Early Childhood Education and Care</w:t>
      </w:r>
      <w:r w:rsidRPr="00E0602E">
        <w:rPr>
          <w:rFonts w:cstheme="minorHAnsi"/>
        </w:rPr>
        <w:t>, OECD Publishing: Paris.</w:t>
      </w:r>
    </w:p>
  </w:footnote>
  <w:footnote w:id="40">
    <w:p w14:paraId="04969F26" w14:textId="071D1803" w:rsidR="006678AE" w:rsidRDefault="006678AE" w:rsidP="00E06171">
      <w:pPr>
        <w:pStyle w:val="FootnoteText"/>
      </w:pPr>
      <w:r>
        <w:rPr>
          <w:rStyle w:val="FootnoteReference"/>
        </w:rPr>
        <w:footnoteRef/>
      </w:r>
      <w:r>
        <w:t xml:space="preserve"> </w:t>
      </w:r>
      <w:r w:rsidRPr="001338CE">
        <w:rPr>
          <w:i/>
        </w:rPr>
        <w:t>Regulation Impact Statement for Early Childhood Education and Care Quality Reforms</w:t>
      </w:r>
      <w:r w:rsidRPr="001338CE">
        <w:t xml:space="preserve">, COAG Decision </w:t>
      </w:r>
      <w:proofErr w:type="spellStart"/>
      <w:r w:rsidRPr="001338CE">
        <w:t>RIS</w:t>
      </w:r>
      <w:proofErr w:type="spellEnd"/>
      <w:r w:rsidRPr="001338CE">
        <w:t>, December 2009</w:t>
      </w:r>
      <w:r>
        <w:t>.</w:t>
      </w:r>
    </w:p>
  </w:footnote>
  <w:footnote w:id="41">
    <w:p w14:paraId="04969F27" w14:textId="2228265A" w:rsidR="006678AE" w:rsidRDefault="006678AE">
      <w:pPr>
        <w:pStyle w:val="FootnoteText"/>
      </w:pPr>
      <w:r>
        <w:rPr>
          <w:rStyle w:val="FootnoteReference"/>
        </w:rPr>
        <w:footnoteRef/>
      </w:r>
      <w:r>
        <w:t xml:space="preserve"> </w:t>
      </w:r>
      <w:r w:rsidRPr="00E06171">
        <w:rPr>
          <w:rFonts w:cs="Arial"/>
        </w:rPr>
        <w:t>Friendly, M., Doherty, G. and Beach, J. (2006)</w:t>
      </w:r>
      <w:r>
        <w:rPr>
          <w:rFonts w:cs="Arial"/>
        </w:rPr>
        <w:t>,</w:t>
      </w:r>
      <w:r w:rsidRPr="00E06171">
        <w:rPr>
          <w:rFonts w:cs="Arial"/>
        </w:rPr>
        <w:t xml:space="preserve"> </w:t>
      </w:r>
      <w:r w:rsidRPr="00E06171">
        <w:rPr>
          <w:rFonts w:cs="Arial"/>
          <w:i/>
        </w:rPr>
        <w:t>Quality by Design: What Do We Know about Quality in Early Learning and Childcare, and What Do We Think? A Literature Review</w:t>
      </w:r>
      <w:r w:rsidRPr="00E06171">
        <w:rPr>
          <w:rFonts w:cs="Arial"/>
        </w:rPr>
        <w:t>. Toronto: Childcare Resource and Resea</w:t>
      </w:r>
      <w:r>
        <w:rPr>
          <w:rFonts w:cs="Arial"/>
        </w:rPr>
        <w:t>rch Unit, University of Toronto</w:t>
      </w:r>
      <w:r w:rsidRPr="00E06171">
        <w:rPr>
          <w:rFonts w:cs="Arial"/>
        </w:rPr>
        <w:t>.</w:t>
      </w:r>
    </w:p>
  </w:footnote>
  <w:footnote w:id="42">
    <w:p w14:paraId="04969F28" w14:textId="637FE2C3" w:rsidR="006678AE" w:rsidRDefault="006678AE" w:rsidP="0095571D">
      <w:pPr>
        <w:pStyle w:val="FootnoteText"/>
      </w:pPr>
      <w:r>
        <w:rPr>
          <w:rStyle w:val="FootnoteReference"/>
        </w:rPr>
        <w:footnoteRef/>
      </w:r>
      <w:r>
        <w:t xml:space="preserve"> Early feedback from FDC services and parents indicates that this is a particular issue for emergency service personnel who are seeking to extend their care to accommodate last minute shift changes.</w:t>
      </w:r>
    </w:p>
  </w:footnote>
  <w:footnote w:id="43">
    <w:p w14:paraId="04969F29" w14:textId="7AF19F6C" w:rsidR="006678AE" w:rsidRDefault="006678AE" w:rsidP="0095571D">
      <w:pPr>
        <w:pStyle w:val="FootnoteText"/>
      </w:pPr>
      <w:r>
        <w:rPr>
          <w:rStyle w:val="FootnoteReference"/>
        </w:rPr>
        <w:footnoteRef/>
      </w:r>
      <w:r>
        <w:t xml:space="preserve"> Feedback from police representatives during recent flexibility trials indicates a perception that there are issues of quality and safety in relation to home based care and these are of particular concern to police officers. </w:t>
      </w:r>
    </w:p>
  </w:footnote>
  <w:footnote w:id="44">
    <w:p w14:paraId="04969F2A" w14:textId="24630EA7" w:rsidR="006678AE" w:rsidRPr="00295A10" w:rsidRDefault="006678AE" w:rsidP="00BD5241">
      <w:pPr>
        <w:pStyle w:val="FootnoteText"/>
      </w:pPr>
      <w:r>
        <w:rPr>
          <w:rStyle w:val="FootnoteReference"/>
        </w:rPr>
        <w:footnoteRef/>
      </w:r>
      <w:r>
        <w:t xml:space="preserve"> See </w:t>
      </w:r>
      <w:r>
        <w:rPr>
          <w:i/>
        </w:rPr>
        <w:t xml:space="preserve">Child Care in Australia August 2013, </w:t>
      </w:r>
      <w:r>
        <w:t>Department of Education.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969EFE" w14:textId="77777777" w:rsidR="006678AE" w:rsidRPr="000812BC" w:rsidRDefault="006678AE" w:rsidP="000812BC">
    <w:pPr>
      <w:pStyle w:val="Header"/>
      <w:pBdr>
        <w:bottom w:val="single" w:sz="4" w:space="1" w:color="auto"/>
      </w:pBdr>
      <w:rPr>
        <w:sz w:val="24"/>
        <w:szCs w:val="24"/>
      </w:rPr>
    </w:pPr>
    <w:r>
      <w:rPr>
        <w:sz w:val="24"/>
        <w:szCs w:val="24"/>
      </w:rPr>
      <w:t xml:space="preserve">Submission to the Productivity Commission’s </w:t>
    </w:r>
    <w:r w:rsidRPr="00E5174B">
      <w:rPr>
        <w:sz w:val="24"/>
        <w:szCs w:val="24"/>
      </w:rPr>
      <w:t xml:space="preserve">Inquiry into </w:t>
    </w:r>
    <w:r>
      <w:rPr>
        <w:sz w:val="24"/>
        <w:szCs w:val="24"/>
      </w:rPr>
      <w:br/>
    </w:r>
    <w:r w:rsidRPr="00E5174B">
      <w:rPr>
        <w:sz w:val="24"/>
        <w:szCs w:val="24"/>
      </w:rPr>
      <w:t>Child Car</w:t>
    </w:r>
    <w:r>
      <w:rPr>
        <w:sz w:val="24"/>
        <w:szCs w:val="24"/>
      </w:rPr>
      <w:t>e and Early Childhood Learning</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7D6396" w14:textId="77777777" w:rsidR="00C651BC" w:rsidRDefault="00C651B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91FAFD" w14:textId="77777777" w:rsidR="00C651BC" w:rsidRDefault="00C651B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969F00" w14:textId="61AECBF8" w:rsidR="006678AE" w:rsidRPr="00E12D6B" w:rsidRDefault="006678AE" w:rsidP="00E12D6B">
    <w:pPr>
      <w:pStyle w:val="Header"/>
      <w:pBdr>
        <w:bottom w:val="single" w:sz="4" w:space="1" w:color="auto"/>
      </w:pBdr>
      <w:jc w:val="right"/>
      <w:rPr>
        <w:sz w:val="16"/>
        <w:szCs w:val="16"/>
      </w:rPr>
    </w:pPr>
    <w:r w:rsidRPr="00E12D6B">
      <w:rPr>
        <w:sz w:val="16"/>
        <w:szCs w:val="16"/>
      </w:rPr>
      <w:t>Submission to the Productivity Commission’s Inquiry into</w:t>
    </w:r>
    <w:r w:rsidRPr="00E12D6B">
      <w:rPr>
        <w:sz w:val="16"/>
        <w:szCs w:val="16"/>
      </w:rPr>
      <w:br/>
      <w:t>Child Care and Early Childhood Learning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51AB512"/>
    <w:lvl w:ilvl="0">
      <w:start w:val="1"/>
      <w:numFmt w:val="decimal"/>
      <w:lvlText w:val="%1."/>
      <w:lvlJc w:val="left"/>
      <w:pPr>
        <w:tabs>
          <w:tab w:val="num" w:pos="1492"/>
        </w:tabs>
        <w:ind w:left="1492" w:hanging="360"/>
      </w:pPr>
    </w:lvl>
  </w:abstractNum>
  <w:abstractNum w:abstractNumId="1">
    <w:nsid w:val="FFFFFF7D"/>
    <w:multiLevelType w:val="singleLevel"/>
    <w:tmpl w:val="4CFCCC6C"/>
    <w:lvl w:ilvl="0">
      <w:start w:val="1"/>
      <w:numFmt w:val="decimal"/>
      <w:lvlText w:val="%1."/>
      <w:lvlJc w:val="left"/>
      <w:pPr>
        <w:tabs>
          <w:tab w:val="num" w:pos="1209"/>
        </w:tabs>
        <w:ind w:left="1209" w:hanging="360"/>
      </w:pPr>
    </w:lvl>
  </w:abstractNum>
  <w:abstractNum w:abstractNumId="2">
    <w:nsid w:val="FFFFFF7E"/>
    <w:multiLevelType w:val="singleLevel"/>
    <w:tmpl w:val="77A8C58E"/>
    <w:lvl w:ilvl="0">
      <w:start w:val="1"/>
      <w:numFmt w:val="decimal"/>
      <w:lvlText w:val="%1."/>
      <w:lvlJc w:val="left"/>
      <w:pPr>
        <w:tabs>
          <w:tab w:val="num" w:pos="926"/>
        </w:tabs>
        <w:ind w:left="926" w:hanging="360"/>
      </w:pPr>
    </w:lvl>
  </w:abstractNum>
  <w:abstractNum w:abstractNumId="3">
    <w:nsid w:val="FFFFFF7F"/>
    <w:multiLevelType w:val="singleLevel"/>
    <w:tmpl w:val="AB463FF2"/>
    <w:lvl w:ilvl="0">
      <w:start w:val="1"/>
      <w:numFmt w:val="decimal"/>
      <w:lvlText w:val="%1."/>
      <w:lvlJc w:val="left"/>
      <w:pPr>
        <w:tabs>
          <w:tab w:val="num" w:pos="643"/>
        </w:tabs>
        <w:ind w:left="643" w:hanging="360"/>
      </w:pPr>
    </w:lvl>
  </w:abstractNum>
  <w:abstractNum w:abstractNumId="4">
    <w:nsid w:val="FFFFFF80"/>
    <w:multiLevelType w:val="singleLevel"/>
    <w:tmpl w:val="DB5E619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52C357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64A21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12E6E0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D50D44A"/>
    <w:lvl w:ilvl="0">
      <w:start w:val="1"/>
      <w:numFmt w:val="decimal"/>
      <w:lvlText w:val="%1."/>
      <w:lvlJc w:val="left"/>
      <w:pPr>
        <w:tabs>
          <w:tab w:val="num" w:pos="360"/>
        </w:tabs>
        <w:ind w:left="360" w:hanging="360"/>
      </w:pPr>
    </w:lvl>
  </w:abstractNum>
  <w:abstractNum w:abstractNumId="9">
    <w:nsid w:val="FFFFFF89"/>
    <w:multiLevelType w:val="singleLevel"/>
    <w:tmpl w:val="BF68851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663089"/>
    <w:multiLevelType w:val="multilevel"/>
    <w:tmpl w:val="B7ACCB2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nsid w:val="05096B36"/>
    <w:multiLevelType w:val="hybridMultilevel"/>
    <w:tmpl w:val="8F448C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AE36AB0"/>
    <w:multiLevelType w:val="hybridMultilevel"/>
    <w:tmpl w:val="838290C0"/>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0EC42909"/>
    <w:multiLevelType w:val="multilevel"/>
    <w:tmpl w:val="753AC1FE"/>
    <w:lvl w:ilvl="0">
      <w:start w:val="1"/>
      <w:numFmt w:val="bullet"/>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4">
    <w:nsid w:val="19C54147"/>
    <w:multiLevelType w:val="hybridMultilevel"/>
    <w:tmpl w:val="E0A84332"/>
    <w:lvl w:ilvl="0" w:tplc="0C09000B">
      <w:start w:val="1"/>
      <w:numFmt w:val="bullet"/>
      <w:lvlText w:val=""/>
      <w:lvlJc w:val="left"/>
      <w:pPr>
        <w:ind w:left="1080" w:hanging="360"/>
      </w:pPr>
      <w:rPr>
        <w:rFonts w:ascii="Wingdings" w:hAnsi="Wingdings"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nsid w:val="1A6B4206"/>
    <w:multiLevelType w:val="hybridMultilevel"/>
    <w:tmpl w:val="3D2AF9C4"/>
    <w:lvl w:ilvl="0" w:tplc="0C090001">
      <w:start w:val="1"/>
      <w:numFmt w:val="bullet"/>
      <w:lvlText w:val=""/>
      <w:lvlJc w:val="left"/>
      <w:pPr>
        <w:ind w:left="360" w:hanging="360"/>
      </w:pPr>
      <w:rPr>
        <w:rFonts w:ascii="Symbol" w:hAnsi="Symbol" w:hint="default"/>
        <w:color w:val="auto"/>
        <w:sz w:val="24"/>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nsid w:val="1C2F73CA"/>
    <w:multiLevelType w:val="multilevel"/>
    <w:tmpl w:val="EB6053DC"/>
    <w:name w:val="StandardBulletedList"/>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1FFA795C"/>
    <w:multiLevelType w:val="hybridMultilevel"/>
    <w:tmpl w:val="EC029A60"/>
    <w:lvl w:ilvl="0" w:tplc="47607BC0">
      <w:numFmt w:val="bullet"/>
      <w:lvlText w:val="•"/>
      <w:lvlJc w:val="left"/>
      <w:pPr>
        <w:ind w:left="930" w:hanging="57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20A631E3"/>
    <w:multiLevelType w:val="hybridMultilevel"/>
    <w:tmpl w:val="0554E1FE"/>
    <w:lvl w:ilvl="0" w:tplc="0C09000B">
      <w:start w:val="1"/>
      <w:numFmt w:val="bullet"/>
      <w:lvlText w:val=""/>
      <w:lvlJc w:val="left"/>
      <w:pPr>
        <w:ind w:left="720" w:hanging="360"/>
      </w:pPr>
      <w:rPr>
        <w:rFonts w:ascii="Wingdings" w:hAnsi="Wingdings" w:hint="default"/>
      </w:rPr>
    </w:lvl>
    <w:lvl w:ilvl="1" w:tplc="F628FE04">
      <w:numFmt w:val="bullet"/>
      <w:lvlText w:val="-"/>
      <w:lvlJc w:val="left"/>
      <w:pPr>
        <w:ind w:left="1440" w:hanging="36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22BD7592"/>
    <w:multiLevelType w:val="hybridMultilevel"/>
    <w:tmpl w:val="824066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2C5157E7"/>
    <w:multiLevelType w:val="hybridMultilevel"/>
    <w:tmpl w:val="FA203A9E"/>
    <w:lvl w:ilvl="0" w:tplc="0C09000B">
      <w:start w:val="1"/>
      <w:numFmt w:val="bullet"/>
      <w:lvlText w:val=""/>
      <w:lvlJc w:val="left"/>
      <w:pPr>
        <w:ind w:left="720" w:hanging="360"/>
      </w:pPr>
      <w:rPr>
        <w:rFonts w:ascii="Wingdings" w:hAnsi="Wingdings" w:hint="default"/>
      </w:rPr>
    </w:lvl>
    <w:lvl w:ilvl="1" w:tplc="F628FE04">
      <w:numFmt w:val="bullet"/>
      <w:lvlText w:val="-"/>
      <w:lvlJc w:val="left"/>
      <w:pPr>
        <w:ind w:left="1440" w:hanging="36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61503D5"/>
    <w:multiLevelType w:val="hybridMultilevel"/>
    <w:tmpl w:val="C19AC01E"/>
    <w:lvl w:ilvl="0" w:tplc="8E306B24">
      <w:start w:val="1"/>
      <w:numFmt w:val="bullet"/>
      <w:pStyle w:val="Bullets"/>
      <w:lvlText w:val=""/>
      <w:lvlJc w:val="left"/>
      <w:pPr>
        <w:tabs>
          <w:tab w:val="num" w:pos="284"/>
        </w:tabs>
        <w:ind w:left="284" w:hanging="284"/>
      </w:pPr>
      <w:rPr>
        <w:rFonts w:ascii="Wingdings" w:hAnsi="Wingdings" w:hint="default"/>
        <w:color w:val="auto"/>
        <w:sz w:val="22"/>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2">
    <w:nsid w:val="3BC41585"/>
    <w:multiLevelType w:val="hybridMultilevel"/>
    <w:tmpl w:val="C4F8167C"/>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3E771BE7"/>
    <w:multiLevelType w:val="hybridMultilevel"/>
    <w:tmpl w:val="BD4EFA6C"/>
    <w:lvl w:ilvl="0" w:tplc="844618DA">
      <w:start w:val="1"/>
      <w:numFmt w:val="decimal"/>
      <w:pStyle w:val="NormalNumbered"/>
      <w:lvlText w:val="%1."/>
      <w:lvlJc w:val="left"/>
      <w:pPr>
        <w:ind w:left="720" w:hanging="360"/>
      </w:pPr>
      <w:rPr>
        <w:rFonts w:ascii="Calibri" w:hAnsi="Calibri" w:hint="default"/>
        <w:color w:val="auto"/>
        <w:sz w:val="24"/>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459225ED"/>
    <w:multiLevelType w:val="hybridMultilevel"/>
    <w:tmpl w:val="59DCAB6A"/>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50C90446"/>
    <w:multiLevelType w:val="hybridMultilevel"/>
    <w:tmpl w:val="E51E5FF4"/>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nsid w:val="52A72743"/>
    <w:multiLevelType w:val="hybridMultilevel"/>
    <w:tmpl w:val="E84AE432"/>
    <w:lvl w:ilvl="0" w:tplc="0C09000B">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8AA2A41"/>
    <w:multiLevelType w:val="hybridMultilevel"/>
    <w:tmpl w:val="991A024C"/>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8">
    <w:nsid w:val="65441CD4"/>
    <w:multiLevelType w:val="multilevel"/>
    <w:tmpl w:val="0F8E336A"/>
    <w:lvl w:ilvl="0">
      <w:start w:val="1"/>
      <w:numFmt w:val="bullet"/>
      <w:lvlText w:val=""/>
      <w:lvlJc w:val="left"/>
      <w:pPr>
        <w:ind w:left="1080" w:hanging="360"/>
      </w:pPr>
      <w:rPr>
        <w:rFonts w:ascii="Symbol" w:hAnsi="Symbol" w:hint="default"/>
      </w:rPr>
    </w:lvl>
    <w:lvl w:ilvl="1">
      <w:start w:val="1"/>
      <w:numFmt w:val="bullet"/>
      <w:lvlText w:val=""/>
      <w:lvlJc w:val="left"/>
      <w:pPr>
        <w:ind w:left="1512" w:hanging="432"/>
      </w:pPr>
      <w:rPr>
        <w:rFonts w:ascii="Symbol" w:hAnsi="Symbol"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9">
    <w:nsid w:val="71FB0739"/>
    <w:multiLevelType w:val="hybridMultilevel"/>
    <w:tmpl w:val="91DAEAD6"/>
    <w:lvl w:ilvl="0" w:tplc="0C09000B">
      <w:start w:val="1"/>
      <w:numFmt w:val="bullet"/>
      <w:lvlText w:val=""/>
      <w:lvlJc w:val="left"/>
      <w:pPr>
        <w:ind w:left="720" w:hanging="360"/>
      </w:pPr>
      <w:rPr>
        <w:rFonts w:ascii="Wingdings" w:hAnsi="Wingdings" w:hint="default"/>
      </w:rPr>
    </w:lvl>
    <w:lvl w:ilvl="1" w:tplc="F628FE04">
      <w:numFmt w:val="bullet"/>
      <w:lvlText w:val="-"/>
      <w:lvlJc w:val="left"/>
      <w:pPr>
        <w:ind w:left="1440" w:hanging="36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768514FB"/>
    <w:multiLevelType w:val="hybridMultilevel"/>
    <w:tmpl w:val="14F8E9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3"/>
  </w:num>
  <w:num w:numId="2">
    <w:abstractNumId w:val="10"/>
  </w:num>
  <w:num w:numId="3">
    <w:abstractNumId w:val="9"/>
  </w:num>
  <w:num w:numId="4">
    <w:abstractNumId w:val="21"/>
  </w:num>
  <w:num w:numId="5">
    <w:abstractNumId w:val="27"/>
  </w:num>
  <w:num w:numId="6">
    <w:abstractNumId w:val="25"/>
  </w:num>
  <w:num w:numId="7">
    <w:abstractNumId w:val="11"/>
  </w:num>
  <w:num w:numId="8">
    <w:abstractNumId w:val="15"/>
  </w:num>
  <w:num w:numId="9">
    <w:abstractNumId w:val="28"/>
  </w:num>
  <w:num w:numId="10">
    <w:abstractNumId w:val="29"/>
  </w:num>
  <w:num w:numId="11">
    <w:abstractNumId w:val="12"/>
  </w:num>
  <w:num w:numId="12">
    <w:abstractNumId w:val="18"/>
  </w:num>
  <w:num w:numId="13">
    <w:abstractNumId w:val="14"/>
  </w:num>
  <w:num w:numId="14">
    <w:abstractNumId w:val="20"/>
  </w:num>
  <w:num w:numId="15">
    <w:abstractNumId w:val="26"/>
  </w:num>
  <w:num w:numId="16">
    <w:abstractNumId w:val="17"/>
  </w:num>
  <w:num w:numId="17">
    <w:abstractNumId w:val="19"/>
  </w:num>
  <w:num w:numId="18">
    <w:abstractNumId w:val="24"/>
  </w:num>
  <w:num w:numId="19">
    <w:abstractNumId w:val="1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22"/>
  </w:num>
  <w:num w:numId="31">
    <w:abstractNumId w:val="23"/>
  </w:num>
  <w:num w:numId="32">
    <w:abstractNumId w:val="23"/>
  </w:num>
  <w:num w:numId="33">
    <w:abstractNumId w:val="23"/>
  </w:num>
  <w:num w:numId="34">
    <w:abstractNumId w:val="23"/>
  </w:num>
  <w:num w:numId="35">
    <w:abstractNumId w:val="23"/>
  </w:num>
  <w:num w:numId="36">
    <w:abstractNumId w:val="23"/>
  </w:num>
  <w:num w:numId="37">
    <w:abstractNumId w:val="23"/>
  </w:num>
  <w:num w:numId="38">
    <w:abstractNumId w:val="23"/>
  </w:num>
  <w:num w:numId="39">
    <w:abstractNumId w:val="23"/>
  </w:num>
  <w:num w:numId="40">
    <w:abstractNumId w:val="23"/>
  </w:num>
  <w:num w:numId="41">
    <w:abstractNumId w:val="23"/>
  </w:num>
  <w:num w:numId="42">
    <w:abstractNumId w:val="23"/>
  </w:num>
  <w:num w:numId="43">
    <w:abstractNumId w:val="23"/>
  </w:num>
  <w:num w:numId="44">
    <w:abstractNumId w:val="23"/>
  </w:num>
  <w:num w:numId="45">
    <w:abstractNumId w:val="3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GrammaticalErrors/>
  <w:proofState w:spelling="clean"/>
  <w:stylePaneFormatFilter w:val="1624" w:allStyles="0" w:customStyles="0" w:latentStyles="1" w:stylesInUse="0" w:headingStyles="1" w:numberingStyles="0" w:tableStyles="0" w:directFormattingOnRuns="0" w:directFormattingOnParagraphs="1" w:directFormattingOnNumbering="1" w:directFormattingOnTables="0" w:clearFormatting="1" w:top3HeadingStyles="0" w:visibleStyles="0" w:alternateStyleNames="0"/>
  <w:stylePaneSortMethod w:val="0000"/>
  <w:defaultTabStop w:val="567"/>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 w:name="dgnword-docGUID" w:val="{353F3161-464E-4E86-9258-13C9CF71CB8D}"/>
    <w:docVar w:name="dgnword-eventsink" w:val="98696432"/>
  </w:docVars>
  <w:rsids>
    <w:rsidRoot w:val="00A8049B"/>
    <w:rsid w:val="00001609"/>
    <w:rsid w:val="00001C79"/>
    <w:rsid w:val="000036F5"/>
    <w:rsid w:val="00004356"/>
    <w:rsid w:val="00004EF9"/>
    <w:rsid w:val="00007B03"/>
    <w:rsid w:val="00012382"/>
    <w:rsid w:val="00013800"/>
    <w:rsid w:val="00013ECE"/>
    <w:rsid w:val="000146DA"/>
    <w:rsid w:val="00016891"/>
    <w:rsid w:val="00020A8C"/>
    <w:rsid w:val="00020C41"/>
    <w:rsid w:val="00021DE0"/>
    <w:rsid w:val="00022DA6"/>
    <w:rsid w:val="00023F66"/>
    <w:rsid w:val="00025DA6"/>
    <w:rsid w:val="00031F96"/>
    <w:rsid w:val="0003285B"/>
    <w:rsid w:val="0003292C"/>
    <w:rsid w:val="00033752"/>
    <w:rsid w:val="00041501"/>
    <w:rsid w:val="00042752"/>
    <w:rsid w:val="00042A12"/>
    <w:rsid w:val="0004345A"/>
    <w:rsid w:val="00044092"/>
    <w:rsid w:val="000471F9"/>
    <w:rsid w:val="000543AE"/>
    <w:rsid w:val="0006083E"/>
    <w:rsid w:val="0006153E"/>
    <w:rsid w:val="00061E60"/>
    <w:rsid w:val="00062539"/>
    <w:rsid w:val="00062E5F"/>
    <w:rsid w:val="000707E4"/>
    <w:rsid w:val="00071A74"/>
    <w:rsid w:val="0007469E"/>
    <w:rsid w:val="00075F25"/>
    <w:rsid w:val="000766A2"/>
    <w:rsid w:val="00076E50"/>
    <w:rsid w:val="00080B90"/>
    <w:rsid w:val="000812BC"/>
    <w:rsid w:val="0008505A"/>
    <w:rsid w:val="0008718B"/>
    <w:rsid w:val="000927AA"/>
    <w:rsid w:val="00092E40"/>
    <w:rsid w:val="00097FF7"/>
    <w:rsid w:val="000A3895"/>
    <w:rsid w:val="000A6339"/>
    <w:rsid w:val="000A66A8"/>
    <w:rsid w:val="000B0D65"/>
    <w:rsid w:val="000B4974"/>
    <w:rsid w:val="000C343F"/>
    <w:rsid w:val="000C7DCF"/>
    <w:rsid w:val="000D326C"/>
    <w:rsid w:val="000D4C3E"/>
    <w:rsid w:val="000E01CB"/>
    <w:rsid w:val="000E2251"/>
    <w:rsid w:val="000E2921"/>
    <w:rsid w:val="000E730B"/>
    <w:rsid w:val="000F0394"/>
    <w:rsid w:val="000F058A"/>
    <w:rsid w:val="000F12A6"/>
    <w:rsid w:val="000F4063"/>
    <w:rsid w:val="000F4B03"/>
    <w:rsid w:val="000F58DA"/>
    <w:rsid w:val="00100F17"/>
    <w:rsid w:val="001018D1"/>
    <w:rsid w:val="00103236"/>
    <w:rsid w:val="0010581A"/>
    <w:rsid w:val="001100FC"/>
    <w:rsid w:val="0011080E"/>
    <w:rsid w:val="00112923"/>
    <w:rsid w:val="00113EE3"/>
    <w:rsid w:val="001147C3"/>
    <w:rsid w:val="0011648D"/>
    <w:rsid w:val="00116B52"/>
    <w:rsid w:val="00117307"/>
    <w:rsid w:val="0012152E"/>
    <w:rsid w:val="00131789"/>
    <w:rsid w:val="001338CE"/>
    <w:rsid w:val="0013429C"/>
    <w:rsid w:val="0014169A"/>
    <w:rsid w:val="00141994"/>
    <w:rsid w:val="001450B9"/>
    <w:rsid w:val="001479F1"/>
    <w:rsid w:val="00151831"/>
    <w:rsid w:val="0015211D"/>
    <w:rsid w:val="001524FC"/>
    <w:rsid w:val="00153764"/>
    <w:rsid w:val="001543BB"/>
    <w:rsid w:val="0016091E"/>
    <w:rsid w:val="00160E07"/>
    <w:rsid w:val="00161580"/>
    <w:rsid w:val="00163ADE"/>
    <w:rsid w:val="001703C0"/>
    <w:rsid w:val="0017456F"/>
    <w:rsid w:val="00176E6F"/>
    <w:rsid w:val="00182452"/>
    <w:rsid w:val="00186EC3"/>
    <w:rsid w:val="00190119"/>
    <w:rsid w:val="001901F0"/>
    <w:rsid w:val="001913F6"/>
    <w:rsid w:val="001936B3"/>
    <w:rsid w:val="00196061"/>
    <w:rsid w:val="001A168A"/>
    <w:rsid w:val="001A2EE4"/>
    <w:rsid w:val="001A37C9"/>
    <w:rsid w:val="001A47B2"/>
    <w:rsid w:val="001A5C0F"/>
    <w:rsid w:val="001A5F28"/>
    <w:rsid w:val="001A6A04"/>
    <w:rsid w:val="001B0727"/>
    <w:rsid w:val="001B1A83"/>
    <w:rsid w:val="001B2690"/>
    <w:rsid w:val="001B4AA0"/>
    <w:rsid w:val="001C0D19"/>
    <w:rsid w:val="001C4072"/>
    <w:rsid w:val="001C4921"/>
    <w:rsid w:val="001C4E97"/>
    <w:rsid w:val="001C515A"/>
    <w:rsid w:val="001D0B0C"/>
    <w:rsid w:val="001D5970"/>
    <w:rsid w:val="001E1DD2"/>
    <w:rsid w:val="001F6003"/>
    <w:rsid w:val="002010DA"/>
    <w:rsid w:val="002031F3"/>
    <w:rsid w:val="00203914"/>
    <w:rsid w:val="002058BE"/>
    <w:rsid w:val="00207D13"/>
    <w:rsid w:val="00210EF4"/>
    <w:rsid w:val="00211509"/>
    <w:rsid w:val="0021483E"/>
    <w:rsid w:val="00214DFF"/>
    <w:rsid w:val="00221501"/>
    <w:rsid w:val="00221821"/>
    <w:rsid w:val="00222D8F"/>
    <w:rsid w:val="002236A6"/>
    <w:rsid w:val="00225CB6"/>
    <w:rsid w:val="002325B1"/>
    <w:rsid w:val="00233C5E"/>
    <w:rsid w:val="00234F15"/>
    <w:rsid w:val="00235111"/>
    <w:rsid w:val="00241FC5"/>
    <w:rsid w:val="002426D5"/>
    <w:rsid w:val="00251243"/>
    <w:rsid w:val="00252642"/>
    <w:rsid w:val="00252AC0"/>
    <w:rsid w:val="00252C05"/>
    <w:rsid w:val="00252DCD"/>
    <w:rsid w:val="00254371"/>
    <w:rsid w:val="00260526"/>
    <w:rsid w:val="00262EC6"/>
    <w:rsid w:val="00264A99"/>
    <w:rsid w:val="002669C8"/>
    <w:rsid w:val="00267AC0"/>
    <w:rsid w:val="00270665"/>
    <w:rsid w:val="00270CD2"/>
    <w:rsid w:val="00271D18"/>
    <w:rsid w:val="00272792"/>
    <w:rsid w:val="0027512C"/>
    <w:rsid w:val="00275AAD"/>
    <w:rsid w:val="00276B73"/>
    <w:rsid w:val="00277190"/>
    <w:rsid w:val="0028539A"/>
    <w:rsid w:val="002853C3"/>
    <w:rsid w:val="00292222"/>
    <w:rsid w:val="002974BA"/>
    <w:rsid w:val="002A17D1"/>
    <w:rsid w:val="002A3FE4"/>
    <w:rsid w:val="002A4A22"/>
    <w:rsid w:val="002A4B77"/>
    <w:rsid w:val="002A6E60"/>
    <w:rsid w:val="002B0239"/>
    <w:rsid w:val="002B38F0"/>
    <w:rsid w:val="002B4DC2"/>
    <w:rsid w:val="002B6596"/>
    <w:rsid w:val="002C2854"/>
    <w:rsid w:val="002C2C08"/>
    <w:rsid w:val="002C3DFA"/>
    <w:rsid w:val="002C4CC8"/>
    <w:rsid w:val="002C77F8"/>
    <w:rsid w:val="002D5862"/>
    <w:rsid w:val="002D5A3A"/>
    <w:rsid w:val="002D668C"/>
    <w:rsid w:val="002D70D6"/>
    <w:rsid w:val="002E146F"/>
    <w:rsid w:val="002E21B4"/>
    <w:rsid w:val="002E3721"/>
    <w:rsid w:val="002F1D1B"/>
    <w:rsid w:val="002F1F31"/>
    <w:rsid w:val="002F3115"/>
    <w:rsid w:val="002F5302"/>
    <w:rsid w:val="002F7479"/>
    <w:rsid w:val="00301D69"/>
    <w:rsid w:val="00302618"/>
    <w:rsid w:val="003029D0"/>
    <w:rsid w:val="003029E8"/>
    <w:rsid w:val="00302D95"/>
    <w:rsid w:val="00302F39"/>
    <w:rsid w:val="00303C66"/>
    <w:rsid w:val="00303CE6"/>
    <w:rsid w:val="003058DF"/>
    <w:rsid w:val="00307185"/>
    <w:rsid w:val="003077D2"/>
    <w:rsid w:val="003156A0"/>
    <w:rsid w:val="003211B4"/>
    <w:rsid w:val="003240E9"/>
    <w:rsid w:val="00326EF0"/>
    <w:rsid w:val="00330088"/>
    <w:rsid w:val="00331631"/>
    <w:rsid w:val="00334C67"/>
    <w:rsid w:val="00336749"/>
    <w:rsid w:val="00337EBF"/>
    <w:rsid w:val="0034200A"/>
    <w:rsid w:val="00345885"/>
    <w:rsid w:val="003465DB"/>
    <w:rsid w:val="00346EF8"/>
    <w:rsid w:val="00350AF2"/>
    <w:rsid w:val="003513B1"/>
    <w:rsid w:val="003548FE"/>
    <w:rsid w:val="003559BE"/>
    <w:rsid w:val="00360966"/>
    <w:rsid w:val="00364429"/>
    <w:rsid w:val="00364CDD"/>
    <w:rsid w:val="003668C6"/>
    <w:rsid w:val="00367BC9"/>
    <w:rsid w:val="00370042"/>
    <w:rsid w:val="0037047A"/>
    <w:rsid w:val="0037236F"/>
    <w:rsid w:val="003727BC"/>
    <w:rsid w:val="00381582"/>
    <w:rsid w:val="00381744"/>
    <w:rsid w:val="00382A9F"/>
    <w:rsid w:val="00384661"/>
    <w:rsid w:val="00385327"/>
    <w:rsid w:val="00386A20"/>
    <w:rsid w:val="00387E88"/>
    <w:rsid w:val="00390079"/>
    <w:rsid w:val="003927D7"/>
    <w:rsid w:val="00392FF5"/>
    <w:rsid w:val="003930AA"/>
    <w:rsid w:val="0039456A"/>
    <w:rsid w:val="003A195D"/>
    <w:rsid w:val="003A7BD6"/>
    <w:rsid w:val="003B0D5E"/>
    <w:rsid w:val="003B15D2"/>
    <w:rsid w:val="003B3887"/>
    <w:rsid w:val="003B44C3"/>
    <w:rsid w:val="003B56E4"/>
    <w:rsid w:val="003B71CE"/>
    <w:rsid w:val="003C1085"/>
    <w:rsid w:val="003C198E"/>
    <w:rsid w:val="003C4AB9"/>
    <w:rsid w:val="003C51D0"/>
    <w:rsid w:val="003C5241"/>
    <w:rsid w:val="003D02F0"/>
    <w:rsid w:val="003D2023"/>
    <w:rsid w:val="003E3AF9"/>
    <w:rsid w:val="003E412E"/>
    <w:rsid w:val="003E55B1"/>
    <w:rsid w:val="003E655D"/>
    <w:rsid w:val="003F06B2"/>
    <w:rsid w:val="003F27D1"/>
    <w:rsid w:val="003F2FD7"/>
    <w:rsid w:val="003F3064"/>
    <w:rsid w:val="003F3EAB"/>
    <w:rsid w:val="003F466C"/>
    <w:rsid w:val="003F4BFD"/>
    <w:rsid w:val="003F7422"/>
    <w:rsid w:val="00400196"/>
    <w:rsid w:val="0040101C"/>
    <w:rsid w:val="004011E2"/>
    <w:rsid w:val="00404E06"/>
    <w:rsid w:val="004102CB"/>
    <w:rsid w:val="00412E8F"/>
    <w:rsid w:val="00424EA6"/>
    <w:rsid w:val="004263E8"/>
    <w:rsid w:val="004272BE"/>
    <w:rsid w:val="00427824"/>
    <w:rsid w:val="00432F6E"/>
    <w:rsid w:val="00436897"/>
    <w:rsid w:val="004409CB"/>
    <w:rsid w:val="00440FD4"/>
    <w:rsid w:val="00443507"/>
    <w:rsid w:val="00444264"/>
    <w:rsid w:val="00444398"/>
    <w:rsid w:val="00445C27"/>
    <w:rsid w:val="0044794C"/>
    <w:rsid w:val="00450EB2"/>
    <w:rsid w:val="0045183D"/>
    <w:rsid w:val="00451EE7"/>
    <w:rsid w:val="004560E4"/>
    <w:rsid w:val="00457489"/>
    <w:rsid w:val="00462835"/>
    <w:rsid w:val="00465450"/>
    <w:rsid w:val="00466818"/>
    <w:rsid w:val="004705C7"/>
    <w:rsid w:val="00472839"/>
    <w:rsid w:val="004738B2"/>
    <w:rsid w:val="00474794"/>
    <w:rsid w:val="004750CB"/>
    <w:rsid w:val="004811D3"/>
    <w:rsid w:val="004825F7"/>
    <w:rsid w:val="004828D2"/>
    <w:rsid w:val="00483A92"/>
    <w:rsid w:val="00485413"/>
    <w:rsid w:val="00485E24"/>
    <w:rsid w:val="00485F8A"/>
    <w:rsid w:val="004901C6"/>
    <w:rsid w:val="00493F2D"/>
    <w:rsid w:val="00495DDE"/>
    <w:rsid w:val="00495FA6"/>
    <w:rsid w:val="004A26A4"/>
    <w:rsid w:val="004A4308"/>
    <w:rsid w:val="004A4880"/>
    <w:rsid w:val="004A4FF4"/>
    <w:rsid w:val="004A5DDD"/>
    <w:rsid w:val="004B370D"/>
    <w:rsid w:val="004B37BE"/>
    <w:rsid w:val="004B460A"/>
    <w:rsid w:val="004B5F87"/>
    <w:rsid w:val="004B667B"/>
    <w:rsid w:val="004B79AB"/>
    <w:rsid w:val="004B7A88"/>
    <w:rsid w:val="004C1000"/>
    <w:rsid w:val="004C14FC"/>
    <w:rsid w:val="004C4885"/>
    <w:rsid w:val="004C6718"/>
    <w:rsid w:val="004D107F"/>
    <w:rsid w:val="004D3195"/>
    <w:rsid w:val="004E27F0"/>
    <w:rsid w:val="004E2ABE"/>
    <w:rsid w:val="004E3853"/>
    <w:rsid w:val="004F029D"/>
    <w:rsid w:val="004F03F3"/>
    <w:rsid w:val="004F0454"/>
    <w:rsid w:val="004F4203"/>
    <w:rsid w:val="004F51D5"/>
    <w:rsid w:val="004F5D8B"/>
    <w:rsid w:val="00501FF2"/>
    <w:rsid w:val="00503BA1"/>
    <w:rsid w:val="00504A99"/>
    <w:rsid w:val="00507D54"/>
    <w:rsid w:val="00511BAB"/>
    <w:rsid w:val="00515F21"/>
    <w:rsid w:val="00520929"/>
    <w:rsid w:val="00520D59"/>
    <w:rsid w:val="00520EC7"/>
    <w:rsid w:val="00524B00"/>
    <w:rsid w:val="0052723D"/>
    <w:rsid w:val="00533236"/>
    <w:rsid w:val="005367ED"/>
    <w:rsid w:val="005426F9"/>
    <w:rsid w:val="00545229"/>
    <w:rsid w:val="005463E6"/>
    <w:rsid w:val="005474DF"/>
    <w:rsid w:val="00550518"/>
    <w:rsid w:val="00551F92"/>
    <w:rsid w:val="005530A3"/>
    <w:rsid w:val="005541E0"/>
    <w:rsid w:val="00557423"/>
    <w:rsid w:val="005602DE"/>
    <w:rsid w:val="00561F69"/>
    <w:rsid w:val="005621D3"/>
    <w:rsid w:val="00562EC0"/>
    <w:rsid w:val="0056659B"/>
    <w:rsid w:val="00567D5F"/>
    <w:rsid w:val="005702DE"/>
    <w:rsid w:val="00571445"/>
    <w:rsid w:val="00571C99"/>
    <w:rsid w:val="00587178"/>
    <w:rsid w:val="00590492"/>
    <w:rsid w:val="00592058"/>
    <w:rsid w:val="005927F4"/>
    <w:rsid w:val="00595190"/>
    <w:rsid w:val="005959CC"/>
    <w:rsid w:val="00596059"/>
    <w:rsid w:val="005A36ED"/>
    <w:rsid w:val="005A3BFA"/>
    <w:rsid w:val="005A42BB"/>
    <w:rsid w:val="005B1270"/>
    <w:rsid w:val="005B39C7"/>
    <w:rsid w:val="005B4A7E"/>
    <w:rsid w:val="005B6740"/>
    <w:rsid w:val="005B7ECA"/>
    <w:rsid w:val="005C16C9"/>
    <w:rsid w:val="005C260C"/>
    <w:rsid w:val="005D072D"/>
    <w:rsid w:val="005D584E"/>
    <w:rsid w:val="005D72F6"/>
    <w:rsid w:val="005D7AC9"/>
    <w:rsid w:val="005E168C"/>
    <w:rsid w:val="005E2DEA"/>
    <w:rsid w:val="005E78F1"/>
    <w:rsid w:val="005F072C"/>
    <w:rsid w:val="005F14E8"/>
    <w:rsid w:val="005F161C"/>
    <w:rsid w:val="006015DA"/>
    <w:rsid w:val="00603744"/>
    <w:rsid w:val="0060389B"/>
    <w:rsid w:val="00605A89"/>
    <w:rsid w:val="0060754D"/>
    <w:rsid w:val="0061206D"/>
    <w:rsid w:val="00613420"/>
    <w:rsid w:val="00613492"/>
    <w:rsid w:val="00615D06"/>
    <w:rsid w:val="006167BB"/>
    <w:rsid w:val="006201A2"/>
    <w:rsid w:val="0062095F"/>
    <w:rsid w:val="006222E8"/>
    <w:rsid w:val="006225EE"/>
    <w:rsid w:val="00623308"/>
    <w:rsid w:val="006321A4"/>
    <w:rsid w:val="00635CDB"/>
    <w:rsid w:val="0063640F"/>
    <w:rsid w:val="006364E8"/>
    <w:rsid w:val="00637FC9"/>
    <w:rsid w:val="00641AF0"/>
    <w:rsid w:val="00643D6B"/>
    <w:rsid w:val="006449DC"/>
    <w:rsid w:val="00646C95"/>
    <w:rsid w:val="00650008"/>
    <w:rsid w:val="00650B20"/>
    <w:rsid w:val="00655860"/>
    <w:rsid w:val="00655D38"/>
    <w:rsid w:val="00656866"/>
    <w:rsid w:val="00657D3D"/>
    <w:rsid w:val="00660099"/>
    <w:rsid w:val="00660788"/>
    <w:rsid w:val="0066196A"/>
    <w:rsid w:val="006678AE"/>
    <w:rsid w:val="00671830"/>
    <w:rsid w:val="0067286B"/>
    <w:rsid w:val="00680A05"/>
    <w:rsid w:val="006827D5"/>
    <w:rsid w:val="00683413"/>
    <w:rsid w:val="00685FBA"/>
    <w:rsid w:val="006865A6"/>
    <w:rsid w:val="006873B6"/>
    <w:rsid w:val="00693B24"/>
    <w:rsid w:val="00693F3B"/>
    <w:rsid w:val="00695F6E"/>
    <w:rsid w:val="00696994"/>
    <w:rsid w:val="00697420"/>
    <w:rsid w:val="006A11C9"/>
    <w:rsid w:val="006A2594"/>
    <w:rsid w:val="006A4E0C"/>
    <w:rsid w:val="006B586F"/>
    <w:rsid w:val="006C1473"/>
    <w:rsid w:val="006C2087"/>
    <w:rsid w:val="006C3A5E"/>
    <w:rsid w:val="006C73FF"/>
    <w:rsid w:val="006D129E"/>
    <w:rsid w:val="006D1597"/>
    <w:rsid w:val="006D330D"/>
    <w:rsid w:val="006D4425"/>
    <w:rsid w:val="006D60C8"/>
    <w:rsid w:val="006E1311"/>
    <w:rsid w:val="006F098E"/>
    <w:rsid w:val="006F29D1"/>
    <w:rsid w:val="006F7153"/>
    <w:rsid w:val="0070323B"/>
    <w:rsid w:val="00707FB9"/>
    <w:rsid w:val="007114A8"/>
    <w:rsid w:val="00712A3C"/>
    <w:rsid w:val="00712F65"/>
    <w:rsid w:val="007131DA"/>
    <w:rsid w:val="0071477C"/>
    <w:rsid w:val="00714B4F"/>
    <w:rsid w:val="007246ED"/>
    <w:rsid w:val="0072579E"/>
    <w:rsid w:val="0072676E"/>
    <w:rsid w:val="00734AF8"/>
    <w:rsid w:val="0073655D"/>
    <w:rsid w:val="007371A2"/>
    <w:rsid w:val="00737519"/>
    <w:rsid w:val="00737FCF"/>
    <w:rsid w:val="007406CC"/>
    <w:rsid w:val="00743D49"/>
    <w:rsid w:val="007470C5"/>
    <w:rsid w:val="00754A3A"/>
    <w:rsid w:val="00755147"/>
    <w:rsid w:val="00755864"/>
    <w:rsid w:val="00755FB3"/>
    <w:rsid w:val="00757523"/>
    <w:rsid w:val="00757AC7"/>
    <w:rsid w:val="00762B31"/>
    <w:rsid w:val="00762B4C"/>
    <w:rsid w:val="0076465E"/>
    <w:rsid w:val="00766C25"/>
    <w:rsid w:val="00772721"/>
    <w:rsid w:val="00773588"/>
    <w:rsid w:val="0077421B"/>
    <w:rsid w:val="00776F3A"/>
    <w:rsid w:val="0078367D"/>
    <w:rsid w:val="00783697"/>
    <w:rsid w:val="00783E5E"/>
    <w:rsid w:val="00784D65"/>
    <w:rsid w:val="00786884"/>
    <w:rsid w:val="0079698B"/>
    <w:rsid w:val="00796F1B"/>
    <w:rsid w:val="00797200"/>
    <w:rsid w:val="007A008D"/>
    <w:rsid w:val="007A212D"/>
    <w:rsid w:val="007A5CD4"/>
    <w:rsid w:val="007A625E"/>
    <w:rsid w:val="007A65D2"/>
    <w:rsid w:val="007B2673"/>
    <w:rsid w:val="007B3EBE"/>
    <w:rsid w:val="007B4207"/>
    <w:rsid w:val="007B6CAC"/>
    <w:rsid w:val="007C24C2"/>
    <w:rsid w:val="007C25D2"/>
    <w:rsid w:val="007D01C0"/>
    <w:rsid w:val="007D5214"/>
    <w:rsid w:val="007D543D"/>
    <w:rsid w:val="007D5AD8"/>
    <w:rsid w:val="007D7D35"/>
    <w:rsid w:val="007E5A66"/>
    <w:rsid w:val="007F055E"/>
    <w:rsid w:val="007F15D8"/>
    <w:rsid w:val="007F2490"/>
    <w:rsid w:val="007F4BCE"/>
    <w:rsid w:val="007F74D5"/>
    <w:rsid w:val="007F7B87"/>
    <w:rsid w:val="008025C4"/>
    <w:rsid w:val="00811113"/>
    <w:rsid w:val="00811BB3"/>
    <w:rsid w:val="0081644D"/>
    <w:rsid w:val="008206A2"/>
    <w:rsid w:val="00823E3E"/>
    <w:rsid w:val="00825432"/>
    <w:rsid w:val="0082556D"/>
    <w:rsid w:val="008312B6"/>
    <w:rsid w:val="00831EC7"/>
    <w:rsid w:val="00833239"/>
    <w:rsid w:val="00834719"/>
    <w:rsid w:val="008347BA"/>
    <w:rsid w:val="00835CC2"/>
    <w:rsid w:val="00835E71"/>
    <w:rsid w:val="008368B9"/>
    <w:rsid w:val="00840715"/>
    <w:rsid w:val="00843307"/>
    <w:rsid w:val="008435A3"/>
    <w:rsid w:val="0085030F"/>
    <w:rsid w:val="00850367"/>
    <w:rsid w:val="00850C88"/>
    <w:rsid w:val="0085416A"/>
    <w:rsid w:val="00854A35"/>
    <w:rsid w:val="0085691C"/>
    <w:rsid w:val="00860D72"/>
    <w:rsid w:val="00862A00"/>
    <w:rsid w:val="00865170"/>
    <w:rsid w:val="00866842"/>
    <w:rsid w:val="00866FD9"/>
    <w:rsid w:val="0086762D"/>
    <w:rsid w:val="00876907"/>
    <w:rsid w:val="008809AF"/>
    <w:rsid w:val="00890058"/>
    <w:rsid w:val="008915F6"/>
    <w:rsid w:val="00891C7B"/>
    <w:rsid w:val="00891D15"/>
    <w:rsid w:val="008925FE"/>
    <w:rsid w:val="00892841"/>
    <w:rsid w:val="00893B0C"/>
    <w:rsid w:val="0089750D"/>
    <w:rsid w:val="008A33C3"/>
    <w:rsid w:val="008A35C4"/>
    <w:rsid w:val="008A557A"/>
    <w:rsid w:val="008B04F8"/>
    <w:rsid w:val="008B12B0"/>
    <w:rsid w:val="008B2450"/>
    <w:rsid w:val="008B413F"/>
    <w:rsid w:val="008B5322"/>
    <w:rsid w:val="008B5C45"/>
    <w:rsid w:val="008C3E11"/>
    <w:rsid w:val="008C6AD3"/>
    <w:rsid w:val="008D1276"/>
    <w:rsid w:val="008D18A9"/>
    <w:rsid w:val="008D28AF"/>
    <w:rsid w:val="008D4A04"/>
    <w:rsid w:val="008D4DD6"/>
    <w:rsid w:val="008E0A70"/>
    <w:rsid w:val="008E0CD2"/>
    <w:rsid w:val="008E1A83"/>
    <w:rsid w:val="008E4880"/>
    <w:rsid w:val="008E5F4D"/>
    <w:rsid w:val="008F197C"/>
    <w:rsid w:val="008F1B46"/>
    <w:rsid w:val="008F26F0"/>
    <w:rsid w:val="008F40CF"/>
    <w:rsid w:val="008F569F"/>
    <w:rsid w:val="008F68AD"/>
    <w:rsid w:val="008F7B91"/>
    <w:rsid w:val="00903376"/>
    <w:rsid w:val="00907E03"/>
    <w:rsid w:val="00911099"/>
    <w:rsid w:val="0091187F"/>
    <w:rsid w:val="00913C27"/>
    <w:rsid w:val="00914B22"/>
    <w:rsid w:val="009158D9"/>
    <w:rsid w:val="009224AC"/>
    <w:rsid w:val="009239F5"/>
    <w:rsid w:val="00927B2E"/>
    <w:rsid w:val="009314AE"/>
    <w:rsid w:val="00932022"/>
    <w:rsid w:val="009331C9"/>
    <w:rsid w:val="00933F0A"/>
    <w:rsid w:val="0093530F"/>
    <w:rsid w:val="0093558D"/>
    <w:rsid w:val="00936DC4"/>
    <w:rsid w:val="009421FC"/>
    <w:rsid w:val="00942569"/>
    <w:rsid w:val="00943F58"/>
    <w:rsid w:val="00950E99"/>
    <w:rsid w:val="00951E6A"/>
    <w:rsid w:val="00952758"/>
    <w:rsid w:val="00954136"/>
    <w:rsid w:val="00954D6A"/>
    <w:rsid w:val="00954DC2"/>
    <w:rsid w:val="0095571D"/>
    <w:rsid w:val="009570C6"/>
    <w:rsid w:val="0096053D"/>
    <w:rsid w:val="009607CD"/>
    <w:rsid w:val="00961CF0"/>
    <w:rsid w:val="00962525"/>
    <w:rsid w:val="00965C47"/>
    <w:rsid w:val="009676CC"/>
    <w:rsid w:val="00970F6F"/>
    <w:rsid w:val="0097235F"/>
    <w:rsid w:val="009747AF"/>
    <w:rsid w:val="00983166"/>
    <w:rsid w:val="00984A8F"/>
    <w:rsid w:val="00986B8E"/>
    <w:rsid w:val="00992AD1"/>
    <w:rsid w:val="00994E88"/>
    <w:rsid w:val="009A09CE"/>
    <w:rsid w:val="009A5CF3"/>
    <w:rsid w:val="009B0EB4"/>
    <w:rsid w:val="009B2971"/>
    <w:rsid w:val="009C16A3"/>
    <w:rsid w:val="009C7706"/>
    <w:rsid w:val="009D3EC6"/>
    <w:rsid w:val="009D4628"/>
    <w:rsid w:val="009D5BA9"/>
    <w:rsid w:val="009D6CCB"/>
    <w:rsid w:val="009D6E2B"/>
    <w:rsid w:val="009D740B"/>
    <w:rsid w:val="009E739D"/>
    <w:rsid w:val="009F4381"/>
    <w:rsid w:val="009F57A8"/>
    <w:rsid w:val="009F58CB"/>
    <w:rsid w:val="009F6E4A"/>
    <w:rsid w:val="00A024FD"/>
    <w:rsid w:val="00A033A4"/>
    <w:rsid w:val="00A033C2"/>
    <w:rsid w:val="00A049E1"/>
    <w:rsid w:val="00A0618C"/>
    <w:rsid w:val="00A075B8"/>
    <w:rsid w:val="00A10934"/>
    <w:rsid w:val="00A1130C"/>
    <w:rsid w:val="00A13CB3"/>
    <w:rsid w:val="00A20191"/>
    <w:rsid w:val="00A20D5E"/>
    <w:rsid w:val="00A212B4"/>
    <w:rsid w:val="00A21B8C"/>
    <w:rsid w:val="00A21C06"/>
    <w:rsid w:val="00A22ECE"/>
    <w:rsid w:val="00A25840"/>
    <w:rsid w:val="00A33FCB"/>
    <w:rsid w:val="00A37218"/>
    <w:rsid w:val="00A413C1"/>
    <w:rsid w:val="00A414D1"/>
    <w:rsid w:val="00A41F45"/>
    <w:rsid w:val="00A43F95"/>
    <w:rsid w:val="00A45DF6"/>
    <w:rsid w:val="00A46762"/>
    <w:rsid w:val="00A46F62"/>
    <w:rsid w:val="00A53C8E"/>
    <w:rsid w:val="00A55FE5"/>
    <w:rsid w:val="00A568AE"/>
    <w:rsid w:val="00A57E47"/>
    <w:rsid w:val="00A609DA"/>
    <w:rsid w:val="00A61242"/>
    <w:rsid w:val="00A6335B"/>
    <w:rsid w:val="00A64256"/>
    <w:rsid w:val="00A64CC6"/>
    <w:rsid w:val="00A650D5"/>
    <w:rsid w:val="00A71545"/>
    <w:rsid w:val="00A75436"/>
    <w:rsid w:val="00A8049B"/>
    <w:rsid w:val="00A809F1"/>
    <w:rsid w:val="00A81D8C"/>
    <w:rsid w:val="00A871A7"/>
    <w:rsid w:val="00A87604"/>
    <w:rsid w:val="00A927CD"/>
    <w:rsid w:val="00A93341"/>
    <w:rsid w:val="00A93B14"/>
    <w:rsid w:val="00A93B90"/>
    <w:rsid w:val="00AA039D"/>
    <w:rsid w:val="00AA0D80"/>
    <w:rsid w:val="00AA3031"/>
    <w:rsid w:val="00AA5797"/>
    <w:rsid w:val="00AA5D1A"/>
    <w:rsid w:val="00AA625D"/>
    <w:rsid w:val="00AA6751"/>
    <w:rsid w:val="00AB076C"/>
    <w:rsid w:val="00AB0C5F"/>
    <w:rsid w:val="00AB15F7"/>
    <w:rsid w:val="00AB537A"/>
    <w:rsid w:val="00AB55EF"/>
    <w:rsid w:val="00AB7366"/>
    <w:rsid w:val="00AC014B"/>
    <w:rsid w:val="00AC117A"/>
    <w:rsid w:val="00AC6EAF"/>
    <w:rsid w:val="00AD344C"/>
    <w:rsid w:val="00AD6122"/>
    <w:rsid w:val="00AE5015"/>
    <w:rsid w:val="00AE6350"/>
    <w:rsid w:val="00AE6BF8"/>
    <w:rsid w:val="00AF0217"/>
    <w:rsid w:val="00AF1291"/>
    <w:rsid w:val="00AF1905"/>
    <w:rsid w:val="00AF254A"/>
    <w:rsid w:val="00AF6D83"/>
    <w:rsid w:val="00B01D41"/>
    <w:rsid w:val="00B0234A"/>
    <w:rsid w:val="00B03071"/>
    <w:rsid w:val="00B04B15"/>
    <w:rsid w:val="00B074B8"/>
    <w:rsid w:val="00B17477"/>
    <w:rsid w:val="00B2087E"/>
    <w:rsid w:val="00B21285"/>
    <w:rsid w:val="00B235EA"/>
    <w:rsid w:val="00B26692"/>
    <w:rsid w:val="00B32006"/>
    <w:rsid w:val="00B36348"/>
    <w:rsid w:val="00B4120F"/>
    <w:rsid w:val="00B41422"/>
    <w:rsid w:val="00B41462"/>
    <w:rsid w:val="00B41C65"/>
    <w:rsid w:val="00B4240C"/>
    <w:rsid w:val="00B42F8C"/>
    <w:rsid w:val="00B43710"/>
    <w:rsid w:val="00B464A0"/>
    <w:rsid w:val="00B51FFD"/>
    <w:rsid w:val="00B525BC"/>
    <w:rsid w:val="00B53558"/>
    <w:rsid w:val="00B61CB2"/>
    <w:rsid w:val="00B62017"/>
    <w:rsid w:val="00B66BB8"/>
    <w:rsid w:val="00B673FA"/>
    <w:rsid w:val="00B734F0"/>
    <w:rsid w:val="00B74598"/>
    <w:rsid w:val="00B74AED"/>
    <w:rsid w:val="00B85450"/>
    <w:rsid w:val="00B8751D"/>
    <w:rsid w:val="00B9351A"/>
    <w:rsid w:val="00B93E35"/>
    <w:rsid w:val="00BA308D"/>
    <w:rsid w:val="00BA5320"/>
    <w:rsid w:val="00BB0CD0"/>
    <w:rsid w:val="00BB1CFC"/>
    <w:rsid w:val="00BB3409"/>
    <w:rsid w:val="00BB645A"/>
    <w:rsid w:val="00BB79FD"/>
    <w:rsid w:val="00BC19ED"/>
    <w:rsid w:val="00BC23CE"/>
    <w:rsid w:val="00BC28E0"/>
    <w:rsid w:val="00BC3CAA"/>
    <w:rsid w:val="00BC5B88"/>
    <w:rsid w:val="00BC6696"/>
    <w:rsid w:val="00BC74C0"/>
    <w:rsid w:val="00BD3CAC"/>
    <w:rsid w:val="00BD5241"/>
    <w:rsid w:val="00BD556E"/>
    <w:rsid w:val="00BD5778"/>
    <w:rsid w:val="00BD6D23"/>
    <w:rsid w:val="00BE1F43"/>
    <w:rsid w:val="00BE5BEF"/>
    <w:rsid w:val="00BF1A45"/>
    <w:rsid w:val="00BF36FF"/>
    <w:rsid w:val="00BF5E08"/>
    <w:rsid w:val="00BF5FA0"/>
    <w:rsid w:val="00BF72F7"/>
    <w:rsid w:val="00C03E3D"/>
    <w:rsid w:val="00C0542E"/>
    <w:rsid w:val="00C05712"/>
    <w:rsid w:val="00C06524"/>
    <w:rsid w:val="00C06622"/>
    <w:rsid w:val="00C07045"/>
    <w:rsid w:val="00C10E72"/>
    <w:rsid w:val="00C1593E"/>
    <w:rsid w:val="00C16398"/>
    <w:rsid w:val="00C20D79"/>
    <w:rsid w:val="00C20D7B"/>
    <w:rsid w:val="00C23F7C"/>
    <w:rsid w:val="00C24653"/>
    <w:rsid w:val="00C276F8"/>
    <w:rsid w:val="00C30D82"/>
    <w:rsid w:val="00C31BC0"/>
    <w:rsid w:val="00C32894"/>
    <w:rsid w:val="00C33261"/>
    <w:rsid w:val="00C34F36"/>
    <w:rsid w:val="00C4362D"/>
    <w:rsid w:val="00C463A5"/>
    <w:rsid w:val="00C4663A"/>
    <w:rsid w:val="00C47902"/>
    <w:rsid w:val="00C52663"/>
    <w:rsid w:val="00C55A87"/>
    <w:rsid w:val="00C55FEB"/>
    <w:rsid w:val="00C609EA"/>
    <w:rsid w:val="00C61BA1"/>
    <w:rsid w:val="00C623F7"/>
    <w:rsid w:val="00C62738"/>
    <w:rsid w:val="00C62C03"/>
    <w:rsid w:val="00C62EA0"/>
    <w:rsid w:val="00C651BC"/>
    <w:rsid w:val="00C66F28"/>
    <w:rsid w:val="00C67D78"/>
    <w:rsid w:val="00C7233A"/>
    <w:rsid w:val="00C73436"/>
    <w:rsid w:val="00C7566A"/>
    <w:rsid w:val="00C82AA7"/>
    <w:rsid w:val="00C83696"/>
    <w:rsid w:val="00C86A37"/>
    <w:rsid w:val="00C86BEE"/>
    <w:rsid w:val="00C96161"/>
    <w:rsid w:val="00C97911"/>
    <w:rsid w:val="00CA04A5"/>
    <w:rsid w:val="00CA11A3"/>
    <w:rsid w:val="00CA325A"/>
    <w:rsid w:val="00CA37CA"/>
    <w:rsid w:val="00CA4F4C"/>
    <w:rsid w:val="00CA4F8D"/>
    <w:rsid w:val="00CA587E"/>
    <w:rsid w:val="00CA5954"/>
    <w:rsid w:val="00CA63FD"/>
    <w:rsid w:val="00CA6C71"/>
    <w:rsid w:val="00CB34C2"/>
    <w:rsid w:val="00CC3F1F"/>
    <w:rsid w:val="00CC4A08"/>
    <w:rsid w:val="00CC7424"/>
    <w:rsid w:val="00CC7928"/>
    <w:rsid w:val="00CD5671"/>
    <w:rsid w:val="00CD658C"/>
    <w:rsid w:val="00CD670A"/>
    <w:rsid w:val="00CD6E82"/>
    <w:rsid w:val="00CD7F5A"/>
    <w:rsid w:val="00CE1472"/>
    <w:rsid w:val="00CE14C3"/>
    <w:rsid w:val="00CE18CB"/>
    <w:rsid w:val="00CE22AA"/>
    <w:rsid w:val="00CE239F"/>
    <w:rsid w:val="00CE3DAC"/>
    <w:rsid w:val="00CE48CE"/>
    <w:rsid w:val="00CE4F92"/>
    <w:rsid w:val="00CE53CD"/>
    <w:rsid w:val="00CF4721"/>
    <w:rsid w:val="00CF6CC7"/>
    <w:rsid w:val="00CF7715"/>
    <w:rsid w:val="00D038A3"/>
    <w:rsid w:val="00D04A1B"/>
    <w:rsid w:val="00D05A2C"/>
    <w:rsid w:val="00D1076A"/>
    <w:rsid w:val="00D14985"/>
    <w:rsid w:val="00D16A0B"/>
    <w:rsid w:val="00D2174B"/>
    <w:rsid w:val="00D23512"/>
    <w:rsid w:val="00D26A83"/>
    <w:rsid w:val="00D27307"/>
    <w:rsid w:val="00D31BA3"/>
    <w:rsid w:val="00D32AFD"/>
    <w:rsid w:val="00D34FF6"/>
    <w:rsid w:val="00D35796"/>
    <w:rsid w:val="00D41489"/>
    <w:rsid w:val="00D421BA"/>
    <w:rsid w:val="00D4235C"/>
    <w:rsid w:val="00D4302C"/>
    <w:rsid w:val="00D45458"/>
    <w:rsid w:val="00D455EA"/>
    <w:rsid w:val="00D47D38"/>
    <w:rsid w:val="00D47F00"/>
    <w:rsid w:val="00D51455"/>
    <w:rsid w:val="00D52D68"/>
    <w:rsid w:val="00D55A91"/>
    <w:rsid w:val="00D57176"/>
    <w:rsid w:val="00D63D66"/>
    <w:rsid w:val="00D64C01"/>
    <w:rsid w:val="00D65C3A"/>
    <w:rsid w:val="00D661D0"/>
    <w:rsid w:val="00D7043C"/>
    <w:rsid w:val="00D71FA9"/>
    <w:rsid w:val="00D745A5"/>
    <w:rsid w:val="00D80BAD"/>
    <w:rsid w:val="00D8179A"/>
    <w:rsid w:val="00D82F25"/>
    <w:rsid w:val="00D84AE5"/>
    <w:rsid w:val="00D87751"/>
    <w:rsid w:val="00D87AA7"/>
    <w:rsid w:val="00DA1E72"/>
    <w:rsid w:val="00DA2FC4"/>
    <w:rsid w:val="00DA398C"/>
    <w:rsid w:val="00DA3D8A"/>
    <w:rsid w:val="00DA5AE4"/>
    <w:rsid w:val="00DA5CCB"/>
    <w:rsid w:val="00DA65B9"/>
    <w:rsid w:val="00DB090B"/>
    <w:rsid w:val="00DB1484"/>
    <w:rsid w:val="00DB2421"/>
    <w:rsid w:val="00DB5A92"/>
    <w:rsid w:val="00DB72A7"/>
    <w:rsid w:val="00DC4701"/>
    <w:rsid w:val="00DC6200"/>
    <w:rsid w:val="00DC682D"/>
    <w:rsid w:val="00DC6FD0"/>
    <w:rsid w:val="00DD2634"/>
    <w:rsid w:val="00DD517D"/>
    <w:rsid w:val="00DD5926"/>
    <w:rsid w:val="00DD64A8"/>
    <w:rsid w:val="00DD695D"/>
    <w:rsid w:val="00DE0004"/>
    <w:rsid w:val="00DE11B2"/>
    <w:rsid w:val="00DE15C7"/>
    <w:rsid w:val="00DE1C74"/>
    <w:rsid w:val="00DE2B5C"/>
    <w:rsid w:val="00DE3E29"/>
    <w:rsid w:val="00DE407C"/>
    <w:rsid w:val="00DE453B"/>
    <w:rsid w:val="00DE4A9A"/>
    <w:rsid w:val="00DE6369"/>
    <w:rsid w:val="00E010A7"/>
    <w:rsid w:val="00E06171"/>
    <w:rsid w:val="00E1256F"/>
    <w:rsid w:val="00E1279A"/>
    <w:rsid w:val="00E12D6B"/>
    <w:rsid w:val="00E15179"/>
    <w:rsid w:val="00E21DF2"/>
    <w:rsid w:val="00E21F28"/>
    <w:rsid w:val="00E229EA"/>
    <w:rsid w:val="00E31FA2"/>
    <w:rsid w:val="00E40526"/>
    <w:rsid w:val="00E41563"/>
    <w:rsid w:val="00E42EDB"/>
    <w:rsid w:val="00E44C3B"/>
    <w:rsid w:val="00E47DCA"/>
    <w:rsid w:val="00E5174B"/>
    <w:rsid w:val="00E549BD"/>
    <w:rsid w:val="00E61ACF"/>
    <w:rsid w:val="00E61E1E"/>
    <w:rsid w:val="00E64F86"/>
    <w:rsid w:val="00E700F9"/>
    <w:rsid w:val="00E732DC"/>
    <w:rsid w:val="00E802C9"/>
    <w:rsid w:val="00E80EAB"/>
    <w:rsid w:val="00E82B4C"/>
    <w:rsid w:val="00E838FE"/>
    <w:rsid w:val="00E854DD"/>
    <w:rsid w:val="00E85C7B"/>
    <w:rsid w:val="00E900BD"/>
    <w:rsid w:val="00E94041"/>
    <w:rsid w:val="00EA3759"/>
    <w:rsid w:val="00EA52BD"/>
    <w:rsid w:val="00EB0DB6"/>
    <w:rsid w:val="00EB307D"/>
    <w:rsid w:val="00EC06AA"/>
    <w:rsid w:val="00EC1C62"/>
    <w:rsid w:val="00EC29EA"/>
    <w:rsid w:val="00EC5924"/>
    <w:rsid w:val="00EC6551"/>
    <w:rsid w:val="00ED02FC"/>
    <w:rsid w:val="00ED0646"/>
    <w:rsid w:val="00ED0AA6"/>
    <w:rsid w:val="00ED5329"/>
    <w:rsid w:val="00EE1F7C"/>
    <w:rsid w:val="00EE41F0"/>
    <w:rsid w:val="00EE75E7"/>
    <w:rsid w:val="00EF0FCD"/>
    <w:rsid w:val="00EF1EBD"/>
    <w:rsid w:val="00EF4F64"/>
    <w:rsid w:val="00F0056A"/>
    <w:rsid w:val="00F01291"/>
    <w:rsid w:val="00F02013"/>
    <w:rsid w:val="00F14C79"/>
    <w:rsid w:val="00F15BD7"/>
    <w:rsid w:val="00F17358"/>
    <w:rsid w:val="00F22369"/>
    <w:rsid w:val="00F2275E"/>
    <w:rsid w:val="00F2568D"/>
    <w:rsid w:val="00F260B8"/>
    <w:rsid w:val="00F34CCC"/>
    <w:rsid w:val="00F40665"/>
    <w:rsid w:val="00F4355A"/>
    <w:rsid w:val="00F44524"/>
    <w:rsid w:val="00F50FA0"/>
    <w:rsid w:val="00F52621"/>
    <w:rsid w:val="00F539B1"/>
    <w:rsid w:val="00F54523"/>
    <w:rsid w:val="00F5598D"/>
    <w:rsid w:val="00F62936"/>
    <w:rsid w:val="00F62EFF"/>
    <w:rsid w:val="00F66A3F"/>
    <w:rsid w:val="00F66D0B"/>
    <w:rsid w:val="00F67695"/>
    <w:rsid w:val="00F67CF4"/>
    <w:rsid w:val="00F82DEA"/>
    <w:rsid w:val="00F83CE7"/>
    <w:rsid w:val="00F83F06"/>
    <w:rsid w:val="00F8598D"/>
    <w:rsid w:val="00F86444"/>
    <w:rsid w:val="00F866F1"/>
    <w:rsid w:val="00F915AD"/>
    <w:rsid w:val="00FA1673"/>
    <w:rsid w:val="00FA2ADF"/>
    <w:rsid w:val="00FA5303"/>
    <w:rsid w:val="00FB24B1"/>
    <w:rsid w:val="00FB3410"/>
    <w:rsid w:val="00FB7C4C"/>
    <w:rsid w:val="00FC2894"/>
    <w:rsid w:val="00FC3C61"/>
    <w:rsid w:val="00FC4A10"/>
    <w:rsid w:val="00FD1C8E"/>
    <w:rsid w:val="00FD1D5B"/>
    <w:rsid w:val="00FD5571"/>
    <w:rsid w:val="00FD66C9"/>
    <w:rsid w:val="00FD7436"/>
    <w:rsid w:val="00FD7913"/>
    <w:rsid w:val="00FE0133"/>
    <w:rsid w:val="00FE16C9"/>
    <w:rsid w:val="00FE16EC"/>
    <w:rsid w:val="00FE21E6"/>
    <w:rsid w:val="00FE3060"/>
    <w:rsid w:val="00FE4437"/>
    <w:rsid w:val="00FE5504"/>
    <w:rsid w:val="00FE600E"/>
    <w:rsid w:val="00FF1330"/>
    <w:rsid w:val="00FF14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04969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E01CB"/>
  </w:style>
  <w:style w:type="paragraph" w:styleId="Heading1">
    <w:name w:val="heading 1"/>
    <w:basedOn w:val="Normal"/>
    <w:next w:val="NormalNumbered"/>
    <w:link w:val="Heading1Char"/>
    <w:uiPriority w:val="9"/>
    <w:qFormat/>
    <w:rsid w:val="00D661D0"/>
    <w:pPr>
      <w:keepNext/>
      <w:keepLines/>
      <w:pageBreakBefore/>
      <w:numPr>
        <w:numId w:val="2"/>
      </w:numPr>
      <w:shd w:val="clear" w:color="auto" w:fill="000000" w:themeFill="text1"/>
      <w:tabs>
        <w:tab w:val="left" w:pos="0"/>
      </w:tabs>
      <w:spacing w:before="120" w:after="240" w:line="240" w:lineRule="auto"/>
      <w:ind w:left="0" w:right="-567" w:hanging="567"/>
      <w:outlineLvl w:val="0"/>
    </w:pPr>
    <w:rPr>
      <w:rFonts w:asciiTheme="majorHAnsi" w:eastAsiaTheme="majorEastAsia" w:hAnsiTheme="majorHAnsi" w:cstheme="majorBidi"/>
      <w:b/>
      <w:bCs/>
      <w:sz w:val="28"/>
      <w:szCs w:val="28"/>
    </w:rPr>
  </w:style>
  <w:style w:type="paragraph" w:styleId="Heading2">
    <w:name w:val="heading 2"/>
    <w:basedOn w:val="Normal"/>
    <w:next w:val="NormalNumbered"/>
    <w:link w:val="Heading2Char"/>
    <w:uiPriority w:val="9"/>
    <w:unhideWhenUsed/>
    <w:qFormat/>
    <w:rsid w:val="00BE5BEF"/>
    <w:pPr>
      <w:keepNext/>
      <w:keepLines/>
      <w:numPr>
        <w:ilvl w:val="1"/>
        <w:numId w:val="2"/>
      </w:numPr>
      <w:tabs>
        <w:tab w:val="left" w:pos="0"/>
      </w:tabs>
      <w:spacing w:before="360" w:after="120" w:line="240" w:lineRule="auto"/>
      <w:ind w:left="0" w:right="-569"/>
      <w:outlineLvl w:val="1"/>
    </w:pPr>
    <w:rPr>
      <w:rFonts w:asciiTheme="majorHAnsi" w:eastAsiaTheme="majorEastAsia" w:hAnsiTheme="majorHAnsi" w:cstheme="majorBidi"/>
      <w:b/>
      <w:bCs/>
      <w:sz w:val="24"/>
      <w:szCs w:val="26"/>
    </w:rPr>
  </w:style>
  <w:style w:type="paragraph" w:styleId="Heading3">
    <w:name w:val="heading 3"/>
    <w:basedOn w:val="Normal"/>
    <w:next w:val="NormalNumbered"/>
    <w:link w:val="Heading3Char"/>
    <w:uiPriority w:val="9"/>
    <w:unhideWhenUsed/>
    <w:qFormat/>
    <w:rsid w:val="0085416A"/>
    <w:pPr>
      <w:keepNext/>
      <w:keepLines/>
      <w:tabs>
        <w:tab w:val="left" w:pos="0"/>
      </w:tabs>
      <w:spacing w:before="240" w:after="120" w:line="240" w:lineRule="auto"/>
      <w:outlineLvl w:val="2"/>
    </w:pPr>
    <w:rPr>
      <w:rFonts w:asciiTheme="majorHAnsi" w:eastAsiaTheme="majorEastAsia" w:hAnsiTheme="majorHAnsi" w:cstheme="majorBidi"/>
      <w:b/>
      <w:bCs/>
      <w:i/>
      <w:sz w:val="24"/>
      <w:szCs w:val="24"/>
    </w:rPr>
  </w:style>
  <w:style w:type="paragraph" w:styleId="Heading4">
    <w:name w:val="heading 4"/>
    <w:basedOn w:val="Normal"/>
    <w:next w:val="Normal"/>
    <w:link w:val="Heading4Char"/>
    <w:uiPriority w:val="9"/>
    <w:unhideWhenUsed/>
    <w:rsid w:val="009314AE"/>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4F0454"/>
    <w:pPr>
      <w:keepNext/>
      <w:keepLines/>
      <w:spacing w:before="120" w:after="0" w:line="240" w:lineRule="auto"/>
      <w:outlineLvl w:val="4"/>
    </w:pPr>
    <w:rPr>
      <w:rFonts w:asciiTheme="majorHAnsi" w:eastAsiaTheme="majorEastAsia" w:hAnsiTheme="majorHAnsi" w:cstheme="majorBidi"/>
      <w:b/>
      <w:sz w:val="24"/>
    </w:rPr>
  </w:style>
  <w:style w:type="paragraph" w:styleId="Heading6">
    <w:name w:val="heading 6"/>
    <w:basedOn w:val="Normal"/>
    <w:next w:val="Normal"/>
    <w:link w:val="Heading6Char"/>
    <w:uiPriority w:val="9"/>
    <w:semiHidden/>
    <w:unhideWhenUsed/>
    <w:qFormat/>
    <w:rsid w:val="009314AE"/>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314AE"/>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314AE"/>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314AE"/>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04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049B"/>
  </w:style>
  <w:style w:type="paragraph" w:styleId="Footer">
    <w:name w:val="footer"/>
    <w:basedOn w:val="Normal"/>
    <w:link w:val="FooterChar"/>
    <w:uiPriority w:val="99"/>
    <w:unhideWhenUsed/>
    <w:rsid w:val="00A804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049B"/>
  </w:style>
  <w:style w:type="paragraph" w:styleId="BalloonText">
    <w:name w:val="Balloon Text"/>
    <w:basedOn w:val="Normal"/>
    <w:link w:val="BalloonTextChar"/>
    <w:uiPriority w:val="99"/>
    <w:semiHidden/>
    <w:unhideWhenUsed/>
    <w:rsid w:val="00A804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049B"/>
    <w:rPr>
      <w:rFonts w:ascii="Tahoma" w:hAnsi="Tahoma" w:cs="Tahoma"/>
      <w:sz w:val="16"/>
      <w:szCs w:val="16"/>
    </w:rPr>
  </w:style>
  <w:style w:type="paragraph" w:styleId="Title">
    <w:name w:val="Title"/>
    <w:basedOn w:val="Normal"/>
    <w:next w:val="Normal"/>
    <w:link w:val="TitleChar"/>
    <w:uiPriority w:val="10"/>
    <w:qFormat/>
    <w:rsid w:val="00DA5CCB"/>
    <w:pPr>
      <w:keepLines/>
      <w:shd w:val="clear" w:color="auto" w:fill="000000" w:themeFill="text1"/>
      <w:spacing w:before="240" w:after="240" w:line="240" w:lineRule="auto"/>
      <w:jc w:val="center"/>
    </w:pPr>
    <w:rPr>
      <w:rFonts w:asciiTheme="majorHAnsi" w:eastAsiaTheme="majorEastAsia" w:hAnsiTheme="majorHAnsi" w:cstheme="majorBidi"/>
      <w:b/>
      <w:spacing w:val="5"/>
      <w:kern w:val="28"/>
      <w:sz w:val="44"/>
      <w:szCs w:val="44"/>
    </w:rPr>
  </w:style>
  <w:style w:type="character" w:customStyle="1" w:styleId="TitleChar">
    <w:name w:val="Title Char"/>
    <w:basedOn w:val="DefaultParagraphFont"/>
    <w:link w:val="Title"/>
    <w:uiPriority w:val="10"/>
    <w:rsid w:val="00DA5CCB"/>
    <w:rPr>
      <w:rFonts w:asciiTheme="majorHAnsi" w:eastAsiaTheme="majorEastAsia" w:hAnsiTheme="majorHAnsi" w:cstheme="majorBidi"/>
      <w:b/>
      <w:spacing w:val="5"/>
      <w:kern w:val="28"/>
      <w:sz w:val="44"/>
      <w:szCs w:val="44"/>
      <w:shd w:val="clear" w:color="auto" w:fill="000000" w:themeFill="text1"/>
    </w:rPr>
  </w:style>
  <w:style w:type="paragraph" w:styleId="ListParagraph">
    <w:name w:val="List Paragraph"/>
    <w:aliases w:val="Bullet Point"/>
    <w:basedOn w:val="Normal"/>
    <w:link w:val="ListParagraphChar"/>
    <w:uiPriority w:val="34"/>
    <w:qFormat/>
    <w:rsid w:val="00CF4721"/>
    <w:pPr>
      <w:ind w:left="720"/>
      <w:contextualSpacing/>
    </w:pPr>
  </w:style>
  <w:style w:type="character" w:customStyle="1" w:styleId="Heading1Char">
    <w:name w:val="Heading 1 Char"/>
    <w:basedOn w:val="DefaultParagraphFont"/>
    <w:link w:val="Heading1"/>
    <w:uiPriority w:val="9"/>
    <w:rsid w:val="00D661D0"/>
    <w:rPr>
      <w:rFonts w:asciiTheme="majorHAnsi" w:eastAsiaTheme="majorEastAsia" w:hAnsiTheme="majorHAnsi" w:cstheme="majorBidi"/>
      <w:b/>
      <w:bCs/>
      <w:sz w:val="28"/>
      <w:szCs w:val="28"/>
      <w:shd w:val="clear" w:color="auto" w:fill="000000" w:themeFill="text1"/>
    </w:rPr>
  </w:style>
  <w:style w:type="paragraph" w:customStyle="1" w:styleId="NormalNumbered">
    <w:name w:val="Normal Numbered"/>
    <w:basedOn w:val="Normal"/>
    <w:uiPriority w:val="99"/>
    <w:qFormat/>
    <w:rsid w:val="0003285B"/>
    <w:pPr>
      <w:numPr>
        <w:numId w:val="1"/>
      </w:numPr>
      <w:spacing w:after="120" w:line="240" w:lineRule="auto"/>
      <w:ind w:left="0" w:firstLine="0"/>
    </w:pPr>
    <w:rPr>
      <w:sz w:val="24"/>
    </w:rPr>
  </w:style>
  <w:style w:type="character" w:customStyle="1" w:styleId="Heading2Char">
    <w:name w:val="Heading 2 Char"/>
    <w:basedOn w:val="DefaultParagraphFont"/>
    <w:link w:val="Heading2"/>
    <w:uiPriority w:val="9"/>
    <w:rsid w:val="00BE5BEF"/>
    <w:rPr>
      <w:rFonts w:asciiTheme="majorHAnsi" w:eastAsiaTheme="majorEastAsia" w:hAnsiTheme="majorHAnsi" w:cstheme="majorBidi"/>
      <w:b/>
      <w:bCs/>
      <w:sz w:val="24"/>
      <w:szCs w:val="26"/>
    </w:rPr>
  </w:style>
  <w:style w:type="character" w:customStyle="1" w:styleId="Heading3Char">
    <w:name w:val="Heading 3 Char"/>
    <w:basedOn w:val="DefaultParagraphFont"/>
    <w:link w:val="Heading3"/>
    <w:uiPriority w:val="9"/>
    <w:rsid w:val="0085416A"/>
    <w:rPr>
      <w:rFonts w:asciiTheme="majorHAnsi" w:eastAsiaTheme="majorEastAsia" w:hAnsiTheme="majorHAnsi" w:cstheme="majorBidi"/>
      <w:b/>
      <w:bCs/>
      <w:i/>
      <w:sz w:val="24"/>
      <w:szCs w:val="24"/>
    </w:rPr>
  </w:style>
  <w:style w:type="character" w:customStyle="1" w:styleId="Heading4Char">
    <w:name w:val="Heading 4 Char"/>
    <w:basedOn w:val="DefaultParagraphFont"/>
    <w:link w:val="Heading4"/>
    <w:uiPriority w:val="9"/>
    <w:rsid w:val="009314A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4F0454"/>
    <w:rPr>
      <w:rFonts w:asciiTheme="majorHAnsi" w:eastAsiaTheme="majorEastAsia" w:hAnsiTheme="majorHAnsi" w:cstheme="majorBidi"/>
      <w:b/>
      <w:sz w:val="24"/>
    </w:rPr>
  </w:style>
  <w:style w:type="character" w:customStyle="1" w:styleId="Heading6Char">
    <w:name w:val="Heading 6 Char"/>
    <w:basedOn w:val="DefaultParagraphFont"/>
    <w:link w:val="Heading6"/>
    <w:uiPriority w:val="9"/>
    <w:semiHidden/>
    <w:rsid w:val="009314A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9314A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314A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314AE"/>
    <w:rPr>
      <w:rFonts w:asciiTheme="majorHAnsi" w:eastAsiaTheme="majorEastAsia" w:hAnsiTheme="majorHAnsi" w:cstheme="majorBidi"/>
      <w:i/>
      <w:iCs/>
      <w:color w:val="404040" w:themeColor="text1" w:themeTint="BF"/>
      <w:sz w:val="20"/>
      <w:szCs w:val="20"/>
    </w:rPr>
  </w:style>
  <w:style w:type="paragraph" w:styleId="Quote">
    <w:name w:val="Quote"/>
    <w:basedOn w:val="Normal"/>
    <w:next w:val="Normal"/>
    <w:link w:val="QuoteChar"/>
    <w:uiPriority w:val="29"/>
    <w:qFormat/>
    <w:rsid w:val="000F058A"/>
    <w:pPr>
      <w:ind w:left="426" w:right="567"/>
    </w:pPr>
    <w:rPr>
      <w:i/>
      <w:iCs/>
      <w:color w:val="000000" w:themeColor="text1"/>
    </w:rPr>
  </w:style>
  <w:style w:type="character" w:customStyle="1" w:styleId="QuoteChar">
    <w:name w:val="Quote Char"/>
    <w:basedOn w:val="DefaultParagraphFont"/>
    <w:link w:val="Quote"/>
    <w:uiPriority w:val="29"/>
    <w:rsid w:val="000F058A"/>
    <w:rPr>
      <w:i/>
      <w:iCs/>
      <w:color w:val="000000" w:themeColor="text1"/>
    </w:rPr>
  </w:style>
  <w:style w:type="character" w:styleId="SubtleReference">
    <w:name w:val="Subtle Reference"/>
    <w:basedOn w:val="DefaultParagraphFont"/>
    <w:uiPriority w:val="31"/>
    <w:rsid w:val="000E730B"/>
    <w:rPr>
      <w:smallCaps/>
      <w:color w:val="C0504D" w:themeColor="accent2"/>
      <w:u w:val="single"/>
    </w:rPr>
  </w:style>
  <w:style w:type="paragraph" w:styleId="TOCHeading">
    <w:name w:val="TOC Heading"/>
    <w:basedOn w:val="Heading1"/>
    <w:next w:val="Normal"/>
    <w:uiPriority w:val="39"/>
    <w:unhideWhenUsed/>
    <w:qFormat/>
    <w:rsid w:val="00783E5E"/>
    <w:pPr>
      <w:spacing w:after="0" w:line="276" w:lineRule="auto"/>
      <w:outlineLvl w:val="9"/>
    </w:pPr>
    <w:rPr>
      <w:color w:val="365F91" w:themeColor="accent1" w:themeShade="BF"/>
      <w:lang w:val="en-US" w:eastAsia="ja-JP"/>
    </w:rPr>
  </w:style>
  <w:style w:type="paragraph" w:styleId="TOC1">
    <w:name w:val="toc 1"/>
    <w:basedOn w:val="Normal"/>
    <w:next w:val="Normal"/>
    <w:autoRedefine/>
    <w:uiPriority w:val="39"/>
    <w:unhideWhenUsed/>
    <w:qFormat/>
    <w:rsid w:val="00656866"/>
    <w:pPr>
      <w:tabs>
        <w:tab w:val="left" w:pos="426"/>
        <w:tab w:val="right" w:leader="dot" w:pos="7938"/>
      </w:tabs>
      <w:spacing w:before="120" w:after="0" w:line="240" w:lineRule="auto"/>
      <w:ind w:left="425" w:hanging="425"/>
    </w:pPr>
    <w:rPr>
      <w:b/>
      <w:noProof/>
    </w:rPr>
  </w:style>
  <w:style w:type="paragraph" w:styleId="TOC2">
    <w:name w:val="toc 2"/>
    <w:basedOn w:val="Normal"/>
    <w:next w:val="Normal"/>
    <w:autoRedefine/>
    <w:uiPriority w:val="39"/>
    <w:unhideWhenUsed/>
    <w:qFormat/>
    <w:rsid w:val="005474DF"/>
    <w:pPr>
      <w:tabs>
        <w:tab w:val="left" w:pos="851"/>
        <w:tab w:val="right" w:leader="dot" w:pos="7938"/>
      </w:tabs>
      <w:spacing w:after="0"/>
      <w:ind w:left="425"/>
    </w:pPr>
    <w:rPr>
      <w:noProof/>
      <w:sz w:val="20"/>
      <w:szCs w:val="20"/>
    </w:rPr>
  </w:style>
  <w:style w:type="paragraph" w:styleId="TOC3">
    <w:name w:val="toc 3"/>
    <w:basedOn w:val="Normal"/>
    <w:next w:val="Normal"/>
    <w:autoRedefine/>
    <w:uiPriority w:val="39"/>
    <w:unhideWhenUsed/>
    <w:qFormat/>
    <w:rsid w:val="006873B6"/>
    <w:pPr>
      <w:tabs>
        <w:tab w:val="right" w:pos="9498"/>
      </w:tabs>
      <w:spacing w:after="60" w:line="240" w:lineRule="auto"/>
      <w:ind w:left="851"/>
    </w:pPr>
    <w:rPr>
      <w:i/>
      <w:noProof/>
      <w:sz w:val="20"/>
    </w:rPr>
  </w:style>
  <w:style w:type="character" w:styleId="Hyperlink">
    <w:name w:val="Hyperlink"/>
    <w:basedOn w:val="DefaultParagraphFont"/>
    <w:uiPriority w:val="99"/>
    <w:unhideWhenUsed/>
    <w:rsid w:val="00783E5E"/>
    <w:rPr>
      <w:color w:val="0000FF" w:themeColor="hyperlink"/>
      <w:u w:val="single"/>
    </w:rPr>
  </w:style>
  <w:style w:type="paragraph" w:styleId="TableofFigures">
    <w:name w:val="table of figures"/>
    <w:basedOn w:val="Normal"/>
    <w:next w:val="Normal"/>
    <w:uiPriority w:val="99"/>
    <w:unhideWhenUsed/>
    <w:rsid w:val="00337EBF"/>
    <w:pPr>
      <w:keepNext/>
      <w:keepLines/>
      <w:tabs>
        <w:tab w:val="right" w:leader="dot" w:pos="7938"/>
      </w:tabs>
      <w:spacing w:after="0"/>
      <w:ind w:right="-2"/>
    </w:pPr>
    <w:rPr>
      <w:noProof/>
      <w:sz w:val="20"/>
    </w:rPr>
  </w:style>
  <w:style w:type="paragraph" w:customStyle="1" w:styleId="Heading1unnumbered">
    <w:name w:val="Heading 1 unnumbered"/>
    <w:basedOn w:val="Heading1"/>
    <w:next w:val="NormalNumbered"/>
    <w:qFormat/>
    <w:rsid w:val="00C7566A"/>
    <w:pPr>
      <w:numPr>
        <w:numId w:val="0"/>
      </w:numPr>
      <w:ind w:left="-567"/>
    </w:pPr>
  </w:style>
  <w:style w:type="table" w:styleId="TableGrid">
    <w:name w:val="Table Grid"/>
    <w:basedOn w:val="TableNormal"/>
    <w:rsid w:val="006B58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Numbered"/>
    <w:uiPriority w:val="99"/>
    <w:unhideWhenUsed/>
    <w:rsid w:val="00AA625D"/>
    <w:pPr>
      <w:keepLines/>
      <w:numPr>
        <w:numId w:val="3"/>
      </w:numPr>
      <w:tabs>
        <w:tab w:val="clear" w:pos="360"/>
        <w:tab w:val="num" w:pos="567"/>
      </w:tabs>
      <w:ind w:left="567" w:hanging="567"/>
      <w:contextualSpacing/>
    </w:pPr>
  </w:style>
  <w:style w:type="table" w:styleId="TableClassic1">
    <w:name w:val="Table Classic 1"/>
    <w:basedOn w:val="TableNormal"/>
    <w:uiPriority w:val="99"/>
    <w:unhideWhenUsed/>
    <w:rsid w:val="006B586F"/>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unhideWhenUsed/>
    <w:rsid w:val="006B586F"/>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unhideWhenUsed/>
    <w:rsid w:val="006B586F"/>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3Deffects1">
    <w:name w:val="Table 3D effects 1"/>
    <w:basedOn w:val="TableNormal"/>
    <w:uiPriority w:val="99"/>
    <w:unhideWhenUsed/>
    <w:rsid w:val="006B586F"/>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Contemporary">
    <w:name w:val="Table Contemporary"/>
    <w:basedOn w:val="TableNormal"/>
    <w:uiPriority w:val="99"/>
    <w:unhideWhenUsed/>
    <w:rsid w:val="006B586F"/>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Caption">
    <w:name w:val="caption"/>
    <w:basedOn w:val="Normal"/>
    <w:next w:val="Normal"/>
    <w:uiPriority w:val="35"/>
    <w:unhideWhenUsed/>
    <w:qFormat/>
    <w:rsid w:val="00DA1E72"/>
    <w:pPr>
      <w:keepNext/>
      <w:spacing w:before="240" w:after="0" w:line="240" w:lineRule="auto"/>
    </w:pPr>
    <w:rPr>
      <w:b/>
      <w:bCs/>
      <w:sz w:val="24"/>
      <w:szCs w:val="18"/>
    </w:rPr>
  </w:style>
  <w:style w:type="paragraph" w:customStyle="1" w:styleId="Heading2unnumbered">
    <w:name w:val="Heading 2 unnumbered"/>
    <w:basedOn w:val="Heading2"/>
    <w:link w:val="Heading2unnumberedChar"/>
    <w:qFormat/>
    <w:rsid w:val="00384661"/>
    <w:pPr>
      <w:numPr>
        <w:ilvl w:val="0"/>
        <w:numId w:val="0"/>
      </w:numPr>
      <w:ind w:left="-567"/>
    </w:pPr>
  </w:style>
  <w:style w:type="character" w:customStyle="1" w:styleId="Heading2unnumberedChar">
    <w:name w:val="Heading 2 unnumbered Char"/>
    <w:basedOn w:val="Heading2Char"/>
    <w:link w:val="Heading2unnumbered"/>
    <w:rsid w:val="00384661"/>
    <w:rPr>
      <w:rFonts w:asciiTheme="majorHAnsi" w:eastAsiaTheme="majorEastAsia" w:hAnsiTheme="majorHAnsi" w:cstheme="majorBidi"/>
      <w:b/>
      <w:bCs/>
      <w:sz w:val="24"/>
      <w:szCs w:val="26"/>
      <w:shd w:val="clear" w:color="auto" w:fill="D9D9D9" w:themeFill="background1" w:themeFillShade="D9"/>
    </w:rPr>
  </w:style>
  <w:style w:type="character" w:styleId="CommentReference">
    <w:name w:val="annotation reference"/>
    <w:basedOn w:val="DefaultParagraphFont"/>
    <w:uiPriority w:val="99"/>
    <w:unhideWhenUsed/>
    <w:rsid w:val="00623308"/>
    <w:rPr>
      <w:sz w:val="16"/>
      <w:szCs w:val="16"/>
    </w:rPr>
  </w:style>
  <w:style w:type="paragraph" w:styleId="CommentText">
    <w:name w:val="annotation text"/>
    <w:basedOn w:val="Normal"/>
    <w:link w:val="CommentTextChar"/>
    <w:uiPriority w:val="99"/>
    <w:unhideWhenUsed/>
    <w:rsid w:val="00623308"/>
    <w:pPr>
      <w:spacing w:line="240" w:lineRule="auto"/>
    </w:pPr>
    <w:rPr>
      <w:sz w:val="20"/>
      <w:szCs w:val="20"/>
    </w:rPr>
  </w:style>
  <w:style w:type="character" w:customStyle="1" w:styleId="CommentTextChar">
    <w:name w:val="Comment Text Char"/>
    <w:basedOn w:val="DefaultParagraphFont"/>
    <w:link w:val="CommentText"/>
    <w:uiPriority w:val="99"/>
    <w:rsid w:val="00623308"/>
    <w:rPr>
      <w:sz w:val="20"/>
      <w:szCs w:val="20"/>
    </w:rPr>
  </w:style>
  <w:style w:type="paragraph" w:styleId="CommentSubject">
    <w:name w:val="annotation subject"/>
    <w:basedOn w:val="CommentText"/>
    <w:next w:val="CommentText"/>
    <w:link w:val="CommentSubjectChar"/>
    <w:uiPriority w:val="99"/>
    <w:semiHidden/>
    <w:unhideWhenUsed/>
    <w:rsid w:val="00623308"/>
    <w:rPr>
      <w:b/>
      <w:bCs/>
    </w:rPr>
  </w:style>
  <w:style w:type="character" w:customStyle="1" w:styleId="CommentSubjectChar">
    <w:name w:val="Comment Subject Char"/>
    <w:basedOn w:val="CommentTextChar"/>
    <w:link w:val="CommentSubject"/>
    <w:uiPriority w:val="99"/>
    <w:semiHidden/>
    <w:rsid w:val="00623308"/>
    <w:rPr>
      <w:b/>
      <w:bCs/>
      <w:sz w:val="20"/>
      <w:szCs w:val="20"/>
    </w:rPr>
  </w:style>
  <w:style w:type="paragraph" w:styleId="FootnoteText">
    <w:name w:val="footnote text"/>
    <w:aliases w:val="Footnote Text Char1 Char,Footnote Text Char Char1 Char,Footnote Text Char Char Char Char Char1,Footnote Text Char Char Char,Footnote Text Char Char Char Char"/>
    <w:basedOn w:val="Normal"/>
    <w:link w:val="FootnoteTextChar"/>
    <w:unhideWhenUsed/>
    <w:rsid w:val="00623308"/>
    <w:pPr>
      <w:widowControl w:val="0"/>
      <w:spacing w:after="0" w:line="240" w:lineRule="auto"/>
    </w:pPr>
    <w:rPr>
      <w:sz w:val="20"/>
      <w:szCs w:val="20"/>
    </w:rPr>
  </w:style>
  <w:style w:type="character" w:customStyle="1" w:styleId="FootnoteTextChar">
    <w:name w:val="Footnote Text Char"/>
    <w:aliases w:val="Footnote Text Char1 Char Char,Footnote Text Char Char1 Char Char,Footnote Text Char Char Char Char Char1 Char,Footnote Text Char Char Char Char1,Footnote Text Char Char Char Char Char"/>
    <w:basedOn w:val="DefaultParagraphFont"/>
    <w:link w:val="FootnoteText"/>
    <w:rsid w:val="00623308"/>
    <w:rPr>
      <w:sz w:val="20"/>
      <w:szCs w:val="20"/>
    </w:rPr>
  </w:style>
  <w:style w:type="character" w:styleId="FootnoteReference">
    <w:name w:val="footnote reference"/>
    <w:aliases w:val="AFPC Footnote Reference"/>
    <w:basedOn w:val="DefaultParagraphFont"/>
    <w:unhideWhenUsed/>
    <w:rsid w:val="00E82B4C"/>
    <w:rPr>
      <w:vertAlign w:val="superscript"/>
    </w:rPr>
  </w:style>
  <w:style w:type="character" w:customStyle="1" w:styleId="ListParagraphChar">
    <w:name w:val="List Paragraph Char"/>
    <w:aliases w:val="Bullet Point Char"/>
    <w:basedOn w:val="DefaultParagraphFont"/>
    <w:link w:val="ListParagraph"/>
    <w:uiPriority w:val="34"/>
    <w:locked/>
    <w:rsid w:val="00623308"/>
  </w:style>
  <w:style w:type="character" w:styleId="FollowedHyperlink">
    <w:name w:val="FollowedHyperlink"/>
    <w:basedOn w:val="DefaultParagraphFont"/>
    <w:uiPriority w:val="99"/>
    <w:semiHidden/>
    <w:unhideWhenUsed/>
    <w:rsid w:val="00D57176"/>
    <w:rPr>
      <w:color w:val="800080" w:themeColor="followedHyperlink"/>
      <w:u w:val="single"/>
    </w:rPr>
  </w:style>
  <w:style w:type="paragraph" w:styleId="BlockText">
    <w:name w:val="Block Text"/>
    <w:basedOn w:val="Normal"/>
    <w:uiPriority w:val="99"/>
    <w:unhideWhenUsed/>
    <w:rsid w:val="000B497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BodyText">
    <w:name w:val="Body Text"/>
    <w:basedOn w:val="Normal"/>
    <w:link w:val="BodyTextChar"/>
    <w:uiPriority w:val="99"/>
    <w:unhideWhenUsed/>
    <w:rsid w:val="005A3BFA"/>
    <w:pPr>
      <w:spacing w:after="0" w:line="240" w:lineRule="auto"/>
    </w:pPr>
    <w:rPr>
      <w:sz w:val="20"/>
      <w:szCs w:val="20"/>
    </w:rPr>
  </w:style>
  <w:style w:type="character" w:customStyle="1" w:styleId="BodyTextChar">
    <w:name w:val="Body Text Char"/>
    <w:basedOn w:val="DefaultParagraphFont"/>
    <w:link w:val="BodyText"/>
    <w:uiPriority w:val="99"/>
    <w:rsid w:val="005A3BFA"/>
    <w:rPr>
      <w:sz w:val="20"/>
      <w:szCs w:val="20"/>
    </w:rPr>
  </w:style>
  <w:style w:type="paragraph" w:customStyle="1" w:styleId="IGBSource">
    <w:name w:val="IGB_Source"/>
    <w:basedOn w:val="Normal"/>
    <w:rsid w:val="00440FD4"/>
    <w:pPr>
      <w:suppressAutoHyphens/>
      <w:autoSpaceDE w:val="0"/>
      <w:autoSpaceDN w:val="0"/>
      <w:adjustRightInd w:val="0"/>
      <w:spacing w:after="120" w:line="240" w:lineRule="atLeast"/>
      <w:textAlignment w:val="center"/>
    </w:pPr>
    <w:rPr>
      <w:rFonts w:ascii="Calibri" w:eastAsia="Times New Roman" w:hAnsi="Calibri" w:cs="Garamond"/>
      <w:color w:val="000000"/>
      <w:sz w:val="18"/>
      <w:lang w:val="en-GB" w:eastAsia="en-AU"/>
    </w:rPr>
  </w:style>
  <w:style w:type="paragraph" w:customStyle="1" w:styleId="IGBTableBody">
    <w:name w:val="IGB_Table Body"/>
    <w:basedOn w:val="Normal"/>
    <w:rsid w:val="00440FD4"/>
    <w:pPr>
      <w:suppressAutoHyphens/>
      <w:autoSpaceDE w:val="0"/>
      <w:autoSpaceDN w:val="0"/>
      <w:adjustRightInd w:val="0"/>
      <w:spacing w:after="0" w:line="240" w:lineRule="atLeast"/>
      <w:textAlignment w:val="center"/>
    </w:pPr>
    <w:rPr>
      <w:rFonts w:ascii="Calibri" w:eastAsia="Times New Roman" w:hAnsi="Calibri" w:cs="Garamond"/>
      <w:color w:val="000000"/>
      <w:sz w:val="21"/>
      <w:lang w:val="en-GB" w:eastAsia="en-AU"/>
    </w:rPr>
  </w:style>
  <w:style w:type="paragraph" w:customStyle="1" w:styleId="IGBTableTotal">
    <w:name w:val="IGB_Table Total"/>
    <w:basedOn w:val="Normal"/>
    <w:rsid w:val="00440FD4"/>
    <w:pPr>
      <w:suppressAutoHyphens/>
      <w:autoSpaceDE w:val="0"/>
      <w:autoSpaceDN w:val="0"/>
      <w:adjustRightInd w:val="0"/>
      <w:spacing w:after="0" w:line="240" w:lineRule="atLeast"/>
      <w:textAlignment w:val="center"/>
    </w:pPr>
    <w:rPr>
      <w:rFonts w:ascii="Calibri" w:eastAsia="Times New Roman" w:hAnsi="Calibri" w:cs="Garamond"/>
      <w:b/>
      <w:color w:val="165788"/>
      <w:sz w:val="21"/>
      <w:lang w:val="en-GB" w:eastAsia="en-AU"/>
    </w:rPr>
  </w:style>
  <w:style w:type="paragraph" w:customStyle="1" w:styleId="IGBTableBodyCentered">
    <w:name w:val="IGB_Table Body Centered"/>
    <w:basedOn w:val="IGBTableBody"/>
    <w:rsid w:val="00440FD4"/>
    <w:pPr>
      <w:jc w:val="center"/>
    </w:pPr>
  </w:style>
  <w:style w:type="paragraph" w:customStyle="1" w:styleId="IGBTableTotalCentered">
    <w:name w:val="IGB_Table Total Centered"/>
    <w:basedOn w:val="IGBTableTotal"/>
    <w:rsid w:val="00440FD4"/>
    <w:pPr>
      <w:jc w:val="center"/>
    </w:pPr>
  </w:style>
  <w:style w:type="paragraph" w:customStyle="1" w:styleId="Default">
    <w:name w:val="Default"/>
    <w:basedOn w:val="Normal"/>
    <w:rsid w:val="009A09CE"/>
    <w:pPr>
      <w:autoSpaceDE w:val="0"/>
      <w:autoSpaceDN w:val="0"/>
      <w:spacing w:after="0" w:line="240" w:lineRule="auto"/>
    </w:pPr>
    <w:rPr>
      <w:rFonts w:ascii="Arial" w:hAnsi="Arial" w:cs="Arial"/>
      <w:color w:val="000000"/>
      <w:sz w:val="24"/>
      <w:szCs w:val="24"/>
      <w:lang w:eastAsia="en-AU"/>
    </w:rPr>
  </w:style>
  <w:style w:type="paragraph" w:customStyle="1" w:styleId="Bullets">
    <w:name w:val="Bullets"/>
    <w:basedOn w:val="Normal"/>
    <w:qFormat/>
    <w:rsid w:val="001D5970"/>
    <w:pPr>
      <w:numPr>
        <w:numId w:val="4"/>
      </w:numPr>
      <w:spacing w:after="80" w:line="240" w:lineRule="auto"/>
      <w:ind w:left="568"/>
    </w:pPr>
    <w:rPr>
      <w:rFonts w:ascii="Book Antiqua" w:hAnsi="Book Antiqua" w:cs="Arial"/>
      <w:color w:val="000000"/>
      <w:szCs w:val="16"/>
    </w:rPr>
  </w:style>
  <w:style w:type="paragraph" w:styleId="List">
    <w:name w:val="List"/>
    <w:basedOn w:val="Normal"/>
    <w:uiPriority w:val="99"/>
    <w:unhideWhenUsed/>
    <w:rsid w:val="0021483E"/>
    <w:pPr>
      <w:ind w:left="360" w:hanging="360"/>
      <w:contextualSpacing/>
    </w:pPr>
  </w:style>
  <w:style w:type="paragraph" w:customStyle="1" w:styleId="TableText">
    <w:name w:val="Table Text"/>
    <w:basedOn w:val="Normal"/>
    <w:qFormat/>
    <w:rsid w:val="00FE16EC"/>
    <w:pPr>
      <w:keepNext/>
      <w:keepLines/>
      <w:suppressAutoHyphens/>
      <w:spacing w:after="0" w:line="240" w:lineRule="auto"/>
      <w:contextualSpacing/>
    </w:pPr>
  </w:style>
  <w:style w:type="paragraph" w:customStyle="1" w:styleId="Source">
    <w:name w:val="Source"/>
    <w:basedOn w:val="BodyText"/>
    <w:qFormat/>
    <w:rsid w:val="00277190"/>
    <w:rPr>
      <w:sz w:val="18"/>
      <w:szCs w:val="18"/>
    </w:rPr>
  </w:style>
  <w:style w:type="paragraph" w:customStyle="1" w:styleId="Bullet">
    <w:name w:val="Bullet"/>
    <w:basedOn w:val="Normal"/>
    <w:rsid w:val="002A4A22"/>
    <w:pPr>
      <w:numPr>
        <w:numId w:val="19"/>
      </w:numPr>
      <w:spacing w:after="80" w:line="240" w:lineRule="auto"/>
    </w:pPr>
    <w:rPr>
      <w:rFonts w:ascii="Book Antiqua" w:eastAsia="Times New Roman" w:hAnsi="Book Antiqua" w:cs="Times New Roman"/>
      <w:sz w:val="20"/>
      <w:szCs w:val="20"/>
      <w:lang w:eastAsia="en-AU"/>
    </w:rPr>
  </w:style>
  <w:style w:type="paragraph" w:customStyle="1" w:styleId="Dash">
    <w:name w:val="Dash"/>
    <w:basedOn w:val="Normal"/>
    <w:rsid w:val="002A4A22"/>
    <w:pPr>
      <w:numPr>
        <w:ilvl w:val="1"/>
        <w:numId w:val="19"/>
      </w:numPr>
      <w:spacing w:after="120" w:line="240" w:lineRule="auto"/>
      <w:ind w:left="851"/>
    </w:pPr>
    <w:rPr>
      <w:rFonts w:ascii="Book Antiqua" w:eastAsia="Times New Roman" w:hAnsi="Book Antiqua" w:cs="Times New Roman"/>
      <w:sz w:val="20"/>
      <w:szCs w:val="20"/>
      <w:lang w:eastAsia="en-AU"/>
    </w:rPr>
  </w:style>
  <w:style w:type="paragraph" w:customStyle="1" w:styleId="DoubleDot">
    <w:name w:val="Double Dot"/>
    <w:basedOn w:val="Normal"/>
    <w:uiPriority w:val="99"/>
    <w:qFormat/>
    <w:rsid w:val="002A4A22"/>
    <w:pPr>
      <w:numPr>
        <w:ilvl w:val="2"/>
        <w:numId w:val="19"/>
      </w:numPr>
      <w:spacing w:after="120" w:line="240" w:lineRule="auto"/>
    </w:pPr>
    <w:rPr>
      <w:rFonts w:ascii="Book Antiqua" w:eastAsia="Times New Roman" w:hAnsi="Book Antiqua" w:cs="Times New Roman"/>
      <w:sz w:val="20"/>
      <w:szCs w:val="20"/>
      <w:lang w:eastAsia="en-AU"/>
    </w:rPr>
  </w:style>
  <w:style w:type="character" w:styleId="Strong">
    <w:name w:val="Strong"/>
    <w:basedOn w:val="DefaultParagraphFont"/>
    <w:uiPriority w:val="22"/>
    <w:qFormat/>
    <w:rsid w:val="00A413C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E01CB"/>
  </w:style>
  <w:style w:type="paragraph" w:styleId="Heading1">
    <w:name w:val="heading 1"/>
    <w:basedOn w:val="Normal"/>
    <w:next w:val="NormalNumbered"/>
    <w:link w:val="Heading1Char"/>
    <w:uiPriority w:val="9"/>
    <w:qFormat/>
    <w:rsid w:val="00D661D0"/>
    <w:pPr>
      <w:keepNext/>
      <w:keepLines/>
      <w:pageBreakBefore/>
      <w:numPr>
        <w:numId w:val="2"/>
      </w:numPr>
      <w:shd w:val="clear" w:color="auto" w:fill="000000" w:themeFill="text1"/>
      <w:tabs>
        <w:tab w:val="left" w:pos="0"/>
      </w:tabs>
      <w:spacing w:before="120" w:after="240" w:line="240" w:lineRule="auto"/>
      <w:ind w:left="0" w:right="-567" w:hanging="567"/>
      <w:outlineLvl w:val="0"/>
    </w:pPr>
    <w:rPr>
      <w:rFonts w:asciiTheme="majorHAnsi" w:eastAsiaTheme="majorEastAsia" w:hAnsiTheme="majorHAnsi" w:cstheme="majorBidi"/>
      <w:b/>
      <w:bCs/>
      <w:sz w:val="28"/>
      <w:szCs w:val="28"/>
    </w:rPr>
  </w:style>
  <w:style w:type="paragraph" w:styleId="Heading2">
    <w:name w:val="heading 2"/>
    <w:basedOn w:val="Normal"/>
    <w:next w:val="NormalNumbered"/>
    <w:link w:val="Heading2Char"/>
    <w:uiPriority w:val="9"/>
    <w:unhideWhenUsed/>
    <w:qFormat/>
    <w:rsid w:val="00BE5BEF"/>
    <w:pPr>
      <w:keepNext/>
      <w:keepLines/>
      <w:numPr>
        <w:ilvl w:val="1"/>
        <w:numId w:val="2"/>
      </w:numPr>
      <w:tabs>
        <w:tab w:val="left" w:pos="0"/>
      </w:tabs>
      <w:spacing w:before="360" w:after="120" w:line="240" w:lineRule="auto"/>
      <w:ind w:left="0" w:right="-569"/>
      <w:outlineLvl w:val="1"/>
    </w:pPr>
    <w:rPr>
      <w:rFonts w:asciiTheme="majorHAnsi" w:eastAsiaTheme="majorEastAsia" w:hAnsiTheme="majorHAnsi" w:cstheme="majorBidi"/>
      <w:b/>
      <w:bCs/>
      <w:sz w:val="24"/>
      <w:szCs w:val="26"/>
    </w:rPr>
  </w:style>
  <w:style w:type="paragraph" w:styleId="Heading3">
    <w:name w:val="heading 3"/>
    <w:basedOn w:val="Normal"/>
    <w:next w:val="NormalNumbered"/>
    <w:link w:val="Heading3Char"/>
    <w:uiPriority w:val="9"/>
    <w:unhideWhenUsed/>
    <w:qFormat/>
    <w:rsid w:val="0085416A"/>
    <w:pPr>
      <w:keepNext/>
      <w:keepLines/>
      <w:tabs>
        <w:tab w:val="left" w:pos="0"/>
      </w:tabs>
      <w:spacing w:before="240" w:after="120" w:line="240" w:lineRule="auto"/>
      <w:outlineLvl w:val="2"/>
    </w:pPr>
    <w:rPr>
      <w:rFonts w:asciiTheme="majorHAnsi" w:eastAsiaTheme="majorEastAsia" w:hAnsiTheme="majorHAnsi" w:cstheme="majorBidi"/>
      <w:b/>
      <w:bCs/>
      <w:i/>
      <w:sz w:val="24"/>
      <w:szCs w:val="24"/>
    </w:rPr>
  </w:style>
  <w:style w:type="paragraph" w:styleId="Heading4">
    <w:name w:val="heading 4"/>
    <w:basedOn w:val="Normal"/>
    <w:next w:val="Normal"/>
    <w:link w:val="Heading4Char"/>
    <w:uiPriority w:val="9"/>
    <w:unhideWhenUsed/>
    <w:rsid w:val="009314AE"/>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4F0454"/>
    <w:pPr>
      <w:keepNext/>
      <w:keepLines/>
      <w:spacing w:before="120" w:after="0" w:line="240" w:lineRule="auto"/>
      <w:outlineLvl w:val="4"/>
    </w:pPr>
    <w:rPr>
      <w:rFonts w:asciiTheme="majorHAnsi" w:eastAsiaTheme="majorEastAsia" w:hAnsiTheme="majorHAnsi" w:cstheme="majorBidi"/>
      <w:b/>
      <w:sz w:val="24"/>
    </w:rPr>
  </w:style>
  <w:style w:type="paragraph" w:styleId="Heading6">
    <w:name w:val="heading 6"/>
    <w:basedOn w:val="Normal"/>
    <w:next w:val="Normal"/>
    <w:link w:val="Heading6Char"/>
    <w:uiPriority w:val="9"/>
    <w:semiHidden/>
    <w:unhideWhenUsed/>
    <w:qFormat/>
    <w:rsid w:val="009314AE"/>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314AE"/>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314AE"/>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314AE"/>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04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049B"/>
  </w:style>
  <w:style w:type="paragraph" w:styleId="Footer">
    <w:name w:val="footer"/>
    <w:basedOn w:val="Normal"/>
    <w:link w:val="FooterChar"/>
    <w:uiPriority w:val="99"/>
    <w:unhideWhenUsed/>
    <w:rsid w:val="00A804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049B"/>
  </w:style>
  <w:style w:type="paragraph" w:styleId="BalloonText">
    <w:name w:val="Balloon Text"/>
    <w:basedOn w:val="Normal"/>
    <w:link w:val="BalloonTextChar"/>
    <w:uiPriority w:val="99"/>
    <w:semiHidden/>
    <w:unhideWhenUsed/>
    <w:rsid w:val="00A804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049B"/>
    <w:rPr>
      <w:rFonts w:ascii="Tahoma" w:hAnsi="Tahoma" w:cs="Tahoma"/>
      <w:sz w:val="16"/>
      <w:szCs w:val="16"/>
    </w:rPr>
  </w:style>
  <w:style w:type="paragraph" w:styleId="Title">
    <w:name w:val="Title"/>
    <w:basedOn w:val="Normal"/>
    <w:next w:val="Normal"/>
    <w:link w:val="TitleChar"/>
    <w:uiPriority w:val="10"/>
    <w:qFormat/>
    <w:rsid w:val="00DA5CCB"/>
    <w:pPr>
      <w:keepLines/>
      <w:shd w:val="clear" w:color="auto" w:fill="000000" w:themeFill="text1"/>
      <w:spacing w:before="240" w:after="240" w:line="240" w:lineRule="auto"/>
      <w:jc w:val="center"/>
    </w:pPr>
    <w:rPr>
      <w:rFonts w:asciiTheme="majorHAnsi" w:eastAsiaTheme="majorEastAsia" w:hAnsiTheme="majorHAnsi" w:cstheme="majorBidi"/>
      <w:b/>
      <w:spacing w:val="5"/>
      <w:kern w:val="28"/>
      <w:sz w:val="44"/>
      <w:szCs w:val="44"/>
    </w:rPr>
  </w:style>
  <w:style w:type="character" w:customStyle="1" w:styleId="TitleChar">
    <w:name w:val="Title Char"/>
    <w:basedOn w:val="DefaultParagraphFont"/>
    <w:link w:val="Title"/>
    <w:uiPriority w:val="10"/>
    <w:rsid w:val="00DA5CCB"/>
    <w:rPr>
      <w:rFonts w:asciiTheme="majorHAnsi" w:eastAsiaTheme="majorEastAsia" w:hAnsiTheme="majorHAnsi" w:cstheme="majorBidi"/>
      <w:b/>
      <w:spacing w:val="5"/>
      <w:kern w:val="28"/>
      <w:sz w:val="44"/>
      <w:szCs w:val="44"/>
      <w:shd w:val="clear" w:color="auto" w:fill="000000" w:themeFill="text1"/>
    </w:rPr>
  </w:style>
  <w:style w:type="paragraph" w:styleId="ListParagraph">
    <w:name w:val="List Paragraph"/>
    <w:aliases w:val="Bullet Point"/>
    <w:basedOn w:val="Normal"/>
    <w:link w:val="ListParagraphChar"/>
    <w:uiPriority w:val="34"/>
    <w:qFormat/>
    <w:rsid w:val="00CF4721"/>
    <w:pPr>
      <w:ind w:left="720"/>
      <w:contextualSpacing/>
    </w:pPr>
  </w:style>
  <w:style w:type="character" w:customStyle="1" w:styleId="Heading1Char">
    <w:name w:val="Heading 1 Char"/>
    <w:basedOn w:val="DefaultParagraphFont"/>
    <w:link w:val="Heading1"/>
    <w:uiPriority w:val="9"/>
    <w:rsid w:val="00D661D0"/>
    <w:rPr>
      <w:rFonts w:asciiTheme="majorHAnsi" w:eastAsiaTheme="majorEastAsia" w:hAnsiTheme="majorHAnsi" w:cstheme="majorBidi"/>
      <w:b/>
      <w:bCs/>
      <w:sz w:val="28"/>
      <w:szCs w:val="28"/>
      <w:shd w:val="clear" w:color="auto" w:fill="000000" w:themeFill="text1"/>
    </w:rPr>
  </w:style>
  <w:style w:type="paragraph" w:customStyle="1" w:styleId="NormalNumbered">
    <w:name w:val="Normal Numbered"/>
    <w:basedOn w:val="Normal"/>
    <w:uiPriority w:val="99"/>
    <w:qFormat/>
    <w:rsid w:val="0003285B"/>
    <w:pPr>
      <w:numPr>
        <w:numId w:val="1"/>
      </w:numPr>
      <w:spacing w:after="120" w:line="240" w:lineRule="auto"/>
      <w:ind w:left="0" w:firstLine="0"/>
    </w:pPr>
    <w:rPr>
      <w:sz w:val="24"/>
    </w:rPr>
  </w:style>
  <w:style w:type="character" w:customStyle="1" w:styleId="Heading2Char">
    <w:name w:val="Heading 2 Char"/>
    <w:basedOn w:val="DefaultParagraphFont"/>
    <w:link w:val="Heading2"/>
    <w:uiPriority w:val="9"/>
    <w:rsid w:val="00BE5BEF"/>
    <w:rPr>
      <w:rFonts w:asciiTheme="majorHAnsi" w:eastAsiaTheme="majorEastAsia" w:hAnsiTheme="majorHAnsi" w:cstheme="majorBidi"/>
      <w:b/>
      <w:bCs/>
      <w:sz w:val="24"/>
      <w:szCs w:val="26"/>
    </w:rPr>
  </w:style>
  <w:style w:type="character" w:customStyle="1" w:styleId="Heading3Char">
    <w:name w:val="Heading 3 Char"/>
    <w:basedOn w:val="DefaultParagraphFont"/>
    <w:link w:val="Heading3"/>
    <w:uiPriority w:val="9"/>
    <w:rsid w:val="0085416A"/>
    <w:rPr>
      <w:rFonts w:asciiTheme="majorHAnsi" w:eastAsiaTheme="majorEastAsia" w:hAnsiTheme="majorHAnsi" w:cstheme="majorBidi"/>
      <w:b/>
      <w:bCs/>
      <w:i/>
      <w:sz w:val="24"/>
      <w:szCs w:val="24"/>
    </w:rPr>
  </w:style>
  <w:style w:type="character" w:customStyle="1" w:styleId="Heading4Char">
    <w:name w:val="Heading 4 Char"/>
    <w:basedOn w:val="DefaultParagraphFont"/>
    <w:link w:val="Heading4"/>
    <w:uiPriority w:val="9"/>
    <w:rsid w:val="009314A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4F0454"/>
    <w:rPr>
      <w:rFonts w:asciiTheme="majorHAnsi" w:eastAsiaTheme="majorEastAsia" w:hAnsiTheme="majorHAnsi" w:cstheme="majorBidi"/>
      <w:b/>
      <w:sz w:val="24"/>
    </w:rPr>
  </w:style>
  <w:style w:type="character" w:customStyle="1" w:styleId="Heading6Char">
    <w:name w:val="Heading 6 Char"/>
    <w:basedOn w:val="DefaultParagraphFont"/>
    <w:link w:val="Heading6"/>
    <w:uiPriority w:val="9"/>
    <w:semiHidden/>
    <w:rsid w:val="009314A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9314A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314A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314AE"/>
    <w:rPr>
      <w:rFonts w:asciiTheme="majorHAnsi" w:eastAsiaTheme="majorEastAsia" w:hAnsiTheme="majorHAnsi" w:cstheme="majorBidi"/>
      <w:i/>
      <w:iCs/>
      <w:color w:val="404040" w:themeColor="text1" w:themeTint="BF"/>
      <w:sz w:val="20"/>
      <w:szCs w:val="20"/>
    </w:rPr>
  </w:style>
  <w:style w:type="paragraph" w:styleId="Quote">
    <w:name w:val="Quote"/>
    <w:basedOn w:val="Normal"/>
    <w:next w:val="Normal"/>
    <w:link w:val="QuoteChar"/>
    <w:uiPriority w:val="29"/>
    <w:qFormat/>
    <w:rsid w:val="000F058A"/>
    <w:pPr>
      <w:ind w:left="426" w:right="567"/>
    </w:pPr>
    <w:rPr>
      <w:i/>
      <w:iCs/>
      <w:color w:val="000000" w:themeColor="text1"/>
    </w:rPr>
  </w:style>
  <w:style w:type="character" w:customStyle="1" w:styleId="QuoteChar">
    <w:name w:val="Quote Char"/>
    <w:basedOn w:val="DefaultParagraphFont"/>
    <w:link w:val="Quote"/>
    <w:uiPriority w:val="29"/>
    <w:rsid w:val="000F058A"/>
    <w:rPr>
      <w:i/>
      <w:iCs/>
      <w:color w:val="000000" w:themeColor="text1"/>
    </w:rPr>
  </w:style>
  <w:style w:type="character" w:styleId="SubtleReference">
    <w:name w:val="Subtle Reference"/>
    <w:basedOn w:val="DefaultParagraphFont"/>
    <w:uiPriority w:val="31"/>
    <w:rsid w:val="000E730B"/>
    <w:rPr>
      <w:smallCaps/>
      <w:color w:val="C0504D" w:themeColor="accent2"/>
      <w:u w:val="single"/>
    </w:rPr>
  </w:style>
  <w:style w:type="paragraph" w:styleId="TOCHeading">
    <w:name w:val="TOC Heading"/>
    <w:basedOn w:val="Heading1"/>
    <w:next w:val="Normal"/>
    <w:uiPriority w:val="39"/>
    <w:unhideWhenUsed/>
    <w:qFormat/>
    <w:rsid w:val="00783E5E"/>
    <w:pPr>
      <w:spacing w:after="0" w:line="276" w:lineRule="auto"/>
      <w:outlineLvl w:val="9"/>
    </w:pPr>
    <w:rPr>
      <w:color w:val="365F91" w:themeColor="accent1" w:themeShade="BF"/>
      <w:lang w:val="en-US" w:eastAsia="ja-JP"/>
    </w:rPr>
  </w:style>
  <w:style w:type="paragraph" w:styleId="TOC1">
    <w:name w:val="toc 1"/>
    <w:basedOn w:val="Normal"/>
    <w:next w:val="Normal"/>
    <w:autoRedefine/>
    <w:uiPriority w:val="39"/>
    <w:unhideWhenUsed/>
    <w:qFormat/>
    <w:rsid w:val="00656866"/>
    <w:pPr>
      <w:tabs>
        <w:tab w:val="left" w:pos="426"/>
        <w:tab w:val="right" w:leader="dot" w:pos="7938"/>
      </w:tabs>
      <w:spacing w:before="120" w:after="0" w:line="240" w:lineRule="auto"/>
      <w:ind w:left="425" w:hanging="425"/>
    </w:pPr>
    <w:rPr>
      <w:b/>
      <w:noProof/>
    </w:rPr>
  </w:style>
  <w:style w:type="paragraph" w:styleId="TOC2">
    <w:name w:val="toc 2"/>
    <w:basedOn w:val="Normal"/>
    <w:next w:val="Normal"/>
    <w:autoRedefine/>
    <w:uiPriority w:val="39"/>
    <w:unhideWhenUsed/>
    <w:qFormat/>
    <w:rsid w:val="005474DF"/>
    <w:pPr>
      <w:tabs>
        <w:tab w:val="left" w:pos="851"/>
        <w:tab w:val="right" w:leader="dot" w:pos="7938"/>
      </w:tabs>
      <w:spacing w:after="0"/>
      <w:ind w:left="425"/>
    </w:pPr>
    <w:rPr>
      <w:noProof/>
      <w:sz w:val="20"/>
      <w:szCs w:val="20"/>
    </w:rPr>
  </w:style>
  <w:style w:type="paragraph" w:styleId="TOC3">
    <w:name w:val="toc 3"/>
    <w:basedOn w:val="Normal"/>
    <w:next w:val="Normal"/>
    <w:autoRedefine/>
    <w:uiPriority w:val="39"/>
    <w:unhideWhenUsed/>
    <w:qFormat/>
    <w:rsid w:val="006873B6"/>
    <w:pPr>
      <w:tabs>
        <w:tab w:val="right" w:pos="9498"/>
      </w:tabs>
      <w:spacing w:after="60" w:line="240" w:lineRule="auto"/>
      <w:ind w:left="851"/>
    </w:pPr>
    <w:rPr>
      <w:i/>
      <w:noProof/>
      <w:sz w:val="20"/>
    </w:rPr>
  </w:style>
  <w:style w:type="character" w:styleId="Hyperlink">
    <w:name w:val="Hyperlink"/>
    <w:basedOn w:val="DefaultParagraphFont"/>
    <w:uiPriority w:val="99"/>
    <w:unhideWhenUsed/>
    <w:rsid w:val="00783E5E"/>
    <w:rPr>
      <w:color w:val="0000FF" w:themeColor="hyperlink"/>
      <w:u w:val="single"/>
    </w:rPr>
  </w:style>
  <w:style w:type="paragraph" w:styleId="TableofFigures">
    <w:name w:val="table of figures"/>
    <w:basedOn w:val="Normal"/>
    <w:next w:val="Normal"/>
    <w:uiPriority w:val="99"/>
    <w:unhideWhenUsed/>
    <w:rsid w:val="00337EBF"/>
    <w:pPr>
      <w:keepNext/>
      <w:keepLines/>
      <w:tabs>
        <w:tab w:val="right" w:leader="dot" w:pos="7938"/>
      </w:tabs>
      <w:spacing w:after="0"/>
      <w:ind w:right="-2"/>
    </w:pPr>
    <w:rPr>
      <w:noProof/>
      <w:sz w:val="20"/>
    </w:rPr>
  </w:style>
  <w:style w:type="paragraph" w:customStyle="1" w:styleId="Heading1unnumbered">
    <w:name w:val="Heading 1 unnumbered"/>
    <w:basedOn w:val="Heading1"/>
    <w:next w:val="NormalNumbered"/>
    <w:qFormat/>
    <w:rsid w:val="00C7566A"/>
    <w:pPr>
      <w:numPr>
        <w:numId w:val="0"/>
      </w:numPr>
      <w:ind w:left="-567"/>
    </w:pPr>
  </w:style>
  <w:style w:type="table" w:styleId="TableGrid">
    <w:name w:val="Table Grid"/>
    <w:basedOn w:val="TableNormal"/>
    <w:rsid w:val="006B58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Numbered"/>
    <w:uiPriority w:val="99"/>
    <w:unhideWhenUsed/>
    <w:rsid w:val="00AA625D"/>
    <w:pPr>
      <w:keepLines/>
      <w:numPr>
        <w:numId w:val="3"/>
      </w:numPr>
      <w:tabs>
        <w:tab w:val="clear" w:pos="360"/>
        <w:tab w:val="num" w:pos="567"/>
      </w:tabs>
      <w:ind w:left="567" w:hanging="567"/>
      <w:contextualSpacing/>
    </w:pPr>
  </w:style>
  <w:style w:type="table" w:styleId="TableClassic1">
    <w:name w:val="Table Classic 1"/>
    <w:basedOn w:val="TableNormal"/>
    <w:uiPriority w:val="99"/>
    <w:unhideWhenUsed/>
    <w:rsid w:val="006B586F"/>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unhideWhenUsed/>
    <w:rsid w:val="006B586F"/>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unhideWhenUsed/>
    <w:rsid w:val="006B586F"/>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3Deffects1">
    <w:name w:val="Table 3D effects 1"/>
    <w:basedOn w:val="TableNormal"/>
    <w:uiPriority w:val="99"/>
    <w:unhideWhenUsed/>
    <w:rsid w:val="006B586F"/>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Contemporary">
    <w:name w:val="Table Contemporary"/>
    <w:basedOn w:val="TableNormal"/>
    <w:uiPriority w:val="99"/>
    <w:unhideWhenUsed/>
    <w:rsid w:val="006B586F"/>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Caption">
    <w:name w:val="caption"/>
    <w:basedOn w:val="Normal"/>
    <w:next w:val="Normal"/>
    <w:uiPriority w:val="35"/>
    <w:unhideWhenUsed/>
    <w:qFormat/>
    <w:rsid w:val="00DA1E72"/>
    <w:pPr>
      <w:keepNext/>
      <w:spacing w:before="240" w:after="0" w:line="240" w:lineRule="auto"/>
    </w:pPr>
    <w:rPr>
      <w:b/>
      <w:bCs/>
      <w:sz w:val="24"/>
      <w:szCs w:val="18"/>
    </w:rPr>
  </w:style>
  <w:style w:type="paragraph" w:customStyle="1" w:styleId="Heading2unnumbered">
    <w:name w:val="Heading 2 unnumbered"/>
    <w:basedOn w:val="Heading2"/>
    <w:link w:val="Heading2unnumberedChar"/>
    <w:qFormat/>
    <w:rsid w:val="00384661"/>
    <w:pPr>
      <w:numPr>
        <w:ilvl w:val="0"/>
        <w:numId w:val="0"/>
      </w:numPr>
      <w:ind w:left="-567"/>
    </w:pPr>
  </w:style>
  <w:style w:type="character" w:customStyle="1" w:styleId="Heading2unnumberedChar">
    <w:name w:val="Heading 2 unnumbered Char"/>
    <w:basedOn w:val="Heading2Char"/>
    <w:link w:val="Heading2unnumbered"/>
    <w:rsid w:val="00384661"/>
    <w:rPr>
      <w:rFonts w:asciiTheme="majorHAnsi" w:eastAsiaTheme="majorEastAsia" w:hAnsiTheme="majorHAnsi" w:cstheme="majorBidi"/>
      <w:b/>
      <w:bCs/>
      <w:sz w:val="24"/>
      <w:szCs w:val="26"/>
      <w:shd w:val="clear" w:color="auto" w:fill="D9D9D9" w:themeFill="background1" w:themeFillShade="D9"/>
    </w:rPr>
  </w:style>
  <w:style w:type="character" w:styleId="CommentReference">
    <w:name w:val="annotation reference"/>
    <w:basedOn w:val="DefaultParagraphFont"/>
    <w:uiPriority w:val="99"/>
    <w:unhideWhenUsed/>
    <w:rsid w:val="00623308"/>
    <w:rPr>
      <w:sz w:val="16"/>
      <w:szCs w:val="16"/>
    </w:rPr>
  </w:style>
  <w:style w:type="paragraph" w:styleId="CommentText">
    <w:name w:val="annotation text"/>
    <w:basedOn w:val="Normal"/>
    <w:link w:val="CommentTextChar"/>
    <w:uiPriority w:val="99"/>
    <w:unhideWhenUsed/>
    <w:rsid w:val="00623308"/>
    <w:pPr>
      <w:spacing w:line="240" w:lineRule="auto"/>
    </w:pPr>
    <w:rPr>
      <w:sz w:val="20"/>
      <w:szCs w:val="20"/>
    </w:rPr>
  </w:style>
  <w:style w:type="character" w:customStyle="1" w:styleId="CommentTextChar">
    <w:name w:val="Comment Text Char"/>
    <w:basedOn w:val="DefaultParagraphFont"/>
    <w:link w:val="CommentText"/>
    <w:uiPriority w:val="99"/>
    <w:rsid w:val="00623308"/>
    <w:rPr>
      <w:sz w:val="20"/>
      <w:szCs w:val="20"/>
    </w:rPr>
  </w:style>
  <w:style w:type="paragraph" w:styleId="CommentSubject">
    <w:name w:val="annotation subject"/>
    <w:basedOn w:val="CommentText"/>
    <w:next w:val="CommentText"/>
    <w:link w:val="CommentSubjectChar"/>
    <w:uiPriority w:val="99"/>
    <w:semiHidden/>
    <w:unhideWhenUsed/>
    <w:rsid w:val="00623308"/>
    <w:rPr>
      <w:b/>
      <w:bCs/>
    </w:rPr>
  </w:style>
  <w:style w:type="character" w:customStyle="1" w:styleId="CommentSubjectChar">
    <w:name w:val="Comment Subject Char"/>
    <w:basedOn w:val="CommentTextChar"/>
    <w:link w:val="CommentSubject"/>
    <w:uiPriority w:val="99"/>
    <w:semiHidden/>
    <w:rsid w:val="00623308"/>
    <w:rPr>
      <w:b/>
      <w:bCs/>
      <w:sz w:val="20"/>
      <w:szCs w:val="20"/>
    </w:rPr>
  </w:style>
  <w:style w:type="paragraph" w:styleId="FootnoteText">
    <w:name w:val="footnote text"/>
    <w:aliases w:val="Footnote Text Char1 Char,Footnote Text Char Char1 Char,Footnote Text Char Char Char Char Char1,Footnote Text Char Char Char,Footnote Text Char Char Char Char"/>
    <w:basedOn w:val="Normal"/>
    <w:link w:val="FootnoteTextChar"/>
    <w:unhideWhenUsed/>
    <w:rsid w:val="00623308"/>
    <w:pPr>
      <w:widowControl w:val="0"/>
      <w:spacing w:after="0" w:line="240" w:lineRule="auto"/>
    </w:pPr>
    <w:rPr>
      <w:sz w:val="20"/>
      <w:szCs w:val="20"/>
    </w:rPr>
  </w:style>
  <w:style w:type="character" w:customStyle="1" w:styleId="FootnoteTextChar">
    <w:name w:val="Footnote Text Char"/>
    <w:aliases w:val="Footnote Text Char1 Char Char,Footnote Text Char Char1 Char Char,Footnote Text Char Char Char Char Char1 Char,Footnote Text Char Char Char Char1,Footnote Text Char Char Char Char Char"/>
    <w:basedOn w:val="DefaultParagraphFont"/>
    <w:link w:val="FootnoteText"/>
    <w:rsid w:val="00623308"/>
    <w:rPr>
      <w:sz w:val="20"/>
      <w:szCs w:val="20"/>
    </w:rPr>
  </w:style>
  <w:style w:type="character" w:styleId="FootnoteReference">
    <w:name w:val="footnote reference"/>
    <w:aliases w:val="AFPC Footnote Reference"/>
    <w:basedOn w:val="DefaultParagraphFont"/>
    <w:unhideWhenUsed/>
    <w:rsid w:val="00E82B4C"/>
    <w:rPr>
      <w:vertAlign w:val="superscript"/>
    </w:rPr>
  </w:style>
  <w:style w:type="character" w:customStyle="1" w:styleId="ListParagraphChar">
    <w:name w:val="List Paragraph Char"/>
    <w:aliases w:val="Bullet Point Char"/>
    <w:basedOn w:val="DefaultParagraphFont"/>
    <w:link w:val="ListParagraph"/>
    <w:uiPriority w:val="34"/>
    <w:locked/>
    <w:rsid w:val="00623308"/>
  </w:style>
  <w:style w:type="character" w:styleId="FollowedHyperlink">
    <w:name w:val="FollowedHyperlink"/>
    <w:basedOn w:val="DefaultParagraphFont"/>
    <w:uiPriority w:val="99"/>
    <w:semiHidden/>
    <w:unhideWhenUsed/>
    <w:rsid w:val="00D57176"/>
    <w:rPr>
      <w:color w:val="800080" w:themeColor="followedHyperlink"/>
      <w:u w:val="single"/>
    </w:rPr>
  </w:style>
  <w:style w:type="paragraph" w:styleId="BlockText">
    <w:name w:val="Block Text"/>
    <w:basedOn w:val="Normal"/>
    <w:uiPriority w:val="99"/>
    <w:unhideWhenUsed/>
    <w:rsid w:val="000B497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BodyText">
    <w:name w:val="Body Text"/>
    <w:basedOn w:val="Normal"/>
    <w:link w:val="BodyTextChar"/>
    <w:uiPriority w:val="99"/>
    <w:unhideWhenUsed/>
    <w:rsid w:val="005A3BFA"/>
    <w:pPr>
      <w:spacing w:after="0" w:line="240" w:lineRule="auto"/>
    </w:pPr>
    <w:rPr>
      <w:sz w:val="20"/>
      <w:szCs w:val="20"/>
    </w:rPr>
  </w:style>
  <w:style w:type="character" w:customStyle="1" w:styleId="BodyTextChar">
    <w:name w:val="Body Text Char"/>
    <w:basedOn w:val="DefaultParagraphFont"/>
    <w:link w:val="BodyText"/>
    <w:uiPriority w:val="99"/>
    <w:rsid w:val="005A3BFA"/>
    <w:rPr>
      <w:sz w:val="20"/>
      <w:szCs w:val="20"/>
    </w:rPr>
  </w:style>
  <w:style w:type="paragraph" w:customStyle="1" w:styleId="IGBSource">
    <w:name w:val="IGB_Source"/>
    <w:basedOn w:val="Normal"/>
    <w:rsid w:val="00440FD4"/>
    <w:pPr>
      <w:suppressAutoHyphens/>
      <w:autoSpaceDE w:val="0"/>
      <w:autoSpaceDN w:val="0"/>
      <w:adjustRightInd w:val="0"/>
      <w:spacing w:after="120" w:line="240" w:lineRule="atLeast"/>
      <w:textAlignment w:val="center"/>
    </w:pPr>
    <w:rPr>
      <w:rFonts w:ascii="Calibri" w:eastAsia="Times New Roman" w:hAnsi="Calibri" w:cs="Garamond"/>
      <w:color w:val="000000"/>
      <w:sz w:val="18"/>
      <w:lang w:val="en-GB" w:eastAsia="en-AU"/>
    </w:rPr>
  </w:style>
  <w:style w:type="paragraph" w:customStyle="1" w:styleId="IGBTableBody">
    <w:name w:val="IGB_Table Body"/>
    <w:basedOn w:val="Normal"/>
    <w:rsid w:val="00440FD4"/>
    <w:pPr>
      <w:suppressAutoHyphens/>
      <w:autoSpaceDE w:val="0"/>
      <w:autoSpaceDN w:val="0"/>
      <w:adjustRightInd w:val="0"/>
      <w:spacing w:after="0" w:line="240" w:lineRule="atLeast"/>
      <w:textAlignment w:val="center"/>
    </w:pPr>
    <w:rPr>
      <w:rFonts w:ascii="Calibri" w:eastAsia="Times New Roman" w:hAnsi="Calibri" w:cs="Garamond"/>
      <w:color w:val="000000"/>
      <w:sz w:val="21"/>
      <w:lang w:val="en-GB" w:eastAsia="en-AU"/>
    </w:rPr>
  </w:style>
  <w:style w:type="paragraph" w:customStyle="1" w:styleId="IGBTableTotal">
    <w:name w:val="IGB_Table Total"/>
    <w:basedOn w:val="Normal"/>
    <w:rsid w:val="00440FD4"/>
    <w:pPr>
      <w:suppressAutoHyphens/>
      <w:autoSpaceDE w:val="0"/>
      <w:autoSpaceDN w:val="0"/>
      <w:adjustRightInd w:val="0"/>
      <w:spacing w:after="0" w:line="240" w:lineRule="atLeast"/>
      <w:textAlignment w:val="center"/>
    </w:pPr>
    <w:rPr>
      <w:rFonts w:ascii="Calibri" w:eastAsia="Times New Roman" w:hAnsi="Calibri" w:cs="Garamond"/>
      <w:b/>
      <w:color w:val="165788"/>
      <w:sz w:val="21"/>
      <w:lang w:val="en-GB" w:eastAsia="en-AU"/>
    </w:rPr>
  </w:style>
  <w:style w:type="paragraph" w:customStyle="1" w:styleId="IGBTableBodyCentered">
    <w:name w:val="IGB_Table Body Centered"/>
    <w:basedOn w:val="IGBTableBody"/>
    <w:rsid w:val="00440FD4"/>
    <w:pPr>
      <w:jc w:val="center"/>
    </w:pPr>
  </w:style>
  <w:style w:type="paragraph" w:customStyle="1" w:styleId="IGBTableTotalCentered">
    <w:name w:val="IGB_Table Total Centered"/>
    <w:basedOn w:val="IGBTableTotal"/>
    <w:rsid w:val="00440FD4"/>
    <w:pPr>
      <w:jc w:val="center"/>
    </w:pPr>
  </w:style>
  <w:style w:type="paragraph" w:customStyle="1" w:styleId="Default">
    <w:name w:val="Default"/>
    <w:basedOn w:val="Normal"/>
    <w:rsid w:val="009A09CE"/>
    <w:pPr>
      <w:autoSpaceDE w:val="0"/>
      <w:autoSpaceDN w:val="0"/>
      <w:spacing w:after="0" w:line="240" w:lineRule="auto"/>
    </w:pPr>
    <w:rPr>
      <w:rFonts w:ascii="Arial" w:hAnsi="Arial" w:cs="Arial"/>
      <w:color w:val="000000"/>
      <w:sz w:val="24"/>
      <w:szCs w:val="24"/>
      <w:lang w:eastAsia="en-AU"/>
    </w:rPr>
  </w:style>
  <w:style w:type="paragraph" w:customStyle="1" w:styleId="Bullets">
    <w:name w:val="Bullets"/>
    <w:basedOn w:val="Normal"/>
    <w:qFormat/>
    <w:rsid w:val="001D5970"/>
    <w:pPr>
      <w:numPr>
        <w:numId w:val="4"/>
      </w:numPr>
      <w:spacing w:after="80" w:line="240" w:lineRule="auto"/>
      <w:ind w:left="568"/>
    </w:pPr>
    <w:rPr>
      <w:rFonts w:ascii="Book Antiqua" w:hAnsi="Book Antiqua" w:cs="Arial"/>
      <w:color w:val="000000"/>
      <w:szCs w:val="16"/>
    </w:rPr>
  </w:style>
  <w:style w:type="paragraph" w:styleId="List">
    <w:name w:val="List"/>
    <w:basedOn w:val="Normal"/>
    <w:uiPriority w:val="99"/>
    <w:unhideWhenUsed/>
    <w:rsid w:val="0021483E"/>
    <w:pPr>
      <w:ind w:left="360" w:hanging="360"/>
      <w:contextualSpacing/>
    </w:pPr>
  </w:style>
  <w:style w:type="paragraph" w:customStyle="1" w:styleId="TableText">
    <w:name w:val="Table Text"/>
    <w:basedOn w:val="Normal"/>
    <w:qFormat/>
    <w:rsid w:val="00FE16EC"/>
    <w:pPr>
      <w:keepNext/>
      <w:keepLines/>
      <w:suppressAutoHyphens/>
      <w:spacing w:after="0" w:line="240" w:lineRule="auto"/>
      <w:contextualSpacing/>
    </w:pPr>
  </w:style>
  <w:style w:type="paragraph" w:customStyle="1" w:styleId="Source">
    <w:name w:val="Source"/>
    <w:basedOn w:val="BodyText"/>
    <w:qFormat/>
    <w:rsid w:val="00277190"/>
    <w:rPr>
      <w:sz w:val="18"/>
      <w:szCs w:val="18"/>
    </w:rPr>
  </w:style>
  <w:style w:type="paragraph" w:customStyle="1" w:styleId="Bullet">
    <w:name w:val="Bullet"/>
    <w:basedOn w:val="Normal"/>
    <w:rsid w:val="002A4A22"/>
    <w:pPr>
      <w:numPr>
        <w:numId w:val="19"/>
      </w:numPr>
      <w:spacing w:after="80" w:line="240" w:lineRule="auto"/>
    </w:pPr>
    <w:rPr>
      <w:rFonts w:ascii="Book Antiqua" w:eastAsia="Times New Roman" w:hAnsi="Book Antiqua" w:cs="Times New Roman"/>
      <w:sz w:val="20"/>
      <w:szCs w:val="20"/>
      <w:lang w:eastAsia="en-AU"/>
    </w:rPr>
  </w:style>
  <w:style w:type="paragraph" w:customStyle="1" w:styleId="Dash">
    <w:name w:val="Dash"/>
    <w:basedOn w:val="Normal"/>
    <w:rsid w:val="002A4A22"/>
    <w:pPr>
      <w:numPr>
        <w:ilvl w:val="1"/>
        <w:numId w:val="19"/>
      </w:numPr>
      <w:spacing w:after="120" w:line="240" w:lineRule="auto"/>
      <w:ind w:left="851"/>
    </w:pPr>
    <w:rPr>
      <w:rFonts w:ascii="Book Antiqua" w:eastAsia="Times New Roman" w:hAnsi="Book Antiqua" w:cs="Times New Roman"/>
      <w:sz w:val="20"/>
      <w:szCs w:val="20"/>
      <w:lang w:eastAsia="en-AU"/>
    </w:rPr>
  </w:style>
  <w:style w:type="paragraph" w:customStyle="1" w:styleId="DoubleDot">
    <w:name w:val="Double Dot"/>
    <w:basedOn w:val="Normal"/>
    <w:uiPriority w:val="99"/>
    <w:qFormat/>
    <w:rsid w:val="002A4A22"/>
    <w:pPr>
      <w:numPr>
        <w:ilvl w:val="2"/>
        <w:numId w:val="19"/>
      </w:numPr>
      <w:spacing w:after="120" w:line="240" w:lineRule="auto"/>
    </w:pPr>
    <w:rPr>
      <w:rFonts w:ascii="Book Antiqua" w:eastAsia="Times New Roman" w:hAnsi="Book Antiqua" w:cs="Times New Roman"/>
      <w:sz w:val="20"/>
      <w:szCs w:val="20"/>
      <w:lang w:eastAsia="en-AU"/>
    </w:rPr>
  </w:style>
  <w:style w:type="character" w:styleId="Strong">
    <w:name w:val="Strong"/>
    <w:basedOn w:val="DefaultParagraphFont"/>
    <w:uiPriority w:val="22"/>
    <w:qFormat/>
    <w:rsid w:val="00A413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73559">
      <w:bodyDiv w:val="1"/>
      <w:marLeft w:val="0"/>
      <w:marRight w:val="0"/>
      <w:marTop w:val="0"/>
      <w:marBottom w:val="0"/>
      <w:divBdr>
        <w:top w:val="none" w:sz="0" w:space="0" w:color="auto"/>
        <w:left w:val="none" w:sz="0" w:space="0" w:color="auto"/>
        <w:bottom w:val="none" w:sz="0" w:space="0" w:color="auto"/>
        <w:right w:val="none" w:sz="0" w:space="0" w:color="auto"/>
      </w:divBdr>
    </w:div>
    <w:div w:id="224489350">
      <w:bodyDiv w:val="1"/>
      <w:marLeft w:val="0"/>
      <w:marRight w:val="0"/>
      <w:marTop w:val="0"/>
      <w:marBottom w:val="0"/>
      <w:divBdr>
        <w:top w:val="none" w:sz="0" w:space="0" w:color="auto"/>
        <w:left w:val="none" w:sz="0" w:space="0" w:color="auto"/>
        <w:bottom w:val="none" w:sz="0" w:space="0" w:color="auto"/>
        <w:right w:val="none" w:sz="0" w:space="0" w:color="auto"/>
      </w:divBdr>
    </w:div>
    <w:div w:id="570428848">
      <w:bodyDiv w:val="1"/>
      <w:marLeft w:val="0"/>
      <w:marRight w:val="0"/>
      <w:marTop w:val="0"/>
      <w:marBottom w:val="0"/>
      <w:divBdr>
        <w:top w:val="none" w:sz="0" w:space="0" w:color="auto"/>
        <w:left w:val="none" w:sz="0" w:space="0" w:color="auto"/>
        <w:bottom w:val="none" w:sz="0" w:space="0" w:color="auto"/>
        <w:right w:val="none" w:sz="0" w:space="0" w:color="auto"/>
      </w:divBdr>
    </w:div>
    <w:div w:id="599070306">
      <w:bodyDiv w:val="1"/>
      <w:marLeft w:val="0"/>
      <w:marRight w:val="0"/>
      <w:marTop w:val="0"/>
      <w:marBottom w:val="0"/>
      <w:divBdr>
        <w:top w:val="none" w:sz="0" w:space="0" w:color="auto"/>
        <w:left w:val="none" w:sz="0" w:space="0" w:color="auto"/>
        <w:bottom w:val="none" w:sz="0" w:space="0" w:color="auto"/>
        <w:right w:val="none" w:sz="0" w:space="0" w:color="auto"/>
      </w:divBdr>
    </w:div>
    <w:div w:id="770392699">
      <w:bodyDiv w:val="1"/>
      <w:marLeft w:val="0"/>
      <w:marRight w:val="0"/>
      <w:marTop w:val="0"/>
      <w:marBottom w:val="0"/>
      <w:divBdr>
        <w:top w:val="none" w:sz="0" w:space="0" w:color="auto"/>
        <w:left w:val="none" w:sz="0" w:space="0" w:color="auto"/>
        <w:bottom w:val="none" w:sz="0" w:space="0" w:color="auto"/>
        <w:right w:val="none" w:sz="0" w:space="0" w:color="auto"/>
      </w:divBdr>
    </w:div>
    <w:div w:id="910695832">
      <w:bodyDiv w:val="1"/>
      <w:marLeft w:val="0"/>
      <w:marRight w:val="0"/>
      <w:marTop w:val="0"/>
      <w:marBottom w:val="0"/>
      <w:divBdr>
        <w:top w:val="none" w:sz="0" w:space="0" w:color="auto"/>
        <w:left w:val="none" w:sz="0" w:space="0" w:color="auto"/>
        <w:bottom w:val="none" w:sz="0" w:space="0" w:color="auto"/>
        <w:right w:val="none" w:sz="0" w:space="0" w:color="auto"/>
      </w:divBdr>
    </w:div>
    <w:div w:id="911425867">
      <w:bodyDiv w:val="1"/>
      <w:marLeft w:val="0"/>
      <w:marRight w:val="0"/>
      <w:marTop w:val="0"/>
      <w:marBottom w:val="0"/>
      <w:divBdr>
        <w:top w:val="none" w:sz="0" w:space="0" w:color="auto"/>
        <w:left w:val="none" w:sz="0" w:space="0" w:color="auto"/>
        <w:bottom w:val="none" w:sz="0" w:space="0" w:color="auto"/>
        <w:right w:val="none" w:sz="0" w:space="0" w:color="auto"/>
      </w:divBdr>
    </w:div>
    <w:div w:id="1026098831">
      <w:bodyDiv w:val="1"/>
      <w:marLeft w:val="0"/>
      <w:marRight w:val="0"/>
      <w:marTop w:val="0"/>
      <w:marBottom w:val="0"/>
      <w:divBdr>
        <w:top w:val="none" w:sz="0" w:space="0" w:color="auto"/>
        <w:left w:val="none" w:sz="0" w:space="0" w:color="auto"/>
        <w:bottom w:val="none" w:sz="0" w:space="0" w:color="auto"/>
        <w:right w:val="none" w:sz="0" w:space="0" w:color="auto"/>
      </w:divBdr>
    </w:div>
    <w:div w:id="1444761870">
      <w:bodyDiv w:val="1"/>
      <w:marLeft w:val="0"/>
      <w:marRight w:val="0"/>
      <w:marTop w:val="0"/>
      <w:marBottom w:val="0"/>
      <w:divBdr>
        <w:top w:val="none" w:sz="0" w:space="0" w:color="auto"/>
        <w:left w:val="none" w:sz="0" w:space="0" w:color="auto"/>
        <w:bottom w:val="none" w:sz="0" w:space="0" w:color="auto"/>
        <w:right w:val="none" w:sz="0" w:space="0" w:color="auto"/>
      </w:divBdr>
    </w:div>
    <w:div w:id="1513766737">
      <w:bodyDiv w:val="1"/>
      <w:marLeft w:val="0"/>
      <w:marRight w:val="0"/>
      <w:marTop w:val="0"/>
      <w:marBottom w:val="0"/>
      <w:divBdr>
        <w:top w:val="none" w:sz="0" w:space="0" w:color="auto"/>
        <w:left w:val="none" w:sz="0" w:space="0" w:color="auto"/>
        <w:bottom w:val="none" w:sz="0" w:space="0" w:color="auto"/>
        <w:right w:val="none" w:sz="0" w:space="0" w:color="auto"/>
      </w:divBdr>
    </w:div>
    <w:div w:id="1629359763">
      <w:bodyDiv w:val="1"/>
      <w:marLeft w:val="0"/>
      <w:marRight w:val="0"/>
      <w:marTop w:val="0"/>
      <w:marBottom w:val="0"/>
      <w:divBdr>
        <w:top w:val="none" w:sz="0" w:space="0" w:color="auto"/>
        <w:left w:val="none" w:sz="0" w:space="0" w:color="auto"/>
        <w:bottom w:val="none" w:sz="0" w:space="0" w:color="auto"/>
        <w:right w:val="none" w:sz="0" w:space="0" w:color="auto"/>
      </w:divBdr>
    </w:div>
    <w:div w:id="1834829596">
      <w:bodyDiv w:val="1"/>
      <w:marLeft w:val="0"/>
      <w:marRight w:val="0"/>
      <w:marTop w:val="0"/>
      <w:marBottom w:val="0"/>
      <w:divBdr>
        <w:top w:val="none" w:sz="0" w:space="0" w:color="auto"/>
        <w:left w:val="none" w:sz="0" w:space="0" w:color="auto"/>
        <w:bottom w:val="none" w:sz="0" w:space="0" w:color="auto"/>
        <w:right w:val="none" w:sz="0" w:space="0" w:color="auto"/>
      </w:divBdr>
      <w:divsChild>
        <w:div w:id="2068533150">
          <w:marLeft w:val="0"/>
          <w:marRight w:val="0"/>
          <w:marTop w:val="0"/>
          <w:marBottom w:val="0"/>
          <w:divBdr>
            <w:top w:val="none" w:sz="0" w:space="0" w:color="auto"/>
            <w:left w:val="none" w:sz="0" w:space="0" w:color="auto"/>
            <w:bottom w:val="none" w:sz="0" w:space="0" w:color="auto"/>
            <w:right w:val="none" w:sz="0" w:space="0" w:color="auto"/>
          </w:divBdr>
          <w:divsChild>
            <w:div w:id="1408844187">
              <w:marLeft w:val="0"/>
              <w:marRight w:val="0"/>
              <w:marTop w:val="0"/>
              <w:marBottom w:val="0"/>
              <w:divBdr>
                <w:top w:val="none" w:sz="0" w:space="0" w:color="auto"/>
                <w:left w:val="none" w:sz="0" w:space="0" w:color="auto"/>
                <w:bottom w:val="none" w:sz="0" w:space="0" w:color="auto"/>
                <w:right w:val="none" w:sz="0" w:space="0" w:color="auto"/>
              </w:divBdr>
              <w:divsChild>
                <w:div w:id="172184290">
                  <w:marLeft w:val="0"/>
                  <w:marRight w:val="0"/>
                  <w:marTop w:val="0"/>
                  <w:marBottom w:val="0"/>
                  <w:divBdr>
                    <w:top w:val="none" w:sz="0" w:space="0" w:color="auto"/>
                    <w:left w:val="none" w:sz="0" w:space="0" w:color="auto"/>
                    <w:bottom w:val="none" w:sz="0" w:space="0" w:color="auto"/>
                    <w:right w:val="none" w:sz="0" w:space="0" w:color="auto"/>
                  </w:divBdr>
                  <w:divsChild>
                    <w:div w:id="1114599592">
                      <w:marLeft w:val="0"/>
                      <w:marRight w:val="0"/>
                      <w:marTop w:val="0"/>
                      <w:marBottom w:val="0"/>
                      <w:divBdr>
                        <w:top w:val="none" w:sz="0" w:space="0" w:color="auto"/>
                        <w:left w:val="none" w:sz="0" w:space="0" w:color="auto"/>
                        <w:bottom w:val="none" w:sz="0" w:space="0" w:color="auto"/>
                        <w:right w:val="none" w:sz="0" w:space="0" w:color="auto"/>
                      </w:divBdr>
                      <w:divsChild>
                        <w:div w:id="939796548">
                          <w:marLeft w:val="0"/>
                          <w:marRight w:val="0"/>
                          <w:marTop w:val="0"/>
                          <w:marBottom w:val="0"/>
                          <w:divBdr>
                            <w:top w:val="none" w:sz="0" w:space="0" w:color="auto"/>
                            <w:left w:val="none" w:sz="0" w:space="0" w:color="auto"/>
                            <w:bottom w:val="none" w:sz="0" w:space="0" w:color="auto"/>
                            <w:right w:val="none" w:sz="0" w:space="0" w:color="auto"/>
                          </w:divBdr>
                          <w:divsChild>
                            <w:div w:id="173111049">
                              <w:marLeft w:val="0"/>
                              <w:marRight w:val="0"/>
                              <w:marTop w:val="0"/>
                              <w:marBottom w:val="0"/>
                              <w:divBdr>
                                <w:top w:val="none" w:sz="0" w:space="0" w:color="auto"/>
                                <w:left w:val="none" w:sz="0" w:space="0" w:color="auto"/>
                                <w:bottom w:val="none" w:sz="0" w:space="0" w:color="auto"/>
                                <w:right w:val="none" w:sz="0" w:space="0" w:color="auto"/>
                              </w:divBdr>
                              <w:divsChild>
                                <w:div w:id="802235835">
                                  <w:marLeft w:val="0"/>
                                  <w:marRight w:val="0"/>
                                  <w:marTop w:val="0"/>
                                  <w:marBottom w:val="0"/>
                                  <w:divBdr>
                                    <w:top w:val="none" w:sz="0" w:space="0" w:color="auto"/>
                                    <w:left w:val="none" w:sz="0" w:space="0" w:color="auto"/>
                                    <w:bottom w:val="none" w:sz="0" w:space="0" w:color="auto"/>
                                    <w:right w:val="none" w:sz="0" w:space="0" w:color="auto"/>
                                  </w:divBdr>
                                  <w:divsChild>
                                    <w:div w:id="360204808">
                                      <w:marLeft w:val="0"/>
                                      <w:marRight w:val="0"/>
                                      <w:marTop w:val="0"/>
                                      <w:marBottom w:val="0"/>
                                      <w:divBdr>
                                        <w:top w:val="none" w:sz="0" w:space="0" w:color="auto"/>
                                        <w:left w:val="none" w:sz="0" w:space="0" w:color="auto"/>
                                        <w:bottom w:val="none" w:sz="0" w:space="0" w:color="auto"/>
                                        <w:right w:val="none" w:sz="0" w:space="0" w:color="auto"/>
                                      </w:divBdr>
                                      <w:divsChild>
                                        <w:div w:id="1112287892">
                                          <w:marLeft w:val="0"/>
                                          <w:marRight w:val="0"/>
                                          <w:marTop w:val="0"/>
                                          <w:marBottom w:val="0"/>
                                          <w:divBdr>
                                            <w:top w:val="none" w:sz="0" w:space="0" w:color="auto"/>
                                            <w:left w:val="none" w:sz="0" w:space="0" w:color="auto"/>
                                            <w:bottom w:val="none" w:sz="0" w:space="0" w:color="auto"/>
                                            <w:right w:val="none" w:sz="0" w:space="0" w:color="auto"/>
                                          </w:divBdr>
                                          <w:divsChild>
                                            <w:div w:id="195428914">
                                              <w:marLeft w:val="0"/>
                                              <w:marRight w:val="0"/>
                                              <w:marTop w:val="0"/>
                                              <w:marBottom w:val="0"/>
                                              <w:divBdr>
                                                <w:top w:val="none" w:sz="0" w:space="0" w:color="auto"/>
                                                <w:left w:val="none" w:sz="0" w:space="0" w:color="auto"/>
                                                <w:bottom w:val="none" w:sz="0" w:space="0" w:color="auto"/>
                                                <w:right w:val="none" w:sz="0" w:space="0" w:color="auto"/>
                                              </w:divBdr>
                                              <w:divsChild>
                                                <w:div w:id="1761486437">
                                                  <w:marLeft w:val="0"/>
                                                  <w:marRight w:val="0"/>
                                                  <w:marTop w:val="0"/>
                                                  <w:marBottom w:val="0"/>
                                                  <w:divBdr>
                                                    <w:top w:val="none" w:sz="0" w:space="0" w:color="auto"/>
                                                    <w:left w:val="none" w:sz="0" w:space="0" w:color="auto"/>
                                                    <w:bottom w:val="none" w:sz="0" w:space="0" w:color="auto"/>
                                                    <w:right w:val="none" w:sz="0" w:space="0" w:color="auto"/>
                                                  </w:divBdr>
                                                  <w:divsChild>
                                                    <w:div w:id="63544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18" Type="http://schemas.openxmlformats.org/officeDocument/2006/relationships/header" Target="header3.xml"/><Relationship Id="rId26" Type="http://schemas.openxmlformats.org/officeDocument/2006/relationships/chart" Target="charts/chart5.xml"/><Relationship Id="rId39" Type="http://schemas.openxmlformats.org/officeDocument/2006/relationships/chart" Target="charts/chart9.xml"/><Relationship Id="rId3" Type="http://schemas.openxmlformats.org/officeDocument/2006/relationships/customXml" Target="../customXml/item3.xml"/><Relationship Id="rId21" Type="http://schemas.openxmlformats.org/officeDocument/2006/relationships/hyperlink" Target="http://www.education.gov.au/child-care-information-service-providers" TargetMode="External"/><Relationship Id="rId34" Type="http://schemas.openxmlformats.org/officeDocument/2006/relationships/header" Target="header4.xml"/><Relationship Id="rId42"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chart" Target="charts/chart4.xml"/><Relationship Id="rId33" Type="http://schemas.openxmlformats.org/officeDocument/2006/relationships/hyperlink" Target="http://www.federalfinancialrelations.gov.au" TargetMode="External"/><Relationship Id="rId38" Type="http://schemas.openxmlformats.org/officeDocument/2006/relationships/image" Target="cid:image004.png@01CF191C.1FEABD50"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2.png"/><Relationship Id="rId29" Type="http://schemas.openxmlformats.org/officeDocument/2006/relationships/chart" Target="charts/chart7.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chart" Target="charts/chart3.xml"/><Relationship Id="rId32" Type="http://schemas.openxmlformats.org/officeDocument/2006/relationships/hyperlink" Target="http://coag.gov.au" TargetMode="External"/><Relationship Id="rId37" Type="http://schemas.openxmlformats.org/officeDocument/2006/relationships/image" Target="media/image3.png"/><Relationship Id="rId40" Type="http://schemas.openxmlformats.org/officeDocument/2006/relationships/image" Target="media/image4.png"/><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chart" Target="charts/chart2.xml"/><Relationship Id="rId28" Type="http://schemas.openxmlformats.org/officeDocument/2006/relationships/hyperlink" Target="http://www.education.gov.au" TargetMode="External"/><Relationship Id="rId36" Type="http://schemas.openxmlformats.org/officeDocument/2006/relationships/chart" Target="charts/chart8.xml"/><Relationship Id="rId10" Type="http://schemas.openxmlformats.org/officeDocument/2006/relationships/webSettings" Target="webSettings.xml"/><Relationship Id="rId19" Type="http://schemas.openxmlformats.org/officeDocument/2006/relationships/footer" Target="footer3.xml"/><Relationship Id="rId31" Type="http://schemas.openxmlformats.org/officeDocument/2006/relationships/hyperlink" Target="http://education.gov.a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chart" Target="charts/chart1.xml"/><Relationship Id="rId27" Type="http://schemas.openxmlformats.org/officeDocument/2006/relationships/chart" Target="charts/chart6.xml"/><Relationship Id="rId30" Type="http://schemas.openxmlformats.org/officeDocument/2006/relationships/hyperlink" Target="http://www.education.gov.au" TargetMode="External"/><Relationship Id="rId35" Type="http://schemas.openxmlformats.org/officeDocument/2006/relationships/footer" Target="footer4.xml"/></Relationships>
</file>

<file path=word/_rels/footnotes.xml.rels><?xml version="1.0" encoding="UTF-8" standalone="yes"?>
<Relationships xmlns="http://schemas.openxmlformats.org/package/2006/relationships"><Relationship Id="rId3" Type="http://schemas.openxmlformats.org/officeDocument/2006/relationships/hyperlink" Target="http://dx.doi.org/10.1007/s12187-013-9189-3" TargetMode="External"/><Relationship Id="rId2" Type="http://schemas.openxmlformats.org/officeDocument/2006/relationships/hyperlink" Target="http://www.abs.gov.au/ausstats/abs@.nsf/mf/4402.0" TargetMode="External"/><Relationship Id="rId1" Type="http://schemas.openxmlformats.org/officeDocument/2006/relationships/hyperlink" Target="http://www.abs.gov.au/ausstats/abs@.nsf/mf/4402.0" TargetMode="External"/><Relationship Id="rId5" Type="http://schemas.openxmlformats.org/officeDocument/2006/relationships/hyperlink" Target="http://education.gov.au/family-assistance-law" TargetMode="External"/><Relationship Id="rId4" Type="http://schemas.openxmlformats.org/officeDocument/2006/relationships/hyperlink" Target="http://www.rch.org.au/aedi/schools/"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oleObject" Target="file:///\\EPNAS003\RH2202$\Submission\Charts%20and%20numbers%20in%20my%20bit%20of%20submission.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EPNAS003\RH2202$\Submission\Charts%20and%20numbers%20in%20my%20bit%20of%20submission.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EPNAS003\RH2202$\Submission\Copy%20of%20IPSP%202012-2013.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EPNAS003\ECD\04.%20Management%20Information%20Reports\Child%20Care%20Update\March%20qtr%202013\Copy%20of%20Disposable%20inc%20and%20OOP%20costs%20graphs%20March%20quarter%202013%20(2).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embeddings/oleObject1.bin"/></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Sheet1!$A$2:$B$2</c:f>
              <c:strCache>
                <c:ptCount val="1"/>
                <c:pt idx="0">
                  <c:v>$55,000 pa 1 child</c:v>
                </c:pt>
              </c:strCache>
            </c:strRef>
          </c:tx>
          <c:spPr>
            <a:ln>
              <a:solidFill>
                <a:schemeClr val="tx1"/>
              </a:solidFill>
              <a:prstDash val="dash"/>
            </a:ln>
          </c:spPr>
          <c:marker>
            <c:spPr>
              <a:solidFill>
                <a:schemeClr val="tx1"/>
              </a:solidFill>
              <a:ln>
                <a:solidFill>
                  <a:schemeClr val="tx1"/>
                </a:solidFill>
              </a:ln>
            </c:spPr>
          </c:marker>
          <c:cat>
            <c:strRef>
              <c:f>Sheet1!$C$1:$F$1</c:f>
              <c:strCache>
                <c:ptCount val="4"/>
                <c:pt idx="0">
                  <c:v>2nd day</c:v>
                </c:pt>
                <c:pt idx="1">
                  <c:v>3rd day</c:v>
                </c:pt>
                <c:pt idx="2">
                  <c:v>4th day</c:v>
                </c:pt>
                <c:pt idx="3">
                  <c:v>5th day</c:v>
                </c:pt>
              </c:strCache>
            </c:strRef>
          </c:cat>
          <c:val>
            <c:numRef>
              <c:f>Sheet1!$C$2:$F$2</c:f>
              <c:numCache>
                <c:formatCode>General</c:formatCode>
                <c:ptCount val="4"/>
                <c:pt idx="0">
                  <c:v>14.03</c:v>
                </c:pt>
                <c:pt idx="1">
                  <c:v>15.32</c:v>
                </c:pt>
                <c:pt idx="2">
                  <c:v>40.85</c:v>
                </c:pt>
                <c:pt idx="3">
                  <c:v>10.27</c:v>
                </c:pt>
              </c:numCache>
            </c:numRef>
          </c:val>
          <c:smooth val="0"/>
        </c:ser>
        <c:ser>
          <c:idx val="1"/>
          <c:order val="1"/>
          <c:tx>
            <c:strRef>
              <c:f>Sheet1!$A$3:$B$3</c:f>
              <c:strCache>
                <c:ptCount val="1"/>
                <c:pt idx="0">
                  <c:v>$120,000 pa 1 child</c:v>
                </c:pt>
              </c:strCache>
            </c:strRef>
          </c:tx>
          <c:spPr>
            <a:ln>
              <a:solidFill>
                <a:schemeClr val="tx1"/>
              </a:solidFill>
            </a:ln>
          </c:spPr>
          <c:marker>
            <c:spPr>
              <a:solidFill>
                <a:schemeClr val="tx1"/>
              </a:solidFill>
              <a:ln>
                <a:solidFill>
                  <a:schemeClr val="tx1"/>
                </a:solidFill>
              </a:ln>
            </c:spPr>
          </c:marker>
          <c:cat>
            <c:strRef>
              <c:f>Sheet1!$C$1:$F$1</c:f>
              <c:strCache>
                <c:ptCount val="4"/>
                <c:pt idx="0">
                  <c:v>2nd day</c:v>
                </c:pt>
                <c:pt idx="1">
                  <c:v>3rd day</c:v>
                </c:pt>
                <c:pt idx="2">
                  <c:v>4th day</c:v>
                </c:pt>
                <c:pt idx="3">
                  <c:v>5th day</c:v>
                </c:pt>
              </c:strCache>
            </c:strRef>
          </c:cat>
          <c:val>
            <c:numRef>
              <c:f>Sheet1!$C$3:$F$3</c:f>
              <c:numCache>
                <c:formatCode>General</c:formatCode>
                <c:ptCount val="4"/>
                <c:pt idx="0">
                  <c:v>124.94</c:v>
                </c:pt>
                <c:pt idx="1">
                  <c:v>61.25</c:v>
                </c:pt>
                <c:pt idx="2">
                  <c:v>96.16</c:v>
                </c:pt>
                <c:pt idx="3">
                  <c:v>83.66</c:v>
                </c:pt>
              </c:numCache>
            </c:numRef>
          </c:val>
          <c:smooth val="0"/>
        </c:ser>
        <c:ser>
          <c:idx val="2"/>
          <c:order val="2"/>
          <c:tx>
            <c:strRef>
              <c:f>Sheet1!$A$4:$B$4</c:f>
              <c:strCache>
                <c:ptCount val="1"/>
                <c:pt idx="0">
                  <c:v>$200,000 pa 1 child</c:v>
                </c:pt>
              </c:strCache>
            </c:strRef>
          </c:tx>
          <c:spPr>
            <a:ln>
              <a:solidFill>
                <a:schemeClr val="tx1"/>
              </a:solidFill>
              <a:prstDash val="sysDot"/>
            </a:ln>
          </c:spPr>
          <c:marker>
            <c:spPr>
              <a:solidFill>
                <a:schemeClr val="tx1"/>
              </a:solidFill>
              <a:ln>
                <a:solidFill>
                  <a:schemeClr val="tx1"/>
                </a:solidFill>
              </a:ln>
            </c:spPr>
          </c:marker>
          <c:cat>
            <c:strRef>
              <c:f>Sheet1!$C$1:$F$1</c:f>
              <c:strCache>
                <c:ptCount val="4"/>
                <c:pt idx="0">
                  <c:v>2nd day</c:v>
                </c:pt>
                <c:pt idx="1">
                  <c:v>3rd day</c:v>
                </c:pt>
                <c:pt idx="2">
                  <c:v>4th day</c:v>
                </c:pt>
                <c:pt idx="3">
                  <c:v>5th day</c:v>
                </c:pt>
              </c:strCache>
            </c:strRef>
          </c:cat>
          <c:val>
            <c:numRef>
              <c:f>Sheet1!$C$4:$F$4</c:f>
              <c:numCache>
                <c:formatCode>General</c:formatCode>
                <c:ptCount val="4"/>
                <c:pt idx="0">
                  <c:v>174.18</c:v>
                </c:pt>
                <c:pt idx="1">
                  <c:v>175.88</c:v>
                </c:pt>
                <c:pt idx="2">
                  <c:v>126.08</c:v>
                </c:pt>
                <c:pt idx="3">
                  <c:v>152.61000000000001</c:v>
                </c:pt>
              </c:numCache>
            </c:numRef>
          </c:val>
          <c:smooth val="0"/>
        </c:ser>
        <c:dLbls>
          <c:showLegendKey val="0"/>
          <c:showVal val="0"/>
          <c:showCatName val="0"/>
          <c:showSerName val="0"/>
          <c:showPercent val="0"/>
          <c:showBubbleSize val="0"/>
        </c:dLbls>
        <c:marker val="1"/>
        <c:smooth val="0"/>
        <c:axId val="187496704"/>
        <c:axId val="187904384"/>
      </c:lineChart>
      <c:catAx>
        <c:axId val="187496704"/>
        <c:scaling>
          <c:orientation val="minMax"/>
        </c:scaling>
        <c:delete val="0"/>
        <c:axPos val="b"/>
        <c:majorTickMark val="none"/>
        <c:minorTickMark val="none"/>
        <c:tickLblPos val="nextTo"/>
        <c:crossAx val="187904384"/>
        <c:crosses val="autoZero"/>
        <c:auto val="1"/>
        <c:lblAlgn val="ctr"/>
        <c:lblOffset val="100"/>
        <c:noMultiLvlLbl val="0"/>
      </c:catAx>
      <c:valAx>
        <c:axId val="187904384"/>
        <c:scaling>
          <c:orientation val="minMax"/>
        </c:scaling>
        <c:delete val="0"/>
        <c:axPos val="l"/>
        <c:majorGridlines/>
        <c:title>
          <c:tx>
            <c:rich>
              <a:bodyPr/>
              <a:lstStyle/>
              <a:p>
                <a:pPr>
                  <a:defRPr/>
                </a:pPr>
                <a:r>
                  <a:rPr lang="en-AU"/>
                  <a:t>$ Gain/loss</a:t>
                </a:r>
                <a:r>
                  <a:rPr lang="en-AU" baseline="0"/>
                  <a:t> per day </a:t>
                </a:r>
                <a:endParaRPr lang="en-AU"/>
              </a:p>
            </c:rich>
          </c:tx>
          <c:overlay val="0"/>
        </c:title>
        <c:numFmt formatCode="General" sourceLinked="1"/>
        <c:majorTickMark val="none"/>
        <c:minorTickMark val="none"/>
        <c:tickLblPos val="nextTo"/>
        <c:crossAx val="187496704"/>
        <c:crosses val="autoZero"/>
        <c:crossBetween val="between"/>
      </c:valAx>
    </c:plotArea>
    <c:legend>
      <c:legendPos val="b"/>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Sheet1!$A$2:$B$2</c:f>
              <c:strCache>
                <c:ptCount val="1"/>
                <c:pt idx="0">
                  <c:v>$55,000 pa 2 children</c:v>
                </c:pt>
              </c:strCache>
            </c:strRef>
          </c:tx>
          <c:spPr>
            <a:ln>
              <a:solidFill>
                <a:schemeClr val="tx1"/>
              </a:solidFill>
              <a:prstDash val="dash"/>
            </a:ln>
          </c:spPr>
          <c:marker>
            <c:spPr>
              <a:solidFill>
                <a:schemeClr val="tx1"/>
              </a:solidFill>
              <a:ln>
                <a:solidFill>
                  <a:schemeClr val="tx1"/>
                </a:solidFill>
              </a:ln>
            </c:spPr>
          </c:marker>
          <c:cat>
            <c:strRef>
              <c:f>Sheet1!$C$1:$F$1</c:f>
              <c:strCache>
                <c:ptCount val="4"/>
                <c:pt idx="0">
                  <c:v>2nd day</c:v>
                </c:pt>
                <c:pt idx="1">
                  <c:v>3rd day</c:v>
                </c:pt>
                <c:pt idx="2">
                  <c:v>4th day</c:v>
                </c:pt>
                <c:pt idx="3">
                  <c:v>5th day</c:v>
                </c:pt>
              </c:strCache>
            </c:strRef>
          </c:cat>
          <c:val>
            <c:numRef>
              <c:f>Sheet1!$C$2:$F$2</c:f>
              <c:numCache>
                <c:formatCode>General</c:formatCode>
                <c:ptCount val="4"/>
                <c:pt idx="0">
                  <c:v>2.88</c:v>
                </c:pt>
                <c:pt idx="1">
                  <c:v>-2.38</c:v>
                </c:pt>
                <c:pt idx="2">
                  <c:v>13.41</c:v>
                </c:pt>
                <c:pt idx="3">
                  <c:v>-8.74</c:v>
                </c:pt>
              </c:numCache>
            </c:numRef>
          </c:val>
          <c:smooth val="0"/>
        </c:ser>
        <c:ser>
          <c:idx val="1"/>
          <c:order val="1"/>
          <c:tx>
            <c:strRef>
              <c:f>Sheet1!$A$3:$B$3</c:f>
              <c:strCache>
                <c:ptCount val="1"/>
                <c:pt idx="0">
                  <c:v>$120,000 pa 2 children</c:v>
                </c:pt>
              </c:strCache>
            </c:strRef>
          </c:tx>
          <c:spPr>
            <a:ln>
              <a:solidFill>
                <a:schemeClr val="tx1"/>
              </a:solidFill>
            </a:ln>
          </c:spPr>
          <c:marker>
            <c:spPr>
              <a:solidFill>
                <a:schemeClr val="tx1"/>
              </a:solidFill>
              <a:ln>
                <a:solidFill>
                  <a:schemeClr val="tx1"/>
                </a:solidFill>
              </a:ln>
            </c:spPr>
          </c:marker>
          <c:cat>
            <c:strRef>
              <c:f>Sheet1!$C$1:$F$1</c:f>
              <c:strCache>
                <c:ptCount val="4"/>
                <c:pt idx="0">
                  <c:v>2nd day</c:v>
                </c:pt>
                <c:pt idx="1">
                  <c:v>3rd day</c:v>
                </c:pt>
                <c:pt idx="2">
                  <c:v>4th day</c:v>
                </c:pt>
                <c:pt idx="3">
                  <c:v>5th day</c:v>
                </c:pt>
              </c:strCache>
            </c:strRef>
          </c:cat>
          <c:val>
            <c:numRef>
              <c:f>Sheet1!$C$3:$F$3</c:f>
              <c:numCache>
                <c:formatCode>General</c:formatCode>
                <c:ptCount val="4"/>
                <c:pt idx="0">
                  <c:v>105.08</c:v>
                </c:pt>
                <c:pt idx="1">
                  <c:v>58.28</c:v>
                </c:pt>
                <c:pt idx="2">
                  <c:v>9.4700000000000006</c:v>
                </c:pt>
                <c:pt idx="3">
                  <c:v>28.9</c:v>
                </c:pt>
              </c:numCache>
            </c:numRef>
          </c:val>
          <c:smooth val="0"/>
        </c:ser>
        <c:ser>
          <c:idx val="2"/>
          <c:order val="2"/>
          <c:tx>
            <c:strRef>
              <c:f>Sheet1!$A$4:$B$4</c:f>
              <c:strCache>
                <c:ptCount val="1"/>
                <c:pt idx="0">
                  <c:v>$200,000 pa 2 children</c:v>
                </c:pt>
              </c:strCache>
            </c:strRef>
          </c:tx>
          <c:spPr>
            <a:ln>
              <a:solidFill>
                <a:schemeClr val="tx1"/>
              </a:solidFill>
              <a:prstDash val="sysDot"/>
            </a:ln>
          </c:spPr>
          <c:marker>
            <c:spPr>
              <a:solidFill>
                <a:schemeClr val="tx1"/>
              </a:solidFill>
              <a:ln>
                <a:solidFill>
                  <a:schemeClr val="tx1"/>
                </a:solidFill>
              </a:ln>
            </c:spPr>
          </c:marker>
          <c:cat>
            <c:strRef>
              <c:f>Sheet1!$C$1:$F$1</c:f>
              <c:strCache>
                <c:ptCount val="4"/>
                <c:pt idx="0">
                  <c:v>2nd day</c:v>
                </c:pt>
                <c:pt idx="1">
                  <c:v>3rd day</c:v>
                </c:pt>
                <c:pt idx="2">
                  <c:v>4th day</c:v>
                </c:pt>
                <c:pt idx="3">
                  <c:v>5th day</c:v>
                </c:pt>
              </c:strCache>
            </c:strRef>
          </c:cat>
          <c:val>
            <c:numRef>
              <c:f>Sheet1!$C$4:$F$4</c:f>
              <c:numCache>
                <c:formatCode>General</c:formatCode>
                <c:ptCount val="4"/>
                <c:pt idx="0">
                  <c:v>132.41</c:v>
                </c:pt>
                <c:pt idx="1">
                  <c:v>138.88</c:v>
                </c:pt>
                <c:pt idx="2">
                  <c:v>89.08</c:v>
                </c:pt>
                <c:pt idx="3">
                  <c:v>115.61</c:v>
                </c:pt>
              </c:numCache>
            </c:numRef>
          </c:val>
          <c:smooth val="0"/>
        </c:ser>
        <c:dLbls>
          <c:showLegendKey val="0"/>
          <c:showVal val="0"/>
          <c:showCatName val="0"/>
          <c:showSerName val="0"/>
          <c:showPercent val="0"/>
          <c:showBubbleSize val="0"/>
        </c:dLbls>
        <c:marker val="1"/>
        <c:smooth val="0"/>
        <c:axId val="187979264"/>
        <c:axId val="187981184"/>
      </c:lineChart>
      <c:catAx>
        <c:axId val="187979264"/>
        <c:scaling>
          <c:orientation val="minMax"/>
        </c:scaling>
        <c:delete val="0"/>
        <c:axPos val="b"/>
        <c:majorTickMark val="none"/>
        <c:minorTickMark val="none"/>
        <c:tickLblPos val="low"/>
        <c:crossAx val="187981184"/>
        <c:crosses val="autoZero"/>
        <c:auto val="1"/>
        <c:lblAlgn val="ctr"/>
        <c:lblOffset val="100"/>
        <c:noMultiLvlLbl val="0"/>
      </c:catAx>
      <c:valAx>
        <c:axId val="187981184"/>
        <c:scaling>
          <c:orientation val="minMax"/>
        </c:scaling>
        <c:delete val="0"/>
        <c:axPos val="l"/>
        <c:majorGridlines/>
        <c:title>
          <c:tx>
            <c:rich>
              <a:bodyPr/>
              <a:lstStyle/>
              <a:p>
                <a:pPr>
                  <a:defRPr/>
                </a:pPr>
                <a:r>
                  <a:rPr lang="en-AU"/>
                  <a:t>$ Gain/loss</a:t>
                </a:r>
                <a:r>
                  <a:rPr lang="en-AU" baseline="0"/>
                  <a:t> per day </a:t>
                </a:r>
                <a:endParaRPr lang="en-AU"/>
              </a:p>
            </c:rich>
          </c:tx>
          <c:overlay val="0"/>
        </c:title>
        <c:numFmt formatCode="General" sourceLinked="1"/>
        <c:majorTickMark val="none"/>
        <c:minorTickMark val="none"/>
        <c:tickLblPos val="nextTo"/>
        <c:crossAx val="187979264"/>
        <c:crosses val="autoZero"/>
        <c:crossBetween val="between"/>
      </c:valAx>
    </c:plotArea>
    <c:legend>
      <c:legendPos val="b"/>
      <c:layout>
        <c:manualLayout>
          <c:xMode val="edge"/>
          <c:yMode val="edge"/>
          <c:x val="4.0401132887766797E-2"/>
          <c:y val="0.82791155799791272"/>
          <c:w val="0.93469894354696359"/>
          <c:h val="0.14669781960529243"/>
        </c:manualLayout>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AU"/>
  <c:roundedCorners val="1"/>
  <mc:AlternateContent xmlns:mc="http://schemas.openxmlformats.org/markup-compatibility/2006">
    <mc:Choice xmlns:c14="http://schemas.microsoft.com/office/drawing/2007/8/2/chart" Requires="c14">
      <c14:style val="102"/>
    </mc:Choice>
    <mc:Fallback>
      <c:style val="2"/>
    </mc:Fallback>
  </mc:AlternateContent>
  <c:pivotSource>
    <c:name>[Book1]CSP STO!PivotTable2</c:name>
    <c:fmtId val="-1"/>
  </c:pivotSource>
  <c:chart>
    <c:autoTitleDeleted val="1"/>
    <c:pivotFmts>
      <c:pivotFmt>
        <c:idx val="0"/>
        <c:marker>
          <c:symbol val="none"/>
        </c:marker>
      </c:pivotFmt>
      <c:pivotFmt>
        <c:idx val="1"/>
        <c:marker>
          <c:symbol val="none"/>
        </c:marker>
        <c:dLbl>
          <c:idx val="0"/>
          <c:delete val="1"/>
        </c:dLbl>
      </c:pivotFmt>
      <c:pivotFmt>
        <c:idx val="2"/>
        <c:marker>
          <c:symbol val="none"/>
        </c:marker>
        <c:dLbl>
          <c:idx val="0"/>
          <c:delete val="1"/>
        </c:dLbl>
      </c:pivotFmt>
      <c:pivotFmt>
        <c:idx val="3"/>
        <c:marker>
          <c:symbol val="none"/>
        </c:marker>
        <c:dLbl>
          <c:idx val="0"/>
          <c:delete val="1"/>
        </c:dLbl>
      </c:pivotFmt>
      <c:pivotFmt>
        <c:idx val="4"/>
        <c:marker>
          <c:symbol val="none"/>
        </c:marker>
        <c:dLbl>
          <c:idx val="0"/>
          <c:delete val="1"/>
        </c:dLbl>
      </c:pivotFmt>
      <c:pivotFmt>
        <c:idx val="5"/>
        <c:marker>
          <c:symbol val="none"/>
        </c:marker>
      </c:pivotFmt>
      <c:pivotFmt>
        <c:idx val="6"/>
        <c:marker>
          <c:symbol val="none"/>
        </c:marker>
      </c:pivotFmt>
      <c:pivotFmt>
        <c:idx val="7"/>
        <c:marker>
          <c:symbol val="none"/>
        </c:marker>
      </c:pivotFmt>
      <c:pivotFmt>
        <c:idx val="8"/>
        <c:marker>
          <c:symbol val="none"/>
        </c:marker>
      </c:pivotFmt>
      <c:pivotFmt>
        <c:idx val="9"/>
        <c:marker>
          <c:symbol val="none"/>
        </c:marker>
      </c:pivotFmt>
      <c:pivotFmt>
        <c:idx val="10"/>
        <c:marker>
          <c:symbol val="none"/>
        </c:marker>
      </c:pivotFmt>
      <c:pivotFmt>
        <c:idx val="11"/>
        <c:marker>
          <c:symbol val="none"/>
        </c:marker>
      </c:pivotFmt>
      <c:pivotFmt>
        <c:idx val="12"/>
        <c:marker>
          <c:symbol val="none"/>
        </c:marker>
      </c:pivotFmt>
      <c:pivotFmt>
        <c:idx val="13"/>
        <c:marker>
          <c:symbol val="none"/>
        </c:marker>
        <c:dLbl>
          <c:idx val="0"/>
          <c:delete val="1"/>
        </c:dLbl>
      </c:pivotFmt>
      <c:pivotFmt>
        <c:idx val="14"/>
        <c:marker>
          <c:symbol val="none"/>
        </c:marker>
        <c:dLbl>
          <c:idx val="0"/>
          <c:delete val="1"/>
        </c:dLbl>
      </c:pivotFmt>
      <c:pivotFmt>
        <c:idx val="15"/>
        <c:marker>
          <c:symbol val="none"/>
        </c:marker>
        <c:dLbl>
          <c:idx val="0"/>
          <c:delete val="1"/>
        </c:dLbl>
      </c:pivotFmt>
      <c:pivotFmt>
        <c:idx val="16"/>
        <c:marker>
          <c:symbol val="none"/>
        </c:marker>
        <c:dLbl>
          <c:idx val="0"/>
          <c:delete val="1"/>
        </c:dLbl>
      </c:pivotFmt>
      <c:pivotFmt>
        <c:idx val="17"/>
        <c:marker>
          <c:symbol val="none"/>
        </c:marker>
        <c:dLbl>
          <c:idx val="0"/>
          <c:delete val="1"/>
        </c:dLbl>
      </c:pivotFmt>
      <c:pivotFmt>
        <c:idx val="18"/>
        <c:marker>
          <c:symbol val="none"/>
        </c:marker>
        <c:dLbl>
          <c:idx val="0"/>
          <c:delete val="1"/>
        </c:dLbl>
      </c:pivotFmt>
      <c:pivotFmt>
        <c:idx val="19"/>
        <c:marker>
          <c:symbol val="none"/>
        </c:marker>
        <c:dLbl>
          <c:idx val="0"/>
          <c:delete val="1"/>
        </c:dLbl>
      </c:pivotFmt>
      <c:pivotFmt>
        <c:idx val="20"/>
        <c:marker>
          <c:symbol val="none"/>
        </c:marker>
        <c:dLbl>
          <c:idx val="0"/>
          <c:delete val="1"/>
        </c:dLbl>
      </c:pivotFmt>
      <c:pivotFmt>
        <c:idx val="21"/>
        <c:marker>
          <c:symbol val="none"/>
        </c:marker>
        <c:dLbl>
          <c:idx val="0"/>
          <c:delete val="1"/>
        </c:dLbl>
      </c:pivotFmt>
      <c:pivotFmt>
        <c:idx val="22"/>
        <c:marker>
          <c:symbol val="none"/>
        </c:marker>
        <c:dLbl>
          <c:idx val="0"/>
          <c:delete val="1"/>
        </c:dLbl>
      </c:pivotFmt>
      <c:pivotFmt>
        <c:idx val="23"/>
        <c:marker>
          <c:symbol val="none"/>
        </c:marker>
        <c:dLbl>
          <c:idx val="0"/>
          <c:delete val="1"/>
        </c:dLbl>
      </c:pivotFmt>
      <c:pivotFmt>
        <c:idx val="24"/>
        <c:marker>
          <c:symbol val="none"/>
        </c:marker>
        <c:dLbl>
          <c:idx val="0"/>
          <c:delete val="1"/>
        </c:dLbl>
      </c:pivotFmt>
      <c:pivotFmt>
        <c:idx val="25"/>
        <c:marker>
          <c:symbol val="none"/>
        </c:marker>
        <c:dLbl>
          <c:idx val="0"/>
          <c:delete val="1"/>
        </c:dLbl>
      </c:pivotFmt>
      <c:pivotFmt>
        <c:idx val="26"/>
        <c:marker>
          <c:symbol val="none"/>
        </c:marker>
        <c:dLbl>
          <c:idx val="0"/>
          <c:delete val="1"/>
        </c:dLbl>
      </c:pivotFmt>
      <c:pivotFmt>
        <c:idx val="27"/>
        <c:marker>
          <c:symbol val="none"/>
        </c:marker>
        <c:dLbl>
          <c:idx val="0"/>
          <c:delete val="1"/>
        </c:dLbl>
      </c:pivotFmt>
      <c:pivotFmt>
        <c:idx val="28"/>
        <c:marker>
          <c:symbol val="none"/>
        </c:marker>
        <c:dLbl>
          <c:idx val="0"/>
          <c:delete val="1"/>
        </c:dLbl>
      </c:pivotFmt>
      <c:pivotFmt>
        <c:idx val="29"/>
        <c:marker>
          <c:symbol val="none"/>
        </c:marker>
        <c:dLbl>
          <c:idx val="0"/>
          <c:delete val="1"/>
        </c:dLbl>
      </c:pivotFmt>
      <c:pivotFmt>
        <c:idx val="30"/>
        <c:marker>
          <c:symbol val="none"/>
        </c:marker>
        <c:dLbl>
          <c:idx val="0"/>
          <c:delete val="1"/>
        </c:dLbl>
      </c:pivotFmt>
      <c:pivotFmt>
        <c:idx val="31"/>
        <c:marker>
          <c:symbol val="none"/>
        </c:marker>
        <c:dLbl>
          <c:idx val="0"/>
          <c:delete val="1"/>
        </c:dLbl>
      </c:pivotFmt>
      <c:pivotFmt>
        <c:idx val="32"/>
        <c:marker>
          <c:symbol val="none"/>
        </c:marker>
        <c:dLbl>
          <c:idx val="0"/>
          <c:delete val="1"/>
        </c:dLbl>
      </c:pivotFmt>
      <c:pivotFmt>
        <c:idx val="33"/>
        <c:marker>
          <c:symbol val="none"/>
        </c:marker>
        <c:dLbl>
          <c:idx val="0"/>
          <c:delete val="1"/>
        </c:dLbl>
      </c:pivotFmt>
      <c:pivotFmt>
        <c:idx val="34"/>
        <c:marker>
          <c:symbol val="none"/>
        </c:marker>
        <c:dLbl>
          <c:idx val="0"/>
          <c:delete val="1"/>
        </c:dLbl>
      </c:pivotFmt>
      <c:pivotFmt>
        <c:idx val="35"/>
        <c:marker>
          <c:symbol val="none"/>
        </c:marker>
        <c:dLbl>
          <c:idx val="0"/>
          <c:delete val="1"/>
        </c:dLbl>
      </c:pivotFmt>
      <c:pivotFmt>
        <c:idx val="36"/>
        <c:marker>
          <c:symbol val="none"/>
        </c:marker>
        <c:dLbl>
          <c:idx val="0"/>
          <c:delete val="1"/>
        </c:dLbl>
      </c:pivotFmt>
      <c:pivotFmt>
        <c:idx val="37"/>
        <c:marker>
          <c:symbol val="none"/>
        </c:marker>
        <c:dLbl>
          <c:idx val="0"/>
          <c:delete val="1"/>
        </c:dLbl>
      </c:pivotFmt>
      <c:pivotFmt>
        <c:idx val="38"/>
        <c:marker>
          <c:symbol val="none"/>
        </c:marker>
        <c:dLbl>
          <c:idx val="0"/>
          <c:delete val="1"/>
        </c:dLbl>
      </c:pivotFmt>
      <c:pivotFmt>
        <c:idx val="39"/>
        <c:marker>
          <c:symbol val="none"/>
        </c:marker>
        <c:dLbl>
          <c:idx val="0"/>
          <c:delete val="1"/>
        </c:dLbl>
      </c:pivotFmt>
      <c:pivotFmt>
        <c:idx val="40"/>
        <c:marker>
          <c:symbol val="none"/>
        </c:marker>
        <c:dLbl>
          <c:idx val="0"/>
          <c:delete val="1"/>
        </c:dLbl>
      </c:pivotFmt>
      <c:pivotFmt>
        <c:idx val="41"/>
        <c:marker>
          <c:symbol val="none"/>
        </c:marker>
        <c:dLbl>
          <c:idx val="0"/>
          <c:delete val="1"/>
        </c:dLbl>
      </c:pivotFmt>
      <c:pivotFmt>
        <c:idx val="42"/>
        <c:marker>
          <c:symbol val="none"/>
        </c:marker>
        <c:dLbl>
          <c:idx val="0"/>
          <c:delete val="1"/>
        </c:dLbl>
      </c:pivotFmt>
      <c:pivotFmt>
        <c:idx val="43"/>
        <c:marker>
          <c:symbol val="none"/>
        </c:marker>
        <c:dLbl>
          <c:idx val="0"/>
          <c:delete val="1"/>
        </c:dLbl>
      </c:pivotFmt>
      <c:pivotFmt>
        <c:idx val="44"/>
        <c:marker>
          <c:symbol val="none"/>
        </c:marker>
        <c:dLbl>
          <c:idx val="0"/>
          <c:delete val="1"/>
        </c:dLbl>
      </c:pivotFmt>
      <c:pivotFmt>
        <c:idx val="45"/>
        <c:marker>
          <c:symbol val="none"/>
        </c:marker>
      </c:pivotFmt>
      <c:pivotFmt>
        <c:idx val="46"/>
        <c:marker>
          <c:symbol val="none"/>
        </c:marker>
      </c:pivotFmt>
      <c:pivotFmt>
        <c:idx val="47"/>
        <c:marker>
          <c:symbol val="none"/>
        </c:marker>
      </c:pivotFmt>
      <c:pivotFmt>
        <c:idx val="48"/>
        <c:marker>
          <c:symbol val="none"/>
        </c:marker>
      </c:pivotFmt>
      <c:pivotFmt>
        <c:idx val="49"/>
        <c:marker>
          <c:symbol val="none"/>
        </c:marker>
      </c:pivotFmt>
      <c:pivotFmt>
        <c:idx val="50"/>
        <c:marker>
          <c:symbol val="none"/>
        </c:marker>
      </c:pivotFmt>
      <c:pivotFmt>
        <c:idx val="51"/>
        <c:marker>
          <c:symbol val="none"/>
        </c:marker>
      </c:pivotFmt>
      <c:pivotFmt>
        <c:idx val="52"/>
        <c:marker>
          <c:symbol val="none"/>
        </c:marker>
      </c:pivotFmt>
      <c:pivotFmt>
        <c:idx val="53"/>
        <c:marker>
          <c:symbol val="none"/>
        </c:marker>
      </c:pivotFmt>
      <c:pivotFmt>
        <c:idx val="54"/>
        <c:marker>
          <c:symbol val="none"/>
        </c:marker>
      </c:pivotFmt>
      <c:pivotFmt>
        <c:idx val="55"/>
        <c:marker>
          <c:symbol val="none"/>
        </c:marker>
      </c:pivotFmt>
      <c:pivotFmt>
        <c:idx val="56"/>
        <c:marker>
          <c:symbol val="none"/>
        </c:marker>
      </c:pivotFmt>
      <c:pivotFmt>
        <c:idx val="57"/>
        <c:marker>
          <c:symbol val="none"/>
        </c:marker>
      </c:pivotFmt>
      <c:pivotFmt>
        <c:idx val="58"/>
        <c:marker>
          <c:symbol val="none"/>
        </c:marker>
      </c:pivotFmt>
      <c:pivotFmt>
        <c:idx val="59"/>
        <c:marker>
          <c:symbol val="none"/>
        </c:marker>
      </c:pivotFmt>
      <c:pivotFmt>
        <c:idx val="60"/>
        <c:marker>
          <c:symbol val="none"/>
        </c:marker>
      </c:pivotFmt>
      <c:pivotFmt>
        <c:idx val="61"/>
        <c:marker>
          <c:symbol val="none"/>
        </c:marker>
      </c:pivotFmt>
      <c:pivotFmt>
        <c:idx val="62"/>
        <c:marker>
          <c:symbol val="none"/>
        </c:marker>
      </c:pivotFmt>
      <c:pivotFmt>
        <c:idx val="63"/>
        <c:marker>
          <c:symbol val="none"/>
        </c:marker>
      </c:pivotFmt>
      <c:pivotFmt>
        <c:idx val="64"/>
        <c:marker>
          <c:symbol val="none"/>
        </c:marker>
      </c:pivotFmt>
      <c:pivotFmt>
        <c:idx val="65"/>
        <c:marker>
          <c:symbol val="none"/>
        </c:marker>
      </c:pivotFmt>
      <c:pivotFmt>
        <c:idx val="66"/>
        <c:marker>
          <c:symbol val="none"/>
        </c:marker>
      </c:pivotFmt>
      <c:pivotFmt>
        <c:idx val="67"/>
        <c:marker>
          <c:symbol val="none"/>
        </c:marker>
      </c:pivotFmt>
      <c:pivotFmt>
        <c:idx val="68"/>
        <c:marker>
          <c:symbol val="none"/>
        </c:marker>
      </c:pivotFmt>
      <c:pivotFmt>
        <c:idx val="69"/>
        <c:marker>
          <c:symbol val="none"/>
        </c:marker>
      </c:pivotFmt>
      <c:pivotFmt>
        <c:idx val="70"/>
        <c:marker>
          <c:symbol val="none"/>
        </c:marker>
      </c:pivotFmt>
      <c:pivotFmt>
        <c:idx val="71"/>
        <c:marker>
          <c:symbol val="none"/>
        </c:marker>
      </c:pivotFmt>
      <c:pivotFmt>
        <c:idx val="72"/>
        <c:marker>
          <c:symbol val="none"/>
        </c:marker>
      </c:pivotFmt>
    </c:pivotFmts>
    <c:plotArea>
      <c:layout/>
      <c:barChart>
        <c:barDir val="col"/>
        <c:grouping val="clustered"/>
        <c:varyColors val="0"/>
        <c:ser>
          <c:idx val="0"/>
          <c:order val="0"/>
          <c:tx>
            <c:strRef>
              <c:f>'CSP STO'!$B$5:$B$6</c:f>
              <c:strCache>
                <c:ptCount val="1"/>
                <c:pt idx="0">
                  <c:v>FDC</c:v>
                </c:pt>
              </c:strCache>
            </c:strRef>
          </c:tx>
          <c:invertIfNegative val="0"/>
          <c:cat>
            <c:strRef>
              <c:f>'CSP STO'!$A$7:$A$15</c:f>
              <c:strCache>
                <c:ptCount val="8"/>
                <c:pt idx="0">
                  <c:v>VIC</c:v>
                </c:pt>
                <c:pt idx="1">
                  <c:v>NSW</c:v>
                </c:pt>
                <c:pt idx="2">
                  <c:v>QLD</c:v>
                </c:pt>
                <c:pt idx="3">
                  <c:v>WA</c:v>
                </c:pt>
                <c:pt idx="4">
                  <c:v>SA</c:v>
                </c:pt>
                <c:pt idx="5">
                  <c:v>TAS</c:v>
                </c:pt>
                <c:pt idx="6">
                  <c:v>NT</c:v>
                </c:pt>
                <c:pt idx="7">
                  <c:v>ACT</c:v>
                </c:pt>
              </c:strCache>
            </c:strRef>
          </c:cat>
          <c:val>
            <c:numRef>
              <c:f>'CSP STO'!$B$7:$B$15</c:f>
              <c:numCache>
                <c:formatCode>"$"#,##0.00</c:formatCode>
                <c:ptCount val="8"/>
                <c:pt idx="0">
                  <c:v>36090762.890000008</c:v>
                </c:pt>
                <c:pt idx="1">
                  <c:v>26108817.559999991</c:v>
                </c:pt>
                <c:pt idx="2">
                  <c:v>18020878.070000004</c:v>
                </c:pt>
                <c:pt idx="3">
                  <c:v>6141523.5200000005</c:v>
                </c:pt>
                <c:pt idx="4">
                  <c:v>5516452.3600000013</c:v>
                </c:pt>
                <c:pt idx="5">
                  <c:v>2264631.6500000004</c:v>
                </c:pt>
                <c:pt idx="6">
                  <c:v>1638411.2599999998</c:v>
                </c:pt>
                <c:pt idx="7">
                  <c:v>843208.55999999994</c:v>
                </c:pt>
              </c:numCache>
            </c:numRef>
          </c:val>
        </c:ser>
        <c:ser>
          <c:idx val="1"/>
          <c:order val="1"/>
          <c:tx>
            <c:strRef>
              <c:f>'CSP STO'!$C$5:$C$6</c:f>
              <c:strCache>
                <c:ptCount val="1"/>
                <c:pt idx="0">
                  <c:v>LDC</c:v>
                </c:pt>
              </c:strCache>
            </c:strRef>
          </c:tx>
          <c:invertIfNegative val="0"/>
          <c:cat>
            <c:strRef>
              <c:f>'CSP STO'!$A$7:$A$15</c:f>
              <c:strCache>
                <c:ptCount val="8"/>
                <c:pt idx="0">
                  <c:v>VIC</c:v>
                </c:pt>
                <c:pt idx="1">
                  <c:v>NSW</c:v>
                </c:pt>
                <c:pt idx="2">
                  <c:v>QLD</c:v>
                </c:pt>
                <c:pt idx="3">
                  <c:v>WA</c:v>
                </c:pt>
                <c:pt idx="4">
                  <c:v>SA</c:v>
                </c:pt>
                <c:pt idx="5">
                  <c:v>TAS</c:v>
                </c:pt>
                <c:pt idx="6">
                  <c:v>NT</c:v>
                </c:pt>
                <c:pt idx="7">
                  <c:v>ACT</c:v>
                </c:pt>
              </c:strCache>
            </c:strRef>
          </c:cat>
          <c:val>
            <c:numRef>
              <c:f>'CSP STO'!$C$7:$C$15</c:f>
              <c:numCache>
                <c:formatCode>"$"#,##0.00</c:formatCode>
                <c:ptCount val="8"/>
                <c:pt idx="0">
                  <c:v>870251</c:v>
                </c:pt>
                <c:pt idx="1">
                  <c:v>2343780.25</c:v>
                </c:pt>
                <c:pt idx="2">
                  <c:v>2049709.25</c:v>
                </c:pt>
                <c:pt idx="3">
                  <c:v>2340085.7999999998</c:v>
                </c:pt>
                <c:pt idx="4">
                  <c:v>900135.75</c:v>
                </c:pt>
                <c:pt idx="5">
                  <c:v>1365242</c:v>
                </c:pt>
                <c:pt idx="6">
                  <c:v>256257</c:v>
                </c:pt>
              </c:numCache>
            </c:numRef>
          </c:val>
        </c:ser>
        <c:ser>
          <c:idx val="2"/>
          <c:order val="2"/>
          <c:tx>
            <c:strRef>
              <c:f>'CSP STO'!$D$5:$D$6</c:f>
              <c:strCache>
                <c:ptCount val="1"/>
                <c:pt idx="0">
                  <c:v>ASC</c:v>
                </c:pt>
              </c:strCache>
            </c:strRef>
          </c:tx>
          <c:invertIfNegative val="0"/>
          <c:cat>
            <c:strRef>
              <c:f>'CSP STO'!$A$7:$A$15</c:f>
              <c:strCache>
                <c:ptCount val="8"/>
                <c:pt idx="0">
                  <c:v>VIC</c:v>
                </c:pt>
                <c:pt idx="1">
                  <c:v>NSW</c:v>
                </c:pt>
                <c:pt idx="2">
                  <c:v>QLD</c:v>
                </c:pt>
                <c:pt idx="3">
                  <c:v>WA</c:v>
                </c:pt>
                <c:pt idx="4">
                  <c:v>SA</c:v>
                </c:pt>
                <c:pt idx="5">
                  <c:v>TAS</c:v>
                </c:pt>
                <c:pt idx="6">
                  <c:v>NT</c:v>
                </c:pt>
                <c:pt idx="7">
                  <c:v>ACT</c:v>
                </c:pt>
              </c:strCache>
            </c:strRef>
          </c:cat>
          <c:val>
            <c:numRef>
              <c:f>'CSP STO'!$D$7:$D$15</c:f>
              <c:numCache>
                <c:formatCode>"$"#,##0.00</c:formatCode>
                <c:ptCount val="8"/>
                <c:pt idx="0">
                  <c:v>1617600.42</c:v>
                </c:pt>
                <c:pt idx="1">
                  <c:v>1253237.97</c:v>
                </c:pt>
                <c:pt idx="2">
                  <c:v>1020889.61</c:v>
                </c:pt>
                <c:pt idx="3">
                  <c:v>462382.94</c:v>
                </c:pt>
                <c:pt idx="4">
                  <c:v>708763</c:v>
                </c:pt>
                <c:pt idx="5">
                  <c:v>553458.5</c:v>
                </c:pt>
                <c:pt idx="6">
                  <c:v>87694.5</c:v>
                </c:pt>
              </c:numCache>
            </c:numRef>
          </c:val>
        </c:ser>
        <c:ser>
          <c:idx val="3"/>
          <c:order val="3"/>
          <c:tx>
            <c:strRef>
              <c:f>'CSP STO'!$E$5:$E$6</c:f>
              <c:strCache>
                <c:ptCount val="1"/>
                <c:pt idx="0">
                  <c:v>IHC</c:v>
                </c:pt>
              </c:strCache>
            </c:strRef>
          </c:tx>
          <c:invertIfNegative val="0"/>
          <c:cat>
            <c:strRef>
              <c:f>'CSP STO'!$A$7:$A$15</c:f>
              <c:strCache>
                <c:ptCount val="8"/>
                <c:pt idx="0">
                  <c:v>VIC</c:v>
                </c:pt>
                <c:pt idx="1">
                  <c:v>NSW</c:v>
                </c:pt>
                <c:pt idx="2">
                  <c:v>QLD</c:v>
                </c:pt>
                <c:pt idx="3">
                  <c:v>WA</c:v>
                </c:pt>
                <c:pt idx="4">
                  <c:v>SA</c:v>
                </c:pt>
                <c:pt idx="5">
                  <c:v>TAS</c:v>
                </c:pt>
                <c:pt idx="6">
                  <c:v>NT</c:v>
                </c:pt>
                <c:pt idx="7">
                  <c:v>ACT</c:v>
                </c:pt>
              </c:strCache>
            </c:strRef>
          </c:cat>
          <c:val>
            <c:numRef>
              <c:f>'CSP STO'!$E$7:$E$15</c:f>
              <c:numCache>
                <c:formatCode>"$"#,##0.00</c:formatCode>
                <c:ptCount val="8"/>
                <c:pt idx="0">
                  <c:v>684110.5199999999</c:v>
                </c:pt>
                <c:pt idx="1">
                  <c:v>1658652.7000000002</c:v>
                </c:pt>
                <c:pt idx="2">
                  <c:v>2317118.3100000005</c:v>
                </c:pt>
                <c:pt idx="3">
                  <c:v>395765.17999999993</c:v>
                </c:pt>
                <c:pt idx="4">
                  <c:v>174993.68</c:v>
                </c:pt>
                <c:pt idx="5">
                  <c:v>179770.97999999998</c:v>
                </c:pt>
                <c:pt idx="6">
                  <c:v>19672.099999999999</c:v>
                </c:pt>
                <c:pt idx="7">
                  <c:v>20264.490000000002</c:v>
                </c:pt>
              </c:numCache>
            </c:numRef>
          </c:val>
        </c:ser>
        <c:ser>
          <c:idx val="4"/>
          <c:order val="4"/>
          <c:tx>
            <c:strRef>
              <c:f>'CSP STO'!$F$5:$F$6</c:f>
              <c:strCache>
                <c:ptCount val="1"/>
                <c:pt idx="0">
                  <c:v>OCC</c:v>
                </c:pt>
              </c:strCache>
            </c:strRef>
          </c:tx>
          <c:invertIfNegative val="0"/>
          <c:cat>
            <c:strRef>
              <c:f>'CSP STO'!$A$7:$A$15</c:f>
              <c:strCache>
                <c:ptCount val="8"/>
                <c:pt idx="0">
                  <c:v>VIC</c:v>
                </c:pt>
                <c:pt idx="1">
                  <c:v>NSW</c:v>
                </c:pt>
                <c:pt idx="2">
                  <c:v>QLD</c:v>
                </c:pt>
                <c:pt idx="3">
                  <c:v>WA</c:v>
                </c:pt>
                <c:pt idx="4">
                  <c:v>SA</c:v>
                </c:pt>
                <c:pt idx="5">
                  <c:v>TAS</c:v>
                </c:pt>
                <c:pt idx="6">
                  <c:v>NT</c:v>
                </c:pt>
                <c:pt idx="7">
                  <c:v>ACT</c:v>
                </c:pt>
              </c:strCache>
            </c:strRef>
          </c:cat>
          <c:val>
            <c:numRef>
              <c:f>'CSP STO'!$F$7:$F$15</c:f>
              <c:numCache>
                <c:formatCode>"$"#,##0.00</c:formatCode>
                <c:ptCount val="8"/>
                <c:pt idx="0">
                  <c:v>1303167.78</c:v>
                </c:pt>
                <c:pt idx="1">
                  <c:v>1375305.77</c:v>
                </c:pt>
                <c:pt idx="2">
                  <c:v>405298.35000000003</c:v>
                </c:pt>
                <c:pt idx="3">
                  <c:v>657212.8600000001</c:v>
                </c:pt>
                <c:pt idx="4">
                  <c:v>202557</c:v>
                </c:pt>
                <c:pt idx="5">
                  <c:v>179497.25</c:v>
                </c:pt>
                <c:pt idx="7">
                  <c:v>103438</c:v>
                </c:pt>
              </c:numCache>
            </c:numRef>
          </c:val>
        </c:ser>
        <c:ser>
          <c:idx val="5"/>
          <c:order val="5"/>
          <c:tx>
            <c:strRef>
              <c:f>'CSP STO'!$G$5:$G$6</c:f>
              <c:strCache>
                <c:ptCount val="1"/>
                <c:pt idx="0">
                  <c:v>VAC</c:v>
                </c:pt>
              </c:strCache>
            </c:strRef>
          </c:tx>
          <c:invertIfNegative val="0"/>
          <c:cat>
            <c:strRef>
              <c:f>'CSP STO'!$A$7:$A$15</c:f>
              <c:strCache>
                <c:ptCount val="8"/>
                <c:pt idx="0">
                  <c:v>VIC</c:v>
                </c:pt>
                <c:pt idx="1">
                  <c:v>NSW</c:v>
                </c:pt>
                <c:pt idx="2">
                  <c:v>QLD</c:v>
                </c:pt>
                <c:pt idx="3">
                  <c:v>WA</c:v>
                </c:pt>
                <c:pt idx="4">
                  <c:v>SA</c:v>
                </c:pt>
                <c:pt idx="5">
                  <c:v>TAS</c:v>
                </c:pt>
                <c:pt idx="6">
                  <c:v>NT</c:v>
                </c:pt>
                <c:pt idx="7">
                  <c:v>ACT</c:v>
                </c:pt>
              </c:strCache>
            </c:strRef>
          </c:cat>
          <c:val>
            <c:numRef>
              <c:f>'CSP STO'!$G$7:$G$15</c:f>
              <c:numCache>
                <c:formatCode>"$"#,##0.00</c:formatCode>
                <c:ptCount val="8"/>
                <c:pt idx="0">
                  <c:v>640871.98</c:v>
                </c:pt>
                <c:pt idx="1">
                  <c:v>1061213.8500000001</c:v>
                </c:pt>
                <c:pt idx="2">
                  <c:v>729039.03</c:v>
                </c:pt>
                <c:pt idx="3">
                  <c:v>317373.25</c:v>
                </c:pt>
                <c:pt idx="4">
                  <c:v>539398.5</c:v>
                </c:pt>
                <c:pt idx="5">
                  <c:v>306082</c:v>
                </c:pt>
                <c:pt idx="6">
                  <c:v>83903.5</c:v>
                </c:pt>
                <c:pt idx="7">
                  <c:v>14676</c:v>
                </c:pt>
              </c:numCache>
            </c:numRef>
          </c:val>
        </c:ser>
        <c:ser>
          <c:idx val="6"/>
          <c:order val="6"/>
          <c:tx>
            <c:strRef>
              <c:f>'CSP STO'!$H$5:$H$6</c:f>
              <c:strCache>
                <c:ptCount val="1"/>
                <c:pt idx="0">
                  <c:v>BSC</c:v>
                </c:pt>
              </c:strCache>
            </c:strRef>
          </c:tx>
          <c:invertIfNegative val="0"/>
          <c:cat>
            <c:strRef>
              <c:f>'CSP STO'!$A$7:$A$15</c:f>
              <c:strCache>
                <c:ptCount val="8"/>
                <c:pt idx="0">
                  <c:v>VIC</c:v>
                </c:pt>
                <c:pt idx="1">
                  <c:v>NSW</c:v>
                </c:pt>
                <c:pt idx="2">
                  <c:v>QLD</c:v>
                </c:pt>
                <c:pt idx="3">
                  <c:v>WA</c:v>
                </c:pt>
                <c:pt idx="4">
                  <c:v>SA</c:v>
                </c:pt>
                <c:pt idx="5">
                  <c:v>TAS</c:v>
                </c:pt>
                <c:pt idx="6">
                  <c:v>NT</c:v>
                </c:pt>
                <c:pt idx="7">
                  <c:v>ACT</c:v>
                </c:pt>
              </c:strCache>
            </c:strRef>
          </c:cat>
          <c:val>
            <c:numRef>
              <c:f>'CSP STO'!$H$7:$H$15</c:f>
              <c:numCache>
                <c:formatCode>"$"#,##0.00</c:formatCode>
                <c:ptCount val="8"/>
                <c:pt idx="0">
                  <c:v>588740.24</c:v>
                </c:pt>
                <c:pt idx="1">
                  <c:v>460736.18999999994</c:v>
                </c:pt>
                <c:pt idx="2">
                  <c:v>561955.09</c:v>
                </c:pt>
                <c:pt idx="3">
                  <c:v>222530.05</c:v>
                </c:pt>
                <c:pt idx="4">
                  <c:v>307183.75</c:v>
                </c:pt>
                <c:pt idx="5">
                  <c:v>133899.5</c:v>
                </c:pt>
              </c:numCache>
            </c:numRef>
          </c:val>
        </c:ser>
        <c:dLbls>
          <c:showLegendKey val="0"/>
          <c:showVal val="0"/>
          <c:showCatName val="0"/>
          <c:showSerName val="0"/>
          <c:showPercent val="0"/>
          <c:showBubbleSize val="0"/>
        </c:dLbls>
        <c:gapWidth val="150"/>
        <c:axId val="36925824"/>
        <c:axId val="36927360"/>
      </c:barChart>
      <c:catAx>
        <c:axId val="36925824"/>
        <c:scaling>
          <c:orientation val="minMax"/>
        </c:scaling>
        <c:delete val="0"/>
        <c:axPos val="b"/>
        <c:majorTickMark val="none"/>
        <c:minorTickMark val="none"/>
        <c:tickLblPos val="nextTo"/>
        <c:crossAx val="36927360"/>
        <c:crosses val="autoZero"/>
        <c:auto val="1"/>
        <c:lblAlgn val="ctr"/>
        <c:lblOffset val="100"/>
        <c:noMultiLvlLbl val="0"/>
      </c:catAx>
      <c:valAx>
        <c:axId val="36927360"/>
        <c:scaling>
          <c:orientation val="minMax"/>
        </c:scaling>
        <c:delete val="0"/>
        <c:axPos val="l"/>
        <c:majorGridlines/>
        <c:numFmt formatCode="&quot;$&quot;#,##0" sourceLinked="0"/>
        <c:majorTickMark val="out"/>
        <c:minorTickMark val="none"/>
        <c:tickLblPos val="nextTo"/>
        <c:crossAx val="36925824"/>
        <c:crosses val="autoZero"/>
        <c:crossBetween val="between"/>
      </c:valAx>
    </c:plotArea>
    <c:legend>
      <c:legendPos val="b"/>
      <c:overlay val="0"/>
    </c:legend>
    <c:plotVisOnly val="1"/>
    <c:dispBlanksAs val="gap"/>
    <c:showDLblsOverMax val="0"/>
  </c:chart>
  <c:spPr>
    <a:ln>
      <a:noFill/>
    </a:ln>
  </c:spPr>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AU"/>
  <c:roundedCorners val="1"/>
  <mc:AlternateContent xmlns:mc="http://schemas.openxmlformats.org/markup-compatibility/2006">
    <mc:Choice xmlns:c14="http://schemas.microsoft.com/office/drawing/2007/8/2/chart" Requires="c14">
      <c14:style val="102"/>
    </mc:Choice>
    <mc:Fallback>
      <c:style val="2"/>
    </mc:Fallback>
  </mc:AlternateContent>
  <c:pivotSource>
    <c:name>[Book1]CSP ARIA!PivotTable2</c:name>
    <c:fmtId val="-1"/>
  </c:pivotSource>
  <c:chart>
    <c:autoTitleDeleted val="1"/>
    <c:pivotFmts>
      <c:pivotFmt>
        <c:idx val="0"/>
        <c:marker>
          <c:symbol val="none"/>
        </c:marker>
      </c:pivotFmt>
      <c:pivotFmt>
        <c:idx val="1"/>
        <c:marker>
          <c:symbol val="none"/>
        </c:marker>
        <c:dLbl>
          <c:idx val="0"/>
          <c:delete val="1"/>
        </c:dLbl>
      </c:pivotFmt>
      <c:pivotFmt>
        <c:idx val="2"/>
        <c:marker>
          <c:symbol val="none"/>
        </c:marker>
        <c:dLbl>
          <c:idx val="0"/>
          <c:delete val="1"/>
        </c:dLbl>
      </c:pivotFmt>
      <c:pivotFmt>
        <c:idx val="3"/>
        <c:marker>
          <c:symbol val="none"/>
        </c:marker>
        <c:dLbl>
          <c:idx val="0"/>
          <c:delete val="1"/>
        </c:dLbl>
      </c:pivotFmt>
      <c:pivotFmt>
        <c:idx val="4"/>
        <c:marker>
          <c:symbol val="none"/>
        </c:marker>
        <c:dLbl>
          <c:idx val="0"/>
          <c:delete val="1"/>
        </c:dLbl>
      </c:pivotFmt>
      <c:pivotFmt>
        <c:idx val="5"/>
        <c:marker>
          <c:symbol val="none"/>
        </c:marker>
      </c:pivotFmt>
      <c:pivotFmt>
        <c:idx val="6"/>
        <c:marker>
          <c:symbol val="none"/>
        </c:marker>
      </c:pivotFmt>
      <c:pivotFmt>
        <c:idx val="7"/>
        <c:marker>
          <c:symbol val="none"/>
        </c:marker>
      </c:pivotFmt>
      <c:pivotFmt>
        <c:idx val="8"/>
        <c:marker>
          <c:symbol val="none"/>
        </c:marker>
      </c:pivotFmt>
      <c:pivotFmt>
        <c:idx val="9"/>
        <c:marker>
          <c:symbol val="none"/>
        </c:marker>
      </c:pivotFmt>
      <c:pivotFmt>
        <c:idx val="10"/>
        <c:marker>
          <c:symbol val="none"/>
        </c:marker>
      </c:pivotFmt>
      <c:pivotFmt>
        <c:idx val="11"/>
        <c:marker>
          <c:symbol val="none"/>
        </c:marker>
      </c:pivotFmt>
      <c:pivotFmt>
        <c:idx val="12"/>
        <c:marker>
          <c:symbol val="none"/>
        </c:marker>
      </c:pivotFmt>
      <c:pivotFmt>
        <c:idx val="13"/>
        <c:marker>
          <c:symbol val="none"/>
        </c:marker>
        <c:dLbl>
          <c:idx val="0"/>
          <c:delete val="1"/>
        </c:dLbl>
      </c:pivotFmt>
      <c:pivotFmt>
        <c:idx val="14"/>
        <c:marker>
          <c:symbol val="none"/>
        </c:marker>
        <c:dLbl>
          <c:idx val="0"/>
          <c:delete val="1"/>
        </c:dLbl>
      </c:pivotFmt>
      <c:pivotFmt>
        <c:idx val="15"/>
        <c:marker>
          <c:symbol val="none"/>
        </c:marker>
        <c:dLbl>
          <c:idx val="0"/>
          <c:delete val="1"/>
        </c:dLbl>
      </c:pivotFmt>
      <c:pivotFmt>
        <c:idx val="16"/>
        <c:marker>
          <c:symbol val="none"/>
        </c:marker>
        <c:dLbl>
          <c:idx val="0"/>
          <c:delete val="1"/>
        </c:dLbl>
      </c:pivotFmt>
      <c:pivotFmt>
        <c:idx val="17"/>
        <c:marker>
          <c:symbol val="none"/>
        </c:marker>
        <c:dLbl>
          <c:idx val="0"/>
          <c:delete val="1"/>
        </c:dLbl>
      </c:pivotFmt>
      <c:pivotFmt>
        <c:idx val="18"/>
        <c:marker>
          <c:symbol val="none"/>
        </c:marker>
        <c:dLbl>
          <c:idx val="0"/>
          <c:delete val="1"/>
        </c:dLbl>
      </c:pivotFmt>
      <c:pivotFmt>
        <c:idx val="19"/>
        <c:marker>
          <c:symbol val="none"/>
        </c:marker>
        <c:dLbl>
          <c:idx val="0"/>
          <c:delete val="1"/>
        </c:dLbl>
      </c:pivotFmt>
      <c:pivotFmt>
        <c:idx val="20"/>
        <c:marker>
          <c:symbol val="none"/>
        </c:marker>
        <c:dLbl>
          <c:idx val="0"/>
          <c:delete val="1"/>
        </c:dLbl>
      </c:pivotFmt>
      <c:pivotFmt>
        <c:idx val="21"/>
        <c:marker>
          <c:symbol val="none"/>
        </c:marker>
        <c:dLbl>
          <c:idx val="0"/>
          <c:delete val="1"/>
        </c:dLbl>
      </c:pivotFmt>
      <c:pivotFmt>
        <c:idx val="22"/>
        <c:marker>
          <c:symbol val="none"/>
        </c:marker>
        <c:dLbl>
          <c:idx val="0"/>
          <c:delete val="1"/>
        </c:dLbl>
      </c:pivotFmt>
      <c:pivotFmt>
        <c:idx val="23"/>
        <c:marker>
          <c:symbol val="none"/>
        </c:marker>
        <c:dLbl>
          <c:idx val="0"/>
          <c:delete val="1"/>
        </c:dLbl>
      </c:pivotFmt>
      <c:pivotFmt>
        <c:idx val="24"/>
        <c:marker>
          <c:symbol val="none"/>
        </c:marker>
        <c:dLbl>
          <c:idx val="0"/>
          <c:delete val="1"/>
        </c:dLbl>
      </c:pivotFmt>
      <c:pivotFmt>
        <c:idx val="25"/>
        <c:marker>
          <c:symbol val="none"/>
        </c:marker>
        <c:dLbl>
          <c:idx val="0"/>
          <c:delete val="1"/>
        </c:dLbl>
      </c:pivotFmt>
      <c:pivotFmt>
        <c:idx val="26"/>
        <c:marker>
          <c:symbol val="none"/>
        </c:marker>
        <c:dLbl>
          <c:idx val="0"/>
          <c:delete val="1"/>
        </c:dLbl>
      </c:pivotFmt>
      <c:pivotFmt>
        <c:idx val="27"/>
        <c:marker>
          <c:symbol val="none"/>
        </c:marker>
        <c:dLbl>
          <c:idx val="0"/>
          <c:delete val="1"/>
        </c:dLbl>
      </c:pivotFmt>
      <c:pivotFmt>
        <c:idx val="28"/>
        <c:marker>
          <c:symbol val="none"/>
        </c:marker>
        <c:dLbl>
          <c:idx val="0"/>
          <c:delete val="1"/>
        </c:dLbl>
      </c:pivotFmt>
      <c:pivotFmt>
        <c:idx val="29"/>
        <c:marker>
          <c:symbol val="none"/>
        </c:marker>
        <c:dLbl>
          <c:idx val="0"/>
          <c:delete val="1"/>
        </c:dLbl>
      </c:pivotFmt>
      <c:pivotFmt>
        <c:idx val="30"/>
        <c:marker>
          <c:symbol val="none"/>
        </c:marker>
        <c:dLbl>
          <c:idx val="0"/>
          <c:delete val="1"/>
        </c:dLbl>
      </c:pivotFmt>
      <c:pivotFmt>
        <c:idx val="31"/>
        <c:marker>
          <c:symbol val="none"/>
        </c:marker>
        <c:dLbl>
          <c:idx val="0"/>
          <c:delete val="1"/>
        </c:dLbl>
      </c:pivotFmt>
      <c:pivotFmt>
        <c:idx val="32"/>
        <c:marker>
          <c:symbol val="none"/>
        </c:marker>
        <c:dLbl>
          <c:idx val="0"/>
          <c:delete val="1"/>
        </c:dLbl>
      </c:pivotFmt>
      <c:pivotFmt>
        <c:idx val="33"/>
        <c:marker>
          <c:symbol val="none"/>
        </c:marker>
        <c:dLbl>
          <c:idx val="0"/>
          <c:delete val="1"/>
        </c:dLbl>
      </c:pivotFmt>
      <c:pivotFmt>
        <c:idx val="34"/>
        <c:marker>
          <c:symbol val="none"/>
        </c:marker>
        <c:dLbl>
          <c:idx val="0"/>
          <c:delete val="1"/>
        </c:dLbl>
      </c:pivotFmt>
      <c:pivotFmt>
        <c:idx val="35"/>
        <c:marker>
          <c:symbol val="none"/>
        </c:marker>
        <c:dLbl>
          <c:idx val="0"/>
          <c:delete val="1"/>
        </c:dLbl>
      </c:pivotFmt>
      <c:pivotFmt>
        <c:idx val="36"/>
        <c:marker>
          <c:symbol val="none"/>
        </c:marker>
        <c:dLbl>
          <c:idx val="0"/>
          <c:delete val="1"/>
        </c:dLbl>
      </c:pivotFmt>
      <c:pivotFmt>
        <c:idx val="37"/>
        <c:marker>
          <c:symbol val="none"/>
        </c:marker>
        <c:dLbl>
          <c:idx val="0"/>
          <c:delete val="1"/>
        </c:dLbl>
      </c:pivotFmt>
      <c:pivotFmt>
        <c:idx val="38"/>
        <c:marker>
          <c:symbol val="none"/>
        </c:marker>
        <c:dLbl>
          <c:idx val="0"/>
          <c:delete val="1"/>
        </c:dLbl>
      </c:pivotFmt>
      <c:pivotFmt>
        <c:idx val="39"/>
        <c:marker>
          <c:symbol val="none"/>
        </c:marker>
        <c:dLbl>
          <c:idx val="0"/>
          <c:delete val="1"/>
        </c:dLbl>
      </c:pivotFmt>
      <c:pivotFmt>
        <c:idx val="40"/>
        <c:marker>
          <c:symbol val="none"/>
        </c:marker>
        <c:dLbl>
          <c:idx val="0"/>
          <c:delete val="1"/>
        </c:dLbl>
      </c:pivotFmt>
      <c:pivotFmt>
        <c:idx val="41"/>
        <c:marker>
          <c:symbol val="none"/>
        </c:marker>
        <c:dLbl>
          <c:idx val="0"/>
          <c:delete val="1"/>
        </c:dLbl>
      </c:pivotFmt>
      <c:pivotFmt>
        <c:idx val="42"/>
        <c:marker>
          <c:symbol val="none"/>
        </c:marker>
        <c:dLbl>
          <c:idx val="0"/>
          <c:delete val="1"/>
        </c:dLbl>
      </c:pivotFmt>
      <c:pivotFmt>
        <c:idx val="43"/>
        <c:marker>
          <c:symbol val="none"/>
        </c:marker>
        <c:dLbl>
          <c:idx val="0"/>
          <c:delete val="1"/>
        </c:dLbl>
      </c:pivotFmt>
      <c:pivotFmt>
        <c:idx val="44"/>
        <c:marker>
          <c:symbol val="none"/>
        </c:marker>
        <c:dLbl>
          <c:idx val="0"/>
          <c:delete val="1"/>
        </c:dLbl>
      </c:pivotFmt>
      <c:pivotFmt>
        <c:idx val="45"/>
        <c:marker>
          <c:symbol val="none"/>
        </c:marker>
      </c:pivotFmt>
      <c:pivotFmt>
        <c:idx val="46"/>
        <c:marker>
          <c:symbol val="none"/>
        </c:marker>
      </c:pivotFmt>
      <c:pivotFmt>
        <c:idx val="47"/>
        <c:marker>
          <c:symbol val="none"/>
        </c:marker>
      </c:pivotFmt>
      <c:pivotFmt>
        <c:idx val="48"/>
        <c:marker>
          <c:symbol val="none"/>
        </c:marker>
      </c:pivotFmt>
      <c:pivotFmt>
        <c:idx val="49"/>
        <c:marker>
          <c:symbol val="none"/>
        </c:marker>
      </c:pivotFmt>
      <c:pivotFmt>
        <c:idx val="50"/>
        <c:marker>
          <c:symbol val="none"/>
        </c:marker>
      </c:pivotFmt>
      <c:pivotFmt>
        <c:idx val="51"/>
        <c:marker>
          <c:symbol val="none"/>
        </c:marker>
      </c:pivotFmt>
      <c:pivotFmt>
        <c:idx val="52"/>
        <c:marker>
          <c:symbol val="none"/>
        </c:marker>
      </c:pivotFmt>
      <c:pivotFmt>
        <c:idx val="53"/>
        <c:marker>
          <c:symbol val="none"/>
        </c:marker>
      </c:pivotFmt>
      <c:pivotFmt>
        <c:idx val="54"/>
        <c:marker>
          <c:symbol val="none"/>
        </c:marker>
      </c:pivotFmt>
      <c:pivotFmt>
        <c:idx val="55"/>
        <c:marker>
          <c:symbol val="none"/>
        </c:marker>
      </c:pivotFmt>
      <c:pivotFmt>
        <c:idx val="56"/>
        <c:marker>
          <c:symbol val="none"/>
        </c:marker>
      </c:pivotFmt>
      <c:pivotFmt>
        <c:idx val="57"/>
        <c:marker>
          <c:symbol val="none"/>
        </c:marker>
      </c:pivotFmt>
      <c:pivotFmt>
        <c:idx val="58"/>
        <c:marker>
          <c:symbol val="none"/>
        </c:marker>
      </c:pivotFmt>
    </c:pivotFmts>
    <c:plotArea>
      <c:layout/>
      <c:barChart>
        <c:barDir val="col"/>
        <c:grouping val="clustered"/>
        <c:varyColors val="0"/>
        <c:ser>
          <c:idx val="0"/>
          <c:order val="0"/>
          <c:tx>
            <c:strRef>
              <c:f>'CSP ARIA'!$B$5:$B$6</c:f>
              <c:strCache>
                <c:ptCount val="1"/>
                <c:pt idx="0">
                  <c:v>FDC</c:v>
                </c:pt>
              </c:strCache>
            </c:strRef>
          </c:tx>
          <c:invertIfNegative val="0"/>
          <c:cat>
            <c:strRef>
              <c:f>'CSP ARIA'!$A$7:$A$12</c:f>
              <c:strCache>
                <c:ptCount val="5"/>
                <c:pt idx="0">
                  <c:v>Major City</c:v>
                </c:pt>
                <c:pt idx="1">
                  <c:v>Inner Reg.</c:v>
                </c:pt>
                <c:pt idx="2">
                  <c:v>Outer Reg.</c:v>
                </c:pt>
                <c:pt idx="3">
                  <c:v>Remote</c:v>
                </c:pt>
                <c:pt idx="4">
                  <c:v>V Remote</c:v>
                </c:pt>
              </c:strCache>
            </c:strRef>
          </c:cat>
          <c:val>
            <c:numRef>
              <c:f>'CSP ARIA'!$B$7:$B$12</c:f>
              <c:numCache>
                <c:formatCode>"$"#,##0.00</c:formatCode>
                <c:ptCount val="5"/>
                <c:pt idx="0">
                  <c:v>72278475.079999998</c:v>
                </c:pt>
                <c:pt idx="1">
                  <c:v>15072382.890000001</c:v>
                </c:pt>
                <c:pt idx="2">
                  <c:v>8303598.0300000003</c:v>
                </c:pt>
                <c:pt idx="3">
                  <c:v>819756.56</c:v>
                </c:pt>
                <c:pt idx="4">
                  <c:v>150473.31</c:v>
                </c:pt>
              </c:numCache>
            </c:numRef>
          </c:val>
        </c:ser>
        <c:ser>
          <c:idx val="1"/>
          <c:order val="1"/>
          <c:tx>
            <c:strRef>
              <c:f>'CSP ARIA'!$C$5:$C$6</c:f>
              <c:strCache>
                <c:ptCount val="1"/>
                <c:pt idx="0">
                  <c:v>LDC</c:v>
                </c:pt>
              </c:strCache>
            </c:strRef>
          </c:tx>
          <c:invertIfNegative val="0"/>
          <c:cat>
            <c:strRef>
              <c:f>'CSP ARIA'!$A$7:$A$12</c:f>
              <c:strCache>
                <c:ptCount val="5"/>
                <c:pt idx="0">
                  <c:v>Major City</c:v>
                </c:pt>
                <c:pt idx="1">
                  <c:v>Inner Reg.</c:v>
                </c:pt>
                <c:pt idx="2">
                  <c:v>Outer Reg.</c:v>
                </c:pt>
                <c:pt idx="3">
                  <c:v>Remote</c:v>
                </c:pt>
                <c:pt idx="4">
                  <c:v>V Remote</c:v>
                </c:pt>
              </c:strCache>
            </c:strRef>
          </c:cat>
          <c:val>
            <c:numRef>
              <c:f>'CSP ARIA'!$C$7:$C$12</c:f>
              <c:numCache>
                <c:formatCode>"$"#,##0.00</c:formatCode>
                <c:ptCount val="5"/>
                <c:pt idx="0">
                  <c:v>74823</c:v>
                </c:pt>
                <c:pt idx="1">
                  <c:v>2022276.94</c:v>
                </c:pt>
                <c:pt idx="2">
                  <c:v>4716694.91</c:v>
                </c:pt>
                <c:pt idx="3">
                  <c:v>1686704.7999999998</c:v>
                </c:pt>
                <c:pt idx="4">
                  <c:v>1624961.4</c:v>
                </c:pt>
              </c:numCache>
            </c:numRef>
          </c:val>
        </c:ser>
        <c:ser>
          <c:idx val="2"/>
          <c:order val="2"/>
          <c:tx>
            <c:strRef>
              <c:f>'CSP ARIA'!$D$5:$D$6</c:f>
              <c:strCache>
                <c:ptCount val="1"/>
                <c:pt idx="0">
                  <c:v>ASC</c:v>
                </c:pt>
              </c:strCache>
            </c:strRef>
          </c:tx>
          <c:invertIfNegative val="0"/>
          <c:cat>
            <c:strRef>
              <c:f>'CSP ARIA'!$A$7:$A$12</c:f>
              <c:strCache>
                <c:ptCount val="5"/>
                <c:pt idx="0">
                  <c:v>Major City</c:v>
                </c:pt>
                <c:pt idx="1">
                  <c:v>Inner Reg.</c:v>
                </c:pt>
                <c:pt idx="2">
                  <c:v>Outer Reg.</c:v>
                </c:pt>
                <c:pt idx="3">
                  <c:v>Remote</c:v>
                </c:pt>
                <c:pt idx="4">
                  <c:v>V Remote</c:v>
                </c:pt>
              </c:strCache>
            </c:strRef>
          </c:cat>
          <c:val>
            <c:numRef>
              <c:f>'CSP ARIA'!$D$7:$D$12</c:f>
              <c:numCache>
                <c:formatCode>"$"#,##0.00</c:formatCode>
                <c:ptCount val="5"/>
                <c:pt idx="0">
                  <c:v>926746.44</c:v>
                </c:pt>
                <c:pt idx="1">
                  <c:v>3242108.4299999997</c:v>
                </c:pt>
                <c:pt idx="2">
                  <c:v>1201274.27</c:v>
                </c:pt>
                <c:pt idx="3">
                  <c:v>220678.27000000002</c:v>
                </c:pt>
                <c:pt idx="4">
                  <c:v>113219.53</c:v>
                </c:pt>
              </c:numCache>
            </c:numRef>
          </c:val>
        </c:ser>
        <c:ser>
          <c:idx val="3"/>
          <c:order val="3"/>
          <c:tx>
            <c:strRef>
              <c:f>'CSP ARIA'!$E$5:$E$6</c:f>
              <c:strCache>
                <c:ptCount val="1"/>
                <c:pt idx="0">
                  <c:v>IHC</c:v>
                </c:pt>
              </c:strCache>
            </c:strRef>
          </c:tx>
          <c:invertIfNegative val="0"/>
          <c:cat>
            <c:strRef>
              <c:f>'CSP ARIA'!$A$7:$A$12</c:f>
              <c:strCache>
                <c:ptCount val="5"/>
                <c:pt idx="0">
                  <c:v>Major City</c:v>
                </c:pt>
                <c:pt idx="1">
                  <c:v>Inner Reg.</c:v>
                </c:pt>
                <c:pt idx="2">
                  <c:v>Outer Reg.</c:v>
                </c:pt>
                <c:pt idx="3">
                  <c:v>Remote</c:v>
                </c:pt>
                <c:pt idx="4">
                  <c:v>V Remote</c:v>
                </c:pt>
              </c:strCache>
            </c:strRef>
          </c:cat>
          <c:val>
            <c:numRef>
              <c:f>'CSP ARIA'!$E$7:$E$12</c:f>
              <c:numCache>
                <c:formatCode>"$"#,##0.00</c:formatCode>
                <c:ptCount val="5"/>
                <c:pt idx="0">
                  <c:v>2780287.0100000002</c:v>
                </c:pt>
                <c:pt idx="1">
                  <c:v>1188654.58</c:v>
                </c:pt>
                <c:pt idx="2">
                  <c:v>178108.65</c:v>
                </c:pt>
                <c:pt idx="3">
                  <c:v>377298.06</c:v>
                </c:pt>
                <c:pt idx="4">
                  <c:v>925999.66</c:v>
                </c:pt>
              </c:numCache>
            </c:numRef>
          </c:val>
        </c:ser>
        <c:ser>
          <c:idx val="4"/>
          <c:order val="4"/>
          <c:tx>
            <c:strRef>
              <c:f>'CSP ARIA'!$F$5:$F$6</c:f>
              <c:strCache>
                <c:ptCount val="1"/>
                <c:pt idx="0">
                  <c:v>OCC</c:v>
                </c:pt>
              </c:strCache>
            </c:strRef>
          </c:tx>
          <c:invertIfNegative val="0"/>
          <c:cat>
            <c:strRef>
              <c:f>'CSP ARIA'!$A$7:$A$12</c:f>
              <c:strCache>
                <c:ptCount val="5"/>
                <c:pt idx="0">
                  <c:v>Major City</c:v>
                </c:pt>
                <c:pt idx="1">
                  <c:v>Inner Reg.</c:v>
                </c:pt>
                <c:pt idx="2">
                  <c:v>Outer Reg.</c:v>
                </c:pt>
                <c:pt idx="3">
                  <c:v>Remote</c:v>
                </c:pt>
                <c:pt idx="4">
                  <c:v>V Remote</c:v>
                </c:pt>
              </c:strCache>
            </c:strRef>
          </c:cat>
          <c:val>
            <c:numRef>
              <c:f>'CSP ARIA'!$F$7:$F$12</c:f>
              <c:numCache>
                <c:formatCode>"$"#,##0.00</c:formatCode>
                <c:ptCount val="5"/>
                <c:pt idx="0">
                  <c:v>2590847.58</c:v>
                </c:pt>
                <c:pt idx="1">
                  <c:v>1024521.47</c:v>
                </c:pt>
                <c:pt idx="2">
                  <c:v>522048.96</c:v>
                </c:pt>
                <c:pt idx="3">
                  <c:v>89059</c:v>
                </c:pt>
              </c:numCache>
            </c:numRef>
          </c:val>
        </c:ser>
        <c:ser>
          <c:idx val="5"/>
          <c:order val="5"/>
          <c:tx>
            <c:strRef>
              <c:f>'CSP ARIA'!$G$5:$G$6</c:f>
              <c:strCache>
                <c:ptCount val="1"/>
                <c:pt idx="0">
                  <c:v>VAC</c:v>
                </c:pt>
              </c:strCache>
            </c:strRef>
          </c:tx>
          <c:invertIfNegative val="0"/>
          <c:cat>
            <c:strRef>
              <c:f>'CSP ARIA'!$A$7:$A$12</c:f>
              <c:strCache>
                <c:ptCount val="5"/>
                <c:pt idx="0">
                  <c:v>Major City</c:v>
                </c:pt>
                <c:pt idx="1">
                  <c:v>Inner Reg.</c:v>
                </c:pt>
                <c:pt idx="2">
                  <c:v>Outer Reg.</c:v>
                </c:pt>
                <c:pt idx="3">
                  <c:v>Remote</c:v>
                </c:pt>
                <c:pt idx="4">
                  <c:v>V Remote</c:v>
                </c:pt>
              </c:strCache>
            </c:strRef>
          </c:cat>
          <c:val>
            <c:numRef>
              <c:f>'CSP ARIA'!$G$7:$G$12</c:f>
              <c:numCache>
                <c:formatCode>"$"#,##0.00</c:formatCode>
                <c:ptCount val="5"/>
                <c:pt idx="0">
                  <c:v>589087.57999999996</c:v>
                </c:pt>
                <c:pt idx="1">
                  <c:v>1896458.78</c:v>
                </c:pt>
                <c:pt idx="2">
                  <c:v>894155.75</c:v>
                </c:pt>
                <c:pt idx="3">
                  <c:v>203333</c:v>
                </c:pt>
                <c:pt idx="4">
                  <c:v>109523</c:v>
                </c:pt>
              </c:numCache>
            </c:numRef>
          </c:val>
        </c:ser>
        <c:ser>
          <c:idx val="6"/>
          <c:order val="6"/>
          <c:tx>
            <c:strRef>
              <c:f>'CSP ARIA'!$H$5:$H$6</c:f>
              <c:strCache>
                <c:ptCount val="1"/>
                <c:pt idx="0">
                  <c:v>BSC</c:v>
                </c:pt>
              </c:strCache>
            </c:strRef>
          </c:tx>
          <c:invertIfNegative val="0"/>
          <c:cat>
            <c:strRef>
              <c:f>'CSP ARIA'!$A$7:$A$12</c:f>
              <c:strCache>
                <c:ptCount val="5"/>
                <c:pt idx="0">
                  <c:v>Major City</c:v>
                </c:pt>
                <c:pt idx="1">
                  <c:v>Inner Reg.</c:v>
                </c:pt>
                <c:pt idx="2">
                  <c:v>Outer Reg.</c:v>
                </c:pt>
                <c:pt idx="3">
                  <c:v>Remote</c:v>
                </c:pt>
                <c:pt idx="4">
                  <c:v>V Remote</c:v>
                </c:pt>
              </c:strCache>
            </c:strRef>
          </c:cat>
          <c:val>
            <c:numRef>
              <c:f>'CSP ARIA'!$H$7:$H$12</c:f>
              <c:numCache>
                <c:formatCode>"$"#,##0.00</c:formatCode>
                <c:ptCount val="5"/>
                <c:pt idx="0">
                  <c:v>561434.55999999994</c:v>
                </c:pt>
                <c:pt idx="1">
                  <c:v>1325992.0900000001</c:v>
                </c:pt>
                <c:pt idx="2">
                  <c:v>351818.75</c:v>
                </c:pt>
                <c:pt idx="3">
                  <c:v>27356.21</c:v>
                </c:pt>
                <c:pt idx="4">
                  <c:v>8443.2099999999991</c:v>
                </c:pt>
              </c:numCache>
            </c:numRef>
          </c:val>
        </c:ser>
        <c:dLbls>
          <c:showLegendKey val="0"/>
          <c:showVal val="0"/>
          <c:showCatName val="0"/>
          <c:showSerName val="0"/>
          <c:showPercent val="0"/>
          <c:showBubbleSize val="0"/>
        </c:dLbls>
        <c:gapWidth val="150"/>
        <c:axId val="37026048"/>
        <c:axId val="36646912"/>
      </c:barChart>
      <c:catAx>
        <c:axId val="37026048"/>
        <c:scaling>
          <c:orientation val="minMax"/>
        </c:scaling>
        <c:delete val="0"/>
        <c:axPos val="b"/>
        <c:majorTickMark val="none"/>
        <c:minorTickMark val="none"/>
        <c:tickLblPos val="nextTo"/>
        <c:crossAx val="36646912"/>
        <c:crosses val="autoZero"/>
        <c:auto val="1"/>
        <c:lblAlgn val="ctr"/>
        <c:lblOffset val="100"/>
        <c:noMultiLvlLbl val="0"/>
      </c:catAx>
      <c:valAx>
        <c:axId val="36646912"/>
        <c:scaling>
          <c:orientation val="minMax"/>
        </c:scaling>
        <c:delete val="0"/>
        <c:axPos val="l"/>
        <c:majorGridlines/>
        <c:numFmt formatCode="&quot;$&quot;#,##0" sourceLinked="0"/>
        <c:majorTickMark val="out"/>
        <c:minorTickMark val="none"/>
        <c:tickLblPos val="nextTo"/>
        <c:crossAx val="37026048"/>
        <c:crosses val="autoZero"/>
        <c:crossBetween val="between"/>
      </c:valAx>
    </c:plotArea>
    <c:legend>
      <c:legendPos val="b"/>
      <c:overlay val="0"/>
    </c:legend>
    <c:plotVisOnly val="1"/>
    <c:dispBlanksAs val="gap"/>
    <c:showDLblsOverMax val="0"/>
  </c:chart>
  <c:spPr>
    <a:ln>
      <a:noFill/>
    </a:ln>
  </c:spPr>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AU"/>
  <c:roundedCorners val="1"/>
  <mc:AlternateContent xmlns:mc="http://schemas.openxmlformats.org/markup-compatibility/2006">
    <mc:Choice xmlns:c14="http://schemas.microsoft.com/office/drawing/2007/8/2/chart" Requires="c14">
      <c14:style val="102"/>
    </mc:Choice>
    <mc:Fallback>
      <c:style val="2"/>
    </mc:Fallback>
  </mc:AlternateContent>
  <c:pivotSource>
    <c:name>[Charts and numbers in my bit of submission.xlsx]BBF State!PivotTable2</c:name>
    <c:fmtId val="-1"/>
  </c:pivotSource>
  <c:chart>
    <c:autoTitleDeleted val="1"/>
    <c:pivotFmts>
      <c:pivotFmt>
        <c:idx val="0"/>
        <c:marker>
          <c:symbol val="none"/>
        </c:marker>
        <c:dLbl>
          <c:idx val="0"/>
          <c:spPr/>
          <c:txPr>
            <a:bodyPr/>
            <a:lstStyle/>
            <a:p>
              <a:pPr>
                <a:defRPr b="1">
                  <a:solidFill>
                    <a:schemeClr val="bg1"/>
                  </a:solidFill>
                </a:defRPr>
              </a:pPr>
              <a:endParaRPr lang="en-US"/>
            </a:p>
          </c:txPr>
          <c:dLblPos val="inEnd"/>
          <c:showLegendKey val="0"/>
          <c:showVal val="1"/>
          <c:showCatName val="0"/>
          <c:showSerName val="0"/>
          <c:showPercent val="0"/>
          <c:showBubbleSize val="0"/>
        </c:dLbl>
      </c:pivotFmt>
      <c:pivotFmt>
        <c:idx val="1"/>
        <c:marker>
          <c:symbol val="none"/>
        </c:marker>
      </c:pivotFmt>
      <c:pivotFmt>
        <c:idx val="2"/>
        <c:marker>
          <c:symbol val="none"/>
        </c:marker>
      </c:pivotFmt>
      <c:pivotFmt>
        <c:idx val="3"/>
        <c:marker>
          <c:symbol val="none"/>
        </c:marker>
      </c:pivotFmt>
    </c:pivotFmts>
    <c:plotArea>
      <c:layout/>
      <c:barChart>
        <c:barDir val="col"/>
        <c:grouping val="clustered"/>
        <c:varyColors val="0"/>
        <c:ser>
          <c:idx val="0"/>
          <c:order val="0"/>
          <c:tx>
            <c:strRef>
              <c:f>'BBF State'!$B$6</c:f>
              <c:strCache>
                <c:ptCount val="1"/>
                <c:pt idx="0">
                  <c:v>Total</c:v>
                </c:pt>
              </c:strCache>
            </c:strRef>
          </c:tx>
          <c:spPr>
            <a:solidFill>
              <a:schemeClr val="tx1"/>
            </a:solidFill>
          </c:spPr>
          <c:invertIfNegative val="0"/>
          <c:cat>
            <c:strRef>
              <c:f>'BBF State'!$A$7:$A$14</c:f>
              <c:strCache>
                <c:ptCount val="7"/>
                <c:pt idx="0">
                  <c:v>NT</c:v>
                </c:pt>
                <c:pt idx="1">
                  <c:v>QLD</c:v>
                </c:pt>
                <c:pt idx="2">
                  <c:v>NSW</c:v>
                </c:pt>
                <c:pt idx="3">
                  <c:v>VIC</c:v>
                </c:pt>
                <c:pt idx="4">
                  <c:v>SA</c:v>
                </c:pt>
                <c:pt idx="5">
                  <c:v>WA</c:v>
                </c:pt>
                <c:pt idx="6">
                  <c:v>TAS</c:v>
                </c:pt>
              </c:strCache>
            </c:strRef>
          </c:cat>
          <c:val>
            <c:numRef>
              <c:f>'BBF State'!$B$7:$B$14</c:f>
              <c:numCache>
                <c:formatCode>"$"#,##0</c:formatCode>
                <c:ptCount val="7"/>
                <c:pt idx="0">
                  <c:v>16179511.540000001</c:v>
                </c:pt>
                <c:pt idx="1">
                  <c:v>13135135.52</c:v>
                </c:pt>
                <c:pt idx="2">
                  <c:v>9887689</c:v>
                </c:pt>
                <c:pt idx="3">
                  <c:v>7308039.5</c:v>
                </c:pt>
                <c:pt idx="4">
                  <c:v>6809582.5</c:v>
                </c:pt>
                <c:pt idx="5">
                  <c:v>4210486.33</c:v>
                </c:pt>
                <c:pt idx="6">
                  <c:v>851088</c:v>
                </c:pt>
              </c:numCache>
            </c:numRef>
          </c:val>
        </c:ser>
        <c:dLbls>
          <c:showLegendKey val="0"/>
          <c:showVal val="0"/>
          <c:showCatName val="0"/>
          <c:showSerName val="0"/>
          <c:showPercent val="0"/>
          <c:showBubbleSize val="0"/>
        </c:dLbls>
        <c:gapWidth val="100"/>
        <c:axId val="36802560"/>
        <c:axId val="36804096"/>
      </c:barChart>
      <c:catAx>
        <c:axId val="36802560"/>
        <c:scaling>
          <c:orientation val="minMax"/>
        </c:scaling>
        <c:delete val="0"/>
        <c:axPos val="b"/>
        <c:majorTickMark val="out"/>
        <c:minorTickMark val="none"/>
        <c:tickLblPos val="nextTo"/>
        <c:crossAx val="36804096"/>
        <c:crosses val="autoZero"/>
        <c:auto val="1"/>
        <c:lblAlgn val="ctr"/>
        <c:lblOffset val="100"/>
        <c:noMultiLvlLbl val="0"/>
      </c:catAx>
      <c:valAx>
        <c:axId val="36804096"/>
        <c:scaling>
          <c:orientation val="minMax"/>
        </c:scaling>
        <c:delete val="0"/>
        <c:axPos val="l"/>
        <c:majorGridlines/>
        <c:numFmt formatCode="&quot;$&quot;#,##0" sourceLinked="1"/>
        <c:majorTickMark val="out"/>
        <c:minorTickMark val="none"/>
        <c:tickLblPos val="nextTo"/>
        <c:crossAx val="36802560"/>
        <c:crosses val="autoZero"/>
        <c:crossBetween val="between"/>
      </c:valAx>
    </c:plotArea>
    <c:plotVisOnly val="1"/>
    <c:dispBlanksAs val="gap"/>
    <c:showDLblsOverMax val="0"/>
  </c:chart>
  <c:spPr>
    <a:ln>
      <a:noFill/>
    </a:ln>
  </c:spPr>
  <c:externalData r:id="rId1">
    <c:autoUpdate val="0"/>
  </c:externalData>
  <c:extLst>
    <c:ext xmlns:c14="http://schemas.microsoft.com/office/drawing/2007/8/2/chart" uri="{781A3756-C4B2-4CAC-9D66-4F8BD8637D16}">
      <c14:pivotOptions>
        <c14:dropZoneFilter val="1"/>
        <c14:dropZoneCategories val="1"/>
        <c14:dropZoneData val="1"/>
      </c14:pivotOptions>
    </c:ext>
  </c:extLst>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AU"/>
  <c:roundedCorners val="1"/>
  <mc:AlternateContent xmlns:mc="http://schemas.openxmlformats.org/markup-compatibility/2006">
    <mc:Choice xmlns:c14="http://schemas.microsoft.com/office/drawing/2007/8/2/chart" Requires="c14">
      <c14:style val="102"/>
    </mc:Choice>
    <mc:Fallback>
      <c:style val="2"/>
    </mc:Fallback>
  </mc:AlternateContent>
  <c:pivotSource>
    <c:name>[Charts and numbers in my bit of submission.xlsx]BBF Aria!PivotTable2</c:name>
    <c:fmtId val="-1"/>
  </c:pivotSource>
  <c:chart>
    <c:autoTitleDeleted val="1"/>
    <c:pivotFmts>
      <c:pivotFmt>
        <c:idx val="0"/>
        <c:marker>
          <c:symbol val="none"/>
        </c:marker>
      </c:pivotFmt>
      <c:pivotFmt>
        <c:idx val="1"/>
        <c:marker>
          <c:symbol val="none"/>
        </c:marker>
      </c:pivotFmt>
      <c:pivotFmt>
        <c:idx val="2"/>
        <c:marker>
          <c:symbol val="none"/>
        </c:marker>
      </c:pivotFmt>
    </c:pivotFmts>
    <c:plotArea>
      <c:layout/>
      <c:barChart>
        <c:barDir val="col"/>
        <c:grouping val="clustered"/>
        <c:varyColors val="0"/>
        <c:ser>
          <c:idx val="0"/>
          <c:order val="0"/>
          <c:tx>
            <c:strRef>
              <c:f>'BBF Aria'!$B$6</c:f>
              <c:strCache>
                <c:ptCount val="1"/>
                <c:pt idx="0">
                  <c:v>Total</c:v>
                </c:pt>
              </c:strCache>
            </c:strRef>
          </c:tx>
          <c:spPr>
            <a:solidFill>
              <a:schemeClr val="tx1"/>
            </a:solidFill>
          </c:spPr>
          <c:invertIfNegative val="0"/>
          <c:cat>
            <c:strRef>
              <c:f>'BBF Aria'!$A$7:$A$12</c:f>
              <c:strCache>
                <c:ptCount val="5"/>
                <c:pt idx="0">
                  <c:v>V Remote</c:v>
                </c:pt>
                <c:pt idx="1">
                  <c:v>Remote</c:v>
                </c:pt>
                <c:pt idx="2">
                  <c:v>Outer Reg</c:v>
                </c:pt>
                <c:pt idx="3">
                  <c:v>Major City</c:v>
                </c:pt>
                <c:pt idx="4">
                  <c:v>Inner Reg.</c:v>
                </c:pt>
              </c:strCache>
            </c:strRef>
          </c:cat>
          <c:val>
            <c:numRef>
              <c:f>'BBF Aria'!$B$7:$B$12</c:f>
              <c:numCache>
                <c:formatCode>"$"#,##0</c:formatCode>
                <c:ptCount val="5"/>
                <c:pt idx="0">
                  <c:v>17219480.900000002</c:v>
                </c:pt>
                <c:pt idx="1">
                  <c:v>11090242.060000001</c:v>
                </c:pt>
                <c:pt idx="2">
                  <c:v>9877966.75</c:v>
                </c:pt>
                <c:pt idx="3">
                  <c:v>9769277.5</c:v>
                </c:pt>
                <c:pt idx="4">
                  <c:v>9597769</c:v>
                </c:pt>
              </c:numCache>
            </c:numRef>
          </c:val>
        </c:ser>
        <c:dLbls>
          <c:showLegendKey val="0"/>
          <c:showVal val="0"/>
          <c:showCatName val="0"/>
          <c:showSerName val="0"/>
          <c:showPercent val="0"/>
          <c:showBubbleSize val="0"/>
        </c:dLbls>
        <c:gapWidth val="100"/>
        <c:axId val="36821632"/>
        <c:axId val="36820096"/>
      </c:barChart>
      <c:valAx>
        <c:axId val="36820096"/>
        <c:scaling>
          <c:orientation val="minMax"/>
        </c:scaling>
        <c:delete val="0"/>
        <c:axPos val="l"/>
        <c:majorGridlines/>
        <c:numFmt formatCode="&quot;$&quot;#,##0" sourceLinked="1"/>
        <c:majorTickMark val="out"/>
        <c:minorTickMark val="none"/>
        <c:tickLblPos val="nextTo"/>
        <c:crossAx val="36821632"/>
        <c:crosses val="autoZero"/>
        <c:crossBetween val="between"/>
      </c:valAx>
      <c:catAx>
        <c:axId val="36821632"/>
        <c:scaling>
          <c:orientation val="minMax"/>
        </c:scaling>
        <c:delete val="0"/>
        <c:axPos val="b"/>
        <c:majorTickMark val="out"/>
        <c:minorTickMark val="none"/>
        <c:tickLblPos val="nextTo"/>
        <c:crossAx val="36820096"/>
        <c:crosses val="autoZero"/>
        <c:auto val="1"/>
        <c:lblAlgn val="ctr"/>
        <c:lblOffset val="100"/>
        <c:noMultiLvlLbl val="0"/>
      </c:catAx>
    </c:plotArea>
    <c:plotVisOnly val="1"/>
    <c:dispBlanksAs val="gap"/>
    <c:showDLblsOverMax val="0"/>
  </c:chart>
  <c:spPr>
    <a:ln>
      <a:noFill/>
    </a:ln>
  </c:spPr>
  <c:externalData r:id="rId1">
    <c:autoUpdate val="0"/>
  </c:externalData>
  <c:extLst>
    <c:ext xmlns:c14="http://schemas.microsoft.com/office/drawing/2007/8/2/chart" uri="{781A3756-C4B2-4CAC-9D66-4F8BD8637D16}">
      <c14:pivotOptions>
        <c14:dropZoneFilter val="1"/>
        <c14:dropZoneData val="1"/>
      </c14:pivotOptions>
    </c:ext>
  </c:extLst>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AU"/>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Sheet4!$A$1</c:f>
              <c:strCache>
                <c:ptCount val="1"/>
                <c:pt idx="0">
                  <c:v>IS Subsidy</c:v>
                </c:pt>
              </c:strCache>
            </c:strRef>
          </c:tx>
          <c:invertIfNegative val="0"/>
          <c:val>
            <c:numRef>
              <c:f>Sheet4!$B$1</c:f>
              <c:numCache>
                <c:formatCode>#,##0_);\(#,##0\)</c:formatCode>
                <c:ptCount val="1"/>
                <c:pt idx="0">
                  <c:v>50600000</c:v>
                </c:pt>
              </c:numCache>
            </c:numRef>
          </c:val>
        </c:ser>
        <c:ser>
          <c:idx val="1"/>
          <c:order val="1"/>
          <c:tx>
            <c:strRef>
              <c:f>Sheet4!$A$2</c:f>
              <c:strCache>
                <c:ptCount val="1"/>
                <c:pt idx="0">
                  <c:v>ISA Funidng</c:v>
                </c:pt>
              </c:strCache>
            </c:strRef>
          </c:tx>
          <c:invertIfNegative val="0"/>
          <c:val>
            <c:numRef>
              <c:f>Sheet4!$B$2</c:f>
              <c:numCache>
                <c:formatCode>#,##0_);\(#,##0\)</c:formatCode>
                <c:ptCount val="1"/>
                <c:pt idx="0">
                  <c:v>30400000</c:v>
                </c:pt>
              </c:numCache>
            </c:numRef>
          </c:val>
        </c:ser>
        <c:ser>
          <c:idx val="2"/>
          <c:order val="2"/>
          <c:tx>
            <c:strRef>
              <c:f>Sheet4!$A$3</c:f>
              <c:strCache>
                <c:ptCount val="1"/>
                <c:pt idx="0">
                  <c:v>PSC Funding</c:v>
                </c:pt>
              </c:strCache>
            </c:strRef>
          </c:tx>
          <c:invertIfNegative val="0"/>
          <c:val>
            <c:numRef>
              <c:f>Sheet4!$B$3</c:f>
              <c:numCache>
                <c:formatCode>#,##0_);\(#,##0\)</c:formatCode>
                <c:ptCount val="1"/>
                <c:pt idx="0">
                  <c:v>14500000</c:v>
                </c:pt>
              </c:numCache>
            </c:numRef>
          </c:val>
        </c:ser>
        <c:ser>
          <c:idx val="3"/>
          <c:order val="3"/>
          <c:tx>
            <c:strRef>
              <c:f>Sheet4!$A$4</c:f>
              <c:strCache>
                <c:ptCount val="1"/>
                <c:pt idx="0">
                  <c:v>IPSU Funding</c:v>
                </c:pt>
              </c:strCache>
            </c:strRef>
          </c:tx>
          <c:invertIfNegative val="0"/>
          <c:val>
            <c:numRef>
              <c:f>Sheet4!$B$4</c:f>
              <c:numCache>
                <c:formatCode>#,##0_);\(#,##0\)</c:formatCode>
                <c:ptCount val="1"/>
                <c:pt idx="0">
                  <c:v>3600000</c:v>
                </c:pt>
              </c:numCache>
            </c:numRef>
          </c:val>
        </c:ser>
        <c:ser>
          <c:idx val="4"/>
          <c:order val="4"/>
          <c:tx>
            <c:strRef>
              <c:f>Sheet4!$A$5</c:f>
              <c:strCache>
                <c:ptCount val="1"/>
                <c:pt idx="0">
                  <c:v>Bicultural Sppt.</c:v>
                </c:pt>
              </c:strCache>
            </c:strRef>
          </c:tx>
          <c:invertIfNegative val="0"/>
          <c:val>
            <c:numRef>
              <c:f>Sheet4!$B$5</c:f>
              <c:numCache>
                <c:formatCode>#,##0_);\(#,##0\)</c:formatCode>
                <c:ptCount val="1"/>
                <c:pt idx="0">
                  <c:v>2400000</c:v>
                </c:pt>
              </c:numCache>
            </c:numRef>
          </c:val>
        </c:ser>
        <c:ser>
          <c:idx val="5"/>
          <c:order val="5"/>
          <c:tx>
            <c:strRef>
              <c:f>Sheet4!$A$6</c:f>
              <c:strCache>
                <c:ptCount val="1"/>
                <c:pt idx="0">
                  <c:v>NISSP</c:v>
                </c:pt>
              </c:strCache>
            </c:strRef>
          </c:tx>
          <c:invertIfNegative val="0"/>
          <c:val>
            <c:numRef>
              <c:f>Sheet4!$B$6</c:f>
              <c:numCache>
                <c:formatCode>#,##0_);\(#,##0\)</c:formatCode>
                <c:ptCount val="1"/>
                <c:pt idx="0">
                  <c:v>2000000</c:v>
                </c:pt>
              </c:numCache>
            </c:numRef>
          </c:val>
        </c:ser>
        <c:ser>
          <c:idx val="6"/>
          <c:order val="6"/>
          <c:tx>
            <c:strRef>
              <c:f>Sheet4!$A$7</c:f>
              <c:strCache>
                <c:ptCount val="1"/>
                <c:pt idx="0">
                  <c:v>Specialist Equip.</c:v>
                </c:pt>
              </c:strCache>
            </c:strRef>
          </c:tx>
          <c:invertIfNegative val="0"/>
          <c:val>
            <c:numRef>
              <c:f>Sheet4!$B$7</c:f>
              <c:numCache>
                <c:formatCode>#,##0_);\(#,##0\)</c:formatCode>
                <c:ptCount val="1"/>
                <c:pt idx="0">
                  <c:v>200000</c:v>
                </c:pt>
              </c:numCache>
            </c:numRef>
          </c:val>
        </c:ser>
        <c:dLbls>
          <c:showLegendKey val="0"/>
          <c:showVal val="0"/>
          <c:showCatName val="0"/>
          <c:showSerName val="0"/>
          <c:showPercent val="0"/>
          <c:showBubbleSize val="0"/>
        </c:dLbls>
        <c:gapWidth val="96"/>
        <c:overlap val="-25"/>
        <c:axId val="187513472"/>
        <c:axId val="187523456"/>
      </c:barChart>
      <c:catAx>
        <c:axId val="187513472"/>
        <c:scaling>
          <c:orientation val="minMax"/>
        </c:scaling>
        <c:delete val="1"/>
        <c:axPos val="b"/>
        <c:majorTickMark val="out"/>
        <c:minorTickMark val="none"/>
        <c:tickLblPos val="nextTo"/>
        <c:crossAx val="187523456"/>
        <c:crosses val="autoZero"/>
        <c:auto val="1"/>
        <c:lblAlgn val="ctr"/>
        <c:lblOffset val="100"/>
        <c:noMultiLvlLbl val="0"/>
      </c:catAx>
      <c:valAx>
        <c:axId val="187523456"/>
        <c:scaling>
          <c:orientation val="minMax"/>
        </c:scaling>
        <c:delete val="0"/>
        <c:axPos val="l"/>
        <c:majorGridlines/>
        <c:numFmt formatCode="&quot;$&quot;#,##0" sourceLinked="0"/>
        <c:majorTickMark val="out"/>
        <c:minorTickMark val="none"/>
        <c:tickLblPos val="nextTo"/>
        <c:crossAx val="187513472"/>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0"/>
    <c:plotArea>
      <c:layout>
        <c:manualLayout>
          <c:layoutTarget val="inner"/>
          <c:xMode val="edge"/>
          <c:yMode val="edge"/>
          <c:x val="6.5787076202251563E-2"/>
          <c:y val="4.4379921259842907E-2"/>
          <c:w val="0.9125934729856886"/>
          <c:h val="0.71194004230484265"/>
        </c:manualLayout>
      </c:layout>
      <c:barChart>
        <c:barDir val="col"/>
        <c:grouping val="clustered"/>
        <c:varyColors val="0"/>
        <c:ser>
          <c:idx val="2"/>
          <c:order val="0"/>
          <c:tx>
            <c:strRef>
              <c:f>'March 2013'!$A$109</c:f>
              <c:strCache>
                <c:ptCount val="1"/>
                <c:pt idx="0">
                  <c:v>Before Government Subsidies</c:v>
                </c:pt>
              </c:strCache>
            </c:strRef>
          </c:tx>
          <c:spPr>
            <a:solidFill>
              <a:schemeClr val="tx1"/>
            </a:solidFill>
            <a:ln w="6350">
              <a:solidFill>
                <a:prstClr val="black"/>
              </a:solidFill>
            </a:ln>
          </c:spPr>
          <c:invertIfNegative val="0"/>
          <c:dLbls>
            <c:txPr>
              <a:bodyPr/>
              <a:lstStyle/>
              <a:p>
                <a:pPr>
                  <a:defRPr sz="900"/>
                </a:pPr>
                <a:endParaRPr lang="en-US"/>
              </a:p>
            </c:txPr>
            <c:showLegendKey val="0"/>
            <c:showVal val="1"/>
            <c:showCatName val="0"/>
            <c:showSerName val="0"/>
            <c:showPercent val="0"/>
            <c:showBubbleSize val="0"/>
            <c:showLeaderLines val="0"/>
          </c:dLbls>
          <c:cat>
            <c:numRef>
              <c:f>'March 2013'!$B$82:$H$82</c:f>
              <c:numCache>
                <c:formatCode>"$"#,##0</c:formatCode>
                <c:ptCount val="7"/>
                <c:pt idx="0">
                  <c:v>35000</c:v>
                </c:pt>
                <c:pt idx="1">
                  <c:v>55000</c:v>
                </c:pt>
                <c:pt idx="2">
                  <c:v>75000</c:v>
                </c:pt>
                <c:pt idx="3">
                  <c:v>95000</c:v>
                </c:pt>
                <c:pt idx="4">
                  <c:v>115000</c:v>
                </c:pt>
                <c:pt idx="5">
                  <c:v>135000</c:v>
                </c:pt>
                <c:pt idx="6">
                  <c:v>150000</c:v>
                </c:pt>
              </c:numCache>
            </c:numRef>
          </c:cat>
          <c:val>
            <c:numRef>
              <c:f>'March 2013'!$J$64:$J$70</c:f>
              <c:numCache>
                <c:formatCode>0.0%</c:formatCode>
                <c:ptCount val="7"/>
                <c:pt idx="0">
                  <c:v>0.39932833314675925</c:v>
                </c:pt>
                <c:pt idx="1">
                  <c:v>0.33136710295306132</c:v>
                </c:pt>
                <c:pt idx="2">
                  <c:v>0.27135043853310109</c:v>
                </c:pt>
                <c:pt idx="3">
                  <c:v>0.2261385536058424</c:v>
                </c:pt>
                <c:pt idx="4">
                  <c:v>0.19920812647638619</c:v>
                </c:pt>
                <c:pt idx="5">
                  <c:v>0.17474539157526564</c:v>
                </c:pt>
                <c:pt idx="6">
                  <c:v>0.16052343816796644</c:v>
                </c:pt>
              </c:numCache>
            </c:numRef>
          </c:val>
        </c:ser>
        <c:ser>
          <c:idx val="0"/>
          <c:order val="1"/>
          <c:tx>
            <c:strRef>
              <c:f>'March 2013'!$B$109</c:f>
              <c:strCache>
                <c:ptCount val="1"/>
                <c:pt idx="0">
                  <c:v>After Government Subsidies</c:v>
                </c:pt>
              </c:strCache>
            </c:strRef>
          </c:tx>
          <c:spPr>
            <a:solidFill>
              <a:schemeClr val="tx1">
                <a:lumMod val="50000"/>
                <a:lumOff val="50000"/>
              </a:schemeClr>
            </a:solidFill>
            <a:ln w="6350">
              <a:solidFill>
                <a:prstClr val="black"/>
              </a:solidFill>
            </a:ln>
          </c:spPr>
          <c:invertIfNegative val="0"/>
          <c:dLbls>
            <c:dLbl>
              <c:idx val="0"/>
              <c:layout>
                <c:manualLayout>
                  <c:x val="5.9347181008902261E-3"/>
                  <c:y val="0"/>
                </c:manualLayout>
              </c:layout>
              <c:dLblPos val="outEnd"/>
              <c:showLegendKey val="0"/>
              <c:showVal val="1"/>
              <c:showCatName val="0"/>
              <c:showSerName val="0"/>
              <c:showPercent val="0"/>
              <c:showBubbleSize val="0"/>
            </c:dLbl>
            <c:dLbl>
              <c:idx val="1"/>
              <c:layout>
                <c:manualLayout>
                  <c:x val="5.9347181008902079E-3"/>
                  <c:y val="0"/>
                </c:manualLayout>
              </c:layout>
              <c:dLblPos val="outEnd"/>
              <c:showLegendKey val="0"/>
              <c:showVal val="1"/>
              <c:showCatName val="0"/>
              <c:showSerName val="0"/>
              <c:showPercent val="0"/>
              <c:showBubbleSize val="0"/>
            </c:dLbl>
            <c:dLbl>
              <c:idx val="2"/>
              <c:layout>
                <c:manualLayout>
                  <c:x val="5.9347181008902079E-3"/>
                  <c:y val="0"/>
                </c:manualLayout>
              </c:layout>
              <c:dLblPos val="outEnd"/>
              <c:showLegendKey val="0"/>
              <c:showVal val="1"/>
              <c:showCatName val="0"/>
              <c:showSerName val="0"/>
              <c:showPercent val="0"/>
              <c:showBubbleSize val="0"/>
            </c:dLbl>
            <c:dLbl>
              <c:idx val="3"/>
              <c:layout>
                <c:manualLayout>
                  <c:x val="5.9347181008902079E-3"/>
                  <c:y val="-6.5288894400102527E-17"/>
                </c:manualLayout>
              </c:layout>
              <c:dLblPos val="outEnd"/>
              <c:showLegendKey val="0"/>
              <c:showVal val="1"/>
              <c:showCatName val="0"/>
              <c:showSerName val="0"/>
              <c:showPercent val="0"/>
              <c:showBubbleSize val="0"/>
            </c:dLbl>
            <c:dLbl>
              <c:idx val="4"/>
              <c:layout>
                <c:manualLayout>
                  <c:x val="5.9347181008902079E-3"/>
                  <c:y val="0"/>
                </c:manualLayout>
              </c:layout>
              <c:dLblPos val="outEnd"/>
              <c:showLegendKey val="0"/>
              <c:showVal val="1"/>
              <c:showCatName val="0"/>
              <c:showSerName val="0"/>
              <c:showPercent val="0"/>
              <c:showBubbleSize val="0"/>
            </c:dLbl>
            <c:dLbl>
              <c:idx val="5"/>
              <c:layout>
                <c:manualLayout>
                  <c:x val="5.9347181008902079E-3"/>
                  <c:y val="0"/>
                </c:manualLayout>
              </c:layout>
              <c:dLblPos val="outEnd"/>
              <c:showLegendKey val="0"/>
              <c:showVal val="1"/>
              <c:showCatName val="0"/>
              <c:showSerName val="0"/>
              <c:showPercent val="0"/>
              <c:showBubbleSize val="0"/>
            </c:dLbl>
            <c:dLbl>
              <c:idx val="6"/>
              <c:layout>
                <c:manualLayout>
                  <c:x val="5.9347181008902079E-3"/>
                  <c:y val="-6.5288894400102527E-17"/>
                </c:manualLayout>
              </c:layout>
              <c:dLblPos val="outEnd"/>
              <c:showLegendKey val="0"/>
              <c:showVal val="1"/>
              <c:showCatName val="0"/>
              <c:showSerName val="0"/>
              <c:showPercent val="0"/>
              <c:showBubbleSize val="0"/>
            </c:dLbl>
            <c:numFmt formatCode="0.0%" sourceLinked="0"/>
            <c:txPr>
              <a:bodyPr/>
              <a:lstStyle/>
              <a:p>
                <a:pPr>
                  <a:defRPr sz="900"/>
                </a:pPr>
                <a:endParaRPr lang="en-US"/>
              </a:p>
            </c:txPr>
            <c:dLblPos val="outEnd"/>
            <c:showLegendKey val="0"/>
            <c:showVal val="1"/>
            <c:showCatName val="0"/>
            <c:showSerName val="0"/>
            <c:showPercent val="0"/>
            <c:showBubbleSize val="0"/>
            <c:showLeaderLines val="0"/>
          </c:dLbls>
          <c:cat>
            <c:numRef>
              <c:f>'March 2013'!$B$82:$H$82</c:f>
              <c:numCache>
                <c:formatCode>"$"#,##0</c:formatCode>
                <c:ptCount val="7"/>
                <c:pt idx="0">
                  <c:v>35000</c:v>
                </c:pt>
                <c:pt idx="1">
                  <c:v>55000</c:v>
                </c:pt>
                <c:pt idx="2">
                  <c:v>75000</c:v>
                </c:pt>
                <c:pt idx="3">
                  <c:v>95000</c:v>
                </c:pt>
                <c:pt idx="4">
                  <c:v>115000</c:v>
                </c:pt>
                <c:pt idx="5">
                  <c:v>135000</c:v>
                </c:pt>
                <c:pt idx="6">
                  <c:v>150000</c:v>
                </c:pt>
              </c:numCache>
            </c:numRef>
          </c:cat>
          <c:val>
            <c:numRef>
              <c:f>'March 2013'!$J$73:$J$79</c:f>
              <c:numCache>
                <c:formatCode>0.0%</c:formatCode>
                <c:ptCount val="7"/>
                <c:pt idx="0">
                  <c:v>9.0518302921750837E-2</c:v>
                </c:pt>
                <c:pt idx="1">
                  <c:v>8.7593241121773149E-2</c:v>
                </c:pt>
                <c:pt idx="2">
                  <c:v>8.6356409885821689E-2</c:v>
                </c:pt>
                <c:pt idx="3">
                  <c:v>8.4161679683537882E-2</c:v>
                </c:pt>
                <c:pt idx="4">
                  <c:v>8.9210991723431068E-2</c:v>
                </c:pt>
                <c:pt idx="5">
                  <c:v>9.7096180883049527E-2</c:v>
                </c:pt>
                <c:pt idx="6">
                  <c:v>9.5619819176786747E-2</c:v>
                </c:pt>
              </c:numCache>
            </c:numRef>
          </c:val>
        </c:ser>
        <c:dLbls>
          <c:showLegendKey val="0"/>
          <c:showVal val="0"/>
          <c:showCatName val="0"/>
          <c:showSerName val="0"/>
          <c:showPercent val="0"/>
          <c:showBubbleSize val="0"/>
        </c:dLbls>
        <c:gapWidth val="150"/>
        <c:axId val="187561472"/>
        <c:axId val="187563392"/>
      </c:barChart>
      <c:catAx>
        <c:axId val="187561472"/>
        <c:scaling>
          <c:orientation val="minMax"/>
        </c:scaling>
        <c:delete val="0"/>
        <c:axPos val="b"/>
        <c:title>
          <c:tx>
            <c:rich>
              <a:bodyPr/>
              <a:lstStyle/>
              <a:p>
                <a:pPr>
                  <a:defRPr/>
                </a:pPr>
                <a:r>
                  <a:rPr lang="en-AU"/>
                  <a:t>Gross Family Income</a:t>
                </a:r>
              </a:p>
            </c:rich>
          </c:tx>
          <c:layout>
            <c:manualLayout>
              <c:xMode val="edge"/>
              <c:yMode val="edge"/>
              <c:x val="0.43095255781706737"/>
              <c:y val="0.85046845410146521"/>
            </c:manualLayout>
          </c:layout>
          <c:overlay val="0"/>
        </c:title>
        <c:numFmt formatCode="&quot;$&quot;#,##0" sourceLinked="0"/>
        <c:majorTickMark val="out"/>
        <c:minorTickMark val="none"/>
        <c:tickLblPos val="nextTo"/>
        <c:crossAx val="187563392"/>
        <c:crosses val="autoZero"/>
        <c:auto val="1"/>
        <c:lblAlgn val="ctr"/>
        <c:lblOffset val="100"/>
        <c:noMultiLvlLbl val="0"/>
      </c:catAx>
      <c:valAx>
        <c:axId val="187563392"/>
        <c:scaling>
          <c:orientation val="minMax"/>
        </c:scaling>
        <c:delete val="0"/>
        <c:axPos val="l"/>
        <c:majorGridlines>
          <c:spPr>
            <a:ln w="0">
              <a:solidFill>
                <a:schemeClr val="bg1"/>
              </a:solidFill>
            </a:ln>
          </c:spPr>
        </c:majorGridlines>
        <c:numFmt formatCode="0%" sourceLinked="0"/>
        <c:majorTickMark val="out"/>
        <c:minorTickMark val="none"/>
        <c:tickLblPos val="nextTo"/>
        <c:crossAx val="187561472"/>
        <c:crosses val="autoZero"/>
        <c:crossBetween val="between"/>
      </c:valAx>
    </c:plotArea>
    <c:legend>
      <c:legendPos val="b"/>
      <c:layout>
        <c:manualLayout>
          <c:xMode val="edge"/>
          <c:yMode val="edge"/>
          <c:x val="7.9308939688324184E-2"/>
          <c:y val="0.91490259550889474"/>
          <c:w val="0.87479617733733694"/>
          <c:h val="6.4000465131732034E-2"/>
        </c:manualLayout>
      </c:layout>
      <c:overlay val="0"/>
    </c:legend>
    <c:plotVisOnly val="1"/>
    <c:dispBlanksAs val="gap"/>
    <c:showDLblsOverMax val="0"/>
  </c:chart>
  <c:spPr>
    <a:ln w="6350">
      <a:noFill/>
    </a:ln>
  </c:sp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067751634818239E-2"/>
          <c:y val="4.9246819871869969E-2"/>
          <c:w val="0.82889805285967166"/>
          <c:h val="0.77940551181102358"/>
        </c:manualLayout>
      </c:layout>
      <c:lineChart>
        <c:grouping val="standard"/>
        <c:varyColors val="0"/>
        <c:ser>
          <c:idx val="0"/>
          <c:order val="0"/>
          <c:tx>
            <c:strRef>
              <c:f>'Affordability Data'!$A$3</c:f>
              <c:strCache>
                <c:ptCount val="1"/>
                <c:pt idx="0">
                  <c:v>$35,000 pa</c:v>
                </c:pt>
              </c:strCache>
            </c:strRef>
          </c:tx>
          <c:spPr>
            <a:ln>
              <a:solidFill>
                <a:sysClr val="windowText" lastClr="000000"/>
              </a:solidFill>
            </a:ln>
          </c:spPr>
          <c:marker>
            <c:spPr>
              <a:solidFill>
                <a:schemeClr val="tx1"/>
              </a:solidFill>
              <a:ln>
                <a:solidFill>
                  <a:schemeClr val="tx1"/>
                </a:solidFill>
              </a:ln>
            </c:spPr>
          </c:marker>
          <c:cat>
            <c:strRef>
              <c:f>'Affordability Data'!$B$3:$H$3</c:f>
              <c:strCache>
                <c:ptCount val="7"/>
                <c:pt idx="0">
                  <c:v>2013-14</c:v>
                </c:pt>
                <c:pt idx="1">
                  <c:v>2014-15</c:v>
                </c:pt>
                <c:pt idx="2">
                  <c:v>2015-16</c:v>
                </c:pt>
                <c:pt idx="3">
                  <c:v>2016-17</c:v>
                </c:pt>
                <c:pt idx="4">
                  <c:v>2017-18</c:v>
                </c:pt>
                <c:pt idx="5">
                  <c:v>2018-19</c:v>
                </c:pt>
                <c:pt idx="6">
                  <c:v>2019-20</c:v>
                </c:pt>
              </c:strCache>
            </c:strRef>
          </c:cat>
          <c:val>
            <c:numRef>
              <c:f>'Affordability Data'!$B$10:$H$10</c:f>
              <c:numCache>
                <c:formatCode>0.0%</c:formatCode>
                <c:ptCount val="7"/>
                <c:pt idx="0">
                  <c:v>5.0510292402437713E-2</c:v>
                </c:pt>
                <c:pt idx="1">
                  <c:v>5.7168888931657565E-2</c:v>
                </c:pt>
                <c:pt idx="2">
                  <c:v>6.2466166773585206E-2</c:v>
                </c:pt>
                <c:pt idx="3">
                  <c:v>6.8016460420566249E-2</c:v>
                </c:pt>
                <c:pt idx="4">
                  <c:v>7.3848981537929251E-2</c:v>
                </c:pt>
                <c:pt idx="5">
                  <c:v>7.990091787152856E-2</c:v>
                </c:pt>
                <c:pt idx="6">
                  <c:v>8.618649114266308E-2</c:v>
                </c:pt>
              </c:numCache>
            </c:numRef>
          </c:val>
          <c:smooth val="0"/>
        </c:ser>
        <c:ser>
          <c:idx val="1"/>
          <c:order val="1"/>
          <c:tx>
            <c:strRef>
              <c:f>'Affordability Data'!$A$12</c:f>
              <c:strCache>
                <c:ptCount val="1"/>
                <c:pt idx="0">
                  <c:v>$75,000 pa</c:v>
                </c:pt>
              </c:strCache>
            </c:strRef>
          </c:tx>
          <c:spPr>
            <a:ln>
              <a:solidFill>
                <a:sysClr val="windowText" lastClr="000000"/>
              </a:solidFill>
              <a:prstDash val="sysDot"/>
            </a:ln>
          </c:spPr>
          <c:marker>
            <c:spPr>
              <a:solidFill>
                <a:schemeClr val="tx1"/>
              </a:solidFill>
              <a:ln>
                <a:solidFill>
                  <a:sysClr val="windowText" lastClr="000000"/>
                </a:solidFill>
              </a:ln>
            </c:spPr>
          </c:marker>
          <c:val>
            <c:numRef>
              <c:f>'Affordability Data'!$B$19:$H$19</c:f>
              <c:numCache>
                <c:formatCode>0.0%</c:formatCode>
                <c:ptCount val="7"/>
                <c:pt idx="0">
                  <c:v>4.763834460645941E-2</c:v>
                </c:pt>
                <c:pt idx="1">
                  <c:v>5.2346767155042419E-2</c:v>
                </c:pt>
                <c:pt idx="2">
                  <c:v>5.6123909047321084E-2</c:v>
                </c:pt>
                <c:pt idx="3">
                  <c:v>6.0294414828899995E-2</c:v>
                </c:pt>
                <c:pt idx="4">
                  <c:v>6.4471703923029158E-2</c:v>
                </c:pt>
                <c:pt idx="5">
                  <c:v>6.880796995193314E-2</c:v>
                </c:pt>
                <c:pt idx="6">
                  <c:v>7.3306962891111035E-2</c:v>
                </c:pt>
              </c:numCache>
            </c:numRef>
          </c:val>
          <c:smooth val="0"/>
        </c:ser>
        <c:ser>
          <c:idx val="2"/>
          <c:order val="2"/>
          <c:tx>
            <c:strRef>
              <c:f>'Affordability Data'!$A$21</c:f>
              <c:strCache>
                <c:ptCount val="1"/>
                <c:pt idx="0">
                  <c:v>$115,000 pa</c:v>
                </c:pt>
              </c:strCache>
            </c:strRef>
          </c:tx>
          <c:spPr>
            <a:ln>
              <a:solidFill>
                <a:sysClr val="windowText" lastClr="000000"/>
              </a:solidFill>
              <a:prstDash val="sysDash"/>
            </a:ln>
          </c:spPr>
          <c:marker>
            <c:spPr>
              <a:solidFill>
                <a:schemeClr val="tx1"/>
              </a:solidFill>
              <a:ln>
                <a:solidFill>
                  <a:sysClr val="windowText" lastClr="000000"/>
                </a:solidFill>
              </a:ln>
            </c:spPr>
          </c:marker>
          <c:val>
            <c:numRef>
              <c:f>'Affordability Data'!$B$28:$H$28</c:f>
              <c:numCache>
                <c:formatCode>0.0%</c:formatCode>
                <c:ptCount val="7"/>
                <c:pt idx="0">
                  <c:v>4.6786905719637464E-2</c:v>
                </c:pt>
                <c:pt idx="1">
                  <c:v>5.0238729402853073E-2</c:v>
                </c:pt>
                <c:pt idx="2">
                  <c:v>5.3016858344453972E-2</c:v>
                </c:pt>
                <c:pt idx="3">
                  <c:v>5.6078576791265787E-2</c:v>
                </c:pt>
                <c:pt idx="4">
                  <c:v>5.9144602929745937E-2</c:v>
                </c:pt>
                <c:pt idx="5">
                  <c:v>6.2328381272990833E-2</c:v>
                </c:pt>
                <c:pt idx="6">
                  <c:v>6.5629655902328304E-2</c:v>
                </c:pt>
              </c:numCache>
            </c:numRef>
          </c:val>
          <c:smooth val="0"/>
        </c:ser>
        <c:ser>
          <c:idx val="3"/>
          <c:order val="3"/>
          <c:tx>
            <c:strRef>
              <c:f>'Affordability Data'!$A$30</c:f>
              <c:strCache>
                <c:ptCount val="1"/>
                <c:pt idx="0">
                  <c:v>$150,000 pa</c:v>
                </c:pt>
              </c:strCache>
            </c:strRef>
          </c:tx>
          <c:spPr>
            <a:ln>
              <a:solidFill>
                <a:sysClr val="windowText" lastClr="000000"/>
              </a:solidFill>
              <a:prstDash val="dash"/>
            </a:ln>
          </c:spPr>
          <c:marker>
            <c:spPr>
              <a:ln>
                <a:solidFill>
                  <a:sysClr val="windowText" lastClr="000000"/>
                </a:solidFill>
              </a:ln>
            </c:spPr>
          </c:marker>
          <c:val>
            <c:numRef>
              <c:f>'Affordability Data'!$B$37:$H$37</c:f>
              <c:numCache>
                <c:formatCode>0.0%</c:formatCode>
                <c:ptCount val="7"/>
                <c:pt idx="0">
                  <c:v>4.4993472414240468E-2</c:v>
                </c:pt>
                <c:pt idx="1">
                  <c:v>4.7395763549041216E-2</c:v>
                </c:pt>
                <c:pt idx="2">
                  <c:v>4.9023445132906136E-2</c:v>
                </c:pt>
                <c:pt idx="3">
                  <c:v>5.0966556874397717E-2</c:v>
                </c:pt>
                <c:pt idx="4">
                  <c:v>5.2986686524967026E-2</c:v>
                </c:pt>
                <c:pt idx="5">
                  <c:v>5.5086886795475729E-2</c:v>
                </c:pt>
                <c:pt idx="6">
                  <c:v>5.8931453521223413E-2</c:v>
                </c:pt>
              </c:numCache>
            </c:numRef>
          </c:val>
          <c:smooth val="0"/>
        </c:ser>
        <c:dLbls>
          <c:showLegendKey val="0"/>
          <c:showVal val="0"/>
          <c:showCatName val="0"/>
          <c:showSerName val="0"/>
          <c:showPercent val="0"/>
          <c:showBubbleSize val="0"/>
        </c:dLbls>
        <c:marker val="1"/>
        <c:smooth val="0"/>
        <c:axId val="37069952"/>
        <c:axId val="37071872"/>
      </c:lineChart>
      <c:catAx>
        <c:axId val="37069952"/>
        <c:scaling>
          <c:orientation val="minMax"/>
        </c:scaling>
        <c:delete val="0"/>
        <c:axPos val="b"/>
        <c:majorTickMark val="out"/>
        <c:minorTickMark val="none"/>
        <c:tickLblPos val="nextTo"/>
        <c:crossAx val="37071872"/>
        <c:crosses val="autoZero"/>
        <c:auto val="1"/>
        <c:lblAlgn val="ctr"/>
        <c:lblOffset val="100"/>
        <c:noMultiLvlLbl val="0"/>
      </c:catAx>
      <c:valAx>
        <c:axId val="37071872"/>
        <c:scaling>
          <c:orientation val="minMax"/>
        </c:scaling>
        <c:delete val="0"/>
        <c:axPos val="l"/>
        <c:majorGridlines/>
        <c:numFmt formatCode="0.0%" sourceLinked="1"/>
        <c:majorTickMark val="out"/>
        <c:minorTickMark val="none"/>
        <c:tickLblPos val="nextTo"/>
        <c:crossAx val="37069952"/>
        <c:crosses val="autoZero"/>
        <c:crossBetween val="between"/>
        <c:majorUnit val="2.0000000000000004E-2"/>
      </c:valAx>
    </c:plotArea>
    <c:legend>
      <c:legendPos val="b"/>
      <c:overlay val="0"/>
      <c:txPr>
        <a:bodyPr/>
        <a:lstStyle/>
        <a:p>
          <a:pPr>
            <a:defRPr sz="1000"/>
          </a:pPr>
          <a:endParaRPr lang="en-US"/>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docsSearchTerms xmlns="http://schemas.microsoft.com/sharepoint/v3/fields">Productivity Commission Inquiry Child Care Early Childhood Learning Submission Education</DdocsSearchTerms>
  </documentManagement>
</p:properties>
</file>

<file path=customXml/item2.xml><?xml version="1.0" encoding="utf-8"?>
<?mso-contentType ?>
<p:Policy xmlns:p="office.server.policy" id="da8fb119-f310-4c1a-adbe-1192e31a6ac5" local="false">
  <p:Name>Ddocs' Information Management Policy</p:Name>
  <p:Description>Ddocs' Information Management Policy</p:Description>
  <p:Statement/>
  <p:PolicyItems>
    <p:PolicyItem featureId="Microsoft.Office.RecordsManagement.PolicyFeatures.PolicyAudit">
      <p:Name>Auditing</p:Name>
      <p:Description>Audits user actions on documents and list items to the Audit Log.</p:Description>
      <p:CustomData>
        <Audit>
          <Update/>
          <View/>
          <DeleteRestore/>
        </Audit>
      </p:CustomData>
    </p:PolicyItem>
    <p:PolicyItem featureId="Microsoft.Office.RecordsManagement.PolicyFeatures.Expiration">
      <p:Name>Expiration</p:Name>
      <p:Description>Automatic scheduling of content for processing, and expiry of content that has reached its due date.</p:Description>
      <p:CustomData>
        <data>
          <formula id="Microsoft.Office.RecordsManagement.PolicyFeatures.Expiration.Formula.BuiltIn">
            <number>5</number>
            <property>Modified</property>
            <period>years</period>
          </formula>
          <action type="action" id="Microsoft.Office.RecordsManagement.PolicyFeatures.Expiration.Action.MoveToRecycleBin"/>
        </data>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Ddocs Word Document" ma:contentTypeID="0x0101009EDC4876AF524A70BD125A9D2C0D191E0C00A7D204E60375B648938E9C9EF79ADFD4" ma:contentTypeVersion="8" ma:contentTypeDescription="Ddocs' Word Content Type" ma:contentTypeScope="" ma:versionID="80f146e5fd570ace63acc1f61010ea9b">
  <xsd:schema xmlns:xsd="http://www.w3.org/2001/XMLSchema" xmlns:xs="http://www.w3.org/2001/XMLSchema" xmlns:p="http://schemas.microsoft.com/office/2006/metadata/properties" xmlns:ns2="http://schemas.microsoft.com/sharepoint/v3/fields" xmlns:ns3="c094ce0d-e73c-47bb-879a-c2bfd0ea7f03" targetNamespace="http://schemas.microsoft.com/office/2006/metadata/properties" ma:root="true" ma:fieldsID="54d8321e462770449340470bd92b0dc1" ns2:_="" ns3:_="">
    <xsd:import namespace="http://schemas.microsoft.com/sharepoint/v3/fields"/>
    <xsd:import namespace="c094ce0d-e73c-47bb-879a-c2bfd0ea7f03"/>
    <xsd:element name="properties">
      <xsd:complexType>
        <xsd:sequence>
          <xsd:element name="documentManagement">
            <xsd:complexType>
              <xsd:all>
                <xsd:element ref="ns2:DdocsSearchTerms" minOccurs="0"/>
                <xsd:element ref="ns3:_dlc_Exempt" minOccurs="0"/>
                <xsd:element ref="ns3:_dlc_ExpireDateSaved" minOccurs="0"/>
                <xsd:element ref="ns3:_dlc_ExpireDate" minOccurs="0"/>
                <xsd:element ref="ns2:TrimDatePublished" minOccurs="0"/>
                <xsd:element ref="ns2:TrimDocumentNumber" minOccurs="0"/>
                <xsd:element ref="ns2:TrimDocumentUri" minOccurs="0"/>
                <xsd:element ref="ns2:TrimFileNumber" minOccurs="0"/>
                <xsd:element ref="ns2:DNetUnique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docsSearchTerms" ma:index="2" nillable="true" ma:displayName="Search terms" ma:internalName="DdocsSearchTerms">
      <xsd:simpleType>
        <xsd:restriction base="dms:Text"/>
      </xsd:simpleType>
    </xsd:element>
    <xsd:element name="TrimDatePublished" ma:index="12" nillable="true" ma:displayName="TRIM Date Published" ma:internalName="TrimDatePublished" ma:readOnly="true">
      <xsd:simpleType>
        <xsd:restriction base="dms:DateTime"/>
      </xsd:simpleType>
    </xsd:element>
    <xsd:element name="TrimDocumentNumber" ma:index="13" nillable="true" ma:displayName="TRIM Document Number" ma:internalName="TrimDocumentNumber" ma:readOnly="true">
      <xsd:simpleType>
        <xsd:restriction base="dms:Text"/>
      </xsd:simpleType>
    </xsd:element>
    <xsd:element name="TrimDocumentUri" ma:index="14" nillable="true" ma:displayName="TRIM Document Uri" ma:hidden="true" ma:internalName="TrimDocumentUri" ma:readOnly="true">
      <xsd:simpleType>
        <xsd:restriction base="dms:Unknown"/>
      </xsd:simpleType>
    </xsd:element>
    <xsd:element name="TrimFileNumber" ma:index="15" nillable="true" ma:displayName="TRIM File Number" ma:internalName="TrimFileNumber" ma:readOnly="true">
      <xsd:simpleType>
        <xsd:restriction base="dms:Text"/>
      </xsd:simpleType>
    </xsd:element>
    <xsd:element name="DNetUniqueId" ma:index="16" nillable="true" ma:displayName="DdocsId" ma:indexed="true" ma:internalName="DNetUnique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94ce0d-e73c-47bb-879a-c2bfd0ea7f03" elementFormDefault="qualified">
    <xsd:import namespace="http://schemas.microsoft.com/office/2006/documentManagement/types"/>
    <xsd:import namespace="http://schemas.microsoft.com/office/infopath/2007/PartnerControls"/>
    <xsd:element name="_dlc_Exempt" ma:index="9" nillable="true" ma:displayName="Exempt from Policy" ma:description="" ma:hidden="true" ma:internalName="_dlc_Exempt" ma:readOnly="true">
      <xsd:simpleType>
        <xsd:restriction base="dms:Unknown"/>
      </xsd:simpleType>
    </xsd:element>
    <xsd:element name="_dlc_ExpireDateSaved" ma:index="10" nillable="true" ma:displayName="Original Expiration Date" ma:description="" ma:hidden="true" ma:internalName="_dlc_ExpireDateSaved" ma:readOnly="true">
      <xsd:simpleType>
        <xsd:restriction base="dms:DateTime"/>
      </xsd:simpleType>
    </xsd:element>
    <xsd:element name="_dlc_ExpireDate" ma:index="11" nillable="true" ma:displayName="Expiration Date" ma:description="" ma:hidden="true" ma:indexed="true" ma:internalName="_dlc_ExpireDat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Policy Auditing</Name>
    <Type>10001</Type>
    <SequenceNumber>1100</SequenceNumber>
    <Assembly>Microsoft.Office.Policy, Version=12.0.0.0, Culture=neutral, PublicKeyToken=71e9bce111e9429c</Assembly>
    <Class>Microsoft.Office.RecordsManagement.Internal.AuditHandler</Class>
    <Data/>
    <Filter/>
  </Receiver>
  <Receiver>
    <Name>Policy Auditing</Name>
    <Type>10002</Type>
    <SequenceNumber>1101</SequenceNumber>
    <Assembly>Microsoft.Office.Policy, Version=12.0.0.0, Culture=neutral, PublicKeyToken=71e9bce111e9429c</Assembly>
    <Class>Microsoft.Office.RecordsManagement.Internal.AuditHandler</Class>
    <Data/>
    <Filter/>
  </Receiver>
  <Receiver>
    <Name>Policy Auditing</Name>
    <Type>10004</Type>
    <SequenceNumber>1102</SequenceNumber>
    <Assembly>Microsoft.Office.Policy, Version=12.0.0.0, Culture=neutral, PublicKeyToken=71e9bce111e9429c</Assembly>
    <Class>Microsoft.Office.RecordsManagement.Internal.AuditHandler</Class>
    <Data/>
    <Filter/>
  </Receiver>
  <Receiver>
    <Name>Policy Auditing</Name>
    <Type>10006</Type>
    <SequenceNumber>1103</SequenceNumber>
    <Assembly>Microsoft.Office.Policy, Version=12.0.0.0, Culture=neutral, PublicKeyToken=71e9bce111e9429c</Assembly>
    <Class>Microsoft.Office.RecordsManagement.Internal.AuditHandler</Class>
    <Data/>
    <Filter/>
  </Receiver>
  <Receiver>
    <Name>Microsoft.Office.RecordsManagement.PolicyFeatures.ExpirationEventReceiver</Name>
    <Type>10001</Type>
    <SequenceNumber>101</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10002</Type>
    <SequenceNumber>102</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10004</Type>
    <SequenceNumber>103</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10006</Type>
    <SequenceNumber>104</SequenceNumber>
    <Assembly>Microsoft.Office.Policy, Version=12.0.0.0, Culture=neutral, PublicKeyToken=71e9bce111e9429c</Assembly>
    <Class>Microsoft.Office.RecordsManagement.Internal.UpdateExpireDate</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70AA13-B530-4820-8F1A-2BDCF6C99F4C}">
  <ds:schemaRefs>
    <ds:schemaRef ds:uri="http://schemas.microsoft.com/office/2006/documentManagement/types"/>
    <ds:schemaRef ds:uri="http://schemas.microsoft.com/office/2006/metadata/properties"/>
    <ds:schemaRef ds:uri="http://schemas.openxmlformats.org/package/2006/metadata/core-properties"/>
    <ds:schemaRef ds:uri="http://schemas.microsoft.com/sharepoint/v3/fields"/>
    <ds:schemaRef ds:uri="http://purl.org/dc/terms/"/>
    <ds:schemaRef ds:uri="http://www.w3.org/XML/1998/namespace"/>
    <ds:schemaRef ds:uri="http://purl.org/dc/dcmitype/"/>
    <ds:schemaRef ds:uri="http://purl.org/dc/elements/1.1/"/>
    <ds:schemaRef ds:uri="http://schemas.microsoft.com/office/infopath/2007/PartnerControls"/>
    <ds:schemaRef ds:uri="c094ce0d-e73c-47bb-879a-c2bfd0ea7f03"/>
  </ds:schemaRefs>
</ds:datastoreItem>
</file>

<file path=customXml/itemProps2.xml><?xml version="1.0" encoding="utf-8"?>
<ds:datastoreItem xmlns:ds="http://schemas.openxmlformats.org/officeDocument/2006/customXml" ds:itemID="{FA30310D-4303-4CAF-A5EF-850C8903F8AE}">
  <ds:schemaRefs>
    <ds:schemaRef ds:uri="office.server.policy"/>
  </ds:schemaRefs>
</ds:datastoreItem>
</file>

<file path=customXml/itemProps3.xml><?xml version="1.0" encoding="utf-8"?>
<ds:datastoreItem xmlns:ds="http://schemas.openxmlformats.org/officeDocument/2006/customXml" ds:itemID="{CC642B0A-EAE7-4521-AABE-094744548F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c094ce0d-e73c-47bb-879a-c2bfd0ea7f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446E1F-8824-49BA-B608-557FACC0B42C}">
  <ds:schemaRefs>
    <ds:schemaRef ds:uri="http://schemas.microsoft.com/sharepoint/events"/>
  </ds:schemaRefs>
</ds:datastoreItem>
</file>

<file path=customXml/itemProps5.xml><?xml version="1.0" encoding="utf-8"?>
<ds:datastoreItem xmlns:ds="http://schemas.openxmlformats.org/officeDocument/2006/customXml" ds:itemID="{FF405BFD-8851-45F7-AA13-9A1174480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12936</Words>
  <Characters>70507</Characters>
  <Application>Microsoft Office Word</Application>
  <DocSecurity>0</DocSecurity>
  <Lines>1639</Lines>
  <Paragraphs>851</Paragraphs>
  <ScaleCrop>false</ScaleCrop>
  <HeadingPairs>
    <vt:vector size="2" baseType="variant">
      <vt:variant>
        <vt:lpstr>Title</vt:lpstr>
      </vt:variant>
      <vt:variant>
        <vt:i4>1</vt:i4>
      </vt:variant>
    </vt:vector>
  </HeadingPairs>
  <TitlesOfParts>
    <vt:vector size="1" baseType="lpstr">
      <vt:lpstr>Submission 147 - Commonwealth Department of Education - Childcare and Early Childhood Learning - Public inquiry</vt:lpstr>
    </vt:vector>
  </TitlesOfParts>
  <Company>Commonwealth Department of Education</Company>
  <LinksUpToDate>false</LinksUpToDate>
  <CharactersWithSpaces>82592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147 - Commonwealth Department of Education - Childcare and Early Childhood Learning - Public inquiry</dc:title>
  <dc:creator>Commonwealth Department of Education</dc:creator>
  <cp:lastModifiedBy>Productivity Commission</cp:lastModifiedBy>
  <cp:revision>2</cp:revision>
  <cp:lastPrinted>2014-02-03T03:48:00Z</cp:lastPrinted>
  <dcterms:created xsi:type="dcterms:W3CDTF">2014-02-05T03:57:00Z</dcterms:created>
  <dcterms:modified xsi:type="dcterms:W3CDTF">2014-02-05T03:57:00Z</dcterms:modified>
</cp:coreProperties>
</file>