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49" w:rsidRDefault="00394B49" w:rsidP="00394B49">
      <w:pPr>
        <w:jc w:val="center"/>
        <w:rPr>
          <w:b/>
          <w:lang w:val="en"/>
        </w:rPr>
      </w:pPr>
      <w:r>
        <w:rPr>
          <w:b/>
        </w:rPr>
        <w:t xml:space="preserve">Submission to the </w:t>
      </w:r>
      <w:r>
        <w:rPr>
          <w:b/>
          <w:lang w:val="en"/>
        </w:rPr>
        <w:t>Childcare and Early Childhood Learning Productivity Commission</w:t>
      </w:r>
    </w:p>
    <w:p w:rsidR="00394B49" w:rsidRDefault="00394B49" w:rsidP="00394B49">
      <w:pPr>
        <w:jc w:val="center"/>
        <w:rPr>
          <w:sz w:val="18"/>
          <w:szCs w:val="18"/>
          <w:lang w:val="en"/>
        </w:rPr>
      </w:pPr>
      <w:r>
        <w:rPr>
          <w:sz w:val="18"/>
          <w:szCs w:val="18"/>
          <w:lang w:val="en"/>
        </w:rPr>
        <w:t>By Tracey Victor</w:t>
      </w:r>
    </w:p>
    <w:p w:rsidR="00394B49" w:rsidRDefault="00394B49" w:rsidP="00394B49">
      <w:pPr>
        <w:rPr>
          <w:lang w:val="en-US"/>
        </w:rPr>
      </w:pPr>
      <w:r>
        <w:rPr>
          <w:sz w:val="18"/>
          <w:szCs w:val="18"/>
          <w:lang w:val="en"/>
        </w:rPr>
        <w:t>January 2014</w:t>
      </w:r>
    </w:p>
    <w:p w:rsidR="00394B49" w:rsidRDefault="00394B49" w:rsidP="00394B49">
      <w:pPr>
        <w:jc w:val="both"/>
      </w:pPr>
      <w:r>
        <w:t>This submission has been de</w:t>
      </w:r>
      <w:r w:rsidR="00BC4D4F">
        <w:t>veloped with a specific focus on</w:t>
      </w:r>
      <w:r>
        <w:t xml:space="preserve"> the inclusion of all children, including children with additional needs. </w:t>
      </w:r>
    </w:p>
    <w:p w:rsidR="00394B49" w:rsidRDefault="00394B49" w:rsidP="00394B49">
      <w:pPr>
        <w:jc w:val="both"/>
        <w:rPr>
          <w:b/>
        </w:rPr>
      </w:pPr>
      <w:r>
        <w:rPr>
          <w:b/>
        </w:rPr>
        <w:t>Background</w:t>
      </w:r>
    </w:p>
    <w:p w:rsidR="00394B49" w:rsidRDefault="00394B49" w:rsidP="00394B49">
      <w:pPr>
        <w:jc w:val="both"/>
      </w:pPr>
      <w:r>
        <w:t>I am currently employed</w:t>
      </w:r>
      <w:r w:rsidR="005248BF">
        <w:t xml:space="preserve"> </w:t>
      </w:r>
      <w:r>
        <w:t xml:space="preserve">by Family Day Care Assoc. Qld as the Program Manager for the Central West Fitzroy </w:t>
      </w:r>
      <w:r w:rsidR="005248BF">
        <w:t xml:space="preserve">(39) </w:t>
      </w:r>
      <w:r>
        <w:t>and Mackay Regions</w:t>
      </w:r>
      <w:r w:rsidR="00BD5755">
        <w:t xml:space="preserve"> (43</w:t>
      </w:r>
      <w:r w:rsidR="00BC4D4F">
        <w:t>) Inclusion</w:t>
      </w:r>
      <w:r>
        <w:t xml:space="preserve"> Support Agency</w:t>
      </w:r>
      <w:r w:rsidR="00BD5755">
        <w:t xml:space="preserve"> (ISA</w:t>
      </w:r>
      <w:r w:rsidR="005248BF">
        <w:t>)</w:t>
      </w:r>
      <w:r>
        <w:t xml:space="preserve">. I came to this role </w:t>
      </w:r>
      <w:r w:rsidR="00BC4D4F">
        <w:t xml:space="preserve">11 </w:t>
      </w:r>
      <w:bookmarkStart w:id="0" w:name="_GoBack"/>
      <w:bookmarkEnd w:id="0"/>
      <w:r w:rsidR="00BC4D4F">
        <w:t xml:space="preserve">months ago, </w:t>
      </w:r>
      <w:r>
        <w:t>with experience in the Child Care and Educations Sector (approx. 15 years), Disability,</w:t>
      </w:r>
      <w:r w:rsidR="005248BF">
        <w:t xml:space="preserve"> Aged Care and State Health </w:t>
      </w:r>
      <w:r w:rsidR="00BC4D4F">
        <w:t>Sectors</w:t>
      </w:r>
      <w:r>
        <w:t>.</w:t>
      </w:r>
    </w:p>
    <w:p w:rsidR="00A158B1" w:rsidRDefault="00A158B1" w:rsidP="00394B49">
      <w:pPr>
        <w:jc w:val="center"/>
      </w:pPr>
    </w:p>
    <w:p w:rsidR="00394B49" w:rsidRDefault="00394B49" w:rsidP="00394B49">
      <w:pPr>
        <w:rPr>
          <w:b/>
        </w:rPr>
      </w:pPr>
      <w:r>
        <w:rPr>
          <w:b/>
        </w:rPr>
        <w:t xml:space="preserve">Inclusion – Inclusion and Professional Support Program </w:t>
      </w:r>
      <w:r w:rsidR="005248BF">
        <w:rPr>
          <w:b/>
        </w:rPr>
        <w:t>(IPSP)</w:t>
      </w:r>
    </w:p>
    <w:p w:rsidR="001C1B0B" w:rsidRPr="00394870" w:rsidRDefault="008B28C1" w:rsidP="00394870">
      <w:r>
        <w:t>The Inclusion Support Agencies</w:t>
      </w:r>
      <w:r w:rsidR="00BD5755">
        <w:t xml:space="preserve"> (ISA</w:t>
      </w:r>
      <w:r w:rsidR="00BC4D4F">
        <w:t>) across</w:t>
      </w:r>
      <w:r>
        <w:t xml:space="preserve"> the national make up 80% of the available</w:t>
      </w:r>
      <w:r w:rsidR="005248BF">
        <w:t xml:space="preserve"> </w:t>
      </w:r>
      <w:r w:rsidR="00394870">
        <w:t>IPSP funding</w:t>
      </w:r>
      <w:r w:rsidR="001C1B0B">
        <w:t xml:space="preserve">. The </w:t>
      </w:r>
      <w:r w:rsidR="00BD5755">
        <w:t>ISA employ</w:t>
      </w:r>
      <w:r w:rsidR="00394870">
        <w:t xml:space="preserve"> Inclusion Support F</w:t>
      </w:r>
      <w:r>
        <w:t>acilitators</w:t>
      </w:r>
      <w:r w:rsidR="00394870">
        <w:t xml:space="preserve"> (ISF) to</w:t>
      </w:r>
      <w:r>
        <w:t xml:space="preserve"> support and mentor Educators in a variety of settings, building the</w:t>
      </w:r>
      <w:r w:rsidR="00BC4D4F">
        <w:t>ir</w:t>
      </w:r>
      <w:r>
        <w:t xml:space="preserve"> capacity to be able to be inclusive of all children including those with additional needs. </w:t>
      </w:r>
      <w:r w:rsidR="00394870">
        <w:t>These</w:t>
      </w:r>
      <w:r w:rsidR="00BD5755">
        <w:t xml:space="preserve"> responsibilities are outlined</w:t>
      </w:r>
      <w:r w:rsidR="00394870">
        <w:t xml:space="preserve"> within the Guidelines and identify an </w:t>
      </w:r>
      <w:r w:rsidR="00394870">
        <w:rPr>
          <w:i/>
        </w:rPr>
        <w:t xml:space="preserve">ISA’s aims as </w:t>
      </w:r>
      <w:r w:rsidR="001C1B0B" w:rsidRPr="001C1B0B">
        <w:rPr>
          <w:i/>
        </w:rPr>
        <w:t>:</w:t>
      </w:r>
    </w:p>
    <w:p w:rsidR="001C1B0B" w:rsidRPr="001C1B0B" w:rsidRDefault="001C1B0B" w:rsidP="001C1B0B">
      <w:pPr>
        <w:pStyle w:val="NormalWeb"/>
        <w:numPr>
          <w:ilvl w:val="0"/>
          <w:numId w:val="4"/>
        </w:numPr>
        <w:rPr>
          <w:i/>
        </w:rPr>
      </w:pPr>
      <w:r w:rsidRPr="001C1B0B">
        <w:rPr>
          <w:i/>
        </w:rPr>
        <w:t>promote and support access to quality ECEC services;</w:t>
      </w:r>
    </w:p>
    <w:p w:rsidR="001C1B0B" w:rsidRPr="001C1B0B" w:rsidRDefault="001C1B0B" w:rsidP="001C1B0B">
      <w:pPr>
        <w:pStyle w:val="NormalWeb"/>
        <w:numPr>
          <w:ilvl w:val="0"/>
          <w:numId w:val="4"/>
        </w:numPr>
        <w:rPr>
          <w:i/>
        </w:rPr>
      </w:pPr>
      <w:r w:rsidRPr="001C1B0B">
        <w:rPr>
          <w:i/>
        </w:rPr>
        <w:t>help build the capacity of eligible ECEC services to successfully include children with additional needs;</w:t>
      </w:r>
    </w:p>
    <w:p w:rsidR="001C1B0B" w:rsidRPr="001C1B0B" w:rsidRDefault="001C1B0B" w:rsidP="001C1B0B">
      <w:pPr>
        <w:pStyle w:val="NormalWeb"/>
        <w:numPr>
          <w:ilvl w:val="0"/>
          <w:numId w:val="4"/>
        </w:numPr>
        <w:rPr>
          <w:i/>
        </w:rPr>
      </w:pPr>
      <w:r w:rsidRPr="001C1B0B">
        <w:rPr>
          <w:i/>
        </w:rPr>
        <w:t>ensure inclusion support is delivered in a flexible manner, and is responsive to the</w:t>
      </w:r>
    </w:p>
    <w:p w:rsidR="001C1B0B" w:rsidRPr="001C1B0B" w:rsidRDefault="001C1B0B" w:rsidP="001C1B0B">
      <w:pPr>
        <w:pStyle w:val="NormalWeb"/>
        <w:numPr>
          <w:ilvl w:val="0"/>
          <w:numId w:val="3"/>
        </w:numPr>
        <w:rPr>
          <w:i/>
        </w:rPr>
      </w:pPr>
      <w:r w:rsidRPr="001C1B0B">
        <w:rPr>
          <w:i/>
        </w:rPr>
        <w:t>needs and priorities of eligible ECEC services; and</w:t>
      </w:r>
    </w:p>
    <w:p w:rsidR="001C1B0B" w:rsidRPr="001C1B0B" w:rsidRDefault="001C1B0B" w:rsidP="001C1B0B">
      <w:pPr>
        <w:pStyle w:val="NormalWeb"/>
        <w:numPr>
          <w:ilvl w:val="0"/>
          <w:numId w:val="3"/>
        </w:numPr>
        <w:rPr>
          <w:i/>
        </w:rPr>
      </w:pPr>
      <w:r w:rsidRPr="001C1B0B">
        <w:rPr>
          <w:i/>
        </w:rPr>
        <w:t>ensure inclusion support is delivered in an efficient and cost effective manner, and in accordance with these Guidelines and the Funding Agreements.”</w:t>
      </w:r>
    </w:p>
    <w:p w:rsidR="001C1B0B" w:rsidRDefault="00394870" w:rsidP="008B28C1">
      <w:r>
        <w:t>(</w:t>
      </w:r>
      <w:hyperlink r:id="rId8" w:history="1">
        <w:r w:rsidRPr="000358A8">
          <w:rPr>
            <w:rStyle w:val="Hyperlink"/>
          </w:rPr>
          <w:t>http://docs.education.gov.au/documents/ipsp-guidelines-2013-2016</w:t>
        </w:r>
      </w:hyperlink>
      <w:r>
        <w:t>)</w:t>
      </w:r>
    </w:p>
    <w:p w:rsidR="000D00AA" w:rsidRDefault="0049633D" w:rsidP="008B28C1">
      <w:pPr>
        <w:rPr>
          <w:lang w:val="en-US"/>
        </w:rPr>
      </w:pPr>
      <w:r>
        <w:rPr>
          <w:lang w:val="en-US"/>
        </w:rPr>
        <w:t xml:space="preserve">Just as the world has changed for children and families, so it has changed for professionals who work with them. The notion of lifelong learning, reflective practice, researching with children, new methods of documenting and assessing children's learning, and collaborating across traditional service and discipline boundaries are examples of contemporary requirements for early childhood professionals. </w:t>
      </w:r>
    </w:p>
    <w:p w:rsidR="00394870" w:rsidRDefault="005248BF" w:rsidP="008B28C1">
      <w:r>
        <w:t xml:space="preserve">Over the years, there has been a noticeable increase in the requests for support from </w:t>
      </w:r>
      <w:r w:rsidR="00BD5755">
        <w:t>ECEC</w:t>
      </w:r>
      <w:r>
        <w:t xml:space="preserve"> received in </w:t>
      </w:r>
      <w:r w:rsidR="00394870">
        <w:t>our</w:t>
      </w:r>
      <w:r>
        <w:t xml:space="preserve"> regions</w:t>
      </w:r>
      <w:r w:rsidR="00BC4D4F">
        <w:t>,</w:t>
      </w:r>
      <w:r>
        <w:t xml:space="preserve"> alongside the increased reporting requirements and the ro</w:t>
      </w:r>
      <w:r w:rsidR="00394870">
        <w:t>ll out of the National Quality F</w:t>
      </w:r>
      <w:r>
        <w:t>ramework</w:t>
      </w:r>
      <w:r w:rsidR="00BC4D4F">
        <w:t>.</w:t>
      </w:r>
      <w:r w:rsidR="0049633D">
        <w:t xml:space="preserve"> </w:t>
      </w:r>
      <w:r w:rsidR="00AF450A">
        <w:t>Government at all levels re-</w:t>
      </w:r>
      <w:r w:rsidR="0049633D">
        <w:t>enforce this need</w:t>
      </w:r>
      <w:r w:rsidR="00AF450A">
        <w:t xml:space="preserve"> for a more inclusive community in </w:t>
      </w:r>
      <w:r w:rsidR="00AF450A">
        <w:lastRenderedPageBreak/>
        <w:t>policy and by identifying services needs to demonstrated their inclusive practices on many levels (i.e. Disability, Multiculturalism etc.</w:t>
      </w:r>
      <w:r w:rsidR="0049633D">
        <w:t xml:space="preserve">).  I believe that this is clear demonstration of the need for the </w:t>
      </w:r>
      <w:r w:rsidR="00BD5755">
        <w:t>ISA</w:t>
      </w:r>
      <w:r w:rsidR="0049633D">
        <w:t xml:space="preserve"> and the work of the ISF. </w:t>
      </w:r>
    </w:p>
    <w:p w:rsidR="00394870" w:rsidRDefault="0049633D" w:rsidP="008B28C1">
      <w:r>
        <w:t>Throughout these times of change and increasing demand, the fund</w:t>
      </w:r>
      <w:r w:rsidR="005D0772">
        <w:t>ing</w:t>
      </w:r>
      <w:r>
        <w:t xml:space="preserve"> for the Agency has not been reflected and there is a clear split of 25% administration and 75% for service support. </w:t>
      </w:r>
      <w:r w:rsidR="00BC4D4F">
        <w:t xml:space="preserve">Anecdotal </w:t>
      </w:r>
      <w:r>
        <w:t xml:space="preserve">evidence </w:t>
      </w:r>
      <w:r w:rsidR="00BC4D4F">
        <w:t xml:space="preserve">within our Agency </w:t>
      </w:r>
      <w:r>
        <w:t>indicates that ISF</w:t>
      </w:r>
      <w:r w:rsidR="00BD5755">
        <w:t>’s</w:t>
      </w:r>
      <w:r>
        <w:t xml:space="preserve"> role has becom</w:t>
      </w:r>
      <w:r w:rsidR="00BD5755">
        <w:t>e more an administrative role</w:t>
      </w:r>
      <w:r w:rsidR="00BC4D4F">
        <w:t>. ISF report a significant amount of time utilised in supporting ECECs</w:t>
      </w:r>
      <w:r w:rsidR="00BD5755">
        <w:t xml:space="preserve"> with applications for Inclusion Support funding</w:t>
      </w:r>
      <w:r w:rsidR="000D00AA">
        <w:t xml:space="preserve"> (IS)</w:t>
      </w:r>
      <w:r w:rsidR="00BC4D4F">
        <w:t>;</w:t>
      </w:r>
      <w:r w:rsidR="000D00AA">
        <w:t xml:space="preserve"> with an estimated of</w:t>
      </w:r>
      <w:r w:rsidR="00BD5755">
        <w:t xml:space="preserve"> 65% of their time spent in office/administration base activities and 35% in support and mentoring Educators in their </w:t>
      </w:r>
      <w:r w:rsidR="00BC4D4F">
        <w:t>Child C</w:t>
      </w:r>
      <w:r w:rsidR="00BD5755">
        <w:t xml:space="preserve">are environments.  </w:t>
      </w:r>
      <w:r w:rsidR="000D00AA">
        <w:t>It is believed that these time percentages need to be reversed to best meet the needs of the ECEC and Children with the potential to decrease the reliance on ongoing ISS funding.</w:t>
      </w:r>
    </w:p>
    <w:p w:rsidR="00B12599" w:rsidRDefault="00BD5755" w:rsidP="008B28C1">
      <w:r>
        <w:t>The Portal application and reapplication</w:t>
      </w:r>
      <w:r w:rsidR="004A439D">
        <w:t xml:space="preserve"> process is complex</w:t>
      </w:r>
      <w:r w:rsidR="00B12599">
        <w:t xml:space="preserve">, </w:t>
      </w:r>
      <w:r>
        <w:t>and there are times that experienced ISF’s</w:t>
      </w:r>
      <w:r w:rsidR="004A439D">
        <w:t xml:space="preserve"> can struggle</w:t>
      </w:r>
      <w:r w:rsidR="00B12599">
        <w:t>;</w:t>
      </w:r>
      <w:r w:rsidR="004A439D">
        <w:t xml:space="preserve"> with what type of application is appropriate in certain situations </w:t>
      </w:r>
      <w:r>
        <w:t>or settings</w:t>
      </w:r>
      <w:r w:rsidR="00B12599">
        <w:t xml:space="preserve">. Services often </w:t>
      </w:r>
      <w:r w:rsidR="004A439D">
        <w:t>only engage with the</w:t>
      </w:r>
      <w:r w:rsidR="00B12599">
        <w:t xml:space="preserve"> portal process a few times a year</w:t>
      </w:r>
      <w:r w:rsidR="000D00AA">
        <w:t>,</w:t>
      </w:r>
      <w:r w:rsidR="00B12599">
        <w:t xml:space="preserve"> so generally there will be a predictable need for assistance. </w:t>
      </w:r>
      <w:r>
        <w:t xml:space="preserve">They </w:t>
      </w:r>
      <w:r w:rsidR="00B12599">
        <w:t>often report their frustration with the Portal system</w:t>
      </w:r>
      <w:r>
        <w:t>;</w:t>
      </w:r>
      <w:r w:rsidR="00B12599">
        <w:t xml:space="preserve"> identifying </w:t>
      </w:r>
      <w:r>
        <w:t>that if</w:t>
      </w:r>
      <w:r w:rsidR="004A439D">
        <w:t xml:space="preserve"> an application is not written in a specific w</w:t>
      </w:r>
      <w:r w:rsidR="00B12599">
        <w:t>ay</w:t>
      </w:r>
      <w:r>
        <w:t xml:space="preserve"> this can mean that it can </w:t>
      </w:r>
      <w:r w:rsidR="00B12599">
        <w:t xml:space="preserve">l be declined </w:t>
      </w:r>
      <w:r>
        <w:t xml:space="preserve">making the </w:t>
      </w:r>
      <w:r w:rsidR="00BC4D4F">
        <w:t>process protracted</w:t>
      </w:r>
      <w:r>
        <w:t xml:space="preserve"> and approached with trepidation</w:t>
      </w:r>
      <w:r w:rsidR="00BC4D4F">
        <w:t xml:space="preserve"> and at times avoidance by Educators</w:t>
      </w:r>
      <w:r>
        <w:t xml:space="preserve">. </w:t>
      </w:r>
    </w:p>
    <w:p w:rsidR="00B12599" w:rsidRPr="00B12599" w:rsidRDefault="00B12599" w:rsidP="00B12599">
      <w:pPr>
        <w:pStyle w:val="NormalWeb"/>
      </w:pPr>
      <w:r>
        <w:t xml:space="preserve">The demand on </w:t>
      </w:r>
      <w:r w:rsidR="00787EA7">
        <w:t>the ISF to</w:t>
      </w:r>
      <w:r>
        <w:t xml:space="preserve"> assist </w:t>
      </w:r>
      <w:r w:rsidR="00BC4D4F">
        <w:t>ECEC</w:t>
      </w:r>
      <w:r w:rsidR="00BD5755">
        <w:t xml:space="preserve"> with this</w:t>
      </w:r>
      <w:r w:rsidR="00787EA7">
        <w:t xml:space="preserve"> administrative role, </w:t>
      </w:r>
      <w:r w:rsidR="000D00AA">
        <w:t>thus draws</w:t>
      </w:r>
      <w:r>
        <w:t xml:space="preserve"> their time and attention away from their ability to mentor and support Educators</w:t>
      </w:r>
      <w:r w:rsidR="00787EA7">
        <w:t xml:space="preserve">. ISF </w:t>
      </w:r>
      <w:r w:rsidR="00BC4D4F">
        <w:t xml:space="preserve">believe that to best achieve positive outcomes for children their time is more effectively spent in </w:t>
      </w:r>
      <w:r w:rsidR="00787EA7">
        <w:t>assist</w:t>
      </w:r>
      <w:r w:rsidR="00BC4D4F">
        <w:t xml:space="preserve">ing </w:t>
      </w:r>
      <w:r w:rsidR="00787EA7">
        <w:t xml:space="preserve"> </w:t>
      </w:r>
      <w:r>
        <w:t xml:space="preserve"> </w:t>
      </w:r>
      <w:r w:rsidR="00BC4D4F">
        <w:t>Educators to build their capacity</w:t>
      </w:r>
      <w:r>
        <w:t xml:space="preserve"> to </w:t>
      </w:r>
      <w:r w:rsidR="000D00AA">
        <w:t>include children and provide an</w:t>
      </w:r>
      <w:r>
        <w:t xml:space="preserve"> environment </w:t>
      </w:r>
      <w:r w:rsidR="00BC4D4F">
        <w:t xml:space="preserve">which </w:t>
      </w:r>
      <w:r w:rsidR="00BC4D4F" w:rsidRPr="00B12599">
        <w:t>will</w:t>
      </w:r>
      <w:r w:rsidRPr="00B12599">
        <w:t xml:space="preserve"> enable children with additional needs to participate in the activities available in the service, and to have the same opportunities as others to participate, belong, develop and succeed. </w:t>
      </w:r>
    </w:p>
    <w:p w:rsidR="00BC4D4F" w:rsidRDefault="004A439D" w:rsidP="00BD5755">
      <w:r>
        <w:t>A more cost effective approach could be that the ISF assists the service with developing an underst</w:t>
      </w:r>
      <w:r w:rsidR="00BD5755">
        <w:t>anding of their need through their Service Support Plan (</w:t>
      </w:r>
      <w:r>
        <w:t>SSP</w:t>
      </w:r>
      <w:r w:rsidR="00BD5755">
        <w:t>)</w:t>
      </w:r>
      <w:r>
        <w:t xml:space="preserve"> that </w:t>
      </w:r>
      <w:r w:rsidR="000D00AA">
        <w:t>outlines</w:t>
      </w:r>
      <w:r>
        <w:t xml:space="preserve"> what strategies </w:t>
      </w:r>
      <w:r w:rsidR="000D00AA">
        <w:t xml:space="preserve">that </w:t>
      </w:r>
      <w:r>
        <w:t>are going to be pu</w:t>
      </w:r>
      <w:r w:rsidR="000D00AA">
        <w:t>t in place, by whom and by when; which will in turn</w:t>
      </w:r>
      <w:r>
        <w:t xml:space="preserve"> determine if ongoing IS funding support is required. </w:t>
      </w:r>
      <w:r w:rsidR="00BC4D4F">
        <w:t xml:space="preserve"> </w:t>
      </w:r>
      <w:r>
        <w:t>If this is required</w:t>
      </w:r>
      <w:r w:rsidR="00BC4D4F">
        <w:t>,</w:t>
      </w:r>
      <w:r>
        <w:t xml:space="preserve"> then the ECEC service deals with the NISSP directly on a simplified system (with phone support for the on- line system) and leaves the ISF to continue their work that builds capacity  e.g. links to resources and professional development, support visits, coaching and mentoring, assistance with networking etc. </w:t>
      </w:r>
    </w:p>
    <w:p w:rsidR="004A439D" w:rsidRDefault="004A439D" w:rsidP="00BD5755">
      <w:r>
        <w:t>The application would remain an agreement between the Service and the NISSP and the ISF spends valuable time in the service and assists in monitoring that the funding is being used for approved purposes.</w:t>
      </w:r>
    </w:p>
    <w:p w:rsidR="000D00AA" w:rsidRDefault="000D00AA" w:rsidP="00BD5755"/>
    <w:p w:rsidR="000D00AA" w:rsidRDefault="000D00AA" w:rsidP="00BD5755">
      <w:r>
        <w:lastRenderedPageBreak/>
        <w:t xml:space="preserve">Alternatively the ongoing support could be achieved through the development of a new funded position (NISSP Liaison Officer) within the ISA, whose focus would be to support the application for IS with the ECEC. </w:t>
      </w:r>
    </w:p>
    <w:p w:rsidR="000D00AA" w:rsidRDefault="000D00AA" w:rsidP="00BD5755"/>
    <w:p w:rsidR="000D00AA" w:rsidRDefault="000D00AA" w:rsidP="00BD5755"/>
    <w:p w:rsidR="004A439D" w:rsidRDefault="004A439D"/>
    <w:sectPr w:rsidR="004A439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52E" w:rsidRDefault="002F652E" w:rsidP="004A439D">
      <w:pPr>
        <w:spacing w:after="0" w:line="240" w:lineRule="auto"/>
      </w:pPr>
      <w:r>
        <w:separator/>
      </w:r>
    </w:p>
  </w:endnote>
  <w:endnote w:type="continuationSeparator" w:id="0">
    <w:p w:rsidR="002F652E" w:rsidRDefault="002F652E" w:rsidP="004A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52E" w:rsidRDefault="002F652E" w:rsidP="004A439D">
      <w:pPr>
        <w:spacing w:after="0" w:line="240" w:lineRule="auto"/>
      </w:pPr>
      <w:r>
        <w:separator/>
      </w:r>
    </w:p>
  </w:footnote>
  <w:footnote w:type="continuationSeparator" w:id="0">
    <w:p w:rsidR="002F652E" w:rsidRDefault="002F652E" w:rsidP="004A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3" w:type="dxa"/>
      <w:jc w:val="center"/>
      <w:tblLayout w:type="fixed"/>
      <w:tblLook w:val="04A0" w:firstRow="1" w:lastRow="0" w:firstColumn="1" w:lastColumn="0" w:noHBand="0" w:noVBand="1"/>
    </w:tblPr>
    <w:tblGrid>
      <w:gridCol w:w="2122"/>
      <w:gridCol w:w="2835"/>
      <w:gridCol w:w="2551"/>
      <w:gridCol w:w="1985"/>
    </w:tblGrid>
    <w:tr w:rsidR="004A439D" w:rsidTr="002B4119">
      <w:trPr>
        <w:trHeight w:val="135"/>
        <w:jc w:val="center"/>
      </w:trPr>
      <w:tc>
        <w:tcPr>
          <w:tcW w:w="7508" w:type="dxa"/>
          <w:gridSpan w:val="3"/>
        </w:tcPr>
        <w:p w:rsidR="004A439D" w:rsidRPr="00B110E1" w:rsidRDefault="004A439D" w:rsidP="004A439D">
          <w:pPr>
            <w:pStyle w:val="Header"/>
            <w:jc w:val="center"/>
            <w:rPr>
              <w:rFonts w:ascii="Calibri" w:hAnsi="Calibri"/>
            </w:rPr>
          </w:pPr>
          <w:r w:rsidRPr="00B110E1">
            <w:rPr>
              <w:rFonts w:ascii="Calibri" w:hAnsi="Calibri"/>
            </w:rPr>
            <w:t>Inclusion Support Agency</w:t>
          </w:r>
        </w:p>
        <w:p w:rsidR="004A439D" w:rsidRDefault="004A439D" w:rsidP="004A439D">
          <w:pPr>
            <w:pStyle w:val="Header"/>
            <w:tabs>
              <w:tab w:val="left" w:pos="285"/>
              <w:tab w:val="center" w:pos="3646"/>
            </w:tabs>
            <w:rPr>
              <w:rFonts w:ascii="Calibri" w:hAnsi="Calibri"/>
            </w:rPr>
          </w:pPr>
          <w:r>
            <w:rPr>
              <w:rFonts w:ascii="Calibri" w:hAnsi="Calibri"/>
            </w:rPr>
            <w:tab/>
          </w:r>
          <w:r>
            <w:rPr>
              <w:rFonts w:ascii="Calibri" w:hAnsi="Calibri"/>
            </w:rPr>
            <w:tab/>
          </w:r>
          <w:r w:rsidRPr="00B110E1">
            <w:rPr>
              <w:rFonts w:ascii="Calibri" w:hAnsi="Calibri"/>
            </w:rPr>
            <w:t>Central West Fitzroy &amp; Mackay</w:t>
          </w:r>
        </w:p>
        <w:p w:rsidR="005D0772" w:rsidRPr="00B110E1" w:rsidRDefault="005D0772" w:rsidP="002860A7">
          <w:pPr>
            <w:pStyle w:val="Header"/>
            <w:tabs>
              <w:tab w:val="left" w:pos="285"/>
              <w:tab w:val="center" w:pos="3646"/>
            </w:tabs>
            <w:jc w:val="center"/>
            <w:rPr>
              <w:rFonts w:ascii="Calibri" w:hAnsi="Calibri"/>
            </w:rPr>
          </w:pPr>
          <w:r w:rsidRPr="005D0772">
            <w:rPr>
              <w:rFonts w:ascii="Calibri" w:hAnsi="Calibri"/>
              <w:b/>
            </w:rPr>
            <w:t xml:space="preserve">Program Manager </w:t>
          </w:r>
        </w:p>
      </w:tc>
      <w:tc>
        <w:tcPr>
          <w:tcW w:w="1985" w:type="dxa"/>
          <w:vMerge w:val="restart"/>
        </w:tcPr>
        <w:p w:rsidR="004A439D" w:rsidRDefault="004A439D" w:rsidP="004A439D">
          <w:pPr>
            <w:pStyle w:val="Header"/>
          </w:pPr>
          <w:r>
            <w:rPr>
              <w:noProof/>
              <w:color w:val="1F497D"/>
              <w:lang w:eastAsia="en-AU"/>
            </w:rPr>
            <w:drawing>
              <wp:inline distT="0" distB="0" distL="0" distR="0" wp14:anchorId="4B43BAC2" wp14:editId="00609386">
                <wp:extent cx="1095375" cy="923925"/>
                <wp:effectExtent l="0" t="0" r="9525" b="9525"/>
                <wp:docPr id="1" name="Picture 1" descr="cid:image001.png@01CF1742.A84D6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1742.A84D6A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r>
    <w:tr w:rsidR="004A439D" w:rsidTr="002B4119">
      <w:trPr>
        <w:trHeight w:val="871"/>
        <w:jc w:val="center"/>
      </w:trPr>
      <w:tc>
        <w:tcPr>
          <w:tcW w:w="2122" w:type="dxa"/>
        </w:tcPr>
        <w:p w:rsidR="004A439D" w:rsidRPr="003D79A1" w:rsidRDefault="004A439D" w:rsidP="004A439D">
          <w:pPr>
            <w:pStyle w:val="Header"/>
            <w:jc w:val="center"/>
            <w:rPr>
              <w:rFonts w:ascii="Calibri" w:hAnsi="Calibri"/>
              <w:b/>
            </w:rPr>
          </w:pPr>
          <w:r w:rsidRPr="003D79A1">
            <w:rPr>
              <w:rFonts w:ascii="Calibri" w:hAnsi="Calibri"/>
              <w:b/>
            </w:rPr>
            <w:t>Mackay</w:t>
          </w:r>
        </w:p>
        <w:p w:rsidR="004A439D" w:rsidRDefault="004A439D" w:rsidP="004A439D">
          <w:pPr>
            <w:pStyle w:val="Header"/>
            <w:jc w:val="center"/>
            <w:rPr>
              <w:rFonts w:ascii="Calibri" w:hAnsi="Calibri"/>
            </w:rPr>
          </w:pPr>
          <w:proofErr w:type="spellStart"/>
          <w:r>
            <w:rPr>
              <w:rFonts w:ascii="Calibri" w:hAnsi="Calibri"/>
            </w:rPr>
            <w:t>Ph</w:t>
          </w:r>
          <w:proofErr w:type="spellEnd"/>
          <w:r>
            <w:rPr>
              <w:rFonts w:ascii="Calibri" w:hAnsi="Calibri"/>
            </w:rPr>
            <w:t xml:space="preserve"> </w:t>
          </w:r>
          <w:r w:rsidRPr="00B110E1">
            <w:rPr>
              <w:rFonts w:ascii="Calibri" w:hAnsi="Calibri"/>
            </w:rPr>
            <w:t>4957 8396</w:t>
          </w:r>
          <w:r>
            <w:rPr>
              <w:rFonts w:ascii="Calibri" w:hAnsi="Calibri"/>
            </w:rPr>
            <w:t xml:space="preserve"> </w:t>
          </w:r>
        </w:p>
        <w:p w:rsidR="004A439D" w:rsidRPr="00B110E1" w:rsidRDefault="004A439D" w:rsidP="004A439D">
          <w:pPr>
            <w:pStyle w:val="Header"/>
            <w:jc w:val="center"/>
            <w:rPr>
              <w:rFonts w:ascii="Calibri" w:hAnsi="Calibri"/>
            </w:rPr>
          </w:pPr>
          <w:r>
            <w:rPr>
              <w:rFonts w:ascii="Calibri" w:hAnsi="Calibri"/>
            </w:rPr>
            <w:t>Fax 4957 2281</w:t>
          </w:r>
        </w:p>
      </w:tc>
      <w:tc>
        <w:tcPr>
          <w:tcW w:w="2835" w:type="dxa"/>
        </w:tcPr>
        <w:p w:rsidR="004A439D" w:rsidRPr="003D79A1" w:rsidRDefault="004A439D" w:rsidP="004A439D">
          <w:pPr>
            <w:pStyle w:val="Header"/>
            <w:jc w:val="center"/>
            <w:rPr>
              <w:rFonts w:ascii="Calibri" w:hAnsi="Calibri"/>
              <w:b/>
            </w:rPr>
          </w:pPr>
          <w:r w:rsidRPr="003D79A1">
            <w:rPr>
              <w:rFonts w:ascii="Calibri" w:hAnsi="Calibri"/>
              <w:b/>
            </w:rPr>
            <w:t>Rockhampton</w:t>
          </w:r>
        </w:p>
        <w:p w:rsidR="004A439D" w:rsidRDefault="004A439D" w:rsidP="004A439D">
          <w:pPr>
            <w:pStyle w:val="Header"/>
            <w:jc w:val="center"/>
            <w:rPr>
              <w:rFonts w:ascii="Calibri" w:hAnsi="Calibri"/>
            </w:rPr>
          </w:pPr>
          <w:r w:rsidRPr="00B110E1">
            <w:rPr>
              <w:rFonts w:ascii="Calibri" w:hAnsi="Calibri"/>
            </w:rPr>
            <w:t>4921 4252</w:t>
          </w:r>
        </w:p>
        <w:p w:rsidR="004A439D" w:rsidRPr="00B110E1" w:rsidRDefault="004A439D" w:rsidP="004A439D">
          <w:pPr>
            <w:pStyle w:val="Header"/>
            <w:jc w:val="center"/>
            <w:rPr>
              <w:rFonts w:ascii="Calibri" w:hAnsi="Calibri"/>
            </w:rPr>
          </w:pPr>
          <w:r>
            <w:rPr>
              <w:rFonts w:ascii="Calibri" w:hAnsi="Calibri"/>
            </w:rPr>
            <w:t>Fax 4921 3207</w:t>
          </w:r>
        </w:p>
      </w:tc>
      <w:tc>
        <w:tcPr>
          <w:tcW w:w="2551" w:type="dxa"/>
        </w:tcPr>
        <w:p w:rsidR="004A439D" w:rsidRPr="003D79A1" w:rsidRDefault="004A439D" w:rsidP="004A439D">
          <w:pPr>
            <w:pStyle w:val="Header"/>
            <w:jc w:val="center"/>
            <w:rPr>
              <w:rFonts w:ascii="Calibri" w:hAnsi="Calibri"/>
              <w:b/>
            </w:rPr>
          </w:pPr>
          <w:r w:rsidRPr="003D79A1">
            <w:rPr>
              <w:rFonts w:ascii="Calibri" w:hAnsi="Calibri"/>
              <w:b/>
            </w:rPr>
            <w:t>Gladstone</w:t>
          </w:r>
        </w:p>
        <w:p w:rsidR="004A439D" w:rsidRDefault="004A439D" w:rsidP="004A439D">
          <w:pPr>
            <w:pStyle w:val="Header"/>
            <w:jc w:val="center"/>
            <w:rPr>
              <w:rFonts w:ascii="Calibri" w:hAnsi="Calibri"/>
            </w:rPr>
          </w:pPr>
          <w:r w:rsidRPr="00B110E1">
            <w:rPr>
              <w:rFonts w:ascii="Calibri" w:hAnsi="Calibri"/>
            </w:rPr>
            <w:t>4972 2041</w:t>
          </w:r>
        </w:p>
        <w:p w:rsidR="004A439D" w:rsidRDefault="004A439D" w:rsidP="004A439D">
          <w:pPr>
            <w:pStyle w:val="Header"/>
            <w:jc w:val="center"/>
            <w:rPr>
              <w:rFonts w:ascii="Calibri" w:hAnsi="Calibri"/>
            </w:rPr>
          </w:pPr>
          <w:r>
            <w:rPr>
              <w:rFonts w:ascii="Calibri" w:hAnsi="Calibri"/>
            </w:rPr>
            <w:t>Fax 4972 6182</w:t>
          </w:r>
        </w:p>
        <w:p w:rsidR="004A439D" w:rsidRPr="00B110E1" w:rsidRDefault="004A439D" w:rsidP="004A439D">
          <w:pPr>
            <w:pStyle w:val="Header"/>
            <w:jc w:val="center"/>
            <w:rPr>
              <w:rFonts w:ascii="Calibri" w:hAnsi="Calibri"/>
            </w:rPr>
          </w:pPr>
        </w:p>
      </w:tc>
      <w:tc>
        <w:tcPr>
          <w:tcW w:w="1985" w:type="dxa"/>
          <w:vMerge/>
        </w:tcPr>
        <w:p w:rsidR="004A439D" w:rsidRDefault="004A439D" w:rsidP="004A439D">
          <w:pPr>
            <w:pStyle w:val="Header"/>
          </w:pPr>
        </w:p>
      </w:tc>
    </w:tr>
    <w:tr w:rsidR="004A439D" w:rsidTr="002B4119">
      <w:trPr>
        <w:trHeight w:val="135"/>
        <w:jc w:val="center"/>
      </w:trPr>
      <w:tc>
        <w:tcPr>
          <w:tcW w:w="2122" w:type="dxa"/>
        </w:tcPr>
        <w:p w:rsidR="004A439D" w:rsidRPr="00B110E1" w:rsidRDefault="004A439D" w:rsidP="004A439D">
          <w:pPr>
            <w:pStyle w:val="Header"/>
            <w:jc w:val="center"/>
            <w:rPr>
              <w:rFonts w:ascii="Calibri" w:hAnsi="Calibri"/>
            </w:rPr>
          </w:pPr>
          <w:r>
            <w:rPr>
              <w:rFonts w:ascii="Calibri" w:hAnsi="Calibri"/>
            </w:rPr>
            <w:t>Mackay@inclusionsupportagency.com.au</w:t>
          </w:r>
        </w:p>
      </w:tc>
      <w:tc>
        <w:tcPr>
          <w:tcW w:w="2835" w:type="dxa"/>
        </w:tcPr>
        <w:p w:rsidR="004A439D" w:rsidRPr="00B110E1" w:rsidRDefault="004A439D" w:rsidP="004A439D">
          <w:pPr>
            <w:pStyle w:val="Header"/>
            <w:jc w:val="center"/>
            <w:rPr>
              <w:rFonts w:ascii="Calibri" w:hAnsi="Calibri"/>
            </w:rPr>
          </w:pPr>
          <w:r>
            <w:rPr>
              <w:rFonts w:ascii="Calibri" w:hAnsi="Calibri"/>
            </w:rPr>
            <w:t>CQISA@inclusionsupportagency.com.au</w:t>
          </w:r>
        </w:p>
      </w:tc>
      <w:tc>
        <w:tcPr>
          <w:tcW w:w="2551" w:type="dxa"/>
        </w:tcPr>
        <w:p w:rsidR="004A439D" w:rsidRPr="00B110E1" w:rsidRDefault="004A439D" w:rsidP="004A439D">
          <w:pPr>
            <w:pStyle w:val="Header"/>
            <w:jc w:val="center"/>
            <w:rPr>
              <w:rFonts w:ascii="Calibri" w:hAnsi="Calibri"/>
            </w:rPr>
          </w:pPr>
          <w:r>
            <w:rPr>
              <w:rFonts w:ascii="Calibri" w:hAnsi="Calibri"/>
            </w:rPr>
            <w:t>CQISA@inclusionsupportagency.com.au</w:t>
          </w:r>
        </w:p>
      </w:tc>
      <w:tc>
        <w:tcPr>
          <w:tcW w:w="1985" w:type="dxa"/>
          <w:vMerge/>
        </w:tcPr>
        <w:p w:rsidR="004A439D" w:rsidRDefault="004A439D" w:rsidP="004A439D">
          <w:pPr>
            <w:pStyle w:val="Header"/>
          </w:pPr>
        </w:p>
      </w:tc>
    </w:tr>
  </w:tbl>
  <w:p w:rsidR="004A439D" w:rsidRDefault="004A439D" w:rsidP="00E40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01A"/>
    <w:multiLevelType w:val="hybridMultilevel"/>
    <w:tmpl w:val="E6DE87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9B60704"/>
    <w:multiLevelType w:val="hybridMultilevel"/>
    <w:tmpl w:val="9A18E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5755104A"/>
    <w:multiLevelType w:val="hybridMultilevel"/>
    <w:tmpl w:val="4192E0D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8BA2832"/>
    <w:multiLevelType w:val="hybridMultilevel"/>
    <w:tmpl w:val="90A82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9D"/>
    <w:rsid w:val="000D00AA"/>
    <w:rsid w:val="001C1B0B"/>
    <w:rsid w:val="002860A7"/>
    <w:rsid w:val="002E3065"/>
    <w:rsid w:val="002F652E"/>
    <w:rsid w:val="00394870"/>
    <w:rsid w:val="00394B49"/>
    <w:rsid w:val="0049633D"/>
    <w:rsid w:val="004A439D"/>
    <w:rsid w:val="005248BF"/>
    <w:rsid w:val="005D0772"/>
    <w:rsid w:val="006C6EFF"/>
    <w:rsid w:val="00787EA7"/>
    <w:rsid w:val="008B28C1"/>
    <w:rsid w:val="00A158B1"/>
    <w:rsid w:val="00AF450A"/>
    <w:rsid w:val="00B12599"/>
    <w:rsid w:val="00BC4D4F"/>
    <w:rsid w:val="00BD5755"/>
    <w:rsid w:val="00E07659"/>
    <w:rsid w:val="00E40410"/>
    <w:rsid w:val="00E66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9D"/>
    <w:pPr>
      <w:spacing w:after="200" w:line="276" w:lineRule="auto"/>
      <w:ind w:left="720"/>
      <w:contextualSpacing/>
    </w:pPr>
    <w:rPr>
      <w:rFonts w:eastAsiaTheme="minorEastAsia"/>
      <w:lang w:val="en-US"/>
    </w:rPr>
  </w:style>
  <w:style w:type="paragraph" w:styleId="Header">
    <w:name w:val="header"/>
    <w:basedOn w:val="Normal"/>
    <w:link w:val="HeaderChar"/>
    <w:uiPriority w:val="99"/>
    <w:unhideWhenUsed/>
    <w:rsid w:val="004A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9D"/>
  </w:style>
  <w:style w:type="paragraph" w:styleId="Footer">
    <w:name w:val="footer"/>
    <w:basedOn w:val="Normal"/>
    <w:link w:val="FooterChar"/>
    <w:uiPriority w:val="99"/>
    <w:unhideWhenUsed/>
    <w:rsid w:val="004A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9D"/>
  </w:style>
  <w:style w:type="table" w:styleId="TableGrid">
    <w:name w:val="Table Grid"/>
    <w:basedOn w:val="TableNormal"/>
    <w:uiPriority w:val="39"/>
    <w:rsid w:val="004A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C1B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94870"/>
    <w:rPr>
      <w:color w:val="0563C1" w:themeColor="hyperlink"/>
      <w:u w:val="single"/>
    </w:rPr>
  </w:style>
  <w:style w:type="paragraph" w:styleId="BalloonText">
    <w:name w:val="Balloon Text"/>
    <w:basedOn w:val="Normal"/>
    <w:link w:val="BalloonTextChar"/>
    <w:uiPriority w:val="99"/>
    <w:semiHidden/>
    <w:unhideWhenUsed/>
    <w:rsid w:val="00286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9D"/>
    <w:pPr>
      <w:spacing w:after="200" w:line="276" w:lineRule="auto"/>
      <w:ind w:left="720"/>
      <w:contextualSpacing/>
    </w:pPr>
    <w:rPr>
      <w:rFonts w:eastAsiaTheme="minorEastAsia"/>
      <w:lang w:val="en-US"/>
    </w:rPr>
  </w:style>
  <w:style w:type="paragraph" w:styleId="Header">
    <w:name w:val="header"/>
    <w:basedOn w:val="Normal"/>
    <w:link w:val="HeaderChar"/>
    <w:uiPriority w:val="99"/>
    <w:unhideWhenUsed/>
    <w:rsid w:val="004A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9D"/>
  </w:style>
  <w:style w:type="paragraph" w:styleId="Footer">
    <w:name w:val="footer"/>
    <w:basedOn w:val="Normal"/>
    <w:link w:val="FooterChar"/>
    <w:uiPriority w:val="99"/>
    <w:unhideWhenUsed/>
    <w:rsid w:val="004A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9D"/>
  </w:style>
  <w:style w:type="table" w:styleId="TableGrid">
    <w:name w:val="Table Grid"/>
    <w:basedOn w:val="TableNormal"/>
    <w:uiPriority w:val="39"/>
    <w:rsid w:val="004A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C1B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94870"/>
    <w:rPr>
      <w:color w:val="0563C1" w:themeColor="hyperlink"/>
      <w:u w:val="single"/>
    </w:rPr>
  </w:style>
  <w:style w:type="paragraph" w:styleId="BalloonText">
    <w:name w:val="Balloon Text"/>
    <w:basedOn w:val="Normal"/>
    <w:link w:val="BalloonTextChar"/>
    <w:uiPriority w:val="99"/>
    <w:semiHidden/>
    <w:unhideWhenUsed/>
    <w:rsid w:val="00286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064">
      <w:bodyDiv w:val="1"/>
      <w:marLeft w:val="0"/>
      <w:marRight w:val="0"/>
      <w:marTop w:val="0"/>
      <w:marBottom w:val="0"/>
      <w:divBdr>
        <w:top w:val="none" w:sz="0" w:space="0" w:color="auto"/>
        <w:left w:val="none" w:sz="0" w:space="0" w:color="auto"/>
        <w:bottom w:val="none" w:sz="0" w:space="0" w:color="auto"/>
        <w:right w:val="none" w:sz="0" w:space="0" w:color="auto"/>
      </w:divBdr>
    </w:div>
    <w:div w:id="339967990">
      <w:bodyDiv w:val="1"/>
      <w:marLeft w:val="0"/>
      <w:marRight w:val="0"/>
      <w:marTop w:val="0"/>
      <w:marBottom w:val="0"/>
      <w:divBdr>
        <w:top w:val="none" w:sz="0" w:space="0" w:color="auto"/>
        <w:left w:val="none" w:sz="0" w:space="0" w:color="auto"/>
        <w:bottom w:val="none" w:sz="0" w:space="0" w:color="auto"/>
        <w:right w:val="none" w:sz="0" w:space="0" w:color="auto"/>
      </w:divBdr>
    </w:div>
    <w:div w:id="410851228">
      <w:bodyDiv w:val="1"/>
      <w:marLeft w:val="0"/>
      <w:marRight w:val="0"/>
      <w:marTop w:val="0"/>
      <w:marBottom w:val="0"/>
      <w:divBdr>
        <w:top w:val="none" w:sz="0" w:space="0" w:color="auto"/>
        <w:left w:val="none" w:sz="0" w:space="0" w:color="auto"/>
        <w:bottom w:val="none" w:sz="0" w:space="0" w:color="auto"/>
        <w:right w:val="none" w:sz="0" w:space="0" w:color="auto"/>
      </w:divBdr>
    </w:div>
    <w:div w:id="5104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education.gov.au/documents/ipsp-guidelines-2013-201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1742.A84D6A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4617</Characters>
  <Application>Microsoft Office Word</Application>
  <DocSecurity>0</DocSecurity>
  <Lines>73</Lines>
  <Paragraphs>22</Paragraphs>
  <ScaleCrop>false</ScaleCrop>
  <HeadingPairs>
    <vt:vector size="2" baseType="variant">
      <vt:variant>
        <vt:lpstr>Title</vt:lpstr>
      </vt:variant>
      <vt:variant>
        <vt:i4>1</vt:i4>
      </vt:variant>
    </vt:vector>
  </HeadingPairs>
  <TitlesOfParts>
    <vt:vector size="1" baseType="lpstr">
      <vt:lpstr>Submission 181 - Tracey Victor - Childcare and Early Childhood Learning - Public inquiry</vt:lpstr>
    </vt:vector>
  </TitlesOfParts>
  <Company>Tracey Victor</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181 - Tracey Victor - Childcare and Early Childhood Learning - Public inquiry</dc:title>
  <dc:creator>Tracey Victor</dc:creator>
  <cp:lastModifiedBy>Productivity Commission</cp:lastModifiedBy>
  <cp:revision>2</cp:revision>
  <dcterms:created xsi:type="dcterms:W3CDTF">2014-02-06T22:45:00Z</dcterms:created>
  <dcterms:modified xsi:type="dcterms:W3CDTF">2014-02-06T22:45:00Z</dcterms:modified>
</cp:coreProperties>
</file>