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38640" w14:textId="66A8D2C7" w:rsidR="00514127" w:rsidRDefault="00514127" w:rsidP="00514127">
      <w:pPr>
        <w:pStyle w:val="Default"/>
        <w:spacing w:after="120"/>
        <w:rPr>
          <w:rFonts w:asciiTheme="minorHAnsi" w:hAnsiTheme="minorHAnsi"/>
          <w:b/>
          <w:iCs/>
          <w:color w:val="auto"/>
          <w:sz w:val="22"/>
          <w:szCs w:val="22"/>
        </w:rPr>
      </w:pPr>
      <w:bookmarkStart w:id="0" w:name="_GoBack"/>
      <w:bookmarkEnd w:id="0"/>
      <w:r>
        <w:rPr>
          <w:rFonts w:asciiTheme="minorHAnsi" w:hAnsiTheme="minorHAnsi"/>
          <w:b/>
          <w:iCs/>
          <w:noProof/>
          <w:color w:val="auto"/>
          <w:sz w:val="22"/>
          <w:szCs w:val="22"/>
          <w:lang w:eastAsia="en-AU"/>
        </w:rPr>
        <w:drawing>
          <wp:inline distT="0" distB="0" distL="0" distR="0" wp14:anchorId="75AB0CC2" wp14:editId="1F78FB71">
            <wp:extent cx="1714144" cy="72965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A_Logo_Full.jpg"/>
                    <pic:cNvPicPr/>
                  </pic:nvPicPr>
                  <pic:blipFill>
                    <a:blip r:embed="rId6">
                      <a:extLst>
                        <a:ext uri="{28A0092B-C50C-407E-A947-70E740481C1C}">
                          <a14:useLocalDpi xmlns:a14="http://schemas.microsoft.com/office/drawing/2010/main" val="0"/>
                        </a:ext>
                      </a:extLst>
                    </a:blip>
                    <a:stretch>
                      <a:fillRect/>
                    </a:stretch>
                  </pic:blipFill>
                  <pic:spPr>
                    <a:xfrm>
                      <a:off x="0" y="0"/>
                      <a:ext cx="1714514" cy="729810"/>
                    </a:xfrm>
                    <a:prstGeom prst="rect">
                      <a:avLst/>
                    </a:prstGeom>
                  </pic:spPr>
                </pic:pic>
              </a:graphicData>
            </a:graphic>
          </wp:inline>
        </w:drawing>
      </w:r>
    </w:p>
    <w:p w14:paraId="7F52E049" w14:textId="77777777" w:rsidR="00514127" w:rsidRDefault="00514127" w:rsidP="00816A54">
      <w:pPr>
        <w:pStyle w:val="Default"/>
        <w:spacing w:after="120"/>
        <w:jc w:val="center"/>
        <w:rPr>
          <w:rFonts w:asciiTheme="minorHAnsi" w:hAnsiTheme="minorHAnsi"/>
          <w:b/>
          <w:iCs/>
          <w:color w:val="auto"/>
          <w:sz w:val="22"/>
          <w:szCs w:val="22"/>
        </w:rPr>
      </w:pPr>
    </w:p>
    <w:p w14:paraId="0A669051" w14:textId="701FF2E7" w:rsidR="00816A54" w:rsidRDefault="00816A54" w:rsidP="00816A54">
      <w:pPr>
        <w:pStyle w:val="Default"/>
        <w:spacing w:after="120"/>
        <w:jc w:val="center"/>
        <w:rPr>
          <w:rFonts w:asciiTheme="minorHAnsi" w:hAnsiTheme="minorHAnsi"/>
          <w:b/>
          <w:iCs/>
          <w:color w:val="auto"/>
          <w:sz w:val="22"/>
          <w:szCs w:val="22"/>
        </w:rPr>
      </w:pPr>
      <w:r w:rsidRPr="00816A54">
        <w:rPr>
          <w:rFonts w:asciiTheme="minorHAnsi" w:hAnsiTheme="minorHAnsi"/>
          <w:b/>
          <w:iCs/>
          <w:color w:val="auto"/>
          <w:sz w:val="22"/>
          <w:szCs w:val="22"/>
        </w:rPr>
        <w:t>RESPONSE TO THE PRODUCTIVITY COMMISSION INQUIRY INTO CHILDCARE AND EARLY CHILDHOOD LEARNING FROM THE VICTORIAN PRINCIPALS ASSOCIATION</w:t>
      </w:r>
      <w:r w:rsidR="00ED236E">
        <w:rPr>
          <w:rFonts w:asciiTheme="minorHAnsi" w:hAnsiTheme="minorHAnsi"/>
          <w:b/>
          <w:iCs/>
          <w:color w:val="auto"/>
          <w:sz w:val="22"/>
          <w:szCs w:val="22"/>
        </w:rPr>
        <w:t xml:space="preserve"> (VPA) </w:t>
      </w:r>
    </w:p>
    <w:p w14:paraId="6BF4719E" w14:textId="7012EB2A" w:rsidR="00ED236E" w:rsidRPr="00ED236E" w:rsidRDefault="00ED236E" w:rsidP="00ED236E">
      <w:pPr>
        <w:pStyle w:val="Default"/>
        <w:jc w:val="center"/>
        <w:rPr>
          <w:rFonts w:asciiTheme="minorHAnsi" w:hAnsiTheme="minorHAnsi"/>
          <w:i/>
          <w:iCs/>
          <w:color w:val="auto"/>
          <w:sz w:val="22"/>
          <w:szCs w:val="22"/>
        </w:rPr>
      </w:pPr>
      <w:r w:rsidRPr="00ED236E">
        <w:rPr>
          <w:rFonts w:asciiTheme="minorHAnsi" w:hAnsiTheme="minorHAnsi"/>
          <w:i/>
          <w:iCs/>
          <w:color w:val="auto"/>
          <w:sz w:val="22"/>
          <w:szCs w:val="22"/>
        </w:rPr>
        <w:t>The VPA is the peak professional associati</w:t>
      </w:r>
      <w:r>
        <w:rPr>
          <w:rFonts w:asciiTheme="minorHAnsi" w:hAnsiTheme="minorHAnsi"/>
          <w:i/>
          <w:iCs/>
          <w:color w:val="auto"/>
          <w:sz w:val="22"/>
          <w:szCs w:val="22"/>
        </w:rPr>
        <w:t>on for</w:t>
      </w:r>
      <w:r w:rsidRPr="00ED236E">
        <w:rPr>
          <w:rFonts w:asciiTheme="minorHAnsi" w:hAnsiTheme="minorHAnsi"/>
          <w:i/>
          <w:iCs/>
          <w:color w:val="auto"/>
          <w:sz w:val="22"/>
          <w:szCs w:val="22"/>
        </w:rPr>
        <w:t xml:space="preserve"> government primary school leaders in Victoria</w:t>
      </w:r>
    </w:p>
    <w:p w14:paraId="45F47331" w14:textId="4DF3FB90" w:rsidR="00ED236E" w:rsidRPr="00ED236E" w:rsidRDefault="00ED236E" w:rsidP="00ED236E">
      <w:pPr>
        <w:pStyle w:val="Default"/>
        <w:jc w:val="center"/>
        <w:rPr>
          <w:rFonts w:asciiTheme="minorHAnsi" w:hAnsiTheme="minorHAnsi"/>
          <w:i/>
          <w:iCs/>
          <w:color w:val="auto"/>
          <w:sz w:val="22"/>
          <w:szCs w:val="22"/>
        </w:rPr>
      </w:pPr>
      <w:r w:rsidRPr="00ED236E">
        <w:rPr>
          <w:rFonts w:asciiTheme="minorHAnsi" w:hAnsiTheme="minorHAnsi"/>
          <w:i/>
          <w:iCs/>
          <w:color w:val="auto"/>
          <w:sz w:val="22"/>
          <w:szCs w:val="22"/>
        </w:rPr>
        <w:t>It currently has over 950 members</w:t>
      </w:r>
    </w:p>
    <w:p w14:paraId="5DDDC62F" w14:textId="77777777" w:rsidR="00ED236E" w:rsidRPr="00ED236E" w:rsidRDefault="00ED236E" w:rsidP="00ED236E">
      <w:pPr>
        <w:pStyle w:val="Default"/>
        <w:jc w:val="center"/>
        <w:rPr>
          <w:rFonts w:asciiTheme="minorHAnsi" w:hAnsiTheme="minorHAnsi"/>
          <w:i/>
          <w:iCs/>
          <w:color w:val="auto"/>
          <w:sz w:val="22"/>
          <w:szCs w:val="22"/>
        </w:rPr>
      </w:pPr>
    </w:p>
    <w:p w14:paraId="7EC7753B" w14:textId="11B5FD26" w:rsidR="00DB6EB4" w:rsidRDefault="00DB6EB4" w:rsidP="00CA6F3B">
      <w:pPr>
        <w:pStyle w:val="Default"/>
        <w:spacing w:after="120"/>
        <w:rPr>
          <w:rFonts w:asciiTheme="minorHAnsi" w:hAnsiTheme="minorHAnsi"/>
          <w:iCs/>
          <w:color w:val="auto"/>
          <w:sz w:val="22"/>
          <w:szCs w:val="22"/>
        </w:rPr>
      </w:pPr>
      <w:r>
        <w:rPr>
          <w:rFonts w:asciiTheme="minorHAnsi" w:hAnsiTheme="minorHAnsi"/>
          <w:iCs/>
          <w:color w:val="auto"/>
          <w:sz w:val="22"/>
          <w:szCs w:val="22"/>
        </w:rPr>
        <w:t>It is imperative</w:t>
      </w:r>
      <w:r w:rsidR="00CA6F3B" w:rsidRPr="00FE6309">
        <w:rPr>
          <w:rFonts w:asciiTheme="minorHAnsi" w:hAnsiTheme="minorHAnsi"/>
          <w:iCs/>
          <w:color w:val="auto"/>
          <w:sz w:val="22"/>
          <w:szCs w:val="22"/>
        </w:rPr>
        <w:t xml:space="preserve"> for federal and state governments to work together to ensure that ea</w:t>
      </w:r>
      <w:r w:rsidR="00514127">
        <w:rPr>
          <w:rFonts w:asciiTheme="minorHAnsi" w:hAnsiTheme="minorHAnsi"/>
          <w:iCs/>
          <w:color w:val="auto"/>
          <w:sz w:val="22"/>
          <w:szCs w:val="22"/>
        </w:rPr>
        <w:t xml:space="preserve">rly childhood services are extended </w:t>
      </w:r>
      <w:r>
        <w:rPr>
          <w:rFonts w:asciiTheme="minorHAnsi" w:hAnsiTheme="minorHAnsi"/>
          <w:iCs/>
          <w:color w:val="auto"/>
          <w:sz w:val="22"/>
          <w:szCs w:val="22"/>
        </w:rPr>
        <w:t xml:space="preserve"> to include high quality childcare and early childhood learning  for all children in Australia, </w:t>
      </w:r>
      <w:r w:rsidR="00C907D0">
        <w:rPr>
          <w:rFonts w:asciiTheme="minorHAnsi" w:hAnsiTheme="minorHAnsi"/>
          <w:iCs/>
          <w:color w:val="auto"/>
          <w:sz w:val="22"/>
          <w:szCs w:val="22"/>
        </w:rPr>
        <w:t xml:space="preserve">with equitable access </w:t>
      </w:r>
      <w:r w:rsidR="00514127">
        <w:rPr>
          <w:rFonts w:asciiTheme="minorHAnsi" w:hAnsiTheme="minorHAnsi"/>
          <w:iCs/>
          <w:color w:val="auto"/>
          <w:sz w:val="22"/>
          <w:szCs w:val="22"/>
        </w:rPr>
        <w:t>for</w:t>
      </w:r>
      <w:r>
        <w:rPr>
          <w:rFonts w:asciiTheme="minorHAnsi" w:hAnsiTheme="minorHAnsi"/>
          <w:iCs/>
          <w:color w:val="auto"/>
          <w:sz w:val="22"/>
          <w:szCs w:val="22"/>
        </w:rPr>
        <w:t xml:space="preserve"> those </w:t>
      </w:r>
      <w:r w:rsidR="007E2C2B">
        <w:rPr>
          <w:rFonts w:asciiTheme="minorHAnsi" w:hAnsiTheme="minorHAnsi"/>
          <w:iCs/>
          <w:color w:val="auto"/>
          <w:sz w:val="22"/>
          <w:szCs w:val="22"/>
        </w:rPr>
        <w:t xml:space="preserve">families </w:t>
      </w:r>
      <w:r>
        <w:rPr>
          <w:rFonts w:asciiTheme="minorHAnsi" w:hAnsiTheme="minorHAnsi"/>
          <w:iCs/>
          <w:color w:val="auto"/>
          <w:sz w:val="22"/>
          <w:szCs w:val="22"/>
        </w:rPr>
        <w:t xml:space="preserve">living in inner suburban areas </w:t>
      </w:r>
      <w:r w:rsidR="00514127">
        <w:rPr>
          <w:rFonts w:asciiTheme="minorHAnsi" w:hAnsiTheme="minorHAnsi"/>
          <w:iCs/>
          <w:color w:val="auto"/>
          <w:sz w:val="22"/>
          <w:szCs w:val="22"/>
        </w:rPr>
        <w:t xml:space="preserve">extended </w:t>
      </w:r>
      <w:r>
        <w:rPr>
          <w:rFonts w:asciiTheme="minorHAnsi" w:hAnsiTheme="minorHAnsi"/>
          <w:iCs/>
          <w:color w:val="auto"/>
          <w:sz w:val="22"/>
          <w:szCs w:val="22"/>
        </w:rPr>
        <w:t xml:space="preserve">to those </w:t>
      </w:r>
      <w:r w:rsidR="00514127">
        <w:rPr>
          <w:rFonts w:asciiTheme="minorHAnsi" w:hAnsiTheme="minorHAnsi"/>
          <w:iCs/>
          <w:color w:val="auto"/>
          <w:sz w:val="22"/>
          <w:szCs w:val="22"/>
        </w:rPr>
        <w:t xml:space="preserve">in </w:t>
      </w:r>
      <w:r>
        <w:rPr>
          <w:rFonts w:asciiTheme="minorHAnsi" w:hAnsiTheme="minorHAnsi"/>
          <w:iCs/>
          <w:color w:val="auto"/>
          <w:sz w:val="22"/>
          <w:szCs w:val="22"/>
        </w:rPr>
        <w:t xml:space="preserve">rural and remote locations.  There are too many children falling between the cracks. </w:t>
      </w:r>
    </w:p>
    <w:p w14:paraId="46CF18D4" w14:textId="11F8477F" w:rsidR="00DB6EB4" w:rsidRPr="00DB6EB4" w:rsidRDefault="00DB6EB4" w:rsidP="00DB6EB4">
      <w:pPr>
        <w:pStyle w:val="Default"/>
        <w:rPr>
          <w:rFonts w:asciiTheme="minorHAnsi" w:hAnsiTheme="minorHAnsi"/>
          <w:b/>
          <w:iCs/>
          <w:color w:val="auto"/>
          <w:sz w:val="22"/>
          <w:szCs w:val="22"/>
          <w:u w:val="single"/>
        </w:rPr>
      </w:pPr>
      <w:r w:rsidRPr="00DB6EB4">
        <w:rPr>
          <w:rFonts w:asciiTheme="minorHAnsi" w:hAnsiTheme="minorHAnsi"/>
          <w:b/>
          <w:iCs/>
          <w:color w:val="auto"/>
          <w:sz w:val="22"/>
          <w:szCs w:val="22"/>
          <w:u w:val="single"/>
        </w:rPr>
        <w:t xml:space="preserve">Benefits of a high quality childcare and early childhood learning system </w:t>
      </w:r>
    </w:p>
    <w:p w14:paraId="6F1D354D" w14:textId="44E95783" w:rsidR="00B52710" w:rsidRPr="00FE6309" w:rsidRDefault="00DB6EB4" w:rsidP="00DB6EB4">
      <w:pPr>
        <w:pStyle w:val="Default"/>
        <w:rPr>
          <w:rFonts w:asciiTheme="minorHAnsi" w:hAnsiTheme="minorHAnsi"/>
          <w:i/>
          <w:iCs/>
          <w:color w:val="auto"/>
          <w:sz w:val="22"/>
          <w:szCs w:val="22"/>
        </w:rPr>
      </w:pPr>
      <w:r>
        <w:rPr>
          <w:rFonts w:asciiTheme="minorHAnsi" w:hAnsiTheme="minorHAnsi"/>
          <w:iCs/>
          <w:color w:val="auto"/>
          <w:sz w:val="22"/>
          <w:szCs w:val="22"/>
        </w:rPr>
        <w:t xml:space="preserve"> </w:t>
      </w:r>
      <w:r w:rsidR="00CA6F3B" w:rsidRPr="00FE6309">
        <w:rPr>
          <w:rFonts w:asciiTheme="minorHAnsi" w:hAnsiTheme="minorHAnsi"/>
          <w:iCs/>
          <w:color w:val="auto"/>
          <w:sz w:val="22"/>
          <w:szCs w:val="22"/>
        </w:rPr>
        <w:t xml:space="preserve">There is much evidence both here and internationally that clearly demonstrates the benefits of prioritising the early years of a child’s education and directing </w:t>
      </w:r>
      <w:r w:rsidR="0001247B" w:rsidRPr="00FE6309">
        <w:rPr>
          <w:rFonts w:asciiTheme="minorHAnsi" w:hAnsiTheme="minorHAnsi"/>
          <w:iCs/>
          <w:color w:val="auto"/>
          <w:sz w:val="22"/>
          <w:szCs w:val="22"/>
        </w:rPr>
        <w:t>policy and funding</w:t>
      </w:r>
      <w:r w:rsidR="00CA6F3B" w:rsidRPr="00FE6309">
        <w:rPr>
          <w:rFonts w:asciiTheme="minorHAnsi" w:hAnsiTheme="minorHAnsi"/>
          <w:iCs/>
          <w:color w:val="auto"/>
          <w:sz w:val="22"/>
          <w:szCs w:val="22"/>
        </w:rPr>
        <w:t xml:space="preserve"> to that end. </w:t>
      </w:r>
      <w:r w:rsidR="0001247B" w:rsidRPr="00FE6309">
        <w:rPr>
          <w:rFonts w:asciiTheme="minorHAnsi" w:hAnsiTheme="minorHAnsi"/>
          <w:iCs/>
          <w:color w:val="auto"/>
          <w:sz w:val="22"/>
          <w:szCs w:val="22"/>
        </w:rPr>
        <w:t xml:space="preserve">  One of the most convincing summaries of this can be found in </w:t>
      </w:r>
      <w:r w:rsidR="00FE6309">
        <w:rPr>
          <w:rFonts w:asciiTheme="minorHAnsi" w:hAnsiTheme="minorHAnsi"/>
          <w:iCs/>
          <w:color w:val="auto"/>
          <w:sz w:val="22"/>
          <w:szCs w:val="22"/>
        </w:rPr>
        <w:t>t</w:t>
      </w:r>
      <w:r w:rsidR="0001247B" w:rsidRPr="00FE6309">
        <w:rPr>
          <w:rFonts w:asciiTheme="minorHAnsi" w:hAnsiTheme="minorHAnsi"/>
          <w:iCs/>
          <w:color w:val="auto"/>
          <w:sz w:val="22"/>
          <w:szCs w:val="22"/>
        </w:rPr>
        <w:t xml:space="preserve">he </w:t>
      </w:r>
      <w:r w:rsidR="00B52710">
        <w:rPr>
          <w:rFonts w:asciiTheme="minorHAnsi" w:hAnsiTheme="minorHAnsi"/>
          <w:iCs/>
          <w:color w:val="auto"/>
          <w:sz w:val="22"/>
          <w:szCs w:val="22"/>
        </w:rPr>
        <w:t xml:space="preserve">2009 </w:t>
      </w:r>
      <w:r w:rsidR="0001247B" w:rsidRPr="00FE6309">
        <w:rPr>
          <w:rFonts w:asciiTheme="minorHAnsi" w:hAnsiTheme="minorHAnsi"/>
          <w:iCs/>
          <w:color w:val="auto"/>
          <w:sz w:val="22"/>
          <w:szCs w:val="22"/>
        </w:rPr>
        <w:t>report to the Premier of Ontario by the Special Advisor on E</w:t>
      </w:r>
      <w:r w:rsidR="00FE6309">
        <w:rPr>
          <w:rFonts w:asciiTheme="minorHAnsi" w:hAnsiTheme="minorHAnsi"/>
          <w:iCs/>
          <w:color w:val="auto"/>
          <w:sz w:val="22"/>
          <w:szCs w:val="22"/>
        </w:rPr>
        <w:t xml:space="preserve">arly learning Charles E Pascal, </w:t>
      </w:r>
      <w:r w:rsidR="00FE6309" w:rsidRPr="00FE6309">
        <w:rPr>
          <w:rFonts w:asciiTheme="minorHAnsi" w:hAnsiTheme="minorHAnsi"/>
          <w:i/>
          <w:iCs/>
          <w:color w:val="auto"/>
          <w:sz w:val="22"/>
          <w:szCs w:val="22"/>
        </w:rPr>
        <w:t>“With Our Best Future in Mind.  Implementing Early Learning in Ontario”</w:t>
      </w:r>
      <w:r w:rsidR="00B52710">
        <w:rPr>
          <w:rFonts w:asciiTheme="minorHAnsi" w:hAnsiTheme="minorHAnsi"/>
          <w:i/>
          <w:iCs/>
          <w:color w:val="auto"/>
          <w:sz w:val="22"/>
          <w:szCs w:val="22"/>
        </w:rPr>
        <w:t xml:space="preserve">  </w:t>
      </w:r>
      <w:hyperlink r:id="rId7" w:history="1">
        <w:r w:rsidR="00B52710" w:rsidRPr="00926E8E">
          <w:rPr>
            <w:rStyle w:val="Hyperlink"/>
            <w:rFonts w:asciiTheme="minorHAnsi" w:hAnsiTheme="minorHAnsi"/>
            <w:i/>
            <w:iCs/>
            <w:sz w:val="22"/>
            <w:szCs w:val="22"/>
          </w:rPr>
          <w:t>http://www.ontario.ca/education-and-training/early-learning-report</w:t>
        </w:r>
      </w:hyperlink>
    </w:p>
    <w:p w14:paraId="4DABCA03" w14:textId="77777777" w:rsidR="004F73DE" w:rsidRDefault="0001247B" w:rsidP="00CA6F3B">
      <w:pPr>
        <w:pStyle w:val="Default"/>
        <w:spacing w:after="120"/>
        <w:rPr>
          <w:rFonts w:asciiTheme="minorHAnsi" w:hAnsiTheme="minorHAnsi"/>
          <w:iCs/>
          <w:color w:val="auto"/>
          <w:sz w:val="22"/>
          <w:szCs w:val="22"/>
        </w:rPr>
      </w:pPr>
      <w:r w:rsidRPr="00FE6309">
        <w:rPr>
          <w:rFonts w:asciiTheme="minorHAnsi" w:hAnsiTheme="minorHAnsi"/>
          <w:iCs/>
          <w:color w:val="auto"/>
          <w:sz w:val="22"/>
          <w:szCs w:val="22"/>
        </w:rPr>
        <w:t>This rep</w:t>
      </w:r>
      <w:r w:rsidR="00FE6309">
        <w:rPr>
          <w:rFonts w:asciiTheme="minorHAnsi" w:hAnsiTheme="minorHAnsi"/>
          <w:iCs/>
          <w:color w:val="auto"/>
          <w:sz w:val="22"/>
          <w:szCs w:val="22"/>
        </w:rPr>
        <w:t>ort recommended that</w:t>
      </w:r>
      <w:r w:rsidR="004F73DE">
        <w:rPr>
          <w:rFonts w:asciiTheme="minorHAnsi" w:hAnsiTheme="minorHAnsi"/>
          <w:iCs/>
          <w:color w:val="auto"/>
          <w:sz w:val="22"/>
          <w:szCs w:val="22"/>
        </w:rPr>
        <w:t>:</w:t>
      </w:r>
    </w:p>
    <w:p w14:paraId="1CC0E1CA" w14:textId="0CBCD3E0" w:rsidR="004F73DE" w:rsidRDefault="00FE6309" w:rsidP="004F73DE">
      <w:pPr>
        <w:pStyle w:val="Default"/>
        <w:numPr>
          <w:ilvl w:val="0"/>
          <w:numId w:val="26"/>
        </w:numPr>
        <w:spacing w:after="120"/>
        <w:rPr>
          <w:rFonts w:asciiTheme="minorHAnsi" w:hAnsiTheme="minorHAnsi"/>
          <w:iCs/>
          <w:color w:val="auto"/>
          <w:sz w:val="22"/>
          <w:szCs w:val="22"/>
        </w:rPr>
      </w:pPr>
      <w:r>
        <w:rPr>
          <w:rFonts w:asciiTheme="minorHAnsi" w:hAnsiTheme="minorHAnsi"/>
          <w:iCs/>
          <w:color w:val="auto"/>
          <w:sz w:val="22"/>
          <w:szCs w:val="22"/>
        </w:rPr>
        <w:t>prior to entering</w:t>
      </w:r>
      <w:r w:rsidR="004F73DE">
        <w:rPr>
          <w:rFonts w:asciiTheme="minorHAnsi" w:hAnsiTheme="minorHAnsi"/>
          <w:iCs/>
          <w:color w:val="auto"/>
          <w:sz w:val="22"/>
          <w:szCs w:val="22"/>
        </w:rPr>
        <w:t xml:space="preserve"> their primary school education, </w:t>
      </w:r>
      <w:r w:rsidR="0001247B" w:rsidRPr="00FE6309">
        <w:rPr>
          <w:rFonts w:asciiTheme="minorHAnsi" w:hAnsiTheme="minorHAnsi"/>
          <w:iCs/>
          <w:color w:val="auto"/>
          <w:sz w:val="22"/>
          <w:szCs w:val="22"/>
        </w:rPr>
        <w:t>children be entitled to attend 2 years of a full-day, school</w:t>
      </w:r>
      <w:r w:rsidR="004F73DE">
        <w:rPr>
          <w:rFonts w:asciiTheme="minorHAnsi" w:hAnsiTheme="minorHAnsi"/>
          <w:iCs/>
          <w:color w:val="auto"/>
          <w:sz w:val="22"/>
          <w:szCs w:val="22"/>
        </w:rPr>
        <w:t>-</w:t>
      </w:r>
      <w:r w:rsidR="00377D21">
        <w:rPr>
          <w:rFonts w:asciiTheme="minorHAnsi" w:hAnsiTheme="minorHAnsi"/>
          <w:iCs/>
          <w:color w:val="auto"/>
          <w:sz w:val="22"/>
          <w:szCs w:val="22"/>
        </w:rPr>
        <w:t>year early learning p</w:t>
      </w:r>
      <w:r w:rsidR="0001247B" w:rsidRPr="00FE6309">
        <w:rPr>
          <w:rFonts w:asciiTheme="minorHAnsi" w:hAnsiTheme="minorHAnsi"/>
          <w:iCs/>
          <w:color w:val="auto"/>
          <w:sz w:val="22"/>
          <w:szCs w:val="22"/>
        </w:rPr>
        <w:t>rogram</w:t>
      </w:r>
      <w:r w:rsidR="001671DE">
        <w:rPr>
          <w:rFonts w:asciiTheme="minorHAnsi" w:hAnsiTheme="minorHAnsi"/>
          <w:iCs/>
          <w:color w:val="auto"/>
          <w:sz w:val="22"/>
          <w:szCs w:val="22"/>
        </w:rPr>
        <w:t xml:space="preserve"> operated by schools</w:t>
      </w:r>
    </w:p>
    <w:p w14:paraId="11C2A8E6" w14:textId="7F13E1AC" w:rsidR="004F73DE" w:rsidRDefault="0001247B" w:rsidP="004F73DE">
      <w:pPr>
        <w:pStyle w:val="Default"/>
        <w:numPr>
          <w:ilvl w:val="0"/>
          <w:numId w:val="26"/>
        </w:numPr>
        <w:spacing w:after="120"/>
        <w:rPr>
          <w:rFonts w:asciiTheme="minorHAnsi" w:hAnsiTheme="minorHAnsi"/>
          <w:iCs/>
          <w:color w:val="auto"/>
          <w:sz w:val="22"/>
          <w:szCs w:val="22"/>
        </w:rPr>
      </w:pPr>
      <w:r w:rsidRPr="00FE6309">
        <w:rPr>
          <w:rFonts w:asciiTheme="minorHAnsi" w:hAnsiTheme="minorHAnsi"/>
          <w:iCs/>
          <w:color w:val="auto"/>
          <w:sz w:val="22"/>
          <w:szCs w:val="22"/>
        </w:rPr>
        <w:t xml:space="preserve"> parents would have the option of extended programming before and after the scho</w:t>
      </w:r>
      <w:r w:rsidR="004F73DE">
        <w:rPr>
          <w:rFonts w:asciiTheme="minorHAnsi" w:hAnsiTheme="minorHAnsi"/>
          <w:iCs/>
          <w:color w:val="auto"/>
          <w:sz w:val="22"/>
          <w:szCs w:val="22"/>
        </w:rPr>
        <w:t>ol day as part of this program</w:t>
      </w:r>
      <w:r w:rsidRPr="00FE6309">
        <w:rPr>
          <w:rFonts w:asciiTheme="minorHAnsi" w:hAnsiTheme="minorHAnsi"/>
          <w:iCs/>
          <w:color w:val="auto"/>
          <w:sz w:val="22"/>
          <w:szCs w:val="22"/>
        </w:rPr>
        <w:t xml:space="preserve"> </w:t>
      </w:r>
    </w:p>
    <w:p w14:paraId="0D6DBC46" w14:textId="77777777" w:rsidR="004F73DE" w:rsidRDefault="0001247B" w:rsidP="004F73DE">
      <w:pPr>
        <w:pStyle w:val="Default"/>
        <w:numPr>
          <w:ilvl w:val="0"/>
          <w:numId w:val="26"/>
        </w:numPr>
        <w:spacing w:after="120"/>
        <w:rPr>
          <w:rFonts w:asciiTheme="minorHAnsi" w:hAnsiTheme="minorHAnsi"/>
          <w:iCs/>
          <w:color w:val="auto"/>
          <w:sz w:val="22"/>
          <w:szCs w:val="22"/>
        </w:rPr>
      </w:pPr>
      <w:r w:rsidRPr="00FE6309">
        <w:rPr>
          <w:rFonts w:asciiTheme="minorHAnsi" w:hAnsiTheme="minorHAnsi"/>
          <w:iCs/>
          <w:color w:val="auto"/>
          <w:sz w:val="22"/>
          <w:szCs w:val="22"/>
        </w:rPr>
        <w:t>parent fees would only be charged for extended day/year progra</w:t>
      </w:r>
      <w:r w:rsidR="004F73DE">
        <w:rPr>
          <w:rFonts w:asciiTheme="minorHAnsi" w:hAnsiTheme="minorHAnsi"/>
          <w:iCs/>
          <w:color w:val="auto"/>
          <w:sz w:val="22"/>
          <w:szCs w:val="22"/>
        </w:rPr>
        <w:t xml:space="preserve">mming </w:t>
      </w:r>
    </w:p>
    <w:p w14:paraId="35DECB65" w14:textId="7E41DBAE" w:rsidR="004F73DE" w:rsidRDefault="00C907D0" w:rsidP="00CA6F3B">
      <w:pPr>
        <w:pStyle w:val="Default"/>
        <w:spacing w:after="120"/>
        <w:rPr>
          <w:rFonts w:asciiTheme="minorHAnsi" w:hAnsiTheme="minorHAnsi"/>
          <w:iCs/>
          <w:color w:val="auto"/>
          <w:sz w:val="22"/>
          <w:szCs w:val="22"/>
        </w:rPr>
      </w:pPr>
      <w:r>
        <w:rPr>
          <w:rFonts w:asciiTheme="minorHAnsi" w:hAnsiTheme="minorHAnsi"/>
          <w:iCs/>
          <w:color w:val="auto"/>
          <w:sz w:val="22"/>
          <w:szCs w:val="22"/>
        </w:rPr>
        <w:t xml:space="preserve">  </w:t>
      </w:r>
      <w:r w:rsidR="00726EC9" w:rsidRPr="00FE6309">
        <w:rPr>
          <w:rFonts w:asciiTheme="minorHAnsi" w:hAnsiTheme="minorHAnsi"/>
          <w:iCs/>
          <w:color w:val="auto"/>
          <w:sz w:val="22"/>
          <w:szCs w:val="22"/>
        </w:rPr>
        <w:t>The forecast benefits of such a system include</w:t>
      </w:r>
      <w:r w:rsidR="004F73DE">
        <w:rPr>
          <w:rFonts w:asciiTheme="minorHAnsi" w:hAnsiTheme="minorHAnsi"/>
          <w:iCs/>
          <w:color w:val="auto"/>
          <w:sz w:val="22"/>
          <w:szCs w:val="22"/>
        </w:rPr>
        <w:t>:</w:t>
      </w:r>
    </w:p>
    <w:p w14:paraId="2F3BC341" w14:textId="77777777" w:rsidR="004F73DE" w:rsidRDefault="00726EC9" w:rsidP="004F73DE">
      <w:pPr>
        <w:pStyle w:val="Default"/>
        <w:numPr>
          <w:ilvl w:val="0"/>
          <w:numId w:val="27"/>
        </w:numPr>
        <w:spacing w:after="120"/>
        <w:rPr>
          <w:rFonts w:asciiTheme="minorHAnsi" w:hAnsiTheme="minorHAnsi"/>
          <w:iCs/>
          <w:color w:val="auto"/>
          <w:sz w:val="22"/>
          <w:szCs w:val="22"/>
        </w:rPr>
      </w:pPr>
      <w:r w:rsidRPr="00FE6309">
        <w:rPr>
          <w:rFonts w:asciiTheme="minorHAnsi" w:hAnsiTheme="minorHAnsi"/>
          <w:iCs/>
          <w:color w:val="auto"/>
          <w:sz w:val="22"/>
          <w:szCs w:val="22"/>
        </w:rPr>
        <w:t>improvement in primary school</w:t>
      </w:r>
      <w:r w:rsidR="004F73DE">
        <w:rPr>
          <w:rFonts w:asciiTheme="minorHAnsi" w:hAnsiTheme="minorHAnsi"/>
          <w:iCs/>
          <w:color w:val="auto"/>
          <w:sz w:val="22"/>
          <w:szCs w:val="22"/>
        </w:rPr>
        <w:t xml:space="preserve"> literacy and numeracy results</w:t>
      </w:r>
    </w:p>
    <w:p w14:paraId="5B37CD73" w14:textId="77777777" w:rsidR="004F73DE" w:rsidRDefault="00726EC9" w:rsidP="004F73DE">
      <w:pPr>
        <w:pStyle w:val="Default"/>
        <w:numPr>
          <w:ilvl w:val="0"/>
          <w:numId w:val="27"/>
        </w:numPr>
        <w:spacing w:after="120"/>
        <w:rPr>
          <w:rFonts w:asciiTheme="minorHAnsi" w:hAnsiTheme="minorHAnsi"/>
          <w:iCs/>
          <w:color w:val="auto"/>
          <w:sz w:val="22"/>
          <w:szCs w:val="22"/>
        </w:rPr>
      </w:pPr>
      <w:r w:rsidRPr="00FE6309">
        <w:rPr>
          <w:rFonts w:asciiTheme="minorHAnsi" w:hAnsiTheme="minorHAnsi"/>
          <w:iCs/>
          <w:color w:val="auto"/>
          <w:sz w:val="22"/>
          <w:szCs w:val="22"/>
        </w:rPr>
        <w:t xml:space="preserve">children with challenges being identified earlier and getting help sooner </w:t>
      </w:r>
    </w:p>
    <w:p w14:paraId="40473B73" w14:textId="52582773" w:rsidR="004F73DE" w:rsidRDefault="001671DE" w:rsidP="004F73DE">
      <w:pPr>
        <w:pStyle w:val="Default"/>
        <w:numPr>
          <w:ilvl w:val="0"/>
          <w:numId w:val="27"/>
        </w:numPr>
        <w:spacing w:after="120"/>
        <w:rPr>
          <w:rFonts w:asciiTheme="minorHAnsi" w:hAnsiTheme="minorHAnsi"/>
          <w:iCs/>
          <w:color w:val="auto"/>
          <w:sz w:val="22"/>
          <w:szCs w:val="22"/>
        </w:rPr>
      </w:pPr>
      <w:r>
        <w:rPr>
          <w:rFonts w:asciiTheme="minorHAnsi" w:hAnsiTheme="minorHAnsi"/>
          <w:iCs/>
          <w:color w:val="auto"/>
          <w:sz w:val="22"/>
          <w:szCs w:val="22"/>
        </w:rPr>
        <w:t>g</w:t>
      </w:r>
      <w:r w:rsidR="004F73DE" w:rsidRPr="00FE6309">
        <w:rPr>
          <w:rFonts w:asciiTheme="minorHAnsi" w:hAnsiTheme="minorHAnsi"/>
          <w:iCs/>
          <w:color w:val="auto"/>
          <w:sz w:val="22"/>
          <w:szCs w:val="22"/>
        </w:rPr>
        <w:t xml:space="preserve">reater </w:t>
      </w:r>
      <w:r w:rsidR="004F73DE">
        <w:rPr>
          <w:rFonts w:asciiTheme="minorHAnsi" w:hAnsiTheme="minorHAnsi"/>
          <w:iCs/>
          <w:color w:val="auto"/>
          <w:sz w:val="22"/>
          <w:szCs w:val="22"/>
        </w:rPr>
        <w:t>resilience and health outcomes</w:t>
      </w:r>
    </w:p>
    <w:p w14:paraId="0753F268" w14:textId="1C13C825" w:rsidR="004F73DE" w:rsidRPr="004F73DE" w:rsidRDefault="004F73DE" w:rsidP="004F73DE">
      <w:pPr>
        <w:pStyle w:val="Default"/>
        <w:numPr>
          <w:ilvl w:val="0"/>
          <w:numId w:val="27"/>
        </w:numPr>
        <w:spacing w:after="120"/>
        <w:rPr>
          <w:rFonts w:asciiTheme="minorHAnsi" w:hAnsiTheme="minorHAnsi"/>
          <w:iCs/>
          <w:color w:val="auto"/>
          <w:sz w:val="22"/>
          <w:szCs w:val="22"/>
        </w:rPr>
      </w:pPr>
      <w:r w:rsidRPr="00FE6309">
        <w:rPr>
          <w:rFonts w:asciiTheme="minorHAnsi" w:hAnsiTheme="minorHAnsi"/>
          <w:iCs/>
          <w:color w:val="auto"/>
          <w:sz w:val="22"/>
          <w:szCs w:val="22"/>
        </w:rPr>
        <w:t>higher sec</w:t>
      </w:r>
      <w:r w:rsidR="001671DE">
        <w:rPr>
          <w:rFonts w:asciiTheme="minorHAnsi" w:hAnsiTheme="minorHAnsi"/>
          <w:iCs/>
          <w:color w:val="auto"/>
          <w:sz w:val="22"/>
          <w:szCs w:val="22"/>
        </w:rPr>
        <w:t>ondary school completion</w:t>
      </w:r>
      <w:r>
        <w:rPr>
          <w:rFonts w:asciiTheme="minorHAnsi" w:hAnsiTheme="minorHAnsi"/>
          <w:iCs/>
          <w:color w:val="auto"/>
          <w:sz w:val="22"/>
          <w:szCs w:val="22"/>
        </w:rPr>
        <w:t xml:space="preserve"> rates</w:t>
      </w:r>
      <w:r w:rsidRPr="004F73DE">
        <w:rPr>
          <w:rFonts w:asciiTheme="minorHAnsi" w:hAnsiTheme="minorHAnsi"/>
          <w:iCs/>
          <w:color w:val="auto"/>
          <w:sz w:val="22"/>
          <w:szCs w:val="22"/>
        </w:rPr>
        <w:t xml:space="preserve"> </w:t>
      </w:r>
    </w:p>
    <w:p w14:paraId="095CBA67" w14:textId="77777777" w:rsidR="004F73DE" w:rsidRDefault="00726EC9" w:rsidP="004F73DE">
      <w:pPr>
        <w:pStyle w:val="Default"/>
        <w:numPr>
          <w:ilvl w:val="0"/>
          <w:numId w:val="27"/>
        </w:numPr>
        <w:spacing w:after="120"/>
        <w:rPr>
          <w:rFonts w:asciiTheme="minorHAnsi" w:hAnsiTheme="minorHAnsi"/>
          <w:iCs/>
          <w:color w:val="auto"/>
          <w:sz w:val="22"/>
          <w:szCs w:val="22"/>
        </w:rPr>
      </w:pPr>
      <w:r w:rsidRPr="00FE6309">
        <w:rPr>
          <w:rFonts w:asciiTheme="minorHAnsi" w:hAnsiTheme="minorHAnsi"/>
          <w:iCs/>
          <w:color w:val="auto"/>
          <w:sz w:val="22"/>
          <w:szCs w:val="22"/>
        </w:rPr>
        <w:t>higher postsecondary p</w:t>
      </w:r>
      <w:r w:rsidR="004F73DE">
        <w:rPr>
          <w:rFonts w:asciiTheme="minorHAnsi" w:hAnsiTheme="minorHAnsi"/>
          <w:iCs/>
          <w:color w:val="auto"/>
          <w:sz w:val="22"/>
          <w:szCs w:val="22"/>
        </w:rPr>
        <w:t>articipation and success rates</w:t>
      </w:r>
    </w:p>
    <w:p w14:paraId="4AC2ECA4" w14:textId="77777777" w:rsidR="00DB6EB4" w:rsidRDefault="00966041" w:rsidP="00CA6F3B">
      <w:pPr>
        <w:pStyle w:val="Default"/>
        <w:spacing w:after="120"/>
        <w:rPr>
          <w:rFonts w:asciiTheme="minorHAnsi" w:hAnsiTheme="minorHAnsi"/>
          <w:iCs/>
          <w:color w:val="auto"/>
          <w:sz w:val="22"/>
          <w:szCs w:val="22"/>
        </w:rPr>
      </w:pPr>
      <w:r w:rsidRPr="00FE6309">
        <w:rPr>
          <w:rFonts w:asciiTheme="minorHAnsi" w:hAnsiTheme="minorHAnsi"/>
          <w:iCs/>
          <w:color w:val="auto"/>
          <w:sz w:val="22"/>
          <w:szCs w:val="22"/>
        </w:rPr>
        <w:t xml:space="preserve">The evidence cited in this report can be found in: Early Learning – An Updated </w:t>
      </w:r>
      <w:r w:rsidR="004F73DE">
        <w:rPr>
          <w:rFonts w:asciiTheme="minorHAnsi" w:hAnsiTheme="minorHAnsi"/>
          <w:iCs/>
          <w:color w:val="auto"/>
          <w:sz w:val="22"/>
          <w:szCs w:val="22"/>
        </w:rPr>
        <w:t>and Annota</w:t>
      </w:r>
      <w:r w:rsidRPr="00FE6309">
        <w:rPr>
          <w:rFonts w:asciiTheme="minorHAnsi" w:hAnsiTheme="minorHAnsi"/>
          <w:iCs/>
          <w:color w:val="auto"/>
          <w:sz w:val="22"/>
          <w:szCs w:val="22"/>
        </w:rPr>
        <w:t xml:space="preserve">ted </w:t>
      </w:r>
      <w:r w:rsidR="004F73DE">
        <w:rPr>
          <w:rFonts w:asciiTheme="minorHAnsi" w:hAnsiTheme="minorHAnsi"/>
          <w:iCs/>
          <w:color w:val="auto"/>
          <w:sz w:val="22"/>
          <w:szCs w:val="22"/>
        </w:rPr>
        <w:t xml:space="preserve">Summary of Evidence, which can </w:t>
      </w:r>
      <w:r w:rsidRPr="00FE6309">
        <w:rPr>
          <w:rFonts w:asciiTheme="minorHAnsi" w:hAnsiTheme="minorHAnsi"/>
          <w:iCs/>
          <w:color w:val="auto"/>
          <w:sz w:val="22"/>
          <w:szCs w:val="22"/>
        </w:rPr>
        <w:t xml:space="preserve">be downloaded from the Early Learning Advisor – Ontario website at </w:t>
      </w:r>
      <w:hyperlink r:id="rId8" w:history="1">
        <w:r w:rsidRPr="00FE6309">
          <w:rPr>
            <w:rStyle w:val="Hyperlink"/>
            <w:rFonts w:asciiTheme="minorHAnsi" w:hAnsiTheme="minorHAnsi"/>
            <w:iCs/>
            <w:color w:val="auto"/>
            <w:sz w:val="22"/>
            <w:szCs w:val="22"/>
          </w:rPr>
          <w:t>www.ontario.ca/earlylearning</w:t>
        </w:r>
      </w:hyperlink>
      <w:r w:rsidR="001671DE">
        <w:rPr>
          <w:rStyle w:val="Hyperlink"/>
          <w:rFonts w:asciiTheme="minorHAnsi" w:hAnsiTheme="minorHAnsi"/>
          <w:iCs/>
          <w:color w:val="auto"/>
          <w:sz w:val="22"/>
          <w:szCs w:val="22"/>
        </w:rPr>
        <w:t xml:space="preserve"> </w:t>
      </w:r>
      <w:r w:rsidR="0001247B" w:rsidRPr="00FE6309">
        <w:rPr>
          <w:rFonts w:asciiTheme="minorHAnsi" w:hAnsiTheme="minorHAnsi"/>
          <w:iCs/>
          <w:color w:val="auto"/>
          <w:sz w:val="22"/>
          <w:szCs w:val="22"/>
        </w:rPr>
        <w:t xml:space="preserve">    </w:t>
      </w:r>
    </w:p>
    <w:p w14:paraId="5E7C733E" w14:textId="77777777" w:rsidR="00DB6EB4" w:rsidRDefault="00DB6EB4" w:rsidP="00DB6EB4">
      <w:pPr>
        <w:pStyle w:val="Default"/>
        <w:rPr>
          <w:rFonts w:asciiTheme="minorHAnsi" w:hAnsiTheme="minorHAnsi"/>
          <w:b/>
          <w:iCs/>
          <w:color w:val="auto"/>
          <w:sz w:val="22"/>
          <w:szCs w:val="22"/>
        </w:rPr>
      </w:pPr>
    </w:p>
    <w:p w14:paraId="4EB0B79D" w14:textId="0A1B2C2C" w:rsidR="0001247B" w:rsidRPr="00DB6EB4" w:rsidRDefault="00514127" w:rsidP="00DB6EB4">
      <w:pPr>
        <w:pStyle w:val="Default"/>
        <w:rPr>
          <w:rFonts w:asciiTheme="minorHAnsi" w:hAnsiTheme="minorHAnsi"/>
          <w:b/>
          <w:iCs/>
          <w:color w:val="auto"/>
          <w:sz w:val="22"/>
          <w:szCs w:val="22"/>
          <w:u w:val="single"/>
        </w:rPr>
      </w:pPr>
      <w:r>
        <w:rPr>
          <w:rFonts w:asciiTheme="minorHAnsi" w:hAnsiTheme="minorHAnsi"/>
          <w:b/>
          <w:iCs/>
          <w:color w:val="auto"/>
          <w:sz w:val="22"/>
          <w:szCs w:val="22"/>
          <w:u w:val="single"/>
        </w:rPr>
        <w:t>E</w:t>
      </w:r>
      <w:r w:rsidR="00DB6EB4" w:rsidRPr="00DB6EB4">
        <w:rPr>
          <w:rFonts w:asciiTheme="minorHAnsi" w:hAnsiTheme="minorHAnsi"/>
          <w:b/>
          <w:iCs/>
          <w:color w:val="auto"/>
          <w:sz w:val="22"/>
          <w:szCs w:val="22"/>
          <w:u w:val="single"/>
        </w:rPr>
        <w:t>arly childhood learning facilitates future success</w:t>
      </w:r>
      <w:r w:rsidR="0001247B" w:rsidRPr="00DB6EB4">
        <w:rPr>
          <w:rFonts w:asciiTheme="minorHAnsi" w:hAnsiTheme="minorHAnsi"/>
          <w:b/>
          <w:iCs/>
          <w:color w:val="auto"/>
          <w:sz w:val="22"/>
          <w:szCs w:val="22"/>
          <w:u w:val="single"/>
        </w:rPr>
        <w:t xml:space="preserve">  </w:t>
      </w:r>
    </w:p>
    <w:p w14:paraId="45D93A19" w14:textId="7C55DDFA" w:rsidR="004F73DE" w:rsidRPr="00514127" w:rsidRDefault="004F73DE" w:rsidP="00514127">
      <w:pPr>
        <w:spacing w:after="0"/>
        <w:rPr>
          <w:i/>
        </w:rPr>
      </w:pPr>
      <w:r>
        <w:rPr>
          <w:iCs/>
        </w:rPr>
        <w:t xml:space="preserve">The VPA concurs </w:t>
      </w:r>
      <w:r w:rsidR="0001247B" w:rsidRPr="00FE6309">
        <w:rPr>
          <w:iCs/>
        </w:rPr>
        <w:t xml:space="preserve">with </w:t>
      </w:r>
      <w:r>
        <w:rPr>
          <w:iCs/>
        </w:rPr>
        <w:t>the findings and man</w:t>
      </w:r>
      <w:r w:rsidR="00514127">
        <w:rPr>
          <w:iCs/>
        </w:rPr>
        <w:t>y of the recommendations of the Canadian</w:t>
      </w:r>
      <w:r>
        <w:rPr>
          <w:iCs/>
        </w:rPr>
        <w:t xml:space="preserve"> report</w:t>
      </w:r>
      <w:r w:rsidR="00514127">
        <w:rPr>
          <w:iCs/>
        </w:rPr>
        <w:t xml:space="preserve"> cited</w:t>
      </w:r>
      <w:r>
        <w:rPr>
          <w:iCs/>
        </w:rPr>
        <w:t xml:space="preserve">.  </w:t>
      </w:r>
      <w:r w:rsidR="00FA0ECA">
        <w:rPr>
          <w:iCs/>
        </w:rPr>
        <w:t xml:space="preserve">In particular we ask the </w:t>
      </w:r>
      <w:r>
        <w:rPr>
          <w:iCs/>
        </w:rPr>
        <w:t>Committee to c</w:t>
      </w:r>
      <w:r w:rsidR="000A20F4">
        <w:rPr>
          <w:iCs/>
        </w:rPr>
        <w:t xml:space="preserve">onsider the crucial role that pre-school learning opportunities play in contributing to </w:t>
      </w:r>
      <w:r>
        <w:rPr>
          <w:iCs/>
        </w:rPr>
        <w:t xml:space="preserve">children’s later educational </w:t>
      </w:r>
      <w:r w:rsidR="001671DE">
        <w:rPr>
          <w:iCs/>
        </w:rPr>
        <w:t xml:space="preserve">and social success.  </w:t>
      </w:r>
      <w:r>
        <w:rPr>
          <w:iCs/>
        </w:rPr>
        <w:t>As stated by t</w:t>
      </w:r>
      <w:r w:rsidRPr="00FE6309">
        <w:t>he Can</w:t>
      </w:r>
      <w:r>
        <w:t>adian Council on Learning</w:t>
      </w:r>
      <w:r w:rsidRPr="00FE6309">
        <w:t xml:space="preserve">: </w:t>
      </w:r>
      <w:r w:rsidRPr="004F73DE">
        <w:rPr>
          <w:i/>
        </w:rPr>
        <w:t xml:space="preserve">“Research indicates that the experiences during the first five years of a child’s life have a major bearing on his or her future success in school, in the workplace and many other aspects of a health fulfilling life.”  </w:t>
      </w:r>
      <w:r w:rsidR="00514127">
        <w:rPr>
          <w:i/>
        </w:rPr>
        <w:t xml:space="preserve"> </w:t>
      </w:r>
      <w:r>
        <w:t xml:space="preserve">Pascal cites </w:t>
      </w:r>
      <w:r w:rsidRPr="00FE6309">
        <w:t xml:space="preserve">Nobel laureate </w:t>
      </w:r>
      <w:r>
        <w:t>economist James Heckman</w:t>
      </w:r>
      <w:r w:rsidR="000A20F4">
        <w:t>’s</w:t>
      </w:r>
      <w:r>
        <w:t xml:space="preserve"> observation</w:t>
      </w:r>
      <w:r w:rsidR="000A20F4">
        <w:t xml:space="preserve"> that big gaps in c</w:t>
      </w:r>
      <w:r w:rsidRPr="00FE6309">
        <w:t xml:space="preserve">hildren’s learning are present at age 5 and has shown, with depressing accuracy, how they predict who will complete high school and post secondary education and who will not. </w:t>
      </w:r>
    </w:p>
    <w:p w14:paraId="0531AE1E" w14:textId="77777777" w:rsidR="00514127" w:rsidRDefault="0001247B" w:rsidP="00A72CA2">
      <w:pPr>
        <w:pStyle w:val="Default"/>
        <w:spacing w:after="120"/>
        <w:rPr>
          <w:rFonts w:asciiTheme="minorHAnsi" w:hAnsiTheme="minorHAnsi"/>
          <w:iCs/>
          <w:color w:val="auto"/>
          <w:sz w:val="22"/>
          <w:szCs w:val="22"/>
        </w:rPr>
      </w:pPr>
      <w:r w:rsidRPr="00FE6309">
        <w:rPr>
          <w:rFonts w:asciiTheme="minorHAnsi" w:hAnsiTheme="minorHAnsi"/>
          <w:iCs/>
          <w:color w:val="auto"/>
          <w:sz w:val="22"/>
          <w:szCs w:val="22"/>
        </w:rPr>
        <w:t xml:space="preserve"> </w:t>
      </w:r>
    </w:p>
    <w:p w14:paraId="78117E8C" w14:textId="036B016B" w:rsidR="007E2C2B" w:rsidRPr="00CA280A" w:rsidRDefault="0001247B" w:rsidP="00CA280A">
      <w:pPr>
        <w:pStyle w:val="Default"/>
        <w:spacing w:after="120"/>
        <w:rPr>
          <w:rFonts w:asciiTheme="minorHAnsi" w:hAnsiTheme="minorHAnsi"/>
          <w:i/>
          <w:iCs/>
          <w:color w:val="auto"/>
          <w:sz w:val="22"/>
          <w:szCs w:val="22"/>
        </w:rPr>
      </w:pPr>
      <w:r w:rsidRPr="00FE6309">
        <w:rPr>
          <w:rFonts w:asciiTheme="minorHAnsi" w:hAnsiTheme="minorHAnsi"/>
          <w:iCs/>
          <w:color w:val="auto"/>
          <w:sz w:val="22"/>
          <w:szCs w:val="22"/>
        </w:rPr>
        <w:lastRenderedPageBreak/>
        <w:t>In order to commence the life-long learning of Australia’s next generation</w:t>
      </w:r>
      <w:r w:rsidR="000A20F4">
        <w:rPr>
          <w:rFonts w:asciiTheme="minorHAnsi" w:hAnsiTheme="minorHAnsi"/>
          <w:iCs/>
          <w:color w:val="auto"/>
          <w:sz w:val="22"/>
          <w:szCs w:val="22"/>
        </w:rPr>
        <w:t xml:space="preserve"> as effectively as possible governments </w:t>
      </w:r>
      <w:r w:rsidR="00DC12C4">
        <w:rPr>
          <w:rFonts w:asciiTheme="minorHAnsi" w:hAnsiTheme="minorHAnsi"/>
          <w:iCs/>
          <w:color w:val="auto"/>
          <w:sz w:val="22"/>
          <w:szCs w:val="22"/>
        </w:rPr>
        <w:t>and bureaucracies must take into account</w:t>
      </w:r>
      <w:r w:rsidR="000A20F4">
        <w:rPr>
          <w:rFonts w:asciiTheme="minorHAnsi" w:hAnsiTheme="minorHAnsi"/>
          <w:iCs/>
          <w:color w:val="auto"/>
          <w:sz w:val="22"/>
          <w:szCs w:val="22"/>
        </w:rPr>
        <w:t xml:space="preserve"> the </w:t>
      </w:r>
      <w:r w:rsidRPr="00FE6309">
        <w:rPr>
          <w:rFonts w:asciiTheme="minorHAnsi" w:hAnsiTheme="minorHAnsi"/>
          <w:iCs/>
          <w:color w:val="auto"/>
          <w:sz w:val="22"/>
          <w:szCs w:val="22"/>
        </w:rPr>
        <w:t>continuum of lea</w:t>
      </w:r>
      <w:r w:rsidR="00377D21">
        <w:rPr>
          <w:rFonts w:asciiTheme="minorHAnsi" w:hAnsiTheme="minorHAnsi"/>
          <w:iCs/>
          <w:color w:val="auto"/>
          <w:sz w:val="22"/>
          <w:szCs w:val="22"/>
        </w:rPr>
        <w:t>rning for children from birth</w:t>
      </w:r>
      <w:r w:rsidRPr="00FE6309">
        <w:rPr>
          <w:rFonts w:asciiTheme="minorHAnsi" w:hAnsiTheme="minorHAnsi"/>
          <w:iCs/>
          <w:color w:val="auto"/>
          <w:sz w:val="22"/>
          <w:szCs w:val="22"/>
        </w:rPr>
        <w:t xml:space="preserve"> through</w:t>
      </w:r>
      <w:r w:rsidR="000A20F4">
        <w:rPr>
          <w:rFonts w:asciiTheme="minorHAnsi" w:hAnsiTheme="minorHAnsi"/>
          <w:iCs/>
          <w:color w:val="auto"/>
          <w:sz w:val="22"/>
          <w:szCs w:val="22"/>
        </w:rPr>
        <w:t xml:space="preserve"> to adulthood</w:t>
      </w:r>
      <w:r w:rsidRPr="00FE6309">
        <w:rPr>
          <w:rFonts w:asciiTheme="minorHAnsi" w:hAnsiTheme="minorHAnsi"/>
          <w:iCs/>
          <w:color w:val="auto"/>
          <w:sz w:val="22"/>
          <w:szCs w:val="22"/>
        </w:rPr>
        <w:t>.  T</w:t>
      </w:r>
      <w:r w:rsidR="000A20F4">
        <w:rPr>
          <w:rFonts w:asciiTheme="minorHAnsi" w:hAnsiTheme="minorHAnsi"/>
          <w:iCs/>
          <w:color w:val="auto"/>
          <w:sz w:val="22"/>
          <w:szCs w:val="22"/>
        </w:rPr>
        <w:t>his learning is cumulative and s</w:t>
      </w:r>
      <w:r w:rsidRPr="00FE6309">
        <w:rPr>
          <w:rFonts w:asciiTheme="minorHAnsi" w:hAnsiTheme="minorHAnsi"/>
          <w:iCs/>
          <w:color w:val="auto"/>
          <w:sz w:val="22"/>
          <w:szCs w:val="22"/>
        </w:rPr>
        <w:t>h</w:t>
      </w:r>
      <w:r w:rsidR="00CA280A">
        <w:rPr>
          <w:rFonts w:asciiTheme="minorHAnsi" w:hAnsiTheme="minorHAnsi"/>
          <w:iCs/>
          <w:color w:val="auto"/>
          <w:sz w:val="22"/>
          <w:szCs w:val="22"/>
        </w:rPr>
        <w:t xml:space="preserve">ort term initiatives in </w:t>
      </w:r>
      <w:r w:rsidR="00FA0ECA">
        <w:rPr>
          <w:rFonts w:asciiTheme="minorHAnsi" w:hAnsiTheme="minorHAnsi"/>
          <w:iCs/>
          <w:color w:val="auto"/>
          <w:sz w:val="22"/>
          <w:szCs w:val="22"/>
        </w:rPr>
        <w:t xml:space="preserve">later schooling </w:t>
      </w:r>
      <w:r w:rsidRPr="00FE6309">
        <w:rPr>
          <w:rFonts w:asciiTheme="minorHAnsi" w:hAnsiTheme="minorHAnsi"/>
          <w:iCs/>
          <w:color w:val="auto"/>
          <w:sz w:val="22"/>
          <w:szCs w:val="22"/>
        </w:rPr>
        <w:t xml:space="preserve">will not be sufficient to sustain improvement in outcomes. </w:t>
      </w:r>
      <w:r w:rsidR="000A20F4">
        <w:rPr>
          <w:rFonts w:asciiTheme="minorHAnsi" w:hAnsiTheme="minorHAnsi"/>
          <w:iCs/>
          <w:color w:val="auto"/>
          <w:sz w:val="22"/>
          <w:szCs w:val="22"/>
        </w:rPr>
        <w:t xml:space="preserve"> As Pascal states in his report “</w:t>
      </w:r>
      <w:r w:rsidRPr="000A20F4">
        <w:rPr>
          <w:rFonts w:asciiTheme="minorHAnsi" w:hAnsiTheme="minorHAnsi"/>
          <w:i/>
          <w:iCs/>
          <w:color w:val="auto"/>
          <w:sz w:val="22"/>
          <w:szCs w:val="22"/>
        </w:rPr>
        <w:t>Research has shown that starting early can change developmental trajectories for our youngest children and break intergenerational cycles of illit</w:t>
      </w:r>
      <w:r w:rsidR="000A20F4">
        <w:rPr>
          <w:rFonts w:asciiTheme="minorHAnsi" w:hAnsiTheme="minorHAnsi"/>
          <w:i/>
          <w:iCs/>
          <w:color w:val="auto"/>
          <w:sz w:val="22"/>
          <w:szCs w:val="22"/>
        </w:rPr>
        <w:t>eracy, poverty and poor health.”</w:t>
      </w:r>
      <w:r w:rsidR="00A72CA2">
        <w:rPr>
          <w:rFonts w:asciiTheme="minorHAnsi" w:hAnsiTheme="minorHAnsi"/>
          <w:i/>
          <w:iCs/>
          <w:color w:val="auto"/>
          <w:sz w:val="22"/>
          <w:szCs w:val="22"/>
        </w:rPr>
        <w:t xml:space="preserve">   </w:t>
      </w:r>
    </w:p>
    <w:p w14:paraId="1A57523C" w14:textId="2F5F0F19" w:rsidR="00DB6EB4" w:rsidRPr="00DB6EB4" w:rsidRDefault="00625B94" w:rsidP="00DB6EB4">
      <w:pPr>
        <w:spacing w:before="100" w:after="0"/>
        <w:rPr>
          <w:b/>
          <w:u w:val="single"/>
        </w:rPr>
      </w:pPr>
      <w:r>
        <w:rPr>
          <w:b/>
          <w:u w:val="single"/>
        </w:rPr>
        <w:t xml:space="preserve">Neuroscience </w:t>
      </w:r>
      <w:r w:rsidR="005C723E">
        <w:rPr>
          <w:b/>
          <w:u w:val="single"/>
        </w:rPr>
        <w:t xml:space="preserve">– evidence that supports the importance of early childhood learning </w:t>
      </w:r>
      <w:r>
        <w:rPr>
          <w:b/>
          <w:u w:val="single"/>
        </w:rPr>
        <w:t xml:space="preserve"> </w:t>
      </w:r>
    </w:p>
    <w:p w14:paraId="3D0EE86E" w14:textId="778A6CB0" w:rsidR="00F00B87" w:rsidRDefault="00A12AB7" w:rsidP="00DC12C4">
      <w:pPr>
        <w:spacing w:after="0"/>
      </w:pPr>
      <w:r w:rsidRPr="00FE6309">
        <w:t>Our children are the biggest ass</w:t>
      </w:r>
      <w:r w:rsidR="00A86033">
        <w:t xml:space="preserve">et to our </w:t>
      </w:r>
      <w:r w:rsidR="00721A61">
        <w:t>economy;</w:t>
      </w:r>
      <w:r w:rsidRPr="00FE6309">
        <w:t xml:space="preserve"> therefore we must address pertinent issues relating to </w:t>
      </w:r>
      <w:r w:rsidR="001B0082">
        <w:t xml:space="preserve">scientific </w:t>
      </w:r>
      <w:r w:rsidRPr="00FE6309">
        <w:t>knowledge of ch</w:t>
      </w:r>
      <w:r w:rsidR="007E2C2B">
        <w:t xml:space="preserve">ild development from 0-5 years and understand </w:t>
      </w:r>
      <w:r w:rsidR="00721A61">
        <w:t xml:space="preserve">that </w:t>
      </w:r>
      <w:r w:rsidR="00721A61" w:rsidRPr="001671DE">
        <w:t>the</w:t>
      </w:r>
      <w:r w:rsidR="001671DE">
        <w:rPr>
          <w:bCs/>
        </w:rPr>
        <w:t xml:space="preserve"> first five years are crucial to children’</w:t>
      </w:r>
      <w:r w:rsidR="00E70521">
        <w:rPr>
          <w:bCs/>
        </w:rPr>
        <w:t>s</w:t>
      </w:r>
      <w:r w:rsidR="001671DE">
        <w:rPr>
          <w:bCs/>
        </w:rPr>
        <w:t xml:space="preserve"> prospects. </w:t>
      </w:r>
      <w:r w:rsidRPr="001671DE">
        <w:rPr>
          <w:bCs/>
        </w:rPr>
        <w:t xml:space="preserve"> </w:t>
      </w:r>
      <w:r w:rsidR="00E70521" w:rsidRPr="00A86033">
        <w:rPr>
          <w:rFonts w:cstheme="minorHAnsi"/>
        </w:rPr>
        <w:t xml:space="preserve">Neuroscience provides compelling evidence that prior-to-school years are critical to the long-term outcomes for children as the rapidly developing brain is building its architecture and the way it functions. </w:t>
      </w:r>
      <w:r w:rsidR="00A86033" w:rsidRPr="00A86033">
        <w:rPr>
          <w:rFonts w:cstheme="minorHAnsi"/>
        </w:rPr>
        <w:t>T</w:t>
      </w:r>
      <w:r w:rsidR="00A72CA2" w:rsidRPr="00A86033">
        <w:rPr>
          <w:rFonts w:cstheme="minorHAnsi"/>
        </w:rPr>
        <w:t xml:space="preserve">he biological pathways developed in early childhood influence health, wellbeing, </w:t>
      </w:r>
      <w:r w:rsidR="00A72CA2" w:rsidRPr="00FE6309">
        <w:t xml:space="preserve">learning and behaviour across a lifetime.  </w:t>
      </w:r>
      <w:r w:rsidR="00A72CA2">
        <w:t xml:space="preserve">The brain remains plastic, </w:t>
      </w:r>
      <w:r w:rsidR="00A72CA2" w:rsidRPr="00FE6309">
        <w:t>flexible and able to adapt to and learn from environmental stimuli throughout life but predominantly between 0-5 year</w:t>
      </w:r>
      <w:r w:rsidR="007E2C2B">
        <w:t xml:space="preserve">s. </w:t>
      </w:r>
      <w:r w:rsidR="00A72CA2">
        <w:t xml:space="preserve">This makes a </w:t>
      </w:r>
      <w:r w:rsidR="00A72CA2" w:rsidRPr="00FE6309">
        <w:t xml:space="preserve">child </w:t>
      </w:r>
      <w:r w:rsidR="00A72CA2">
        <w:t xml:space="preserve">at this stage most </w:t>
      </w:r>
      <w:r w:rsidR="00A72CA2" w:rsidRPr="00FE6309">
        <w:t>vulnerable to bot</w:t>
      </w:r>
      <w:r w:rsidR="00CA280A">
        <w:t xml:space="preserve">h positive and negative effects </w:t>
      </w:r>
      <w:r w:rsidR="00A72CA2" w:rsidRPr="00FE6309">
        <w:t>of the environment.</w:t>
      </w:r>
    </w:p>
    <w:p w14:paraId="3AB94706" w14:textId="77777777" w:rsidR="00DC12C4" w:rsidRPr="00DC12C4" w:rsidRDefault="00DC12C4" w:rsidP="00DC12C4">
      <w:pPr>
        <w:spacing w:after="0"/>
      </w:pPr>
    </w:p>
    <w:p w14:paraId="5F80C400" w14:textId="77CBE4AF" w:rsidR="001B0082" w:rsidRPr="00F00B87" w:rsidRDefault="00A72CA2" w:rsidP="00F00B87">
      <w:pPr>
        <w:autoSpaceDE w:val="0"/>
        <w:autoSpaceDN w:val="0"/>
        <w:adjustRightInd w:val="0"/>
        <w:spacing w:after="0"/>
        <w:rPr>
          <w:rFonts w:cstheme="minorHAnsi"/>
        </w:rPr>
      </w:pPr>
      <w:r w:rsidRPr="00F00B87">
        <w:rPr>
          <w:rFonts w:cstheme="minorHAnsi"/>
        </w:rPr>
        <w:t>Children learn to regulate their emotional responses to people and experiences by watching and perce</w:t>
      </w:r>
      <w:r w:rsidR="003E7231" w:rsidRPr="00F00B87">
        <w:rPr>
          <w:rFonts w:cstheme="minorHAnsi"/>
        </w:rPr>
        <w:t>iving their carer's responses (</w:t>
      </w:r>
      <w:proofErr w:type="spellStart"/>
      <w:r w:rsidR="00F00B87" w:rsidRPr="00F00B87">
        <w:rPr>
          <w:rFonts w:cstheme="minorHAnsi"/>
        </w:rPr>
        <w:t>Goswami</w:t>
      </w:r>
      <w:proofErr w:type="spellEnd"/>
      <w:r w:rsidR="00F00B87" w:rsidRPr="00F00B87">
        <w:rPr>
          <w:rFonts w:cstheme="minorHAnsi"/>
        </w:rPr>
        <w:t xml:space="preserve"> - </w:t>
      </w:r>
      <w:r w:rsidR="00F00B87" w:rsidRPr="00F00B87">
        <w:rPr>
          <w:rFonts w:cstheme="minorHAnsi"/>
          <w:lang w:val="en"/>
        </w:rPr>
        <w:t>Professor of Cognitive Developmental Neuroscience</w:t>
      </w:r>
      <w:r w:rsidR="00F00B87">
        <w:rPr>
          <w:rFonts w:cstheme="minorHAnsi"/>
          <w:lang w:val="en"/>
        </w:rPr>
        <w:t xml:space="preserve"> and </w:t>
      </w:r>
      <w:r w:rsidR="00F00B87" w:rsidRPr="00F00B87">
        <w:rPr>
          <w:rFonts w:cstheme="minorHAnsi"/>
          <w:lang w:val="en"/>
        </w:rPr>
        <w:t>Director, Centre for Neuroscience in Education</w:t>
      </w:r>
      <w:r w:rsidR="00F00B87">
        <w:rPr>
          <w:rFonts w:cstheme="minorHAnsi"/>
          <w:lang w:val="en"/>
        </w:rPr>
        <w:t xml:space="preserve">, </w:t>
      </w:r>
      <w:r w:rsidR="00F00B87" w:rsidRPr="00F00B87">
        <w:rPr>
          <w:rFonts w:cstheme="minorHAnsi"/>
          <w:lang w:val="en"/>
        </w:rPr>
        <w:t>St John's College, Cambridge</w:t>
      </w:r>
      <w:r w:rsidR="00F00B87">
        <w:rPr>
          <w:rFonts w:cstheme="minorHAnsi"/>
          <w:lang w:val="en"/>
        </w:rPr>
        <w:t xml:space="preserve">, 2008) </w:t>
      </w:r>
      <w:r w:rsidRPr="00F00B87">
        <w:rPr>
          <w:rFonts w:cstheme="minorHAnsi"/>
        </w:rPr>
        <w:t>and emotions, learning and memory are closely linked.</w:t>
      </w:r>
      <w:r w:rsidR="00845958" w:rsidRPr="00F00B87">
        <w:rPr>
          <w:rFonts w:cstheme="minorHAnsi"/>
        </w:rPr>
        <w:t xml:space="preserve">  </w:t>
      </w:r>
      <w:r w:rsidRPr="00F00B87">
        <w:rPr>
          <w:rFonts w:cstheme="minorHAnsi"/>
          <w:bCs/>
        </w:rPr>
        <w:t>Children's self control is critical for learning, responsibility and relationships</w:t>
      </w:r>
      <w:r w:rsidR="00324388" w:rsidRPr="00F00B87">
        <w:rPr>
          <w:rFonts w:cstheme="minorHAnsi"/>
        </w:rPr>
        <w:t xml:space="preserve">.  </w:t>
      </w:r>
      <w:r w:rsidR="00CA280A" w:rsidRPr="00F00B87">
        <w:rPr>
          <w:rFonts w:cstheme="minorHAnsi"/>
          <w:bCs/>
        </w:rPr>
        <w:t>Self-</w:t>
      </w:r>
      <w:r w:rsidRPr="00F00B87">
        <w:rPr>
          <w:rFonts w:cstheme="minorHAnsi"/>
          <w:bCs/>
        </w:rPr>
        <w:t>regulation is consistently ranked by teachers as the most critical</w:t>
      </w:r>
      <w:r w:rsidR="00CA280A" w:rsidRPr="00F00B87">
        <w:rPr>
          <w:rFonts w:cstheme="minorHAnsi"/>
          <w:bCs/>
        </w:rPr>
        <w:t xml:space="preserve"> aspect of 'school readiness' </w:t>
      </w:r>
      <w:r w:rsidRPr="00F00B87">
        <w:rPr>
          <w:rFonts w:cstheme="minorHAnsi"/>
          <w:bCs/>
        </w:rPr>
        <w:t>and has a direct link</w:t>
      </w:r>
      <w:r w:rsidR="00A86033" w:rsidRPr="00F00B87">
        <w:rPr>
          <w:rFonts w:cstheme="minorHAnsi"/>
          <w:bCs/>
        </w:rPr>
        <w:t xml:space="preserve"> to high academic achievement (</w:t>
      </w:r>
      <w:r w:rsidRPr="00F00B87">
        <w:rPr>
          <w:rFonts w:cstheme="minorHAnsi"/>
          <w:bCs/>
        </w:rPr>
        <w:t>Howard-Jones,</w:t>
      </w:r>
      <w:r w:rsidR="00F00B87" w:rsidRPr="00F00B87">
        <w:rPr>
          <w:rFonts w:cstheme="minorHAnsi"/>
          <w:lang w:val="en"/>
        </w:rPr>
        <w:t xml:space="preserve"> renowned neuroscientist from Bristol University,</w:t>
      </w:r>
      <w:r w:rsidR="00F00B87">
        <w:rPr>
          <w:lang w:val="en"/>
        </w:rPr>
        <w:t xml:space="preserve"> </w:t>
      </w:r>
      <w:r w:rsidRPr="00F00B87">
        <w:rPr>
          <w:rFonts w:cstheme="minorHAnsi"/>
          <w:bCs/>
        </w:rPr>
        <w:t>2008).</w:t>
      </w:r>
      <w:r w:rsidR="00CA280A" w:rsidRPr="00F00B87">
        <w:rPr>
          <w:rFonts w:cstheme="minorHAnsi"/>
        </w:rPr>
        <w:t xml:space="preserve">  </w:t>
      </w:r>
      <w:r w:rsidR="00845958" w:rsidRPr="00F00B87">
        <w:rPr>
          <w:rFonts w:cstheme="minorHAnsi"/>
        </w:rPr>
        <w:t xml:space="preserve">Research indicates that </w:t>
      </w:r>
      <w:r w:rsidRPr="00F00B87">
        <w:rPr>
          <w:rFonts w:cstheme="minorHAnsi"/>
        </w:rPr>
        <w:t>half of the young children entering Australian schools do not have sufficient levels of soci</w:t>
      </w:r>
      <w:r w:rsidR="00CA280A" w:rsidRPr="00F00B87">
        <w:rPr>
          <w:rFonts w:cstheme="minorHAnsi"/>
        </w:rPr>
        <w:t>al-emotional and cognitive self-</w:t>
      </w:r>
      <w:r w:rsidRPr="00F00B87">
        <w:rPr>
          <w:rFonts w:cstheme="minorHAnsi"/>
        </w:rPr>
        <w:t>r</w:t>
      </w:r>
      <w:r w:rsidR="00845958" w:rsidRPr="00F00B87">
        <w:rPr>
          <w:rFonts w:cstheme="minorHAnsi"/>
        </w:rPr>
        <w:t>egulation (</w:t>
      </w:r>
      <w:proofErr w:type="spellStart"/>
      <w:r w:rsidRPr="00F00B87">
        <w:rPr>
          <w:rFonts w:cstheme="minorHAnsi"/>
        </w:rPr>
        <w:t>Bodrova</w:t>
      </w:r>
      <w:proofErr w:type="spellEnd"/>
      <w:r w:rsidR="00F00B87">
        <w:rPr>
          <w:rFonts w:cstheme="minorHAnsi"/>
        </w:rPr>
        <w:t xml:space="preserve">, </w:t>
      </w:r>
      <w:r w:rsidR="00F00B87" w:rsidRPr="00F00B87">
        <w:rPr>
          <w:rFonts w:cstheme="minorHAnsi"/>
        </w:rPr>
        <w:t>a principal researcher at</w:t>
      </w:r>
      <w:r w:rsidR="00F00B87">
        <w:rPr>
          <w:rFonts w:ascii="ArialMT" w:hAnsi="ArialMT" w:cs="ArialMT"/>
          <w:sz w:val="17"/>
          <w:szCs w:val="17"/>
        </w:rPr>
        <w:t xml:space="preserve"> </w:t>
      </w:r>
      <w:proofErr w:type="spellStart"/>
      <w:r w:rsidR="00F00B87">
        <w:rPr>
          <w:rFonts w:cstheme="minorHAnsi"/>
        </w:rPr>
        <w:t>McREL</w:t>
      </w:r>
      <w:proofErr w:type="spellEnd"/>
      <w:r w:rsidR="00F00B87">
        <w:rPr>
          <w:rFonts w:cstheme="minorHAnsi"/>
        </w:rPr>
        <w:t xml:space="preserve"> , Midcontinent </w:t>
      </w:r>
      <w:r w:rsidR="00F00B87" w:rsidRPr="00F00B87">
        <w:rPr>
          <w:rFonts w:cstheme="minorHAnsi"/>
        </w:rPr>
        <w:t>Research for Education and Learning</w:t>
      </w:r>
      <w:r w:rsidR="00F00B87">
        <w:rPr>
          <w:rFonts w:ascii="ArialMT" w:hAnsi="ArialMT" w:cs="ArialMT"/>
          <w:sz w:val="17"/>
          <w:szCs w:val="17"/>
        </w:rPr>
        <w:t>,</w:t>
      </w:r>
      <w:r w:rsidRPr="00F00B87">
        <w:rPr>
          <w:rFonts w:cstheme="minorHAnsi"/>
        </w:rPr>
        <w:t xml:space="preserve"> in </w:t>
      </w:r>
      <w:proofErr w:type="spellStart"/>
      <w:r w:rsidRPr="00F00B87">
        <w:rPr>
          <w:rFonts w:cstheme="minorHAnsi"/>
        </w:rPr>
        <w:t>Zaslow</w:t>
      </w:r>
      <w:proofErr w:type="spellEnd"/>
      <w:r w:rsidRPr="00F00B87">
        <w:rPr>
          <w:rFonts w:cstheme="minorHAnsi"/>
        </w:rPr>
        <w:t xml:space="preserve"> &amp; Martinez-Beck, 2005).</w:t>
      </w:r>
      <w:r w:rsidR="00845958" w:rsidRPr="00F00B87">
        <w:rPr>
          <w:rFonts w:cstheme="minorHAnsi"/>
        </w:rPr>
        <w:t xml:space="preserve">  </w:t>
      </w:r>
    </w:p>
    <w:p w14:paraId="558F1871" w14:textId="7DECA767" w:rsidR="00A72CA2" w:rsidRDefault="00845958" w:rsidP="00DC12C4">
      <w:pPr>
        <w:spacing w:before="100" w:after="0"/>
      </w:pPr>
      <w:r>
        <w:t>By supporting parents and providing positive modelling and engaging, caring and supportive environments</w:t>
      </w:r>
      <w:r w:rsidR="001B0082">
        <w:t>,</w:t>
      </w:r>
      <w:r w:rsidR="00A86033">
        <w:t xml:space="preserve"> </w:t>
      </w:r>
      <w:r w:rsidR="00262199">
        <w:t>early</w:t>
      </w:r>
      <w:r>
        <w:t xml:space="preserve"> education can ideally enable all children to develop self regulation prior to entering primary school.   </w:t>
      </w:r>
      <w:r w:rsidR="00CA280A">
        <w:t xml:space="preserve">In summary both research and neuroscience strongly indicate </w:t>
      </w:r>
      <w:r w:rsidR="00A72CA2" w:rsidRPr="001671DE">
        <w:t>t</w:t>
      </w:r>
      <w:r w:rsidR="001671DE">
        <w:t xml:space="preserve">hat if managed properly,  government </w:t>
      </w:r>
      <w:r w:rsidR="00A72CA2" w:rsidRPr="001671DE">
        <w:t xml:space="preserve"> commitment to improving children’s development </w:t>
      </w:r>
      <w:r w:rsidRPr="001671DE">
        <w:t xml:space="preserve">in early childhood </w:t>
      </w:r>
      <w:r w:rsidR="00CA280A">
        <w:t>can</w:t>
      </w:r>
      <w:r w:rsidR="00A72CA2" w:rsidRPr="001671DE">
        <w:t xml:space="preserve"> have transformative </w:t>
      </w:r>
      <w:r w:rsidR="001671DE">
        <w:t>effects on individual</w:t>
      </w:r>
      <w:r w:rsidR="00825873">
        <w:t xml:space="preserve"> children and ultimately on society and the economy. </w:t>
      </w:r>
    </w:p>
    <w:p w14:paraId="3F8C785F" w14:textId="77777777" w:rsidR="00DC12C4" w:rsidRDefault="00DC12C4" w:rsidP="00DC12C4">
      <w:pPr>
        <w:spacing w:after="0"/>
        <w:rPr>
          <w:b/>
          <w:u w:val="single"/>
        </w:rPr>
      </w:pPr>
    </w:p>
    <w:p w14:paraId="7C5FA238" w14:textId="77777777" w:rsidR="007E2C2B" w:rsidRPr="00262199" w:rsidRDefault="007E2C2B" w:rsidP="00DC12C4">
      <w:pPr>
        <w:spacing w:after="0"/>
        <w:rPr>
          <w:b/>
          <w:u w:val="single"/>
        </w:rPr>
      </w:pPr>
      <w:r w:rsidRPr="00262199">
        <w:rPr>
          <w:b/>
          <w:u w:val="single"/>
        </w:rPr>
        <w:t xml:space="preserve">Resourcing parental involvement in early learning </w:t>
      </w:r>
    </w:p>
    <w:p w14:paraId="4F9EE7C3" w14:textId="56FA5FEB" w:rsidR="007E2C2B" w:rsidRDefault="007E2C2B" w:rsidP="007E2C2B">
      <w:pPr>
        <w:spacing w:after="0"/>
      </w:pPr>
      <w:r>
        <w:t xml:space="preserve">Parental training and guidance is essential to support early learning.  It is vital that government resources are made available to integrate this into early childhood education.  As principals in government schools, we see too many parents who lack skills in encouraging their children and in setting limits and sticking with them and who never read to their children or involve them in activities that will expand their horizons.  </w:t>
      </w:r>
    </w:p>
    <w:p w14:paraId="5E3EA0B9" w14:textId="77777777" w:rsidR="00DC12C4" w:rsidRPr="001671DE" w:rsidRDefault="00DC12C4" w:rsidP="007E2C2B">
      <w:pPr>
        <w:spacing w:after="0"/>
      </w:pPr>
    </w:p>
    <w:p w14:paraId="1852EFDE" w14:textId="03EEE132" w:rsidR="00262199" w:rsidRPr="00262199" w:rsidRDefault="00C907D0" w:rsidP="00262199">
      <w:pPr>
        <w:spacing w:after="0"/>
        <w:rPr>
          <w:b/>
          <w:u w:val="single"/>
        </w:rPr>
      </w:pPr>
      <w:r>
        <w:rPr>
          <w:b/>
          <w:u w:val="single"/>
        </w:rPr>
        <w:t>I</w:t>
      </w:r>
      <w:r w:rsidR="00BB1EB5">
        <w:rPr>
          <w:b/>
          <w:u w:val="single"/>
        </w:rPr>
        <w:t>ncrease</w:t>
      </w:r>
      <w:r>
        <w:rPr>
          <w:b/>
          <w:u w:val="single"/>
        </w:rPr>
        <w:t>d</w:t>
      </w:r>
      <w:r w:rsidR="00BB1EB5">
        <w:rPr>
          <w:b/>
          <w:u w:val="single"/>
        </w:rPr>
        <w:t xml:space="preserve"> government funding of early learning and the resulting benefits</w:t>
      </w:r>
    </w:p>
    <w:p w14:paraId="249D906C" w14:textId="704BC86F" w:rsidR="00726EC9" w:rsidRDefault="00845958" w:rsidP="00A12AB7">
      <w:pPr>
        <w:rPr>
          <w:rFonts w:cs="Calibri"/>
        </w:rPr>
      </w:pPr>
      <w:r>
        <w:t>It is unfortunate that currently Australia</w:t>
      </w:r>
      <w:r w:rsidR="00BB1EB5">
        <w:t xml:space="preserve"> is not faring well in comparison to other OECD countries </w:t>
      </w:r>
      <w:r w:rsidR="00825873">
        <w:t>in the area of early childhood services</w:t>
      </w:r>
      <w:r>
        <w:t xml:space="preserve">.  </w:t>
      </w:r>
      <w:r>
        <w:rPr>
          <w:rFonts w:cs="Calibri"/>
        </w:rPr>
        <w:t xml:space="preserve">The </w:t>
      </w:r>
      <w:r w:rsidR="00ED236E">
        <w:t>UNICEF Innocenti Report Card</w:t>
      </w:r>
      <w:r w:rsidR="00ED236E">
        <w:rPr>
          <w:rFonts w:cs="Calibri"/>
        </w:rPr>
        <w:t xml:space="preserve"> </w:t>
      </w:r>
      <w:r>
        <w:rPr>
          <w:rFonts w:cs="Calibri"/>
        </w:rPr>
        <w:t>research study undertake</w:t>
      </w:r>
      <w:r w:rsidR="00AE5E6A">
        <w:rPr>
          <w:rFonts w:cs="Calibri"/>
        </w:rPr>
        <w:t>n in 2008 attempted to evaluate</w:t>
      </w:r>
      <w:r w:rsidRPr="00FE6309">
        <w:rPr>
          <w:rFonts w:cs="Calibri"/>
        </w:rPr>
        <w:t xml:space="preserve"> and compare early childhood services in the 25 OECD countries where data has been collected by</w:t>
      </w:r>
      <w:r w:rsidR="00825873">
        <w:rPr>
          <w:rFonts w:cs="Calibri"/>
        </w:rPr>
        <w:t xml:space="preserve"> indicating which countries were </w:t>
      </w:r>
      <w:r w:rsidRPr="00FE6309">
        <w:rPr>
          <w:rFonts w:cs="Calibri"/>
        </w:rPr>
        <w:t>meeting the suggested standa</w:t>
      </w:r>
      <w:r w:rsidR="00AE5E6A">
        <w:rPr>
          <w:rFonts w:cs="Calibri"/>
        </w:rPr>
        <w:t xml:space="preserve">rds. </w:t>
      </w:r>
      <w:r w:rsidR="00AE5E6A">
        <w:rPr>
          <w:rFonts w:cs="Times New Roman"/>
        </w:rPr>
        <w:t xml:space="preserve">  That </w:t>
      </w:r>
      <w:r w:rsidR="00AE5E6A">
        <w:rPr>
          <w:rFonts w:cs="Calibri"/>
        </w:rPr>
        <w:t xml:space="preserve">Australia </w:t>
      </w:r>
      <w:r w:rsidRPr="00FE6309">
        <w:rPr>
          <w:rFonts w:cs="Calibri"/>
        </w:rPr>
        <w:t xml:space="preserve">ranked 23 out of 25 developed countries </w:t>
      </w:r>
      <w:r w:rsidR="00BB1EB5">
        <w:rPr>
          <w:rFonts w:cs="Calibri"/>
        </w:rPr>
        <w:t xml:space="preserve">is </w:t>
      </w:r>
      <w:r w:rsidRPr="00FE6309">
        <w:rPr>
          <w:rFonts w:cs="Calibri"/>
        </w:rPr>
        <w:t>a cause of serious concern. The Canadian province of Ontario, which has already carried out a su</w:t>
      </w:r>
      <w:r w:rsidR="00BB1EB5">
        <w:rPr>
          <w:rFonts w:cs="Calibri"/>
        </w:rPr>
        <w:t>ccessful transformation of its p</w:t>
      </w:r>
      <w:r w:rsidRPr="00FE6309">
        <w:rPr>
          <w:rFonts w:cs="Calibri"/>
        </w:rPr>
        <w:t xml:space="preserve">rimary and </w:t>
      </w:r>
      <w:r w:rsidR="00BB1EB5">
        <w:rPr>
          <w:rFonts w:cs="Calibri"/>
        </w:rPr>
        <w:t>s</w:t>
      </w:r>
      <w:r w:rsidR="00AE5E6A">
        <w:rPr>
          <w:rFonts w:cs="Calibri"/>
        </w:rPr>
        <w:t xml:space="preserve">econdary education </w:t>
      </w:r>
      <w:r w:rsidR="00721A61">
        <w:rPr>
          <w:rFonts w:cs="Calibri"/>
        </w:rPr>
        <w:t>systems,</w:t>
      </w:r>
      <w:r w:rsidR="00AE5E6A">
        <w:rPr>
          <w:rFonts w:cs="Calibri"/>
        </w:rPr>
        <w:t xml:space="preserve"> </w:t>
      </w:r>
      <w:r w:rsidRPr="00FE6309">
        <w:rPr>
          <w:rFonts w:cs="Calibri"/>
        </w:rPr>
        <w:t xml:space="preserve">responded to their low ranking </w:t>
      </w:r>
      <w:r w:rsidR="00BB1EB5">
        <w:rPr>
          <w:rFonts w:cs="Calibri"/>
        </w:rPr>
        <w:t xml:space="preserve">in the Innocenti Report Card </w:t>
      </w:r>
      <w:r w:rsidRPr="00FE6309">
        <w:rPr>
          <w:rFonts w:cs="Calibri"/>
        </w:rPr>
        <w:t>by planning a similar transformation of it</w:t>
      </w:r>
      <w:r w:rsidR="00AE5E6A">
        <w:rPr>
          <w:rFonts w:cs="Calibri"/>
        </w:rPr>
        <w:t>s early childhood services</w:t>
      </w:r>
      <w:r w:rsidR="00206AB0">
        <w:rPr>
          <w:rFonts w:cs="Calibri"/>
        </w:rPr>
        <w:t xml:space="preserve">. </w:t>
      </w:r>
      <w:r w:rsidR="00AE5E6A">
        <w:rPr>
          <w:rFonts w:cs="Calibri"/>
        </w:rPr>
        <w:t xml:space="preserve"> </w:t>
      </w:r>
    </w:p>
    <w:p w14:paraId="3CA40DCB" w14:textId="60C9F10A" w:rsidR="00206AB0" w:rsidRPr="00BB1EB5" w:rsidRDefault="00BB1EB5" w:rsidP="00A12AB7">
      <w:pPr>
        <w:rPr>
          <w:rFonts w:cstheme="minorHAnsi"/>
          <w:b/>
          <w:color w:val="000099"/>
        </w:rPr>
      </w:pPr>
      <w:r w:rsidRPr="00BB1EB5">
        <w:rPr>
          <w:rFonts w:cstheme="minorHAnsi"/>
          <w:b/>
        </w:rPr>
        <w:t>In Australia funding levels in education and early childhood need to be totally revised. Following the lead of Canada where there is a totally new emphasis on government funding levels</w:t>
      </w:r>
      <w:r w:rsidR="00CA280A">
        <w:rPr>
          <w:rFonts w:cstheme="minorHAnsi"/>
          <w:b/>
        </w:rPr>
        <w:t xml:space="preserve"> </w:t>
      </w:r>
      <w:r w:rsidRPr="00BB1EB5">
        <w:rPr>
          <w:rFonts w:cstheme="minorHAnsi"/>
          <w:b/>
        </w:rPr>
        <w:t xml:space="preserve">and support </w:t>
      </w:r>
      <w:r w:rsidR="00CA280A">
        <w:rPr>
          <w:rFonts w:cstheme="minorHAnsi"/>
          <w:b/>
        </w:rPr>
        <w:t>in education</w:t>
      </w:r>
      <w:r w:rsidR="00CA280A" w:rsidRPr="00BB1EB5">
        <w:rPr>
          <w:rFonts w:cstheme="minorHAnsi"/>
          <w:b/>
        </w:rPr>
        <w:t xml:space="preserve"> </w:t>
      </w:r>
      <w:r w:rsidR="00CA280A">
        <w:rPr>
          <w:rFonts w:cstheme="minorHAnsi"/>
          <w:b/>
        </w:rPr>
        <w:t>Increased funds are directed</w:t>
      </w:r>
      <w:r w:rsidRPr="00BB1EB5">
        <w:rPr>
          <w:rFonts w:cstheme="minorHAnsi"/>
          <w:b/>
        </w:rPr>
        <w:t xml:space="preserve"> into the preschool and early years sector at a higher rate than the later years education. The rationale is that focusing on these years means that a real difference and improvement can be made with outcomes in learning at an optimum age. It is vital to emphasise the high value of spending earlier.</w:t>
      </w:r>
    </w:p>
    <w:p w14:paraId="1B1DFAF9" w14:textId="6943A3D9" w:rsidR="00B944BB" w:rsidRPr="00825873" w:rsidRDefault="00AE5E6A" w:rsidP="00A12AB7">
      <w:pPr>
        <w:rPr>
          <w:rFonts w:cs="Times New Roman"/>
        </w:rPr>
      </w:pPr>
      <w:r>
        <w:rPr>
          <w:rFonts w:cs="Times New Roman"/>
        </w:rPr>
        <w:lastRenderedPageBreak/>
        <w:t xml:space="preserve">The Ontario report </w:t>
      </w:r>
      <w:r w:rsidR="00BB1EB5">
        <w:rPr>
          <w:rFonts w:cs="Times New Roman"/>
        </w:rPr>
        <w:t>points t</w:t>
      </w:r>
      <w:r>
        <w:rPr>
          <w:rFonts w:cs="Times New Roman"/>
        </w:rPr>
        <w:t xml:space="preserve">o some useful and objective data to keep in mind. </w:t>
      </w:r>
      <w:r w:rsidR="00825873">
        <w:rPr>
          <w:rFonts w:cs="Times New Roman"/>
        </w:rPr>
        <w:t xml:space="preserve"> It provides </w:t>
      </w:r>
      <w:r w:rsidR="00825873">
        <w:t>research evidence documenting</w:t>
      </w:r>
      <w:r w:rsidR="00B944BB" w:rsidRPr="00FE6309">
        <w:t xml:space="preserve"> the economic benefits from public spending on quality early childhood programs:</w:t>
      </w:r>
    </w:p>
    <w:p w14:paraId="4FE57A91" w14:textId="0CD4940A" w:rsidR="00B944BB" w:rsidRPr="00FE6309" w:rsidRDefault="00B944BB" w:rsidP="00AE5E6A">
      <w:pPr>
        <w:pStyle w:val="ListParagraph"/>
        <w:numPr>
          <w:ilvl w:val="0"/>
          <w:numId w:val="28"/>
        </w:numPr>
      </w:pPr>
      <w:r w:rsidRPr="00FE6309">
        <w:t>University of Toronto economists showed a 2:1 payback on</w:t>
      </w:r>
      <w:r w:rsidR="004F73DE">
        <w:t xml:space="preserve"> </w:t>
      </w:r>
      <w:r w:rsidRPr="00FE6309">
        <w:t xml:space="preserve">public sending for developmentally enriched child care created from the increased taxes paid by working parents, coupled with reduced social service and compensatory educations costs.  </w:t>
      </w:r>
    </w:p>
    <w:p w14:paraId="5D743E86" w14:textId="4F903D0B" w:rsidR="00B944BB" w:rsidRPr="00FE6309" w:rsidRDefault="00B944BB" w:rsidP="00AE5E6A">
      <w:pPr>
        <w:pStyle w:val="ListParagraph"/>
        <w:numPr>
          <w:ilvl w:val="0"/>
          <w:numId w:val="28"/>
        </w:numPr>
      </w:pPr>
      <w:r w:rsidRPr="00FE6309">
        <w:t>Over 40% of the public cost of Quebec’s early childhood program is covered by the tax revenues from mothers who otherwise would not be working if low cost childcare was not available</w:t>
      </w:r>
    </w:p>
    <w:p w14:paraId="7FB37AB8" w14:textId="7DCD775B" w:rsidR="00AE5E6A" w:rsidRDefault="00B944BB" w:rsidP="00825873">
      <w:pPr>
        <w:pStyle w:val="ListParagraph"/>
        <w:numPr>
          <w:ilvl w:val="0"/>
          <w:numId w:val="28"/>
        </w:numPr>
      </w:pPr>
      <w:r w:rsidRPr="00FE6309">
        <w:t>A Manitoba study reveals that spending on early childhoo</w:t>
      </w:r>
      <w:r w:rsidR="00291883" w:rsidRPr="00FE6309">
        <w:t xml:space="preserve">d programs has an economic multiplier effect on local economies, generating up to $1.7 dollars for every $1 spent. </w:t>
      </w:r>
    </w:p>
    <w:p w14:paraId="0F63E3ED" w14:textId="5986DCE9" w:rsidR="00966041" w:rsidRPr="00FE6309" w:rsidRDefault="00A72FE9" w:rsidP="00DC12C4">
      <w:pPr>
        <w:spacing w:after="0"/>
      </w:pPr>
      <w:r>
        <w:t>Further</w:t>
      </w:r>
      <w:r w:rsidR="00AE5E6A">
        <w:t>more Pascal refers to a</w:t>
      </w:r>
      <w:r w:rsidR="00291883" w:rsidRPr="00FE6309">
        <w:t xml:space="preserve"> Rutgers University study </w:t>
      </w:r>
      <w:r w:rsidR="00AE5E6A">
        <w:t xml:space="preserve">that found </w:t>
      </w:r>
      <w:r w:rsidR="00291883" w:rsidRPr="00FE6309">
        <w:t>prolong</w:t>
      </w:r>
      <w:r w:rsidR="004F73DE">
        <w:t>e</w:t>
      </w:r>
      <w:r w:rsidR="00291883" w:rsidRPr="00FE6309">
        <w:t>d and regular full-day preschool attendance significantly increased children’s verbal and mathematical test scores in Grade 1 and beyond.  With concerns expressed by national and state jurisdictions about the decline in Australia’s PISA performance such evidence provides a compelling argument that universal</w:t>
      </w:r>
      <w:r w:rsidR="00BB1EB5">
        <w:t xml:space="preserve"> access to full-day quality early years learning </w:t>
      </w:r>
      <w:r w:rsidR="00291883" w:rsidRPr="00FE6309">
        <w:t xml:space="preserve">is essential to turning this situation around. </w:t>
      </w:r>
    </w:p>
    <w:p w14:paraId="178C6717" w14:textId="77777777" w:rsidR="00DC12C4" w:rsidRDefault="00DC12C4" w:rsidP="00DC12C4">
      <w:pPr>
        <w:spacing w:after="0"/>
        <w:rPr>
          <w:rFonts w:eastAsia="Times New Roman" w:cs="Times New Roman"/>
          <w:b/>
          <w:u w:val="single"/>
          <w:lang w:val="en" w:eastAsia="en-AU"/>
        </w:rPr>
      </w:pPr>
    </w:p>
    <w:p w14:paraId="48AEEF6B" w14:textId="77777777" w:rsidR="007E2C2B" w:rsidRDefault="007E2C2B" w:rsidP="00DC12C4">
      <w:pPr>
        <w:spacing w:after="0"/>
        <w:rPr>
          <w:rFonts w:eastAsia="Times New Roman" w:cs="Times New Roman"/>
          <w:b/>
          <w:u w:val="single"/>
          <w:lang w:val="en" w:eastAsia="en-AU"/>
        </w:rPr>
      </w:pPr>
      <w:r w:rsidRPr="007E2C2B">
        <w:rPr>
          <w:rFonts w:eastAsia="Times New Roman" w:cs="Times New Roman"/>
          <w:b/>
          <w:u w:val="single"/>
          <w:lang w:val="en" w:eastAsia="en-AU"/>
        </w:rPr>
        <w:t xml:space="preserve">Cost of childcare </w:t>
      </w:r>
    </w:p>
    <w:p w14:paraId="4688F08E" w14:textId="3D4D4CC4" w:rsidR="00C907D0" w:rsidRPr="007E2C2B" w:rsidRDefault="00825873" w:rsidP="007E2C2B">
      <w:pPr>
        <w:spacing w:after="0"/>
        <w:rPr>
          <w:rFonts w:eastAsia="Times New Roman" w:cs="Times New Roman"/>
          <w:b/>
          <w:u w:val="single"/>
          <w:lang w:val="en" w:eastAsia="en-AU"/>
        </w:rPr>
      </w:pPr>
      <w:r>
        <w:rPr>
          <w:rFonts w:eastAsia="Times New Roman" w:cs="Times New Roman"/>
          <w:lang w:val="en" w:eastAsia="en-AU"/>
        </w:rPr>
        <w:t>The V</w:t>
      </w:r>
      <w:r w:rsidR="007E2C2B">
        <w:rPr>
          <w:rFonts w:eastAsia="Times New Roman" w:cs="Times New Roman"/>
          <w:lang w:val="en" w:eastAsia="en-AU"/>
        </w:rPr>
        <w:t xml:space="preserve">PA’s members are aware </w:t>
      </w:r>
      <w:r>
        <w:rPr>
          <w:rFonts w:eastAsia="Times New Roman" w:cs="Times New Roman"/>
          <w:lang w:val="en" w:eastAsia="en-AU"/>
        </w:rPr>
        <w:t>that i</w:t>
      </w:r>
      <w:r w:rsidR="009F7FB7">
        <w:rPr>
          <w:rFonts w:eastAsia="Times New Roman" w:cs="Times New Roman"/>
          <w:lang w:val="en" w:eastAsia="en-AU"/>
        </w:rPr>
        <w:t xml:space="preserve">ncreasing numbers of </w:t>
      </w:r>
      <w:r>
        <w:rPr>
          <w:rFonts w:eastAsia="Times New Roman" w:cs="Times New Roman"/>
          <w:lang w:val="en" w:eastAsia="en-AU"/>
        </w:rPr>
        <w:t xml:space="preserve">their </w:t>
      </w:r>
      <w:r w:rsidR="009F7FB7">
        <w:rPr>
          <w:rFonts w:eastAsia="Times New Roman" w:cs="Times New Roman"/>
          <w:lang w:val="en" w:eastAsia="en-AU"/>
        </w:rPr>
        <w:t>parents</w:t>
      </w:r>
      <w:r>
        <w:rPr>
          <w:rFonts w:eastAsia="Times New Roman" w:cs="Times New Roman"/>
          <w:lang w:val="en" w:eastAsia="en-AU"/>
        </w:rPr>
        <w:t>,</w:t>
      </w:r>
      <w:r w:rsidR="009F7FB7">
        <w:rPr>
          <w:rFonts w:eastAsia="Times New Roman" w:cs="Times New Roman"/>
          <w:lang w:val="en" w:eastAsia="en-AU"/>
        </w:rPr>
        <w:t xml:space="preserve"> despite being two income families</w:t>
      </w:r>
      <w:r>
        <w:rPr>
          <w:rFonts w:eastAsia="Times New Roman" w:cs="Times New Roman"/>
          <w:lang w:val="en" w:eastAsia="en-AU"/>
        </w:rPr>
        <w:t>,</w:t>
      </w:r>
      <w:r w:rsidR="009F7FB7">
        <w:rPr>
          <w:rFonts w:eastAsia="Times New Roman" w:cs="Times New Roman"/>
          <w:lang w:val="en" w:eastAsia="en-AU"/>
        </w:rPr>
        <w:t xml:space="preserve"> are finding the cost of child care and before and after school program</w:t>
      </w:r>
      <w:r>
        <w:rPr>
          <w:rFonts w:eastAsia="Times New Roman" w:cs="Times New Roman"/>
          <w:lang w:val="en" w:eastAsia="en-AU"/>
        </w:rPr>
        <w:t>s</w:t>
      </w:r>
      <w:r w:rsidR="009F7FB7">
        <w:rPr>
          <w:rFonts w:eastAsia="Times New Roman" w:cs="Times New Roman"/>
          <w:lang w:val="en" w:eastAsia="en-AU"/>
        </w:rPr>
        <w:t xml:space="preserve"> prohibitive. </w:t>
      </w:r>
      <w:r w:rsidR="00976814" w:rsidRPr="00FE6309">
        <w:rPr>
          <w:rFonts w:eastAsia="Times New Roman" w:cs="Times New Roman"/>
          <w:lang w:val="en" w:eastAsia="en-AU"/>
        </w:rPr>
        <w:t>The price range, even within areas, can vary from A$60 per day to A$150 a day.</w:t>
      </w:r>
      <w:r w:rsidR="009F7FB7">
        <w:t xml:space="preserve">  </w:t>
      </w:r>
      <w:r w:rsidR="00377D21">
        <w:t xml:space="preserve">Commonwealth </w:t>
      </w:r>
      <w:r w:rsidR="00377D21">
        <w:rPr>
          <w:rFonts w:eastAsia="Times New Roman" w:cs="Times New Roman"/>
          <w:lang w:val="en" w:eastAsia="en-AU"/>
        </w:rPr>
        <w:t>funding needs to be comprehensively increased</w:t>
      </w:r>
      <w:r w:rsidR="009F7FB7">
        <w:rPr>
          <w:rFonts w:eastAsia="Times New Roman" w:cs="Times New Roman"/>
          <w:lang w:val="en" w:eastAsia="en-AU"/>
        </w:rPr>
        <w:t xml:space="preserve">. </w:t>
      </w:r>
    </w:p>
    <w:p w14:paraId="76AB9D75" w14:textId="77777777" w:rsidR="007E2C2B" w:rsidRDefault="007E2C2B" w:rsidP="00C907D0">
      <w:pPr>
        <w:spacing w:after="0"/>
        <w:rPr>
          <w:rFonts w:eastAsia="Times New Roman" w:cs="Times New Roman"/>
          <w:b/>
          <w:u w:val="single"/>
          <w:lang w:val="en" w:eastAsia="en-AU"/>
        </w:rPr>
      </w:pPr>
    </w:p>
    <w:p w14:paraId="18A479E1" w14:textId="77777777" w:rsidR="00C907D0" w:rsidRDefault="00C907D0" w:rsidP="00C907D0">
      <w:pPr>
        <w:spacing w:after="0"/>
        <w:rPr>
          <w:rFonts w:eastAsia="Times New Roman" w:cs="Times New Roman"/>
          <w:b/>
          <w:u w:val="single"/>
          <w:lang w:val="en" w:eastAsia="en-AU"/>
        </w:rPr>
      </w:pPr>
      <w:r w:rsidRPr="00C907D0">
        <w:rPr>
          <w:rFonts w:eastAsia="Times New Roman" w:cs="Times New Roman"/>
          <w:b/>
          <w:u w:val="single"/>
          <w:lang w:val="en" w:eastAsia="en-AU"/>
        </w:rPr>
        <w:t xml:space="preserve">Integration of early learning with primary schools </w:t>
      </w:r>
    </w:p>
    <w:p w14:paraId="7F1783FF" w14:textId="78E45D37" w:rsidR="001B0082" w:rsidRPr="00C907D0" w:rsidRDefault="001B0082" w:rsidP="00C907D0">
      <w:pPr>
        <w:spacing w:after="0"/>
        <w:rPr>
          <w:rFonts w:eastAsia="Times New Roman" w:cs="Times New Roman"/>
          <w:b/>
          <w:u w:val="single"/>
          <w:lang w:val="en" w:eastAsia="en-AU"/>
        </w:rPr>
      </w:pPr>
      <w:r>
        <w:t>Internationally</w:t>
      </w:r>
      <w:r w:rsidRPr="00FE6309">
        <w:t xml:space="preserve">, many early childhood leaders, including Sweden, Iceland and New Zealand have transferred responsibility for the care and development of their youngest children to their education departments. </w:t>
      </w:r>
      <w:r>
        <w:t xml:space="preserve">  </w:t>
      </w:r>
      <w:r w:rsidRPr="00FE6309">
        <w:t xml:space="preserve">We cannot afford to perpetuate a divided </w:t>
      </w:r>
      <w:r w:rsidR="00C907D0">
        <w:t>and fragmented service system.</w:t>
      </w:r>
      <w:r w:rsidRPr="00FE6309">
        <w:t xml:space="preserve">  </w:t>
      </w:r>
      <w:r w:rsidR="00BB1EB5">
        <w:t xml:space="preserve">We need to encourage our preschools and to a lesser degree our childcare centres to be </w:t>
      </w:r>
      <w:r w:rsidR="00C907D0">
        <w:t xml:space="preserve">connected to or even on the same site as primary schools as a default. </w:t>
      </w:r>
      <w:r w:rsidR="00BB1EB5">
        <w:t xml:space="preserve"> </w:t>
      </w:r>
      <w:r w:rsidR="00C907D0">
        <w:t xml:space="preserve">This means there is enhanced communication and consistency with a one stop shop supporting early years learning </w:t>
      </w:r>
    </w:p>
    <w:p w14:paraId="6A15AAD4" w14:textId="77777777" w:rsidR="00C907D0" w:rsidRDefault="00C907D0" w:rsidP="00C907D0">
      <w:pPr>
        <w:spacing w:after="0"/>
        <w:rPr>
          <w:b/>
          <w:u w:val="single"/>
        </w:rPr>
      </w:pPr>
    </w:p>
    <w:p w14:paraId="6807BDE8" w14:textId="7C5CD91A" w:rsidR="00C907D0" w:rsidRDefault="00C907D0" w:rsidP="00C907D0">
      <w:pPr>
        <w:spacing w:after="0"/>
        <w:rPr>
          <w:b/>
          <w:u w:val="single"/>
        </w:rPr>
      </w:pPr>
      <w:r>
        <w:rPr>
          <w:b/>
          <w:u w:val="single"/>
        </w:rPr>
        <w:t xml:space="preserve">Qualifications and training </w:t>
      </w:r>
    </w:p>
    <w:p w14:paraId="442FBA6F" w14:textId="41F99B6D" w:rsidR="001B0082" w:rsidRPr="00C907D0" w:rsidRDefault="001B0082" w:rsidP="00C907D0">
      <w:pPr>
        <w:spacing w:after="100" w:afterAutospacing="1"/>
        <w:rPr>
          <w:b/>
          <w:u w:val="single"/>
        </w:rPr>
      </w:pPr>
      <w:r>
        <w:t xml:space="preserve">It </w:t>
      </w:r>
      <w:r w:rsidRPr="00FE6309">
        <w:t>is of</w:t>
      </w:r>
      <w:r w:rsidRPr="009F7FB7">
        <w:t xml:space="preserve"> utmost</w:t>
      </w:r>
      <w:r>
        <w:rPr>
          <w:u w:val="single"/>
        </w:rPr>
        <w:t xml:space="preserve"> </w:t>
      </w:r>
      <w:r w:rsidRPr="00FE6309">
        <w:t>importance to have well-trained educated staff in charge of our young children, as modelled in many overseas countries inclu</w:t>
      </w:r>
      <w:r>
        <w:t>ding Norway, Sweden and Canada.  The Commission should r</w:t>
      </w:r>
      <w:r w:rsidR="00B842EA">
        <w:t>eview entry standards, training</w:t>
      </w:r>
      <w:r>
        <w:t xml:space="preserve"> and remuneration here to ensure we are attracting suitable applicants and then providing them with the qualifications and skills required for quality</w:t>
      </w:r>
      <w:r w:rsidR="009160A7">
        <w:t xml:space="preserve"> delivery of learning and care, e.g. is a TAFE Certificate suitable for childcare workers or should tertiary qualifications be required? Are pre-school teachers being adequately prepared for their work in the field?  </w:t>
      </w:r>
    </w:p>
    <w:p w14:paraId="31901237" w14:textId="30C48DA9" w:rsidR="001B0082" w:rsidRDefault="007E2C2B" w:rsidP="009160A7">
      <w:pPr>
        <w:spacing w:after="0"/>
        <w:rPr>
          <w:rFonts w:eastAsia="Times New Roman" w:cs="Times New Roman"/>
          <w:b/>
          <w:u w:val="single"/>
          <w:lang w:val="en" w:eastAsia="en-AU"/>
        </w:rPr>
      </w:pPr>
      <w:r w:rsidRPr="007E2C2B">
        <w:rPr>
          <w:rFonts w:eastAsia="Times New Roman" w:cs="Times New Roman"/>
          <w:b/>
          <w:u w:val="single"/>
          <w:lang w:val="en" w:eastAsia="en-AU"/>
        </w:rPr>
        <w:t>Conclusion</w:t>
      </w:r>
    </w:p>
    <w:p w14:paraId="7F7B657B" w14:textId="2D7E3861" w:rsidR="007E2C2B" w:rsidRPr="007E2C2B" w:rsidRDefault="007E2C2B" w:rsidP="009160A7">
      <w:pPr>
        <w:spacing w:after="0"/>
        <w:rPr>
          <w:rFonts w:eastAsia="Times New Roman" w:cs="Times New Roman"/>
          <w:lang w:val="en" w:eastAsia="en-AU"/>
        </w:rPr>
      </w:pPr>
      <w:r w:rsidRPr="007E2C2B">
        <w:rPr>
          <w:rFonts w:eastAsia="Times New Roman" w:cs="Times New Roman"/>
          <w:lang w:val="en" w:eastAsia="en-AU"/>
        </w:rPr>
        <w:t xml:space="preserve">In conclusion, the VPA advocates for resources to be </w:t>
      </w:r>
      <w:r w:rsidR="00721A61" w:rsidRPr="007E2C2B">
        <w:rPr>
          <w:rFonts w:eastAsia="Times New Roman" w:cs="Times New Roman"/>
          <w:lang w:val="en" w:eastAsia="en-AU"/>
        </w:rPr>
        <w:t>focused</w:t>
      </w:r>
      <w:r w:rsidRPr="007E2C2B">
        <w:rPr>
          <w:rFonts w:eastAsia="Times New Roman" w:cs="Times New Roman"/>
          <w:lang w:val="en" w:eastAsia="en-AU"/>
        </w:rPr>
        <w:t xml:space="preserve"> on early learning and the early years of formal education </w:t>
      </w:r>
      <w:r w:rsidR="00377D21">
        <w:rPr>
          <w:rFonts w:eastAsia="Times New Roman" w:cs="Times New Roman"/>
          <w:lang w:val="en" w:eastAsia="en-AU"/>
        </w:rPr>
        <w:t xml:space="preserve">in order </w:t>
      </w:r>
      <w:r w:rsidRPr="007E2C2B">
        <w:rPr>
          <w:rFonts w:eastAsia="Times New Roman" w:cs="Times New Roman"/>
          <w:lang w:val="en" w:eastAsia="en-AU"/>
        </w:rPr>
        <w:t xml:space="preserve">to provide </w:t>
      </w:r>
      <w:r w:rsidR="00377D21">
        <w:rPr>
          <w:rFonts w:eastAsia="Times New Roman" w:cs="Times New Roman"/>
          <w:lang w:val="en" w:eastAsia="en-AU"/>
        </w:rPr>
        <w:t>high quality universal access for</w:t>
      </w:r>
      <w:r w:rsidRPr="007E2C2B">
        <w:rPr>
          <w:rFonts w:eastAsia="Times New Roman" w:cs="Times New Roman"/>
          <w:lang w:val="en" w:eastAsia="en-AU"/>
        </w:rPr>
        <w:t xml:space="preserve"> children across Australia. </w:t>
      </w:r>
    </w:p>
    <w:p w14:paraId="1EFD5942" w14:textId="77777777" w:rsidR="00377D21" w:rsidRDefault="00377D21" w:rsidP="00976814">
      <w:pPr>
        <w:rPr>
          <w:b/>
          <w:bCs/>
        </w:rPr>
      </w:pPr>
    </w:p>
    <w:p w14:paraId="7855EA6D" w14:textId="77777777" w:rsidR="00377D21" w:rsidRDefault="00377D21" w:rsidP="00377D21">
      <w:pPr>
        <w:spacing w:after="0"/>
        <w:rPr>
          <w:b/>
          <w:bCs/>
        </w:rPr>
      </w:pPr>
      <w:r>
        <w:rPr>
          <w:b/>
          <w:bCs/>
        </w:rPr>
        <w:t>Gabrielle Leigh</w:t>
      </w:r>
    </w:p>
    <w:p w14:paraId="24FF995E" w14:textId="77777777" w:rsidR="00377D21" w:rsidRDefault="00377D21" w:rsidP="00377D21">
      <w:pPr>
        <w:spacing w:after="0"/>
        <w:rPr>
          <w:b/>
          <w:bCs/>
        </w:rPr>
      </w:pPr>
      <w:r>
        <w:rPr>
          <w:b/>
          <w:bCs/>
        </w:rPr>
        <w:t xml:space="preserve">President </w:t>
      </w:r>
    </w:p>
    <w:p w14:paraId="60B7E790" w14:textId="5831CA8A" w:rsidR="00F0636B" w:rsidRDefault="00F0636B" w:rsidP="00377D21">
      <w:pPr>
        <w:spacing w:after="0"/>
        <w:rPr>
          <w:b/>
          <w:bCs/>
        </w:rPr>
      </w:pPr>
      <w:r>
        <w:rPr>
          <w:b/>
          <w:bCs/>
        </w:rPr>
        <w:t xml:space="preserve">On behalf of </w:t>
      </w:r>
    </w:p>
    <w:p w14:paraId="3B8808C4" w14:textId="5FAA29C1" w:rsidR="007B6D2D" w:rsidRPr="00B75524" w:rsidRDefault="00377D21" w:rsidP="00B75524">
      <w:pPr>
        <w:spacing w:after="0"/>
        <w:rPr>
          <w:b/>
          <w:bCs/>
        </w:rPr>
      </w:pPr>
      <w:r>
        <w:rPr>
          <w:b/>
          <w:bCs/>
        </w:rPr>
        <w:t xml:space="preserve">Victorian Principals Association. </w:t>
      </w:r>
    </w:p>
    <w:sectPr w:rsidR="007B6D2D" w:rsidRPr="00B75524" w:rsidSect="00BE3CFC">
      <w:pgSz w:w="11907" w:h="16840" w:code="9"/>
      <w:pgMar w:top="1134" w:right="1134" w:bottom="1021"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3CE"/>
    <w:multiLevelType w:val="hybridMultilevel"/>
    <w:tmpl w:val="10B2F978"/>
    <w:lvl w:ilvl="0" w:tplc="72EC3164">
      <w:numFmt w:val="bullet"/>
      <w:lvlText w:val="•"/>
      <w:lvlJc w:val="left"/>
      <w:pPr>
        <w:ind w:left="360"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BD30E7"/>
    <w:multiLevelType w:val="multilevel"/>
    <w:tmpl w:val="A1B0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920416"/>
    <w:multiLevelType w:val="hybridMultilevel"/>
    <w:tmpl w:val="72242C20"/>
    <w:lvl w:ilvl="0" w:tplc="96408248">
      <w:numFmt w:val="bullet"/>
      <w:lvlText w:val="•"/>
      <w:lvlJc w:val="left"/>
      <w:pPr>
        <w:ind w:left="360" w:hanging="360"/>
      </w:pPr>
      <w:rPr>
        <w:rFonts w:ascii="Times New Roman" w:eastAsiaTheme="minorHAnsi" w:hAnsi="Times New Roman" w:cs="Times New Roman"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3C93A76"/>
    <w:multiLevelType w:val="hybridMultilevel"/>
    <w:tmpl w:val="03067C4E"/>
    <w:lvl w:ilvl="0" w:tplc="72EC3164">
      <w:numFmt w:val="bullet"/>
      <w:lvlText w:val="•"/>
      <w:lvlJc w:val="left"/>
      <w:pPr>
        <w:ind w:left="360"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755248"/>
    <w:multiLevelType w:val="multilevel"/>
    <w:tmpl w:val="CEE8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F4288E"/>
    <w:multiLevelType w:val="hybridMultilevel"/>
    <w:tmpl w:val="5A82A7A6"/>
    <w:lvl w:ilvl="0" w:tplc="72EC3164">
      <w:numFmt w:val="bullet"/>
      <w:lvlText w:val="•"/>
      <w:lvlJc w:val="left"/>
      <w:pPr>
        <w:ind w:left="360" w:hanging="360"/>
      </w:pPr>
      <w:rPr>
        <w:rFonts w:ascii="Times New Roman" w:eastAsiaTheme="minorHAnsi" w:hAnsi="Times New Roman" w:cs="Times New Roman"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00E77F1"/>
    <w:multiLevelType w:val="hybridMultilevel"/>
    <w:tmpl w:val="491C0ED2"/>
    <w:lvl w:ilvl="0" w:tplc="16A636F6">
      <w:numFmt w:val="bullet"/>
      <w:lvlText w:val="•"/>
      <w:lvlJc w:val="left"/>
      <w:pPr>
        <w:ind w:left="359"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432C40"/>
    <w:multiLevelType w:val="hybridMultilevel"/>
    <w:tmpl w:val="B0C29220"/>
    <w:lvl w:ilvl="0" w:tplc="72EC3164">
      <w:numFmt w:val="bullet"/>
      <w:lvlText w:val="•"/>
      <w:lvlJc w:val="left"/>
      <w:pPr>
        <w:ind w:left="359" w:hanging="360"/>
      </w:pPr>
      <w:rPr>
        <w:rFonts w:ascii="Times New Roman" w:eastAsiaTheme="minorHAnsi" w:hAnsi="Times New Roman" w:cs="Times New Roman" w:hint="default"/>
        <w:sz w:val="18"/>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8">
    <w:nsid w:val="2B2C70FF"/>
    <w:multiLevelType w:val="hybridMultilevel"/>
    <w:tmpl w:val="56B61C2C"/>
    <w:lvl w:ilvl="0" w:tplc="16A636F6">
      <w:numFmt w:val="bullet"/>
      <w:lvlText w:val="•"/>
      <w:lvlJc w:val="left"/>
      <w:pPr>
        <w:ind w:left="359" w:hanging="360"/>
      </w:pPr>
      <w:rPr>
        <w:rFonts w:ascii="Times New Roman" w:eastAsiaTheme="minorHAnsi" w:hAnsi="Times New Roman" w:cs="Times New Roman" w:hint="default"/>
        <w:sz w:val="18"/>
      </w:rPr>
    </w:lvl>
    <w:lvl w:ilvl="1" w:tplc="0C090003" w:tentative="1">
      <w:start w:val="1"/>
      <w:numFmt w:val="bullet"/>
      <w:lvlText w:val="o"/>
      <w:lvlJc w:val="left"/>
      <w:pPr>
        <w:ind w:left="1079" w:hanging="360"/>
      </w:pPr>
      <w:rPr>
        <w:rFonts w:ascii="Courier New" w:hAnsi="Courier New" w:cs="Courier New" w:hint="default"/>
      </w:rPr>
    </w:lvl>
    <w:lvl w:ilvl="2" w:tplc="0C090005" w:tentative="1">
      <w:start w:val="1"/>
      <w:numFmt w:val="bullet"/>
      <w:lvlText w:val=""/>
      <w:lvlJc w:val="left"/>
      <w:pPr>
        <w:ind w:left="1799" w:hanging="360"/>
      </w:pPr>
      <w:rPr>
        <w:rFonts w:ascii="Wingdings" w:hAnsi="Wingdings" w:hint="default"/>
      </w:rPr>
    </w:lvl>
    <w:lvl w:ilvl="3" w:tplc="0C090001" w:tentative="1">
      <w:start w:val="1"/>
      <w:numFmt w:val="bullet"/>
      <w:lvlText w:val=""/>
      <w:lvlJc w:val="left"/>
      <w:pPr>
        <w:ind w:left="2519" w:hanging="360"/>
      </w:pPr>
      <w:rPr>
        <w:rFonts w:ascii="Symbol" w:hAnsi="Symbol" w:hint="default"/>
      </w:rPr>
    </w:lvl>
    <w:lvl w:ilvl="4" w:tplc="0C090003" w:tentative="1">
      <w:start w:val="1"/>
      <w:numFmt w:val="bullet"/>
      <w:lvlText w:val="o"/>
      <w:lvlJc w:val="left"/>
      <w:pPr>
        <w:ind w:left="3239" w:hanging="360"/>
      </w:pPr>
      <w:rPr>
        <w:rFonts w:ascii="Courier New" w:hAnsi="Courier New" w:cs="Courier New" w:hint="default"/>
      </w:rPr>
    </w:lvl>
    <w:lvl w:ilvl="5" w:tplc="0C090005" w:tentative="1">
      <w:start w:val="1"/>
      <w:numFmt w:val="bullet"/>
      <w:lvlText w:val=""/>
      <w:lvlJc w:val="left"/>
      <w:pPr>
        <w:ind w:left="3959" w:hanging="360"/>
      </w:pPr>
      <w:rPr>
        <w:rFonts w:ascii="Wingdings" w:hAnsi="Wingdings" w:hint="default"/>
      </w:rPr>
    </w:lvl>
    <w:lvl w:ilvl="6" w:tplc="0C090001" w:tentative="1">
      <w:start w:val="1"/>
      <w:numFmt w:val="bullet"/>
      <w:lvlText w:val=""/>
      <w:lvlJc w:val="left"/>
      <w:pPr>
        <w:ind w:left="4679" w:hanging="360"/>
      </w:pPr>
      <w:rPr>
        <w:rFonts w:ascii="Symbol" w:hAnsi="Symbol" w:hint="default"/>
      </w:rPr>
    </w:lvl>
    <w:lvl w:ilvl="7" w:tplc="0C090003" w:tentative="1">
      <w:start w:val="1"/>
      <w:numFmt w:val="bullet"/>
      <w:lvlText w:val="o"/>
      <w:lvlJc w:val="left"/>
      <w:pPr>
        <w:ind w:left="5399" w:hanging="360"/>
      </w:pPr>
      <w:rPr>
        <w:rFonts w:ascii="Courier New" w:hAnsi="Courier New" w:cs="Courier New" w:hint="default"/>
      </w:rPr>
    </w:lvl>
    <w:lvl w:ilvl="8" w:tplc="0C090005" w:tentative="1">
      <w:start w:val="1"/>
      <w:numFmt w:val="bullet"/>
      <w:lvlText w:val=""/>
      <w:lvlJc w:val="left"/>
      <w:pPr>
        <w:ind w:left="6119" w:hanging="360"/>
      </w:pPr>
      <w:rPr>
        <w:rFonts w:ascii="Wingdings" w:hAnsi="Wingdings" w:hint="default"/>
      </w:rPr>
    </w:lvl>
  </w:abstractNum>
  <w:abstractNum w:abstractNumId="9">
    <w:nsid w:val="2E274F4B"/>
    <w:multiLevelType w:val="hybridMultilevel"/>
    <w:tmpl w:val="62B2BFDA"/>
    <w:lvl w:ilvl="0" w:tplc="16A636F6">
      <w:numFmt w:val="bullet"/>
      <w:lvlText w:val="•"/>
      <w:lvlJc w:val="left"/>
      <w:pPr>
        <w:ind w:left="359"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4C66A6"/>
    <w:multiLevelType w:val="hybridMultilevel"/>
    <w:tmpl w:val="90FA3FB8"/>
    <w:lvl w:ilvl="0" w:tplc="16A636F6">
      <w:numFmt w:val="bullet"/>
      <w:lvlText w:val="•"/>
      <w:lvlJc w:val="left"/>
      <w:pPr>
        <w:ind w:left="358" w:hanging="360"/>
      </w:pPr>
      <w:rPr>
        <w:rFonts w:ascii="Times New Roman" w:eastAsiaTheme="minorHAnsi" w:hAnsi="Times New Roman" w:cs="Times New Roman" w:hint="default"/>
        <w:sz w:val="18"/>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1">
    <w:nsid w:val="31A01700"/>
    <w:multiLevelType w:val="multilevel"/>
    <w:tmpl w:val="1B5AA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4229E1"/>
    <w:multiLevelType w:val="hybridMultilevel"/>
    <w:tmpl w:val="AE768F0E"/>
    <w:lvl w:ilvl="0" w:tplc="72EC3164">
      <w:numFmt w:val="bullet"/>
      <w:lvlText w:val="•"/>
      <w:lvlJc w:val="left"/>
      <w:pPr>
        <w:ind w:left="360"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046BB8"/>
    <w:multiLevelType w:val="hybridMultilevel"/>
    <w:tmpl w:val="7E74A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631AFF"/>
    <w:multiLevelType w:val="hybridMultilevel"/>
    <w:tmpl w:val="B1626E28"/>
    <w:lvl w:ilvl="0" w:tplc="96408248">
      <w:numFmt w:val="bullet"/>
      <w:lvlText w:val="•"/>
      <w:lvlJc w:val="left"/>
      <w:pPr>
        <w:ind w:left="360"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145C2A"/>
    <w:multiLevelType w:val="multilevel"/>
    <w:tmpl w:val="F90AB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3510DCE"/>
    <w:multiLevelType w:val="hybridMultilevel"/>
    <w:tmpl w:val="B0121364"/>
    <w:lvl w:ilvl="0" w:tplc="72EC3164">
      <w:numFmt w:val="bullet"/>
      <w:lvlText w:val="•"/>
      <w:lvlJc w:val="left"/>
      <w:pPr>
        <w:ind w:left="359" w:hanging="360"/>
      </w:pPr>
      <w:rPr>
        <w:rFonts w:ascii="Times New Roman" w:eastAsiaTheme="minorHAnsi" w:hAnsi="Times New Roman" w:cs="Times New Roman" w:hint="default"/>
        <w:sz w:val="18"/>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7">
    <w:nsid w:val="53F646A9"/>
    <w:multiLevelType w:val="hybridMultilevel"/>
    <w:tmpl w:val="18BEB280"/>
    <w:lvl w:ilvl="0" w:tplc="72EC3164">
      <w:numFmt w:val="bullet"/>
      <w:lvlText w:val="•"/>
      <w:lvlJc w:val="left"/>
      <w:pPr>
        <w:ind w:left="360"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583389"/>
    <w:multiLevelType w:val="hybridMultilevel"/>
    <w:tmpl w:val="9A46D89C"/>
    <w:lvl w:ilvl="0" w:tplc="72EC3164">
      <w:numFmt w:val="bullet"/>
      <w:lvlText w:val="•"/>
      <w:lvlJc w:val="left"/>
      <w:pPr>
        <w:ind w:left="360"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A830D0"/>
    <w:multiLevelType w:val="hybridMultilevel"/>
    <w:tmpl w:val="C76AC70C"/>
    <w:lvl w:ilvl="0" w:tplc="72EC3164">
      <w:numFmt w:val="bullet"/>
      <w:lvlText w:val="•"/>
      <w:lvlJc w:val="left"/>
      <w:pPr>
        <w:ind w:left="360"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54CB9"/>
    <w:multiLevelType w:val="hybridMultilevel"/>
    <w:tmpl w:val="3D789EE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nsid w:val="5C840C8E"/>
    <w:multiLevelType w:val="hybridMultilevel"/>
    <w:tmpl w:val="899EF186"/>
    <w:lvl w:ilvl="0" w:tplc="16A636F6">
      <w:numFmt w:val="bullet"/>
      <w:lvlText w:val="•"/>
      <w:lvlJc w:val="left"/>
      <w:pPr>
        <w:ind w:left="359"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2202DF"/>
    <w:multiLevelType w:val="multilevel"/>
    <w:tmpl w:val="A23C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413527"/>
    <w:multiLevelType w:val="hybridMultilevel"/>
    <w:tmpl w:val="AFF6DD22"/>
    <w:lvl w:ilvl="0" w:tplc="72EC3164">
      <w:numFmt w:val="bullet"/>
      <w:lvlText w:val="•"/>
      <w:lvlJc w:val="left"/>
      <w:pPr>
        <w:ind w:left="360"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92A4DC0"/>
    <w:multiLevelType w:val="hybridMultilevel"/>
    <w:tmpl w:val="75E8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9214D8"/>
    <w:multiLevelType w:val="multilevel"/>
    <w:tmpl w:val="A6F6C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F36371"/>
    <w:multiLevelType w:val="hybridMultilevel"/>
    <w:tmpl w:val="408C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AC730D"/>
    <w:multiLevelType w:val="hybridMultilevel"/>
    <w:tmpl w:val="33743854"/>
    <w:lvl w:ilvl="0" w:tplc="72EC3164">
      <w:numFmt w:val="bullet"/>
      <w:lvlText w:val="•"/>
      <w:lvlJc w:val="left"/>
      <w:pPr>
        <w:ind w:left="360" w:hanging="360"/>
      </w:pPr>
      <w:rPr>
        <w:rFonts w:ascii="Times New Roman" w:eastAsiaTheme="minorHAnsi"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8"/>
  </w:num>
  <w:num w:numId="5">
    <w:abstractNumId w:val="6"/>
  </w:num>
  <w:num w:numId="6">
    <w:abstractNumId w:val="27"/>
  </w:num>
  <w:num w:numId="7">
    <w:abstractNumId w:val="12"/>
  </w:num>
  <w:num w:numId="8">
    <w:abstractNumId w:val="0"/>
  </w:num>
  <w:num w:numId="9">
    <w:abstractNumId w:val="16"/>
  </w:num>
  <w:num w:numId="10">
    <w:abstractNumId w:val="19"/>
  </w:num>
  <w:num w:numId="11">
    <w:abstractNumId w:val="17"/>
  </w:num>
  <w:num w:numId="12">
    <w:abstractNumId w:val="3"/>
  </w:num>
  <w:num w:numId="13">
    <w:abstractNumId w:val="18"/>
  </w:num>
  <w:num w:numId="14">
    <w:abstractNumId w:val="23"/>
  </w:num>
  <w:num w:numId="15">
    <w:abstractNumId w:val="21"/>
  </w:num>
  <w:num w:numId="16">
    <w:abstractNumId w:val="10"/>
  </w:num>
  <w:num w:numId="17">
    <w:abstractNumId w:val="9"/>
  </w:num>
  <w:num w:numId="18">
    <w:abstractNumId w:val="2"/>
  </w:num>
  <w:num w:numId="19">
    <w:abstractNumId w:val="14"/>
  </w:num>
  <w:num w:numId="20">
    <w:abstractNumId w:val="25"/>
  </w:num>
  <w:num w:numId="21">
    <w:abstractNumId w:val="22"/>
  </w:num>
  <w:num w:numId="22">
    <w:abstractNumId w:val="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69"/>
    <w:rsid w:val="0001247B"/>
    <w:rsid w:val="00025699"/>
    <w:rsid w:val="000A20F4"/>
    <w:rsid w:val="001671DE"/>
    <w:rsid w:val="001B0082"/>
    <w:rsid w:val="00206AB0"/>
    <w:rsid w:val="00237320"/>
    <w:rsid w:val="00262199"/>
    <w:rsid w:val="00291883"/>
    <w:rsid w:val="0029369C"/>
    <w:rsid w:val="002B3BE3"/>
    <w:rsid w:val="00324388"/>
    <w:rsid w:val="00377D21"/>
    <w:rsid w:val="003E7231"/>
    <w:rsid w:val="00436B21"/>
    <w:rsid w:val="004E54AA"/>
    <w:rsid w:val="004F73DE"/>
    <w:rsid w:val="00514127"/>
    <w:rsid w:val="005264D8"/>
    <w:rsid w:val="005722F6"/>
    <w:rsid w:val="005C723E"/>
    <w:rsid w:val="005F6D50"/>
    <w:rsid w:val="0061730A"/>
    <w:rsid w:val="00625B94"/>
    <w:rsid w:val="00721A61"/>
    <w:rsid w:val="00726EC9"/>
    <w:rsid w:val="007B02E1"/>
    <w:rsid w:val="007B6D2D"/>
    <w:rsid w:val="007D02C5"/>
    <w:rsid w:val="007E2C2B"/>
    <w:rsid w:val="00816A54"/>
    <w:rsid w:val="00825873"/>
    <w:rsid w:val="00845958"/>
    <w:rsid w:val="009160A7"/>
    <w:rsid w:val="009261CE"/>
    <w:rsid w:val="009439E7"/>
    <w:rsid w:val="00966041"/>
    <w:rsid w:val="00976814"/>
    <w:rsid w:val="009E19E2"/>
    <w:rsid w:val="009F7FB7"/>
    <w:rsid w:val="00A12AB7"/>
    <w:rsid w:val="00A72CA2"/>
    <w:rsid w:val="00A72FE9"/>
    <w:rsid w:val="00A86033"/>
    <w:rsid w:val="00AB2F00"/>
    <w:rsid w:val="00AE5E6A"/>
    <w:rsid w:val="00B52710"/>
    <w:rsid w:val="00B75524"/>
    <w:rsid w:val="00B842EA"/>
    <w:rsid w:val="00B944BB"/>
    <w:rsid w:val="00BB1EB5"/>
    <w:rsid w:val="00BE3CFC"/>
    <w:rsid w:val="00C32BDD"/>
    <w:rsid w:val="00C907D0"/>
    <w:rsid w:val="00CA280A"/>
    <w:rsid w:val="00CA6F3B"/>
    <w:rsid w:val="00CB5C1E"/>
    <w:rsid w:val="00CD7811"/>
    <w:rsid w:val="00DB6EB4"/>
    <w:rsid w:val="00DC12C4"/>
    <w:rsid w:val="00DE47A8"/>
    <w:rsid w:val="00E60C69"/>
    <w:rsid w:val="00E70521"/>
    <w:rsid w:val="00EB48DE"/>
    <w:rsid w:val="00ED236E"/>
    <w:rsid w:val="00F00B87"/>
    <w:rsid w:val="00F0636B"/>
    <w:rsid w:val="00F267BD"/>
    <w:rsid w:val="00F82766"/>
    <w:rsid w:val="00FA0ECA"/>
    <w:rsid w:val="00FB3475"/>
    <w:rsid w:val="00FE63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2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67BD"/>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267BD"/>
    <w:pPr>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F267BD"/>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F267BD"/>
    <w:pPr>
      <w:spacing w:before="100" w:beforeAutospacing="1" w:after="100" w:afterAutospacing="1"/>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F267BD"/>
    <w:pPr>
      <w:spacing w:before="100" w:beforeAutospacing="1" w:after="100" w:afterAutospacing="1"/>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C69"/>
    <w:pPr>
      <w:autoSpaceDE w:val="0"/>
      <w:autoSpaceDN w:val="0"/>
      <w:adjustRightInd w:val="0"/>
      <w:spacing w:after="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267B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267B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267BD"/>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F267BD"/>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F267BD"/>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F267BD"/>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267BD"/>
    <w:rPr>
      <w:color w:val="0000FF"/>
      <w:u w:val="single"/>
    </w:rPr>
  </w:style>
  <w:style w:type="character" w:customStyle="1" w:styleId="role">
    <w:name w:val="role"/>
    <w:basedOn w:val="DefaultParagraphFont"/>
    <w:rsid w:val="00F267BD"/>
  </w:style>
  <w:style w:type="paragraph" w:customStyle="1" w:styleId="disclosure-logo">
    <w:name w:val="disclosure-logo"/>
    <w:basedOn w:val="Normal"/>
    <w:rsid w:val="00F267B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ction">
    <w:name w:val="action"/>
    <w:basedOn w:val="DefaultParagraphFont"/>
    <w:rsid w:val="00F267BD"/>
  </w:style>
  <w:style w:type="character" w:customStyle="1" w:styleId="tagline">
    <w:name w:val="tagline"/>
    <w:basedOn w:val="DefaultParagraphFont"/>
    <w:rsid w:val="00F267BD"/>
  </w:style>
  <w:style w:type="character" w:customStyle="1" w:styleId="source">
    <w:name w:val="source"/>
    <w:basedOn w:val="DefaultParagraphFont"/>
    <w:rsid w:val="00F267BD"/>
  </w:style>
  <w:style w:type="character" w:customStyle="1" w:styleId="Caption1">
    <w:name w:val="Caption1"/>
    <w:basedOn w:val="DefaultParagraphFont"/>
    <w:rsid w:val="00F267BD"/>
  </w:style>
  <w:style w:type="paragraph" w:styleId="BalloonText">
    <w:name w:val="Balloon Text"/>
    <w:basedOn w:val="Normal"/>
    <w:link w:val="BalloonTextChar"/>
    <w:uiPriority w:val="99"/>
    <w:semiHidden/>
    <w:unhideWhenUsed/>
    <w:rsid w:val="00F267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7BD"/>
    <w:rPr>
      <w:rFonts w:ascii="Tahoma" w:hAnsi="Tahoma" w:cs="Tahoma"/>
      <w:sz w:val="16"/>
      <w:szCs w:val="16"/>
    </w:rPr>
  </w:style>
  <w:style w:type="character" w:styleId="FollowedHyperlink">
    <w:name w:val="FollowedHyperlink"/>
    <w:basedOn w:val="DefaultParagraphFont"/>
    <w:uiPriority w:val="99"/>
    <w:semiHidden/>
    <w:unhideWhenUsed/>
    <w:rsid w:val="007B02E1"/>
    <w:rPr>
      <w:color w:val="800080" w:themeColor="followedHyperlink"/>
      <w:u w:val="single"/>
    </w:rPr>
  </w:style>
  <w:style w:type="paragraph" w:styleId="ListParagraph">
    <w:name w:val="List Paragraph"/>
    <w:basedOn w:val="Normal"/>
    <w:uiPriority w:val="34"/>
    <w:qFormat/>
    <w:rsid w:val="00A12AB7"/>
    <w:pPr>
      <w:ind w:left="720"/>
      <w:contextualSpacing/>
    </w:pPr>
  </w:style>
  <w:style w:type="paragraph" w:customStyle="1" w:styleId="Title1">
    <w:name w:val="Title1"/>
    <w:basedOn w:val="Normal"/>
    <w:rsid w:val="00F00B87"/>
    <w:pPr>
      <w:spacing w:after="150"/>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67BD"/>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F267BD"/>
    <w:pPr>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F267BD"/>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F267BD"/>
    <w:pPr>
      <w:spacing w:before="100" w:beforeAutospacing="1" w:after="100" w:afterAutospacing="1"/>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F267BD"/>
    <w:pPr>
      <w:spacing w:before="100" w:beforeAutospacing="1" w:after="100" w:afterAutospacing="1"/>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C69"/>
    <w:pPr>
      <w:autoSpaceDE w:val="0"/>
      <w:autoSpaceDN w:val="0"/>
      <w:adjustRightInd w:val="0"/>
      <w:spacing w:after="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267B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267B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267BD"/>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F267BD"/>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F267BD"/>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F267BD"/>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267BD"/>
    <w:rPr>
      <w:color w:val="0000FF"/>
      <w:u w:val="single"/>
    </w:rPr>
  </w:style>
  <w:style w:type="character" w:customStyle="1" w:styleId="role">
    <w:name w:val="role"/>
    <w:basedOn w:val="DefaultParagraphFont"/>
    <w:rsid w:val="00F267BD"/>
  </w:style>
  <w:style w:type="paragraph" w:customStyle="1" w:styleId="disclosure-logo">
    <w:name w:val="disclosure-logo"/>
    <w:basedOn w:val="Normal"/>
    <w:rsid w:val="00F267B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ction">
    <w:name w:val="action"/>
    <w:basedOn w:val="DefaultParagraphFont"/>
    <w:rsid w:val="00F267BD"/>
  </w:style>
  <w:style w:type="character" w:customStyle="1" w:styleId="tagline">
    <w:name w:val="tagline"/>
    <w:basedOn w:val="DefaultParagraphFont"/>
    <w:rsid w:val="00F267BD"/>
  </w:style>
  <w:style w:type="character" w:customStyle="1" w:styleId="source">
    <w:name w:val="source"/>
    <w:basedOn w:val="DefaultParagraphFont"/>
    <w:rsid w:val="00F267BD"/>
  </w:style>
  <w:style w:type="character" w:customStyle="1" w:styleId="Caption1">
    <w:name w:val="Caption1"/>
    <w:basedOn w:val="DefaultParagraphFont"/>
    <w:rsid w:val="00F267BD"/>
  </w:style>
  <w:style w:type="paragraph" w:styleId="BalloonText">
    <w:name w:val="Balloon Text"/>
    <w:basedOn w:val="Normal"/>
    <w:link w:val="BalloonTextChar"/>
    <w:uiPriority w:val="99"/>
    <w:semiHidden/>
    <w:unhideWhenUsed/>
    <w:rsid w:val="00F267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7BD"/>
    <w:rPr>
      <w:rFonts w:ascii="Tahoma" w:hAnsi="Tahoma" w:cs="Tahoma"/>
      <w:sz w:val="16"/>
      <w:szCs w:val="16"/>
    </w:rPr>
  </w:style>
  <w:style w:type="character" w:styleId="FollowedHyperlink">
    <w:name w:val="FollowedHyperlink"/>
    <w:basedOn w:val="DefaultParagraphFont"/>
    <w:uiPriority w:val="99"/>
    <w:semiHidden/>
    <w:unhideWhenUsed/>
    <w:rsid w:val="007B02E1"/>
    <w:rPr>
      <w:color w:val="800080" w:themeColor="followedHyperlink"/>
      <w:u w:val="single"/>
    </w:rPr>
  </w:style>
  <w:style w:type="paragraph" w:styleId="ListParagraph">
    <w:name w:val="List Paragraph"/>
    <w:basedOn w:val="Normal"/>
    <w:uiPriority w:val="34"/>
    <w:qFormat/>
    <w:rsid w:val="00A12AB7"/>
    <w:pPr>
      <w:ind w:left="720"/>
      <w:contextualSpacing/>
    </w:pPr>
  </w:style>
  <w:style w:type="paragraph" w:customStyle="1" w:styleId="Title1">
    <w:name w:val="Title1"/>
    <w:basedOn w:val="Normal"/>
    <w:rsid w:val="00F00B87"/>
    <w:pPr>
      <w:spacing w:after="150"/>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54511">
      <w:bodyDiv w:val="1"/>
      <w:marLeft w:val="0"/>
      <w:marRight w:val="0"/>
      <w:marTop w:val="0"/>
      <w:marBottom w:val="0"/>
      <w:divBdr>
        <w:top w:val="none" w:sz="0" w:space="0" w:color="auto"/>
        <w:left w:val="none" w:sz="0" w:space="0" w:color="auto"/>
        <w:bottom w:val="none" w:sz="0" w:space="0" w:color="auto"/>
        <w:right w:val="none" w:sz="0" w:space="0" w:color="auto"/>
      </w:divBdr>
    </w:div>
    <w:div w:id="1508671224">
      <w:bodyDiv w:val="1"/>
      <w:marLeft w:val="0"/>
      <w:marRight w:val="0"/>
      <w:marTop w:val="0"/>
      <w:marBottom w:val="0"/>
      <w:divBdr>
        <w:top w:val="none" w:sz="0" w:space="0" w:color="auto"/>
        <w:left w:val="none" w:sz="0" w:space="0" w:color="auto"/>
        <w:bottom w:val="none" w:sz="0" w:space="0" w:color="auto"/>
        <w:right w:val="none" w:sz="0" w:space="0" w:color="auto"/>
      </w:divBdr>
    </w:div>
    <w:div w:id="1527984351">
      <w:bodyDiv w:val="1"/>
      <w:marLeft w:val="0"/>
      <w:marRight w:val="0"/>
      <w:marTop w:val="0"/>
      <w:marBottom w:val="0"/>
      <w:divBdr>
        <w:top w:val="none" w:sz="0" w:space="0" w:color="auto"/>
        <w:left w:val="none" w:sz="0" w:space="0" w:color="auto"/>
        <w:bottom w:val="none" w:sz="0" w:space="0" w:color="auto"/>
        <w:right w:val="none" w:sz="0" w:space="0" w:color="auto"/>
      </w:divBdr>
      <w:divsChild>
        <w:div w:id="2027754783">
          <w:marLeft w:val="0"/>
          <w:marRight w:val="0"/>
          <w:marTop w:val="0"/>
          <w:marBottom w:val="0"/>
          <w:divBdr>
            <w:top w:val="none" w:sz="0" w:space="0" w:color="auto"/>
            <w:left w:val="none" w:sz="0" w:space="0" w:color="auto"/>
            <w:bottom w:val="none" w:sz="0" w:space="0" w:color="auto"/>
            <w:right w:val="none" w:sz="0" w:space="0" w:color="auto"/>
          </w:divBdr>
          <w:divsChild>
            <w:div w:id="818305660">
              <w:marLeft w:val="0"/>
              <w:marRight w:val="0"/>
              <w:marTop w:val="0"/>
              <w:marBottom w:val="0"/>
              <w:divBdr>
                <w:top w:val="none" w:sz="0" w:space="0" w:color="auto"/>
                <w:left w:val="none" w:sz="0" w:space="0" w:color="auto"/>
                <w:bottom w:val="none" w:sz="0" w:space="0" w:color="auto"/>
                <w:right w:val="none" w:sz="0" w:space="0" w:color="auto"/>
              </w:divBdr>
              <w:divsChild>
                <w:div w:id="1271552081">
                  <w:marLeft w:val="0"/>
                  <w:marRight w:val="0"/>
                  <w:marTop w:val="0"/>
                  <w:marBottom w:val="0"/>
                  <w:divBdr>
                    <w:top w:val="none" w:sz="0" w:space="0" w:color="auto"/>
                    <w:left w:val="none" w:sz="0" w:space="0" w:color="auto"/>
                    <w:bottom w:val="none" w:sz="0" w:space="0" w:color="auto"/>
                    <w:right w:val="none" w:sz="0" w:space="0" w:color="auto"/>
                  </w:divBdr>
                  <w:divsChild>
                    <w:div w:id="1272935517">
                      <w:marLeft w:val="0"/>
                      <w:marRight w:val="0"/>
                      <w:marTop w:val="0"/>
                      <w:marBottom w:val="0"/>
                      <w:divBdr>
                        <w:top w:val="none" w:sz="0" w:space="0" w:color="auto"/>
                        <w:left w:val="none" w:sz="0" w:space="0" w:color="auto"/>
                        <w:bottom w:val="none" w:sz="0" w:space="0" w:color="auto"/>
                        <w:right w:val="none" w:sz="0" w:space="0" w:color="auto"/>
                      </w:divBdr>
                      <w:divsChild>
                        <w:div w:id="178736750">
                          <w:marLeft w:val="0"/>
                          <w:marRight w:val="0"/>
                          <w:marTop w:val="0"/>
                          <w:marBottom w:val="0"/>
                          <w:divBdr>
                            <w:top w:val="none" w:sz="0" w:space="0" w:color="auto"/>
                            <w:left w:val="none" w:sz="0" w:space="0" w:color="auto"/>
                            <w:bottom w:val="none" w:sz="0" w:space="0" w:color="auto"/>
                            <w:right w:val="none" w:sz="0" w:space="0" w:color="auto"/>
                          </w:divBdr>
                        </w:div>
                        <w:div w:id="1276016113">
                          <w:marLeft w:val="0"/>
                          <w:marRight w:val="0"/>
                          <w:marTop w:val="0"/>
                          <w:marBottom w:val="0"/>
                          <w:divBdr>
                            <w:top w:val="none" w:sz="0" w:space="0" w:color="auto"/>
                            <w:left w:val="none" w:sz="0" w:space="0" w:color="auto"/>
                            <w:bottom w:val="none" w:sz="0" w:space="0" w:color="auto"/>
                            <w:right w:val="none" w:sz="0" w:space="0" w:color="auto"/>
                          </w:divBdr>
                          <w:divsChild>
                            <w:div w:id="888877735">
                              <w:marLeft w:val="0"/>
                              <w:marRight w:val="0"/>
                              <w:marTop w:val="0"/>
                              <w:marBottom w:val="0"/>
                              <w:divBdr>
                                <w:top w:val="none" w:sz="0" w:space="0" w:color="auto"/>
                                <w:left w:val="none" w:sz="0" w:space="0" w:color="auto"/>
                                <w:bottom w:val="none" w:sz="0" w:space="0" w:color="auto"/>
                                <w:right w:val="none" w:sz="0" w:space="0" w:color="auto"/>
                              </w:divBdr>
                              <w:divsChild>
                                <w:div w:id="1236742516">
                                  <w:marLeft w:val="0"/>
                                  <w:marRight w:val="0"/>
                                  <w:marTop w:val="0"/>
                                  <w:marBottom w:val="0"/>
                                  <w:divBdr>
                                    <w:top w:val="none" w:sz="0" w:space="0" w:color="auto"/>
                                    <w:left w:val="none" w:sz="0" w:space="0" w:color="auto"/>
                                    <w:bottom w:val="none" w:sz="0" w:space="0" w:color="auto"/>
                                    <w:right w:val="none" w:sz="0" w:space="0" w:color="auto"/>
                                  </w:divBdr>
                                  <w:divsChild>
                                    <w:div w:id="10434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463179">
      <w:bodyDiv w:val="1"/>
      <w:marLeft w:val="0"/>
      <w:marRight w:val="0"/>
      <w:marTop w:val="0"/>
      <w:marBottom w:val="0"/>
      <w:divBdr>
        <w:top w:val="none" w:sz="0" w:space="0" w:color="auto"/>
        <w:left w:val="none" w:sz="0" w:space="0" w:color="auto"/>
        <w:bottom w:val="none" w:sz="0" w:space="0" w:color="auto"/>
        <w:right w:val="none" w:sz="0" w:space="0" w:color="auto"/>
      </w:divBdr>
      <w:divsChild>
        <w:div w:id="1479103677">
          <w:marLeft w:val="0"/>
          <w:marRight w:val="0"/>
          <w:marTop w:val="0"/>
          <w:marBottom w:val="0"/>
          <w:divBdr>
            <w:top w:val="none" w:sz="0" w:space="0" w:color="auto"/>
            <w:left w:val="none" w:sz="0" w:space="0" w:color="auto"/>
            <w:bottom w:val="none" w:sz="0" w:space="0" w:color="auto"/>
            <w:right w:val="none" w:sz="0" w:space="0" w:color="auto"/>
          </w:divBdr>
          <w:divsChild>
            <w:div w:id="2089419738">
              <w:marLeft w:val="0"/>
              <w:marRight w:val="0"/>
              <w:marTop w:val="0"/>
              <w:marBottom w:val="0"/>
              <w:divBdr>
                <w:top w:val="none" w:sz="0" w:space="0" w:color="auto"/>
                <w:left w:val="none" w:sz="0" w:space="0" w:color="auto"/>
                <w:bottom w:val="none" w:sz="0" w:space="0" w:color="auto"/>
                <w:right w:val="none" w:sz="0" w:space="0" w:color="auto"/>
              </w:divBdr>
              <w:divsChild>
                <w:div w:id="1323583610">
                  <w:marLeft w:val="0"/>
                  <w:marRight w:val="0"/>
                  <w:marTop w:val="0"/>
                  <w:marBottom w:val="0"/>
                  <w:divBdr>
                    <w:top w:val="none" w:sz="0" w:space="0" w:color="auto"/>
                    <w:left w:val="none" w:sz="0" w:space="0" w:color="auto"/>
                    <w:bottom w:val="none" w:sz="0" w:space="0" w:color="auto"/>
                    <w:right w:val="none" w:sz="0" w:space="0" w:color="auto"/>
                  </w:divBdr>
                  <w:divsChild>
                    <w:div w:id="2141924007">
                      <w:marLeft w:val="0"/>
                      <w:marRight w:val="0"/>
                      <w:marTop w:val="0"/>
                      <w:marBottom w:val="0"/>
                      <w:divBdr>
                        <w:top w:val="none" w:sz="0" w:space="0" w:color="auto"/>
                        <w:left w:val="none" w:sz="0" w:space="0" w:color="auto"/>
                        <w:bottom w:val="none" w:sz="0" w:space="0" w:color="auto"/>
                        <w:right w:val="none" w:sz="0" w:space="0" w:color="auto"/>
                      </w:divBdr>
                      <w:divsChild>
                        <w:div w:id="1000616560">
                          <w:marLeft w:val="0"/>
                          <w:marRight w:val="0"/>
                          <w:marTop w:val="0"/>
                          <w:marBottom w:val="0"/>
                          <w:divBdr>
                            <w:top w:val="none" w:sz="0" w:space="0" w:color="auto"/>
                            <w:left w:val="none" w:sz="0" w:space="0" w:color="auto"/>
                            <w:bottom w:val="none" w:sz="0" w:space="0" w:color="auto"/>
                            <w:right w:val="none" w:sz="0" w:space="0" w:color="auto"/>
                          </w:divBdr>
                          <w:divsChild>
                            <w:div w:id="1856650452">
                              <w:marLeft w:val="0"/>
                              <w:marRight w:val="0"/>
                              <w:marTop w:val="0"/>
                              <w:marBottom w:val="0"/>
                              <w:divBdr>
                                <w:top w:val="none" w:sz="0" w:space="0" w:color="auto"/>
                                <w:left w:val="none" w:sz="0" w:space="0" w:color="auto"/>
                                <w:bottom w:val="none" w:sz="0" w:space="0" w:color="auto"/>
                                <w:right w:val="none" w:sz="0" w:space="0" w:color="auto"/>
                              </w:divBdr>
                              <w:divsChild>
                                <w:div w:id="2020572755">
                                  <w:marLeft w:val="0"/>
                                  <w:marRight w:val="0"/>
                                  <w:marTop w:val="0"/>
                                  <w:marBottom w:val="0"/>
                                  <w:divBdr>
                                    <w:top w:val="none" w:sz="0" w:space="0" w:color="auto"/>
                                    <w:left w:val="none" w:sz="0" w:space="0" w:color="auto"/>
                                    <w:bottom w:val="none" w:sz="0" w:space="0" w:color="auto"/>
                                    <w:right w:val="none" w:sz="0" w:space="0" w:color="auto"/>
                                  </w:divBdr>
                                  <w:divsChild>
                                    <w:div w:id="1829974773">
                                      <w:marLeft w:val="0"/>
                                      <w:marRight w:val="0"/>
                                      <w:marTop w:val="0"/>
                                      <w:marBottom w:val="0"/>
                                      <w:divBdr>
                                        <w:top w:val="none" w:sz="0" w:space="0" w:color="auto"/>
                                        <w:left w:val="none" w:sz="0" w:space="0" w:color="auto"/>
                                        <w:bottom w:val="none" w:sz="0" w:space="0" w:color="auto"/>
                                        <w:right w:val="none" w:sz="0" w:space="0" w:color="auto"/>
                                      </w:divBdr>
                                      <w:divsChild>
                                        <w:div w:id="1717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ca/earlylearning" TargetMode="External"/><Relationship Id="rId3" Type="http://schemas.microsoft.com/office/2007/relationships/stylesWithEffects" Target="stylesWithEffects.xml"/><Relationship Id="rId7" Type="http://schemas.openxmlformats.org/officeDocument/2006/relationships/hyperlink" Target="http://www.ontario.ca/education-and-training/early-learning-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9220</Characters>
  <Application>Microsoft Office Word</Application>
  <DocSecurity>0</DocSecurity>
  <Lines>139</Lines>
  <Paragraphs>46</Paragraphs>
  <ScaleCrop>false</ScaleCrop>
  <HeadingPairs>
    <vt:vector size="2" baseType="variant">
      <vt:variant>
        <vt:lpstr>Title</vt:lpstr>
      </vt:variant>
      <vt:variant>
        <vt:i4>1</vt:i4>
      </vt:variant>
    </vt:vector>
  </HeadingPairs>
  <TitlesOfParts>
    <vt:vector size="1" baseType="lpstr">
      <vt:lpstr>Submission 218 - Victorian Principals Association - Childcare and Early Childhood Learning - Public inquiry</vt:lpstr>
    </vt:vector>
  </TitlesOfParts>
  <Company>Victorian Principals Association</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218 - Victorian Principals Association - Childcare and Early Childhood Learning - Public inquiry</dc:title>
  <dc:creator>Victorian Principals Association</dc:creator>
  <cp:lastModifiedBy>Productivity Commission</cp:lastModifiedBy>
  <cp:revision>2</cp:revision>
  <cp:lastPrinted>2014-02-03T03:26:00Z</cp:lastPrinted>
  <dcterms:created xsi:type="dcterms:W3CDTF">2014-02-07T04:47:00Z</dcterms:created>
  <dcterms:modified xsi:type="dcterms:W3CDTF">2014-02-07T04:47:00Z</dcterms:modified>
</cp:coreProperties>
</file>