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39" w:rsidRPr="00FB256F" w:rsidRDefault="00E10639" w:rsidP="00FB256F">
      <w:pPr>
        <w:jc w:val="both"/>
        <w:rPr>
          <w:rFonts w:asciiTheme="minorHAnsi" w:hAnsiTheme="minorHAnsi"/>
          <w:b/>
          <w:sz w:val="24"/>
          <w:szCs w:val="24"/>
        </w:rPr>
      </w:pPr>
      <w:bookmarkStart w:id="0" w:name="_GoBack"/>
      <w:bookmarkEnd w:id="0"/>
      <w:r w:rsidRPr="00FB256F">
        <w:rPr>
          <w:rFonts w:asciiTheme="minorHAnsi" w:hAnsiTheme="minorHAnsi"/>
          <w:b/>
          <w:sz w:val="24"/>
          <w:szCs w:val="24"/>
        </w:rPr>
        <w:t>The Institute of Early Childhood</w:t>
      </w:r>
    </w:p>
    <w:p w:rsidR="00E10639" w:rsidRPr="00FB256F" w:rsidRDefault="00E10639" w:rsidP="00FB256F">
      <w:pPr>
        <w:jc w:val="both"/>
        <w:rPr>
          <w:rFonts w:asciiTheme="minorHAnsi" w:hAnsiTheme="minorHAnsi"/>
          <w:sz w:val="24"/>
          <w:szCs w:val="24"/>
        </w:rPr>
      </w:pPr>
      <w:r w:rsidRPr="00FB256F">
        <w:rPr>
          <w:rFonts w:asciiTheme="minorHAnsi" w:hAnsiTheme="minorHAnsi"/>
          <w:sz w:val="24"/>
          <w:szCs w:val="24"/>
        </w:rPr>
        <w:t>The Institute of Early Childhood is a multidisciplinary department within the Faculty of Human Sciences at Macquarie University. The department includes specialist academic staff in areas such as early childhood education, leadership and management, psychology, linguistics, sociology, creative arts, difference and disability. For more than 100 years, the Institute of Early Childhood has been a major provider of early childhood teacher education and currently offers undergraduate and postgraduate coursework programs, and high degrees by research.</w:t>
      </w:r>
    </w:p>
    <w:p w:rsidR="00E10639" w:rsidRPr="00FB256F" w:rsidRDefault="00E10639" w:rsidP="00FB256F">
      <w:pPr>
        <w:jc w:val="both"/>
        <w:rPr>
          <w:rFonts w:asciiTheme="minorHAnsi" w:hAnsiTheme="minorHAnsi"/>
          <w:sz w:val="24"/>
          <w:szCs w:val="24"/>
        </w:rPr>
      </w:pPr>
    </w:p>
    <w:p w:rsidR="00E10639" w:rsidRPr="00FB256F" w:rsidRDefault="00E10639" w:rsidP="00FB256F">
      <w:pPr>
        <w:jc w:val="both"/>
        <w:rPr>
          <w:rFonts w:asciiTheme="minorHAnsi" w:hAnsiTheme="minorHAnsi"/>
          <w:b/>
          <w:sz w:val="24"/>
          <w:szCs w:val="24"/>
        </w:rPr>
      </w:pPr>
      <w:r w:rsidRPr="00FB256F">
        <w:rPr>
          <w:rFonts w:asciiTheme="minorHAnsi" w:hAnsiTheme="minorHAnsi"/>
          <w:b/>
          <w:sz w:val="24"/>
          <w:szCs w:val="24"/>
        </w:rPr>
        <w:t>This Submission</w:t>
      </w:r>
    </w:p>
    <w:p w:rsidR="00E10639" w:rsidRPr="00FB256F" w:rsidRDefault="00E10639" w:rsidP="00FB256F">
      <w:pPr>
        <w:jc w:val="both"/>
        <w:rPr>
          <w:rFonts w:asciiTheme="minorHAnsi" w:hAnsiTheme="minorHAnsi"/>
          <w:sz w:val="24"/>
          <w:szCs w:val="24"/>
        </w:rPr>
      </w:pPr>
      <w:r w:rsidRPr="00FB256F">
        <w:rPr>
          <w:rFonts w:asciiTheme="minorHAnsi" w:hAnsiTheme="minorHAnsi"/>
          <w:sz w:val="24"/>
          <w:szCs w:val="24"/>
        </w:rPr>
        <w:t xml:space="preserve">This submission </w:t>
      </w:r>
      <w:r w:rsidR="00FB256F">
        <w:rPr>
          <w:rFonts w:asciiTheme="minorHAnsi" w:hAnsiTheme="minorHAnsi"/>
          <w:sz w:val="24"/>
          <w:szCs w:val="24"/>
        </w:rPr>
        <w:t>on</w:t>
      </w:r>
      <w:r w:rsidRPr="00FB256F">
        <w:rPr>
          <w:rFonts w:asciiTheme="minorHAnsi" w:hAnsiTheme="minorHAnsi"/>
          <w:sz w:val="24"/>
          <w:szCs w:val="24"/>
        </w:rPr>
        <w:t xml:space="preserve"> future options for childcare and early childhood learning</w:t>
      </w:r>
      <w:r w:rsidR="00FB256F">
        <w:rPr>
          <w:rFonts w:asciiTheme="minorHAnsi" w:hAnsiTheme="minorHAnsi"/>
          <w:sz w:val="24"/>
          <w:szCs w:val="24"/>
        </w:rPr>
        <w:t xml:space="preserve"> focuses specifically </w:t>
      </w:r>
      <w:r w:rsidRPr="00FB256F">
        <w:rPr>
          <w:rFonts w:asciiTheme="minorHAnsi" w:hAnsiTheme="minorHAnsi"/>
          <w:sz w:val="24"/>
          <w:szCs w:val="24"/>
        </w:rPr>
        <w:t xml:space="preserve">on </w:t>
      </w:r>
      <w:r w:rsidR="00FB256F" w:rsidRPr="00FB256F">
        <w:rPr>
          <w:rFonts w:asciiTheme="minorHAnsi" w:hAnsiTheme="minorHAnsi"/>
          <w:i/>
          <w:sz w:val="24"/>
          <w:szCs w:val="24"/>
        </w:rPr>
        <w:t>quality early childhood education</w:t>
      </w:r>
      <w:r w:rsidR="00FB256F" w:rsidRPr="00FB256F">
        <w:rPr>
          <w:rFonts w:asciiTheme="minorHAnsi" w:hAnsiTheme="minorHAnsi"/>
          <w:sz w:val="24"/>
          <w:szCs w:val="24"/>
        </w:rPr>
        <w:t xml:space="preserve"> </w:t>
      </w:r>
      <w:r w:rsidR="00FB256F" w:rsidRPr="00FB256F">
        <w:rPr>
          <w:rFonts w:asciiTheme="minorHAnsi" w:hAnsiTheme="minorHAnsi"/>
          <w:i/>
          <w:sz w:val="24"/>
          <w:szCs w:val="24"/>
        </w:rPr>
        <w:t xml:space="preserve">and </w:t>
      </w:r>
      <w:r w:rsidRPr="00FB256F">
        <w:rPr>
          <w:rFonts w:asciiTheme="minorHAnsi" w:hAnsiTheme="minorHAnsi"/>
          <w:i/>
          <w:sz w:val="24"/>
          <w:szCs w:val="24"/>
        </w:rPr>
        <w:t>the critical importance of early childhood teachers</w:t>
      </w:r>
      <w:r w:rsidRPr="00FB256F">
        <w:rPr>
          <w:rFonts w:asciiTheme="minorHAnsi" w:hAnsiTheme="minorHAnsi"/>
          <w:sz w:val="24"/>
          <w:szCs w:val="24"/>
        </w:rPr>
        <w:t>. The Institute of Earl</w:t>
      </w:r>
      <w:r w:rsidR="00C80A12" w:rsidRPr="00FB256F">
        <w:rPr>
          <w:rFonts w:asciiTheme="minorHAnsi" w:hAnsiTheme="minorHAnsi"/>
          <w:sz w:val="24"/>
          <w:szCs w:val="24"/>
        </w:rPr>
        <w:t>y Childhood requests that</w:t>
      </w:r>
      <w:r w:rsidR="00F336EA" w:rsidRPr="00FB256F">
        <w:rPr>
          <w:rFonts w:asciiTheme="minorHAnsi" w:hAnsiTheme="minorHAnsi"/>
          <w:sz w:val="24"/>
          <w:szCs w:val="24"/>
        </w:rPr>
        <w:t xml:space="preserve"> when</w:t>
      </w:r>
      <w:r w:rsidRPr="00FB256F">
        <w:rPr>
          <w:rFonts w:asciiTheme="minorHAnsi" w:hAnsiTheme="minorHAnsi"/>
          <w:sz w:val="24"/>
          <w:szCs w:val="24"/>
        </w:rPr>
        <w:t xml:space="preserve"> the Commission </w:t>
      </w:r>
      <w:r w:rsidR="00F336EA" w:rsidRPr="00FB256F">
        <w:rPr>
          <w:rFonts w:asciiTheme="minorHAnsi" w:hAnsiTheme="minorHAnsi"/>
          <w:sz w:val="24"/>
          <w:szCs w:val="24"/>
        </w:rPr>
        <w:t xml:space="preserve">makes its recommendations, the </w:t>
      </w:r>
      <w:r w:rsidR="00FB256F">
        <w:rPr>
          <w:rFonts w:asciiTheme="minorHAnsi" w:hAnsiTheme="minorHAnsi"/>
          <w:sz w:val="24"/>
          <w:szCs w:val="24"/>
        </w:rPr>
        <w:t xml:space="preserve">following agenda for supporting high quality early childhood education in Australia is considered </w:t>
      </w:r>
      <w:r w:rsidR="00F336EA" w:rsidRPr="00FB256F">
        <w:rPr>
          <w:rFonts w:asciiTheme="minorHAnsi" w:hAnsiTheme="minorHAnsi"/>
          <w:sz w:val="24"/>
          <w:szCs w:val="24"/>
        </w:rPr>
        <w:t xml:space="preserve">in each of </w:t>
      </w:r>
      <w:r w:rsidR="00FB256F">
        <w:rPr>
          <w:rFonts w:asciiTheme="minorHAnsi" w:hAnsiTheme="minorHAnsi"/>
          <w:sz w:val="24"/>
          <w:szCs w:val="24"/>
        </w:rPr>
        <w:t xml:space="preserve">its </w:t>
      </w:r>
      <w:r w:rsidR="00F336EA" w:rsidRPr="00FB256F">
        <w:rPr>
          <w:rFonts w:asciiTheme="minorHAnsi" w:hAnsiTheme="minorHAnsi"/>
          <w:sz w:val="24"/>
          <w:szCs w:val="24"/>
        </w:rPr>
        <w:t>six areas of the inquiry.</w:t>
      </w:r>
    </w:p>
    <w:p w:rsidR="00FB256F" w:rsidRPr="00FB256F" w:rsidRDefault="00FB256F" w:rsidP="00E10639">
      <w:pPr>
        <w:rPr>
          <w:rFonts w:asciiTheme="minorHAnsi" w:hAnsiTheme="minorHAnsi"/>
          <w:sz w:val="24"/>
          <w:szCs w:val="24"/>
        </w:rPr>
      </w:pPr>
    </w:p>
    <w:p w:rsidR="00FB256F" w:rsidRPr="00FB256F" w:rsidRDefault="00FB256F" w:rsidP="00FB256F">
      <w:pPr>
        <w:shd w:val="clear" w:color="auto" w:fill="FFFFFF"/>
        <w:spacing w:before="100" w:beforeAutospacing="1" w:after="100" w:afterAutospacing="1"/>
        <w:jc w:val="both"/>
        <w:rPr>
          <w:rFonts w:asciiTheme="minorHAnsi" w:hAnsiTheme="minorHAnsi"/>
          <w:b/>
          <w:bCs/>
          <w:i/>
          <w:iCs/>
          <w:color w:val="222222"/>
          <w:sz w:val="24"/>
          <w:szCs w:val="24"/>
        </w:rPr>
      </w:pPr>
      <w:r w:rsidRPr="00FB256F">
        <w:rPr>
          <w:rFonts w:asciiTheme="minorHAnsi" w:hAnsiTheme="minorHAnsi" w:cs="Arial"/>
          <w:b/>
          <w:bCs/>
          <w:i/>
          <w:iCs/>
          <w:color w:val="222222"/>
          <w:sz w:val="24"/>
          <w:szCs w:val="24"/>
        </w:rPr>
        <w:t>1.</w:t>
      </w:r>
      <w:r w:rsidRPr="00FB256F">
        <w:rPr>
          <w:rFonts w:asciiTheme="minorHAnsi" w:hAnsiTheme="minorHAnsi"/>
          <w:b/>
          <w:bCs/>
          <w:i/>
          <w:iCs/>
          <w:color w:val="222222"/>
          <w:sz w:val="24"/>
          <w:szCs w:val="24"/>
        </w:rPr>
        <w:t xml:space="preserve"> High quality </w:t>
      </w:r>
      <w:proofErr w:type="spellStart"/>
      <w:r w:rsidRPr="00FB256F">
        <w:rPr>
          <w:rFonts w:asciiTheme="minorHAnsi" w:hAnsiTheme="minorHAnsi"/>
          <w:b/>
          <w:bCs/>
          <w:i/>
          <w:iCs/>
          <w:color w:val="222222"/>
          <w:sz w:val="24"/>
          <w:szCs w:val="24"/>
        </w:rPr>
        <w:t>ECE</w:t>
      </w:r>
      <w:proofErr w:type="spellEnd"/>
      <w:r w:rsidRPr="00FB256F">
        <w:rPr>
          <w:rFonts w:asciiTheme="minorHAnsi" w:hAnsiTheme="minorHAnsi"/>
          <w:b/>
          <w:bCs/>
          <w:i/>
          <w:iCs/>
          <w:color w:val="222222"/>
          <w:sz w:val="24"/>
          <w:szCs w:val="24"/>
        </w:rPr>
        <w:t xml:space="preserve"> matters  </w:t>
      </w:r>
    </w:p>
    <w:p w:rsidR="00FB256F" w:rsidRPr="00FB256F" w:rsidRDefault="00FB256F" w:rsidP="00FB256F">
      <w:pPr>
        <w:jc w:val="both"/>
        <w:rPr>
          <w:rFonts w:asciiTheme="minorHAnsi" w:hAnsiTheme="minorHAnsi"/>
          <w:sz w:val="24"/>
          <w:szCs w:val="24"/>
        </w:rPr>
      </w:pPr>
      <w:r w:rsidRPr="00FB256F">
        <w:rPr>
          <w:rFonts w:asciiTheme="minorHAnsi" w:hAnsiTheme="minorHAnsi" w:cs="Arial"/>
          <w:color w:val="222222"/>
          <w:sz w:val="24"/>
          <w:szCs w:val="24"/>
        </w:rPr>
        <w:t xml:space="preserve">It is imperative that the Australian Government develop and implement a policy trajectory that will meet COAG’s goal of giving all children the best possible start in life </w:t>
      </w:r>
      <w:r w:rsidRPr="00FB256F">
        <w:rPr>
          <w:rFonts w:asciiTheme="minorHAnsi" w:hAnsiTheme="minorHAnsi" w:cs="Arial"/>
          <w:noProof/>
          <w:color w:val="222222"/>
          <w:sz w:val="24"/>
          <w:szCs w:val="24"/>
        </w:rPr>
        <w:t>(Council of Australian Governments, 2009)</w:t>
      </w:r>
      <w:r w:rsidRPr="00FB256F">
        <w:rPr>
          <w:rFonts w:asciiTheme="minorHAnsi" w:hAnsiTheme="minorHAnsi" w:cs="Arial"/>
          <w:color w:val="222222"/>
          <w:sz w:val="24"/>
          <w:szCs w:val="24"/>
        </w:rPr>
        <w:t>. With over one million children attending formal early childhood education (</w:t>
      </w:r>
      <w:proofErr w:type="spellStart"/>
      <w:r w:rsidRPr="00FB256F">
        <w:rPr>
          <w:rFonts w:asciiTheme="minorHAnsi" w:hAnsiTheme="minorHAnsi" w:cs="Arial"/>
          <w:color w:val="222222"/>
          <w:sz w:val="24"/>
          <w:szCs w:val="24"/>
        </w:rPr>
        <w:t>ECE</w:t>
      </w:r>
      <w:proofErr w:type="spellEnd"/>
      <w:r w:rsidRPr="00FB256F">
        <w:rPr>
          <w:rFonts w:asciiTheme="minorHAnsi" w:hAnsiTheme="minorHAnsi" w:cs="Arial"/>
          <w:color w:val="222222"/>
          <w:sz w:val="24"/>
          <w:szCs w:val="24"/>
        </w:rPr>
        <w:t xml:space="preserve">) settings </w:t>
      </w:r>
      <w:r w:rsidRPr="00FB256F">
        <w:rPr>
          <w:rFonts w:asciiTheme="minorHAnsi" w:hAnsiTheme="minorHAnsi" w:cs="Arial"/>
          <w:noProof/>
          <w:color w:val="222222"/>
          <w:sz w:val="24"/>
          <w:szCs w:val="24"/>
        </w:rPr>
        <w:t>(Productivity Commission, 2013)</w:t>
      </w:r>
      <w:r w:rsidRPr="00FB256F">
        <w:rPr>
          <w:rFonts w:asciiTheme="minorHAnsi" w:hAnsiTheme="minorHAnsi" w:cs="Arial"/>
          <w:color w:val="222222"/>
          <w:sz w:val="24"/>
          <w:szCs w:val="24"/>
        </w:rPr>
        <w:t xml:space="preserve"> it is critical that these services be of high quality. As is well documented in the Productivity Commission’s Issues Paper, a</w:t>
      </w:r>
      <w:r w:rsidRPr="00FB256F">
        <w:rPr>
          <w:rFonts w:asciiTheme="minorHAnsi" w:hAnsiTheme="minorHAnsi"/>
          <w:sz w:val="24"/>
          <w:szCs w:val="24"/>
        </w:rPr>
        <w:t xml:space="preserve"> strong evidence base from neuroscience, social science and econometric research unequivocally demonstrates that when formal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is of high quality, developmental outcomes for children are enhanced and families’ wellbeing is promoted. High quality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also ameliorates social disadvantage, facilitates women’s workforce participation, and fosters social inclusion </w:t>
      </w:r>
      <w:r w:rsidRPr="00FB256F">
        <w:rPr>
          <w:rFonts w:asciiTheme="minorHAnsi" w:hAnsiTheme="minorHAnsi"/>
          <w:noProof/>
          <w:sz w:val="24"/>
          <w:szCs w:val="24"/>
        </w:rPr>
        <w:t>(Economist Intelligence Unit, 2012)</w:t>
      </w:r>
      <w:r w:rsidRPr="00FB256F">
        <w:rPr>
          <w:rFonts w:asciiTheme="minorHAnsi" w:hAnsiTheme="minorHAnsi"/>
          <w:sz w:val="24"/>
          <w:szCs w:val="24"/>
        </w:rPr>
        <w:t xml:space="preserve">. Additionally, as a signatory to the United Nations Convention of the Rights of the Child it is incumbent on the Australian Government to develop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policy that is grounded in the rights and best interests of young children. In sum, the Australian Government’s investing in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as a means to achieving economic, education and social policy goals, as well as meeting its international legal obligations, is contingent on a sector that is supported by government to deliver high quality early learning experiences for young children.</w:t>
      </w:r>
    </w:p>
    <w:p w:rsidR="00FB256F" w:rsidRPr="00FB256F" w:rsidRDefault="00FB256F" w:rsidP="00FB256F">
      <w:pPr>
        <w:tabs>
          <w:tab w:val="left" w:pos="426"/>
          <w:tab w:val="left" w:pos="709"/>
        </w:tabs>
        <w:jc w:val="both"/>
        <w:rPr>
          <w:rFonts w:asciiTheme="minorHAnsi" w:hAnsiTheme="minorHAnsi" w:cs="Arial"/>
          <w:b/>
          <w:bCs/>
          <w:i/>
          <w:iCs/>
          <w:color w:val="222222"/>
          <w:sz w:val="24"/>
          <w:szCs w:val="24"/>
        </w:rPr>
      </w:pPr>
    </w:p>
    <w:p w:rsidR="00FB256F" w:rsidRPr="00FB256F" w:rsidRDefault="00FB256F" w:rsidP="00FB256F">
      <w:pPr>
        <w:shd w:val="clear" w:color="auto" w:fill="FFFFFF"/>
        <w:spacing w:before="100" w:beforeAutospacing="1" w:after="100" w:afterAutospacing="1"/>
        <w:jc w:val="both"/>
        <w:rPr>
          <w:rFonts w:asciiTheme="minorHAnsi" w:hAnsiTheme="minorHAnsi"/>
          <w:b/>
          <w:bCs/>
          <w:i/>
          <w:iCs/>
          <w:color w:val="222222"/>
          <w:sz w:val="24"/>
          <w:szCs w:val="24"/>
        </w:rPr>
      </w:pPr>
      <w:r w:rsidRPr="00FB256F">
        <w:rPr>
          <w:rFonts w:asciiTheme="minorHAnsi" w:hAnsiTheme="minorHAnsi"/>
          <w:b/>
          <w:bCs/>
          <w:i/>
          <w:iCs/>
          <w:color w:val="222222"/>
          <w:sz w:val="24"/>
          <w:szCs w:val="24"/>
        </w:rPr>
        <w:t xml:space="preserve">2. Policy reforms need to facilitate/support high quality </w:t>
      </w:r>
      <w:proofErr w:type="spellStart"/>
      <w:r w:rsidRPr="00FB256F">
        <w:rPr>
          <w:rFonts w:asciiTheme="minorHAnsi" w:hAnsiTheme="minorHAnsi"/>
          <w:b/>
          <w:bCs/>
          <w:i/>
          <w:iCs/>
          <w:color w:val="222222"/>
          <w:sz w:val="24"/>
          <w:szCs w:val="24"/>
        </w:rPr>
        <w:t>ECE</w:t>
      </w:r>
      <w:proofErr w:type="spellEnd"/>
      <w:r w:rsidRPr="00FB256F">
        <w:rPr>
          <w:rFonts w:asciiTheme="minorHAnsi" w:hAnsiTheme="minorHAnsi"/>
          <w:b/>
          <w:bCs/>
          <w:i/>
          <w:iCs/>
          <w:color w:val="222222"/>
          <w:sz w:val="24"/>
          <w:szCs w:val="24"/>
        </w:rPr>
        <w:t xml:space="preserve"> contributors, in particular teacher-qualified leaders and educators</w:t>
      </w:r>
    </w:p>
    <w:p w:rsidR="00FB256F" w:rsidRPr="00FB256F" w:rsidRDefault="00FB256F" w:rsidP="00FB256F">
      <w:pPr>
        <w:jc w:val="both"/>
        <w:rPr>
          <w:rFonts w:asciiTheme="minorHAnsi" w:hAnsiTheme="minorHAnsi"/>
          <w:sz w:val="24"/>
          <w:szCs w:val="24"/>
        </w:rPr>
      </w:pPr>
      <w:r w:rsidRPr="00FB256F">
        <w:rPr>
          <w:rFonts w:asciiTheme="minorHAnsi" w:hAnsiTheme="minorHAnsi"/>
          <w:sz w:val="24"/>
          <w:szCs w:val="24"/>
        </w:rPr>
        <w:t xml:space="preserve">Contributors to high quality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are either amenable to regulation (e.g., low </w:t>
      </w:r>
      <w:proofErr w:type="spellStart"/>
      <w:r w:rsidRPr="00FB256F">
        <w:rPr>
          <w:rFonts w:asciiTheme="minorHAnsi" w:hAnsiTheme="minorHAnsi"/>
          <w:sz w:val="24"/>
          <w:szCs w:val="24"/>
        </w:rPr>
        <w:t>staff:child</w:t>
      </w:r>
      <w:proofErr w:type="spellEnd"/>
      <w:r w:rsidRPr="00FB256F">
        <w:rPr>
          <w:rFonts w:asciiTheme="minorHAnsi" w:hAnsiTheme="minorHAnsi"/>
          <w:sz w:val="24"/>
          <w:szCs w:val="24"/>
        </w:rPr>
        <w:t xml:space="preserve"> ratios, small group sizes, qualified (especially university teacher qualified) staff or, we would argue, fall under the remit of broader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policy (e.g. improving wages and working conditions to ensure low staff turnover and </w:t>
      </w:r>
      <w:r w:rsidR="00613457">
        <w:rPr>
          <w:rFonts w:asciiTheme="minorHAnsi" w:hAnsiTheme="minorHAnsi"/>
          <w:sz w:val="24"/>
          <w:szCs w:val="24"/>
        </w:rPr>
        <w:t xml:space="preserve">pay </w:t>
      </w:r>
      <w:r w:rsidRPr="00FB256F">
        <w:rPr>
          <w:rFonts w:asciiTheme="minorHAnsi" w:hAnsiTheme="minorHAnsi"/>
          <w:sz w:val="24"/>
          <w:szCs w:val="24"/>
        </w:rPr>
        <w:t>parity for teachers; strong governance and leadership). It is critical that the Australian Government policy addresses both sets of contributors.</w:t>
      </w:r>
    </w:p>
    <w:p w:rsidR="00FB256F" w:rsidRDefault="00FB256F" w:rsidP="00FB256F">
      <w:pPr>
        <w:jc w:val="both"/>
        <w:rPr>
          <w:rFonts w:asciiTheme="minorHAnsi" w:hAnsiTheme="minorHAnsi"/>
          <w:sz w:val="24"/>
          <w:szCs w:val="24"/>
        </w:rPr>
      </w:pPr>
      <w:r w:rsidRPr="00FB256F">
        <w:rPr>
          <w:rFonts w:asciiTheme="minorHAnsi" w:hAnsiTheme="minorHAnsi"/>
          <w:sz w:val="24"/>
          <w:szCs w:val="24"/>
        </w:rPr>
        <w:t>In this section we would like to focus on teacher qualified leaders and staff.</w:t>
      </w:r>
    </w:p>
    <w:p w:rsidR="003A1D36" w:rsidRPr="00FB256F" w:rsidRDefault="003A1D36" w:rsidP="00FB256F">
      <w:pPr>
        <w:jc w:val="both"/>
        <w:rPr>
          <w:rFonts w:asciiTheme="minorHAnsi" w:hAnsiTheme="minorHAnsi"/>
          <w:sz w:val="24"/>
          <w:szCs w:val="24"/>
        </w:rPr>
      </w:pPr>
    </w:p>
    <w:p w:rsidR="00FB256F" w:rsidRDefault="00FB256F" w:rsidP="00FB256F">
      <w:pPr>
        <w:jc w:val="both"/>
        <w:rPr>
          <w:rFonts w:asciiTheme="minorHAnsi" w:hAnsiTheme="minorHAnsi"/>
          <w:i/>
          <w:iCs/>
          <w:color w:val="FF0000"/>
          <w:sz w:val="24"/>
          <w:szCs w:val="24"/>
        </w:rPr>
      </w:pPr>
      <w:r w:rsidRPr="00FB256F">
        <w:rPr>
          <w:rFonts w:asciiTheme="minorHAnsi" w:hAnsiTheme="minorHAnsi"/>
          <w:i/>
          <w:iCs/>
          <w:sz w:val="24"/>
          <w:szCs w:val="24"/>
        </w:rPr>
        <w:lastRenderedPageBreak/>
        <w:t xml:space="preserve">Teacher-qualified leaders </w:t>
      </w:r>
    </w:p>
    <w:p w:rsidR="003A1D36" w:rsidRPr="00FB256F" w:rsidRDefault="003A1D36" w:rsidP="00FB256F">
      <w:pPr>
        <w:jc w:val="both"/>
        <w:rPr>
          <w:rFonts w:asciiTheme="minorHAnsi" w:hAnsiTheme="minorHAnsi"/>
          <w:color w:val="FF0000"/>
          <w:sz w:val="24"/>
          <w:szCs w:val="24"/>
        </w:rPr>
      </w:pPr>
    </w:p>
    <w:p w:rsidR="00FB256F" w:rsidRDefault="00FB256F" w:rsidP="00FB256F">
      <w:pPr>
        <w:jc w:val="both"/>
        <w:rPr>
          <w:rFonts w:asciiTheme="minorHAnsi" w:hAnsiTheme="minorHAnsi" w:cs="Calibri"/>
          <w:sz w:val="24"/>
          <w:szCs w:val="24"/>
        </w:rPr>
      </w:pPr>
      <w:r w:rsidRPr="00FB256F">
        <w:rPr>
          <w:rFonts w:asciiTheme="minorHAnsi" w:hAnsiTheme="minorHAnsi" w:cs="Calibri"/>
          <w:sz w:val="24"/>
          <w:szCs w:val="24"/>
        </w:rPr>
        <w:t xml:space="preserve">Teacher and educator qualification requirements in the </w:t>
      </w:r>
      <w:proofErr w:type="spellStart"/>
      <w:r w:rsidRPr="00FB256F">
        <w:rPr>
          <w:rFonts w:asciiTheme="minorHAnsi" w:hAnsiTheme="minorHAnsi" w:cs="Calibri"/>
          <w:sz w:val="24"/>
          <w:szCs w:val="24"/>
        </w:rPr>
        <w:t>NQS</w:t>
      </w:r>
      <w:proofErr w:type="spellEnd"/>
      <w:r w:rsidRPr="00FB256F">
        <w:rPr>
          <w:rFonts w:asciiTheme="minorHAnsi" w:hAnsiTheme="minorHAnsi" w:cs="Calibri"/>
          <w:sz w:val="24"/>
          <w:szCs w:val="24"/>
        </w:rPr>
        <w:t xml:space="preserve"> are indicative of a bottom up approach by COAG to lift quality standards and practices. Initiatives have sought to ensure that teacher requirements aside, by 2014 all other staff will have (or be actively working towards) either a Certificate III or a Diploma in Children’s Services qualification. New teacher requirements of one teacher in every service licensed for 25 children or more is an improvement in some but not all states.   </w:t>
      </w:r>
    </w:p>
    <w:p w:rsidR="003A1D36" w:rsidRPr="00FB256F" w:rsidRDefault="003A1D36" w:rsidP="00FB256F">
      <w:pPr>
        <w:jc w:val="both"/>
        <w:rPr>
          <w:rFonts w:asciiTheme="minorHAnsi" w:hAnsiTheme="minorHAnsi" w:cs="Calibri"/>
          <w:sz w:val="24"/>
          <w:szCs w:val="24"/>
        </w:rPr>
      </w:pPr>
    </w:p>
    <w:p w:rsidR="00FB256F" w:rsidRDefault="00FB256F" w:rsidP="00FB256F">
      <w:pPr>
        <w:jc w:val="both"/>
        <w:rPr>
          <w:rFonts w:asciiTheme="minorHAnsi" w:hAnsiTheme="minorHAnsi" w:cs="Calibri"/>
          <w:sz w:val="24"/>
          <w:szCs w:val="24"/>
        </w:rPr>
      </w:pPr>
      <w:r w:rsidRPr="00FB256F">
        <w:rPr>
          <w:rFonts w:asciiTheme="minorHAnsi" w:hAnsiTheme="minorHAnsi" w:cs="Calibri"/>
          <w:sz w:val="24"/>
          <w:szCs w:val="24"/>
        </w:rPr>
        <w:t xml:space="preserve">Recent case studies of centres externally rated as consistently providing high quality </w:t>
      </w:r>
      <w:proofErr w:type="spellStart"/>
      <w:r w:rsidRPr="00FB256F">
        <w:rPr>
          <w:rFonts w:asciiTheme="minorHAnsi" w:hAnsiTheme="minorHAnsi" w:cs="Calibri"/>
          <w:sz w:val="24"/>
          <w:szCs w:val="24"/>
        </w:rPr>
        <w:t>ECEC</w:t>
      </w:r>
      <w:proofErr w:type="spellEnd"/>
      <w:r w:rsidRPr="00FB256F">
        <w:rPr>
          <w:rFonts w:asciiTheme="minorHAnsi" w:hAnsiTheme="minorHAnsi" w:cs="Calibri"/>
          <w:sz w:val="24"/>
          <w:szCs w:val="24"/>
        </w:rPr>
        <w:t xml:space="preserve"> (</w:t>
      </w:r>
      <w:proofErr w:type="spellStart"/>
      <w:r w:rsidRPr="00FB256F">
        <w:rPr>
          <w:rFonts w:asciiTheme="minorHAnsi" w:hAnsiTheme="minorHAnsi" w:cs="Calibri"/>
          <w:sz w:val="24"/>
          <w:szCs w:val="24"/>
        </w:rPr>
        <w:t>Fenech</w:t>
      </w:r>
      <w:proofErr w:type="spellEnd"/>
      <w:r w:rsidRPr="00FB256F">
        <w:rPr>
          <w:rFonts w:asciiTheme="minorHAnsi" w:hAnsiTheme="minorHAnsi" w:cs="Calibri"/>
          <w:sz w:val="24"/>
          <w:szCs w:val="24"/>
        </w:rPr>
        <w:t xml:space="preserve">, Harrison, Press, &amp; </w:t>
      </w:r>
      <w:proofErr w:type="spellStart"/>
      <w:r w:rsidRPr="00FB256F">
        <w:rPr>
          <w:rFonts w:asciiTheme="minorHAnsi" w:hAnsiTheme="minorHAnsi" w:cs="Calibri"/>
          <w:sz w:val="24"/>
          <w:szCs w:val="24"/>
        </w:rPr>
        <w:t>Sumsion</w:t>
      </w:r>
      <w:proofErr w:type="spellEnd"/>
      <w:r w:rsidRPr="00FB256F">
        <w:rPr>
          <w:rFonts w:asciiTheme="minorHAnsi" w:hAnsiTheme="minorHAnsi" w:cs="Calibri"/>
          <w:sz w:val="24"/>
          <w:szCs w:val="24"/>
        </w:rPr>
        <w:t xml:space="preserve">, 2010) and the renowned </w:t>
      </w:r>
      <w:proofErr w:type="spellStart"/>
      <w:r w:rsidRPr="00FB256F">
        <w:rPr>
          <w:rFonts w:asciiTheme="minorHAnsi" w:hAnsiTheme="minorHAnsi" w:cs="Calibri"/>
          <w:sz w:val="24"/>
          <w:szCs w:val="24"/>
        </w:rPr>
        <w:t>EPPE</w:t>
      </w:r>
      <w:proofErr w:type="spellEnd"/>
      <w:r w:rsidRPr="00FB256F">
        <w:rPr>
          <w:rFonts w:asciiTheme="minorHAnsi" w:hAnsiTheme="minorHAnsi" w:cs="Calibri"/>
          <w:sz w:val="24"/>
          <w:szCs w:val="24"/>
        </w:rPr>
        <w:t xml:space="preserve"> </w:t>
      </w:r>
      <w:r w:rsidRPr="00FB256F">
        <w:rPr>
          <w:rFonts w:asciiTheme="minorHAnsi" w:hAnsiTheme="minorHAnsi" w:cs="Calibri"/>
          <w:noProof/>
          <w:sz w:val="24"/>
          <w:szCs w:val="24"/>
        </w:rPr>
        <w:t>(Sylva, Melhuish, Sammons, Siraj-Blatchford, &amp; Taggart, 2004)</w:t>
      </w:r>
      <w:r w:rsidRPr="00FB256F">
        <w:rPr>
          <w:rFonts w:asciiTheme="minorHAnsi" w:hAnsiTheme="minorHAnsi" w:cs="Calibri"/>
          <w:sz w:val="24"/>
          <w:szCs w:val="24"/>
        </w:rPr>
        <w:t xml:space="preserve"> and </w:t>
      </w:r>
      <w:proofErr w:type="spellStart"/>
      <w:r w:rsidRPr="00FB256F">
        <w:rPr>
          <w:rFonts w:asciiTheme="minorHAnsi" w:hAnsiTheme="minorHAnsi" w:cs="Calibri"/>
          <w:sz w:val="24"/>
          <w:szCs w:val="24"/>
        </w:rPr>
        <w:t>ELEYS</w:t>
      </w:r>
      <w:proofErr w:type="spellEnd"/>
      <w:r w:rsidRPr="00FB256F">
        <w:rPr>
          <w:rFonts w:asciiTheme="minorHAnsi" w:hAnsiTheme="minorHAnsi" w:cs="Calibri"/>
          <w:sz w:val="24"/>
          <w:szCs w:val="24"/>
        </w:rPr>
        <w:t xml:space="preserve"> </w:t>
      </w:r>
      <w:r w:rsidRPr="00FB256F">
        <w:rPr>
          <w:rFonts w:asciiTheme="minorHAnsi" w:hAnsiTheme="minorHAnsi" w:cs="Calibri"/>
          <w:noProof/>
          <w:sz w:val="24"/>
          <w:szCs w:val="24"/>
        </w:rPr>
        <w:t>(Siraj-Blatchford &amp; Manni, 2007)</w:t>
      </w:r>
      <w:r w:rsidRPr="00FB256F">
        <w:rPr>
          <w:rFonts w:asciiTheme="minorHAnsi" w:hAnsiTheme="minorHAnsi" w:cs="Calibri"/>
          <w:sz w:val="24"/>
          <w:szCs w:val="24"/>
        </w:rPr>
        <w:t xml:space="preserve"> studies testify to a core of qualified early childhood teachers and strong pedagogical and service leadership providing platform from which quality </w:t>
      </w:r>
      <w:proofErr w:type="spellStart"/>
      <w:r w:rsidRPr="00FB256F">
        <w:rPr>
          <w:rFonts w:asciiTheme="minorHAnsi" w:hAnsiTheme="minorHAnsi" w:cs="Calibri"/>
          <w:sz w:val="24"/>
          <w:szCs w:val="24"/>
        </w:rPr>
        <w:t>ECEC</w:t>
      </w:r>
      <w:proofErr w:type="spellEnd"/>
      <w:r w:rsidRPr="00FB256F">
        <w:rPr>
          <w:rFonts w:asciiTheme="minorHAnsi" w:hAnsiTheme="minorHAnsi" w:cs="Calibri"/>
          <w:sz w:val="24"/>
          <w:szCs w:val="24"/>
        </w:rPr>
        <w:t xml:space="preserve"> can be provided. Targeting the top end of the workforce requiring a core of early childhood teachers in each service</w:t>
      </w:r>
      <w:r w:rsidR="00F05B98">
        <w:rPr>
          <w:rFonts w:asciiTheme="minorHAnsi" w:hAnsiTheme="minorHAnsi" w:cs="Calibri"/>
          <w:sz w:val="24"/>
          <w:szCs w:val="24"/>
        </w:rPr>
        <w:t>,</w:t>
      </w:r>
      <w:r w:rsidRPr="00FB256F">
        <w:rPr>
          <w:rFonts w:asciiTheme="minorHAnsi" w:hAnsiTheme="minorHAnsi" w:cs="Calibri"/>
          <w:sz w:val="24"/>
          <w:szCs w:val="24"/>
        </w:rPr>
        <w:t xml:space="preserve"> and providing professional development opportunities in leadership will more effectively lead to sustained quality improvements across the sector. </w:t>
      </w:r>
    </w:p>
    <w:p w:rsidR="003A1D36" w:rsidRPr="00FB256F" w:rsidRDefault="003A1D36" w:rsidP="00FB256F">
      <w:pPr>
        <w:jc w:val="both"/>
        <w:rPr>
          <w:rFonts w:asciiTheme="minorHAnsi" w:hAnsiTheme="minorHAnsi" w:cs="Calibri"/>
          <w:sz w:val="24"/>
          <w:szCs w:val="24"/>
          <w:u w:val="single"/>
        </w:rPr>
      </w:pPr>
    </w:p>
    <w:p w:rsidR="003A1D36" w:rsidRDefault="00FB256F" w:rsidP="00FB256F">
      <w:pPr>
        <w:jc w:val="both"/>
        <w:rPr>
          <w:rFonts w:asciiTheme="minorHAnsi" w:hAnsiTheme="minorHAnsi"/>
          <w:i/>
          <w:iCs/>
          <w:sz w:val="24"/>
          <w:szCs w:val="24"/>
        </w:rPr>
      </w:pPr>
      <w:r w:rsidRPr="00FB256F">
        <w:rPr>
          <w:rFonts w:asciiTheme="minorHAnsi" w:hAnsiTheme="minorHAnsi"/>
          <w:i/>
          <w:iCs/>
          <w:sz w:val="24"/>
          <w:szCs w:val="24"/>
        </w:rPr>
        <w:t xml:space="preserve">Teacher-qualified educators </w:t>
      </w:r>
    </w:p>
    <w:p w:rsidR="003A1D36" w:rsidRDefault="003A1D36" w:rsidP="00FB256F">
      <w:pPr>
        <w:jc w:val="both"/>
        <w:rPr>
          <w:rFonts w:asciiTheme="minorHAnsi" w:hAnsiTheme="minorHAnsi"/>
          <w:i/>
          <w:iCs/>
          <w:sz w:val="24"/>
          <w:szCs w:val="24"/>
        </w:rPr>
      </w:pPr>
    </w:p>
    <w:p w:rsidR="00FB256F" w:rsidRDefault="00FB256F" w:rsidP="00FB7249">
      <w:pPr>
        <w:jc w:val="both"/>
        <w:rPr>
          <w:rFonts w:asciiTheme="minorHAnsi" w:hAnsiTheme="minorHAnsi"/>
          <w:sz w:val="24"/>
          <w:szCs w:val="24"/>
        </w:rPr>
      </w:pPr>
      <w:r w:rsidRPr="00FB256F">
        <w:rPr>
          <w:rFonts w:asciiTheme="minorHAnsi" w:hAnsiTheme="minorHAnsi"/>
          <w:sz w:val="24"/>
          <w:szCs w:val="24"/>
        </w:rPr>
        <w:t xml:space="preserve">Staff qualifications have a significant impact on education outcomes for children. </w:t>
      </w:r>
      <w:r w:rsidR="00F05B98">
        <w:rPr>
          <w:rFonts w:asciiTheme="minorHAnsi" w:hAnsiTheme="minorHAnsi"/>
          <w:sz w:val="24"/>
          <w:szCs w:val="24"/>
        </w:rPr>
        <w:t>Having t</w:t>
      </w:r>
      <w:r w:rsidRPr="00FB256F">
        <w:rPr>
          <w:rFonts w:asciiTheme="minorHAnsi" w:hAnsiTheme="minorHAnsi"/>
          <w:sz w:val="24"/>
          <w:szCs w:val="24"/>
        </w:rPr>
        <w:t>eachers in early childhood education and care settings result</w:t>
      </w:r>
      <w:r w:rsidR="00F05B98">
        <w:rPr>
          <w:rFonts w:asciiTheme="minorHAnsi" w:hAnsiTheme="minorHAnsi"/>
          <w:sz w:val="24"/>
          <w:szCs w:val="24"/>
        </w:rPr>
        <w:t>s</w:t>
      </w:r>
      <w:r w:rsidRPr="00FB256F">
        <w:rPr>
          <w:rFonts w:asciiTheme="minorHAnsi" w:hAnsiTheme="minorHAnsi"/>
          <w:sz w:val="24"/>
          <w:szCs w:val="24"/>
        </w:rPr>
        <w:t xml:space="preserve"> in high quality education experiences for children, in turn preparing children to take their place as efficient and productive members of society. Research demonstrates that the quality of these educational experiences is directly related to the quality of the children’s educators (see for example </w:t>
      </w:r>
      <w:r w:rsidRPr="00FB256F">
        <w:rPr>
          <w:rFonts w:asciiTheme="minorHAnsi" w:hAnsiTheme="minorHAnsi"/>
          <w:noProof/>
          <w:sz w:val="24"/>
          <w:szCs w:val="24"/>
        </w:rPr>
        <w:t>(Administration for Children and Families. U.S. Department of Health &amp; Human Services, 2002, June; Barnett, 2003, March; Burchinal, Cryer, Clifford, &amp; Howes, 2002; Burchinal et al., 2000; Howes, 1997; Whitebook, 2003)</w:t>
      </w:r>
      <w:r w:rsidRPr="00FB256F">
        <w:rPr>
          <w:rFonts w:asciiTheme="minorHAnsi" w:hAnsiTheme="minorHAnsi"/>
          <w:sz w:val="24"/>
          <w:szCs w:val="24"/>
        </w:rPr>
        <w:t>.</w:t>
      </w:r>
      <w:r w:rsidR="003A1D36">
        <w:rPr>
          <w:rFonts w:asciiTheme="minorHAnsi" w:hAnsiTheme="minorHAnsi"/>
          <w:sz w:val="24"/>
          <w:szCs w:val="24"/>
        </w:rPr>
        <w:t xml:space="preserve"> </w:t>
      </w:r>
      <w:r w:rsidRPr="00FB256F">
        <w:rPr>
          <w:rFonts w:asciiTheme="minorHAnsi" w:hAnsiTheme="minorHAnsi"/>
          <w:sz w:val="24"/>
          <w:szCs w:val="24"/>
        </w:rPr>
        <w:t>The provision of teachers</w:t>
      </w:r>
      <w:r w:rsidR="0082760C">
        <w:rPr>
          <w:rFonts w:asciiTheme="minorHAnsi" w:hAnsiTheme="minorHAnsi"/>
          <w:sz w:val="24"/>
          <w:szCs w:val="24"/>
        </w:rPr>
        <w:t xml:space="preserve"> educated in best practice for teaching children from birth to formal school age</w:t>
      </w:r>
      <w:r w:rsidRPr="00FB256F">
        <w:rPr>
          <w:rFonts w:asciiTheme="minorHAnsi" w:hAnsiTheme="minorHAnsi"/>
          <w:sz w:val="24"/>
          <w:szCs w:val="24"/>
        </w:rPr>
        <w:t xml:space="preserve"> in early childhood settings is essential.</w:t>
      </w:r>
    </w:p>
    <w:p w:rsidR="003A1D36" w:rsidRPr="00FB256F" w:rsidRDefault="003A1D36" w:rsidP="00FB256F">
      <w:pPr>
        <w:jc w:val="both"/>
        <w:rPr>
          <w:rFonts w:asciiTheme="minorHAnsi" w:hAnsiTheme="minorHAnsi"/>
          <w:sz w:val="24"/>
          <w:szCs w:val="24"/>
        </w:rPr>
      </w:pPr>
    </w:p>
    <w:p w:rsidR="00FB256F" w:rsidRDefault="00FB256F" w:rsidP="00FB256F">
      <w:pPr>
        <w:jc w:val="both"/>
        <w:rPr>
          <w:rFonts w:asciiTheme="minorHAnsi" w:hAnsiTheme="minorHAnsi"/>
          <w:sz w:val="24"/>
          <w:szCs w:val="24"/>
        </w:rPr>
      </w:pPr>
      <w:r w:rsidRPr="00FB256F">
        <w:rPr>
          <w:rFonts w:asciiTheme="minorHAnsi" w:hAnsiTheme="minorHAnsi"/>
          <w:sz w:val="24"/>
          <w:szCs w:val="24"/>
        </w:rPr>
        <w:t>Teachers in early childhood settings make possible better literacy, numeracy and information technology outcomes for children. Such outcomes better position children to take their place as productive and innovative members of society.</w:t>
      </w:r>
    </w:p>
    <w:p w:rsidR="003A1D36" w:rsidRPr="00FB256F" w:rsidRDefault="003A1D36" w:rsidP="00FB256F">
      <w:pPr>
        <w:jc w:val="both"/>
        <w:rPr>
          <w:rFonts w:asciiTheme="minorHAnsi" w:hAnsiTheme="minorHAnsi"/>
          <w:sz w:val="24"/>
          <w:szCs w:val="24"/>
        </w:rPr>
      </w:pPr>
    </w:p>
    <w:p w:rsidR="00FB256F" w:rsidRDefault="00FB256F" w:rsidP="00FB256F">
      <w:pPr>
        <w:jc w:val="both"/>
        <w:rPr>
          <w:rFonts w:asciiTheme="minorHAnsi" w:hAnsiTheme="minorHAnsi"/>
          <w:sz w:val="24"/>
          <w:szCs w:val="24"/>
        </w:rPr>
      </w:pPr>
      <w:r w:rsidRPr="00FB256F">
        <w:rPr>
          <w:rFonts w:asciiTheme="minorHAnsi" w:hAnsiTheme="minorHAnsi"/>
          <w:sz w:val="24"/>
          <w:szCs w:val="24"/>
        </w:rPr>
        <w:t>Good teaching requires good knowledge of learners and what is learnt. Teachers’ greater understanding of children and their learning is instrumental in the provision of high quality curriculum. Central to the realisation of this curriculum is teachers’ ability to assess children’s learning and communicate this to families. In turn, this knowledge facilitates ongoing refinement of education experiences and ultimately, productive, knowledgeable and innovative members of society.</w:t>
      </w:r>
    </w:p>
    <w:p w:rsidR="003A1D36" w:rsidRPr="00FB256F" w:rsidRDefault="003A1D36" w:rsidP="00FB256F">
      <w:pPr>
        <w:jc w:val="both"/>
        <w:rPr>
          <w:rFonts w:asciiTheme="minorHAnsi" w:hAnsiTheme="minorHAnsi"/>
          <w:sz w:val="24"/>
          <w:szCs w:val="24"/>
        </w:rPr>
      </w:pPr>
    </w:p>
    <w:p w:rsidR="00FB256F" w:rsidRPr="00FB256F" w:rsidRDefault="00FB256F" w:rsidP="00FB256F">
      <w:pPr>
        <w:jc w:val="both"/>
        <w:rPr>
          <w:rFonts w:asciiTheme="minorHAnsi" w:hAnsiTheme="minorHAnsi"/>
          <w:sz w:val="24"/>
          <w:szCs w:val="24"/>
        </w:rPr>
      </w:pPr>
      <w:r w:rsidRPr="00FB256F">
        <w:rPr>
          <w:rFonts w:asciiTheme="minorHAnsi" w:hAnsiTheme="minorHAnsi"/>
          <w:sz w:val="24"/>
          <w:szCs w:val="24"/>
        </w:rPr>
        <w:t xml:space="preserve">Ongoing professional learning of educators is essential for ongoing quality of children’s educational experiences. Teachers in early childhood settings are able to take carriage of such endeavours. </w:t>
      </w:r>
    </w:p>
    <w:p w:rsidR="00FB256F" w:rsidRPr="00FB256F" w:rsidRDefault="00FB256F" w:rsidP="00FB256F">
      <w:pPr>
        <w:jc w:val="both"/>
        <w:rPr>
          <w:rFonts w:asciiTheme="minorHAnsi" w:hAnsiTheme="minorHAnsi"/>
          <w:sz w:val="24"/>
          <w:szCs w:val="24"/>
        </w:rPr>
      </w:pPr>
    </w:p>
    <w:p w:rsidR="00FB256F" w:rsidRPr="009234F6" w:rsidRDefault="00FB256F" w:rsidP="00FB256F">
      <w:pPr>
        <w:shd w:val="clear" w:color="auto" w:fill="FFFFFF"/>
        <w:spacing w:before="100" w:beforeAutospacing="1" w:after="100" w:afterAutospacing="1"/>
        <w:jc w:val="both"/>
        <w:rPr>
          <w:rFonts w:asciiTheme="minorHAnsi" w:hAnsiTheme="minorHAnsi" w:cs="Arial"/>
          <w:b/>
          <w:bCs/>
          <w:i/>
          <w:color w:val="222222"/>
          <w:sz w:val="24"/>
          <w:szCs w:val="24"/>
        </w:rPr>
      </w:pPr>
      <w:r w:rsidRPr="009234F6">
        <w:rPr>
          <w:rFonts w:asciiTheme="minorHAnsi" w:hAnsiTheme="minorHAnsi" w:cs="Arial"/>
          <w:b/>
          <w:bCs/>
          <w:i/>
          <w:color w:val="222222"/>
          <w:sz w:val="24"/>
          <w:szCs w:val="24"/>
        </w:rPr>
        <w:lastRenderedPageBreak/>
        <w:t>3.</w:t>
      </w:r>
      <w:r w:rsidR="009234F6" w:rsidRPr="009234F6">
        <w:rPr>
          <w:rFonts w:asciiTheme="minorHAnsi" w:hAnsiTheme="minorHAnsi"/>
          <w:b/>
          <w:bCs/>
          <w:i/>
          <w:color w:val="222222"/>
          <w:sz w:val="24"/>
          <w:szCs w:val="24"/>
        </w:rPr>
        <w:t> </w:t>
      </w:r>
      <w:r w:rsidRPr="009234F6">
        <w:rPr>
          <w:rFonts w:asciiTheme="minorHAnsi" w:hAnsiTheme="minorHAnsi" w:cs="Arial"/>
          <w:b/>
          <w:bCs/>
          <w:i/>
          <w:color w:val="222222"/>
          <w:sz w:val="24"/>
          <w:szCs w:val="24"/>
        </w:rPr>
        <w:t xml:space="preserve">Access to high quality </w:t>
      </w:r>
      <w:proofErr w:type="spellStart"/>
      <w:r w:rsidRPr="009234F6">
        <w:rPr>
          <w:rFonts w:asciiTheme="minorHAnsi" w:hAnsiTheme="minorHAnsi" w:cs="Arial"/>
          <w:b/>
          <w:bCs/>
          <w:i/>
          <w:color w:val="222222"/>
          <w:sz w:val="24"/>
          <w:szCs w:val="24"/>
        </w:rPr>
        <w:t>ECE</w:t>
      </w:r>
      <w:proofErr w:type="spellEnd"/>
      <w:r w:rsidRPr="009234F6">
        <w:rPr>
          <w:rFonts w:asciiTheme="minorHAnsi" w:hAnsiTheme="minorHAnsi" w:cs="Arial"/>
          <w:b/>
          <w:bCs/>
          <w:i/>
          <w:color w:val="222222"/>
          <w:sz w:val="24"/>
          <w:szCs w:val="24"/>
        </w:rPr>
        <w:t xml:space="preserve"> must be equitable</w:t>
      </w:r>
    </w:p>
    <w:p w:rsidR="00FB256F" w:rsidRPr="00FB256F" w:rsidRDefault="00FB256F" w:rsidP="00FB256F">
      <w:pPr>
        <w:shd w:val="clear" w:color="auto" w:fill="FFFFFF"/>
        <w:spacing w:before="100" w:beforeAutospacing="1" w:after="100" w:afterAutospacing="1"/>
        <w:jc w:val="both"/>
        <w:rPr>
          <w:rFonts w:asciiTheme="minorHAnsi" w:hAnsiTheme="minorHAnsi" w:cs="Arial"/>
          <w:color w:val="222222"/>
          <w:sz w:val="24"/>
          <w:szCs w:val="24"/>
        </w:rPr>
      </w:pPr>
      <w:r w:rsidRPr="00FB256F">
        <w:rPr>
          <w:rFonts w:asciiTheme="minorHAnsi" w:hAnsiTheme="minorHAnsi" w:cs="Arial"/>
          <w:color w:val="222222"/>
          <w:sz w:val="24"/>
          <w:szCs w:val="24"/>
        </w:rPr>
        <w:t xml:space="preserve">Data on the participation rates of children in </w:t>
      </w:r>
      <w:proofErr w:type="spellStart"/>
      <w:r w:rsidRPr="00FB256F">
        <w:rPr>
          <w:rFonts w:asciiTheme="minorHAnsi" w:hAnsiTheme="minorHAnsi" w:cs="Arial"/>
          <w:color w:val="222222"/>
          <w:sz w:val="24"/>
          <w:szCs w:val="24"/>
        </w:rPr>
        <w:t>ECE</w:t>
      </w:r>
      <w:proofErr w:type="spellEnd"/>
      <w:r w:rsidRPr="00FB256F">
        <w:rPr>
          <w:rFonts w:asciiTheme="minorHAnsi" w:hAnsiTheme="minorHAnsi" w:cs="Arial"/>
          <w:color w:val="222222"/>
          <w:sz w:val="24"/>
          <w:szCs w:val="24"/>
        </w:rPr>
        <w:t xml:space="preserve"> settings clearly show that children in disadvantaged groups are underrepresented </w:t>
      </w:r>
      <w:r w:rsidRPr="00FB256F">
        <w:rPr>
          <w:rFonts w:asciiTheme="minorHAnsi" w:hAnsiTheme="minorHAnsi" w:cs="Arial"/>
          <w:noProof/>
          <w:color w:val="222222"/>
          <w:sz w:val="24"/>
          <w:szCs w:val="24"/>
        </w:rPr>
        <w:t>(Brennan &amp; Fenech, 2014; Steering Committee for the Review of Government Service Provision, 2014)</w:t>
      </w:r>
      <w:r w:rsidRPr="00FB256F">
        <w:rPr>
          <w:rFonts w:asciiTheme="minorHAnsi" w:hAnsiTheme="minorHAnsi" w:cs="Arial"/>
          <w:color w:val="222222"/>
          <w:sz w:val="24"/>
          <w:szCs w:val="24"/>
        </w:rPr>
        <w:t>.</w:t>
      </w:r>
    </w:p>
    <w:p w:rsidR="00FB256F" w:rsidRPr="00FB256F" w:rsidRDefault="00FB256F" w:rsidP="00FB256F">
      <w:pPr>
        <w:shd w:val="clear" w:color="auto" w:fill="FFFFFF"/>
        <w:spacing w:before="100" w:beforeAutospacing="1" w:after="100" w:afterAutospacing="1"/>
        <w:jc w:val="both"/>
        <w:rPr>
          <w:rFonts w:asciiTheme="minorHAnsi" w:hAnsiTheme="minorHAnsi" w:cs="Arial"/>
          <w:color w:val="222222"/>
          <w:sz w:val="24"/>
          <w:szCs w:val="24"/>
        </w:rPr>
      </w:pPr>
      <w:r w:rsidRPr="00FB256F">
        <w:rPr>
          <w:rFonts w:asciiTheme="minorHAnsi" w:hAnsiTheme="minorHAnsi" w:cs="Arial"/>
          <w:color w:val="222222"/>
          <w:sz w:val="24"/>
          <w:szCs w:val="24"/>
        </w:rPr>
        <w:t xml:space="preserve">High quality </w:t>
      </w:r>
      <w:proofErr w:type="spellStart"/>
      <w:r w:rsidRPr="00FB256F">
        <w:rPr>
          <w:rFonts w:asciiTheme="minorHAnsi" w:hAnsiTheme="minorHAnsi" w:cs="Arial"/>
          <w:color w:val="222222"/>
          <w:sz w:val="24"/>
          <w:szCs w:val="24"/>
        </w:rPr>
        <w:t>ECE</w:t>
      </w:r>
      <w:proofErr w:type="spellEnd"/>
      <w:r w:rsidRPr="00FB256F">
        <w:rPr>
          <w:rFonts w:asciiTheme="minorHAnsi" w:hAnsiTheme="minorHAnsi" w:cs="Arial"/>
          <w:color w:val="222222"/>
          <w:sz w:val="24"/>
          <w:szCs w:val="24"/>
        </w:rPr>
        <w:t xml:space="preserve"> must be accessible and affordable for all families, irrespective of a child’s age (not just for 4 year olds; learning starts from birth), cultural background, learning needs, and family income and location.</w:t>
      </w:r>
    </w:p>
    <w:p w:rsidR="00FB256F" w:rsidRPr="00FB256F" w:rsidRDefault="00FB256F" w:rsidP="00FB256F">
      <w:pPr>
        <w:jc w:val="both"/>
        <w:rPr>
          <w:rFonts w:asciiTheme="minorHAnsi" w:hAnsiTheme="minorHAnsi"/>
          <w:sz w:val="24"/>
          <w:szCs w:val="24"/>
        </w:rPr>
      </w:pPr>
      <w:r w:rsidRPr="00FB256F">
        <w:rPr>
          <w:rFonts w:asciiTheme="minorHAnsi" w:hAnsiTheme="minorHAnsi" w:cs="Arial"/>
          <w:color w:val="222222"/>
          <w:sz w:val="24"/>
          <w:szCs w:val="24"/>
        </w:rPr>
        <w:t xml:space="preserve">Contrary to its intended function the </w:t>
      </w:r>
      <w:proofErr w:type="spellStart"/>
      <w:r w:rsidRPr="00FB256F">
        <w:rPr>
          <w:rFonts w:asciiTheme="minorHAnsi" w:hAnsiTheme="minorHAnsi" w:cs="Arial"/>
          <w:color w:val="222222"/>
          <w:sz w:val="24"/>
          <w:szCs w:val="24"/>
        </w:rPr>
        <w:t>NQF</w:t>
      </w:r>
      <w:proofErr w:type="spellEnd"/>
      <w:r w:rsidRPr="00FB256F">
        <w:rPr>
          <w:rFonts w:asciiTheme="minorHAnsi" w:hAnsiTheme="minorHAnsi" w:cs="Arial"/>
          <w:color w:val="222222"/>
          <w:sz w:val="24"/>
          <w:szCs w:val="24"/>
        </w:rPr>
        <w:t xml:space="preserve"> is not </w:t>
      </w:r>
      <w:r w:rsidRPr="00FB256F">
        <w:rPr>
          <w:rFonts w:asciiTheme="minorHAnsi" w:hAnsiTheme="minorHAnsi"/>
          <w:sz w:val="24"/>
          <w:szCs w:val="24"/>
        </w:rPr>
        <w:t xml:space="preserve">a uniform national system of regulation and quality assurance. Notably, disparities in </w:t>
      </w:r>
      <w:proofErr w:type="spellStart"/>
      <w:r w:rsidRPr="00FB256F">
        <w:rPr>
          <w:rFonts w:asciiTheme="minorHAnsi" w:hAnsiTheme="minorHAnsi"/>
          <w:sz w:val="24"/>
          <w:szCs w:val="24"/>
        </w:rPr>
        <w:t>staff:child</w:t>
      </w:r>
      <w:proofErr w:type="spellEnd"/>
      <w:r w:rsidRPr="00FB256F">
        <w:rPr>
          <w:rFonts w:asciiTheme="minorHAnsi" w:hAnsiTheme="minorHAnsi"/>
          <w:sz w:val="24"/>
          <w:szCs w:val="24"/>
        </w:rPr>
        <w:t xml:space="preserve"> ratios and teacher qualifications means that children in different states and territories, and those attending centres licensed for different numbers of children, will have varying access to settings with robust ratio and teacher quality standards </w:t>
      </w:r>
      <w:r w:rsidRPr="00FB256F">
        <w:rPr>
          <w:rFonts w:asciiTheme="minorHAnsi" w:hAnsiTheme="minorHAnsi"/>
          <w:noProof/>
          <w:sz w:val="24"/>
          <w:szCs w:val="24"/>
        </w:rPr>
        <w:t>(Fenech, Giugni, &amp; Bown, 2012)</w:t>
      </w:r>
      <w:r w:rsidRPr="00FB256F">
        <w:rPr>
          <w:rFonts w:asciiTheme="minorHAnsi" w:hAnsiTheme="minorHAnsi"/>
          <w:sz w:val="24"/>
          <w:szCs w:val="24"/>
        </w:rPr>
        <w:t xml:space="preserve">. </w:t>
      </w:r>
    </w:p>
    <w:p w:rsidR="00FB256F" w:rsidRPr="00FB256F" w:rsidRDefault="00FB256F" w:rsidP="00FB256F">
      <w:pPr>
        <w:shd w:val="clear" w:color="auto" w:fill="FFFFFF"/>
        <w:spacing w:before="100" w:beforeAutospacing="1" w:after="100" w:afterAutospacing="1"/>
        <w:jc w:val="both"/>
        <w:rPr>
          <w:rFonts w:asciiTheme="minorHAnsi" w:hAnsiTheme="minorHAnsi" w:cs="Arial"/>
          <w:color w:val="222222"/>
          <w:sz w:val="24"/>
          <w:szCs w:val="24"/>
        </w:rPr>
      </w:pPr>
    </w:p>
    <w:p w:rsidR="00FB256F" w:rsidRPr="00FB256F" w:rsidRDefault="00FB256F" w:rsidP="00FB256F">
      <w:pPr>
        <w:shd w:val="clear" w:color="auto" w:fill="FFFFFF"/>
        <w:jc w:val="both"/>
        <w:rPr>
          <w:rFonts w:asciiTheme="minorHAnsi" w:hAnsiTheme="minorHAnsi"/>
          <w:b/>
          <w:bCs/>
          <w:i/>
          <w:iCs/>
          <w:sz w:val="24"/>
          <w:szCs w:val="24"/>
        </w:rPr>
      </w:pPr>
      <w:r w:rsidRPr="00FB256F">
        <w:rPr>
          <w:rFonts w:asciiTheme="minorHAnsi" w:hAnsiTheme="minorHAnsi"/>
          <w:color w:val="222222"/>
          <w:sz w:val="24"/>
          <w:szCs w:val="24"/>
        </w:rPr>
        <w:t> </w:t>
      </w:r>
      <w:r w:rsidRPr="00FB256F">
        <w:rPr>
          <w:rFonts w:asciiTheme="minorHAnsi" w:hAnsiTheme="minorHAnsi"/>
          <w:b/>
          <w:bCs/>
          <w:i/>
          <w:iCs/>
          <w:sz w:val="24"/>
          <w:szCs w:val="24"/>
        </w:rPr>
        <w:t xml:space="preserve">4. </w:t>
      </w:r>
      <w:proofErr w:type="spellStart"/>
      <w:r w:rsidRPr="00FB256F">
        <w:rPr>
          <w:rFonts w:asciiTheme="minorHAnsi" w:hAnsiTheme="minorHAnsi"/>
          <w:b/>
          <w:bCs/>
          <w:i/>
          <w:iCs/>
          <w:sz w:val="24"/>
          <w:szCs w:val="24"/>
        </w:rPr>
        <w:t>ECE</w:t>
      </w:r>
      <w:proofErr w:type="spellEnd"/>
      <w:r w:rsidRPr="00FB256F">
        <w:rPr>
          <w:rFonts w:asciiTheme="minorHAnsi" w:hAnsiTheme="minorHAnsi"/>
          <w:b/>
          <w:bCs/>
          <w:i/>
          <w:iCs/>
          <w:sz w:val="24"/>
          <w:szCs w:val="24"/>
        </w:rPr>
        <w:t xml:space="preserve"> policy must build a national system of high quality </w:t>
      </w:r>
      <w:proofErr w:type="spellStart"/>
      <w:r w:rsidRPr="00FB256F">
        <w:rPr>
          <w:rFonts w:asciiTheme="minorHAnsi" w:hAnsiTheme="minorHAnsi"/>
          <w:b/>
          <w:bCs/>
          <w:i/>
          <w:iCs/>
          <w:sz w:val="24"/>
          <w:szCs w:val="24"/>
        </w:rPr>
        <w:t>ECE</w:t>
      </w:r>
      <w:proofErr w:type="spellEnd"/>
      <w:r w:rsidRPr="00FB256F">
        <w:rPr>
          <w:rFonts w:asciiTheme="minorHAnsi" w:hAnsiTheme="minorHAnsi"/>
          <w:b/>
          <w:bCs/>
          <w:i/>
          <w:iCs/>
          <w:sz w:val="24"/>
          <w:szCs w:val="24"/>
        </w:rPr>
        <w:t>, not just aim to lift the standard of quality of individual centres</w:t>
      </w:r>
    </w:p>
    <w:p w:rsidR="00FB256F" w:rsidRPr="00FB256F" w:rsidRDefault="00FB256F" w:rsidP="00FB256F">
      <w:pPr>
        <w:pStyle w:val="xoverviewfo"/>
        <w:pBdr>
          <w:top w:val="none" w:sz="0" w:space="0" w:color="auto"/>
          <w:left w:val="none" w:sz="0" w:space="0" w:color="auto"/>
          <w:bottom w:val="none" w:sz="0" w:space="0" w:color="auto"/>
          <w:right w:val="none" w:sz="0" w:space="0" w:color="auto"/>
        </w:pBdr>
        <w:jc w:val="both"/>
        <w:rPr>
          <w:rFonts w:asciiTheme="minorHAnsi" w:hAnsiTheme="minorHAnsi"/>
          <w:sz w:val="24"/>
        </w:rPr>
      </w:pPr>
    </w:p>
    <w:p w:rsidR="00FB256F" w:rsidRPr="00FB256F" w:rsidRDefault="00FB256F" w:rsidP="00FB256F">
      <w:pPr>
        <w:pStyle w:val="xoverviewfo"/>
        <w:pBdr>
          <w:top w:val="none" w:sz="0" w:space="0" w:color="auto"/>
          <w:left w:val="none" w:sz="0" w:space="0" w:color="auto"/>
          <w:bottom w:val="none" w:sz="0" w:space="0" w:color="auto"/>
          <w:right w:val="none" w:sz="0" w:space="0" w:color="auto"/>
        </w:pBdr>
        <w:jc w:val="both"/>
        <w:rPr>
          <w:rFonts w:asciiTheme="minorHAnsi" w:hAnsiTheme="minorHAnsi"/>
          <w:sz w:val="24"/>
        </w:rPr>
      </w:pPr>
      <w:r w:rsidRPr="00FB256F">
        <w:rPr>
          <w:rFonts w:asciiTheme="minorHAnsi" w:hAnsiTheme="minorHAnsi"/>
          <w:sz w:val="24"/>
        </w:rPr>
        <w:t xml:space="preserve">The </w:t>
      </w:r>
      <w:proofErr w:type="spellStart"/>
      <w:r w:rsidRPr="00FB256F">
        <w:rPr>
          <w:rFonts w:asciiTheme="minorHAnsi" w:hAnsiTheme="minorHAnsi"/>
          <w:sz w:val="24"/>
        </w:rPr>
        <w:t>NQF</w:t>
      </w:r>
      <w:proofErr w:type="spellEnd"/>
      <w:r w:rsidRPr="00FB256F">
        <w:rPr>
          <w:rFonts w:asciiTheme="minorHAnsi" w:hAnsiTheme="minorHAnsi"/>
          <w:sz w:val="24"/>
        </w:rPr>
        <w:t xml:space="preserve">, and indeed COAG’s quality reform agenda, is characterised by its emphasis on lifting the quality of </w:t>
      </w:r>
      <w:r w:rsidRPr="00FB256F">
        <w:rPr>
          <w:rFonts w:asciiTheme="minorHAnsi" w:hAnsiTheme="minorHAnsi"/>
          <w:i/>
          <w:sz w:val="24"/>
        </w:rPr>
        <w:t>individual</w:t>
      </w:r>
      <w:r w:rsidRPr="00FB256F">
        <w:rPr>
          <w:rFonts w:asciiTheme="minorHAnsi" w:hAnsiTheme="minorHAnsi"/>
          <w:sz w:val="24"/>
        </w:rPr>
        <w:t xml:space="preserve"> </w:t>
      </w:r>
      <w:r w:rsidRPr="00FB256F">
        <w:rPr>
          <w:rFonts w:asciiTheme="minorHAnsi" w:hAnsiTheme="minorHAnsi"/>
          <w:iCs/>
          <w:sz w:val="24"/>
        </w:rPr>
        <w:t>services</w:t>
      </w:r>
      <w:r w:rsidRPr="00FB256F">
        <w:rPr>
          <w:rFonts w:asciiTheme="minorHAnsi" w:hAnsiTheme="minorHAnsi"/>
          <w:sz w:val="24"/>
        </w:rPr>
        <w:t xml:space="preserve"> rather than the quality of the </w:t>
      </w:r>
      <w:r w:rsidRPr="00FB256F">
        <w:rPr>
          <w:rFonts w:asciiTheme="minorHAnsi" w:hAnsiTheme="minorHAnsi"/>
          <w:i/>
          <w:iCs/>
          <w:sz w:val="24"/>
        </w:rPr>
        <w:t>system</w:t>
      </w:r>
      <w:r w:rsidRPr="00FB256F">
        <w:rPr>
          <w:rFonts w:asciiTheme="minorHAnsi" w:hAnsiTheme="minorHAnsi"/>
          <w:sz w:val="24"/>
        </w:rPr>
        <w:t xml:space="preserve"> as a whole </w:t>
      </w:r>
      <w:r w:rsidRPr="00FB256F">
        <w:rPr>
          <w:rFonts w:asciiTheme="minorHAnsi" w:hAnsiTheme="minorHAnsi"/>
          <w:noProof/>
          <w:sz w:val="24"/>
        </w:rPr>
        <w:t>(Myers, 2006)</w:t>
      </w:r>
      <w:r w:rsidRPr="00FB256F">
        <w:rPr>
          <w:rFonts w:asciiTheme="minorHAnsi" w:hAnsiTheme="minorHAnsi"/>
          <w:sz w:val="24"/>
        </w:rPr>
        <w:t xml:space="preserve">. This ‘quality-through-regulation’ approach means, in practice, that the onus is on services to find ways to meet the new standards and improve the quality of the education and care they provide. Currently, the capacity of services to do this depends upon their resources, including the fees they are able to charge and the proportion of profits that are reinvested into the setting. An approach that focused on the quality of the </w:t>
      </w:r>
      <w:proofErr w:type="spellStart"/>
      <w:r w:rsidRPr="00FB256F">
        <w:rPr>
          <w:rFonts w:asciiTheme="minorHAnsi" w:hAnsiTheme="minorHAnsi"/>
          <w:sz w:val="24"/>
        </w:rPr>
        <w:t>ECE</w:t>
      </w:r>
      <w:proofErr w:type="spellEnd"/>
      <w:r w:rsidRPr="00FB256F">
        <w:rPr>
          <w:rFonts w:asciiTheme="minorHAnsi" w:hAnsiTheme="minorHAnsi"/>
          <w:sz w:val="24"/>
        </w:rPr>
        <w:t xml:space="preserve"> sector as a whole system would ensure that adequate funds were directly provided to centres to support quality standards and pay appropriate wages to </w:t>
      </w:r>
      <w:proofErr w:type="spellStart"/>
      <w:r w:rsidRPr="00FB256F">
        <w:rPr>
          <w:rFonts w:asciiTheme="minorHAnsi" w:hAnsiTheme="minorHAnsi"/>
          <w:sz w:val="24"/>
        </w:rPr>
        <w:t>ECE</w:t>
      </w:r>
      <w:proofErr w:type="spellEnd"/>
      <w:r w:rsidRPr="00FB256F">
        <w:rPr>
          <w:rFonts w:asciiTheme="minorHAnsi" w:hAnsiTheme="minorHAnsi"/>
          <w:sz w:val="24"/>
        </w:rPr>
        <w:t xml:space="preserve"> teachers and educators. </w:t>
      </w:r>
    </w:p>
    <w:p w:rsidR="00FB256F" w:rsidRPr="00FB256F" w:rsidRDefault="00FB256F" w:rsidP="00FB256F">
      <w:pPr>
        <w:jc w:val="both"/>
        <w:rPr>
          <w:rFonts w:asciiTheme="minorHAnsi" w:hAnsiTheme="minorHAnsi"/>
          <w:sz w:val="24"/>
          <w:szCs w:val="24"/>
        </w:rPr>
      </w:pPr>
    </w:p>
    <w:p w:rsidR="00FB256F" w:rsidRDefault="00FB256F" w:rsidP="00FB256F">
      <w:pPr>
        <w:jc w:val="both"/>
        <w:rPr>
          <w:rFonts w:asciiTheme="minorHAnsi" w:hAnsiTheme="minorHAnsi"/>
          <w:sz w:val="24"/>
          <w:szCs w:val="24"/>
        </w:rPr>
      </w:pPr>
      <w:r w:rsidRPr="00FB256F">
        <w:rPr>
          <w:rFonts w:asciiTheme="minorHAnsi" w:hAnsiTheme="minorHAnsi"/>
          <w:sz w:val="24"/>
          <w:szCs w:val="24"/>
        </w:rPr>
        <w:t xml:space="preserve">Building a national system of high quality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also involves:</w:t>
      </w:r>
    </w:p>
    <w:p w:rsidR="003A1D36" w:rsidRPr="00FB256F" w:rsidRDefault="003A1D36" w:rsidP="00FB256F">
      <w:pPr>
        <w:jc w:val="both"/>
        <w:rPr>
          <w:rFonts w:asciiTheme="minorHAnsi" w:hAnsiTheme="minorHAnsi"/>
          <w:sz w:val="24"/>
          <w:szCs w:val="24"/>
        </w:rPr>
      </w:pPr>
    </w:p>
    <w:p w:rsidR="00FB256F" w:rsidRDefault="00FB256F" w:rsidP="00FB256F">
      <w:pPr>
        <w:jc w:val="both"/>
        <w:rPr>
          <w:rFonts w:asciiTheme="minorHAnsi" w:hAnsiTheme="minorHAnsi"/>
          <w:sz w:val="24"/>
          <w:szCs w:val="24"/>
        </w:rPr>
      </w:pPr>
      <w:r w:rsidRPr="00FB256F">
        <w:rPr>
          <w:rFonts w:asciiTheme="minorHAnsi" w:hAnsiTheme="minorHAnsi"/>
          <w:i/>
          <w:iCs/>
          <w:sz w:val="24"/>
          <w:szCs w:val="24"/>
        </w:rPr>
        <w:t>(</w:t>
      </w:r>
      <w:proofErr w:type="spellStart"/>
      <w:r w:rsidRPr="00FB256F">
        <w:rPr>
          <w:rFonts w:asciiTheme="minorHAnsi" w:hAnsiTheme="minorHAnsi"/>
          <w:i/>
          <w:iCs/>
          <w:sz w:val="24"/>
          <w:szCs w:val="24"/>
        </w:rPr>
        <w:t>i</w:t>
      </w:r>
      <w:proofErr w:type="spellEnd"/>
      <w:r w:rsidRPr="00FB256F">
        <w:rPr>
          <w:rFonts w:asciiTheme="minorHAnsi" w:hAnsiTheme="minorHAnsi"/>
          <w:i/>
          <w:iCs/>
          <w:sz w:val="24"/>
          <w:szCs w:val="24"/>
        </w:rPr>
        <w:t>)</w:t>
      </w:r>
      <w:r w:rsidRPr="00FB256F">
        <w:rPr>
          <w:rFonts w:asciiTheme="minorHAnsi" w:hAnsiTheme="minorHAnsi"/>
          <w:sz w:val="24"/>
          <w:szCs w:val="24"/>
        </w:rPr>
        <w:t xml:space="preserve"> </w:t>
      </w:r>
      <w:r w:rsidRPr="00FB256F">
        <w:rPr>
          <w:rFonts w:asciiTheme="minorHAnsi" w:hAnsiTheme="minorHAnsi"/>
          <w:i/>
          <w:iCs/>
          <w:sz w:val="24"/>
          <w:szCs w:val="24"/>
        </w:rPr>
        <w:t xml:space="preserve">Addressing the longstanding </w:t>
      </w:r>
      <w:proofErr w:type="spellStart"/>
      <w:r w:rsidRPr="00FB256F">
        <w:rPr>
          <w:rFonts w:asciiTheme="minorHAnsi" w:hAnsiTheme="minorHAnsi"/>
          <w:i/>
          <w:iCs/>
          <w:sz w:val="24"/>
          <w:szCs w:val="24"/>
        </w:rPr>
        <w:t>education:care</w:t>
      </w:r>
      <w:proofErr w:type="spellEnd"/>
      <w:r w:rsidRPr="00FB256F">
        <w:rPr>
          <w:rFonts w:asciiTheme="minorHAnsi" w:hAnsiTheme="minorHAnsi"/>
          <w:i/>
          <w:iCs/>
          <w:sz w:val="24"/>
          <w:szCs w:val="24"/>
        </w:rPr>
        <w:t xml:space="preserve"> divide that diminishes the education value of long day care centres that do not offer structured learning programs traditionally offered by preschools</w:t>
      </w:r>
      <w:r w:rsidRPr="00FB256F">
        <w:rPr>
          <w:rFonts w:asciiTheme="minorHAnsi" w:hAnsiTheme="minorHAnsi"/>
          <w:sz w:val="24"/>
          <w:szCs w:val="24"/>
        </w:rPr>
        <w:t xml:space="preserve">. </w:t>
      </w:r>
    </w:p>
    <w:p w:rsidR="003A1D36" w:rsidRPr="00FB256F" w:rsidRDefault="003A1D36" w:rsidP="00FB256F">
      <w:pPr>
        <w:jc w:val="both"/>
        <w:rPr>
          <w:rFonts w:asciiTheme="minorHAnsi" w:hAnsiTheme="minorHAnsi"/>
          <w:sz w:val="24"/>
          <w:szCs w:val="24"/>
        </w:rPr>
      </w:pPr>
    </w:p>
    <w:p w:rsidR="00FB256F" w:rsidRDefault="00FB256F" w:rsidP="00BD0E1E">
      <w:pPr>
        <w:jc w:val="both"/>
        <w:rPr>
          <w:rFonts w:asciiTheme="minorHAnsi" w:hAnsiTheme="minorHAnsi"/>
          <w:sz w:val="24"/>
          <w:szCs w:val="24"/>
        </w:rPr>
      </w:pPr>
      <w:r w:rsidRPr="00FB256F">
        <w:rPr>
          <w:rFonts w:asciiTheme="minorHAnsi" w:hAnsiTheme="minorHAnsi"/>
          <w:sz w:val="24"/>
          <w:szCs w:val="24"/>
        </w:rPr>
        <w:t xml:space="preserve">The presumption held in the PC Issues Paper that long day care is about ‘care’ while preschool is about ‘education’ is an outdated approach and not in keeping with a substantial body of research that highlights the utility of play based learning for children’s learning and development </w:t>
      </w:r>
      <w:r w:rsidRPr="00FB256F">
        <w:rPr>
          <w:rFonts w:asciiTheme="minorHAnsi" w:hAnsiTheme="minorHAnsi" w:cs="Arial"/>
          <w:sz w:val="24"/>
          <w:szCs w:val="24"/>
        </w:rPr>
        <w:t>(</w:t>
      </w:r>
      <w:proofErr w:type="spellStart"/>
      <w:r w:rsidRPr="00FB256F">
        <w:rPr>
          <w:rFonts w:asciiTheme="minorHAnsi" w:hAnsiTheme="minorHAnsi" w:cs="Arial"/>
          <w:sz w:val="24"/>
          <w:szCs w:val="24"/>
        </w:rPr>
        <w:t>Bodrova</w:t>
      </w:r>
      <w:proofErr w:type="spellEnd"/>
      <w:r w:rsidRPr="00FB256F">
        <w:rPr>
          <w:rFonts w:asciiTheme="minorHAnsi" w:hAnsiTheme="minorHAnsi" w:cs="Arial"/>
          <w:sz w:val="24"/>
          <w:szCs w:val="24"/>
        </w:rPr>
        <w:t xml:space="preserve">, 2008; Dickinson, 2001; </w:t>
      </w:r>
      <w:proofErr w:type="spellStart"/>
      <w:r w:rsidRPr="00FB256F">
        <w:rPr>
          <w:rFonts w:asciiTheme="minorHAnsi" w:hAnsiTheme="minorHAnsi" w:cs="Arial"/>
          <w:sz w:val="24"/>
          <w:szCs w:val="24"/>
        </w:rPr>
        <w:t>Gmitrova</w:t>
      </w:r>
      <w:proofErr w:type="spellEnd"/>
      <w:r w:rsidRPr="00FB256F">
        <w:rPr>
          <w:rFonts w:asciiTheme="minorHAnsi" w:hAnsiTheme="minorHAnsi" w:cs="Arial"/>
          <w:sz w:val="24"/>
          <w:szCs w:val="24"/>
        </w:rPr>
        <w:t xml:space="preserve"> &amp; </w:t>
      </w:r>
      <w:proofErr w:type="spellStart"/>
      <w:r w:rsidRPr="00FB256F">
        <w:rPr>
          <w:rFonts w:asciiTheme="minorHAnsi" w:hAnsiTheme="minorHAnsi" w:cs="Arial"/>
          <w:sz w:val="24"/>
          <w:szCs w:val="24"/>
        </w:rPr>
        <w:t>Gmitrov</w:t>
      </w:r>
      <w:proofErr w:type="spellEnd"/>
      <w:r w:rsidRPr="00FB256F">
        <w:rPr>
          <w:rFonts w:asciiTheme="minorHAnsi" w:hAnsiTheme="minorHAnsi" w:cs="Arial"/>
          <w:sz w:val="24"/>
          <w:szCs w:val="24"/>
        </w:rPr>
        <w:t xml:space="preserve">, 2004; Lloyd &amp; Howe, 2003; </w:t>
      </w:r>
      <w:proofErr w:type="spellStart"/>
      <w:r w:rsidRPr="00FB256F">
        <w:rPr>
          <w:rFonts w:asciiTheme="minorHAnsi" w:hAnsiTheme="minorHAnsi" w:cs="Arial"/>
          <w:sz w:val="24"/>
          <w:szCs w:val="24"/>
        </w:rPr>
        <w:t>Lyyntinen</w:t>
      </w:r>
      <w:proofErr w:type="spellEnd"/>
      <w:r w:rsidRPr="00FB256F">
        <w:rPr>
          <w:rFonts w:asciiTheme="minorHAnsi" w:hAnsiTheme="minorHAnsi" w:cs="Arial"/>
          <w:sz w:val="24"/>
          <w:szCs w:val="24"/>
        </w:rPr>
        <w:t xml:space="preserve">, </w:t>
      </w:r>
      <w:proofErr w:type="spellStart"/>
      <w:r w:rsidRPr="00FB256F">
        <w:rPr>
          <w:rFonts w:asciiTheme="minorHAnsi" w:hAnsiTheme="minorHAnsi" w:cs="Arial"/>
          <w:sz w:val="24"/>
          <w:szCs w:val="24"/>
        </w:rPr>
        <w:t>Laasko</w:t>
      </w:r>
      <w:proofErr w:type="spellEnd"/>
      <w:r w:rsidRPr="00FB256F">
        <w:rPr>
          <w:rFonts w:asciiTheme="minorHAnsi" w:hAnsiTheme="minorHAnsi" w:cs="Arial"/>
          <w:sz w:val="24"/>
          <w:szCs w:val="24"/>
        </w:rPr>
        <w:t xml:space="preserve">,  </w:t>
      </w:r>
      <w:proofErr w:type="spellStart"/>
      <w:r w:rsidRPr="00FB256F">
        <w:rPr>
          <w:rFonts w:asciiTheme="minorHAnsi" w:hAnsiTheme="minorHAnsi" w:cs="Arial"/>
          <w:sz w:val="24"/>
          <w:szCs w:val="24"/>
        </w:rPr>
        <w:t>Poikkeus</w:t>
      </w:r>
      <w:proofErr w:type="spellEnd"/>
      <w:r w:rsidRPr="00FB256F">
        <w:rPr>
          <w:rFonts w:asciiTheme="minorHAnsi" w:hAnsiTheme="minorHAnsi" w:cs="Arial"/>
          <w:sz w:val="24"/>
          <w:szCs w:val="24"/>
        </w:rPr>
        <w:t xml:space="preserve"> &amp; Rita, 1999; Russ, Robins, &amp; </w:t>
      </w:r>
      <w:proofErr w:type="spellStart"/>
      <w:r w:rsidRPr="00FB256F">
        <w:rPr>
          <w:rFonts w:asciiTheme="minorHAnsi" w:hAnsiTheme="minorHAnsi" w:cs="Arial"/>
          <w:sz w:val="24"/>
          <w:szCs w:val="24"/>
        </w:rPr>
        <w:t>Chrisiano</w:t>
      </w:r>
      <w:proofErr w:type="spellEnd"/>
      <w:r w:rsidRPr="00FB256F">
        <w:rPr>
          <w:rFonts w:asciiTheme="minorHAnsi" w:hAnsiTheme="minorHAnsi" w:cs="Arial"/>
          <w:sz w:val="24"/>
          <w:szCs w:val="24"/>
        </w:rPr>
        <w:t>, 1999).</w:t>
      </w:r>
      <w:r w:rsidRPr="00FB256F">
        <w:rPr>
          <w:rFonts w:asciiTheme="minorHAnsi" w:hAnsiTheme="minorHAnsi" w:cs="Arial"/>
          <w:color w:val="222222"/>
        </w:rPr>
        <w:t xml:space="preserve"> </w:t>
      </w:r>
      <w:r w:rsidRPr="00FB256F">
        <w:rPr>
          <w:rFonts w:asciiTheme="minorHAnsi" w:hAnsiTheme="minorHAnsi"/>
          <w:sz w:val="24"/>
          <w:szCs w:val="24"/>
        </w:rPr>
        <w:t xml:space="preserve">Play based learning is the foundation of the national Early Years Learning Framework </w:t>
      </w:r>
      <w:r w:rsidRPr="00FB256F">
        <w:rPr>
          <w:rFonts w:asciiTheme="minorHAnsi" w:hAnsiTheme="minorHAnsi"/>
          <w:noProof/>
          <w:sz w:val="24"/>
          <w:szCs w:val="24"/>
        </w:rPr>
        <w:t>(Department of Education Employment and Workplace Relations, 2009)</w:t>
      </w:r>
      <w:r w:rsidRPr="00FB256F">
        <w:rPr>
          <w:rFonts w:asciiTheme="minorHAnsi" w:hAnsiTheme="minorHAnsi"/>
          <w:sz w:val="24"/>
          <w:szCs w:val="24"/>
        </w:rPr>
        <w:t xml:space="preserve"> to which both </w:t>
      </w:r>
      <w:proofErr w:type="spellStart"/>
      <w:r w:rsidRPr="00FB256F">
        <w:rPr>
          <w:rFonts w:asciiTheme="minorHAnsi" w:hAnsiTheme="minorHAnsi"/>
          <w:sz w:val="24"/>
          <w:szCs w:val="24"/>
        </w:rPr>
        <w:t>LDC</w:t>
      </w:r>
      <w:proofErr w:type="spellEnd"/>
      <w:r w:rsidRPr="00FB256F">
        <w:rPr>
          <w:rFonts w:asciiTheme="minorHAnsi" w:hAnsiTheme="minorHAnsi"/>
          <w:sz w:val="24"/>
          <w:szCs w:val="24"/>
        </w:rPr>
        <w:t xml:space="preserve"> centres and preschools must </w:t>
      </w:r>
      <w:r w:rsidRPr="00FB256F">
        <w:rPr>
          <w:rFonts w:asciiTheme="minorHAnsi" w:hAnsiTheme="minorHAnsi"/>
          <w:sz w:val="24"/>
          <w:szCs w:val="24"/>
        </w:rPr>
        <w:lastRenderedPageBreak/>
        <w:t xml:space="preserve">implement. Policy initiatives to address this issue include federal government responsibility and data collection for preschools, as well as the use of language that acknowledges the less structured though nonetheless educative role long day care centres provide. Research that studied the feasibility of </w:t>
      </w:r>
      <w:r w:rsidR="00BD0E1E">
        <w:rPr>
          <w:rFonts w:asciiTheme="minorHAnsi" w:hAnsiTheme="minorHAnsi"/>
          <w:sz w:val="24"/>
          <w:szCs w:val="24"/>
        </w:rPr>
        <w:t xml:space="preserve">integrating </w:t>
      </w:r>
      <w:r w:rsidRPr="00FB256F">
        <w:rPr>
          <w:rFonts w:asciiTheme="minorHAnsi" w:hAnsiTheme="minorHAnsi"/>
          <w:sz w:val="24"/>
          <w:szCs w:val="24"/>
        </w:rPr>
        <w:t xml:space="preserve">preschools </w:t>
      </w:r>
      <w:r w:rsidR="00BD0E1E">
        <w:rPr>
          <w:rFonts w:asciiTheme="minorHAnsi" w:hAnsiTheme="minorHAnsi"/>
          <w:sz w:val="24"/>
          <w:szCs w:val="24"/>
        </w:rPr>
        <w:t>with</w:t>
      </w:r>
      <w:r w:rsidRPr="00FB256F">
        <w:rPr>
          <w:rFonts w:asciiTheme="minorHAnsi" w:hAnsiTheme="minorHAnsi"/>
          <w:sz w:val="24"/>
          <w:szCs w:val="24"/>
        </w:rPr>
        <w:t xml:space="preserve"> long day centres </w:t>
      </w:r>
      <w:r w:rsidR="00BD0E1E">
        <w:rPr>
          <w:rFonts w:asciiTheme="minorHAnsi" w:hAnsiTheme="minorHAnsi"/>
          <w:sz w:val="24"/>
          <w:szCs w:val="24"/>
        </w:rPr>
        <w:t xml:space="preserve">also as to offer a more streamlined system of early childhood education </w:t>
      </w:r>
      <w:r w:rsidRPr="00FB256F">
        <w:rPr>
          <w:rFonts w:asciiTheme="minorHAnsi" w:hAnsiTheme="minorHAnsi"/>
          <w:sz w:val="24"/>
          <w:szCs w:val="24"/>
        </w:rPr>
        <w:t xml:space="preserve">warrants investigation. </w:t>
      </w:r>
    </w:p>
    <w:p w:rsidR="003A1D36" w:rsidRPr="00FB256F" w:rsidRDefault="003A1D36" w:rsidP="00FB256F">
      <w:pPr>
        <w:jc w:val="both"/>
        <w:rPr>
          <w:rFonts w:asciiTheme="minorHAnsi" w:hAnsiTheme="minorHAnsi"/>
          <w:sz w:val="24"/>
          <w:szCs w:val="24"/>
        </w:rPr>
      </w:pPr>
    </w:p>
    <w:p w:rsidR="00FB256F" w:rsidRPr="00FB256F" w:rsidRDefault="00FB256F" w:rsidP="00FB256F">
      <w:pPr>
        <w:jc w:val="both"/>
        <w:rPr>
          <w:rFonts w:asciiTheme="minorHAnsi" w:hAnsiTheme="minorHAnsi"/>
          <w:i/>
          <w:iCs/>
          <w:sz w:val="24"/>
          <w:szCs w:val="24"/>
        </w:rPr>
      </w:pPr>
      <w:r w:rsidRPr="00FB256F">
        <w:rPr>
          <w:rFonts w:asciiTheme="minorHAnsi" w:hAnsiTheme="minorHAnsi"/>
          <w:i/>
          <w:iCs/>
          <w:sz w:val="24"/>
          <w:szCs w:val="24"/>
        </w:rPr>
        <w:t>(ii) Supplementing accountability with greater policy transparency</w:t>
      </w:r>
    </w:p>
    <w:p w:rsidR="003A1D36" w:rsidRDefault="003A1D36" w:rsidP="00FB256F">
      <w:pPr>
        <w:jc w:val="both"/>
        <w:rPr>
          <w:rFonts w:asciiTheme="minorHAnsi" w:hAnsiTheme="minorHAnsi"/>
          <w:sz w:val="24"/>
          <w:szCs w:val="24"/>
        </w:rPr>
      </w:pPr>
    </w:p>
    <w:p w:rsidR="00FB256F" w:rsidRDefault="00FB256F" w:rsidP="00FB256F">
      <w:pPr>
        <w:jc w:val="both"/>
        <w:rPr>
          <w:rFonts w:asciiTheme="minorHAnsi" w:hAnsiTheme="minorHAnsi"/>
          <w:sz w:val="24"/>
          <w:szCs w:val="24"/>
        </w:rPr>
      </w:pPr>
      <w:r w:rsidRPr="00FB256F">
        <w:rPr>
          <w:rFonts w:asciiTheme="minorHAnsi" w:hAnsiTheme="minorHAnsi"/>
          <w:sz w:val="24"/>
          <w:szCs w:val="24"/>
        </w:rPr>
        <w:t xml:space="preserve">As per the </w:t>
      </w:r>
      <w:proofErr w:type="spellStart"/>
      <w:r w:rsidRPr="00FB256F">
        <w:rPr>
          <w:rFonts w:asciiTheme="minorHAnsi" w:hAnsiTheme="minorHAnsi"/>
          <w:sz w:val="24"/>
          <w:szCs w:val="24"/>
        </w:rPr>
        <w:t>NQF</w:t>
      </w:r>
      <w:proofErr w:type="spellEnd"/>
      <w:r w:rsidR="0082760C">
        <w:rPr>
          <w:rFonts w:asciiTheme="minorHAnsi" w:hAnsiTheme="minorHAnsi"/>
          <w:sz w:val="24"/>
          <w:szCs w:val="24"/>
        </w:rPr>
        <w:t>,</w:t>
      </w:r>
      <w:r w:rsidRPr="00FB256F">
        <w:rPr>
          <w:rFonts w:asciiTheme="minorHAnsi" w:hAnsiTheme="minorHAnsi"/>
          <w:sz w:val="24"/>
          <w:szCs w:val="24"/>
        </w:rPr>
        <w:t xml:space="preserve"> the publication of centres’ quality ratings and parents’ accessing of this information to inform their decision-making is warranted. This public accountability, however, needs to be supplemented by greater transparency of the effectiveness of Australia’s </w:t>
      </w:r>
      <w:proofErr w:type="spellStart"/>
      <w:r w:rsidRPr="00FB256F">
        <w:rPr>
          <w:rFonts w:asciiTheme="minorHAnsi" w:hAnsiTheme="minorHAnsi"/>
          <w:sz w:val="24"/>
          <w:szCs w:val="24"/>
        </w:rPr>
        <w:t>marketised</w:t>
      </w:r>
      <w:proofErr w:type="spellEnd"/>
      <w:r w:rsidRPr="00FB256F">
        <w:rPr>
          <w:rFonts w:asciiTheme="minorHAnsi" w:hAnsiTheme="minorHAnsi"/>
          <w:sz w:val="24"/>
          <w:szCs w:val="24"/>
        </w:rPr>
        <w:t xml:space="preserve"> approach to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For example, of the multiple and varied management structures under which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settings operate, what relationships are evident from </w:t>
      </w:r>
      <w:proofErr w:type="spellStart"/>
      <w:r w:rsidRPr="00FB256F">
        <w:rPr>
          <w:rFonts w:asciiTheme="minorHAnsi" w:hAnsiTheme="minorHAnsi"/>
          <w:sz w:val="24"/>
          <w:szCs w:val="24"/>
        </w:rPr>
        <w:t>NQS</w:t>
      </w:r>
      <w:proofErr w:type="spellEnd"/>
      <w:r w:rsidRPr="00FB256F">
        <w:rPr>
          <w:rFonts w:asciiTheme="minorHAnsi" w:hAnsiTheme="minorHAnsi"/>
          <w:sz w:val="24"/>
          <w:szCs w:val="24"/>
        </w:rPr>
        <w:t xml:space="preserve"> ratings data between management structure and quality rating, and between service type and quality rating?  Academics have questioned the ethics and capacity of a </w:t>
      </w:r>
      <w:proofErr w:type="spellStart"/>
      <w:r w:rsidRPr="00FB256F">
        <w:rPr>
          <w:rFonts w:asciiTheme="minorHAnsi" w:hAnsiTheme="minorHAnsi"/>
          <w:sz w:val="24"/>
          <w:szCs w:val="24"/>
        </w:rPr>
        <w:t>marketised</w:t>
      </w:r>
      <w:proofErr w:type="spellEnd"/>
      <w:r w:rsidRPr="00FB256F">
        <w:rPr>
          <w:rFonts w:asciiTheme="minorHAnsi" w:hAnsiTheme="minorHAnsi"/>
          <w:sz w:val="24"/>
          <w:szCs w:val="24"/>
        </w:rPr>
        <w:t xml:space="preserve"> system of </w:t>
      </w:r>
      <w:proofErr w:type="spellStart"/>
      <w:r w:rsidRPr="00FB256F">
        <w:rPr>
          <w:rFonts w:asciiTheme="minorHAnsi" w:hAnsiTheme="minorHAnsi"/>
          <w:sz w:val="24"/>
          <w:szCs w:val="24"/>
        </w:rPr>
        <w:t>ECE</w:t>
      </w:r>
      <w:proofErr w:type="spellEnd"/>
      <w:r w:rsidRPr="00FB256F">
        <w:rPr>
          <w:rFonts w:asciiTheme="minorHAnsi" w:hAnsiTheme="minorHAnsi"/>
          <w:sz w:val="24"/>
          <w:szCs w:val="24"/>
        </w:rPr>
        <w:t xml:space="preserve"> to support and drive high quality provision </w:t>
      </w:r>
      <w:r w:rsidRPr="00FB256F">
        <w:rPr>
          <w:rFonts w:asciiTheme="minorHAnsi" w:hAnsiTheme="minorHAnsi"/>
          <w:noProof/>
          <w:sz w:val="24"/>
          <w:szCs w:val="24"/>
        </w:rPr>
        <w:t>(Goodfellow, 2005; Press &amp; Woodrow, 2005; Sumsion, 2006)</w:t>
      </w:r>
      <w:r w:rsidRPr="00FB256F">
        <w:rPr>
          <w:rFonts w:asciiTheme="minorHAnsi" w:hAnsiTheme="minorHAnsi"/>
          <w:sz w:val="24"/>
          <w:szCs w:val="24"/>
        </w:rPr>
        <w:t xml:space="preserve">, yet in Australia there is a paucity of research that has investigated this issue. </w:t>
      </w:r>
    </w:p>
    <w:p w:rsidR="003A1D36" w:rsidRPr="00FB256F" w:rsidRDefault="003A1D36" w:rsidP="00FB256F">
      <w:pPr>
        <w:jc w:val="both"/>
        <w:rPr>
          <w:rFonts w:asciiTheme="minorHAnsi" w:hAnsiTheme="minorHAnsi"/>
          <w:sz w:val="24"/>
          <w:szCs w:val="24"/>
        </w:rPr>
      </w:pPr>
    </w:p>
    <w:p w:rsidR="00FB256F" w:rsidRPr="00FB256F" w:rsidRDefault="00FB256F" w:rsidP="00FB256F">
      <w:pPr>
        <w:pStyle w:val="xoverviewfo"/>
        <w:pBdr>
          <w:top w:val="none" w:sz="0" w:space="0" w:color="auto"/>
          <w:left w:val="none" w:sz="0" w:space="0" w:color="auto"/>
          <w:bottom w:val="none" w:sz="0" w:space="0" w:color="auto"/>
          <w:right w:val="none" w:sz="0" w:space="0" w:color="auto"/>
        </w:pBdr>
        <w:jc w:val="both"/>
        <w:rPr>
          <w:rFonts w:asciiTheme="minorHAnsi" w:hAnsiTheme="minorHAnsi"/>
          <w:sz w:val="24"/>
        </w:rPr>
      </w:pPr>
      <w:r w:rsidRPr="00FB256F">
        <w:rPr>
          <w:rFonts w:asciiTheme="minorHAnsi" w:hAnsiTheme="minorHAnsi" w:cs="Calibri"/>
          <w:sz w:val="24"/>
        </w:rPr>
        <w:t xml:space="preserve">A recent Australian study of the factors contributing to six long day care centres receiving sustained high quality ratings on three measures found that, on average, almost 85 per cent of their budgets was allocated to staffing, including the employment of a core group of teachers </w:t>
      </w:r>
      <w:r w:rsidRPr="00FB256F">
        <w:rPr>
          <w:rFonts w:asciiTheme="minorHAnsi" w:hAnsiTheme="minorHAnsi" w:cs="Calibri"/>
          <w:noProof/>
          <w:sz w:val="24"/>
        </w:rPr>
        <w:t>(Fenech, Harrison, Press, &amp; Sumsion, 2010)</w:t>
      </w:r>
      <w:r w:rsidRPr="00FB256F">
        <w:rPr>
          <w:rFonts w:asciiTheme="minorHAnsi" w:hAnsiTheme="minorHAnsi" w:cs="Calibri"/>
          <w:sz w:val="24"/>
        </w:rPr>
        <w:t xml:space="preserve">. All six centres were </w:t>
      </w:r>
      <w:proofErr w:type="spellStart"/>
      <w:r w:rsidRPr="00FB256F">
        <w:rPr>
          <w:rFonts w:asciiTheme="minorHAnsi" w:hAnsiTheme="minorHAnsi" w:cs="Calibri"/>
          <w:sz w:val="24"/>
        </w:rPr>
        <w:t>non-profit</w:t>
      </w:r>
      <w:proofErr w:type="spellEnd"/>
      <w:r w:rsidRPr="00FB256F">
        <w:rPr>
          <w:rFonts w:asciiTheme="minorHAnsi" w:hAnsiTheme="minorHAnsi" w:cs="Calibri"/>
          <w:sz w:val="24"/>
        </w:rPr>
        <w:t xml:space="preserve">. </w:t>
      </w:r>
      <w:r w:rsidRPr="00FB256F">
        <w:rPr>
          <w:rFonts w:asciiTheme="minorHAnsi" w:hAnsiTheme="minorHAnsi"/>
          <w:sz w:val="24"/>
        </w:rPr>
        <w:t xml:space="preserve">A preliminary analysis of centres </w:t>
      </w:r>
      <w:r w:rsidR="00BD0E1E">
        <w:rPr>
          <w:rFonts w:asciiTheme="minorHAnsi" w:hAnsiTheme="minorHAnsi"/>
          <w:sz w:val="24"/>
        </w:rPr>
        <w:t xml:space="preserve">in NSW </w:t>
      </w:r>
      <w:r w:rsidRPr="00FB256F">
        <w:rPr>
          <w:rFonts w:asciiTheme="minorHAnsi" w:hAnsiTheme="minorHAnsi"/>
          <w:sz w:val="24"/>
        </w:rPr>
        <w:t xml:space="preserve">that had achieved an </w:t>
      </w:r>
      <w:proofErr w:type="spellStart"/>
      <w:r w:rsidRPr="00FB256F">
        <w:rPr>
          <w:rFonts w:asciiTheme="minorHAnsi" w:hAnsiTheme="minorHAnsi"/>
          <w:sz w:val="24"/>
        </w:rPr>
        <w:t>NQS</w:t>
      </w:r>
      <w:proofErr w:type="spellEnd"/>
      <w:r w:rsidRPr="00FB256F">
        <w:rPr>
          <w:rFonts w:asciiTheme="minorHAnsi" w:hAnsiTheme="minorHAnsi"/>
          <w:sz w:val="24"/>
        </w:rPr>
        <w:t xml:space="preserve"> Exceeding rating by Community Child care Co-operative showed that over two-thirds (67%) of these centres were community not-for-profit centres </w:t>
      </w:r>
      <w:r w:rsidRPr="00FB256F">
        <w:rPr>
          <w:rFonts w:asciiTheme="minorHAnsi" w:hAnsiTheme="minorHAnsi"/>
          <w:noProof/>
          <w:sz w:val="24"/>
        </w:rPr>
        <w:t>(Community Child Care Co-operative, 2013)</w:t>
      </w:r>
      <w:r w:rsidRPr="00FB256F">
        <w:rPr>
          <w:rFonts w:asciiTheme="minorHAnsi" w:hAnsiTheme="minorHAnsi"/>
          <w:sz w:val="24"/>
        </w:rPr>
        <w:t xml:space="preserve">. </w:t>
      </w:r>
      <w:r w:rsidRPr="00FB256F">
        <w:rPr>
          <w:rFonts w:asciiTheme="minorHAnsi" w:hAnsiTheme="minorHAnsi" w:cs="Calibri"/>
          <w:sz w:val="24"/>
        </w:rPr>
        <w:t xml:space="preserve">Given that at least two-thirds of long day care centres in Australia are private, for-profit </w:t>
      </w:r>
      <w:r w:rsidRPr="00FB256F">
        <w:rPr>
          <w:rFonts w:asciiTheme="minorHAnsi" w:hAnsiTheme="minorHAnsi" w:cs="Calibri"/>
          <w:noProof/>
          <w:sz w:val="24"/>
        </w:rPr>
        <w:t>(Productivity Commission, 2011)</w:t>
      </w:r>
      <w:r w:rsidRPr="00FB256F">
        <w:rPr>
          <w:rFonts w:asciiTheme="minorHAnsi" w:hAnsiTheme="minorHAnsi" w:cs="Calibri"/>
          <w:sz w:val="24"/>
        </w:rPr>
        <w:t xml:space="preserve"> the correlation between profit status and quality requires further investigation. To this end it is </w:t>
      </w:r>
      <w:r w:rsidRPr="00FB256F">
        <w:rPr>
          <w:rFonts w:asciiTheme="minorHAnsi" w:hAnsiTheme="minorHAnsi"/>
          <w:sz w:val="24"/>
        </w:rPr>
        <w:t xml:space="preserve">incumbent on the Australian Government to conduct and publish research </w:t>
      </w:r>
      <w:r w:rsidR="003A1D36">
        <w:rPr>
          <w:rFonts w:asciiTheme="minorHAnsi" w:hAnsiTheme="minorHAnsi"/>
          <w:sz w:val="24"/>
        </w:rPr>
        <w:t xml:space="preserve">using </w:t>
      </w:r>
      <w:proofErr w:type="spellStart"/>
      <w:r w:rsidR="003A1D36">
        <w:rPr>
          <w:rFonts w:asciiTheme="minorHAnsi" w:hAnsiTheme="minorHAnsi"/>
          <w:sz w:val="24"/>
        </w:rPr>
        <w:t>NQS</w:t>
      </w:r>
      <w:proofErr w:type="spellEnd"/>
      <w:r w:rsidR="003A1D36">
        <w:rPr>
          <w:rFonts w:asciiTheme="minorHAnsi" w:hAnsiTheme="minorHAnsi"/>
          <w:sz w:val="24"/>
        </w:rPr>
        <w:t xml:space="preserve"> data </w:t>
      </w:r>
      <w:r w:rsidRPr="00FB256F">
        <w:rPr>
          <w:rFonts w:asciiTheme="minorHAnsi" w:hAnsiTheme="minorHAnsi"/>
          <w:sz w:val="24"/>
        </w:rPr>
        <w:t xml:space="preserve">that more comprehensively investigates what may well be a significant structural barrier to the provision of a system of high quality </w:t>
      </w:r>
      <w:proofErr w:type="spellStart"/>
      <w:r w:rsidRPr="00FB256F">
        <w:rPr>
          <w:rFonts w:asciiTheme="minorHAnsi" w:hAnsiTheme="minorHAnsi"/>
          <w:sz w:val="24"/>
        </w:rPr>
        <w:t>ECE</w:t>
      </w:r>
      <w:proofErr w:type="spellEnd"/>
      <w:r w:rsidRPr="00FB256F">
        <w:rPr>
          <w:rFonts w:asciiTheme="minorHAnsi" w:hAnsiTheme="minorHAnsi"/>
          <w:sz w:val="24"/>
        </w:rPr>
        <w:t xml:space="preserve"> in Australia. Findings may have significant implications for governments in Australia to move to a universal system of publically funded early childhood education.</w:t>
      </w:r>
    </w:p>
    <w:p w:rsidR="00FB256F" w:rsidRPr="00FB256F" w:rsidRDefault="00FB256F" w:rsidP="00FB256F">
      <w:pPr>
        <w:jc w:val="both"/>
        <w:rPr>
          <w:rFonts w:asciiTheme="minorHAnsi" w:hAnsiTheme="minorHAnsi"/>
          <w:sz w:val="24"/>
          <w:szCs w:val="24"/>
        </w:rPr>
      </w:pPr>
    </w:p>
    <w:p w:rsidR="00FB256F" w:rsidRPr="009234F6" w:rsidRDefault="009234F6" w:rsidP="00FB256F">
      <w:pPr>
        <w:ind w:left="720" w:hanging="720"/>
        <w:jc w:val="both"/>
        <w:rPr>
          <w:rFonts w:asciiTheme="minorHAnsi" w:hAnsiTheme="minorHAnsi"/>
          <w:b/>
          <w:noProof/>
          <w:sz w:val="24"/>
          <w:szCs w:val="24"/>
        </w:rPr>
      </w:pPr>
      <w:bookmarkStart w:id="1" w:name="_ENREF_1"/>
      <w:r w:rsidRPr="009234F6">
        <w:rPr>
          <w:rFonts w:asciiTheme="minorHAnsi" w:hAnsiTheme="minorHAnsi"/>
          <w:b/>
          <w:noProof/>
          <w:sz w:val="24"/>
          <w:szCs w:val="24"/>
        </w:rPr>
        <w:t>References</w:t>
      </w:r>
    </w:p>
    <w:p w:rsidR="00FB256F" w:rsidRPr="00FB256F" w:rsidRDefault="00FB256F" w:rsidP="00FB256F">
      <w:pPr>
        <w:ind w:left="720" w:hanging="720"/>
        <w:jc w:val="both"/>
        <w:rPr>
          <w:rFonts w:asciiTheme="minorHAnsi" w:hAnsiTheme="minorHAnsi"/>
          <w:noProof/>
          <w:szCs w:val="24"/>
        </w:rPr>
      </w:pPr>
      <w:r w:rsidRPr="00FB256F">
        <w:rPr>
          <w:rFonts w:asciiTheme="minorHAnsi" w:hAnsiTheme="minorHAnsi"/>
          <w:noProof/>
          <w:szCs w:val="24"/>
        </w:rPr>
        <w:t>Administration for Children and Families. U.S. Department of Health &amp; Human Services. (2002, June). Making a difference in the lives of infants and toddlers and their families: The impacts of Early Head Start, Volume I: Final technical report.</w:t>
      </w:r>
      <w:bookmarkEnd w:id="1"/>
    </w:p>
    <w:p w:rsidR="00FB256F" w:rsidRPr="00FB256F" w:rsidRDefault="00FB256F" w:rsidP="00FB256F">
      <w:pPr>
        <w:ind w:left="720" w:hanging="720"/>
        <w:jc w:val="both"/>
        <w:rPr>
          <w:rFonts w:asciiTheme="minorHAnsi" w:hAnsiTheme="minorHAnsi"/>
          <w:noProof/>
          <w:szCs w:val="24"/>
        </w:rPr>
      </w:pPr>
      <w:bookmarkStart w:id="2" w:name="_ENREF_2"/>
      <w:r w:rsidRPr="00FB256F">
        <w:rPr>
          <w:rFonts w:asciiTheme="minorHAnsi" w:hAnsiTheme="minorHAnsi"/>
          <w:noProof/>
          <w:szCs w:val="24"/>
        </w:rPr>
        <w:t xml:space="preserve">Barnett, W. S. (2003, March). Better Teachers, Better Preschools: Student Achievement Linked to Teacher Qualifications. </w:t>
      </w:r>
      <w:r w:rsidRPr="00FB256F">
        <w:rPr>
          <w:rFonts w:asciiTheme="minorHAnsi" w:hAnsiTheme="minorHAnsi"/>
          <w:i/>
          <w:noProof/>
          <w:szCs w:val="24"/>
        </w:rPr>
        <w:t>NIEER Preschool Policy Matters</w:t>
      </w:r>
      <w:r w:rsidRPr="00FB256F">
        <w:rPr>
          <w:rFonts w:asciiTheme="minorHAnsi" w:hAnsiTheme="minorHAnsi"/>
          <w:noProof/>
          <w:szCs w:val="24"/>
        </w:rPr>
        <w:t>. Rutgers, NJ: National Institute for Early Education Research.</w:t>
      </w:r>
      <w:bookmarkEnd w:id="2"/>
    </w:p>
    <w:p w:rsidR="00FB256F" w:rsidRPr="00FB256F" w:rsidRDefault="00FB256F" w:rsidP="00FB256F">
      <w:pPr>
        <w:ind w:left="720" w:hanging="720"/>
        <w:jc w:val="both"/>
        <w:rPr>
          <w:rFonts w:asciiTheme="minorHAnsi" w:hAnsiTheme="minorHAnsi"/>
          <w:noProof/>
          <w:szCs w:val="24"/>
        </w:rPr>
      </w:pPr>
      <w:bookmarkStart w:id="3" w:name="_ENREF_3"/>
      <w:r w:rsidRPr="00FB256F">
        <w:rPr>
          <w:rFonts w:asciiTheme="minorHAnsi" w:hAnsiTheme="minorHAnsi"/>
          <w:noProof/>
          <w:szCs w:val="24"/>
        </w:rPr>
        <w:t xml:space="preserve">Brennan, D., &amp; Fenech, M. (2014). Early education and care in Australia: Achieving equity in a mixed market? . In L. Gambaro, K. Stewart &amp; J. Waldfogel (Eds.), </w:t>
      </w:r>
      <w:r w:rsidRPr="00FB256F">
        <w:rPr>
          <w:rFonts w:asciiTheme="minorHAnsi" w:hAnsiTheme="minorHAnsi"/>
          <w:i/>
          <w:noProof/>
          <w:szCs w:val="24"/>
        </w:rPr>
        <w:t>An equal start? Providing quality early education and care for disadvantaged children</w:t>
      </w:r>
      <w:r w:rsidRPr="00FB256F">
        <w:rPr>
          <w:rFonts w:asciiTheme="minorHAnsi" w:hAnsiTheme="minorHAnsi"/>
          <w:noProof/>
          <w:szCs w:val="24"/>
        </w:rPr>
        <w:t xml:space="preserve"> (pp. 171-192). Bristol: The Policy Press.</w:t>
      </w:r>
      <w:bookmarkEnd w:id="3"/>
    </w:p>
    <w:p w:rsidR="00FB256F" w:rsidRPr="00FB256F" w:rsidRDefault="00FB256F" w:rsidP="00FB256F">
      <w:pPr>
        <w:ind w:left="720" w:hanging="720"/>
        <w:jc w:val="both"/>
        <w:rPr>
          <w:rFonts w:asciiTheme="minorHAnsi" w:hAnsiTheme="minorHAnsi"/>
          <w:noProof/>
          <w:szCs w:val="24"/>
        </w:rPr>
      </w:pPr>
      <w:bookmarkStart w:id="4" w:name="_ENREF_4"/>
      <w:r w:rsidRPr="00FB256F">
        <w:rPr>
          <w:rFonts w:asciiTheme="minorHAnsi" w:hAnsiTheme="minorHAnsi"/>
          <w:noProof/>
          <w:szCs w:val="24"/>
        </w:rPr>
        <w:t xml:space="preserve">Burchinal, M. R., Cryer, D., Clifford, R. M., &amp; Howes, C. (2002). Caregiver training and classroom quality in child care centers. </w:t>
      </w:r>
      <w:r w:rsidRPr="00FB256F">
        <w:rPr>
          <w:rFonts w:asciiTheme="minorHAnsi" w:hAnsiTheme="minorHAnsi"/>
          <w:i/>
          <w:noProof/>
          <w:szCs w:val="24"/>
        </w:rPr>
        <w:t>Applied Developmental Science, 6</w:t>
      </w:r>
      <w:r w:rsidRPr="00FB256F">
        <w:rPr>
          <w:rFonts w:asciiTheme="minorHAnsi" w:hAnsiTheme="minorHAnsi"/>
          <w:noProof/>
          <w:szCs w:val="24"/>
        </w:rPr>
        <w:t xml:space="preserve">, 2-11. </w:t>
      </w:r>
      <w:bookmarkEnd w:id="4"/>
    </w:p>
    <w:p w:rsidR="00FB256F" w:rsidRPr="00FB256F" w:rsidRDefault="00FB256F" w:rsidP="00FB256F">
      <w:pPr>
        <w:ind w:left="720" w:hanging="720"/>
        <w:jc w:val="both"/>
        <w:rPr>
          <w:rFonts w:asciiTheme="minorHAnsi" w:hAnsiTheme="minorHAnsi"/>
          <w:noProof/>
          <w:szCs w:val="24"/>
        </w:rPr>
      </w:pPr>
      <w:bookmarkStart w:id="5" w:name="_ENREF_5"/>
      <w:r w:rsidRPr="00FB256F">
        <w:rPr>
          <w:rFonts w:asciiTheme="minorHAnsi" w:hAnsiTheme="minorHAnsi"/>
          <w:noProof/>
          <w:szCs w:val="24"/>
        </w:rPr>
        <w:t xml:space="preserve">Burchinal, M. R., Roberts, J. E., Riggins, R., Zeisel, S. A., Neebe, E., &amp; Bryant, D. (2000). Relating quality of center based child care to early cognitive and language development longitudinally. </w:t>
      </w:r>
      <w:r w:rsidRPr="00FB256F">
        <w:rPr>
          <w:rFonts w:asciiTheme="minorHAnsi" w:hAnsiTheme="minorHAnsi"/>
          <w:i/>
          <w:noProof/>
          <w:szCs w:val="24"/>
        </w:rPr>
        <w:t>Child Development, 71</w:t>
      </w:r>
      <w:r w:rsidRPr="00FB256F">
        <w:rPr>
          <w:rFonts w:asciiTheme="minorHAnsi" w:hAnsiTheme="minorHAnsi"/>
          <w:noProof/>
          <w:szCs w:val="24"/>
        </w:rPr>
        <w:t xml:space="preserve">(2), 339-357. </w:t>
      </w:r>
      <w:bookmarkEnd w:id="5"/>
    </w:p>
    <w:p w:rsidR="00FB256F" w:rsidRPr="00FB256F" w:rsidRDefault="00FB256F" w:rsidP="00FB256F">
      <w:pPr>
        <w:ind w:left="720" w:hanging="720"/>
        <w:jc w:val="both"/>
        <w:rPr>
          <w:rFonts w:asciiTheme="minorHAnsi" w:hAnsiTheme="minorHAnsi"/>
          <w:noProof/>
          <w:szCs w:val="24"/>
        </w:rPr>
      </w:pPr>
      <w:bookmarkStart w:id="6" w:name="_ENREF_6"/>
      <w:r w:rsidRPr="00FB256F">
        <w:rPr>
          <w:rFonts w:asciiTheme="minorHAnsi" w:hAnsiTheme="minorHAnsi"/>
          <w:noProof/>
          <w:szCs w:val="24"/>
        </w:rPr>
        <w:lastRenderedPageBreak/>
        <w:t xml:space="preserve">Community Child Care Co-operative. (2013). </w:t>
      </w:r>
      <w:r w:rsidRPr="00FB256F">
        <w:rPr>
          <w:rFonts w:asciiTheme="minorHAnsi" w:hAnsiTheme="minorHAnsi"/>
          <w:i/>
          <w:noProof/>
          <w:szCs w:val="24"/>
        </w:rPr>
        <w:t>Community based not for-profit services ace ratings</w:t>
      </w:r>
      <w:r w:rsidRPr="00FB256F">
        <w:rPr>
          <w:rFonts w:asciiTheme="minorHAnsi" w:hAnsiTheme="minorHAnsi"/>
          <w:noProof/>
          <w:szCs w:val="24"/>
        </w:rPr>
        <w:t>. Retrieved May 2, 2013 from: https://mail.google.com/mail/u/0/?tab=wm#search/exceeding/13e63fca32c880c3.</w:t>
      </w:r>
      <w:bookmarkEnd w:id="6"/>
    </w:p>
    <w:p w:rsidR="00FB256F" w:rsidRPr="00FB256F" w:rsidRDefault="00FB256F" w:rsidP="00FB256F">
      <w:pPr>
        <w:ind w:left="720" w:hanging="720"/>
        <w:jc w:val="both"/>
        <w:rPr>
          <w:rFonts w:asciiTheme="minorHAnsi" w:hAnsiTheme="minorHAnsi"/>
          <w:noProof/>
          <w:szCs w:val="24"/>
        </w:rPr>
      </w:pPr>
      <w:bookmarkStart w:id="7" w:name="_ENREF_7"/>
      <w:r w:rsidRPr="00FB256F">
        <w:rPr>
          <w:rFonts w:asciiTheme="minorHAnsi" w:hAnsiTheme="minorHAnsi"/>
          <w:noProof/>
          <w:szCs w:val="24"/>
        </w:rPr>
        <w:t xml:space="preserve">Council of Australian Governments. (2009). </w:t>
      </w:r>
      <w:r w:rsidRPr="00FB256F">
        <w:rPr>
          <w:rFonts w:asciiTheme="minorHAnsi" w:hAnsiTheme="minorHAnsi"/>
          <w:i/>
          <w:noProof/>
          <w:szCs w:val="24"/>
        </w:rPr>
        <w:t>Investing in the early years: A national childhood development strategy</w:t>
      </w:r>
      <w:r w:rsidRPr="00FB256F">
        <w:rPr>
          <w:rFonts w:asciiTheme="minorHAnsi" w:hAnsiTheme="minorHAnsi"/>
          <w:noProof/>
          <w:szCs w:val="24"/>
        </w:rPr>
        <w:t>. Retrieved September 7, 2012 from: http://acecqa.gov.au/storage/national_ECD_strategy.pdf.</w:t>
      </w:r>
      <w:bookmarkEnd w:id="7"/>
    </w:p>
    <w:p w:rsidR="00FB256F" w:rsidRPr="00FB256F" w:rsidRDefault="00FB256F" w:rsidP="00FB256F">
      <w:pPr>
        <w:ind w:left="720" w:hanging="720"/>
        <w:jc w:val="both"/>
        <w:rPr>
          <w:rFonts w:asciiTheme="minorHAnsi" w:hAnsiTheme="minorHAnsi"/>
          <w:noProof/>
          <w:szCs w:val="24"/>
        </w:rPr>
      </w:pPr>
      <w:bookmarkStart w:id="8" w:name="_ENREF_8"/>
      <w:r w:rsidRPr="00FB256F">
        <w:rPr>
          <w:rFonts w:asciiTheme="minorHAnsi" w:hAnsiTheme="minorHAnsi"/>
          <w:noProof/>
          <w:szCs w:val="24"/>
        </w:rPr>
        <w:t xml:space="preserve">Department of Education Employment and Workplace Relations. (2009). </w:t>
      </w:r>
      <w:r w:rsidRPr="00FB256F">
        <w:rPr>
          <w:rFonts w:asciiTheme="minorHAnsi" w:hAnsiTheme="minorHAnsi"/>
          <w:i/>
          <w:noProof/>
          <w:szCs w:val="24"/>
        </w:rPr>
        <w:t>Belonging, Being &amp; Becoming: The Early Years Learning Framework for Australia</w:t>
      </w:r>
      <w:r w:rsidRPr="00FB256F">
        <w:rPr>
          <w:rFonts w:asciiTheme="minorHAnsi" w:hAnsiTheme="minorHAnsi"/>
          <w:noProof/>
          <w:szCs w:val="24"/>
        </w:rPr>
        <w:t xml:space="preserve">. Retrieved 16/08/09 from </w:t>
      </w:r>
      <w:hyperlink r:id="rId8" w:history="1">
        <w:r w:rsidRPr="00FB256F">
          <w:rPr>
            <w:rStyle w:val="Hyperlink"/>
            <w:rFonts w:asciiTheme="minorHAnsi" w:hAnsiTheme="minorHAnsi"/>
            <w:noProof/>
            <w:szCs w:val="24"/>
          </w:rPr>
          <w:t>http://www.deewr.gov.au/EarlyChildhood/Policy_Agenda/Quality/Documents/Final%20EYLF%20Framework%20Report%20-%20WEB.pdf</w:t>
        </w:r>
      </w:hyperlink>
      <w:r w:rsidRPr="00FB256F">
        <w:rPr>
          <w:rFonts w:asciiTheme="minorHAnsi" w:hAnsiTheme="minorHAnsi"/>
          <w:noProof/>
          <w:szCs w:val="24"/>
        </w:rPr>
        <w:t>.</w:t>
      </w:r>
      <w:bookmarkEnd w:id="8"/>
    </w:p>
    <w:p w:rsidR="00FB256F" w:rsidRPr="00487721" w:rsidRDefault="00FB256F" w:rsidP="00FB256F">
      <w:pPr>
        <w:pStyle w:val="NormalWeb"/>
        <w:shd w:val="clear" w:color="auto" w:fill="FFFFFF"/>
        <w:spacing w:before="0" w:beforeAutospacing="0" w:after="0"/>
        <w:ind w:left="709" w:hanging="709"/>
        <w:jc w:val="both"/>
        <w:rPr>
          <w:rFonts w:asciiTheme="minorHAnsi" w:hAnsiTheme="minorHAnsi" w:cs="Arial"/>
          <w:sz w:val="20"/>
          <w:szCs w:val="20"/>
        </w:rPr>
      </w:pPr>
      <w:r w:rsidRPr="00487721">
        <w:rPr>
          <w:rFonts w:asciiTheme="minorHAnsi" w:hAnsiTheme="minorHAnsi" w:cs="Arial"/>
          <w:sz w:val="20"/>
          <w:szCs w:val="20"/>
        </w:rPr>
        <w:t>Dickinson, D. (2001). Large-group and free-play times: Conversational settings supporting language and literacy development. In D. Dickinson &amp; P. Tabors (Eds.), Beginning literacy with language: Young children learning at home and school (pp. 223-256). Baltimore: Paul H. Brookes. </w:t>
      </w:r>
    </w:p>
    <w:p w:rsidR="00FB256F" w:rsidRPr="00FB256F" w:rsidRDefault="00FB256F" w:rsidP="00FB256F">
      <w:pPr>
        <w:ind w:left="720" w:hanging="720"/>
        <w:jc w:val="both"/>
        <w:rPr>
          <w:rFonts w:asciiTheme="minorHAnsi" w:hAnsiTheme="minorHAnsi"/>
          <w:noProof/>
          <w:szCs w:val="24"/>
        </w:rPr>
      </w:pPr>
      <w:bookmarkStart w:id="9" w:name="_ENREF_9"/>
      <w:r w:rsidRPr="00FB256F">
        <w:rPr>
          <w:rFonts w:asciiTheme="minorHAnsi" w:hAnsiTheme="minorHAnsi"/>
          <w:noProof/>
          <w:szCs w:val="24"/>
        </w:rPr>
        <w:t xml:space="preserve">Economist Intelligence Unit. (2012). </w:t>
      </w:r>
      <w:r w:rsidRPr="00FB256F">
        <w:rPr>
          <w:rFonts w:asciiTheme="minorHAnsi" w:hAnsiTheme="minorHAnsi"/>
          <w:i/>
          <w:noProof/>
          <w:szCs w:val="24"/>
        </w:rPr>
        <w:t>Starting well: Benchmarking early education across the world</w:t>
      </w:r>
      <w:r w:rsidRPr="00FB256F">
        <w:rPr>
          <w:rFonts w:asciiTheme="minorHAnsi" w:hAnsiTheme="minorHAnsi"/>
          <w:noProof/>
          <w:szCs w:val="24"/>
        </w:rPr>
        <w:t>. Retrieved from: http://www.lienfoundation.org/pdf/publications/sw_report.pdf.</w:t>
      </w:r>
      <w:bookmarkEnd w:id="9"/>
    </w:p>
    <w:p w:rsidR="00FB256F" w:rsidRPr="00FB256F" w:rsidRDefault="00FB256F" w:rsidP="00FB256F">
      <w:pPr>
        <w:ind w:left="720" w:hanging="720"/>
        <w:jc w:val="both"/>
        <w:rPr>
          <w:rFonts w:asciiTheme="minorHAnsi" w:hAnsiTheme="minorHAnsi"/>
          <w:noProof/>
          <w:szCs w:val="24"/>
        </w:rPr>
      </w:pPr>
      <w:bookmarkStart w:id="10" w:name="_ENREF_10"/>
      <w:r w:rsidRPr="00FB256F">
        <w:rPr>
          <w:rFonts w:asciiTheme="minorHAnsi" w:hAnsiTheme="minorHAnsi"/>
          <w:noProof/>
          <w:szCs w:val="24"/>
        </w:rPr>
        <w:t xml:space="preserve">Fenech, M., Giugni, M., &amp; Bown, K. (2012). A critical analysis of the National Quality Framework: Mobilising for a vision for children beyond minimum standards. </w:t>
      </w:r>
      <w:r w:rsidRPr="00FB256F">
        <w:rPr>
          <w:rFonts w:asciiTheme="minorHAnsi" w:hAnsiTheme="minorHAnsi"/>
          <w:i/>
          <w:noProof/>
          <w:szCs w:val="24"/>
        </w:rPr>
        <w:t>Australasian Journal of Early Childhood, 12</w:t>
      </w:r>
      <w:r w:rsidRPr="00FB256F">
        <w:rPr>
          <w:rFonts w:asciiTheme="minorHAnsi" w:hAnsiTheme="minorHAnsi"/>
          <w:noProof/>
          <w:szCs w:val="24"/>
        </w:rPr>
        <w:t xml:space="preserve">(4), 5-14. </w:t>
      </w:r>
      <w:bookmarkEnd w:id="10"/>
    </w:p>
    <w:p w:rsidR="00FB256F" w:rsidRPr="00FB256F" w:rsidRDefault="00FB256F" w:rsidP="00FB256F">
      <w:pPr>
        <w:ind w:left="720" w:hanging="720"/>
        <w:jc w:val="both"/>
        <w:rPr>
          <w:rFonts w:asciiTheme="minorHAnsi" w:hAnsiTheme="minorHAnsi"/>
          <w:noProof/>
          <w:szCs w:val="24"/>
        </w:rPr>
      </w:pPr>
      <w:bookmarkStart w:id="11" w:name="_ENREF_11"/>
      <w:r w:rsidRPr="00FB256F">
        <w:rPr>
          <w:rFonts w:asciiTheme="minorHAnsi" w:hAnsiTheme="minorHAnsi"/>
          <w:noProof/>
          <w:szCs w:val="24"/>
        </w:rPr>
        <w:t xml:space="preserve">Fenech, M., Harrison, L., Press, F., &amp; Sumsion, J. (2010). </w:t>
      </w:r>
      <w:r w:rsidRPr="00FB256F">
        <w:rPr>
          <w:rFonts w:asciiTheme="minorHAnsi" w:hAnsiTheme="minorHAnsi"/>
          <w:i/>
          <w:noProof/>
          <w:szCs w:val="24"/>
        </w:rPr>
        <w:t>Contributors to quality long day care: Findings from six case study centres</w:t>
      </w:r>
      <w:r w:rsidRPr="00FB256F">
        <w:rPr>
          <w:rFonts w:asciiTheme="minorHAnsi" w:hAnsiTheme="minorHAnsi"/>
          <w:noProof/>
          <w:szCs w:val="24"/>
        </w:rPr>
        <w:t>. Bathurst: Charles Sturt University.</w:t>
      </w:r>
      <w:bookmarkEnd w:id="11"/>
    </w:p>
    <w:p w:rsidR="00FB256F" w:rsidRPr="00FB256F" w:rsidRDefault="00FB256F" w:rsidP="00FB256F">
      <w:pPr>
        <w:ind w:left="720" w:hanging="720"/>
        <w:jc w:val="both"/>
        <w:rPr>
          <w:rFonts w:asciiTheme="minorHAnsi" w:hAnsiTheme="minorHAnsi" w:cs="Arial"/>
        </w:rPr>
      </w:pPr>
      <w:proofErr w:type="spellStart"/>
      <w:r w:rsidRPr="00FB256F">
        <w:rPr>
          <w:rFonts w:asciiTheme="minorHAnsi" w:hAnsiTheme="minorHAnsi" w:cs="Arial"/>
        </w:rPr>
        <w:t>Gmitrova</w:t>
      </w:r>
      <w:proofErr w:type="spellEnd"/>
      <w:r w:rsidRPr="00FB256F">
        <w:rPr>
          <w:rFonts w:asciiTheme="minorHAnsi" w:hAnsiTheme="minorHAnsi" w:cs="Arial"/>
        </w:rPr>
        <w:t xml:space="preserve">, V., &amp; </w:t>
      </w:r>
      <w:proofErr w:type="spellStart"/>
      <w:r w:rsidRPr="00FB256F">
        <w:rPr>
          <w:rFonts w:asciiTheme="minorHAnsi" w:hAnsiTheme="minorHAnsi" w:cs="Arial"/>
        </w:rPr>
        <w:t>Gmitrov</w:t>
      </w:r>
      <w:proofErr w:type="spellEnd"/>
      <w:r w:rsidRPr="00FB256F">
        <w:rPr>
          <w:rFonts w:asciiTheme="minorHAnsi" w:hAnsiTheme="minorHAnsi" w:cs="Arial"/>
        </w:rPr>
        <w:t>, J. (2004). The primacy of child-directed pretend play on cognitive competence in a mixed age environment: possible interpretations. </w:t>
      </w:r>
      <w:r w:rsidRPr="00FB256F">
        <w:rPr>
          <w:rStyle w:val="Emphasis"/>
          <w:rFonts w:asciiTheme="minorHAnsi" w:hAnsiTheme="minorHAnsi" w:cs="Arial"/>
        </w:rPr>
        <w:t>Early Child Development and Care, 174</w:t>
      </w:r>
      <w:r w:rsidRPr="00FB256F">
        <w:rPr>
          <w:rFonts w:asciiTheme="minorHAnsi" w:hAnsiTheme="minorHAnsi" w:cs="Arial"/>
        </w:rPr>
        <w:t xml:space="preserve"> (3), 267-279. </w:t>
      </w:r>
    </w:p>
    <w:p w:rsidR="00FB256F" w:rsidRPr="00FB256F" w:rsidRDefault="00FB256F" w:rsidP="00FB256F">
      <w:pPr>
        <w:ind w:left="720" w:hanging="720"/>
        <w:jc w:val="both"/>
        <w:rPr>
          <w:rFonts w:asciiTheme="minorHAnsi" w:hAnsiTheme="minorHAnsi"/>
          <w:noProof/>
          <w:szCs w:val="24"/>
        </w:rPr>
      </w:pPr>
      <w:bookmarkStart w:id="12" w:name="_ENREF_12"/>
      <w:r w:rsidRPr="00FB256F">
        <w:rPr>
          <w:rFonts w:asciiTheme="minorHAnsi" w:hAnsiTheme="minorHAnsi"/>
          <w:noProof/>
          <w:szCs w:val="24"/>
        </w:rPr>
        <w:t xml:space="preserve">Goodfellow, J. (2005). Market childcare: Preliminary considerations of a 'property view' of the child. </w:t>
      </w:r>
      <w:r w:rsidRPr="00FB256F">
        <w:rPr>
          <w:rFonts w:asciiTheme="minorHAnsi" w:hAnsiTheme="minorHAnsi"/>
          <w:i/>
          <w:noProof/>
          <w:szCs w:val="24"/>
        </w:rPr>
        <w:t>Contemporary Issues in Early Childhood, 6</w:t>
      </w:r>
      <w:r w:rsidRPr="00FB256F">
        <w:rPr>
          <w:rFonts w:asciiTheme="minorHAnsi" w:hAnsiTheme="minorHAnsi"/>
          <w:noProof/>
          <w:szCs w:val="24"/>
        </w:rPr>
        <w:t xml:space="preserve">(1), 54-65. </w:t>
      </w:r>
      <w:bookmarkEnd w:id="12"/>
    </w:p>
    <w:p w:rsidR="00FB256F" w:rsidRPr="00FB256F" w:rsidRDefault="00FB256F" w:rsidP="00FB256F">
      <w:pPr>
        <w:ind w:left="720" w:hanging="720"/>
        <w:jc w:val="both"/>
        <w:rPr>
          <w:rFonts w:asciiTheme="minorHAnsi" w:hAnsiTheme="minorHAnsi"/>
          <w:noProof/>
          <w:szCs w:val="24"/>
        </w:rPr>
      </w:pPr>
      <w:bookmarkStart w:id="13" w:name="_ENREF_13"/>
      <w:r w:rsidRPr="00FB256F">
        <w:rPr>
          <w:rFonts w:asciiTheme="minorHAnsi" w:hAnsiTheme="minorHAnsi"/>
          <w:noProof/>
          <w:szCs w:val="24"/>
        </w:rPr>
        <w:t xml:space="preserve">Howes, C. (1997). Children’s experiences in center-based child care as a function of teacher background and adult:child ratio. </w:t>
      </w:r>
      <w:r w:rsidRPr="00FB256F">
        <w:rPr>
          <w:rFonts w:asciiTheme="minorHAnsi" w:hAnsiTheme="minorHAnsi"/>
          <w:i/>
          <w:noProof/>
          <w:szCs w:val="24"/>
        </w:rPr>
        <w:t>Merrill Palmer Quarterly, 43</w:t>
      </w:r>
      <w:r w:rsidRPr="00FB256F">
        <w:rPr>
          <w:rFonts w:asciiTheme="minorHAnsi" w:hAnsiTheme="minorHAnsi"/>
          <w:noProof/>
          <w:szCs w:val="24"/>
        </w:rPr>
        <w:t xml:space="preserve">(3), 405-425. </w:t>
      </w:r>
      <w:bookmarkEnd w:id="13"/>
    </w:p>
    <w:p w:rsidR="00FB256F" w:rsidRPr="00FB256F" w:rsidRDefault="00FB256F" w:rsidP="00FB256F">
      <w:pPr>
        <w:pStyle w:val="NormalWeb"/>
        <w:shd w:val="clear" w:color="auto" w:fill="FFFFFF"/>
        <w:spacing w:before="0" w:beforeAutospacing="0" w:after="0"/>
        <w:ind w:left="709" w:hanging="709"/>
        <w:jc w:val="both"/>
        <w:rPr>
          <w:rFonts w:asciiTheme="minorHAnsi" w:hAnsiTheme="minorHAnsi" w:cs="Arial"/>
          <w:sz w:val="22"/>
          <w:szCs w:val="22"/>
        </w:rPr>
      </w:pPr>
      <w:r w:rsidRPr="00FB256F">
        <w:rPr>
          <w:rFonts w:asciiTheme="minorHAnsi" w:hAnsiTheme="minorHAnsi" w:cs="Arial"/>
          <w:sz w:val="22"/>
          <w:szCs w:val="22"/>
        </w:rPr>
        <w:t>Lloyd , B., &amp; Howe, N. (2003). Solitary play and convergent and divergent thinking skills in preschool children. </w:t>
      </w:r>
      <w:r w:rsidRPr="00FB256F">
        <w:rPr>
          <w:rStyle w:val="Emphasis"/>
          <w:rFonts w:asciiTheme="minorHAnsi" w:hAnsiTheme="minorHAnsi" w:cs="Arial"/>
          <w:sz w:val="22"/>
          <w:szCs w:val="22"/>
        </w:rPr>
        <w:t>Early Childhood Research Quarterly, 18,</w:t>
      </w:r>
      <w:r w:rsidRPr="00FB256F">
        <w:rPr>
          <w:rFonts w:asciiTheme="minorHAnsi" w:hAnsiTheme="minorHAnsi" w:cs="Arial"/>
          <w:sz w:val="22"/>
          <w:szCs w:val="22"/>
        </w:rPr>
        <w:t> 22-41.</w:t>
      </w:r>
    </w:p>
    <w:p w:rsidR="00FB256F" w:rsidRPr="00487721" w:rsidRDefault="00FB256F" w:rsidP="00FB256F">
      <w:pPr>
        <w:pStyle w:val="NormalWeb"/>
        <w:shd w:val="clear" w:color="auto" w:fill="FFFFFF"/>
        <w:spacing w:before="0" w:beforeAutospacing="0" w:after="0"/>
        <w:ind w:left="709" w:hanging="709"/>
        <w:jc w:val="both"/>
        <w:rPr>
          <w:rFonts w:asciiTheme="minorHAnsi" w:hAnsiTheme="minorHAnsi" w:cs="Arial"/>
          <w:sz w:val="20"/>
          <w:szCs w:val="20"/>
        </w:rPr>
      </w:pPr>
      <w:proofErr w:type="spellStart"/>
      <w:r w:rsidRPr="00487721">
        <w:rPr>
          <w:rFonts w:asciiTheme="minorHAnsi" w:hAnsiTheme="minorHAnsi" w:cs="Arial"/>
          <w:sz w:val="20"/>
          <w:szCs w:val="20"/>
        </w:rPr>
        <w:t>Lyyntinen</w:t>
      </w:r>
      <w:proofErr w:type="spellEnd"/>
      <w:r w:rsidRPr="00487721">
        <w:rPr>
          <w:rFonts w:asciiTheme="minorHAnsi" w:hAnsiTheme="minorHAnsi" w:cs="Arial"/>
          <w:sz w:val="20"/>
          <w:szCs w:val="20"/>
        </w:rPr>
        <w:t xml:space="preserve">, P., </w:t>
      </w:r>
      <w:proofErr w:type="spellStart"/>
      <w:r w:rsidRPr="00487721">
        <w:rPr>
          <w:rFonts w:asciiTheme="minorHAnsi" w:hAnsiTheme="minorHAnsi" w:cs="Arial"/>
          <w:sz w:val="20"/>
          <w:szCs w:val="20"/>
        </w:rPr>
        <w:t>Laasko</w:t>
      </w:r>
      <w:proofErr w:type="spellEnd"/>
      <w:r w:rsidRPr="00487721">
        <w:rPr>
          <w:rFonts w:asciiTheme="minorHAnsi" w:hAnsiTheme="minorHAnsi" w:cs="Arial"/>
          <w:sz w:val="20"/>
          <w:szCs w:val="20"/>
        </w:rPr>
        <w:t xml:space="preserve">, M., </w:t>
      </w:r>
      <w:proofErr w:type="spellStart"/>
      <w:r w:rsidRPr="00487721">
        <w:rPr>
          <w:rFonts w:asciiTheme="minorHAnsi" w:hAnsiTheme="minorHAnsi" w:cs="Arial"/>
          <w:sz w:val="20"/>
          <w:szCs w:val="20"/>
        </w:rPr>
        <w:t>Poikkeus</w:t>
      </w:r>
      <w:proofErr w:type="spellEnd"/>
      <w:r w:rsidRPr="00487721">
        <w:rPr>
          <w:rFonts w:asciiTheme="minorHAnsi" w:hAnsiTheme="minorHAnsi" w:cs="Arial"/>
          <w:sz w:val="20"/>
          <w:szCs w:val="20"/>
        </w:rPr>
        <w:t>, A., &amp; Rita, N. (1999). The development and predictive relations of play and language across the second year. Scandinavian Journal of Psychology, 40, 177-186.</w:t>
      </w:r>
      <w:bookmarkStart w:id="14" w:name="_ENREF_14"/>
      <w:r w:rsidRPr="00487721">
        <w:rPr>
          <w:rFonts w:asciiTheme="minorHAnsi" w:hAnsiTheme="minorHAnsi" w:cs="Arial"/>
          <w:sz w:val="20"/>
          <w:szCs w:val="20"/>
        </w:rPr>
        <w:t xml:space="preserve"> </w:t>
      </w:r>
    </w:p>
    <w:p w:rsidR="00FB256F" w:rsidRPr="00487721" w:rsidRDefault="00FB256F" w:rsidP="00FB256F">
      <w:pPr>
        <w:pStyle w:val="NormalWeb"/>
        <w:shd w:val="clear" w:color="auto" w:fill="FFFFFF"/>
        <w:spacing w:before="0" w:beforeAutospacing="0" w:after="0"/>
        <w:ind w:left="709" w:hanging="709"/>
        <w:jc w:val="both"/>
        <w:rPr>
          <w:rFonts w:asciiTheme="minorHAnsi" w:hAnsiTheme="minorHAnsi" w:cs="Arial"/>
          <w:sz w:val="20"/>
          <w:szCs w:val="20"/>
        </w:rPr>
      </w:pPr>
      <w:r w:rsidRPr="00487721">
        <w:rPr>
          <w:rFonts w:asciiTheme="minorHAnsi" w:hAnsiTheme="minorHAnsi"/>
          <w:noProof/>
          <w:sz w:val="20"/>
          <w:szCs w:val="20"/>
        </w:rPr>
        <w:t xml:space="preserve">Myers, R. G. (2006). </w:t>
      </w:r>
      <w:r w:rsidRPr="00487721">
        <w:rPr>
          <w:rFonts w:asciiTheme="minorHAnsi" w:hAnsiTheme="minorHAnsi"/>
          <w:i/>
          <w:noProof/>
          <w:sz w:val="20"/>
          <w:szCs w:val="20"/>
        </w:rPr>
        <w:t xml:space="preserve">Quality in program of early childhood care and education </w:t>
      </w:r>
      <w:r w:rsidRPr="00487721">
        <w:rPr>
          <w:rFonts w:asciiTheme="minorHAnsi" w:hAnsiTheme="minorHAnsi"/>
          <w:noProof/>
          <w:sz w:val="20"/>
          <w:szCs w:val="20"/>
        </w:rPr>
        <w:t>Retrieved August 14, 2012 from http://unesdoc.unesco.org/images/0014/001474/147473e.pdf.</w:t>
      </w:r>
      <w:bookmarkEnd w:id="14"/>
    </w:p>
    <w:p w:rsidR="00FB256F" w:rsidRPr="00FB256F" w:rsidRDefault="00FB256F" w:rsidP="00FB256F">
      <w:pPr>
        <w:ind w:left="720" w:hanging="720"/>
        <w:jc w:val="both"/>
        <w:rPr>
          <w:rFonts w:asciiTheme="minorHAnsi" w:hAnsiTheme="minorHAnsi"/>
          <w:noProof/>
          <w:szCs w:val="24"/>
        </w:rPr>
      </w:pPr>
      <w:bookmarkStart w:id="15" w:name="_ENREF_15"/>
      <w:r w:rsidRPr="00FB256F">
        <w:rPr>
          <w:rFonts w:asciiTheme="minorHAnsi" w:hAnsiTheme="minorHAnsi"/>
          <w:noProof/>
          <w:szCs w:val="24"/>
        </w:rPr>
        <w:t xml:space="preserve">Press, F., &amp; Woodrow, C. (2005). Commodification, corporatisation and children's spaces. </w:t>
      </w:r>
      <w:r w:rsidRPr="00FB256F">
        <w:rPr>
          <w:rFonts w:asciiTheme="minorHAnsi" w:hAnsiTheme="minorHAnsi"/>
          <w:i/>
          <w:noProof/>
          <w:szCs w:val="24"/>
        </w:rPr>
        <w:t>Australian Journal of Education, 49</w:t>
      </w:r>
      <w:r w:rsidRPr="00FB256F">
        <w:rPr>
          <w:rFonts w:asciiTheme="minorHAnsi" w:hAnsiTheme="minorHAnsi"/>
          <w:noProof/>
          <w:szCs w:val="24"/>
        </w:rPr>
        <w:t xml:space="preserve">(3), 278-291. </w:t>
      </w:r>
      <w:bookmarkEnd w:id="15"/>
    </w:p>
    <w:p w:rsidR="00FB256F" w:rsidRPr="00FB256F" w:rsidRDefault="00FB256F" w:rsidP="00FB256F">
      <w:pPr>
        <w:ind w:left="720" w:hanging="720"/>
        <w:jc w:val="both"/>
        <w:rPr>
          <w:rFonts w:asciiTheme="minorHAnsi" w:hAnsiTheme="minorHAnsi"/>
          <w:noProof/>
          <w:szCs w:val="24"/>
        </w:rPr>
      </w:pPr>
      <w:bookmarkStart w:id="16" w:name="_ENREF_16"/>
      <w:r w:rsidRPr="00FB256F">
        <w:rPr>
          <w:rFonts w:asciiTheme="minorHAnsi" w:hAnsiTheme="minorHAnsi"/>
          <w:noProof/>
          <w:szCs w:val="24"/>
        </w:rPr>
        <w:t xml:space="preserve">Productivity Commission. (2011). </w:t>
      </w:r>
      <w:r w:rsidRPr="00FB256F">
        <w:rPr>
          <w:rFonts w:asciiTheme="minorHAnsi" w:hAnsiTheme="minorHAnsi"/>
          <w:i/>
          <w:noProof/>
          <w:szCs w:val="24"/>
        </w:rPr>
        <w:t>Early Childhood Development Workforce, Research Report</w:t>
      </w:r>
      <w:r w:rsidRPr="00FB256F">
        <w:rPr>
          <w:rFonts w:asciiTheme="minorHAnsi" w:hAnsiTheme="minorHAnsi"/>
          <w:noProof/>
          <w:szCs w:val="24"/>
        </w:rPr>
        <w:t>. Retrieved November 28, 2011 from: http://www.pc.gov.au/__data/assets/pdf_file/0003/113907/early-childhood-report.pdf.</w:t>
      </w:r>
      <w:bookmarkEnd w:id="16"/>
    </w:p>
    <w:p w:rsidR="00FB256F" w:rsidRPr="00FB256F" w:rsidRDefault="00FB256F" w:rsidP="00FB256F">
      <w:pPr>
        <w:ind w:left="720" w:hanging="720"/>
        <w:jc w:val="both"/>
        <w:rPr>
          <w:rFonts w:asciiTheme="minorHAnsi" w:hAnsiTheme="minorHAnsi"/>
          <w:noProof/>
          <w:szCs w:val="24"/>
        </w:rPr>
      </w:pPr>
      <w:bookmarkStart w:id="17" w:name="_ENREF_17"/>
      <w:r w:rsidRPr="00FB256F">
        <w:rPr>
          <w:rFonts w:asciiTheme="minorHAnsi" w:hAnsiTheme="minorHAnsi"/>
          <w:noProof/>
          <w:szCs w:val="24"/>
        </w:rPr>
        <w:t xml:space="preserve">Productivity Commission. (2013). </w:t>
      </w:r>
      <w:r w:rsidRPr="00FB256F">
        <w:rPr>
          <w:rFonts w:asciiTheme="minorHAnsi" w:hAnsiTheme="minorHAnsi"/>
          <w:i/>
          <w:noProof/>
          <w:szCs w:val="24"/>
        </w:rPr>
        <w:t>Childcare and early childhood learning: Productivity Commission issues paper</w:t>
      </w:r>
      <w:r w:rsidRPr="00FB256F">
        <w:rPr>
          <w:rFonts w:asciiTheme="minorHAnsi" w:hAnsiTheme="minorHAnsi"/>
          <w:noProof/>
          <w:szCs w:val="24"/>
        </w:rPr>
        <w:t xml:space="preserve">. Retrieved December 7, 2013 from: </w:t>
      </w:r>
      <w:hyperlink r:id="rId9" w:history="1">
        <w:r w:rsidRPr="00FB256F">
          <w:rPr>
            <w:rStyle w:val="Hyperlink"/>
            <w:rFonts w:asciiTheme="minorHAnsi" w:hAnsiTheme="minorHAnsi"/>
            <w:noProof/>
            <w:szCs w:val="24"/>
          </w:rPr>
          <w:t>http://pc.gov.au/__data/assets/pdf_file/0016/130462/childcare-issues.pdf</w:t>
        </w:r>
      </w:hyperlink>
      <w:r w:rsidRPr="00FB256F">
        <w:rPr>
          <w:rFonts w:asciiTheme="minorHAnsi" w:hAnsiTheme="minorHAnsi"/>
          <w:noProof/>
          <w:szCs w:val="24"/>
        </w:rPr>
        <w:t>.</w:t>
      </w:r>
      <w:bookmarkEnd w:id="17"/>
    </w:p>
    <w:p w:rsidR="00FB256F" w:rsidRPr="00487721" w:rsidRDefault="00FB256F" w:rsidP="00FB256F">
      <w:pPr>
        <w:pStyle w:val="NormalWeb"/>
        <w:shd w:val="clear" w:color="auto" w:fill="FFFFFF"/>
        <w:spacing w:before="0" w:beforeAutospacing="0" w:after="0"/>
        <w:ind w:left="709" w:hanging="709"/>
        <w:jc w:val="both"/>
        <w:rPr>
          <w:rFonts w:asciiTheme="minorHAnsi" w:hAnsiTheme="minorHAnsi" w:cs="Arial"/>
          <w:sz w:val="20"/>
          <w:szCs w:val="20"/>
        </w:rPr>
      </w:pPr>
      <w:r w:rsidRPr="00487721">
        <w:rPr>
          <w:rFonts w:asciiTheme="minorHAnsi" w:hAnsiTheme="minorHAnsi" w:cs="Arial"/>
          <w:sz w:val="20"/>
          <w:szCs w:val="20"/>
        </w:rPr>
        <w:t xml:space="preserve">Russ, S., Robins, A., &amp; </w:t>
      </w:r>
      <w:proofErr w:type="spellStart"/>
      <w:r w:rsidRPr="00487721">
        <w:rPr>
          <w:rFonts w:asciiTheme="minorHAnsi" w:hAnsiTheme="minorHAnsi" w:cs="Arial"/>
          <w:sz w:val="20"/>
          <w:szCs w:val="20"/>
        </w:rPr>
        <w:t>Chrisiano</w:t>
      </w:r>
      <w:proofErr w:type="spellEnd"/>
      <w:r w:rsidRPr="00487721">
        <w:rPr>
          <w:rFonts w:asciiTheme="minorHAnsi" w:hAnsiTheme="minorHAnsi" w:cs="Arial"/>
          <w:sz w:val="20"/>
          <w:szCs w:val="20"/>
        </w:rPr>
        <w:t>, B. (1999). Pretend play: longitudinal prediction of creativity and affect in fantasy in children. </w:t>
      </w:r>
      <w:r w:rsidRPr="00487721">
        <w:rPr>
          <w:rStyle w:val="Emphasis"/>
          <w:rFonts w:asciiTheme="minorHAnsi" w:hAnsiTheme="minorHAnsi" w:cs="Arial"/>
          <w:sz w:val="20"/>
          <w:szCs w:val="20"/>
        </w:rPr>
        <w:t>Creativity Research Journal, 12</w:t>
      </w:r>
      <w:r w:rsidRPr="00487721">
        <w:rPr>
          <w:rFonts w:asciiTheme="minorHAnsi" w:hAnsiTheme="minorHAnsi" w:cs="Arial"/>
          <w:sz w:val="20"/>
          <w:szCs w:val="20"/>
        </w:rPr>
        <w:t>, 129-139.</w:t>
      </w:r>
    </w:p>
    <w:p w:rsidR="00FB256F" w:rsidRPr="00FB256F" w:rsidRDefault="00FB256F" w:rsidP="00FB256F">
      <w:pPr>
        <w:ind w:left="720" w:hanging="720"/>
        <w:jc w:val="both"/>
        <w:rPr>
          <w:rFonts w:asciiTheme="minorHAnsi" w:hAnsiTheme="minorHAnsi"/>
          <w:noProof/>
          <w:szCs w:val="24"/>
        </w:rPr>
      </w:pPr>
      <w:bookmarkStart w:id="18" w:name="_ENREF_18"/>
      <w:r w:rsidRPr="00FB256F">
        <w:rPr>
          <w:rFonts w:asciiTheme="minorHAnsi" w:hAnsiTheme="minorHAnsi"/>
          <w:noProof/>
          <w:szCs w:val="24"/>
        </w:rPr>
        <w:t xml:space="preserve">Siraj-Blatchford, I., &amp; Manni, L. (2007). </w:t>
      </w:r>
      <w:r w:rsidRPr="00FB256F">
        <w:rPr>
          <w:rFonts w:asciiTheme="minorHAnsi" w:hAnsiTheme="minorHAnsi"/>
          <w:i/>
          <w:noProof/>
          <w:szCs w:val="24"/>
        </w:rPr>
        <w:t>Effective leadership in the early years sector (ELEYS) study</w:t>
      </w:r>
      <w:r w:rsidRPr="00FB256F">
        <w:rPr>
          <w:rFonts w:asciiTheme="minorHAnsi" w:hAnsiTheme="minorHAnsi"/>
          <w:noProof/>
          <w:szCs w:val="24"/>
        </w:rPr>
        <w:t>. London: Institute of Education, University of London.</w:t>
      </w:r>
      <w:bookmarkEnd w:id="18"/>
    </w:p>
    <w:p w:rsidR="00FB256F" w:rsidRPr="00FB256F" w:rsidRDefault="00FB256F" w:rsidP="00FB256F">
      <w:pPr>
        <w:ind w:left="720" w:hanging="720"/>
        <w:jc w:val="both"/>
        <w:rPr>
          <w:rFonts w:asciiTheme="minorHAnsi" w:hAnsiTheme="minorHAnsi"/>
          <w:noProof/>
          <w:szCs w:val="24"/>
        </w:rPr>
      </w:pPr>
      <w:bookmarkStart w:id="19" w:name="_ENREF_19"/>
      <w:r w:rsidRPr="00FB256F">
        <w:rPr>
          <w:rFonts w:asciiTheme="minorHAnsi" w:hAnsiTheme="minorHAnsi"/>
          <w:noProof/>
          <w:szCs w:val="24"/>
        </w:rPr>
        <w:t xml:space="preserve">Steering Committee for the Review of Government Service Provision. (2014). </w:t>
      </w:r>
      <w:r w:rsidRPr="00FB256F">
        <w:rPr>
          <w:rFonts w:asciiTheme="minorHAnsi" w:hAnsiTheme="minorHAnsi"/>
          <w:i/>
          <w:noProof/>
          <w:szCs w:val="24"/>
        </w:rPr>
        <w:t>Report on Government Services 2014 Volume B: Child care, education and training</w:t>
      </w:r>
      <w:r w:rsidRPr="00FB256F">
        <w:rPr>
          <w:rFonts w:asciiTheme="minorHAnsi" w:hAnsiTheme="minorHAnsi"/>
          <w:noProof/>
          <w:szCs w:val="24"/>
        </w:rPr>
        <w:t>. Retrieved January 30 from: http://www.pc.gov.au/__data/assets/pdf_file/0010/132310/rogs-2014-volumeb-child-care-education-and-training.pdf.</w:t>
      </w:r>
      <w:bookmarkEnd w:id="19"/>
    </w:p>
    <w:p w:rsidR="00FB256F" w:rsidRPr="00FB256F" w:rsidRDefault="00FB256F" w:rsidP="00FB256F">
      <w:pPr>
        <w:ind w:left="720" w:hanging="720"/>
        <w:jc w:val="both"/>
        <w:rPr>
          <w:rFonts w:asciiTheme="minorHAnsi" w:hAnsiTheme="minorHAnsi"/>
          <w:noProof/>
          <w:szCs w:val="24"/>
        </w:rPr>
      </w:pPr>
      <w:bookmarkStart w:id="20" w:name="_ENREF_20"/>
      <w:r w:rsidRPr="00FB256F">
        <w:rPr>
          <w:rFonts w:asciiTheme="minorHAnsi" w:hAnsiTheme="minorHAnsi"/>
          <w:noProof/>
          <w:szCs w:val="24"/>
        </w:rPr>
        <w:t xml:space="preserve">Sumsion, J. (2006). The corporatization of Australian child care. </w:t>
      </w:r>
      <w:r w:rsidRPr="00FB256F">
        <w:rPr>
          <w:rFonts w:asciiTheme="minorHAnsi" w:hAnsiTheme="minorHAnsi"/>
          <w:i/>
          <w:noProof/>
          <w:szCs w:val="24"/>
        </w:rPr>
        <w:t>Journal of Early Childhood Research, 4</w:t>
      </w:r>
      <w:r w:rsidRPr="00FB256F">
        <w:rPr>
          <w:rFonts w:asciiTheme="minorHAnsi" w:hAnsiTheme="minorHAnsi"/>
          <w:noProof/>
          <w:szCs w:val="24"/>
        </w:rPr>
        <w:t>(2), 99-120. doi: 10.1177/1476718X06063531</w:t>
      </w:r>
      <w:bookmarkEnd w:id="20"/>
    </w:p>
    <w:p w:rsidR="00FB256F" w:rsidRPr="00FB256F" w:rsidRDefault="00FB256F" w:rsidP="00FB256F">
      <w:pPr>
        <w:ind w:left="720" w:hanging="720"/>
        <w:jc w:val="both"/>
        <w:rPr>
          <w:rFonts w:asciiTheme="minorHAnsi" w:hAnsiTheme="minorHAnsi"/>
          <w:noProof/>
          <w:szCs w:val="24"/>
        </w:rPr>
      </w:pPr>
      <w:bookmarkStart w:id="21" w:name="_ENREF_21"/>
      <w:r w:rsidRPr="00FB256F">
        <w:rPr>
          <w:rFonts w:asciiTheme="minorHAnsi" w:hAnsiTheme="minorHAnsi"/>
          <w:noProof/>
          <w:szCs w:val="24"/>
        </w:rPr>
        <w:t>Sylva, K., Melhuish, E. C., Sammons, P., Siraj-Blatchford, I., &amp; Taggart, B. (2004). The effective provision of pre-school education (EPPE) project. London: DfES / Institute of Education, University of London.</w:t>
      </w:r>
      <w:bookmarkEnd w:id="21"/>
    </w:p>
    <w:p w:rsidR="00FB256F" w:rsidRPr="00FB256F" w:rsidRDefault="00FB256F" w:rsidP="003A1D36">
      <w:pPr>
        <w:ind w:left="720" w:hanging="720"/>
        <w:jc w:val="both"/>
        <w:rPr>
          <w:rFonts w:asciiTheme="minorHAnsi" w:hAnsiTheme="minorHAnsi"/>
          <w:sz w:val="24"/>
          <w:szCs w:val="24"/>
        </w:rPr>
      </w:pPr>
      <w:bookmarkStart w:id="22" w:name="_ENREF_22"/>
      <w:r w:rsidRPr="00FB256F">
        <w:rPr>
          <w:rFonts w:asciiTheme="minorHAnsi" w:hAnsiTheme="minorHAnsi"/>
          <w:noProof/>
          <w:szCs w:val="24"/>
        </w:rPr>
        <w:t xml:space="preserve">Whitebook, M. (2003). </w:t>
      </w:r>
      <w:r w:rsidRPr="00FB256F">
        <w:rPr>
          <w:rFonts w:asciiTheme="minorHAnsi" w:hAnsiTheme="minorHAnsi"/>
          <w:i/>
          <w:noProof/>
          <w:szCs w:val="24"/>
        </w:rPr>
        <w:t>Bachelor's degrees are best: Higher qualifications for pre-kindergarten teachers lead to better learning environments for children</w:t>
      </w:r>
      <w:r w:rsidRPr="00FB256F">
        <w:rPr>
          <w:rFonts w:asciiTheme="minorHAnsi" w:hAnsiTheme="minorHAnsi"/>
          <w:noProof/>
          <w:szCs w:val="24"/>
        </w:rPr>
        <w:t>. Washington, DC: Trust for Early Education.</w:t>
      </w:r>
      <w:bookmarkEnd w:id="22"/>
    </w:p>
    <w:p w:rsidR="00FB256F" w:rsidRPr="00FB256F" w:rsidRDefault="00FB256F" w:rsidP="00E10639">
      <w:pPr>
        <w:rPr>
          <w:rFonts w:asciiTheme="minorHAnsi" w:hAnsiTheme="minorHAnsi"/>
          <w:sz w:val="24"/>
          <w:szCs w:val="24"/>
        </w:rPr>
      </w:pPr>
    </w:p>
    <w:p w:rsidR="00F336EA" w:rsidRPr="00FB256F" w:rsidRDefault="00F336EA" w:rsidP="00F336EA">
      <w:pPr>
        <w:ind w:left="720" w:hanging="720"/>
        <w:rPr>
          <w:rFonts w:asciiTheme="minorHAnsi" w:hAnsiTheme="minorHAnsi"/>
          <w:b/>
          <w:sz w:val="24"/>
          <w:szCs w:val="24"/>
        </w:rPr>
      </w:pPr>
    </w:p>
    <w:sectPr w:rsidR="00F336EA" w:rsidRPr="00FB256F" w:rsidSect="00E10639">
      <w:headerReference w:type="default" r:id="rId10"/>
      <w:footerReference w:type="default" r:id="rId11"/>
      <w:pgSz w:w="11900" w:h="16840"/>
      <w:pgMar w:top="2552" w:right="1361" w:bottom="993"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ED" w:rsidRDefault="001A06ED">
      <w:r>
        <w:separator/>
      </w:r>
    </w:p>
  </w:endnote>
  <w:endnote w:type="continuationSeparator" w:id="0">
    <w:p w:rsidR="001A06ED" w:rsidRDefault="001A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EA" w:rsidRDefault="009234F6">
    <w:pPr>
      <w:pStyle w:val="Footer"/>
    </w:pPr>
    <w:r>
      <w:rPr>
        <w:noProof/>
      </w:rPr>
      <mc:AlternateContent>
        <mc:Choice Requires="wps">
          <w:drawing>
            <wp:anchor distT="0" distB="0" distL="114300" distR="114300" simplePos="0" relativeHeight="251661312" behindDoc="0" locked="0" layoutInCell="1" allowOverlap="1">
              <wp:simplePos x="0" y="0"/>
              <wp:positionH relativeFrom="column">
                <wp:posOffset>-861060</wp:posOffset>
              </wp:positionH>
              <wp:positionV relativeFrom="paragraph">
                <wp:posOffset>-5080</wp:posOffset>
              </wp:positionV>
              <wp:extent cx="7766050" cy="45529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EA" w:rsidRDefault="00F336EA">
                          <w:r>
                            <w:rPr>
                              <w:noProof/>
                            </w:rPr>
                            <w:drawing>
                              <wp:inline distT="0" distB="0" distL="0" distR="0">
                                <wp:extent cx="7560945" cy="355600"/>
                                <wp:effectExtent l="0" t="0" r="8255" b="0"/>
                                <wp:docPr id="6"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8" type="#_x0000_t202" style="position:absolute;margin-left:-67.75pt;margin-top:-.35pt;width:611.5pt;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q9zrcCAADA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" filled="f" stroked="f">
              <v:textbox>
                <w:txbxContent>
                  <w:p w:rsidR="00F336EA" w:rsidRDefault="00F336EA">
                    <w:r>
                      <w:rPr>
                        <w:noProof/>
                        <w:lang w:val="en-US" w:eastAsia="en-US"/>
                      </w:rPr>
                      <w:drawing>
                        <wp:inline distT="0" distB="0" distL="0" distR="0">
                          <wp:extent cx="7560945" cy="355600"/>
                          <wp:effectExtent l="0" t="0" r="8255" b="0"/>
                          <wp:docPr id="6"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3556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ED" w:rsidRDefault="001A06ED">
      <w:r>
        <w:separator/>
      </w:r>
    </w:p>
  </w:footnote>
  <w:footnote w:type="continuationSeparator" w:id="0">
    <w:p w:rsidR="001A06ED" w:rsidRDefault="001A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EA" w:rsidRDefault="009234F6">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3825240</wp:posOffset>
              </wp:positionH>
              <wp:positionV relativeFrom="paragraph">
                <wp:posOffset>-104775</wp:posOffset>
              </wp:positionV>
              <wp:extent cx="2971800" cy="1143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EA" w:rsidRPr="00E10639" w:rsidRDefault="00F336EA">
                          <w:pPr>
                            <w:pStyle w:val="Heading2"/>
                            <w:rPr>
                              <w:rFonts w:cs="Arial"/>
                              <w:i w:val="0"/>
                            </w:rPr>
                          </w:pPr>
                          <w:r w:rsidRPr="00E10639">
                            <w:rPr>
                              <w:rFonts w:cs="Arial"/>
                              <w:i w:val="0"/>
                            </w:rPr>
                            <w:t>Institute of Early Childhood</w:t>
                          </w:r>
                        </w:p>
                        <w:p w:rsidR="00F336EA" w:rsidRPr="002B7E99" w:rsidRDefault="00F336EA">
                          <w:pPr>
                            <w:pStyle w:val="BodyText"/>
                            <w:rPr>
                              <w:rFonts w:cs="Arial"/>
                            </w:rPr>
                          </w:pPr>
                          <w:r w:rsidRPr="002B7E99">
                            <w:rPr>
                              <w:rFonts w:cs="Arial"/>
                            </w:rPr>
                            <w:t>MACQUARIE UNIVERSITY  NSW  2109  AUSTRALIA</w:t>
                          </w:r>
                        </w:p>
                        <w:p w:rsidR="00F336EA" w:rsidRDefault="00F336EA">
                          <w:pPr>
                            <w:tabs>
                              <w:tab w:val="left" w:pos="709"/>
                              <w:tab w:val="left" w:pos="1134"/>
                            </w:tabs>
                            <w:rPr>
                              <w:rFonts w:ascii="Arial" w:hAnsi="Arial" w:cs="Arial"/>
                              <w:color w:val="000000"/>
                              <w:sz w:val="18"/>
                            </w:rPr>
                          </w:pPr>
                          <w:r>
                            <w:rPr>
                              <w:rFonts w:ascii="Arial" w:hAnsi="Arial" w:cs="Arial"/>
                              <w:color w:val="000000"/>
                              <w:sz w:val="18"/>
                            </w:rPr>
                            <w:t>Tel</w:t>
                          </w:r>
                          <w:r>
                            <w:rPr>
                              <w:rFonts w:ascii="Arial" w:hAnsi="Arial" w:cs="Arial"/>
                              <w:color w:val="000000"/>
                              <w:sz w:val="18"/>
                            </w:rPr>
                            <w:tab/>
                            <w:t>+61 2 9850 9820</w:t>
                          </w:r>
                        </w:p>
                        <w:p w:rsidR="00F336EA" w:rsidRPr="002B7E99" w:rsidRDefault="00F336EA">
                          <w:pPr>
                            <w:tabs>
                              <w:tab w:val="left" w:pos="709"/>
                              <w:tab w:val="left" w:pos="1134"/>
                            </w:tabs>
                            <w:rPr>
                              <w:rFonts w:ascii="Arial" w:hAnsi="Arial" w:cs="Arial"/>
                              <w:color w:val="000000"/>
                              <w:sz w:val="18"/>
                            </w:rPr>
                          </w:pPr>
                          <w:r w:rsidRPr="002B7E99">
                            <w:rPr>
                              <w:rFonts w:ascii="Arial" w:hAnsi="Arial" w:cs="Arial"/>
                              <w:color w:val="000000"/>
                              <w:sz w:val="18"/>
                            </w:rPr>
                            <w:t>Fax</w:t>
                          </w:r>
                          <w:r w:rsidRPr="002B7E99">
                            <w:rPr>
                              <w:rFonts w:ascii="Arial" w:hAnsi="Arial" w:cs="Arial"/>
                              <w:color w:val="000000"/>
                              <w:sz w:val="18"/>
                            </w:rPr>
                            <w:tab/>
                            <w:t xml:space="preserve">+61 </w:t>
                          </w:r>
                          <w:r>
                            <w:rPr>
                              <w:rFonts w:ascii="Arial" w:hAnsi="Arial" w:cs="Arial"/>
                              <w:color w:val="000000"/>
                              <w:sz w:val="18"/>
                            </w:rPr>
                            <w:t xml:space="preserve">2 </w:t>
                          </w:r>
                          <w:r w:rsidRPr="002B7E99">
                            <w:rPr>
                              <w:rFonts w:ascii="Arial" w:hAnsi="Arial" w:cs="Arial"/>
                              <w:color w:val="000000"/>
                              <w:sz w:val="18"/>
                            </w:rPr>
                            <w:t>9850 9890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301.2pt;margin-top:-8.2pt;width:234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" filled="f" stroked="f">
              <v:textbox>
                <w:txbxContent>
                  <w:p w:rsidR="00F336EA" w:rsidRPr="00E10639" w:rsidRDefault="00F336EA">
                    <w:pPr>
                      <w:pStyle w:val="Heading2"/>
                      <w:rPr>
                        <w:rFonts w:cs="Arial"/>
                        <w:i w:val="0"/>
                      </w:rPr>
                    </w:pPr>
                    <w:r w:rsidRPr="00E10639">
                      <w:rPr>
                        <w:rFonts w:cs="Arial"/>
                        <w:i w:val="0"/>
                      </w:rPr>
                      <w:t>Institute of Early Childhood</w:t>
                    </w:r>
                  </w:p>
                  <w:p w:rsidR="00F336EA" w:rsidRPr="002B7E99" w:rsidRDefault="00F336EA">
                    <w:pPr>
                      <w:pStyle w:val="BodyText"/>
                      <w:rPr>
                        <w:rFonts w:cs="Arial"/>
                      </w:rPr>
                    </w:pPr>
                    <w:r w:rsidRPr="002B7E99">
                      <w:rPr>
                        <w:rFonts w:cs="Arial"/>
                      </w:rPr>
                      <w:t>MACQUARIE UNIVERSITY  NSW  2109  AUSTRALIA</w:t>
                    </w:r>
                  </w:p>
                  <w:p w:rsidR="00F336EA" w:rsidRDefault="00F336EA">
                    <w:pPr>
                      <w:tabs>
                        <w:tab w:val="left" w:pos="709"/>
                        <w:tab w:val="left" w:pos="1134"/>
                      </w:tabs>
                      <w:rPr>
                        <w:rFonts w:ascii="Arial" w:hAnsi="Arial" w:cs="Arial"/>
                        <w:color w:val="000000"/>
                        <w:sz w:val="18"/>
                      </w:rPr>
                    </w:pPr>
                    <w:r>
                      <w:rPr>
                        <w:rFonts w:ascii="Arial" w:hAnsi="Arial" w:cs="Arial"/>
                        <w:color w:val="000000"/>
                        <w:sz w:val="18"/>
                      </w:rPr>
                      <w:t>Tel</w:t>
                    </w:r>
                    <w:r>
                      <w:rPr>
                        <w:rFonts w:ascii="Arial" w:hAnsi="Arial" w:cs="Arial"/>
                        <w:color w:val="000000"/>
                        <w:sz w:val="18"/>
                      </w:rPr>
                      <w:tab/>
                      <w:t>+61 2 9850 9820</w:t>
                    </w:r>
                  </w:p>
                  <w:p w:rsidR="00F336EA" w:rsidRPr="002B7E99" w:rsidRDefault="00F336EA">
                    <w:pPr>
                      <w:tabs>
                        <w:tab w:val="left" w:pos="709"/>
                        <w:tab w:val="left" w:pos="1134"/>
                      </w:tabs>
                      <w:rPr>
                        <w:rFonts w:ascii="Arial" w:hAnsi="Arial" w:cs="Arial"/>
                        <w:color w:val="000000"/>
                        <w:sz w:val="18"/>
                      </w:rPr>
                    </w:pPr>
                    <w:r w:rsidRPr="002B7E99">
                      <w:rPr>
                        <w:rFonts w:ascii="Arial" w:hAnsi="Arial" w:cs="Arial"/>
                        <w:color w:val="000000"/>
                        <w:sz w:val="18"/>
                      </w:rPr>
                      <w:t>Fax</w:t>
                    </w:r>
                    <w:r w:rsidRPr="002B7E99">
                      <w:rPr>
                        <w:rFonts w:ascii="Arial" w:hAnsi="Arial" w:cs="Arial"/>
                        <w:color w:val="000000"/>
                        <w:sz w:val="18"/>
                      </w:rPr>
                      <w:tab/>
                      <w:t xml:space="preserve">+61 </w:t>
                    </w:r>
                    <w:r>
                      <w:rPr>
                        <w:rFonts w:ascii="Arial" w:hAnsi="Arial" w:cs="Arial"/>
                        <w:color w:val="000000"/>
                        <w:sz w:val="18"/>
                      </w:rPr>
                      <w:t xml:space="preserve">2 </w:t>
                    </w:r>
                    <w:r w:rsidRPr="002B7E99">
                      <w:rPr>
                        <w:rFonts w:ascii="Arial" w:hAnsi="Arial" w:cs="Arial"/>
                        <w:color w:val="000000"/>
                        <w:sz w:val="18"/>
                      </w:rPr>
                      <w:t>9850 9890</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-683260</wp:posOffset>
              </wp:positionH>
              <wp:positionV relativeFrom="paragraph">
                <wp:posOffset>-434975</wp:posOffset>
              </wp:positionV>
              <wp:extent cx="7688580" cy="162814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162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EA" w:rsidRDefault="00F336EA">
                          <w:r>
                            <w:rPr>
                              <w:noProof/>
                            </w:rPr>
                            <w:drawing>
                              <wp:inline distT="0" distB="0" distL="0" distR="0">
                                <wp:extent cx="7510145" cy="1541145"/>
                                <wp:effectExtent l="0" t="0" r="8255" b="8255"/>
                                <wp:docPr id="5" name="Picture 1" descr="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0145" cy="15411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 o:spid="_x0000_s1027" type="#_x0000_t202" style="position:absolute;margin-left:-53.75pt;margin-top:-34.2pt;width:605.4pt;height:1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" filled="f" stroked="f">
              <v:textbox>
                <w:txbxContent>
                  <w:p w:rsidR="00F336EA" w:rsidRDefault="00F336EA">
                    <w:r>
                      <w:rPr>
                        <w:noProof/>
                        <w:lang w:val="en-US" w:eastAsia="en-US"/>
                      </w:rPr>
                      <w:drawing>
                        <wp:inline distT="0" distB="0" distL="0" distR="0">
                          <wp:extent cx="7510145" cy="1541145"/>
                          <wp:effectExtent l="0" t="0" r="8255" b="8255"/>
                          <wp:docPr id="5" name="Picture 1" descr="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0145" cy="1541145"/>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66FFB"/>
    <w:rsid w:val="0019530F"/>
    <w:rsid w:val="001A06ED"/>
    <w:rsid w:val="001B0A41"/>
    <w:rsid w:val="001C5C7C"/>
    <w:rsid w:val="00217751"/>
    <w:rsid w:val="00221C86"/>
    <w:rsid w:val="00231C06"/>
    <w:rsid w:val="002D6079"/>
    <w:rsid w:val="002F48CA"/>
    <w:rsid w:val="0037363D"/>
    <w:rsid w:val="003A1D36"/>
    <w:rsid w:val="003C5524"/>
    <w:rsid w:val="004068AC"/>
    <w:rsid w:val="004149E7"/>
    <w:rsid w:val="00423861"/>
    <w:rsid w:val="00423BFB"/>
    <w:rsid w:val="00480079"/>
    <w:rsid w:val="0048038E"/>
    <w:rsid w:val="00487721"/>
    <w:rsid w:val="004B21E0"/>
    <w:rsid w:val="004B6E74"/>
    <w:rsid w:val="00534A5B"/>
    <w:rsid w:val="00613457"/>
    <w:rsid w:val="00626C39"/>
    <w:rsid w:val="006349CF"/>
    <w:rsid w:val="007265D4"/>
    <w:rsid w:val="007C3E81"/>
    <w:rsid w:val="00810726"/>
    <w:rsid w:val="00820633"/>
    <w:rsid w:val="0082760C"/>
    <w:rsid w:val="00843256"/>
    <w:rsid w:val="00885AF4"/>
    <w:rsid w:val="008944C1"/>
    <w:rsid w:val="009234F6"/>
    <w:rsid w:val="00947B19"/>
    <w:rsid w:val="00A17B13"/>
    <w:rsid w:val="00A8595D"/>
    <w:rsid w:val="00B2649B"/>
    <w:rsid w:val="00BD0E1E"/>
    <w:rsid w:val="00C638DA"/>
    <w:rsid w:val="00C80A12"/>
    <w:rsid w:val="00C969D3"/>
    <w:rsid w:val="00CF18F8"/>
    <w:rsid w:val="00D169F6"/>
    <w:rsid w:val="00D528F3"/>
    <w:rsid w:val="00DC03C7"/>
    <w:rsid w:val="00E0213B"/>
    <w:rsid w:val="00E10639"/>
    <w:rsid w:val="00E33CD7"/>
    <w:rsid w:val="00E7598B"/>
    <w:rsid w:val="00E958E6"/>
    <w:rsid w:val="00EC4447"/>
    <w:rsid w:val="00EC75E2"/>
    <w:rsid w:val="00F05B98"/>
    <w:rsid w:val="00F336EA"/>
    <w:rsid w:val="00F51EC1"/>
    <w:rsid w:val="00F51FC8"/>
    <w:rsid w:val="00FB256F"/>
    <w:rsid w:val="00FB724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EndNoteBibliography">
    <w:name w:val="EndNote Bibliography"/>
    <w:basedOn w:val="Normal"/>
    <w:rsid w:val="00F336EA"/>
    <w:rPr>
      <w:rFonts w:ascii="Cambria" w:eastAsiaTheme="minorEastAsia" w:hAnsi="Cambria" w:cstheme="minorBidi"/>
      <w:sz w:val="24"/>
      <w:szCs w:val="24"/>
      <w:lang w:val="en-US" w:eastAsia="en-US"/>
    </w:rPr>
  </w:style>
  <w:style w:type="character" w:styleId="Emphasis">
    <w:name w:val="Emphasis"/>
    <w:basedOn w:val="DefaultParagraphFont"/>
    <w:uiPriority w:val="20"/>
    <w:qFormat/>
    <w:rsid w:val="00FB256F"/>
    <w:rPr>
      <w:i/>
      <w:iCs/>
    </w:rPr>
  </w:style>
  <w:style w:type="paragraph" w:customStyle="1" w:styleId="xoverviewfo">
    <w:name w:val="xoverview f/o"/>
    <w:basedOn w:val="Normal"/>
    <w:rsid w:val="00FB256F"/>
    <w:pPr>
      <w:pBdr>
        <w:top w:val="single" w:sz="4" w:space="1" w:color="auto"/>
        <w:left w:val="single" w:sz="4" w:space="4" w:color="auto"/>
        <w:bottom w:val="single" w:sz="4" w:space="1" w:color="auto"/>
        <w:right w:val="single" w:sz="4" w:space="4" w:color="auto"/>
      </w:pBdr>
    </w:pPr>
    <w:rPr>
      <w:rFonts w:ascii="Arial" w:hAnsi="Arial"/>
      <w:sz w:val="22"/>
      <w:szCs w:val="24"/>
    </w:rPr>
  </w:style>
  <w:style w:type="paragraph" w:styleId="ListParagraph">
    <w:name w:val="List Paragraph"/>
    <w:basedOn w:val="Normal"/>
    <w:uiPriority w:val="34"/>
    <w:qFormat/>
    <w:rsid w:val="003A1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EndNoteBibliography">
    <w:name w:val="EndNote Bibliography"/>
    <w:basedOn w:val="Normal"/>
    <w:rsid w:val="00F336EA"/>
    <w:rPr>
      <w:rFonts w:ascii="Cambria" w:eastAsiaTheme="minorEastAsia" w:hAnsi="Cambria" w:cstheme="minorBidi"/>
      <w:sz w:val="24"/>
      <w:szCs w:val="24"/>
      <w:lang w:val="en-US" w:eastAsia="en-US"/>
    </w:rPr>
  </w:style>
  <w:style w:type="character" w:styleId="Emphasis">
    <w:name w:val="Emphasis"/>
    <w:basedOn w:val="DefaultParagraphFont"/>
    <w:uiPriority w:val="20"/>
    <w:qFormat/>
    <w:rsid w:val="00FB256F"/>
    <w:rPr>
      <w:i/>
      <w:iCs/>
    </w:rPr>
  </w:style>
  <w:style w:type="paragraph" w:customStyle="1" w:styleId="xoverviewfo">
    <w:name w:val="xoverview f/o"/>
    <w:basedOn w:val="Normal"/>
    <w:rsid w:val="00FB256F"/>
    <w:pPr>
      <w:pBdr>
        <w:top w:val="single" w:sz="4" w:space="1" w:color="auto"/>
        <w:left w:val="single" w:sz="4" w:space="4" w:color="auto"/>
        <w:bottom w:val="single" w:sz="4" w:space="1" w:color="auto"/>
        <w:right w:val="single" w:sz="4" w:space="4" w:color="auto"/>
      </w:pBdr>
    </w:pPr>
    <w:rPr>
      <w:rFonts w:ascii="Arial" w:hAnsi="Arial"/>
      <w:sz w:val="22"/>
      <w:szCs w:val="24"/>
    </w:rPr>
  </w:style>
  <w:style w:type="paragraph" w:styleId="ListParagraph">
    <w:name w:val="List Paragraph"/>
    <w:basedOn w:val="Normal"/>
    <w:uiPriority w:val="34"/>
    <w:qFormat/>
    <w:rsid w:val="003A1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ewr.gov.au/EarlyChildhood/Policy_Agenda/Quality/Documents/Final%20EYLF%20Framework%20Report%20-%20WEB.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c.gov.au/__data/assets/pdf_file/0016/130462/childcare-issues.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5</Pages>
  <Words>2367</Words>
  <Characters>14536</Characters>
  <Application>Microsoft Office Word</Application>
  <DocSecurity>0</DocSecurity>
  <Lines>223</Lines>
  <Paragraphs>57</Paragraphs>
  <ScaleCrop>false</ScaleCrop>
  <HeadingPairs>
    <vt:vector size="2" baseType="variant">
      <vt:variant>
        <vt:lpstr>Title</vt:lpstr>
      </vt:variant>
      <vt:variant>
        <vt:i4>1</vt:i4>
      </vt:variant>
    </vt:vector>
  </HeadingPairs>
  <TitlesOfParts>
    <vt:vector size="1" baseType="lpstr">
      <vt:lpstr>Submission 226 - Institute of Early Childhood - Childcare and Early Childhood Learning - Public inquiry</vt:lpstr>
    </vt:vector>
  </TitlesOfParts>
  <Company>Institute of Early Childhood</Company>
  <LinksUpToDate>false</LinksUpToDate>
  <CharactersWithSpaces>16872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226 - Institute of Early Childhood - Childcare and Early Childhood Learning - Public inquiry</dc:title>
  <dc:creator>Institute of Early Childhood</dc:creator>
  <cp:lastModifiedBy>Productivity Commission</cp:lastModifiedBy>
  <cp:revision>2</cp:revision>
  <cp:lastPrinted>2014-02-07T04:54:00Z</cp:lastPrinted>
  <dcterms:created xsi:type="dcterms:W3CDTF">2014-02-10T00:22:00Z</dcterms:created>
  <dcterms:modified xsi:type="dcterms:W3CDTF">2014-02-10T00:22:00Z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