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BB150" w14:textId="77777777" w:rsidR="00446254" w:rsidRDefault="00D00709">
      <w:bookmarkStart w:id="0" w:name="_GoBack"/>
      <w:bookmarkEnd w:id="0"/>
      <w:r>
        <w:t>To the Productivity Commission Inquiry About Child Care in Australia</w:t>
      </w:r>
    </w:p>
    <w:p w14:paraId="456E26D3" w14:textId="77777777" w:rsidR="00D00709" w:rsidRDefault="00D00709">
      <w:r>
        <w:t>From Dr. Gordon Cleveland, Economist, Department of Management, University of Toronto Scarborough and Honorary Senior Fellow, Graduate School of Education, University of Melbourne</w:t>
      </w:r>
    </w:p>
    <w:p w14:paraId="2DD4418C" w14:textId="6D2E565E" w:rsidR="00BA260F" w:rsidRDefault="00BA260F" w:rsidP="00065243">
      <w:pPr>
        <w:pStyle w:val="ListParagraph"/>
        <w:numPr>
          <w:ilvl w:val="0"/>
          <w:numId w:val="1"/>
        </w:numPr>
      </w:pPr>
      <w:r>
        <w:t>I have attached a recent chapter that I wrote for a book on child care in Canada</w:t>
      </w:r>
      <w:r w:rsidR="001C4A06">
        <w:rPr>
          <w:rStyle w:val="FootnoteReference"/>
        </w:rPr>
        <w:footnoteReference w:id="1"/>
      </w:r>
      <w:r>
        <w:t xml:space="preserve">.  It reviews literature on the costs and benefits of child care/preschool/early childhood education </w:t>
      </w:r>
      <w:r w:rsidR="00EB6AEF">
        <w:t>that</w:t>
      </w:r>
      <w:r>
        <w:t xml:space="preserve"> is a topic on which you have asked for comments/additional evidence.  The general conclusions, fairly similar to your own apparently, is that good quality early education can have important positive effects on children’s development but that the strength and nature of effects depends on family background, the age of the child, the quality of the teaching/learning/play experience and other factors.</w:t>
      </w:r>
      <w:r w:rsidR="00EB6AEF">
        <w:t xml:space="preserve">  There is also evidence of some negative effects under particular circumstances.</w:t>
      </w:r>
    </w:p>
    <w:p w14:paraId="4067AFFC" w14:textId="77777777" w:rsidR="00065243" w:rsidRDefault="00065243" w:rsidP="00065243">
      <w:pPr>
        <w:pStyle w:val="ListParagraph"/>
      </w:pPr>
    </w:p>
    <w:p w14:paraId="17EFBD04" w14:textId="14C7B14B" w:rsidR="00065243" w:rsidRDefault="0006180F" w:rsidP="00065243">
      <w:pPr>
        <w:pStyle w:val="ListParagraph"/>
        <w:numPr>
          <w:ilvl w:val="0"/>
          <w:numId w:val="1"/>
        </w:numPr>
      </w:pPr>
      <w:r>
        <w:t xml:space="preserve">This chapter also reviews evidence about the effects of child care on the </w:t>
      </w:r>
      <w:proofErr w:type="spellStart"/>
      <w:r>
        <w:t>labour</w:t>
      </w:r>
      <w:proofErr w:type="spellEnd"/>
      <w:r>
        <w:t xml:space="preserve"> force participation and hours of work of mothers of young children.  Policy reforms in Quebec (Canada) over the last 20 years have had a particularly strong positive </w:t>
      </w:r>
      <w:proofErr w:type="spellStart"/>
      <w:r>
        <w:t>labour</w:t>
      </w:r>
      <w:proofErr w:type="spellEnd"/>
      <w:r>
        <w:t xml:space="preserve"> force impact, partly because of the transparency of the costs to parents ($5 per day), partly because of the embedding of the child care reforms within the context of other supports to child rearing, and partly because of the inflexibility of the hours of care available (full-time, full-week care).</w:t>
      </w:r>
      <w:r w:rsidR="00A00E7B">
        <w:br/>
      </w:r>
    </w:p>
    <w:p w14:paraId="36951A8C" w14:textId="00A41DE2" w:rsidR="0006180F" w:rsidRPr="00A00E7B" w:rsidRDefault="0006180F" w:rsidP="0006180F">
      <w:pPr>
        <w:pStyle w:val="ListParagraph"/>
        <w:widowControl w:val="0"/>
        <w:numPr>
          <w:ilvl w:val="0"/>
          <w:numId w:val="1"/>
        </w:numPr>
        <w:autoSpaceDE w:val="0"/>
        <w:autoSpaceDN w:val="0"/>
        <w:adjustRightInd w:val="0"/>
        <w:spacing w:after="0"/>
      </w:pPr>
      <w:r>
        <w:t xml:space="preserve">I would offer several other observations on policy choices, </w:t>
      </w:r>
      <w:r w:rsidR="00D2290D">
        <w:t>most</w:t>
      </w:r>
      <w:r>
        <w:t xml:space="preserve"> supported by materials in this chapter.  My general conclusion is that policy matters a great deal.  “</w:t>
      </w:r>
      <w:r w:rsidRPr="00A00E7B">
        <w:rPr>
          <w:rFonts w:cs="Times New Roman"/>
        </w:rPr>
        <w:t>In general, the costs and benefits of investment</w:t>
      </w:r>
      <w:r w:rsidR="00A00E7B" w:rsidRPr="00A00E7B">
        <w:rPr>
          <w:rFonts w:cs="Times New Roman"/>
        </w:rPr>
        <w:t xml:space="preserve"> </w:t>
      </w:r>
      <w:r w:rsidRPr="00A00E7B">
        <w:rPr>
          <w:rFonts w:cs="Times New Roman"/>
        </w:rPr>
        <w:t xml:space="preserve">in </w:t>
      </w:r>
      <w:proofErr w:type="spellStart"/>
      <w:r w:rsidRPr="00A00E7B">
        <w:rPr>
          <w:rFonts w:cs="Times New Roman"/>
        </w:rPr>
        <w:t>ECEC</w:t>
      </w:r>
      <w:proofErr w:type="spellEnd"/>
      <w:r w:rsidRPr="00A00E7B">
        <w:rPr>
          <w:rFonts w:cs="Times New Roman"/>
        </w:rPr>
        <w:t xml:space="preserve"> are highly dependent on the details of policy reforms</w:t>
      </w:r>
      <w:r w:rsidR="00A00E7B" w:rsidRPr="00A00E7B">
        <w:rPr>
          <w:rFonts w:cs="Times New Roman"/>
        </w:rPr>
        <w:t xml:space="preserve"> </w:t>
      </w:r>
      <w:r w:rsidRPr="00A00E7B">
        <w:rPr>
          <w:rFonts w:cs="Times New Roman"/>
        </w:rPr>
        <w:t>(especially the quality of services supported), the institutional details</w:t>
      </w:r>
      <w:r w:rsidR="00A00E7B" w:rsidRPr="00A00E7B">
        <w:rPr>
          <w:rFonts w:cs="Times New Roman"/>
        </w:rPr>
        <w:t xml:space="preserve"> </w:t>
      </w:r>
      <w:r w:rsidRPr="00A00E7B">
        <w:rPr>
          <w:rFonts w:cs="Times New Roman"/>
        </w:rPr>
        <w:t xml:space="preserve">of service delivery, and the </w:t>
      </w:r>
      <w:proofErr w:type="spellStart"/>
      <w:r w:rsidRPr="00A00E7B">
        <w:rPr>
          <w:rFonts w:cs="Times New Roman"/>
        </w:rPr>
        <w:t>behavioural</w:t>
      </w:r>
      <w:proofErr w:type="spellEnd"/>
      <w:r w:rsidRPr="00A00E7B">
        <w:rPr>
          <w:rFonts w:cs="Times New Roman"/>
        </w:rPr>
        <w:t xml:space="preserve"> incentives provided by those</w:t>
      </w:r>
      <w:r w:rsidR="00A00E7B" w:rsidRPr="00A00E7B">
        <w:rPr>
          <w:rFonts w:cs="Times New Roman"/>
        </w:rPr>
        <w:t xml:space="preserve"> </w:t>
      </w:r>
      <w:r w:rsidRPr="00A00E7B">
        <w:rPr>
          <w:rFonts w:cs="Times New Roman"/>
        </w:rPr>
        <w:t>reforms.”</w:t>
      </w:r>
      <w:r w:rsidR="00D2290D" w:rsidRPr="00A00E7B">
        <w:rPr>
          <w:rFonts w:cs="Times New Roman"/>
        </w:rPr>
        <w:t xml:space="preserve"> (ibid., p. 80)</w:t>
      </w:r>
      <w:r w:rsidR="00A00E7B">
        <w:rPr>
          <w:rFonts w:cs="Times New Roman"/>
        </w:rPr>
        <w:t>.</w:t>
      </w:r>
    </w:p>
    <w:p w14:paraId="44CD36D8" w14:textId="77777777" w:rsidR="00A00E7B" w:rsidRDefault="00A00E7B" w:rsidP="00A00E7B">
      <w:pPr>
        <w:widowControl w:val="0"/>
        <w:autoSpaceDE w:val="0"/>
        <w:autoSpaceDN w:val="0"/>
        <w:adjustRightInd w:val="0"/>
        <w:spacing w:after="0"/>
      </w:pPr>
    </w:p>
    <w:p w14:paraId="35C60D4A" w14:textId="6D1460AB" w:rsidR="0006180F" w:rsidRDefault="00A00E7B" w:rsidP="00A00E7B">
      <w:pPr>
        <w:pStyle w:val="ListParagraph"/>
        <w:widowControl w:val="0"/>
        <w:numPr>
          <w:ilvl w:val="0"/>
          <w:numId w:val="1"/>
        </w:numPr>
        <w:autoSpaceDE w:val="0"/>
        <w:autoSpaceDN w:val="0"/>
        <w:adjustRightInd w:val="0"/>
        <w:spacing w:after="0"/>
      </w:pPr>
      <w:r>
        <w:t>Family</w:t>
      </w:r>
      <w:r w:rsidR="00A86944">
        <w:t xml:space="preserve">-based child care (i.e., care in the home of a non-relative) is an alluring alternative for policy-makers because it is assumed to involve lower public/parental costs and greater flexibility in the hours of care </w:t>
      </w:r>
      <w:r w:rsidR="00A86944">
        <w:lastRenderedPageBreak/>
        <w:t xml:space="preserve">provided.  Generally, there is greater flexibility, but usually the quality of care provided is much lower than that provided in </w:t>
      </w:r>
      <w:proofErr w:type="spellStart"/>
      <w:r w:rsidR="00A86944">
        <w:t>centres</w:t>
      </w:r>
      <w:proofErr w:type="spellEnd"/>
      <w:r w:rsidR="00A86944">
        <w:t xml:space="preserve">.  Caregivers have </w:t>
      </w:r>
      <w:r w:rsidR="006E4B23">
        <w:t>only a small number of hours of formal training and monitoring/mentoring schemes are generally perfunctory.  The low compensation of caregivers is what produces lower costs, but quality may be correspondingly low.  It is widely acknowledged that Quebec’s excessive dependence on family-based child care to build its expanding system of services was a mistake with negative consequences for average quality.</w:t>
      </w:r>
      <w:r w:rsidR="00FD7A40">
        <w:t xml:space="preserve"> </w:t>
      </w:r>
    </w:p>
    <w:p w14:paraId="1E286B56" w14:textId="77777777" w:rsidR="00FD7A40" w:rsidRDefault="00FD7A40" w:rsidP="00FD7A40">
      <w:pPr>
        <w:widowControl w:val="0"/>
        <w:autoSpaceDE w:val="0"/>
        <w:autoSpaceDN w:val="0"/>
        <w:adjustRightInd w:val="0"/>
        <w:spacing w:after="0"/>
      </w:pPr>
    </w:p>
    <w:p w14:paraId="57ABB0EC" w14:textId="2F2EEEBF" w:rsidR="00720204" w:rsidRPr="00FD7A40" w:rsidRDefault="00FD7A40" w:rsidP="00FD7A40">
      <w:pPr>
        <w:pStyle w:val="ListParagraph"/>
        <w:widowControl w:val="0"/>
        <w:numPr>
          <w:ilvl w:val="0"/>
          <w:numId w:val="1"/>
        </w:numPr>
        <w:autoSpaceDE w:val="0"/>
        <w:autoSpaceDN w:val="0"/>
        <w:adjustRightInd w:val="0"/>
        <w:spacing w:after="0"/>
      </w:pPr>
      <w:r>
        <w:t>Quality of services</w:t>
      </w:r>
      <w:r w:rsidR="00720204" w:rsidRPr="00FD7A40">
        <w:rPr>
          <w:rFonts w:cs="Times New Roman"/>
        </w:rPr>
        <w:t xml:space="preserve"> is of primary importance for the effects on children,</w:t>
      </w:r>
      <w:r w:rsidR="00A00E7B" w:rsidRPr="00FD7A40">
        <w:rPr>
          <w:rFonts w:cs="Times New Roman"/>
        </w:rPr>
        <w:t xml:space="preserve"> </w:t>
      </w:r>
      <w:r w:rsidR="00720204" w:rsidRPr="00FD7A40">
        <w:rPr>
          <w:rFonts w:cs="Times New Roman"/>
        </w:rPr>
        <w:t>but it is also a major driver of costs. Systems that focus primarily on rapid</w:t>
      </w:r>
      <w:r w:rsidR="00A00E7B" w:rsidRPr="00FD7A40">
        <w:rPr>
          <w:rFonts w:cs="Times New Roman"/>
        </w:rPr>
        <w:t xml:space="preserve"> </w:t>
      </w:r>
      <w:r w:rsidR="00720204" w:rsidRPr="00FD7A40">
        <w:rPr>
          <w:rFonts w:cs="Times New Roman"/>
        </w:rPr>
        <w:t>expansion of access tend to downgrade quality. In these circumstances,</w:t>
      </w:r>
      <w:r w:rsidR="00A00E7B" w:rsidRPr="00FD7A40">
        <w:rPr>
          <w:rFonts w:cs="Times New Roman"/>
        </w:rPr>
        <w:t xml:space="preserve"> </w:t>
      </w:r>
      <w:r w:rsidR="00720204" w:rsidRPr="00FD7A40">
        <w:rPr>
          <w:rFonts w:cs="Times New Roman"/>
        </w:rPr>
        <w:t>costs may rise substantially without improvements in quality. When</w:t>
      </w:r>
      <w:r w:rsidR="00A00E7B" w:rsidRPr="00FD7A40">
        <w:rPr>
          <w:rFonts w:cs="Times New Roman"/>
        </w:rPr>
        <w:t xml:space="preserve"> </w:t>
      </w:r>
      <w:r w:rsidR="00720204" w:rsidRPr="00FD7A40">
        <w:rPr>
          <w:rFonts w:cs="Times New Roman"/>
        </w:rPr>
        <w:t>this is true, it is difficult to put the genie back in the bottle and</w:t>
      </w:r>
      <w:r w:rsidR="00A00E7B" w:rsidRPr="00FD7A40">
        <w:rPr>
          <w:rFonts w:cs="Times New Roman"/>
        </w:rPr>
        <w:t xml:space="preserve"> </w:t>
      </w:r>
      <w:r w:rsidR="00720204" w:rsidRPr="00FD7A40">
        <w:rPr>
          <w:rFonts w:cs="Times New Roman"/>
        </w:rPr>
        <w:t>d</w:t>
      </w:r>
      <w:r w:rsidR="00A00E7B" w:rsidRPr="00FD7A40">
        <w:rPr>
          <w:rFonts w:cs="Times New Roman"/>
        </w:rPr>
        <w:t>iffi</w:t>
      </w:r>
      <w:r w:rsidR="00720204" w:rsidRPr="00FD7A40">
        <w:rPr>
          <w:rFonts w:cs="Times New Roman"/>
        </w:rPr>
        <w:t>cult to enhance quality at a reasonable public cost.</w:t>
      </w:r>
      <w:r w:rsidR="00A00E7B" w:rsidRPr="00FD7A40">
        <w:rPr>
          <w:rFonts w:cs="Times New Roman"/>
        </w:rPr>
        <w:t xml:space="preserve"> </w:t>
      </w:r>
    </w:p>
    <w:p w14:paraId="63E7DE89" w14:textId="77777777" w:rsidR="00FD7A40" w:rsidRDefault="00FD7A40" w:rsidP="00FD7A40">
      <w:pPr>
        <w:widowControl w:val="0"/>
        <w:autoSpaceDE w:val="0"/>
        <w:autoSpaceDN w:val="0"/>
        <w:adjustRightInd w:val="0"/>
        <w:spacing w:after="0"/>
      </w:pPr>
    </w:p>
    <w:p w14:paraId="7E520E40" w14:textId="1D4993A5" w:rsidR="007F7A5C" w:rsidRDefault="00FD7A40" w:rsidP="007F7A5C">
      <w:pPr>
        <w:pStyle w:val="ListParagraph"/>
        <w:widowControl w:val="0"/>
        <w:numPr>
          <w:ilvl w:val="0"/>
          <w:numId w:val="1"/>
        </w:numPr>
        <w:autoSpaceDE w:val="0"/>
        <w:autoSpaceDN w:val="0"/>
        <w:adjustRightInd w:val="0"/>
        <w:spacing w:after="0"/>
        <w:rPr>
          <w:rFonts w:cs="Times New Roman"/>
        </w:rPr>
      </w:pPr>
      <w:r>
        <w:t>There are</w:t>
      </w:r>
      <w:r w:rsidR="00720204" w:rsidRPr="00C50280">
        <w:rPr>
          <w:rFonts w:cs="Times New Roman"/>
        </w:rPr>
        <w:t xml:space="preserve"> likely to be expensive and inexpensive ways to improve child</w:t>
      </w:r>
      <w:r w:rsidRPr="00C50280">
        <w:rPr>
          <w:rFonts w:cs="Times New Roman"/>
        </w:rPr>
        <w:t xml:space="preserve"> </w:t>
      </w:r>
      <w:r w:rsidR="00720204" w:rsidRPr="00C50280">
        <w:rPr>
          <w:rFonts w:cs="Times New Roman"/>
        </w:rPr>
        <w:t xml:space="preserve">care quality. Discussions of quality improvement often </w:t>
      </w:r>
      <w:proofErr w:type="spellStart"/>
      <w:r w:rsidR="00720204" w:rsidRPr="00C50280">
        <w:rPr>
          <w:rFonts w:cs="Times New Roman"/>
        </w:rPr>
        <w:t>centre</w:t>
      </w:r>
      <w:proofErr w:type="spellEnd"/>
      <w:r w:rsidR="00720204" w:rsidRPr="00C50280">
        <w:rPr>
          <w:rFonts w:cs="Times New Roman"/>
        </w:rPr>
        <w:t xml:space="preserve"> on</w:t>
      </w:r>
      <w:r w:rsidRPr="00C50280">
        <w:rPr>
          <w:rFonts w:cs="Times New Roman"/>
        </w:rPr>
        <w:t xml:space="preserve"> </w:t>
      </w:r>
      <w:r w:rsidR="00720204" w:rsidRPr="00C50280">
        <w:rPr>
          <w:rFonts w:cs="Times New Roman"/>
        </w:rPr>
        <w:t xml:space="preserve">increasing </w:t>
      </w:r>
      <w:proofErr w:type="spellStart"/>
      <w:r w:rsidR="00720204" w:rsidRPr="00C50280">
        <w:rPr>
          <w:rFonts w:cs="Times New Roman"/>
        </w:rPr>
        <w:t>staff:child</w:t>
      </w:r>
      <w:proofErr w:type="spellEnd"/>
      <w:r w:rsidR="00720204" w:rsidRPr="00C50280">
        <w:rPr>
          <w:rFonts w:cs="Times New Roman"/>
        </w:rPr>
        <w:t xml:space="preserve"> ratios, increasing staff wages, and improving</w:t>
      </w:r>
      <w:r w:rsidRPr="00C50280">
        <w:rPr>
          <w:rFonts w:cs="Times New Roman"/>
        </w:rPr>
        <w:t xml:space="preserve"> qualifi</w:t>
      </w:r>
      <w:r w:rsidR="00720204" w:rsidRPr="00C50280">
        <w:rPr>
          <w:rFonts w:cs="Times New Roman"/>
        </w:rPr>
        <w:t>cations of staff across the board (e.g., all teaching staff should</w:t>
      </w:r>
      <w:r w:rsidRPr="00C50280">
        <w:rPr>
          <w:rFonts w:cs="Times New Roman"/>
        </w:rPr>
        <w:t xml:space="preserve"> </w:t>
      </w:r>
      <w:r w:rsidR="00720204" w:rsidRPr="00C50280">
        <w:rPr>
          <w:rFonts w:cs="Times New Roman"/>
        </w:rPr>
        <w:t>have a university degree). The extant literature on costs suggests</w:t>
      </w:r>
      <w:r w:rsidRPr="00C50280">
        <w:rPr>
          <w:rFonts w:cs="Times New Roman"/>
        </w:rPr>
        <w:t xml:space="preserve"> </w:t>
      </w:r>
      <w:r w:rsidR="00720204" w:rsidRPr="00C50280">
        <w:rPr>
          <w:rFonts w:cs="Times New Roman"/>
        </w:rPr>
        <w:t>that these will be expensive ways to improve quality. Other</w:t>
      </w:r>
      <w:r w:rsidRPr="00C50280">
        <w:rPr>
          <w:rFonts w:cs="Times New Roman"/>
        </w:rPr>
        <w:t xml:space="preserve"> </w:t>
      </w:r>
      <w:r w:rsidR="007F7A5C" w:rsidRPr="00C50280">
        <w:rPr>
          <w:rFonts w:cs="Times New Roman"/>
        </w:rPr>
        <w:t>measures – increased and improved professional development</w:t>
      </w:r>
      <w:r w:rsidRPr="00C50280">
        <w:rPr>
          <w:rFonts w:cs="Times New Roman"/>
        </w:rPr>
        <w:t xml:space="preserve"> </w:t>
      </w:r>
      <w:r w:rsidR="007F7A5C" w:rsidRPr="00C50280">
        <w:rPr>
          <w:rFonts w:cs="Times New Roman"/>
        </w:rPr>
        <w:t>training, changes in group size, enhanced curriculum/program</w:t>
      </w:r>
      <w:r w:rsidRPr="00C50280">
        <w:rPr>
          <w:rFonts w:cs="Times New Roman"/>
        </w:rPr>
        <w:t xml:space="preserve"> </w:t>
      </w:r>
      <w:r w:rsidR="007F7A5C" w:rsidRPr="00C50280">
        <w:rPr>
          <w:rFonts w:cs="Times New Roman"/>
        </w:rPr>
        <w:t>planning, improvements in physic</w:t>
      </w:r>
      <w:r w:rsidRPr="00C50280">
        <w:rPr>
          <w:rFonts w:cs="Times New Roman"/>
        </w:rPr>
        <w:t>al facilities, improved qualifi</w:t>
      </w:r>
      <w:r w:rsidR="007F7A5C" w:rsidRPr="00C50280">
        <w:rPr>
          <w:rFonts w:cs="Times New Roman"/>
        </w:rPr>
        <w:t>cations</w:t>
      </w:r>
      <w:r w:rsidRPr="00C50280">
        <w:rPr>
          <w:rFonts w:cs="Times New Roman"/>
        </w:rPr>
        <w:t xml:space="preserve"> </w:t>
      </w:r>
      <w:r w:rsidR="007F7A5C" w:rsidRPr="00C50280">
        <w:rPr>
          <w:rFonts w:cs="Times New Roman"/>
        </w:rPr>
        <w:t xml:space="preserve">and leadership abilities of </w:t>
      </w:r>
      <w:proofErr w:type="spellStart"/>
      <w:r w:rsidR="007F7A5C" w:rsidRPr="00C50280">
        <w:rPr>
          <w:rFonts w:cs="Times New Roman"/>
        </w:rPr>
        <w:t>centre</w:t>
      </w:r>
      <w:proofErr w:type="spellEnd"/>
      <w:r w:rsidR="007F7A5C" w:rsidRPr="00C50280">
        <w:rPr>
          <w:rFonts w:cs="Times New Roman"/>
        </w:rPr>
        <w:t xml:space="preserve"> directors, changes in the percentage</w:t>
      </w:r>
      <w:r w:rsidRPr="00C50280">
        <w:rPr>
          <w:rFonts w:cs="Times New Roman"/>
        </w:rPr>
        <w:t xml:space="preserve"> </w:t>
      </w:r>
      <w:r w:rsidR="007F7A5C" w:rsidRPr="00C50280">
        <w:rPr>
          <w:rFonts w:cs="Times New Roman"/>
        </w:rPr>
        <w:t xml:space="preserve">of </w:t>
      </w:r>
      <w:proofErr w:type="spellStart"/>
      <w:r w:rsidR="007F7A5C" w:rsidRPr="00C50280">
        <w:rPr>
          <w:rFonts w:cs="Times New Roman"/>
        </w:rPr>
        <w:t>centres</w:t>
      </w:r>
      <w:proofErr w:type="spellEnd"/>
      <w:r w:rsidR="007F7A5C" w:rsidRPr="00C50280">
        <w:rPr>
          <w:rFonts w:cs="Times New Roman"/>
        </w:rPr>
        <w:t xml:space="preserve"> that are no</w:t>
      </w:r>
      <w:r w:rsidRPr="00C50280">
        <w:rPr>
          <w:rFonts w:cs="Times New Roman"/>
        </w:rPr>
        <w:t>t-for-profi</w:t>
      </w:r>
      <w:r w:rsidR="007F7A5C" w:rsidRPr="00C50280">
        <w:rPr>
          <w:rFonts w:cs="Times New Roman"/>
        </w:rPr>
        <w:t>t – are likely to be much less</w:t>
      </w:r>
      <w:r w:rsidRPr="00C50280">
        <w:rPr>
          <w:rFonts w:cs="Times New Roman"/>
        </w:rPr>
        <w:t xml:space="preserve"> </w:t>
      </w:r>
      <w:r w:rsidR="007F7A5C" w:rsidRPr="00C50280">
        <w:rPr>
          <w:rFonts w:cs="Times New Roman"/>
        </w:rPr>
        <w:t>resource-intensive ways to increase quality. Unfortunately, much of</w:t>
      </w:r>
      <w:r w:rsidR="00C50280" w:rsidRPr="00C50280">
        <w:rPr>
          <w:rFonts w:cs="Times New Roman"/>
        </w:rPr>
        <w:t xml:space="preserve"> </w:t>
      </w:r>
      <w:r w:rsidR="007F7A5C" w:rsidRPr="00C50280">
        <w:rPr>
          <w:rFonts w:cs="Times New Roman"/>
        </w:rPr>
        <w:t>the early childhood literature on quality ignores the issue of costs.</w:t>
      </w:r>
      <w:r w:rsidR="00C50280" w:rsidRPr="00C50280">
        <w:rPr>
          <w:rFonts w:cs="Times New Roman"/>
        </w:rPr>
        <w:t xml:space="preserve"> </w:t>
      </w:r>
      <w:r w:rsidR="007F7A5C" w:rsidRPr="00C50280">
        <w:rPr>
          <w:rFonts w:cs="Times New Roman"/>
        </w:rPr>
        <w:t>Discussion should focus on determining the degree to which alternative</w:t>
      </w:r>
      <w:r w:rsidR="00C50280" w:rsidRPr="00C50280">
        <w:rPr>
          <w:rFonts w:cs="Times New Roman"/>
        </w:rPr>
        <w:t xml:space="preserve"> </w:t>
      </w:r>
      <w:r w:rsidR="007F7A5C" w:rsidRPr="00C50280">
        <w:rPr>
          <w:rFonts w:cs="Times New Roman"/>
        </w:rPr>
        <w:t>quality improvement measures are cost-effective.</w:t>
      </w:r>
    </w:p>
    <w:p w14:paraId="06A436B7" w14:textId="77777777" w:rsidR="00C50280" w:rsidRPr="00C50280" w:rsidRDefault="00C50280" w:rsidP="00C50280">
      <w:pPr>
        <w:widowControl w:val="0"/>
        <w:autoSpaceDE w:val="0"/>
        <w:autoSpaceDN w:val="0"/>
        <w:adjustRightInd w:val="0"/>
        <w:spacing w:after="0"/>
        <w:rPr>
          <w:rFonts w:cs="Times New Roman"/>
        </w:rPr>
      </w:pPr>
    </w:p>
    <w:p w14:paraId="53577B10" w14:textId="00A435E9" w:rsidR="007F7A5C" w:rsidRDefault="007F7A5C" w:rsidP="007F7A5C">
      <w:pPr>
        <w:pStyle w:val="ListParagraph"/>
        <w:widowControl w:val="0"/>
        <w:numPr>
          <w:ilvl w:val="0"/>
          <w:numId w:val="1"/>
        </w:numPr>
        <w:autoSpaceDE w:val="0"/>
        <w:autoSpaceDN w:val="0"/>
        <w:adjustRightInd w:val="0"/>
        <w:spacing w:after="0"/>
        <w:rPr>
          <w:rFonts w:cs="Times New Roman"/>
        </w:rPr>
      </w:pPr>
      <w:r w:rsidRPr="00C50280">
        <w:rPr>
          <w:rFonts w:cs="Times New Roman"/>
        </w:rPr>
        <w:t xml:space="preserve">However child care is delivered, policy should treat </w:t>
      </w:r>
      <w:proofErr w:type="spellStart"/>
      <w:r w:rsidRPr="00C50280">
        <w:rPr>
          <w:rFonts w:cs="Times New Roman"/>
        </w:rPr>
        <w:t>ECEC</w:t>
      </w:r>
      <w:proofErr w:type="spellEnd"/>
      <w:r w:rsidRPr="00C50280">
        <w:rPr>
          <w:rFonts w:cs="Times New Roman"/>
        </w:rPr>
        <w:t xml:space="preserve"> as a public</w:t>
      </w:r>
      <w:r w:rsidR="00C50280" w:rsidRPr="00C50280">
        <w:rPr>
          <w:rFonts w:cs="Times New Roman"/>
        </w:rPr>
        <w:t xml:space="preserve"> </w:t>
      </w:r>
      <w:r w:rsidRPr="00C50280">
        <w:rPr>
          <w:rFonts w:cs="Times New Roman"/>
        </w:rPr>
        <w:t xml:space="preserve">service. </w:t>
      </w:r>
      <w:r w:rsidR="00C50280" w:rsidRPr="00C50280">
        <w:rPr>
          <w:rFonts w:cs="Times New Roman"/>
        </w:rPr>
        <w:t xml:space="preserve"> Intense debates over for-profit vs. not-for-profi</w:t>
      </w:r>
      <w:r w:rsidRPr="00C50280">
        <w:rPr>
          <w:rFonts w:cs="Times New Roman"/>
        </w:rPr>
        <w:t>t vs. public</w:t>
      </w:r>
      <w:r w:rsidR="00C50280" w:rsidRPr="00C50280">
        <w:rPr>
          <w:rFonts w:cs="Times New Roman"/>
        </w:rPr>
        <w:t xml:space="preserve"> </w:t>
      </w:r>
      <w:r w:rsidRPr="00C50280">
        <w:rPr>
          <w:rFonts w:cs="Times New Roman"/>
        </w:rPr>
        <w:t>delivery of services sometimes miss the central point, which is that</w:t>
      </w:r>
      <w:r w:rsidR="00C50280" w:rsidRPr="00C50280">
        <w:rPr>
          <w:rFonts w:cs="Times New Roman"/>
        </w:rPr>
        <w:t xml:space="preserve"> </w:t>
      </w:r>
      <w:proofErr w:type="spellStart"/>
      <w:r w:rsidRPr="00C50280">
        <w:rPr>
          <w:rFonts w:cs="Times New Roman"/>
        </w:rPr>
        <w:t>ECEC</w:t>
      </w:r>
      <w:proofErr w:type="spellEnd"/>
      <w:r w:rsidRPr="00C50280">
        <w:rPr>
          <w:rFonts w:cs="Times New Roman"/>
        </w:rPr>
        <w:t xml:space="preserve"> is already, in essence, a public service, which may or may</w:t>
      </w:r>
      <w:r w:rsidR="00C50280" w:rsidRPr="00C50280">
        <w:rPr>
          <w:rFonts w:cs="Times New Roman"/>
        </w:rPr>
        <w:t xml:space="preserve"> </w:t>
      </w:r>
      <w:r w:rsidRPr="00C50280">
        <w:rPr>
          <w:rFonts w:cs="Times New Roman"/>
        </w:rPr>
        <w:t>not be delivered by private providers. It is not a market commodity,</w:t>
      </w:r>
      <w:r w:rsidR="00C50280" w:rsidRPr="00C50280">
        <w:rPr>
          <w:rFonts w:cs="Times New Roman"/>
        </w:rPr>
        <w:t xml:space="preserve"> </w:t>
      </w:r>
      <w:r w:rsidRPr="00C50280">
        <w:rPr>
          <w:rFonts w:cs="Times New Roman"/>
        </w:rPr>
        <w:t>traded in a normal market situation. In a large and increasing</w:t>
      </w:r>
      <w:r w:rsidR="00C50280" w:rsidRPr="00C50280">
        <w:rPr>
          <w:rFonts w:cs="Times New Roman"/>
        </w:rPr>
        <w:t xml:space="preserve"> </w:t>
      </w:r>
      <w:r w:rsidRPr="00C50280">
        <w:rPr>
          <w:rFonts w:cs="Times New Roman"/>
        </w:rPr>
        <w:t>number of jurisdictions (including Australia, the Netherlands, the</w:t>
      </w:r>
      <w:r w:rsidR="00C50280" w:rsidRPr="00C50280">
        <w:rPr>
          <w:rFonts w:cs="Times New Roman"/>
        </w:rPr>
        <w:t xml:space="preserve"> </w:t>
      </w:r>
      <w:r w:rsidRPr="00C50280">
        <w:rPr>
          <w:rFonts w:cs="Times New Roman"/>
        </w:rPr>
        <w:t>United Kingdom, Quebec, and most of the EU countries), governments</w:t>
      </w:r>
      <w:r w:rsidR="00C50280" w:rsidRPr="00C50280">
        <w:rPr>
          <w:rFonts w:cs="Times New Roman"/>
        </w:rPr>
        <w:t xml:space="preserve"> </w:t>
      </w:r>
      <w:r w:rsidRPr="00C50280">
        <w:rPr>
          <w:rFonts w:cs="Times New Roman"/>
        </w:rPr>
        <w:t>pay 60 per cent to 100 per cent of the costs of providing early</w:t>
      </w:r>
      <w:r w:rsidR="00C50280" w:rsidRPr="00C50280">
        <w:rPr>
          <w:rFonts w:cs="Times New Roman"/>
        </w:rPr>
        <w:t xml:space="preserve"> </w:t>
      </w:r>
      <w:r w:rsidRPr="00C50280">
        <w:rPr>
          <w:rFonts w:cs="Times New Roman"/>
        </w:rPr>
        <w:t>childhood education and care because of the substantial public</w:t>
      </w:r>
      <w:r w:rsidR="00C50280" w:rsidRPr="00C50280">
        <w:rPr>
          <w:rFonts w:cs="Times New Roman"/>
        </w:rPr>
        <w:t xml:space="preserve"> benefi</w:t>
      </w:r>
      <w:r w:rsidRPr="00C50280">
        <w:rPr>
          <w:rFonts w:cs="Times New Roman"/>
        </w:rPr>
        <w:t xml:space="preserve">ts believed to come from </w:t>
      </w:r>
      <w:proofErr w:type="spellStart"/>
      <w:r w:rsidRPr="00C50280">
        <w:rPr>
          <w:rFonts w:cs="Times New Roman"/>
        </w:rPr>
        <w:t>ECEC</w:t>
      </w:r>
      <w:proofErr w:type="spellEnd"/>
      <w:r w:rsidRPr="00C50280">
        <w:rPr>
          <w:rFonts w:cs="Times New Roman"/>
        </w:rPr>
        <w:t>. In this circumstance, normal</w:t>
      </w:r>
      <w:r w:rsidR="00C50280" w:rsidRPr="00C50280">
        <w:rPr>
          <w:rFonts w:cs="Times New Roman"/>
        </w:rPr>
        <w:t xml:space="preserve"> </w:t>
      </w:r>
      <w:r w:rsidRPr="00C50280">
        <w:rPr>
          <w:rFonts w:cs="Times New Roman"/>
        </w:rPr>
        <w:t xml:space="preserve">market mechanisms do not work (in particular, </w:t>
      </w:r>
      <w:r w:rsidRPr="00C50280">
        <w:rPr>
          <w:rFonts w:cs="Times New Roman"/>
        </w:rPr>
        <w:lastRenderedPageBreak/>
        <w:t>normal market</w:t>
      </w:r>
      <w:r w:rsidR="00C50280" w:rsidRPr="00C50280">
        <w:rPr>
          <w:rFonts w:cs="Times New Roman"/>
        </w:rPr>
        <w:t xml:space="preserve"> </w:t>
      </w:r>
      <w:r w:rsidRPr="00C50280">
        <w:rPr>
          <w:rFonts w:cs="Times New Roman"/>
        </w:rPr>
        <w:t>mechanisms do not restrain increases in costs); government policies</w:t>
      </w:r>
      <w:r w:rsidR="00C50280" w:rsidRPr="00C50280">
        <w:rPr>
          <w:rFonts w:cs="Times New Roman"/>
        </w:rPr>
        <w:t xml:space="preserve"> </w:t>
      </w:r>
      <w:r w:rsidRPr="00C50280">
        <w:rPr>
          <w:rFonts w:cs="Times New Roman"/>
        </w:rPr>
        <w:t>are therefore responsible for ensuring desired outcomes even if a</w:t>
      </w:r>
      <w:r w:rsidR="00C50280" w:rsidRPr="00C50280">
        <w:rPr>
          <w:rFonts w:cs="Times New Roman"/>
        </w:rPr>
        <w:t xml:space="preserve"> </w:t>
      </w:r>
      <w:r w:rsidRPr="00C50280">
        <w:rPr>
          <w:rFonts w:cs="Times New Roman"/>
        </w:rPr>
        <w:t>substantial component of services is delivered</w:t>
      </w:r>
      <w:r w:rsidR="00C50280" w:rsidRPr="00C50280">
        <w:rPr>
          <w:rFonts w:cs="Times New Roman"/>
        </w:rPr>
        <w:t xml:space="preserve"> by for-profi</w:t>
      </w:r>
      <w:r w:rsidRPr="00C50280">
        <w:rPr>
          <w:rFonts w:cs="Times New Roman"/>
        </w:rPr>
        <w:t>t or not</w:t>
      </w:r>
      <w:r w:rsidR="00814468">
        <w:rPr>
          <w:rFonts w:cs="Times New Roman"/>
        </w:rPr>
        <w:t>-</w:t>
      </w:r>
      <w:r w:rsidRPr="00C50280">
        <w:rPr>
          <w:rFonts w:cs="Times New Roman"/>
        </w:rPr>
        <w:t>for-</w:t>
      </w:r>
      <w:r w:rsidR="00C50280">
        <w:rPr>
          <w:rFonts w:cs="Times New Roman"/>
        </w:rPr>
        <w:t>profi</w:t>
      </w:r>
      <w:r w:rsidRPr="00C50280">
        <w:rPr>
          <w:rFonts w:cs="Times New Roman"/>
        </w:rPr>
        <w:t>t providers, rather than by the public sector.</w:t>
      </w:r>
    </w:p>
    <w:p w14:paraId="47893E85" w14:textId="77777777" w:rsidR="00781C89" w:rsidRPr="00781C89" w:rsidRDefault="00781C89" w:rsidP="00781C89">
      <w:pPr>
        <w:widowControl w:val="0"/>
        <w:autoSpaceDE w:val="0"/>
        <w:autoSpaceDN w:val="0"/>
        <w:adjustRightInd w:val="0"/>
        <w:spacing w:after="0"/>
        <w:rPr>
          <w:rFonts w:cs="Times New Roman"/>
        </w:rPr>
      </w:pPr>
    </w:p>
    <w:p w14:paraId="1078605A" w14:textId="31F29095" w:rsidR="007F7A5C" w:rsidRDefault="00781C89" w:rsidP="007F7A5C">
      <w:pPr>
        <w:pStyle w:val="ListParagraph"/>
        <w:widowControl w:val="0"/>
        <w:numPr>
          <w:ilvl w:val="0"/>
          <w:numId w:val="1"/>
        </w:numPr>
        <w:autoSpaceDE w:val="0"/>
        <w:autoSpaceDN w:val="0"/>
        <w:adjustRightInd w:val="0"/>
        <w:spacing w:after="0"/>
        <w:rPr>
          <w:rFonts w:cs="Times New Roman"/>
        </w:rPr>
      </w:pPr>
      <w:r w:rsidRPr="007941DD">
        <w:rPr>
          <w:rFonts w:cs="Times New Roman"/>
        </w:rPr>
        <w:t xml:space="preserve"> </w:t>
      </w:r>
      <w:r w:rsidR="007F7A5C" w:rsidRPr="007941DD">
        <w:rPr>
          <w:rFonts w:cs="Times New Roman"/>
        </w:rPr>
        <w:t>It is important to ensure that good quality services reach children</w:t>
      </w:r>
      <w:r w:rsidRPr="007941DD">
        <w:rPr>
          <w:rFonts w:cs="Times New Roman"/>
        </w:rPr>
        <w:t xml:space="preserve"> </w:t>
      </w:r>
      <w:r w:rsidR="007F7A5C" w:rsidRPr="007941DD">
        <w:rPr>
          <w:rFonts w:cs="Times New Roman"/>
        </w:rPr>
        <w:t>who are more economically and socially disadvantaged, who are</w:t>
      </w:r>
      <w:r w:rsidRPr="007941DD">
        <w:rPr>
          <w:rFonts w:cs="Times New Roman"/>
        </w:rPr>
        <w:t xml:space="preserve"> </w:t>
      </w:r>
      <w:r w:rsidR="007F7A5C" w:rsidRPr="007941DD">
        <w:rPr>
          <w:rFonts w:cs="Times New Roman"/>
        </w:rPr>
        <w:t>more likely to be vulnerable, or to have less than adequate parenting,</w:t>
      </w:r>
      <w:r w:rsidRPr="007941DD">
        <w:rPr>
          <w:rFonts w:cs="Times New Roman"/>
        </w:rPr>
        <w:t xml:space="preserve"> </w:t>
      </w:r>
      <w:r w:rsidR="007F7A5C" w:rsidRPr="007941DD">
        <w:rPr>
          <w:rFonts w:cs="Times New Roman"/>
        </w:rPr>
        <w:t>or other sources of stimulation. These children have a high ratio</w:t>
      </w:r>
      <w:r w:rsidRPr="007941DD">
        <w:rPr>
          <w:rFonts w:cs="Times New Roman"/>
        </w:rPr>
        <w:t xml:space="preserve"> of benefi</w:t>
      </w:r>
      <w:r w:rsidR="007F7A5C" w:rsidRPr="007941DD">
        <w:rPr>
          <w:rFonts w:cs="Times New Roman"/>
        </w:rPr>
        <w:t>ts to costs, a</w:t>
      </w:r>
      <w:r w:rsidRPr="007941DD">
        <w:rPr>
          <w:rFonts w:cs="Times New Roman"/>
        </w:rPr>
        <w:t>nd public support for public fi</w:t>
      </w:r>
      <w:r w:rsidR="007F7A5C" w:rsidRPr="007941DD">
        <w:rPr>
          <w:rFonts w:cs="Times New Roman"/>
        </w:rPr>
        <w:t>nancing depends</w:t>
      </w:r>
      <w:r w:rsidRPr="007941DD">
        <w:rPr>
          <w:rFonts w:cs="Times New Roman"/>
        </w:rPr>
        <w:t xml:space="preserve"> </w:t>
      </w:r>
      <w:r w:rsidR="007F7A5C" w:rsidRPr="007941DD">
        <w:rPr>
          <w:rFonts w:cs="Times New Roman"/>
        </w:rPr>
        <w:t>on the system’s success in equalizing opportunities. Disadvantaged</w:t>
      </w:r>
      <w:r w:rsidRPr="007941DD">
        <w:rPr>
          <w:rFonts w:cs="Times New Roman"/>
        </w:rPr>
        <w:t xml:space="preserve"> </w:t>
      </w:r>
      <w:r w:rsidR="007F7A5C" w:rsidRPr="007941DD">
        <w:rPr>
          <w:rFonts w:cs="Times New Roman"/>
        </w:rPr>
        <w:t>children (in fact, many children have different degrees of disadvantage</w:t>
      </w:r>
      <w:r w:rsidRPr="007941DD">
        <w:rPr>
          <w:rFonts w:cs="Times New Roman"/>
        </w:rPr>
        <w:t xml:space="preserve"> </w:t>
      </w:r>
      <w:r w:rsidR="007F7A5C" w:rsidRPr="007941DD">
        <w:rPr>
          <w:rFonts w:cs="Times New Roman"/>
        </w:rPr>
        <w:t>or vulnerability) can be accommodated and receive appropriately</w:t>
      </w:r>
      <w:r w:rsidRPr="007941DD">
        <w:rPr>
          <w:rFonts w:cs="Times New Roman"/>
        </w:rPr>
        <w:t xml:space="preserve"> </w:t>
      </w:r>
      <w:r w:rsidR="007F7A5C" w:rsidRPr="007941DD">
        <w:rPr>
          <w:rFonts w:cs="Times New Roman"/>
        </w:rPr>
        <w:t>special treatment within the context of a universal program of</w:t>
      </w:r>
      <w:r w:rsidRPr="007941DD">
        <w:rPr>
          <w:rFonts w:cs="Times New Roman"/>
        </w:rPr>
        <w:t xml:space="preserve"> </w:t>
      </w:r>
      <w:r w:rsidR="007F7A5C" w:rsidRPr="007941DD">
        <w:rPr>
          <w:rFonts w:cs="Times New Roman"/>
        </w:rPr>
        <w:t>services. The alternative of highly targeted services has very substantial</w:t>
      </w:r>
      <w:r w:rsidR="007941DD" w:rsidRPr="007941DD">
        <w:rPr>
          <w:rFonts w:cs="Times New Roman"/>
        </w:rPr>
        <w:t xml:space="preserve"> </w:t>
      </w:r>
      <w:r w:rsidR="007F7A5C" w:rsidRPr="007941DD">
        <w:rPr>
          <w:rFonts w:cs="Times New Roman"/>
        </w:rPr>
        <w:t>problems (Doherty, 2007). However, there needs to be more</w:t>
      </w:r>
      <w:r w:rsidR="007941DD" w:rsidRPr="007941DD">
        <w:rPr>
          <w:rFonts w:cs="Times New Roman"/>
        </w:rPr>
        <w:t xml:space="preserve"> </w:t>
      </w:r>
      <w:r w:rsidR="007F7A5C" w:rsidRPr="007941DD">
        <w:rPr>
          <w:rFonts w:cs="Times New Roman"/>
        </w:rPr>
        <w:t xml:space="preserve">planning for how </w:t>
      </w:r>
      <w:proofErr w:type="spellStart"/>
      <w:r w:rsidR="007F7A5C" w:rsidRPr="007941DD">
        <w:rPr>
          <w:rFonts w:cs="Times New Roman"/>
        </w:rPr>
        <w:t>ECEC</w:t>
      </w:r>
      <w:proofErr w:type="spellEnd"/>
      <w:r w:rsidR="007F7A5C" w:rsidRPr="007941DD">
        <w:rPr>
          <w:rFonts w:cs="Times New Roman"/>
        </w:rPr>
        <w:t xml:space="preserve"> services will foster the development of</w:t>
      </w:r>
      <w:r w:rsidR="007941DD" w:rsidRPr="007941DD">
        <w:rPr>
          <w:rFonts w:cs="Times New Roman"/>
        </w:rPr>
        <w:t xml:space="preserve"> </w:t>
      </w:r>
      <w:r w:rsidR="007F7A5C" w:rsidRPr="007941DD">
        <w:rPr>
          <w:rFonts w:cs="Times New Roman"/>
        </w:rPr>
        <w:t>vulnerable children within the context of universally accessible programs.</w:t>
      </w:r>
      <w:r w:rsidR="007941DD" w:rsidRPr="007941DD">
        <w:rPr>
          <w:rFonts w:cs="Times New Roman"/>
        </w:rPr>
        <w:t xml:space="preserve"> </w:t>
      </w:r>
      <w:r w:rsidR="007F7A5C" w:rsidRPr="007941DD">
        <w:rPr>
          <w:rFonts w:cs="Times New Roman"/>
        </w:rPr>
        <w:t>One issue is access to universal services. In a situation where</w:t>
      </w:r>
      <w:r w:rsidR="007941DD" w:rsidRPr="007941DD">
        <w:rPr>
          <w:rFonts w:cs="Times New Roman"/>
        </w:rPr>
        <w:t xml:space="preserve"> </w:t>
      </w:r>
      <w:r w:rsidR="007F7A5C" w:rsidRPr="007941DD">
        <w:rPr>
          <w:rFonts w:cs="Times New Roman"/>
        </w:rPr>
        <w:t>there is likely to be an inadequate supply of services, low-income</w:t>
      </w:r>
      <w:r w:rsidR="007941DD" w:rsidRPr="007941DD">
        <w:rPr>
          <w:rFonts w:cs="Times New Roman"/>
        </w:rPr>
        <w:t xml:space="preserve"> </w:t>
      </w:r>
      <w:r w:rsidR="007F7A5C" w:rsidRPr="007941DD">
        <w:rPr>
          <w:rFonts w:cs="Times New Roman"/>
        </w:rPr>
        <w:t>families tend to be slower off the mark in ensuring access, and when</w:t>
      </w:r>
      <w:r w:rsidR="007941DD" w:rsidRPr="007941DD">
        <w:rPr>
          <w:rFonts w:cs="Times New Roman"/>
        </w:rPr>
        <w:t xml:space="preserve"> they do fi</w:t>
      </w:r>
      <w:r w:rsidR="007F7A5C" w:rsidRPr="007941DD">
        <w:rPr>
          <w:rFonts w:cs="Times New Roman"/>
        </w:rPr>
        <w:t xml:space="preserve">nd spaces, their children are often in lower-quality </w:t>
      </w:r>
      <w:proofErr w:type="spellStart"/>
      <w:r w:rsidR="007F7A5C" w:rsidRPr="007941DD">
        <w:rPr>
          <w:rFonts w:cs="Times New Roman"/>
        </w:rPr>
        <w:t>centres</w:t>
      </w:r>
      <w:proofErr w:type="spellEnd"/>
      <w:r w:rsidR="007F7A5C" w:rsidRPr="007941DD">
        <w:rPr>
          <w:rFonts w:cs="Times New Roman"/>
        </w:rPr>
        <w:t>.</w:t>
      </w:r>
      <w:r w:rsidR="007941DD" w:rsidRPr="007941DD">
        <w:rPr>
          <w:rFonts w:cs="Times New Roman"/>
        </w:rPr>
        <w:t xml:space="preserve"> </w:t>
      </w:r>
      <w:r w:rsidR="007F7A5C" w:rsidRPr="007941DD">
        <w:rPr>
          <w:rFonts w:cs="Times New Roman"/>
        </w:rPr>
        <w:t>As a result, disadvantaged children may not gain the substantial</w:t>
      </w:r>
      <w:r w:rsidR="007941DD" w:rsidRPr="007941DD">
        <w:rPr>
          <w:rFonts w:cs="Times New Roman"/>
        </w:rPr>
        <w:t xml:space="preserve"> </w:t>
      </w:r>
      <w:r w:rsidR="007F7A5C" w:rsidRPr="007941DD">
        <w:rPr>
          <w:rFonts w:cs="Times New Roman"/>
        </w:rPr>
        <w:t>developmental benef</w:t>
      </w:r>
      <w:r w:rsidR="007941DD">
        <w:rPr>
          <w:rFonts w:cs="Times New Roman"/>
        </w:rPr>
        <w:t>i</w:t>
      </w:r>
      <w:r w:rsidR="007F7A5C" w:rsidRPr="007941DD">
        <w:rPr>
          <w:rFonts w:cs="Times New Roman"/>
        </w:rPr>
        <w:t xml:space="preserve">ts that </w:t>
      </w:r>
      <w:proofErr w:type="spellStart"/>
      <w:r w:rsidR="007F7A5C" w:rsidRPr="007941DD">
        <w:rPr>
          <w:rFonts w:cs="Times New Roman"/>
        </w:rPr>
        <w:t>ECEC</w:t>
      </w:r>
      <w:proofErr w:type="spellEnd"/>
      <w:r w:rsidR="007F7A5C" w:rsidRPr="007941DD">
        <w:rPr>
          <w:rFonts w:cs="Times New Roman"/>
        </w:rPr>
        <w:t xml:space="preserve"> can provide.</w:t>
      </w:r>
      <w:r w:rsidR="007674E6">
        <w:rPr>
          <w:rFonts w:cs="Times New Roman"/>
        </w:rPr>
        <w:t xml:space="preserve">  Cash-for-care schemes that pay parents to use parental or other care rather than subsidized </w:t>
      </w:r>
      <w:proofErr w:type="spellStart"/>
      <w:r w:rsidR="007674E6">
        <w:rPr>
          <w:rFonts w:cs="Times New Roman"/>
        </w:rPr>
        <w:t>ECEC</w:t>
      </w:r>
      <w:proofErr w:type="spellEnd"/>
      <w:r w:rsidR="007674E6">
        <w:rPr>
          <w:rFonts w:cs="Times New Roman"/>
        </w:rPr>
        <w:t xml:space="preserve"> services are most attractive to mothers in low-income families.  However, this discourages </w:t>
      </w:r>
      <w:proofErr w:type="spellStart"/>
      <w:r w:rsidR="007674E6">
        <w:rPr>
          <w:rFonts w:cs="Times New Roman"/>
        </w:rPr>
        <w:t>labour</w:t>
      </w:r>
      <w:proofErr w:type="spellEnd"/>
      <w:r w:rsidR="007674E6">
        <w:rPr>
          <w:rFonts w:cs="Times New Roman"/>
        </w:rPr>
        <w:t>-force attachment and may not be developmentally-optimal for these children.</w:t>
      </w:r>
    </w:p>
    <w:p w14:paraId="37EC52C6" w14:textId="77777777" w:rsidR="007941DD" w:rsidRDefault="007941DD" w:rsidP="007941DD">
      <w:pPr>
        <w:pStyle w:val="ListParagraph"/>
        <w:widowControl w:val="0"/>
        <w:autoSpaceDE w:val="0"/>
        <w:autoSpaceDN w:val="0"/>
        <w:adjustRightInd w:val="0"/>
        <w:spacing w:after="0"/>
        <w:rPr>
          <w:rFonts w:cs="Times New Roman"/>
        </w:rPr>
      </w:pPr>
    </w:p>
    <w:p w14:paraId="6EF11CA1" w14:textId="3A5759B0" w:rsidR="007F7A5C" w:rsidRPr="00972773" w:rsidRDefault="00D55C19" w:rsidP="007F7A5C">
      <w:pPr>
        <w:pStyle w:val="ListParagraph"/>
        <w:widowControl w:val="0"/>
        <w:numPr>
          <w:ilvl w:val="0"/>
          <w:numId w:val="1"/>
        </w:numPr>
        <w:autoSpaceDE w:val="0"/>
        <w:autoSpaceDN w:val="0"/>
        <w:adjustRightInd w:val="0"/>
        <w:spacing w:after="0"/>
      </w:pPr>
      <w:r>
        <w:rPr>
          <w:rFonts w:cs="Times New Roman"/>
        </w:rPr>
        <w:t>Maternity and parental leave are essential complements to child care/preschool/early childhood education.  The cost of non-parental child care for infant children when done well is very expensive, and parental care in the early months is preferable on cost and child development grounds.</w:t>
      </w:r>
      <w:r w:rsidR="009E50B9">
        <w:rPr>
          <w:rFonts w:cs="Times New Roman"/>
        </w:rPr>
        <w:t xml:space="preserve">  When parental leave is paid and excessively long (2 to 3 years), it has strong negative effects on women’s </w:t>
      </w:r>
      <w:proofErr w:type="spellStart"/>
      <w:r w:rsidR="009E50B9">
        <w:rPr>
          <w:rFonts w:cs="Times New Roman"/>
        </w:rPr>
        <w:t>labour</w:t>
      </w:r>
      <w:proofErr w:type="spellEnd"/>
      <w:r w:rsidR="009E50B9">
        <w:rPr>
          <w:rFonts w:cs="Times New Roman"/>
        </w:rPr>
        <w:t xml:space="preserve"> force participation and encourages employers to discriminate against women of child-bearing-age in hiring and compensation.  When parental leave is paid and shorter (6 months to 15 months), and there is job protection for parents taking time off, this encourages </w:t>
      </w:r>
      <w:proofErr w:type="spellStart"/>
      <w:r w:rsidR="009E50B9">
        <w:rPr>
          <w:rFonts w:cs="Times New Roman"/>
        </w:rPr>
        <w:t>labour</w:t>
      </w:r>
      <w:proofErr w:type="spellEnd"/>
      <w:r w:rsidR="009E50B9">
        <w:rPr>
          <w:rFonts w:cs="Times New Roman"/>
        </w:rPr>
        <w:t xml:space="preserve">-force attachment and discrimination is less.  Encouraging fathers to take significant amounts of leave with children when they are young is likely to be beneficial for children, for fathers’ relationships with children and for reduced discrimination against mothers.  Many countries now have use-it-or-lose-it daddy-weeks of parental leave (reserved for the parent who is not the main leave-taker).   </w:t>
      </w:r>
      <w:r w:rsidR="00E212AF">
        <w:rPr>
          <w:rFonts w:cs="Times New Roman"/>
        </w:rPr>
        <w:lastRenderedPageBreak/>
        <w:t xml:space="preserve">Sweden has innovated with allowing parents to negotiate reduced work-time in the first years of the child’s life as part of parental leave (e.g., reducing work from 8 hours per day to 6 hours per day, with parental benefit compensating partially for lost income).  Since this encourages shorter hours of non-parental care when children are very young, it is </w:t>
      </w:r>
      <w:r w:rsidR="00D37822">
        <w:rPr>
          <w:rFonts w:cs="Times New Roman"/>
        </w:rPr>
        <w:t>likely to be positive for children’s development.</w:t>
      </w:r>
    </w:p>
    <w:p w14:paraId="6B19627E" w14:textId="77777777" w:rsidR="00972773" w:rsidRPr="00972773" w:rsidRDefault="00972773" w:rsidP="00972773">
      <w:pPr>
        <w:pStyle w:val="ListParagraph"/>
        <w:widowControl w:val="0"/>
        <w:autoSpaceDE w:val="0"/>
        <w:autoSpaceDN w:val="0"/>
        <w:adjustRightInd w:val="0"/>
        <w:spacing w:after="0"/>
      </w:pPr>
    </w:p>
    <w:p w14:paraId="14285A35" w14:textId="1F75A59C" w:rsidR="00972773" w:rsidRPr="00A00E7B" w:rsidRDefault="00972773" w:rsidP="007F7A5C">
      <w:pPr>
        <w:pStyle w:val="ListParagraph"/>
        <w:widowControl w:val="0"/>
        <w:numPr>
          <w:ilvl w:val="0"/>
          <w:numId w:val="1"/>
        </w:numPr>
        <w:autoSpaceDE w:val="0"/>
        <w:autoSpaceDN w:val="0"/>
        <w:adjustRightInd w:val="0"/>
        <w:spacing w:after="0"/>
      </w:pPr>
      <w:r>
        <w:t xml:space="preserve">  The book chapter with supporting evidence and references is attached.</w:t>
      </w:r>
    </w:p>
    <w:sectPr w:rsidR="00972773" w:rsidRPr="00A00E7B" w:rsidSect="00D70A11">
      <w:headerReference w:type="even" r:id="rId8"/>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E91B0" w14:textId="77777777" w:rsidR="00E212AF" w:rsidRDefault="00E212AF" w:rsidP="001C4A06">
      <w:pPr>
        <w:spacing w:after="0"/>
      </w:pPr>
      <w:r>
        <w:separator/>
      </w:r>
    </w:p>
  </w:endnote>
  <w:endnote w:type="continuationSeparator" w:id="0">
    <w:p w14:paraId="3C258008" w14:textId="77777777" w:rsidR="00E212AF" w:rsidRDefault="00E212AF" w:rsidP="001C4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FB036" w14:textId="77777777" w:rsidR="00E212AF" w:rsidRDefault="00E212AF" w:rsidP="001C4A06">
      <w:pPr>
        <w:spacing w:after="0"/>
      </w:pPr>
      <w:r>
        <w:separator/>
      </w:r>
    </w:p>
  </w:footnote>
  <w:footnote w:type="continuationSeparator" w:id="0">
    <w:p w14:paraId="6A05F758" w14:textId="77777777" w:rsidR="00E212AF" w:rsidRDefault="00E212AF" w:rsidP="001C4A06">
      <w:pPr>
        <w:spacing w:after="0"/>
      </w:pPr>
      <w:r>
        <w:continuationSeparator/>
      </w:r>
    </w:p>
  </w:footnote>
  <w:footnote w:id="1">
    <w:p w14:paraId="6D3BDD15" w14:textId="2F1C0E44" w:rsidR="00E212AF" w:rsidRPr="001C4A06" w:rsidRDefault="00E212AF" w:rsidP="001C4A06">
      <w:pPr>
        <w:jc w:val="both"/>
        <w:rPr>
          <w:rFonts w:ascii="Times New Roman" w:hAnsi="Times New Roman"/>
          <w:sz w:val="22"/>
          <w:szCs w:val="22"/>
          <w:lang w:val="en-GB"/>
        </w:rPr>
      </w:pPr>
      <w:r w:rsidRPr="001C4A06">
        <w:rPr>
          <w:rStyle w:val="FootnoteReference"/>
          <w:b/>
          <w:sz w:val="32"/>
          <w:szCs w:val="32"/>
        </w:rPr>
        <w:footnoteRef/>
      </w:r>
      <w:r w:rsidRPr="001C4A06">
        <w:rPr>
          <w:sz w:val="22"/>
          <w:szCs w:val="22"/>
        </w:rPr>
        <w:t xml:space="preserve">  </w:t>
      </w:r>
      <w:r w:rsidRPr="001C4A06">
        <w:rPr>
          <w:rFonts w:ascii="Times New Roman" w:hAnsi="Times New Roman"/>
          <w:sz w:val="22"/>
          <w:szCs w:val="22"/>
          <w:lang w:val="en-GB"/>
        </w:rPr>
        <w:t xml:space="preserve">“The Economics of Early Childhood Education and Care in Canada.” Chapter 3, pages 80-108 in Nina Howe and Larry </w:t>
      </w:r>
      <w:proofErr w:type="spellStart"/>
      <w:r w:rsidRPr="001C4A06">
        <w:rPr>
          <w:rFonts w:ascii="Times New Roman" w:hAnsi="Times New Roman"/>
          <w:sz w:val="22"/>
          <w:szCs w:val="22"/>
          <w:lang w:val="en-GB"/>
        </w:rPr>
        <w:t>Prochner</w:t>
      </w:r>
      <w:proofErr w:type="spellEnd"/>
      <w:r w:rsidRPr="001C4A06">
        <w:rPr>
          <w:rFonts w:ascii="Times New Roman" w:hAnsi="Times New Roman"/>
          <w:sz w:val="22"/>
          <w:szCs w:val="22"/>
          <w:lang w:val="en-GB"/>
        </w:rPr>
        <w:t xml:space="preserve">, eds. (2012) </w:t>
      </w:r>
      <w:r w:rsidRPr="001C4A06">
        <w:rPr>
          <w:rFonts w:ascii="Times New Roman" w:hAnsi="Times New Roman"/>
          <w:i/>
          <w:sz w:val="22"/>
          <w:szCs w:val="22"/>
          <w:lang w:val="en-GB"/>
        </w:rPr>
        <w:t>Recent Perspectives on Early Childhood Education and Care in Canada</w:t>
      </w:r>
      <w:r w:rsidRPr="001C4A06">
        <w:rPr>
          <w:rFonts w:ascii="Times New Roman" w:hAnsi="Times New Roman"/>
          <w:sz w:val="22"/>
          <w:szCs w:val="22"/>
          <w:u w:val="single"/>
          <w:lang w:val="en-GB"/>
        </w:rPr>
        <w:t xml:space="preserve"> </w:t>
      </w:r>
      <w:r w:rsidRPr="001C4A06">
        <w:rPr>
          <w:rFonts w:ascii="Times New Roman" w:hAnsi="Times New Roman"/>
          <w:sz w:val="22"/>
          <w:szCs w:val="22"/>
          <w:lang w:val="en-GB"/>
        </w:rPr>
        <w:t xml:space="preserve"> Toronto: University of Toronto Press. </w:t>
      </w:r>
    </w:p>
    <w:p w14:paraId="2C9D719B" w14:textId="77777777" w:rsidR="00E212AF" w:rsidRDefault="00E212AF" w:rsidP="001C4A06">
      <w:pPr>
        <w:autoSpaceDE w:val="0"/>
        <w:autoSpaceDN w:val="0"/>
        <w:adjustRightInd w:val="0"/>
        <w:ind w:left="1440" w:firstLine="720"/>
        <w:rPr>
          <w:rFonts w:ascii="Times New Roman" w:hAnsi="Times New Roman"/>
          <w:lang w:val="en-GB"/>
        </w:rPr>
      </w:pPr>
    </w:p>
    <w:p w14:paraId="25B449B6" w14:textId="1215E697" w:rsidR="00E212AF" w:rsidRDefault="00E212AF">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0B69" w14:textId="77777777" w:rsidR="00E212AF" w:rsidRDefault="00E212AF" w:rsidP="00D55C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55A61" w14:textId="77777777" w:rsidR="00E212AF" w:rsidRDefault="00E212AF" w:rsidP="00865D5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DAD5" w14:textId="77777777" w:rsidR="00E212AF" w:rsidRDefault="00E212AF" w:rsidP="00D55C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A8A">
      <w:rPr>
        <w:rStyle w:val="PageNumber"/>
        <w:noProof/>
      </w:rPr>
      <w:t>1</w:t>
    </w:r>
    <w:r>
      <w:rPr>
        <w:rStyle w:val="PageNumber"/>
      </w:rPr>
      <w:fldChar w:fldCharType="end"/>
    </w:r>
  </w:p>
  <w:p w14:paraId="400681AF" w14:textId="77777777" w:rsidR="00E212AF" w:rsidRDefault="00E212AF" w:rsidP="00865D5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2DFC"/>
    <w:multiLevelType w:val="hybridMultilevel"/>
    <w:tmpl w:val="965A8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4C0A31"/>
    <w:multiLevelType w:val="hybridMultilevel"/>
    <w:tmpl w:val="51E64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47C17"/>
    <w:multiLevelType w:val="hybridMultilevel"/>
    <w:tmpl w:val="51E64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54F5F"/>
    <w:multiLevelType w:val="hybridMultilevel"/>
    <w:tmpl w:val="47B8D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09"/>
    <w:rsid w:val="0006180F"/>
    <w:rsid w:val="00065243"/>
    <w:rsid w:val="001C4A06"/>
    <w:rsid w:val="003023A7"/>
    <w:rsid w:val="00314C67"/>
    <w:rsid w:val="00446254"/>
    <w:rsid w:val="004D197B"/>
    <w:rsid w:val="0052189F"/>
    <w:rsid w:val="00596F0D"/>
    <w:rsid w:val="005C221F"/>
    <w:rsid w:val="006C25B5"/>
    <w:rsid w:val="006E4B23"/>
    <w:rsid w:val="00720204"/>
    <w:rsid w:val="00750A8A"/>
    <w:rsid w:val="007674E6"/>
    <w:rsid w:val="00776C8F"/>
    <w:rsid w:val="00781C89"/>
    <w:rsid w:val="007941DD"/>
    <w:rsid w:val="007F7A5C"/>
    <w:rsid w:val="00814468"/>
    <w:rsid w:val="00865D5E"/>
    <w:rsid w:val="00972773"/>
    <w:rsid w:val="009E50B9"/>
    <w:rsid w:val="009F247C"/>
    <w:rsid w:val="00A00E7B"/>
    <w:rsid w:val="00A86944"/>
    <w:rsid w:val="00BA260F"/>
    <w:rsid w:val="00BA41C8"/>
    <w:rsid w:val="00C50280"/>
    <w:rsid w:val="00CE6EDB"/>
    <w:rsid w:val="00D00709"/>
    <w:rsid w:val="00D2290D"/>
    <w:rsid w:val="00D37822"/>
    <w:rsid w:val="00D55C19"/>
    <w:rsid w:val="00D70A11"/>
    <w:rsid w:val="00D74FA1"/>
    <w:rsid w:val="00E212AF"/>
    <w:rsid w:val="00E93E83"/>
    <w:rsid w:val="00EB6AEF"/>
    <w:rsid w:val="00FD7A4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5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254"/>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43"/>
    <w:pPr>
      <w:ind w:left="720"/>
      <w:contextualSpacing/>
    </w:pPr>
  </w:style>
  <w:style w:type="paragraph" w:styleId="FootnoteText">
    <w:name w:val="footnote text"/>
    <w:basedOn w:val="Normal"/>
    <w:link w:val="FootnoteTextChar"/>
    <w:uiPriority w:val="99"/>
    <w:unhideWhenUsed/>
    <w:rsid w:val="001C4A06"/>
    <w:pPr>
      <w:spacing w:after="0"/>
    </w:pPr>
  </w:style>
  <w:style w:type="character" w:customStyle="1" w:styleId="FootnoteTextChar">
    <w:name w:val="Footnote Text Char"/>
    <w:basedOn w:val="DefaultParagraphFont"/>
    <w:link w:val="FootnoteText"/>
    <w:uiPriority w:val="99"/>
    <w:rsid w:val="001C4A06"/>
    <w:rPr>
      <w:rFonts w:ascii="Palatino" w:hAnsi="Palatino"/>
    </w:rPr>
  </w:style>
  <w:style w:type="character" w:styleId="FootnoteReference">
    <w:name w:val="footnote reference"/>
    <w:basedOn w:val="DefaultParagraphFont"/>
    <w:uiPriority w:val="99"/>
    <w:unhideWhenUsed/>
    <w:rsid w:val="001C4A06"/>
    <w:rPr>
      <w:vertAlign w:val="superscript"/>
    </w:rPr>
  </w:style>
  <w:style w:type="paragraph" w:styleId="Header">
    <w:name w:val="header"/>
    <w:basedOn w:val="Normal"/>
    <w:link w:val="HeaderChar"/>
    <w:uiPriority w:val="99"/>
    <w:unhideWhenUsed/>
    <w:rsid w:val="00865D5E"/>
    <w:pPr>
      <w:tabs>
        <w:tab w:val="center" w:pos="4320"/>
        <w:tab w:val="right" w:pos="8640"/>
      </w:tabs>
      <w:spacing w:after="0"/>
    </w:pPr>
  </w:style>
  <w:style w:type="character" w:customStyle="1" w:styleId="HeaderChar">
    <w:name w:val="Header Char"/>
    <w:basedOn w:val="DefaultParagraphFont"/>
    <w:link w:val="Header"/>
    <w:uiPriority w:val="99"/>
    <w:rsid w:val="00865D5E"/>
    <w:rPr>
      <w:rFonts w:ascii="Palatino" w:hAnsi="Palatino"/>
    </w:rPr>
  </w:style>
  <w:style w:type="character" w:styleId="PageNumber">
    <w:name w:val="page number"/>
    <w:basedOn w:val="DefaultParagraphFont"/>
    <w:uiPriority w:val="99"/>
    <w:semiHidden/>
    <w:unhideWhenUsed/>
    <w:rsid w:val="00865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254"/>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43"/>
    <w:pPr>
      <w:ind w:left="720"/>
      <w:contextualSpacing/>
    </w:pPr>
  </w:style>
  <w:style w:type="paragraph" w:styleId="FootnoteText">
    <w:name w:val="footnote text"/>
    <w:basedOn w:val="Normal"/>
    <w:link w:val="FootnoteTextChar"/>
    <w:uiPriority w:val="99"/>
    <w:unhideWhenUsed/>
    <w:rsid w:val="001C4A06"/>
    <w:pPr>
      <w:spacing w:after="0"/>
    </w:pPr>
  </w:style>
  <w:style w:type="character" w:customStyle="1" w:styleId="FootnoteTextChar">
    <w:name w:val="Footnote Text Char"/>
    <w:basedOn w:val="DefaultParagraphFont"/>
    <w:link w:val="FootnoteText"/>
    <w:uiPriority w:val="99"/>
    <w:rsid w:val="001C4A06"/>
    <w:rPr>
      <w:rFonts w:ascii="Palatino" w:hAnsi="Palatino"/>
    </w:rPr>
  </w:style>
  <w:style w:type="character" w:styleId="FootnoteReference">
    <w:name w:val="footnote reference"/>
    <w:basedOn w:val="DefaultParagraphFont"/>
    <w:uiPriority w:val="99"/>
    <w:unhideWhenUsed/>
    <w:rsid w:val="001C4A06"/>
    <w:rPr>
      <w:vertAlign w:val="superscript"/>
    </w:rPr>
  </w:style>
  <w:style w:type="paragraph" w:styleId="Header">
    <w:name w:val="header"/>
    <w:basedOn w:val="Normal"/>
    <w:link w:val="HeaderChar"/>
    <w:uiPriority w:val="99"/>
    <w:unhideWhenUsed/>
    <w:rsid w:val="00865D5E"/>
    <w:pPr>
      <w:tabs>
        <w:tab w:val="center" w:pos="4320"/>
        <w:tab w:val="right" w:pos="8640"/>
      </w:tabs>
      <w:spacing w:after="0"/>
    </w:pPr>
  </w:style>
  <w:style w:type="character" w:customStyle="1" w:styleId="HeaderChar">
    <w:name w:val="Header Char"/>
    <w:basedOn w:val="DefaultParagraphFont"/>
    <w:link w:val="Header"/>
    <w:uiPriority w:val="99"/>
    <w:rsid w:val="00865D5E"/>
    <w:rPr>
      <w:rFonts w:ascii="Palatino" w:hAnsi="Palatino"/>
    </w:rPr>
  </w:style>
  <w:style w:type="character" w:styleId="PageNumber">
    <w:name w:val="page number"/>
    <w:basedOn w:val="DefaultParagraphFont"/>
    <w:uiPriority w:val="99"/>
    <w:semiHidden/>
    <w:unhideWhenUsed/>
    <w:rsid w:val="0086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7000</Characters>
  <Application>Microsoft Office Word</Application>
  <DocSecurity>0</DocSecurity>
  <Lines>128</Lines>
  <Paragraphs>12</Paragraphs>
  <ScaleCrop>false</ScaleCrop>
  <HeadingPairs>
    <vt:vector size="2" baseType="variant">
      <vt:variant>
        <vt:lpstr>Title</vt:lpstr>
      </vt:variant>
      <vt:variant>
        <vt:i4>1</vt:i4>
      </vt:variant>
    </vt:vector>
  </HeadingPairs>
  <TitlesOfParts>
    <vt:vector size="1" baseType="lpstr">
      <vt:lpstr>Submission 234 - Dr Gordon Cleveland - Childcare and Early Childhood Learning - Public inquiry</vt:lpstr>
    </vt:vector>
  </TitlesOfParts>
  <Company>Dr Gordon Cleveland</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234 - Dr Gordon Cleveland - Childcare and Early Childhood Learning - Public inquiry</dc:title>
  <dc:creator>Dr Gordon Cleveland</dc:creator>
  <cp:lastModifiedBy>Productivity Commission</cp:lastModifiedBy>
  <cp:revision>2</cp:revision>
  <dcterms:created xsi:type="dcterms:W3CDTF">2014-02-10T01:52:00Z</dcterms:created>
  <dcterms:modified xsi:type="dcterms:W3CDTF">2014-02-10T01:52:00Z</dcterms:modified>
</cp:coreProperties>
</file>