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52" w:rsidRDefault="00BA31DB" w:rsidP="00BA31DB">
      <w:pPr>
        <w:jc w:val="right"/>
      </w:pPr>
      <w:r>
        <w:t>Terri Butler</w:t>
      </w:r>
    </w:p>
    <w:p w:rsidR="00BA31DB" w:rsidRDefault="00BA31DB" w:rsidP="00BA31DB">
      <w:pPr>
        <w:jc w:val="right"/>
      </w:pPr>
      <w:r>
        <w:t>Labor candidate for Griffith</w:t>
      </w:r>
    </w:p>
    <w:p w:rsidR="00BA31DB" w:rsidRDefault="00BA31DB" w:rsidP="00BA31DB">
      <w:pPr>
        <w:jc w:val="right"/>
      </w:pPr>
      <w:r>
        <w:t xml:space="preserve">PO Box 5032, </w:t>
      </w:r>
    </w:p>
    <w:p w:rsidR="00BA31DB" w:rsidRDefault="00BA31DB" w:rsidP="00BA31DB">
      <w:pPr>
        <w:jc w:val="right"/>
      </w:pPr>
      <w:r>
        <w:t>West End Q 4101</w:t>
      </w:r>
    </w:p>
    <w:p w:rsidR="00BA31DB" w:rsidRDefault="00BA31DB" w:rsidP="00BA31DB">
      <w:pPr>
        <w:jc w:val="right"/>
      </w:pPr>
    </w:p>
    <w:p w:rsidR="00BA31DB" w:rsidRDefault="00BA31DB" w:rsidP="00BA31DB">
      <w:pPr>
        <w:jc w:val="right"/>
      </w:pPr>
      <w:r>
        <w:t>3 February 2014</w:t>
      </w:r>
    </w:p>
    <w:p w:rsidR="00BA31DB" w:rsidRDefault="00BA31DB" w:rsidP="00BA31DB">
      <w:pPr>
        <w:jc w:val="right"/>
      </w:pPr>
    </w:p>
    <w:p w:rsidR="00BA31DB" w:rsidRDefault="00BA31DB" w:rsidP="00BA31DB">
      <w:r>
        <w:t>Childcare and Early Childhood Learning</w:t>
      </w:r>
    </w:p>
    <w:p w:rsidR="00BA31DB" w:rsidRDefault="00BA31DB" w:rsidP="00BA31DB">
      <w:r>
        <w:t>Productivity Commission</w:t>
      </w:r>
    </w:p>
    <w:p w:rsidR="00BA31DB" w:rsidRDefault="00BA31DB" w:rsidP="00BA31DB">
      <w:r>
        <w:t>GPO Box 1428</w:t>
      </w:r>
    </w:p>
    <w:p w:rsidR="00BA31DB" w:rsidRDefault="00BA31DB" w:rsidP="00BA31DB">
      <w:r>
        <w:t>Canberra ACT 2601</w:t>
      </w:r>
    </w:p>
    <w:p w:rsidR="00BA31DB" w:rsidRDefault="00BA31DB" w:rsidP="00BA31DB"/>
    <w:p w:rsidR="00BA31DB" w:rsidRDefault="00BA31DB" w:rsidP="00BA31DB"/>
    <w:p w:rsidR="00BA31DB" w:rsidRDefault="00BA31DB" w:rsidP="00BA31DB"/>
    <w:p w:rsidR="00BA31DB" w:rsidRDefault="00BA31DB" w:rsidP="00BA31DB">
      <w:r>
        <w:t>Dear Commissioner</w:t>
      </w:r>
    </w:p>
    <w:p w:rsidR="00BA31DB" w:rsidRDefault="00BA31DB" w:rsidP="00BA31DB"/>
    <w:p w:rsidR="00BA31DB" w:rsidRDefault="00BA31DB" w:rsidP="00BA31DB">
      <w:r>
        <w:t xml:space="preserve">Re: Childcare and Early Childhood Learning </w:t>
      </w:r>
    </w:p>
    <w:p w:rsidR="00BA31DB" w:rsidRDefault="00BA31DB" w:rsidP="00BA31DB"/>
    <w:p w:rsidR="00BA31DB" w:rsidRDefault="00BA31DB" w:rsidP="00BA31DB">
      <w:r>
        <w:t>I refer to the above.</w:t>
      </w:r>
      <w:r w:rsidR="00CE7EC3">
        <w:t xml:space="preserve"> The following is my initial submission to this inquiry and its content in part repeats comments I made on my </w:t>
      </w:r>
      <w:hyperlink r:id="rId6" w:history="1">
        <w:r w:rsidR="00CE7EC3" w:rsidRPr="00CE7EC3">
          <w:rPr>
            <w:rStyle w:val="Hyperlink"/>
          </w:rPr>
          <w:t>website</w:t>
        </w:r>
      </w:hyperlink>
      <w:r w:rsidR="00CE7EC3">
        <w:t xml:space="preserve"> in February 2012.</w:t>
      </w:r>
      <w:r w:rsidR="008162B0">
        <w:t xml:space="preserve"> This submission is intended to be brief, and is made from a lay-person’s perspective. I, of course, defer to the expertise of the many childcare professionals and researchers who have already made initial submissions to the Commission’s Inquiry.</w:t>
      </w:r>
    </w:p>
    <w:p w:rsidR="00BA31DB" w:rsidRDefault="00BA31DB" w:rsidP="00BA31DB"/>
    <w:p w:rsidR="00BA31DB" w:rsidRDefault="00BA31DB" w:rsidP="00BA31DB">
      <w:r>
        <w:t>I’m the Labor candidate for the Griffith by-election. The views expressed in this submission are mine and do not necessarily represent the views of the Australian Labor Party.</w:t>
      </w:r>
      <w:r w:rsidR="00CE7EC3">
        <w:t xml:space="preserve"> </w:t>
      </w:r>
    </w:p>
    <w:p w:rsidR="00CE7EC3" w:rsidRDefault="00CE7EC3" w:rsidP="00BA31DB"/>
    <w:p w:rsidR="00CE7EC3" w:rsidRDefault="00CE7EC3" w:rsidP="00BA31DB">
      <w:r>
        <w:t>Childcare is important for a number of reasons. Giving our kids the best start on their education journey is of vital importance to our economy, and, more importantly, for our society.</w:t>
      </w:r>
    </w:p>
    <w:p w:rsidR="00CE7EC3" w:rsidRDefault="00CE7EC3" w:rsidP="00BA31DB"/>
    <w:p w:rsidR="00CE7EC3" w:rsidRDefault="00CE7EC3" w:rsidP="00BA31DB">
      <w:r>
        <w:t xml:space="preserve">This brief submission focuses specifically on a subject dear to my heart, about which I’ve previously </w:t>
      </w:r>
      <w:hyperlink r:id="rId7" w:history="1">
        <w:r w:rsidRPr="00CE7EC3">
          <w:rPr>
            <w:rStyle w:val="Hyperlink"/>
          </w:rPr>
          <w:t>written</w:t>
        </w:r>
      </w:hyperlink>
      <w:r>
        <w:t>: workforce participation. There are many policy settings that affect workforce participation, and in my view childcare is one of the most important.</w:t>
      </w:r>
    </w:p>
    <w:p w:rsidR="00CE7EC3" w:rsidRDefault="00CE7EC3" w:rsidP="00BA31DB"/>
    <w:p w:rsidR="00CE7EC3" w:rsidRDefault="00CE7EC3" w:rsidP="00CE7EC3">
      <w:r>
        <w:t xml:space="preserve">Access to childcare in this country clearly needs improvement. </w:t>
      </w:r>
    </w:p>
    <w:p w:rsidR="00CE7EC3" w:rsidRDefault="00CE7EC3" w:rsidP="00CE7EC3"/>
    <w:p w:rsidR="00B73EB3" w:rsidRDefault="00CE7EC3" w:rsidP="00CE7EC3">
      <w:r>
        <w:t xml:space="preserve"> The history of childcare reform has been recorded in various parliamentary documents about access to childcare, including a </w:t>
      </w:r>
      <w:r w:rsidRPr="00CE7EC3">
        <w:t xml:space="preserve">senate </w:t>
      </w:r>
      <w:r w:rsidR="00937A0D">
        <w:t xml:space="preserve">inquiry </w:t>
      </w:r>
      <w:r w:rsidRPr="00CE7EC3">
        <w:t>report</w:t>
      </w:r>
      <w:r>
        <w:t xml:space="preserve"> in 1998, a 2002 </w:t>
      </w:r>
      <w:hyperlink r:id="rId8" w:history="1">
        <w:r w:rsidRPr="00CE7EC3">
          <w:rPr>
            <w:rStyle w:val="Hyperlink"/>
          </w:rPr>
          <w:t>e-brief</w:t>
        </w:r>
      </w:hyperlink>
      <w:r>
        <w:t xml:space="preserve">,  and a </w:t>
      </w:r>
      <w:r w:rsidR="00937A0D">
        <w:t xml:space="preserve">senate inquiry </w:t>
      </w:r>
      <w:hyperlink r:id="rId9" w:history="1">
        <w:r w:rsidR="00937A0D" w:rsidRPr="00937A0D">
          <w:rPr>
            <w:rStyle w:val="Hyperlink"/>
          </w:rPr>
          <w:t>report</w:t>
        </w:r>
      </w:hyperlink>
      <w:r w:rsidR="00937A0D">
        <w:t xml:space="preserve"> of 2009.</w:t>
      </w:r>
      <w:r>
        <w:t xml:space="preserve"> </w:t>
      </w:r>
      <w:r w:rsidR="00B73EB3">
        <w:t>(I also note that o</w:t>
      </w:r>
      <w:r w:rsidR="00B73EB3" w:rsidRPr="00B73EB3">
        <w:t xml:space="preserve">n 12 December 2013, the Senate </w:t>
      </w:r>
      <w:hyperlink r:id="rId10" w:history="1">
        <w:r w:rsidR="00B73EB3" w:rsidRPr="00B73EB3">
          <w:rPr>
            <w:rStyle w:val="Hyperlink"/>
          </w:rPr>
          <w:t>referred</w:t>
        </w:r>
      </w:hyperlink>
      <w:r w:rsidR="00B73EB3" w:rsidRPr="00B73EB3">
        <w:t xml:space="preserve"> the inquiry into the immediate future of the childcare sector in Australia to the Education and Employment References Committee for inquiry and report by 17 June 2014.</w:t>
      </w:r>
      <w:r w:rsidR="00B73EB3">
        <w:t>)</w:t>
      </w:r>
    </w:p>
    <w:p w:rsidR="00B73EB3" w:rsidRDefault="00B73EB3" w:rsidP="00CE7EC3"/>
    <w:p w:rsidR="00CE7EC3" w:rsidRDefault="00937A0D" w:rsidP="00CE7EC3">
      <w:r>
        <w:t>The</w:t>
      </w:r>
      <w:r w:rsidR="00CE7EC3">
        <w:t xml:space="preserve"> history is instructive, for the purposes of assessing the major parties’ philosophies in relation to childcare, over the years.</w:t>
      </w:r>
    </w:p>
    <w:p w:rsidR="00CE7EC3" w:rsidRDefault="00CE7EC3" w:rsidP="00CE7EC3"/>
    <w:p w:rsidR="00CE7EC3" w:rsidRDefault="00937A0D" w:rsidP="00CE7EC3">
      <w:r>
        <w:t>O</w:t>
      </w:r>
      <w:r w:rsidR="00CE7EC3">
        <w:t xml:space="preserve">ne of the first measures that the new elected Howard government took in 1996 was to abolish operating subsidies for community (that is, not-for-profit) child care </w:t>
      </w:r>
      <w:proofErr w:type="spellStart"/>
      <w:r w:rsidR="00CE7EC3">
        <w:t>centres</w:t>
      </w:r>
      <w:proofErr w:type="spellEnd"/>
      <w:r w:rsidR="00CE7EC3">
        <w:t xml:space="preserve">. In the same year, they reduced Childcare Cash Rebate from 30 </w:t>
      </w:r>
      <w:r w:rsidR="008162B0">
        <w:t>per cent to 20 per cent for one-</w:t>
      </w:r>
      <w:r w:rsidR="00CE7EC3">
        <w:t>child families with incomes above $70,000 a year.</w:t>
      </w:r>
    </w:p>
    <w:p w:rsidR="00CE7EC3" w:rsidRDefault="00CE7EC3" w:rsidP="00CE7EC3"/>
    <w:p w:rsidR="00CE7EC3" w:rsidRDefault="00CE7EC3" w:rsidP="00CE7EC3">
      <w:r>
        <w:t xml:space="preserve"> In stark contrast, the </w:t>
      </w:r>
      <w:r w:rsidR="008162B0">
        <w:t>recent, now former,</w:t>
      </w:r>
      <w:r>
        <w:t xml:space="preserve"> Labor government announced that it would invest $22.3 billion in early childhood education and care over </w:t>
      </w:r>
      <w:r w:rsidR="008162B0">
        <w:t>four years. It said this wa</w:t>
      </w:r>
      <w:r>
        <w:t xml:space="preserve">s more than triple the investment made during the last four years of the Howard Government. In making the announcement about funding, the </w:t>
      </w:r>
      <w:r w:rsidR="00937A0D">
        <w:t xml:space="preserve">then </w:t>
      </w:r>
      <w:r>
        <w:t xml:space="preserve">Minister, </w:t>
      </w:r>
      <w:r w:rsidR="008162B0">
        <w:t xml:space="preserve">Ms </w:t>
      </w:r>
      <w:r>
        <w:t>Kate Ellis, said:</w:t>
      </w:r>
    </w:p>
    <w:p w:rsidR="00CE7EC3" w:rsidRDefault="00CE7EC3" w:rsidP="00CE7EC3"/>
    <w:p w:rsidR="00CE7EC3" w:rsidRPr="00937A0D" w:rsidRDefault="00CE7EC3" w:rsidP="00CE7EC3">
      <w:pPr>
        <w:rPr>
          <w:i/>
        </w:rPr>
      </w:pPr>
      <w:r w:rsidRPr="00937A0D">
        <w:rPr>
          <w:i/>
        </w:rPr>
        <w:t xml:space="preserve"> “We’ve seen a massive 36 per cent increase in the number of child care services since Labor came to Government and the expansion of the sector shows no signs of slowing.”</w:t>
      </w:r>
    </w:p>
    <w:p w:rsidR="00CE7EC3" w:rsidRDefault="00CE7EC3" w:rsidP="00CE7EC3"/>
    <w:p w:rsidR="00CE7EC3" w:rsidRDefault="00CE7EC3" w:rsidP="00CE7EC3">
      <w:r>
        <w:t xml:space="preserve"> In a speech to the Australian Childcare Allowance in August last year, </w:t>
      </w:r>
      <w:r w:rsidR="00937A0D">
        <w:t xml:space="preserve">then </w:t>
      </w:r>
      <w:r>
        <w:t>Minister Ellis said:</w:t>
      </w:r>
    </w:p>
    <w:p w:rsidR="00CE7EC3" w:rsidRDefault="00CE7EC3" w:rsidP="00CE7EC3"/>
    <w:p w:rsidR="00CE7EC3" w:rsidRPr="00937A0D" w:rsidRDefault="00937A0D" w:rsidP="00CE7EC3">
      <w:pPr>
        <w:rPr>
          <w:i/>
        </w:rPr>
      </w:pPr>
      <w:r w:rsidRPr="00937A0D">
        <w:rPr>
          <w:i/>
        </w:rPr>
        <w:t>“</w:t>
      </w:r>
      <w:r w:rsidR="00CE7EC3" w:rsidRPr="00937A0D">
        <w:rPr>
          <w:i/>
        </w:rPr>
        <w:t>In affordability alone we have seen a massive increase in investment, we have seen an increase in the child care rebate from 30 to 50 percent, we have seen the increase in the cap of the child care rebate from $4,354 a year up to $7,500 per year but importantly they aren’t the only statistics that matter.  The statistics that matter is the impact that this increase is having in Australian families. What we do know is that in 2004 when a family was spending on average 13 percent of their disposable income on their childcare fees, that by 2011 that figure stood at 7.5 percent.”</w:t>
      </w:r>
    </w:p>
    <w:p w:rsidR="00937A0D" w:rsidRDefault="00937A0D" w:rsidP="00CE7EC3"/>
    <w:p w:rsidR="00CE7EC3" w:rsidRDefault="00B73EB3" w:rsidP="00CE7EC3">
      <w:r>
        <w:t>S</w:t>
      </w:r>
      <w:r w:rsidR="00CE7EC3">
        <w:t>ubstantial childcare reforms will be made only by governments that have the will to improve working parents’ access, and the support on the floor of the parli</w:t>
      </w:r>
      <w:r w:rsidR="00937A0D">
        <w:t xml:space="preserve">ament to execute that will. </w:t>
      </w:r>
    </w:p>
    <w:p w:rsidR="005531D1" w:rsidRDefault="005531D1" w:rsidP="00CE7EC3"/>
    <w:p w:rsidR="005531D1" w:rsidRDefault="008162B0" w:rsidP="00CE7EC3">
      <w:r>
        <w:t xml:space="preserve">That’s why </w:t>
      </w:r>
      <w:r w:rsidR="005531D1">
        <w:t xml:space="preserve">I’m disappointed that the new Abbott </w:t>
      </w:r>
      <w:r>
        <w:t>Liberal National</w:t>
      </w:r>
      <w:r w:rsidR="005531D1">
        <w:t xml:space="preserve"> government has already made cuts that will make it harder for </w:t>
      </w:r>
      <w:r>
        <w:t xml:space="preserve">some </w:t>
      </w:r>
      <w:r w:rsidR="005531D1">
        <w:t xml:space="preserve">parents to get childcare places. </w:t>
      </w:r>
      <w:r>
        <w:t>The office of Ms</w:t>
      </w:r>
      <w:r w:rsidR="005531D1">
        <w:t xml:space="preserve"> Ellis</w:t>
      </w:r>
      <w:r>
        <w:t xml:space="preserve"> – now the shadow minister –</w:t>
      </w:r>
      <w:r w:rsidR="005531D1">
        <w:t xml:space="preserve"> issued </w:t>
      </w:r>
      <w:r>
        <w:t>a</w:t>
      </w:r>
      <w:r w:rsidR="005531D1">
        <w:t xml:space="preserve"> </w:t>
      </w:r>
      <w:hyperlink r:id="rId11" w:history="1">
        <w:r w:rsidR="005531D1" w:rsidRPr="008162B0">
          <w:rPr>
            <w:rStyle w:val="Hyperlink"/>
          </w:rPr>
          <w:t>statement</w:t>
        </w:r>
      </w:hyperlink>
      <w:r w:rsidR="005531D1">
        <w:t xml:space="preserve"> </w:t>
      </w:r>
      <w:r>
        <w:t xml:space="preserve">in that regard </w:t>
      </w:r>
      <w:r w:rsidR="005531D1">
        <w:t xml:space="preserve">on </w:t>
      </w:r>
      <w:r>
        <w:t>29 January.</w:t>
      </w:r>
    </w:p>
    <w:p w:rsidR="00BA31DB" w:rsidRDefault="00BA31DB" w:rsidP="00BA31DB"/>
    <w:p w:rsidR="005531D1" w:rsidRDefault="00B73EB3" w:rsidP="00BA31DB">
      <w:r>
        <w:t xml:space="preserve">I urge the Commission to </w:t>
      </w:r>
      <w:r w:rsidR="005531D1">
        <w:t>make strong and clear recommendations that childcare be made more accessible.</w:t>
      </w:r>
    </w:p>
    <w:p w:rsidR="005531D1" w:rsidRDefault="005531D1" w:rsidP="00BA31DB"/>
    <w:p w:rsidR="00B73EB3" w:rsidRDefault="005531D1" w:rsidP="00BA31DB">
      <w:r>
        <w:t xml:space="preserve">I ask that the Commission </w:t>
      </w:r>
      <w:r w:rsidR="00B73EB3">
        <w:t>consider the following principles when making its report:</w:t>
      </w:r>
    </w:p>
    <w:p w:rsidR="00B73EB3" w:rsidRDefault="00B73EB3" w:rsidP="00BA31DB"/>
    <w:p w:rsidR="00B73EB3" w:rsidRDefault="00B73EB3" w:rsidP="005531D1">
      <w:pPr>
        <w:pStyle w:val="ListParagraph"/>
        <w:numPr>
          <w:ilvl w:val="0"/>
          <w:numId w:val="2"/>
        </w:numPr>
      </w:pPr>
      <w:r>
        <w:t>Equity: support for families should be fair and targeted</w:t>
      </w:r>
      <w:r w:rsidR="005531D1">
        <w:t xml:space="preserve"> to those who need it most</w:t>
      </w:r>
    </w:p>
    <w:p w:rsidR="008162B0" w:rsidRDefault="008162B0" w:rsidP="008162B0">
      <w:pPr>
        <w:pStyle w:val="ListParagraph"/>
      </w:pPr>
    </w:p>
    <w:p w:rsidR="008162B0" w:rsidRDefault="008162B0" w:rsidP="005531D1">
      <w:pPr>
        <w:pStyle w:val="ListParagraph"/>
        <w:numPr>
          <w:ilvl w:val="0"/>
          <w:numId w:val="2"/>
        </w:numPr>
      </w:pPr>
      <w:r>
        <w:t>Quality: we all want the best for our kids when they are undergoing early learning – and high quality childcare is in the national interest, too</w:t>
      </w:r>
    </w:p>
    <w:p w:rsidR="00B73EB3" w:rsidRDefault="00B73EB3" w:rsidP="00BA31DB"/>
    <w:p w:rsidR="00B73EB3" w:rsidRDefault="00B73EB3" w:rsidP="005531D1">
      <w:pPr>
        <w:pStyle w:val="ListParagraph"/>
        <w:numPr>
          <w:ilvl w:val="0"/>
          <w:numId w:val="2"/>
        </w:numPr>
      </w:pPr>
      <w:r>
        <w:lastRenderedPageBreak/>
        <w:t xml:space="preserve">Recognition: early learning professionals undertake </w:t>
      </w:r>
      <w:r w:rsidR="005531D1">
        <w:t>extremely</w:t>
      </w:r>
      <w:r>
        <w:t xml:space="preserve"> important </w:t>
      </w:r>
      <w:r w:rsidR="005531D1">
        <w:t xml:space="preserve">and demanding </w:t>
      </w:r>
      <w:r>
        <w:t xml:space="preserve">work </w:t>
      </w:r>
      <w:r w:rsidR="005531D1">
        <w:t>that</w:t>
      </w:r>
      <w:r>
        <w:t xml:space="preserve"> should be rewarded</w:t>
      </w:r>
      <w:r w:rsidR="005531D1">
        <w:t>, not undervalued</w:t>
      </w:r>
    </w:p>
    <w:p w:rsidR="00B73EB3" w:rsidRDefault="00B73EB3" w:rsidP="00BA31DB"/>
    <w:p w:rsidR="00B73EB3" w:rsidRDefault="00B73EB3" w:rsidP="005531D1">
      <w:pPr>
        <w:pStyle w:val="ListParagraph"/>
        <w:numPr>
          <w:ilvl w:val="0"/>
          <w:numId w:val="2"/>
        </w:numPr>
      </w:pPr>
      <w:r>
        <w:t xml:space="preserve">Skills: early learning is the start of a child’s education journey and </w:t>
      </w:r>
      <w:r w:rsidR="005531D1">
        <w:t xml:space="preserve">training for </w:t>
      </w:r>
      <w:r>
        <w:t>ear</w:t>
      </w:r>
      <w:r w:rsidR="005531D1">
        <w:t xml:space="preserve">ly learning educators </w:t>
      </w:r>
    </w:p>
    <w:p w:rsidR="005531D1" w:rsidRDefault="005531D1" w:rsidP="00BA31DB"/>
    <w:p w:rsidR="005531D1" w:rsidRDefault="005531D1" w:rsidP="005531D1">
      <w:pPr>
        <w:pStyle w:val="ListParagraph"/>
        <w:numPr>
          <w:ilvl w:val="0"/>
          <w:numId w:val="2"/>
        </w:numPr>
      </w:pPr>
      <w:r>
        <w:t>The broader benefits of investment in childcare: public support for childcare has economic benefits because it reduces barriers to workforce participation</w:t>
      </w:r>
    </w:p>
    <w:p w:rsidR="005531D1" w:rsidRDefault="005531D1" w:rsidP="00BA31DB"/>
    <w:p w:rsidR="005531D1" w:rsidRDefault="005531D1" w:rsidP="005531D1">
      <w:pPr>
        <w:pStyle w:val="ListParagraph"/>
        <w:numPr>
          <w:ilvl w:val="0"/>
          <w:numId w:val="2"/>
        </w:numPr>
      </w:pPr>
      <w:r>
        <w:t>Affordability: our nation needs policy settings that are aimed at containing childcare costs</w:t>
      </w:r>
    </w:p>
    <w:p w:rsidR="005531D1" w:rsidRDefault="005531D1" w:rsidP="00BA31DB"/>
    <w:p w:rsidR="005531D1" w:rsidRDefault="005531D1" w:rsidP="005531D1">
      <w:pPr>
        <w:pStyle w:val="ListParagraph"/>
        <w:numPr>
          <w:ilvl w:val="0"/>
          <w:numId w:val="2"/>
        </w:numPr>
      </w:pPr>
      <w:r>
        <w:t>Accessibility: families need local, available childcare services, not the stress of signing up to multiple waiting lists with no guarantee of a place</w:t>
      </w:r>
    </w:p>
    <w:p w:rsidR="005531D1" w:rsidRDefault="005531D1" w:rsidP="00BA31DB"/>
    <w:p w:rsidR="008162B0" w:rsidRDefault="008162B0" w:rsidP="00BA31DB">
      <w:r>
        <w:t xml:space="preserve">I </w:t>
      </w:r>
      <w:proofErr w:type="spellStart"/>
      <w:r>
        <w:t>recognise</w:t>
      </w:r>
      <w:proofErr w:type="spellEnd"/>
      <w:r>
        <w:t xml:space="preserve"> the foregoing could be considered competing demands. But our nation needs affordable, accessible, quality childcare and this is a policy challenge that governments must meet.</w:t>
      </w:r>
    </w:p>
    <w:p w:rsidR="008162B0" w:rsidRDefault="008162B0" w:rsidP="00BA31DB"/>
    <w:p w:rsidR="005531D1" w:rsidRDefault="005531D1" w:rsidP="00BA31DB">
      <w:r>
        <w:t>Should the Commission require further elaboration from me, I can be reached at the address above.</w:t>
      </w:r>
    </w:p>
    <w:p w:rsidR="005531D1" w:rsidRDefault="005531D1" w:rsidP="00BA31DB">
      <w:pPr>
        <w:rPr>
          <w:noProof/>
          <w:lang w:val="en-AU" w:eastAsia="en-AU"/>
        </w:rPr>
      </w:pPr>
    </w:p>
    <w:p w:rsidR="0004084E" w:rsidRDefault="0004084E" w:rsidP="00BA31DB">
      <w:bookmarkStart w:id="0" w:name="_GoBack"/>
      <w:bookmarkEnd w:id="0"/>
    </w:p>
    <w:p w:rsidR="008903BA" w:rsidRDefault="005531D1" w:rsidP="00BA31DB">
      <w:r>
        <w:t>Yours faithfully</w:t>
      </w:r>
    </w:p>
    <w:p w:rsidR="005531D1" w:rsidRDefault="005531D1" w:rsidP="00BA31DB">
      <w:r>
        <w:t>Terri Butler</w:t>
      </w:r>
    </w:p>
    <w:p w:rsidR="00B73EB3" w:rsidRDefault="00B73EB3" w:rsidP="00BA31DB"/>
    <w:p w:rsidR="00BA31DB" w:rsidRDefault="00BA31DB" w:rsidP="00BA31DB"/>
    <w:p w:rsidR="00BA31DB" w:rsidRDefault="00BA31DB" w:rsidP="00BA31DB"/>
    <w:sectPr w:rsidR="00BA31DB" w:rsidSect="000704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CB2"/>
    <w:multiLevelType w:val="hybridMultilevel"/>
    <w:tmpl w:val="57F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characterSpacingControl w:val="doNotCompress"/>
  <w:compat>
    <w:useFELayout/>
    <w:compatSetting w:name="compatibilityMode" w:uri="http://schemas.microsoft.com/office/word" w:val="12"/>
  </w:compat>
  <w:rsids>
    <w:rsidRoot w:val="00BA31DB"/>
    <w:rsid w:val="0004084E"/>
    <w:rsid w:val="00070452"/>
    <w:rsid w:val="000F171F"/>
    <w:rsid w:val="005531D1"/>
    <w:rsid w:val="00754439"/>
    <w:rsid w:val="008162B0"/>
    <w:rsid w:val="008903BA"/>
    <w:rsid w:val="00937A0D"/>
    <w:rsid w:val="00B73EB3"/>
    <w:rsid w:val="00BA31DB"/>
    <w:rsid w:val="00BB56C1"/>
    <w:rsid w:val="00BC6200"/>
    <w:rsid w:val="00CE7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BA31DB"/>
    <w:pPr>
      <w:numPr>
        <w:numId w:val="1"/>
      </w:numPr>
      <w:spacing w:before="120"/>
      <w:ind w:left="714" w:hanging="357"/>
      <w:jc w:val="both"/>
    </w:pPr>
    <w:rPr>
      <w:rFonts w:ascii="GoudyOlSt BT" w:eastAsia="Times New Roman" w:hAnsi="GoudyOlSt BT" w:cs="Times New Roman"/>
      <w:szCs w:val="20"/>
      <w:lang w:val="en-AU" w:eastAsia="en-AU"/>
    </w:rPr>
  </w:style>
  <w:style w:type="character" w:styleId="Hyperlink">
    <w:name w:val="Hyperlink"/>
    <w:rsid w:val="00BA31DB"/>
    <w:rPr>
      <w:color w:val="0000FF"/>
      <w:u w:val="single"/>
    </w:rPr>
  </w:style>
  <w:style w:type="character" w:styleId="FollowedHyperlink">
    <w:name w:val="FollowedHyperlink"/>
    <w:basedOn w:val="DefaultParagraphFont"/>
    <w:uiPriority w:val="99"/>
    <w:semiHidden/>
    <w:unhideWhenUsed/>
    <w:rsid w:val="00CE7EC3"/>
    <w:rPr>
      <w:color w:val="800080" w:themeColor="followedHyperlink"/>
      <w:u w:val="single"/>
    </w:rPr>
  </w:style>
  <w:style w:type="paragraph" w:styleId="ListParagraph">
    <w:name w:val="List Paragraph"/>
    <w:basedOn w:val="Normal"/>
    <w:uiPriority w:val="34"/>
    <w:qFormat/>
    <w:rsid w:val="005531D1"/>
    <w:pPr>
      <w:ind w:left="720"/>
      <w:contextualSpacing/>
    </w:pPr>
  </w:style>
  <w:style w:type="paragraph" w:styleId="BalloonText">
    <w:name w:val="Balloon Text"/>
    <w:basedOn w:val="Normal"/>
    <w:link w:val="BalloonTextChar"/>
    <w:uiPriority w:val="99"/>
    <w:semiHidden/>
    <w:unhideWhenUsed/>
    <w:rsid w:val="008903BA"/>
    <w:rPr>
      <w:rFonts w:ascii="Tahoma" w:hAnsi="Tahoma" w:cs="Tahoma"/>
      <w:sz w:val="16"/>
      <w:szCs w:val="16"/>
    </w:rPr>
  </w:style>
  <w:style w:type="character" w:customStyle="1" w:styleId="BalloonTextChar">
    <w:name w:val="Balloon Text Char"/>
    <w:basedOn w:val="DefaultParagraphFont"/>
    <w:link w:val="BalloonText"/>
    <w:uiPriority w:val="99"/>
    <w:semiHidden/>
    <w:rsid w:val="00890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BA31DB"/>
    <w:pPr>
      <w:numPr>
        <w:numId w:val="1"/>
      </w:numPr>
      <w:spacing w:before="120"/>
      <w:ind w:left="714" w:hanging="357"/>
      <w:jc w:val="both"/>
    </w:pPr>
    <w:rPr>
      <w:rFonts w:ascii="GoudyOlSt BT" w:eastAsia="Times New Roman" w:hAnsi="GoudyOlSt BT" w:cs="Times New Roman"/>
      <w:szCs w:val="20"/>
      <w:lang w:val="en-AU" w:eastAsia="en-AU"/>
    </w:rPr>
  </w:style>
  <w:style w:type="character" w:styleId="Hyperlink">
    <w:name w:val="Hyperlink"/>
    <w:rsid w:val="00BA31DB"/>
    <w:rPr>
      <w:color w:val="0000FF"/>
      <w:u w:val="single"/>
    </w:rPr>
  </w:style>
  <w:style w:type="character" w:styleId="FollowedHyperlink">
    <w:name w:val="FollowedHyperlink"/>
    <w:basedOn w:val="DefaultParagraphFont"/>
    <w:uiPriority w:val="99"/>
    <w:semiHidden/>
    <w:unhideWhenUsed/>
    <w:rsid w:val="00CE7EC3"/>
    <w:rPr>
      <w:color w:val="800080" w:themeColor="followedHyperlink"/>
      <w:u w:val="single"/>
    </w:rPr>
  </w:style>
  <w:style w:type="paragraph" w:styleId="ListParagraph">
    <w:name w:val="List Paragraph"/>
    <w:basedOn w:val="Normal"/>
    <w:uiPriority w:val="34"/>
    <w:qFormat/>
    <w:rsid w:val="00553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gov.au/About_Parliament/Parliamentary_Departments/Parliamentary_Library/Publications_Archive/archive/childcaresuppo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ewmatilda.com/2012/10/03/who-benefits-workplace-flex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rrimbutler.com/2013/02/12/childcare-and-flexibility-are-both-important-to-working-parents/" TargetMode="External"/><Relationship Id="rId11" Type="http://schemas.openxmlformats.org/officeDocument/2006/relationships/hyperlink" Target="http://kateellis.com.au/newsroom/938/" TargetMode="External"/><Relationship Id="rId5" Type="http://schemas.openxmlformats.org/officeDocument/2006/relationships/webSettings" Target="webSettings.xml"/><Relationship Id="rId10" Type="http://schemas.openxmlformats.org/officeDocument/2006/relationships/hyperlink" Target="http://www.aph.gov.au/Parliamentary_Business/Committees/Senate/Education_and_Employment/Future_of_the_childcare_sector" TargetMode="External"/><Relationship Id="rId4" Type="http://schemas.openxmlformats.org/officeDocument/2006/relationships/settings" Target="settings.xml"/><Relationship Id="rId9" Type="http://schemas.openxmlformats.org/officeDocument/2006/relationships/hyperlink" Target="http://www.aph.gov.au/Parliamentary_Business/Committees/Senate/Education_Employment_and_Workplace_Relations/Completed_inquiries/2008-10/child_care/report/~/media/wopapub/senate/committee/eet_ctte/completed_inquiries/2008_10/child_care/report/report_pdf.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4390</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Submission 278 - Terri Butler - Childcare and Early Childhood Learning - Public inquiry</vt:lpstr>
    </vt:vector>
  </TitlesOfParts>
  <Company>Terri Butler</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278 - Terri Butler - Childcare and Early Childhood Learning - Public inquiry</dc:title>
  <dc:creator>Terri Butler</dc:creator>
  <cp:lastModifiedBy>Productivity Commission</cp:lastModifiedBy>
  <cp:revision>2</cp:revision>
  <cp:lastPrinted>2014-02-03T09:02:00Z</cp:lastPrinted>
  <dcterms:created xsi:type="dcterms:W3CDTF">2014-02-11T04:12:00Z</dcterms:created>
  <dcterms:modified xsi:type="dcterms:W3CDTF">2014-02-11T04:12:00Z</dcterms:modified>
</cp:coreProperties>
</file>