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7" w:rsidRPr="00534A5B" w:rsidRDefault="00EC4447" w:rsidP="00534A5B">
      <w:pPr>
        <w:tabs>
          <w:tab w:val="right" w:pos="9639"/>
        </w:tabs>
        <w:spacing w:line="24" w:lineRule="atLeast"/>
        <w:jc w:val="right"/>
        <w:rPr>
          <w:rFonts w:ascii="Goudy Old Style" w:hAnsi="Goudy Old Style"/>
          <w:sz w:val="24"/>
        </w:rPr>
      </w:pPr>
      <w:r w:rsidRPr="00534A5B">
        <w:rPr>
          <w:rFonts w:ascii="Goudy Old Style" w:hAnsi="Goudy Old Style"/>
          <w:b/>
          <w:sz w:val="24"/>
        </w:rPr>
        <w:tab/>
      </w:r>
    </w:p>
    <w:p w:rsidR="00F72DDD" w:rsidRDefault="00F72DDD" w:rsidP="00BF1E71">
      <w:pPr>
        <w:pStyle w:val="UTSLetterBodytext"/>
        <w:rPr>
          <w:sz w:val="22"/>
          <w:szCs w:val="22"/>
        </w:rPr>
      </w:pPr>
    </w:p>
    <w:p w:rsidR="00F72DDD" w:rsidRDefault="00F72DDD" w:rsidP="00BF1E71">
      <w:pPr>
        <w:pStyle w:val="UTSLetterBodytext"/>
        <w:rPr>
          <w:sz w:val="22"/>
          <w:szCs w:val="22"/>
        </w:rPr>
      </w:pPr>
    </w:p>
    <w:p w:rsidR="00F72DDD" w:rsidRDefault="00F72DDD" w:rsidP="00BF1E71">
      <w:pPr>
        <w:pStyle w:val="UTSLetterBodytext"/>
        <w:rPr>
          <w:sz w:val="22"/>
          <w:szCs w:val="22"/>
        </w:rPr>
      </w:pPr>
    </w:p>
    <w:p w:rsidR="00F72DDD" w:rsidRDefault="00F72DDD" w:rsidP="00BF1E71">
      <w:pPr>
        <w:pStyle w:val="UTSLetterBodytext"/>
        <w:rPr>
          <w:sz w:val="22"/>
          <w:szCs w:val="22"/>
        </w:rPr>
      </w:pPr>
    </w:p>
    <w:p w:rsidR="00BF1E71" w:rsidRPr="005C0629" w:rsidRDefault="003F3908" w:rsidP="00BF1E71">
      <w:pPr>
        <w:pStyle w:val="UTSLetterBodytext"/>
        <w:rPr>
          <w:sz w:val="22"/>
          <w:szCs w:val="22"/>
        </w:rPr>
      </w:pPr>
      <w:r>
        <w:rPr>
          <w:sz w:val="22"/>
          <w:szCs w:val="22"/>
        </w:rPr>
        <w:t>3</w:t>
      </w:r>
      <w:r w:rsidR="00BF1E71" w:rsidRPr="005C0629">
        <w:rPr>
          <w:sz w:val="22"/>
          <w:szCs w:val="22"/>
        </w:rPr>
        <w:t xml:space="preserve"> February 2014</w:t>
      </w:r>
      <w:bookmarkStart w:id="0" w:name="_GoBack"/>
      <w:bookmarkEnd w:id="0"/>
    </w:p>
    <w:p w:rsidR="00BF1E71" w:rsidRPr="005C0629" w:rsidRDefault="00BF1E71" w:rsidP="00BF1E71">
      <w:pPr>
        <w:pStyle w:val="UTSLetterBodytext"/>
        <w:rPr>
          <w:sz w:val="22"/>
          <w:szCs w:val="22"/>
        </w:rPr>
      </w:pPr>
    </w:p>
    <w:p w:rsidR="00BF1E71" w:rsidRPr="005C0629" w:rsidRDefault="00BF1E71" w:rsidP="00BF1E71">
      <w:pPr>
        <w:pStyle w:val="UTSLetterBodytext"/>
        <w:rPr>
          <w:sz w:val="22"/>
          <w:szCs w:val="22"/>
        </w:rPr>
      </w:pPr>
    </w:p>
    <w:p w:rsidR="00BF1E71" w:rsidRPr="005C0629" w:rsidRDefault="00BF1E71" w:rsidP="00BF1E71">
      <w:pPr>
        <w:pStyle w:val="UTSLetterBodytext"/>
        <w:spacing w:after="0"/>
        <w:rPr>
          <w:sz w:val="22"/>
          <w:szCs w:val="22"/>
        </w:rPr>
      </w:pPr>
      <w:r w:rsidRPr="005C0629">
        <w:rPr>
          <w:sz w:val="22"/>
          <w:szCs w:val="22"/>
        </w:rPr>
        <w:t>Childcare and Early Childhood Learning</w:t>
      </w:r>
    </w:p>
    <w:p w:rsidR="00BF1E71" w:rsidRPr="005C0629" w:rsidRDefault="00BF1E71" w:rsidP="00BF1E71">
      <w:pPr>
        <w:pStyle w:val="UTSLetterBodytext"/>
        <w:spacing w:after="0"/>
        <w:rPr>
          <w:sz w:val="22"/>
          <w:szCs w:val="22"/>
        </w:rPr>
      </w:pPr>
      <w:r w:rsidRPr="005C0629">
        <w:rPr>
          <w:sz w:val="22"/>
          <w:szCs w:val="22"/>
        </w:rPr>
        <w:t>Productivity Commission</w:t>
      </w:r>
    </w:p>
    <w:p w:rsidR="00BF1E71" w:rsidRPr="005C0629" w:rsidRDefault="00BF1E71" w:rsidP="00BF1E71">
      <w:pPr>
        <w:pStyle w:val="UTSLetterBodytext"/>
        <w:spacing w:after="0"/>
        <w:rPr>
          <w:sz w:val="22"/>
          <w:szCs w:val="22"/>
        </w:rPr>
      </w:pPr>
      <w:r w:rsidRPr="005C0629">
        <w:rPr>
          <w:sz w:val="22"/>
          <w:szCs w:val="22"/>
        </w:rPr>
        <w:t>GPO Box 1428</w:t>
      </w:r>
    </w:p>
    <w:p w:rsidR="00BF1E71" w:rsidRPr="005C0629" w:rsidRDefault="00BF1E71" w:rsidP="00BF1E71">
      <w:pPr>
        <w:pStyle w:val="UTSLetterBodytext"/>
        <w:spacing w:after="0"/>
        <w:rPr>
          <w:sz w:val="22"/>
          <w:szCs w:val="22"/>
        </w:rPr>
      </w:pPr>
      <w:r w:rsidRPr="005C0629">
        <w:rPr>
          <w:sz w:val="22"/>
          <w:szCs w:val="22"/>
        </w:rPr>
        <w:t>Canberra City, ACT 2601</w:t>
      </w:r>
    </w:p>
    <w:p w:rsidR="00BF1E71" w:rsidRPr="005C0629" w:rsidRDefault="00BF1E71" w:rsidP="00BF1E71">
      <w:pPr>
        <w:pStyle w:val="UTSLetterBodytext"/>
        <w:spacing w:after="0"/>
        <w:rPr>
          <w:sz w:val="22"/>
          <w:szCs w:val="22"/>
        </w:rPr>
      </w:pPr>
      <w:r w:rsidRPr="005C0629">
        <w:rPr>
          <w:sz w:val="22"/>
          <w:szCs w:val="22"/>
        </w:rPr>
        <w:t xml:space="preserve">Email: </w:t>
      </w:r>
      <w:hyperlink r:id="rId9" w:history="1">
        <w:proofErr w:type="spellStart"/>
        <w:r w:rsidRPr="005C0629">
          <w:rPr>
            <w:rStyle w:val="Hyperlink"/>
            <w:sz w:val="22"/>
            <w:szCs w:val="22"/>
          </w:rPr>
          <w:t>childcare@pc.gov.au</w:t>
        </w:r>
        <w:proofErr w:type="spellEnd"/>
      </w:hyperlink>
    </w:p>
    <w:p w:rsidR="00BF1E71" w:rsidRPr="005C0629" w:rsidRDefault="00BF1E71" w:rsidP="00BF1E71">
      <w:pPr>
        <w:pStyle w:val="UTSLetterBodytext"/>
        <w:spacing w:after="0"/>
        <w:rPr>
          <w:sz w:val="22"/>
          <w:szCs w:val="22"/>
        </w:rPr>
      </w:pPr>
    </w:p>
    <w:p w:rsidR="00BF1E71" w:rsidRPr="005C0629" w:rsidRDefault="00BF1E71" w:rsidP="00BF1E71">
      <w:pPr>
        <w:pStyle w:val="UTSLetterBodytext"/>
        <w:spacing w:after="0"/>
        <w:rPr>
          <w:sz w:val="22"/>
          <w:szCs w:val="22"/>
        </w:rPr>
      </w:pPr>
      <w:r w:rsidRPr="005C0629">
        <w:rPr>
          <w:sz w:val="22"/>
          <w:szCs w:val="22"/>
        </w:rPr>
        <w:t>Dear Commissioners,</w:t>
      </w:r>
    </w:p>
    <w:p w:rsidR="00BF1E71" w:rsidRPr="005C0629" w:rsidRDefault="00BF1E71" w:rsidP="00BF1E71">
      <w:pPr>
        <w:pStyle w:val="UTSLetterBodytext"/>
        <w:spacing w:after="0"/>
        <w:rPr>
          <w:sz w:val="22"/>
          <w:szCs w:val="22"/>
        </w:rPr>
      </w:pPr>
    </w:p>
    <w:p w:rsidR="00BF1E71" w:rsidRPr="005C0629" w:rsidRDefault="00BF1E71" w:rsidP="005C0629">
      <w:pPr>
        <w:pStyle w:val="UTSLetterBodytext"/>
        <w:spacing w:after="0"/>
        <w:ind w:right="1405"/>
        <w:rPr>
          <w:b/>
          <w:sz w:val="22"/>
          <w:szCs w:val="22"/>
        </w:rPr>
      </w:pPr>
      <w:r w:rsidRPr="005C0629">
        <w:rPr>
          <w:b/>
          <w:sz w:val="22"/>
          <w:szCs w:val="22"/>
        </w:rPr>
        <w:t>Submission to the Productivity Commission’</w:t>
      </w:r>
      <w:r w:rsidR="005C0629">
        <w:rPr>
          <w:b/>
          <w:sz w:val="22"/>
          <w:szCs w:val="22"/>
        </w:rPr>
        <w:t xml:space="preserve">s Inquiry into </w:t>
      </w:r>
      <w:r w:rsidRPr="005C0629">
        <w:rPr>
          <w:b/>
          <w:sz w:val="22"/>
          <w:szCs w:val="22"/>
        </w:rPr>
        <w:t>Childcare</w:t>
      </w:r>
    </w:p>
    <w:p w:rsidR="00D333D5" w:rsidRPr="005C0629" w:rsidRDefault="00D333D5" w:rsidP="00BF1E71">
      <w:pPr>
        <w:pStyle w:val="UTSLetterBodytext"/>
        <w:spacing w:after="0"/>
        <w:rPr>
          <w:sz w:val="22"/>
          <w:szCs w:val="22"/>
        </w:rPr>
      </w:pPr>
    </w:p>
    <w:p w:rsidR="005C0629" w:rsidRDefault="00BF1E71" w:rsidP="00BF1E71">
      <w:pPr>
        <w:pStyle w:val="UTSLetterBodytext"/>
        <w:spacing w:after="0"/>
        <w:ind w:right="55"/>
        <w:rPr>
          <w:sz w:val="22"/>
          <w:szCs w:val="22"/>
        </w:rPr>
      </w:pPr>
      <w:r w:rsidRPr="005C0629">
        <w:rPr>
          <w:sz w:val="22"/>
          <w:szCs w:val="22"/>
        </w:rPr>
        <w:t xml:space="preserve">Thank you for the opportunity to provide a submission to this inquiry.  </w:t>
      </w:r>
      <w:r w:rsidR="005C0629">
        <w:rPr>
          <w:sz w:val="22"/>
          <w:szCs w:val="22"/>
        </w:rPr>
        <w:t>I am a Lecturer in the Law Faculty at the University of Technology, Sydney and have published extensively on immigration law and policy in Australia.</w:t>
      </w:r>
    </w:p>
    <w:p w:rsidR="005C0629" w:rsidRDefault="005C0629" w:rsidP="00BF1E71">
      <w:pPr>
        <w:pStyle w:val="UTSLetterBodytext"/>
        <w:spacing w:after="0"/>
        <w:ind w:right="55"/>
        <w:rPr>
          <w:sz w:val="22"/>
          <w:szCs w:val="22"/>
        </w:rPr>
      </w:pPr>
    </w:p>
    <w:p w:rsidR="00BF1E71" w:rsidRPr="005C0629" w:rsidRDefault="00BF1E71" w:rsidP="00BF1E71">
      <w:pPr>
        <w:pStyle w:val="UTSLetterBodytext"/>
        <w:spacing w:after="0"/>
        <w:ind w:right="55"/>
        <w:rPr>
          <w:sz w:val="22"/>
          <w:szCs w:val="22"/>
        </w:rPr>
      </w:pPr>
      <w:r w:rsidRPr="005C0629">
        <w:rPr>
          <w:sz w:val="22"/>
          <w:szCs w:val="22"/>
        </w:rPr>
        <w:t>This submission relates to recent calls from stakeholders in the Australian community for dedicated visas for childcare workers, including live-in domestic workers or au pairs</w:t>
      </w:r>
      <w:r w:rsidR="005C0629" w:rsidRPr="005C0629">
        <w:rPr>
          <w:sz w:val="22"/>
          <w:szCs w:val="22"/>
        </w:rPr>
        <w:t xml:space="preserve">, and, more broadly, </w:t>
      </w:r>
      <w:r w:rsidR="00E055BC">
        <w:rPr>
          <w:sz w:val="22"/>
          <w:szCs w:val="22"/>
        </w:rPr>
        <w:t>calls for</w:t>
      </w:r>
      <w:r w:rsidR="005C0629" w:rsidRPr="005C0629">
        <w:rPr>
          <w:sz w:val="22"/>
          <w:szCs w:val="22"/>
        </w:rPr>
        <w:t xml:space="preserve"> the extension of childcare rebates to au pairs and nannies</w:t>
      </w:r>
      <w:r w:rsidRPr="005C0629">
        <w:rPr>
          <w:sz w:val="22"/>
          <w:szCs w:val="22"/>
        </w:rPr>
        <w:t xml:space="preserve">.  </w:t>
      </w:r>
      <w:r w:rsidR="007665BE">
        <w:rPr>
          <w:sz w:val="22"/>
          <w:szCs w:val="22"/>
        </w:rPr>
        <w:t xml:space="preserve">These appeals are readily understandable in terms of their ability to enhance access to high quality childcare and to provide employment opportunities to carers currently living overseas.  </w:t>
      </w:r>
      <w:r w:rsidRPr="005C0629">
        <w:rPr>
          <w:sz w:val="22"/>
          <w:szCs w:val="22"/>
        </w:rPr>
        <w:t>This</w:t>
      </w:r>
      <w:r w:rsidR="005C0629" w:rsidRPr="005C0629">
        <w:rPr>
          <w:sz w:val="22"/>
          <w:szCs w:val="22"/>
        </w:rPr>
        <w:t xml:space="preserve"> submission urges the Productivity Commission to </w:t>
      </w:r>
      <w:r w:rsidR="007665BE">
        <w:rPr>
          <w:sz w:val="22"/>
          <w:szCs w:val="22"/>
        </w:rPr>
        <w:t xml:space="preserve">also </w:t>
      </w:r>
      <w:r w:rsidR="005C0629" w:rsidRPr="005C0629">
        <w:rPr>
          <w:sz w:val="22"/>
          <w:szCs w:val="22"/>
        </w:rPr>
        <w:t xml:space="preserve">take account of the impact that these measures may have on the industrial rights of </w:t>
      </w:r>
      <w:r w:rsidR="007665BE">
        <w:rPr>
          <w:sz w:val="22"/>
          <w:szCs w:val="22"/>
        </w:rPr>
        <w:t xml:space="preserve">those </w:t>
      </w:r>
      <w:r w:rsidR="005C0629" w:rsidRPr="005C0629">
        <w:rPr>
          <w:sz w:val="22"/>
          <w:szCs w:val="22"/>
        </w:rPr>
        <w:t xml:space="preserve">child care workers </w:t>
      </w:r>
      <w:r w:rsidR="007665BE">
        <w:rPr>
          <w:sz w:val="22"/>
          <w:szCs w:val="22"/>
        </w:rPr>
        <w:t xml:space="preserve">while holding </w:t>
      </w:r>
      <w:r w:rsidR="005C0629" w:rsidRPr="005C0629">
        <w:rPr>
          <w:sz w:val="22"/>
          <w:szCs w:val="22"/>
        </w:rPr>
        <w:t>temporary visas.</w:t>
      </w:r>
      <w:r w:rsidR="00746C8C">
        <w:rPr>
          <w:sz w:val="22"/>
          <w:szCs w:val="22"/>
        </w:rPr>
        <w:t xml:space="preserve">  Overseas workers in Australia are particularly vulnerable to unfair or unlawful work practices, given their lack of familiarity with</w:t>
      </w:r>
      <w:r w:rsidR="003C65EE">
        <w:rPr>
          <w:sz w:val="22"/>
          <w:szCs w:val="22"/>
        </w:rPr>
        <w:t xml:space="preserve"> local employment protections and</w:t>
      </w:r>
      <w:r w:rsidR="00746C8C">
        <w:rPr>
          <w:sz w:val="22"/>
          <w:szCs w:val="22"/>
        </w:rPr>
        <w:t xml:space="preserve"> institutional mechanisms for redress</w:t>
      </w:r>
      <w:r w:rsidR="003C65EE">
        <w:rPr>
          <w:sz w:val="22"/>
          <w:szCs w:val="22"/>
        </w:rPr>
        <w:t xml:space="preserve"> and sometimes weak English language skills</w:t>
      </w:r>
      <w:r w:rsidR="00746C8C">
        <w:rPr>
          <w:sz w:val="22"/>
          <w:szCs w:val="22"/>
        </w:rPr>
        <w:t xml:space="preserve">.  Young travellers seeking positions as au pairs are additionally disadvantaged by their youth and limited employment experience which can </w:t>
      </w:r>
      <w:r w:rsidR="00746C8C" w:rsidRPr="00746C8C">
        <w:rPr>
          <w:rFonts w:cs="Arial"/>
          <w:sz w:val="22"/>
          <w:szCs w:val="22"/>
        </w:rPr>
        <w:t>exacerbate the power differential in their employment relationships</w:t>
      </w:r>
      <w:r w:rsidR="00746C8C">
        <w:rPr>
          <w:sz w:val="22"/>
          <w:szCs w:val="22"/>
        </w:rPr>
        <w:t>, as t</w:t>
      </w:r>
      <w:r w:rsidR="00746C8C" w:rsidRPr="00746C8C">
        <w:rPr>
          <w:rFonts w:cs="Arial"/>
          <w:sz w:val="22"/>
          <w:szCs w:val="22"/>
        </w:rPr>
        <w:t xml:space="preserve">he </w:t>
      </w:r>
      <w:r w:rsidR="00746C8C">
        <w:rPr>
          <w:rFonts w:cs="Arial"/>
          <w:sz w:val="22"/>
          <w:szCs w:val="22"/>
        </w:rPr>
        <w:t xml:space="preserve">Fair Work Ombudsman </w:t>
      </w:r>
      <w:r w:rsidR="00746C8C" w:rsidRPr="00746C8C">
        <w:rPr>
          <w:rFonts w:cs="Arial"/>
          <w:sz w:val="22"/>
          <w:szCs w:val="22"/>
        </w:rPr>
        <w:t>has recognised</w:t>
      </w:r>
      <w:r w:rsidR="00746C8C">
        <w:rPr>
          <w:rFonts w:cs="Arial"/>
          <w:sz w:val="22"/>
          <w:szCs w:val="22"/>
        </w:rPr>
        <w:t xml:space="preserve"> in the context of international students</w:t>
      </w:r>
      <w:r w:rsidR="00746C8C" w:rsidRPr="00746C8C">
        <w:rPr>
          <w:rFonts w:cs="Arial"/>
          <w:sz w:val="22"/>
          <w:szCs w:val="22"/>
        </w:rPr>
        <w:t>.</w:t>
      </w:r>
      <w:r w:rsidR="00746C8C" w:rsidRPr="00746C8C">
        <w:rPr>
          <w:rStyle w:val="FootnoteReference"/>
          <w:rFonts w:ascii="Arial" w:hAnsi="Arial" w:cs="Arial"/>
          <w:sz w:val="22"/>
          <w:szCs w:val="22"/>
        </w:rPr>
        <w:footnoteReference w:id="1"/>
      </w:r>
    </w:p>
    <w:p w:rsidR="005C0629" w:rsidRPr="005C0629" w:rsidRDefault="005C0629" w:rsidP="00BF1E71">
      <w:pPr>
        <w:pStyle w:val="UTSLetterBodytext"/>
        <w:spacing w:after="0"/>
        <w:ind w:right="55"/>
        <w:rPr>
          <w:sz w:val="22"/>
          <w:szCs w:val="22"/>
        </w:rPr>
      </w:pPr>
    </w:p>
    <w:p w:rsidR="002A5357" w:rsidRDefault="005C0629" w:rsidP="00BF1E71">
      <w:pPr>
        <w:pStyle w:val="UTSLetterBodytext"/>
        <w:spacing w:after="0"/>
        <w:ind w:right="55"/>
        <w:rPr>
          <w:sz w:val="22"/>
          <w:szCs w:val="22"/>
        </w:rPr>
      </w:pPr>
      <w:r>
        <w:rPr>
          <w:sz w:val="22"/>
          <w:szCs w:val="22"/>
        </w:rPr>
        <w:t xml:space="preserve">My research on the exploitative working conditions faced by some temporary migrant workers in Australia has highlighted </w:t>
      </w:r>
      <w:r w:rsidR="00E1793C">
        <w:rPr>
          <w:sz w:val="22"/>
          <w:szCs w:val="22"/>
        </w:rPr>
        <w:t xml:space="preserve">how </w:t>
      </w:r>
      <w:r w:rsidR="008D2DF5">
        <w:rPr>
          <w:sz w:val="22"/>
          <w:szCs w:val="22"/>
        </w:rPr>
        <w:t>temporary immigration status</w:t>
      </w:r>
      <w:r w:rsidR="003C65EE">
        <w:rPr>
          <w:sz w:val="22"/>
          <w:szCs w:val="22"/>
        </w:rPr>
        <w:t xml:space="preserve"> itself</w:t>
      </w:r>
      <w:r w:rsidR="00E1793C">
        <w:rPr>
          <w:sz w:val="22"/>
          <w:szCs w:val="22"/>
        </w:rPr>
        <w:t xml:space="preserve"> can produce precarious work for some</w:t>
      </w:r>
      <w:r w:rsidR="008D2DF5">
        <w:rPr>
          <w:sz w:val="22"/>
          <w:szCs w:val="22"/>
        </w:rPr>
        <w:t>.</w:t>
      </w:r>
      <w:r w:rsidR="002A5357">
        <w:rPr>
          <w:sz w:val="22"/>
          <w:szCs w:val="22"/>
        </w:rPr>
        <w:t xml:space="preserve">  Lessons learned from the experiences of migrant</w:t>
      </w:r>
      <w:r w:rsidR="00E1793C">
        <w:rPr>
          <w:sz w:val="22"/>
          <w:szCs w:val="22"/>
        </w:rPr>
        <w:t xml:space="preserve"> </w:t>
      </w:r>
      <w:r w:rsidR="002A5357">
        <w:rPr>
          <w:sz w:val="22"/>
          <w:szCs w:val="22"/>
        </w:rPr>
        <w:t>workers on a range of temporary visas are salient to the question of how to construct a visa to facilitate the entry of home-based childcare workers from overseas</w:t>
      </w:r>
      <w:r w:rsidR="003C65EE">
        <w:rPr>
          <w:sz w:val="22"/>
          <w:szCs w:val="22"/>
        </w:rPr>
        <w:t xml:space="preserve"> while also safeguarding visa-holders’ labour rights</w:t>
      </w:r>
      <w:r w:rsidR="002A5357">
        <w:rPr>
          <w:sz w:val="22"/>
          <w:szCs w:val="22"/>
        </w:rPr>
        <w:t>.</w:t>
      </w:r>
      <w:r w:rsidR="00E1793C">
        <w:rPr>
          <w:sz w:val="22"/>
          <w:szCs w:val="22"/>
        </w:rPr>
        <w:t xml:space="preserve"> </w:t>
      </w:r>
      <w:r w:rsidR="002A5357">
        <w:rPr>
          <w:sz w:val="22"/>
          <w:szCs w:val="22"/>
        </w:rPr>
        <w:t xml:space="preserve"> Workplace vulnerabilities </w:t>
      </w:r>
      <w:r w:rsidR="00D1072F">
        <w:rPr>
          <w:sz w:val="22"/>
          <w:szCs w:val="22"/>
        </w:rPr>
        <w:t xml:space="preserve">can arise in different ways depending on the conditions of the specific temporary visa.  </w:t>
      </w:r>
    </w:p>
    <w:p w:rsidR="002A5357" w:rsidRDefault="002A5357" w:rsidP="00BF1E71">
      <w:pPr>
        <w:pStyle w:val="UTSLetterBodytext"/>
        <w:spacing w:after="0"/>
        <w:ind w:right="55"/>
        <w:rPr>
          <w:sz w:val="22"/>
          <w:szCs w:val="22"/>
        </w:rPr>
      </w:pPr>
    </w:p>
    <w:p w:rsidR="001A5C9E" w:rsidRDefault="00D1072F" w:rsidP="00BF1E71">
      <w:pPr>
        <w:pStyle w:val="UTSLetterBodytext"/>
        <w:spacing w:after="0"/>
        <w:ind w:right="55"/>
        <w:rPr>
          <w:sz w:val="22"/>
          <w:szCs w:val="22"/>
        </w:rPr>
      </w:pPr>
      <w:r>
        <w:rPr>
          <w:sz w:val="22"/>
          <w:szCs w:val="22"/>
        </w:rPr>
        <w:t xml:space="preserve">The 457 </w:t>
      </w:r>
      <w:r w:rsidRPr="002A5357">
        <w:rPr>
          <w:rFonts w:cs="Arial"/>
          <w:sz w:val="22"/>
          <w:szCs w:val="22"/>
        </w:rPr>
        <w:t xml:space="preserve">visa, for instance, </w:t>
      </w:r>
      <w:r w:rsidR="002A5357">
        <w:rPr>
          <w:rFonts w:cs="Arial"/>
          <w:sz w:val="22"/>
          <w:szCs w:val="22"/>
        </w:rPr>
        <w:t xml:space="preserve">includes a condition that </w:t>
      </w:r>
      <w:r w:rsidRPr="002A5357">
        <w:rPr>
          <w:rFonts w:cs="Arial"/>
          <w:sz w:val="22"/>
          <w:szCs w:val="22"/>
        </w:rPr>
        <w:t xml:space="preserve">visa-holders </w:t>
      </w:r>
      <w:r w:rsidR="002A5357">
        <w:rPr>
          <w:rFonts w:cs="Arial"/>
          <w:sz w:val="22"/>
          <w:szCs w:val="22"/>
        </w:rPr>
        <w:t xml:space="preserve">continue </w:t>
      </w:r>
      <w:r w:rsidRPr="002A5357">
        <w:rPr>
          <w:rFonts w:cs="Arial"/>
          <w:sz w:val="22"/>
          <w:szCs w:val="22"/>
        </w:rPr>
        <w:t>to be sponsored by their emplo</w:t>
      </w:r>
      <w:r w:rsidR="002A5357" w:rsidRPr="002A5357">
        <w:rPr>
          <w:rFonts w:cs="Arial"/>
          <w:sz w:val="22"/>
          <w:szCs w:val="22"/>
        </w:rPr>
        <w:t>yer.</w:t>
      </w:r>
      <w:r w:rsidR="002A5357" w:rsidRPr="002A5357">
        <w:rPr>
          <w:rStyle w:val="FootnoteReference"/>
          <w:rFonts w:ascii="Arial" w:hAnsi="Arial" w:cs="Arial"/>
          <w:sz w:val="22"/>
          <w:szCs w:val="22"/>
        </w:rPr>
        <w:footnoteReference w:id="2"/>
      </w:r>
      <w:r w:rsidRPr="002A5357">
        <w:rPr>
          <w:rFonts w:cs="Arial"/>
          <w:sz w:val="22"/>
          <w:szCs w:val="22"/>
        </w:rPr>
        <w:t xml:space="preserve"> </w:t>
      </w:r>
      <w:r w:rsidR="002A5357">
        <w:rPr>
          <w:rFonts w:cs="Arial"/>
          <w:sz w:val="22"/>
          <w:szCs w:val="22"/>
        </w:rPr>
        <w:t xml:space="preserve"> </w:t>
      </w:r>
      <w:r w:rsidR="002A5357" w:rsidRPr="002A5357">
        <w:rPr>
          <w:rFonts w:cs="Arial"/>
          <w:sz w:val="22"/>
          <w:szCs w:val="22"/>
        </w:rPr>
        <w:t xml:space="preserve">This condition may be breached 90 days after a visa-holder ceases work in </w:t>
      </w:r>
      <w:r w:rsidR="003C65EE">
        <w:rPr>
          <w:rFonts w:cs="Arial"/>
          <w:sz w:val="22"/>
          <w:szCs w:val="22"/>
        </w:rPr>
        <w:t>the nominated</w:t>
      </w:r>
      <w:r w:rsidR="002A5357">
        <w:rPr>
          <w:rFonts w:cs="Arial"/>
          <w:sz w:val="22"/>
          <w:szCs w:val="22"/>
        </w:rPr>
        <w:t xml:space="preserve"> position for their sponsor, whether employment is terminated by employer or employee.</w:t>
      </w:r>
      <w:r w:rsidR="002A5357" w:rsidRPr="002A5357">
        <w:rPr>
          <w:rStyle w:val="FootnoteReference"/>
          <w:rFonts w:ascii="Arial" w:hAnsi="Arial" w:cs="Arial"/>
          <w:sz w:val="22"/>
          <w:szCs w:val="22"/>
        </w:rPr>
        <w:footnoteReference w:id="3"/>
      </w:r>
      <w:r w:rsidR="002A5357" w:rsidRPr="002A5357">
        <w:rPr>
          <w:rStyle w:val="FootnoteReference"/>
          <w:rFonts w:ascii="Arial" w:hAnsi="Arial" w:cs="Arial"/>
          <w:sz w:val="22"/>
          <w:szCs w:val="22"/>
        </w:rPr>
        <w:t xml:space="preserve"> </w:t>
      </w:r>
      <w:r w:rsidR="002A5357" w:rsidRPr="002A5357">
        <w:rPr>
          <w:rFonts w:cs="Arial"/>
          <w:sz w:val="22"/>
          <w:szCs w:val="22"/>
        </w:rPr>
        <w:t xml:space="preserve">  Upon breach of this condition the visa may be cancelled,</w:t>
      </w:r>
      <w:r w:rsidR="002A5357" w:rsidRPr="002A5357">
        <w:rPr>
          <w:rStyle w:val="FootnoteReference"/>
          <w:rFonts w:ascii="Arial" w:hAnsi="Arial" w:cs="Arial"/>
          <w:sz w:val="22"/>
          <w:szCs w:val="22"/>
        </w:rPr>
        <w:footnoteReference w:id="4"/>
      </w:r>
      <w:r w:rsidR="002A5357" w:rsidRPr="002A5357">
        <w:rPr>
          <w:rFonts w:cs="Arial"/>
          <w:sz w:val="22"/>
          <w:szCs w:val="22"/>
        </w:rPr>
        <w:t xml:space="preserve"> which may then render the visa-holder an </w:t>
      </w:r>
      <w:r w:rsidR="002A5357" w:rsidRPr="002A5357">
        <w:rPr>
          <w:rFonts w:cs="Arial"/>
          <w:sz w:val="22"/>
          <w:szCs w:val="22"/>
        </w:rPr>
        <w:lastRenderedPageBreak/>
        <w:t>unlawful non-citizen liable to mandatory detention and immediate removal.</w:t>
      </w:r>
      <w:r w:rsidR="002A5357" w:rsidRPr="002A5357">
        <w:rPr>
          <w:rStyle w:val="FootnoteReference"/>
          <w:rFonts w:ascii="Arial" w:hAnsi="Arial" w:cs="Arial"/>
          <w:sz w:val="22"/>
          <w:szCs w:val="22"/>
        </w:rPr>
        <w:footnoteReference w:id="5"/>
      </w:r>
      <w:r w:rsidR="002A5357" w:rsidRPr="002A5357">
        <w:rPr>
          <w:rFonts w:cs="Arial"/>
          <w:sz w:val="22"/>
          <w:szCs w:val="22"/>
        </w:rPr>
        <w:t xml:space="preserve">  </w:t>
      </w:r>
      <w:r w:rsidR="003C65EE">
        <w:rPr>
          <w:sz w:val="22"/>
          <w:szCs w:val="22"/>
        </w:rPr>
        <w:t>All of this means that</w:t>
      </w:r>
      <w:r>
        <w:rPr>
          <w:sz w:val="22"/>
          <w:szCs w:val="22"/>
        </w:rPr>
        <w:t xml:space="preserve"> the employee </w:t>
      </w:r>
      <w:r w:rsidR="003C65EE">
        <w:rPr>
          <w:sz w:val="22"/>
          <w:szCs w:val="22"/>
        </w:rPr>
        <w:t xml:space="preserve">tends to be </w:t>
      </w:r>
      <w:r>
        <w:rPr>
          <w:sz w:val="22"/>
          <w:szCs w:val="22"/>
        </w:rPr>
        <w:t xml:space="preserve">reliant on their sponsor not only for their job but their continued lawful presence in Australia as well. This can create pronounced dependency for some visa-holders, as well </w:t>
      </w:r>
      <w:r w:rsidR="00D15E10">
        <w:rPr>
          <w:sz w:val="22"/>
          <w:szCs w:val="22"/>
        </w:rPr>
        <w:t xml:space="preserve">as </w:t>
      </w:r>
      <w:r>
        <w:rPr>
          <w:sz w:val="22"/>
          <w:szCs w:val="22"/>
        </w:rPr>
        <w:t>constraining their labour market mobility.</w:t>
      </w:r>
      <w:r w:rsidR="002C3233">
        <w:rPr>
          <w:sz w:val="22"/>
          <w:szCs w:val="22"/>
        </w:rPr>
        <w:t xml:space="preserve">  Indeed, the deleterious impact of this visa condition was recognised last year through legislative reforms extending the period</w:t>
      </w:r>
      <w:r w:rsidR="00DD676A">
        <w:rPr>
          <w:sz w:val="22"/>
          <w:szCs w:val="22"/>
        </w:rPr>
        <w:t xml:space="preserve"> </w:t>
      </w:r>
      <w:r w:rsidR="002C3233">
        <w:rPr>
          <w:sz w:val="22"/>
          <w:szCs w:val="22"/>
        </w:rPr>
        <w:t>between cessation of work and breach of condition from 28 days to 90 days.</w:t>
      </w:r>
      <w:r w:rsidR="002C3233" w:rsidRPr="003F3908">
        <w:rPr>
          <w:rStyle w:val="FootnoteReference"/>
          <w:rFonts w:ascii="Arial" w:hAnsi="Arial" w:cs="Arial"/>
          <w:sz w:val="22"/>
          <w:szCs w:val="22"/>
        </w:rPr>
        <w:footnoteReference w:id="6"/>
      </w:r>
      <w:r w:rsidR="00DD676A" w:rsidRPr="003F3908">
        <w:rPr>
          <w:rFonts w:cs="Arial"/>
          <w:sz w:val="22"/>
          <w:szCs w:val="22"/>
        </w:rPr>
        <w:t xml:space="preserve"> </w:t>
      </w:r>
    </w:p>
    <w:p w:rsidR="001A5C9E" w:rsidRDefault="001A5C9E" w:rsidP="00BF1E71">
      <w:pPr>
        <w:pStyle w:val="UTSLetterBodytext"/>
        <w:spacing w:after="0"/>
        <w:ind w:right="55"/>
        <w:rPr>
          <w:sz w:val="22"/>
          <w:szCs w:val="22"/>
        </w:rPr>
      </w:pPr>
    </w:p>
    <w:p w:rsidR="002A5357" w:rsidRPr="002A5357" w:rsidRDefault="00DD676A" w:rsidP="00BF1E71">
      <w:pPr>
        <w:pStyle w:val="UTSLetterBodytext"/>
        <w:spacing w:after="0"/>
        <w:ind w:right="55"/>
        <w:rPr>
          <w:rFonts w:cs="Arial"/>
          <w:sz w:val="22"/>
          <w:szCs w:val="22"/>
        </w:rPr>
      </w:pPr>
      <w:r>
        <w:rPr>
          <w:sz w:val="22"/>
          <w:szCs w:val="22"/>
        </w:rPr>
        <w:t>Naturally, tying an au pair to their host family through a visa condition would serve the interests of families in secure, longer-term childcare.  However,</w:t>
      </w:r>
      <w:r w:rsidR="002A5357">
        <w:rPr>
          <w:sz w:val="22"/>
          <w:szCs w:val="22"/>
        </w:rPr>
        <w:t xml:space="preserve"> </w:t>
      </w:r>
      <w:r>
        <w:rPr>
          <w:sz w:val="22"/>
          <w:szCs w:val="22"/>
        </w:rPr>
        <w:t>by severely impairing au pairs’ ability to make alternative arrangements if they find their initial</w:t>
      </w:r>
      <w:r w:rsidR="001D0609">
        <w:rPr>
          <w:sz w:val="22"/>
          <w:szCs w:val="22"/>
        </w:rPr>
        <w:t xml:space="preserve"> family</w:t>
      </w:r>
      <w:r>
        <w:rPr>
          <w:sz w:val="22"/>
          <w:szCs w:val="22"/>
        </w:rPr>
        <w:t xml:space="preserve"> placement unsuitable, such a visa condition is highly undesirable.</w:t>
      </w:r>
    </w:p>
    <w:p w:rsidR="002A5357" w:rsidRPr="00746C8C" w:rsidRDefault="002A5357" w:rsidP="00BF1E71">
      <w:pPr>
        <w:pStyle w:val="UTSLetterBodytext"/>
        <w:spacing w:after="0"/>
        <w:ind w:right="55"/>
        <w:rPr>
          <w:rFonts w:cs="Arial"/>
          <w:sz w:val="22"/>
          <w:szCs w:val="22"/>
        </w:rPr>
      </w:pPr>
    </w:p>
    <w:p w:rsidR="001A5C9E" w:rsidRDefault="0011181F" w:rsidP="00BF1E71">
      <w:pPr>
        <w:pStyle w:val="UTSLetterBodytext"/>
        <w:spacing w:after="0"/>
        <w:ind w:right="55"/>
        <w:rPr>
          <w:rFonts w:cs="Arial"/>
          <w:sz w:val="22"/>
          <w:szCs w:val="22"/>
        </w:rPr>
      </w:pPr>
      <w:r w:rsidRPr="00746C8C">
        <w:rPr>
          <w:rFonts w:cs="Arial"/>
          <w:sz w:val="22"/>
          <w:szCs w:val="22"/>
        </w:rPr>
        <w:t>Scholarship and government policy have only very recently considered the vulnerabilities of international students as workers.  Student</w:t>
      </w:r>
      <w:r w:rsidR="002A5357" w:rsidRPr="00746C8C">
        <w:rPr>
          <w:rFonts w:cs="Arial"/>
          <w:sz w:val="22"/>
          <w:szCs w:val="22"/>
        </w:rPr>
        <w:t xml:space="preserve"> visa</w:t>
      </w:r>
      <w:r w:rsidRPr="00746C8C">
        <w:rPr>
          <w:rFonts w:cs="Arial"/>
          <w:sz w:val="22"/>
          <w:szCs w:val="22"/>
        </w:rPr>
        <w:t>s</w:t>
      </w:r>
      <w:r w:rsidR="002A5357" w:rsidRPr="00746C8C">
        <w:rPr>
          <w:rFonts w:cs="Arial"/>
          <w:sz w:val="22"/>
          <w:szCs w:val="22"/>
        </w:rPr>
        <w:t xml:space="preserve"> can breed vulnerability by limiting </w:t>
      </w:r>
      <w:r w:rsidRPr="00746C8C">
        <w:rPr>
          <w:rFonts w:cs="Arial"/>
          <w:sz w:val="22"/>
          <w:szCs w:val="22"/>
        </w:rPr>
        <w:t xml:space="preserve">visa-holders’ </w:t>
      </w:r>
      <w:r w:rsidR="002A5357" w:rsidRPr="00746C8C">
        <w:rPr>
          <w:rFonts w:cs="Arial"/>
          <w:sz w:val="22"/>
          <w:szCs w:val="22"/>
        </w:rPr>
        <w:t>work entitlements to forty hours per fortnight</w:t>
      </w:r>
      <w:r w:rsidRPr="00746C8C">
        <w:rPr>
          <w:rFonts w:cs="Arial"/>
          <w:sz w:val="22"/>
          <w:szCs w:val="22"/>
        </w:rPr>
        <w:t>.</w:t>
      </w:r>
      <w:r w:rsidRPr="00746C8C">
        <w:rPr>
          <w:rStyle w:val="FootnoteReference"/>
          <w:rFonts w:ascii="Arial" w:hAnsi="Arial" w:cs="Arial"/>
          <w:sz w:val="22"/>
          <w:szCs w:val="22"/>
        </w:rPr>
        <w:footnoteReference w:id="7"/>
      </w:r>
      <w:r w:rsidR="009C2459" w:rsidRPr="00746C8C">
        <w:rPr>
          <w:rFonts w:cs="Arial"/>
          <w:sz w:val="22"/>
          <w:szCs w:val="22"/>
        </w:rPr>
        <w:t xml:space="preserve">  This limited work entitlement is justified as assisting international students to meet the costs of their studies without over-committing to work which would jeopardise their studies.  However, the line between compliant and non-compliant work is a particularly fine one for students who may overshoot their work cap by a small amount, or on isolated occasions, and may do so unintentionally or without realising it has happened.</w:t>
      </w:r>
      <w:r w:rsidR="009C2459" w:rsidRPr="00746C8C">
        <w:rPr>
          <w:rStyle w:val="FootnoteReference"/>
          <w:rFonts w:ascii="Arial" w:hAnsi="Arial" w:cs="Arial"/>
          <w:sz w:val="22"/>
          <w:szCs w:val="22"/>
        </w:rPr>
        <w:footnoteReference w:id="8"/>
      </w:r>
      <w:r w:rsidR="009C2459" w:rsidRPr="00746C8C">
        <w:rPr>
          <w:rFonts w:cs="Arial"/>
          <w:sz w:val="22"/>
          <w:szCs w:val="22"/>
        </w:rPr>
        <w:t xml:space="preserve">  Such subtleties leave </w:t>
      </w:r>
      <w:r w:rsidR="009C2459" w:rsidRPr="00746C8C">
        <w:rPr>
          <w:rFonts w:cs="Arial"/>
          <w:color w:val="000000"/>
          <w:sz w:val="22"/>
          <w:szCs w:val="22"/>
        </w:rPr>
        <w:t xml:space="preserve">student visa-holders teetering on the edges of legality.  </w:t>
      </w:r>
      <w:r w:rsidR="009C2459" w:rsidRPr="00746C8C">
        <w:rPr>
          <w:rFonts w:cs="Arial"/>
          <w:sz w:val="22"/>
          <w:szCs w:val="22"/>
        </w:rPr>
        <w:t xml:space="preserve">This ever-present threat of detection and removal leaves students susceptible to employer exploitation, by </w:t>
      </w:r>
      <w:r w:rsidR="001A5C9E">
        <w:rPr>
          <w:rFonts w:cs="Arial"/>
          <w:sz w:val="22"/>
          <w:szCs w:val="22"/>
        </w:rPr>
        <w:t>using the student’s potentially illegal work as a means to exert</w:t>
      </w:r>
      <w:r w:rsidR="009C2459" w:rsidRPr="00746C8C">
        <w:rPr>
          <w:rFonts w:cs="Arial"/>
          <w:sz w:val="22"/>
          <w:szCs w:val="22"/>
        </w:rPr>
        <w:t xml:space="preserve"> control over them </w:t>
      </w:r>
      <w:r w:rsidR="001A5C9E">
        <w:rPr>
          <w:rFonts w:cs="Arial"/>
          <w:sz w:val="22"/>
          <w:szCs w:val="22"/>
        </w:rPr>
        <w:t>or prevent</w:t>
      </w:r>
      <w:r w:rsidR="009C2459" w:rsidRPr="00746C8C">
        <w:rPr>
          <w:rFonts w:cs="Arial"/>
          <w:sz w:val="22"/>
          <w:szCs w:val="22"/>
        </w:rPr>
        <w:t xml:space="preserve"> them from reporting </w:t>
      </w:r>
      <w:r w:rsidR="001A5C9E">
        <w:rPr>
          <w:rFonts w:cs="Arial"/>
          <w:sz w:val="22"/>
          <w:szCs w:val="22"/>
        </w:rPr>
        <w:t xml:space="preserve">other </w:t>
      </w:r>
      <w:r w:rsidR="009C2459" w:rsidRPr="00746C8C">
        <w:rPr>
          <w:rFonts w:cs="Arial"/>
          <w:sz w:val="22"/>
          <w:szCs w:val="22"/>
        </w:rPr>
        <w:t>violations of employment standards.  Because of this, multiple stakeholders have called for this limitation on students’ work rights to be removed.</w:t>
      </w:r>
      <w:r w:rsidR="009C2459" w:rsidRPr="00746C8C">
        <w:rPr>
          <w:rStyle w:val="FootnoteReference"/>
          <w:rFonts w:ascii="Arial" w:hAnsi="Arial" w:cs="Arial"/>
          <w:sz w:val="22"/>
          <w:szCs w:val="22"/>
        </w:rPr>
        <w:footnoteReference w:id="9"/>
      </w:r>
      <w:r w:rsidR="001A5C9E">
        <w:rPr>
          <w:rFonts w:cs="Arial"/>
          <w:sz w:val="22"/>
          <w:szCs w:val="22"/>
        </w:rPr>
        <w:t xml:space="preserve">  </w:t>
      </w:r>
    </w:p>
    <w:p w:rsidR="001A5C9E" w:rsidRDefault="001A5C9E" w:rsidP="00BF1E71">
      <w:pPr>
        <w:pStyle w:val="UTSLetterBodytext"/>
        <w:spacing w:after="0"/>
        <w:ind w:right="55"/>
        <w:rPr>
          <w:rFonts w:cs="Arial"/>
          <w:sz w:val="22"/>
          <w:szCs w:val="22"/>
        </w:rPr>
      </w:pPr>
    </w:p>
    <w:p w:rsidR="005C0629" w:rsidRPr="00746C8C" w:rsidRDefault="003F3908" w:rsidP="00BF1E71">
      <w:pPr>
        <w:pStyle w:val="UTSLetterBodytext"/>
        <w:spacing w:after="0"/>
        <w:ind w:right="55"/>
        <w:rPr>
          <w:rFonts w:cs="Arial"/>
          <w:sz w:val="22"/>
          <w:szCs w:val="22"/>
        </w:rPr>
      </w:pPr>
      <w:r>
        <w:rPr>
          <w:rFonts w:cs="Arial"/>
          <w:sz w:val="22"/>
          <w:szCs w:val="22"/>
        </w:rPr>
        <w:t>Apparently, au pair agencies recommend that au pairs work roughly twenty hours per week during their family placement.  If the Commission were to recommend stronger regulation of the au pair industry, it may be desirable to formalise this hourly restriction.</w:t>
      </w:r>
      <w:r w:rsidR="00BA09CC">
        <w:rPr>
          <w:rFonts w:cs="Arial"/>
          <w:sz w:val="22"/>
          <w:szCs w:val="22"/>
        </w:rPr>
        <w:t xml:space="preserve">  </w:t>
      </w:r>
      <w:r>
        <w:rPr>
          <w:rFonts w:cs="Arial"/>
          <w:sz w:val="22"/>
          <w:szCs w:val="22"/>
        </w:rPr>
        <w:t>Still, i</w:t>
      </w:r>
      <w:r w:rsidR="00BA09CC">
        <w:rPr>
          <w:rFonts w:cs="Arial"/>
          <w:sz w:val="22"/>
          <w:szCs w:val="22"/>
        </w:rPr>
        <w:t xml:space="preserve">t is argued here that any </w:t>
      </w:r>
      <w:r w:rsidR="00BA09CC" w:rsidRPr="003F3908">
        <w:rPr>
          <w:rFonts w:cs="Arial"/>
          <w:i/>
          <w:sz w:val="22"/>
          <w:szCs w:val="22"/>
        </w:rPr>
        <w:t>visa</w:t>
      </w:r>
      <w:r w:rsidR="00BA09CC">
        <w:rPr>
          <w:rFonts w:cs="Arial"/>
          <w:sz w:val="22"/>
          <w:szCs w:val="22"/>
        </w:rPr>
        <w:t xml:space="preserve"> dedicated to domestic childcare not contain a </w:t>
      </w:r>
      <w:r w:rsidR="001A5C9E" w:rsidRPr="003F3908">
        <w:rPr>
          <w:rFonts w:cs="Arial"/>
          <w:i/>
          <w:sz w:val="22"/>
          <w:szCs w:val="22"/>
        </w:rPr>
        <w:t>condition</w:t>
      </w:r>
      <w:r w:rsidR="001A5C9E">
        <w:rPr>
          <w:rFonts w:cs="Arial"/>
          <w:sz w:val="22"/>
          <w:szCs w:val="22"/>
        </w:rPr>
        <w:t xml:space="preserve"> which restricts</w:t>
      </w:r>
      <w:r w:rsidR="00BA09CC">
        <w:rPr>
          <w:rFonts w:cs="Arial"/>
          <w:sz w:val="22"/>
          <w:szCs w:val="22"/>
        </w:rPr>
        <w:t xml:space="preserve"> hours of employment</w:t>
      </w:r>
      <w:r>
        <w:rPr>
          <w:rFonts w:cs="Arial"/>
          <w:sz w:val="22"/>
          <w:szCs w:val="22"/>
        </w:rPr>
        <w:t>, since exploitative pressure by families on an au pair to exceed this limit would leave the au pair vulnerable to visa cancellation and sanction</w:t>
      </w:r>
      <w:r w:rsidR="00BA09CC">
        <w:rPr>
          <w:rFonts w:cs="Arial"/>
          <w:sz w:val="22"/>
          <w:szCs w:val="22"/>
        </w:rPr>
        <w:t>.</w:t>
      </w:r>
      <w:r w:rsidR="001A5C9E">
        <w:rPr>
          <w:rFonts w:cs="Arial"/>
          <w:sz w:val="22"/>
          <w:szCs w:val="22"/>
        </w:rPr>
        <w:t xml:space="preserve">  </w:t>
      </w:r>
    </w:p>
    <w:p w:rsidR="009C2459" w:rsidRDefault="009C2459" w:rsidP="00BF1E71">
      <w:pPr>
        <w:pStyle w:val="UTSLetterBodytext"/>
        <w:spacing w:after="0"/>
        <w:ind w:right="55"/>
        <w:rPr>
          <w:rFonts w:cs="Arial"/>
          <w:sz w:val="22"/>
          <w:szCs w:val="22"/>
        </w:rPr>
      </w:pPr>
    </w:p>
    <w:p w:rsidR="003F3908" w:rsidRDefault="003F3908" w:rsidP="00BF1E71">
      <w:pPr>
        <w:pStyle w:val="UTSLetterBodytext"/>
        <w:spacing w:after="0"/>
        <w:ind w:right="55"/>
        <w:rPr>
          <w:rFonts w:cs="Arial"/>
          <w:sz w:val="22"/>
          <w:szCs w:val="22"/>
        </w:rPr>
      </w:pPr>
      <w:r>
        <w:rPr>
          <w:rFonts w:cs="Arial"/>
          <w:sz w:val="22"/>
          <w:szCs w:val="22"/>
        </w:rPr>
        <w:t>In short, the author recommends that any reforms to immigration regulation recommended by the Productivity Commission give consideration to the industrial effects on the visa-holders themselves.</w:t>
      </w:r>
    </w:p>
    <w:p w:rsidR="003F3908" w:rsidRDefault="003F3908" w:rsidP="00BF1E71">
      <w:pPr>
        <w:pStyle w:val="UTSLetterBodytext"/>
        <w:spacing w:after="0"/>
        <w:ind w:right="55"/>
        <w:rPr>
          <w:rFonts w:cs="Arial"/>
          <w:sz w:val="22"/>
          <w:szCs w:val="22"/>
        </w:rPr>
      </w:pPr>
    </w:p>
    <w:p w:rsidR="00BA09CC" w:rsidRDefault="00BA09CC" w:rsidP="00BF1E71">
      <w:pPr>
        <w:pStyle w:val="UTSLetterBodytext"/>
        <w:spacing w:after="0"/>
        <w:ind w:right="55"/>
        <w:rPr>
          <w:rFonts w:cs="Arial"/>
          <w:sz w:val="22"/>
          <w:szCs w:val="22"/>
        </w:rPr>
      </w:pPr>
      <w:r>
        <w:rPr>
          <w:rFonts w:cs="Arial"/>
          <w:sz w:val="22"/>
          <w:szCs w:val="22"/>
        </w:rPr>
        <w:t>Yours sincerely,</w:t>
      </w:r>
    </w:p>
    <w:p w:rsidR="005455E1" w:rsidRDefault="005455E1" w:rsidP="00BF1E71">
      <w:pPr>
        <w:pStyle w:val="UTSLetterBodytext"/>
        <w:spacing w:after="0"/>
        <w:ind w:right="55"/>
        <w:rPr>
          <w:rFonts w:cs="Arial"/>
          <w:sz w:val="22"/>
          <w:szCs w:val="22"/>
        </w:rPr>
      </w:pPr>
    </w:p>
    <w:p w:rsidR="005455E1" w:rsidRDefault="005455E1" w:rsidP="00BF1E71">
      <w:pPr>
        <w:pStyle w:val="UTSLetterBodytext"/>
        <w:spacing w:after="0"/>
        <w:ind w:right="55"/>
        <w:rPr>
          <w:rFonts w:cs="Arial"/>
          <w:sz w:val="22"/>
          <w:szCs w:val="22"/>
        </w:rPr>
      </w:pPr>
    </w:p>
    <w:p w:rsidR="00BF2F9E" w:rsidRDefault="00BF2F9E" w:rsidP="00BF2F9E">
      <w:pPr>
        <w:pStyle w:val="UTSLetterBodytext"/>
        <w:spacing w:after="0"/>
        <w:ind w:right="55"/>
        <w:rPr>
          <w:rFonts w:cs="Arial"/>
          <w:sz w:val="22"/>
          <w:szCs w:val="22"/>
        </w:rPr>
      </w:pPr>
      <w:r>
        <w:rPr>
          <w:rFonts w:cs="Arial"/>
          <w:noProof/>
          <w:sz w:val="22"/>
          <w:szCs w:val="22"/>
          <w:lang w:eastAsia="en-AU"/>
        </w:rPr>
        <w:t>Dr Laurie Berg</w:t>
      </w:r>
    </w:p>
    <w:p w:rsidR="00AF7201" w:rsidRDefault="00AF7201" w:rsidP="00BF1E71">
      <w:pPr>
        <w:pStyle w:val="UTSLetterBodytext"/>
        <w:spacing w:after="0"/>
        <w:ind w:right="55"/>
        <w:rPr>
          <w:rFonts w:cs="Arial"/>
          <w:sz w:val="22"/>
          <w:szCs w:val="22"/>
        </w:rPr>
      </w:pPr>
    </w:p>
    <w:p w:rsidR="00020937" w:rsidRPr="00020937" w:rsidRDefault="00020937" w:rsidP="00BF1E71">
      <w:pPr>
        <w:pStyle w:val="UTSLetterBodytext"/>
        <w:spacing w:after="0"/>
        <w:ind w:right="55"/>
        <w:rPr>
          <w:noProof/>
          <w:lang w:eastAsia="en-AU"/>
        </w:rPr>
      </w:pPr>
    </w:p>
    <w:sectPr w:rsidR="00020937" w:rsidRPr="00020937" w:rsidSect="002A5357">
      <w:headerReference w:type="default" r:id="rId10"/>
      <w:headerReference w:type="first" r:id="rId11"/>
      <w:pgSz w:w="11907" w:h="16840" w:code="9"/>
      <w:pgMar w:top="1352" w:right="1021" w:bottom="426" w:left="1021" w:header="851"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01" w:rsidRDefault="005B5901">
      <w:r>
        <w:separator/>
      </w:r>
    </w:p>
  </w:endnote>
  <w:endnote w:type="continuationSeparator" w:id="0">
    <w:p w:rsidR="005B5901" w:rsidRDefault="005B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01" w:rsidRDefault="005B5901">
      <w:r>
        <w:separator/>
      </w:r>
    </w:p>
  </w:footnote>
  <w:footnote w:type="continuationSeparator" w:id="0">
    <w:p w:rsidR="005B5901" w:rsidRDefault="005B5901">
      <w:r>
        <w:continuationSeparator/>
      </w:r>
    </w:p>
  </w:footnote>
  <w:footnote w:id="1">
    <w:p w:rsidR="00746C8C" w:rsidRPr="00BA09CC" w:rsidRDefault="00746C8C" w:rsidP="00746C8C">
      <w:pPr>
        <w:pStyle w:val="FootnoteText"/>
        <w:rPr>
          <w:rFonts w:ascii="Arial" w:hAnsi="Arial"/>
        </w:rPr>
      </w:pPr>
      <w:r w:rsidRPr="00383BA1">
        <w:rPr>
          <w:rStyle w:val="FootnoteReference"/>
          <w:rFonts w:ascii="Arial" w:hAnsi="Arial"/>
        </w:rPr>
        <w:footnoteRef/>
      </w:r>
      <w:r w:rsidR="00383BA1" w:rsidRPr="00383BA1">
        <w:rPr>
          <w:rFonts w:ascii="Arial" w:hAnsi="Arial"/>
        </w:rPr>
        <w:t xml:space="preserve"> Michael Campbell, ‘Perspectives on Working Conditions of Temporary Migrant Workers in Australia’ (2010) 18(2) </w:t>
      </w:r>
      <w:r w:rsidR="00383BA1" w:rsidRPr="00383BA1">
        <w:rPr>
          <w:rFonts w:ascii="Arial" w:hAnsi="Arial"/>
          <w:i/>
        </w:rPr>
        <w:t>People and Place</w:t>
      </w:r>
      <w:r w:rsidR="00383BA1" w:rsidRPr="00383BA1">
        <w:rPr>
          <w:rFonts w:ascii="Arial" w:hAnsi="Arial"/>
        </w:rPr>
        <w:t xml:space="preserve"> 51</w:t>
      </w:r>
      <w:r w:rsidRPr="00BA09CC">
        <w:rPr>
          <w:rFonts w:ascii="Arial" w:hAnsi="Arial"/>
        </w:rPr>
        <w:t>, 52.</w:t>
      </w:r>
    </w:p>
  </w:footnote>
  <w:footnote w:id="2">
    <w:p w:rsidR="002A5357" w:rsidRPr="00BA09CC" w:rsidRDefault="002A5357" w:rsidP="002A5357">
      <w:pPr>
        <w:pStyle w:val="FootnoteText"/>
        <w:rPr>
          <w:rFonts w:ascii="Arial" w:hAnsi="Arial"/>
        </w:rPr>
      </w:pPr>
      <w:r w:rsidRPr="00BA09CC">
        <w:rPr>
          <w:rStyle w:val="FootnoteReference"/>
          <w:rFonts w:ascii="Arial" w:hAnsi="Arial"/>
        </w:rPr>
        <w:footnoteRef/>
      </w:r>
      <w:r w:rsidRPr="00BA09CC">
        <w:rPr>
          <w:rFonts w:ascii="Arial" w:hAnsi="Arial"/>
        </w:rPr>
        <w:t xml:space="preserve"> Condition 8107 provides that the visa-holder must work only for the sponsoring employer, in the occupation listed in the most recently approved nomination:  see </w:t>
      </w:r>
      <w:r w:rsidRPr="00BA09CC">
        <w:rPr>
          <w:rFonts w:ascii="Arial" w:hAnsi="Arial"/>
          <w:i/>
        </w:rPr>
        <w:t>Migration Regulations</w:t>
      </w:r>
      <w:r w:rsidRPr="00BA09CC">
        <w:rPr>
          <w:rFonts w:ascii="Arial" w:hAnsi="Arial"/>
        </w:rPr>
        <w:t xml:space="preserve"> </w:t>
      </w:r>
      <w:proofErr w:type="spellStart"/>
      <w:r w:rsidRPr="00BA09CC">
        <w:rPr>
          <w:rFonts w:ascii="Arial" w:hAnsi="Arial"/>
        </w:rPr>
        <w:t>sch</w:t>
      </w:r>
      <w:proofErr w:type="spellEnd"/>
      <w:r w:rsidRPr="00BA09CC">
        <w:rPr>
          <w:rFonts w:ascii="Arial" w:hAnsi="Arial"/>
        </w:rPr>
        <w:t xml:space="preserve"> 8, cl 8107 and </w:t>
      </w:r>
      <w:proofErr w:type="spellStart"/>
      <w:r w:rsidRPr="00BA09CC">
        <w:rPr>
          <w:rFonts w:ascii="Arial" w:hAnsi="Arial"/>
        </w:rPr>
        <w:t>sch</w:t>
      </w:r>
      <w:proofErr w:type="spellEnd"/>
      <w:r w:rsidRPr="00BA09CC">
        <w:rPr>
          <w:rFonts w:ascii="Arial" w:hAnsi="Arial"/>
        </w:rPr>
        <w:t xml:space="preserve"> 2, cl 457.611.</w:t>
      </w:r>
    </w:p>
  </w:footnote>
  <w:footnote w:id="3">
    <w:p w:rsidR="002A5357" w:rsidRPr="00BA09CC" w:rsidRDefault="002A5357" w:rsidP="002A5357">
      <w:pPr>
        <w:pStyle w:val="FootnoteText"/>
        <w:rPr>
          <w:rFonts w:ascii="Arial" w:hAnsi="Arial"/>
          <w:lang w:val="en-US"/>
        </w:rPr>
      </w:pPr>
      <w:r w:rsidRPr="00BA09CC">
        <w:rPr>
          <w:rStyle w:val="FootnoteReference"/>
          <w:rFonts w:ascii="Arial" w:hAnsi="Arial"/>
        </w:rPr>
        <w:footnoteRef/>
      </w:r>
      <w:r w:rsidRPr="00BA09CC">
        <w:rPr>
          <w:rFonts w:ascii="Arial" w:hAnsi="Arial"/>
        </w:rPr>
        <w:t xml:space="preserve"> </w:t>
      </w:r>
      <w:r w:rsidRPr="00BA09CC">
        <w:rPr>
          <w:rFonts w:ascii="Arial" w:hAnsi="Arial"/>
          <w:i/>
        </w:rPr>
        <w:t>Migration Regulations</w:t>
      </w:r>
      <w:r w:rsidRPr="00BA09CC">
        <w:rPr>
          <w:rFonts w:ascii="Arial" w:hAnsi="Arial"/>
        </w:rPr>
        <w:t xml:space="preserve"> </w:t>
      </w:r>
      <w:proofErr w:type="spellStart"/>
      <w:r w:rsidRPr="00BA09CC">
        <w:rPr>
          <w:rFonts w:ascii="Arial" w:hAnsi="Arial"/>
        </w:rPr>
        <w:t>reg</w:t>
      </w:r>
      <w:proofErr w:type="spellEnd"/>
      <w:r w:rsidRPr="00BA09CC">
        <w:rPr>
          <w:rFonts w:ascii="Arial" w:hAnsi="Arial"/>
        </w:rPr>
        <w:t xml:space="preserve"> 2.43(1)(l). </w:t>
      </w:r>
      <w:r w:rsidRPr="00BA09CC">
        <w:rPr>
          <w:rFonts w:ascii="Arial" w:hAnsi="Arial"/>
          <w:lang w:val="en-US"/>
        </w:rPr>
        <w:t xml:space="preserve"> </w:t>
      </w:r>
    </w:p>
  </w:footnote>
  <w:footnote w:id="4">
    <w:p w:rsidR="002A5357" w:rsidRPr="00BA09CC" w:rsidRDefault="002A5357" w:rsidP="002A5357">
      <w:pPr>
        <w:pStyle w:val="FootnoteText"/>
        <w:rPr>
          <w:rFonts w:ascii="Arial" w:hAnsi="Arial"/>
          <w:lang w:val="en-US"/>
        </w:rPr>
      </w:pPr>
      <w:r w:rsidRPr="00BA09CC">
        <w:rPr>
          <w:rStyle w:val="FootnoteReference"/>
          <w:rFonts w:ascii="Arial" w:hAnsi="Arial"/>
        </w:rPr>
        <w:footnoteRef/>
      </w:r>
      <w:r w:rsidRPr="00BA09CC">
        <w:rPr>
          <w:rFonts w:ascii="Arial" w:hAnsi="Arial"/>
        </w:rPr>
        <w:t xml:space="preserve"> </w:t>
      </w:r>
      <w:r w:rsidRPr="00BA09CC">
        <w:rPr>
          <w:rFonts w:ascii="Arial" w:hAnsi="Arial"/>
          <w:i/>
        </w:rPr>
        <w:t xml:space="preserve">Migration Regulations </w:t>
      </w:r>
      <w:proofErr w:type="spellStart"/>
      <w:r w:rsidRPr="00BA09CC">
        <w:rPr>
          <w:rFonts w:ascii="Arial" w:hAnsi="Arial"/>
        </w:rPr>
        <w:t>reg</w:t>
      </w:r>
      <w:proofErr w:type="spellEnd"/>
      <w:r w:rsidRPr="00BA09CC">
        <w:rPr>
          <w:rFonts w:ascii="Arial" w:hAnsi="Arial"/>
        </w:rPr>
        <w:t xml:space="preserve"> </w:t>
      </w:r>
      <w:proofErr w:type="spellStart"/>
      <w:r w:rsidRPr="00BA09CC">
        <w:rPr>
          <w:rFonts w:ascii="Arial" w:hAnsi="Arial"/>
        </w:rPr>
        <w:t>1.20E</w:t>
      </w:r>
      <w:proofErr w:type="spellEnd"/>
      <w:r w:rsidRPr="00BA09CC">
        <w:rPr>
          <w:rFonts w:ascii="Arial" w:hAnsi="Arial"/>
        </w:rPr>
        <w:t xml:space="preserve"> provides that the visa may be cancelled for breach of condition 8107 under </w:t>
      </w:r>
      <w:r w:rsidRPr="00BA09CC">
        <w:rPr>
          <w:rFonts w:ascii="Arial" w:hAnsi="Arial"/>
          <w:i/>
          <w:iCs/>
        </w:rPr>
        <w:t>Migration Act</w:t>
      </w:r>
      <w:r w:rsidRPr="00BA09CC">
        <w:rPr>
          <w:rFonts w:ascii="Arial" w:hAnsi="Arial"/>
          <w:iCs/>
        </w:rPr>
        <w:t xml:space="preserve"> </w:t>
      </w:r>
      <w:r w:rsidRPr="00BA09CC">
        <w:rPr>
          <w:rFonts w:ascii="Arial" w:hAnsi="Arial"/>
        </w:rPr>
        <w:t>s 116(1)(b)</w:t>
      </w:r>
      <w:r w:rsidRPr="00BA09CC">
        <w:rPr>
          <w:rFonts w:ascii="Arial" w:hAnsi="Arial"/>
          <w:iCs/>
        </w:rPr>
        <w:t xml:space="preserve">. </w:t>
      </w:r>
    </w:p>
  </w:footnote>
  <w:footnote w:id="5">
    <w:p w:rsidR="002A5357" w:rsidRPr="00BA09CC" w:rsidRDefault="002A5357" w:rsidP="002A5357">
      <w:pPr>
        <w:pStyle w:val="FootnoteText"/>
        <w:rPr>
          <w:rFonts w:ascii="Arial" w:hAnsi="Arial"/>
          <w:lang w:val="en-US"/>
        </w:rPr>
      </w:pPr>
      <w:r w:rsidRPr="00BA09CC">
        <w:rPr>
          <w:rStyle w:val="FootnoteReference"/>
          <w:rFonts w:ascii="Arial" w:hAnsi="Arial"/>
        </w:rPr>
        <w:footnoteRef/>
      </w:r>
      <w:r w:rsidRPr="00BA09CC">
        <w:rPr>
          <w:rFonts w:ascii="Arial" w:hAnsi="Arial"/>
        </w:rPr>
        <w:t xml:space="preserve"> Mandatory administrative detention for all persons reasonably suspected of being ‘unlawful non-citizens’ in Australia without a valid visa is provided in</w:t>
      </w:r>
      <w:r w:rsidRPr="00BA09CC">
        <w:rPr>
          <w:rFonts w:ascii="Arial" w:hAnsi="Arial"/>
          <w:i/>
          <w:lang w:val="en-US"/>
        </w:rPr>
        <w:t xml:space="preserve"> Migration Act</w:t>
      </w:r>
      <w:r w:rsidRPr="00BA09CC">
        <w:rPr>
          <w:rFonts w:ascii="Arial" w:hAnsi="Arial"/>
          <w:lang w:val="en-US"/>
        </w:rPr>
        <w:t xml:space="preserve"> s 189(1).  </w:t>
      </w:r>
      <w:r w:rsidRPr="00BA09CC">
        <w:rPr>
          <w:rFonts w:ascii="Arial" w:hAnsi="Arial"/>
        </w:rPr>
        <w:t xml:space="preserve">Deportation and removal powers are set out in </w:t>
      </w:r>
      <w:proofErr w:type="spellStart"/>
      <w:r w:rsidRPr="00BA09CC">
        <w:rPr>
          <w:rFonts w:ascii="Arial" w:hAnsi="Arial"/>
          <w:lang w:val="en-US"/>
        </w:rPr>
        <w:t>ss</w:t>
      </w:r>
      <w:proofErr w:type="spellEnd"/>
      <w:r w:rsidRPr="00BA09CC">
        <w:rPr>
          <w:rFonts w:ascii="Arial" w:hAnsi="Arial"/>
          <w:lang w:val="en-US"/>
        </w:rPr>
        <w:t xml:space="preserve"> 198, 200-206.  </w:t>
      </w:r>
    </w:p>
  </w:footnote>
  <w:footnote w:id="6">
    <w:p w:rsidR="002C3233" w:rsidRPr="00BA09CC" w:rsidRDefault="002C3233">
      <w:pPr>
        <w:pStyle w:val="FootnoteText"/>
        <w:rPr>
          <w:rFonts w:ascii="Arial" w:hAnsi="Arial"/>
        </w:rPr>
      </w:pPr>
      <w:r w:rsidRPr="00BA09CC">
        <w:rPr>
          <w:rStyle w:val="FootnoteReference"/>
          <w:rFonts w:ascii="Arial" w:hAnsi="Arial"/>
        </w:rPr>
        <w:footnoteRef/>
      </w:r>
      <w:r w:rsidRPr="00BA09CC">
        <w:rPr>
          <w:rFonts w:ascii="Arial" w:hAnsi="Arial"/>
        </w:rPr>
        <w:t xml:space="preserve"> </w:t>
      </w:r>
      <w:r w:rsidRPr="00BA09CC">
        <w:rPr>
          <w:rFonts w:ascii="Arial" w:hAnsi="Arial"/>
          <w:i/>
        </w:rPr>
        <w:t xml:space="preserve">Migration Amendment (Temporary Sponsored Visas) </w:t>
      </w:r>
      <w:r w:rsidRPr="00BA09CC">
        <w:rPr>
          <w:rFonts w:ascii="Arial" w:hAnsi="Arial"/>
          <w:i/>
          <w:lang w:val="en-US"/>
        </w:rPr>
        <w:t>Act 2013</w:t>
      </w:r>
      <w:r w:rsidRPr="00BA09CC">
        <w:rPr>
          <w:rFonts w:ascii="Arial" w:hAnsi="Arial"/>
          <w:lang w:val="en-US"/>
        </w:rPr>
        <w:t xml:space="preserve"> (</w:t>
      </w:r>
      <w:proofErr w:type="spellStart"/>
      <w:r w:rsidRPr="00BA09CC">
        <w:rPr>
          <w:rFonts w:ascii="Arial" w:hAnsi="Arial"/>
          <w:lang w:val="en-US"/>
        </w:rPr>
        <w:t>Cth</w:t>
      </w:r>
      <w:proofErr w:type="spellEnd"/>
      <w:r w:rsidRPr="00BA09CC">
        <w:rPr>
          <w:rFonts w:ascii="Arial" w:hAnsi="Arial"/>
          <w:lang w:val="en-US"/>
        </w:rPr>
        <w:t>).</w:t>
      </w:r>
    </w:p>
  </w:footnote>
  <w:footnote w:id="7">
    <w:p w:rsidR="0011181F" w:rsidRPr="00BA09CC" w:rsidRDefault="0011181F">
      <w:pPr>
        <w:pStyle w:val="FootnoteText"/>
        <w:rPr>
          <w:rFonts w:ascii="Arial" w:hAnsi="Arial"/>
        </w:rPr>
      </w:pPr>
      <w:r w:rsidRPr="00BA09CC">
        <w:rPr>
          <w:rStyle w:val="FootnoteReference"/>
          <w:rFonts w:ascii="Arial" w:hAnsi="Arial"/>
        </w:rPr>
        <w:footnoteRef/>
      </w:r>
      <w:r w:rsidRPr="00BA09CC">
        <w:rPr>
          <w:rFonts w:ascii="Arial" w:hAnsi="Arial"/>
        </w:rPr>
        <w:t xml:space="preserve"> Condition 8105 attaches to a variety of different visas available to international students.</w:t>
      </w:r>
    </w:p>
  </w:footnote>
  <w:footnote w:id="8">
    <w:p w:rsidR="009C2459" w:rsidRPr="00BA09CC" w:rsidRDefault="009C2459" w:rsidP="009C2459">
      <w:pPr>
        <w:pStyle w:val="FootnoteText"/>
        <w:rPr>
          <w:rFonts w:ascii="Arial" w:hAnsi="Arial"/>
        </w:rPr>
      </w:pPr>
      <w:r w:rsidRPr="00BA09CC">
        <w:rPr>
          <w:rStyle w:val="FootnoteReference"/>
          <w:rFonts w:ascii="Arial" w:hAnsi="Arial"/>
        </w:rPr>
        <w:footnoteRef/>
      </w:r>
      <w:r w:rsidRPr="00BA09CC">
        <w:rPr>
          <w:rFonts w:ascii="Arial" w:hAnsi="Arial"/>
        </w:rPr>
        <w:t xml:space="preserve"> </w:t>
      </w:r>
      <w:proofErr w:type="spellStart"/>
      <w:r w:rsidRPr="00BA09CC">
        <w:rPr>
          <w:rFonts w:ascii="Arial" w:hAnsi="Arial"/>
        </w:rPr>
        <w:t>Caselaw</w:t>
      </w:r>
      <w:proofErr w:type="spellEnd"/>
      <w:r w:rsidRPr="00BA09CC">
        <w:rPr>
          <w:rFonts w:ascii="Arial" w:hAnsi="Arial"/>
        </w:rPr>
        <w:t xml:space="preserve"> illustrates that an extremely marginal breach has led to visa cancellation:  see, for example, </w:t>
      </w:r>
      <w:r w:rsidRPr="00BA09CC">
        <w:rPr>
          <w:rFonts w:ascii="Arial" w:hAnsi="Arial"/>
          <w:i/>
          <w:iCs/>
        </w:rPr>
        <w:t>090314</w:t>
      </w:r>
      <w:r w:rsidRPr="00BA09CC">
        <w:rPr>
          <w:rFonts w:ascii="Arial" w:hAnsi="Arial"/>
        </w:rPr>
        <w:t xml:space="preserve"> [2010] </w:t>
      </w:r>
      <w:proofErr w:type="spellStart"/>
      <w:r w:rsidRPr="00BA09CC">
        <w:rPr>
          <w:rFonts w:ascii="Arial" w:hAnsi="Arial"/>
        </w:rPr>
        <w:t>MRTA</w:t>
      </w:r>
      <w:proofErr w:type="spellEnd"/>
      <w:r w:rsidRPr="00BA09CC">
        <w:rPr>
          <w:rFonts w:ascii="Arial" w:hAnsi="Arial"/>
        </w:rPr>
        <w:t xml:space="preserve"> 522 (the visa-holder breached condition 8105 in only one instance which involved a choice between covering an absent employee’s shift or losing his job).</w:t>
      </w:r>
    </w:p>
  </w:footnote>
  <w:footnote w:id="9">
    <w:p w:rsidR="009C2459" w:rsidRPr="00BA09CC" w:rsidRDefault="009C2459" w:rsidP="009C2459">
      <w:pPr>
        <w:pStyle w:val="FootnoteText"/>
        <w:rPr>
          <w:rFonts w:ascii="Arial" w:hAnsi="Arial"/>
        </w:rPr>
      </w:pPr>
      <w:r w:rsidRPr="00BA09CC">
        <w:rPr>
          <w:rStyle w:val="FootnoteReference"/>
          <w:rFonts w:ascii="Arial" w:hAnsi="Arial"/>
        </w:rPr>
        <w:footnoteRef/>
      </w:r>
      <w:r w:rsidR="00BA09CC" w:rsidRPr="00BA09CC">
        <w:rPr>
          <w:rFonts w:ascii="Arial" w:hAnsi="Arial"/>
        </w:rPr>
        <w:t xml:space="preserve"> </w:t>
      </w:r>
      <w:r w:rsidRPr="00BA09CC">
        <w:rPr>
          <w:rFonts w:ascii="Arial" w:hAnsi="Arial"/>
        </w:rPr>
        <w:t xml:space="preserve">Senate Education, Employment and Workplace Relations Committee, Parliament of Australia, </w:t>
      </w:r>
      <w:r w:rsidRPr="00BA09CC">
        <w:rPr>
          <w:rFonts w:ascii="Arial" w:hAnsi="Arial"/>
          <w:i/>
        </w:rPr>
        <w:t xml:space="preserve">Welfare of International Students </w:t>
      </w:r>
      <w:r w:rsidRPr="00BA09CC">
        <w:rPr>
          <w:rFonts w:ascii="Arial" w:hAnsi="Arial"/>
        </w:rPr>
        <w:t>(2009) [3.87]ff.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DD" w:rsidRDefault="00F72DDD" w:rsidP="00BF1E71">
    <w:pPr>
      <w:pStyle w:val="Header"/>
      <w:tabs>
        <w:tab w:val="left" w:pos="3617"/>
      </w:tabs>
    </w:pPr>
    <w:r>
      <w:tab/>
    </w:r>
  </w:p>
  <w:p w:rsidR="00F72DDD" w:rsidRDefault="00F72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DD" w:rsidRDefault="00F72DDD" w:rsidP="00F72DDD">
    <w:pPr>
      <w:pStyle w:val="Header"/>
      <w:ind w:right="-395"/>
    </w:pPr>
    <w:r>
      <w:tab/>
      <w:t xml:space="preserve">                                                     </w:t>
    </w:r>
    <w:r>
      <w:tab/>
    </w:r>
    <w:r>
      <w:rPr>
        <w:noProof/>
      </w:rPr>
      <w:drawing>
        <wp:inline distT="0" distB="0" distL="0" distR="0" wp14:anchorId="38F23673" wp14:editId="3F1FADEC">
          <wp:extent cx="1956435" cy="446405"/>
          <wp:effectExtent l="0" t="0" r="5715" b="0"/>
          <wp:docPr id="12" name="Picture 1" descr=":::::::5. FONTS, LOGOS, MAPS:2. UTS LOGOS:2. Mac logos:MAC UTS LOGOS - TIF files:UTS logo black MA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FONTS, LOGOS, MAPS:2. UTS LOGOS:2. Mac logos:MAC UTS LOGOS - TIF files:UTS logo black MA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46405"/>
                  </a:xfrm>
                  <a:prstGeom prst="rect">
                    <a:avLst/>
                  </a:prstGeom>
                  <a:noFill/>
                  <a:ln>
                    <a:noFill/>
                  </a:ln>
                </pic:spPr>
              </pic:pic>
            </a:graphicData>
          </a:graphic>
        </wp:inline>
      </w:drawing>
    </w:r>
  </w:p>
  <w:p w:rsidR="00F72DDD" w:rsidRDefault="00F72DDD">
    <w:pPr>
      <w:pStyle w:val="Header"/>
    </w:pPr>
    <w:r>
      <w:rPr>
        <w:noProof/>
      </w:rPr>
      <mc:AlternateContent>
        <mc:Choice Requires="wps">
          <w:drawing>
            <wp:anchor distT="0" distB="0" distL="114300" distR="114300" simplePos="0" relativeHeight="251662336" behindDoc="0" locked="0" layoutInCell="1" allowOverlap="1" wp14:anchorId="3A4ADD61" wp14:editId="651BB48B">
              <wp:simplePos x="0" y="0"/>
              <wp:positionH relativeFrom="column">
                <wp:posOffset>4256405</wp:posOffset>
              </wp:positionH>
              <wp:positionV relativeFrom="paragraph">
                <wp:posOffset>254000</wp:posOffset>
              </wp:positionV>
              <wp:extent cx="1943100" cy="2188845"/>
              <wp:effectExtent l="0" t="0" r="0" b="190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18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DDD" w:rsidRDefault="00F72DDD" w:rsidP="00F72DDD">
                          <w:pPr>
                            <w:pStyle w:val="UTSPersonalText"/>
                            <w:rPr>
                              <w:b/>
                              <w:color w:val="000000"/>
                            </w:rPr>
                          </w:pPr>
                          <w:r>
                            <w:rPr>
                              <w:b/>
                              <w:color w:val="000000"/>
                            </w:rPr>
                            <w:t>Dr Laurie Berg</w:t>
                          </w:r>
                        </w:p>
                        <w:p w:rsidR="00F72DDD" w:rsidRDefault="00F72DDD" w:rsidP="00F72DDD">
                          <w:pPr>
                            <w:pStyle w:val="UTSPersonalText"/>
                            <w:rPr>
                              <w:noProof w:val="0"/>
                              <w:color w:val="000000"/>
                            </w:rPr>
                          </w:pPr>
                          <w:r>
                            <w:rPr>
                              <w:noProof w:val="0"/>
                              <w:color w:val="000000"/>
                            </w:rPr>
                            <w:t>Lecturer</w:t>
                          </w:r>
                        </w:p>
                        <w:p w:rsidR="00F72DDD" w:rsidRDefault="00F72DDD" w:rsidP="00F72DDD">
                          <w:pPr>
                            <w:pStyle w:val="UTSPersonalText"/>
                            <w:ind w:right="-55"/>
                            <w:rPr>
                              <w:noProof w:val="0"/>
                              <w:color w:val="000000"/>
                            </w:rPr>
                          </w:pPr>
                          <w:r>
                            <w:rPr>
                              <w:noProof w:val="0"/>
                              <w:color w:val="000000"/>
                            </w:rPr>
                            <w:t>Faculty of Law</w:t>
                          </w:r>
                        </w:p>
                        <w:p w:rsidR="00F72DDD" w:rsidRDefault="00F72DDD" w:rsidP="00F72DDD">
                          <w:pPr>
                            <w:pStyle w:val="UTSPersonalText"/>
                            <w:ind w:right="-55"/>
                            <w:rPr>
                              <w:noProof w:val="0"/>
                              <w:color w:val="000000"/>
                            </w:rPr>
                          </w:pPr>
                          <w:r>
                            <w:rPr>
                              <w:noProof w:val="0"/>
                              <w:color w:val="000000"/>
                            </w:rPr>
                            <w:t>PO Box 123 Broadway</w:t>
                          </w:r>
                        </w:p>
                        <w:p w:rsidR="00F72DDD" w:rsidRDefault="00F72DDD" w:rsidP="00F72DDD">
                          <w:pPr>
                            <w:pStyle w:val="UTSPersonalText"/>
                            <w:ind w:right="-55"/>
                            <w:rPr>
                              <w:noProof w:val="0"/>
                              <w:color w:val="000000"/>
                            </w:rPr>
                          </w:pPr>
                          <w:r>
                            <w:rPr>
                              <w:noProof w:val="0"/>
                              <w:color w:val="000000"/>
                            </w:rPr>
                            <w:t>NSW 2007 Australia</w:t>
                          </w:r>
                        </w:p>
                        <w:p w:rsidR="00F72DDD" w:rsidRDefault="00F72DDD" w:rsidP="00F72DDD">
                          <w:pPr>
                            <w:pStyle w:val="UTSPersonalText"/>
                            <w:ind w:right="-55"/>
                            <w:rPr>
                              <w:noProof w:val="0"/>
                              <w:color w:val="000000"/>
                            </w:rPr>
                          </w:pPr>
                          <w:r>
                            <w:rPr>
                              <w:noProof w:val="0"/>
                              <w:color w:val="000000"/>
                            </w:rPr>
                            <w:t>T: +61 2 9514 3759</w:t>
                          </w:r>
                        </w:p>
                        <w:p w:rsidR="00F72DDD" w:rsidRDefault="00F72DDD" w:rsidP="00F72DDD">
                          <w:pPr>
                            <w:pStyle w:val="UTSPersonalText"/>
                            <w:ind w:right="-55"/>
                            <w:rPr>
                              <w:noProof w:val="0"/>
                              <w:color w:val="000000"/>
                            </w:rPr>
                          </w:pPr>
                          <w:r>
                            <w:rPr>
                              <w:noProof w:val="0"/>
                              <w:color w:val="000000"/>
                            </w:rPr>
                            <w:t>F: +61 2 9514 0000</w:t>
                          </w:r>
                        </w:p>
                        <w:p w:rsidR="00F72DDD" w:rsidRDefault="008309C3" w:rsidP="00F72DDD">
                          <w:pPr>
                            <w:pStyle w:val="UTSPersonalText"/>
                            <w:ind w:right="-55"/>
                            <w:rPr>
                              <w:noProof w:val="0"/>
                              <w:color w:val="000000"/>
                            </w:rPr>
                          </w:pPr>
                          <w:hyperlink r:id="rId2" w:history="1">
                            <w:proofErr w:type="spellStart"/>
                            <w:r w:rsidR="00F72DDD">
                              <w:rPr>
                                <w:rStyle w:val="Hyperlink"/>
                                <w:noProof w:val="0"/>
                                <w:color w:val="000000"/>
                              </w:rPr>
                              <w:t>www.uts.edu.au</w:t>
                            </w:r>
                            <w:proofErr w:type="spellEnd"/>
                          </w:hyperlink>
                        </w:p>
                        <w:p w:rsidR="00F72DDD" w:rsidRDefault="00F72DDD" w:rsidP="00F72DDD">
                          <w:pPr>
                            <w:pStyle w:val="UTSPersonalText"/>
                            <w:ind w:right="-55"/>
                            <w:rPr>
                              <w:noProof w:val="0"/>
                              <w:sz w:val="10"/>
                            </w:rPr>
                          </w:pPr>
                        </w:p>
                        <w:p w:rsidR="00F72DDD" w:rsidRDefault="00F72DDD" w:rsidP="00F72DDD">
                          <w:pPr>
                            <w:pStyle w:val="UTSPersonalText"/>
                            <w:ind w:right="-55"/>
                            <w:rPr>
                              <w:noProof w:val="0"/>
                              <w:spacing w:val="0"/>
                              <w:sz w:val="10"/>
                            </w:rPr>
                          </w:pPr>
                          <w:proofErr w:type="spellStart"/>
                          <w:r>
                            <w:rPr>
                              <w:noProof w:val="0"/>
                              <w:spacing w:val="0"/>
                              <w:sz w:val="10"/>
                            </w:rPr>
                            <w:t>UTS</w:t>
                          </w:r>
                          <w:proofErr w:type="spellEnd"/>
                          <w:r>
                            <w:rPr>
                              <w:noProof w:val="0"/>
                              <w:spacing w:val="0"/>
                              <w:sz w:val="10"/>
                            </w:rPr>
                            <w:t xml:space="preserve"> </w:t>
                          </w:r>
                          <w:proofErr w:type="spellStart"/>
                          <w:r>
                            <w:rPr>
                              <w:noProof w:val="0"/>
                              <w:spacing w:val="0"/>
                              <w:sz w:val="10"/>
                            </w:rPr>
                            <w:t>CRICOS</w:t>
                          </w:r>
                          <w:proofErr w:type="spellEnd"/>
                          <w:r>
                            <w:rPr>
                              <w:noProof w:val="0"/>
                              <w:spacing w:val="0"/>
                              <w:sz w:val="10"/>
                            </w:rPr>
                            <w:t xml:space="preserve"> PROVIDER CODE </w:t>
                          </w:r>
                          <w:proofErr w:type="spellStart"/>
                          <w:r>
                            <w:rPr>
                              <w:noProof w:val="0"/>
                              <w:spacing w:val="0"/>
                              <w:sz w:val="10"/>
                            </w:rPr>
                            <w:t>00099F</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35.15pt;margin-top:20pt;width:153pt;height:17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Y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" filled="f" stroked="f">
              <v:textbox>
                <w:txbxContent>
                  <w:p w:rsidR="00F72DDD" w:rsidRDefault="00F72DDD" w:rsidP="00F72DDD">
                    <w:pPr>
                      <w:pStyle w:val="UTSPersonalText"/>
                      <w:rPr>
                        <w:b/>
                        <w:color w:val="000000"/>
                      </w:rPr>
                    </w:pPr>
                    <w:r>
                      <w:rPr>
                        <w:b/>
                        <w:color w:val="000000"/>
                      </w:rPr>
                      <w:t>Dr Laurie Berg</w:t>
                    </w:r>
                  </w:p>
                  <w:p w:rsidR="00F72DDD" w:rsidRDefault="00F72DDD" w:rsidP="00F72DDD">
                    <w:pPr>
                      <w:pStyle w:val="UTSPersonalText"/>
                      <w:rPr>
                        <w:noProof w:val="0"/>
                        <w:color w:val="000000"/>
                      </w:rPr>
                    </w:pPr>
                    <w:r>
                      <w:rPr>
                        <w:noProof w:val="0"/>
                        <w:color w:val="000000"/>
                      </w:rPr>
                      <w:t>Lecturer</w:t>
                    </w:r>
                  </w:p>
                  <w:p w:rsidR="00F72DDD" w:rsidRDefault="00F72DDD" w:rsidP="00F72DDD">
                    <w:pPr>
                      <w:pStyle w:val="UTSPersonalText"/>
                      <w:ind w:right="-55"/>
                      <w:rPr>
                        <w:noProof w:val="0"/>
                        <w:color w:val="000000"/>
                      </w:rPr>
                    </w:pPr>
                    <w:r>
                      <w:rPr>
                        <w:noProof w:val="0"/>
                        <w:color w:val="000000"/>
                      </w:rPr>
                      <w:t>Faculty of Law</w:t>
                    </w:r>
                  </w:p>
                  <w:p w:rsidR="00F72DDD" w:rsidRDefault="00F72DDD" w:rsidP="00F72DDD">
                    <w:pPr>
                      <w:pStyle w:val="UTSPersonalText"/>
                      <w:ind w:right="-55"/>
                      <w:rPr>
                        <w:noProof w:val="0"/>
                        <w:color w:val="000000"/>
                      </w:rPr>
                    </w:pPr>
                    <w:r>
                      <w:rPr>
                        <w:noProof w:val="0"/>
                        <w:color w:val="000000"/>
                      </w:rPr>
                      <w:t>PO Box 123 Broadway</w:t>
                    </w:r>
                  </w:p>
                  <w:p w:rsidR="00F72DDD" w:rsidRDefault="00F72DDD" w:rsidP="00F72DDD">
                    <w:pPr>
                      <w:pStyle w:val="UTSPersonalText"/>
                      <w:ind w:right="-55"/>
                      <w:rPr>
                        <w:noProof w:val="0"/>
                        <w:color w:val="000000"/>
                      </w:rPr>
                    </w:pPr>
                    <w:r>
                      <w:rPr>
                        <w:noProof w:val="0"/>
                        <w:color w:val="000000"/>
                      </w:rPr>
                      <w:t>NSW 2007 Australia</w:t>
                    </w:r>
                  </w:p>
                  <w:p w:rsidR="00F72DDD" w:rsidRDefault="00F72DDD" w:rsidP="00F72DDD">
                    <w:pPr>
                      <w:pStyle w:val="UTSPersonalText"/>
                      <w:ind w:right="-55"/>
                      <w:rPr>
                        <w:noProof w:val="0"/>
                        <w:color w:val="000000"/>
                      </w:rPr>
                    </w:pPr>
                    <w:r>
                      <w:rPr>
                        <w:noProof w:val="0"/>
                        <w:color w:val="000000"/>
                      </w:rPr>
                      <w:t>T: +61 2 9514 3759</w:t>
                    </w:r>
                  </w:p>
                  <w:p w:rsidR="00F72DDD" w:rsidRDefault="00F72DDD" w:rsidP="00F72DDD">
                    <w:pPr>
                      <w:pStyle w:val="UTSPersonalText"/>
                      <w:ind w:right="-55"/>
                      <w:rPr>
                        <w:noProof w:val="0"/>
                        <w:color w:val="000000"/>
                      </w:rPr>
                    </w:pPr>
                    <w:r>
                      <w:rPr>
                        <w:noProof w:val="0"/>
                        <w:color w:val="000000"/>
                      </w:rPr>
                      <w:t>F: +61 2 9514 0000</w:t>
                    </w:r>
                  </w:p>
                  <w:p w:rsidR="00F72DDD" w:rsidRDefault="008309C3" w:rsidP="00F72DDD">
                    <w:pPr>
                      <w:pStyle w:val="UTSPersonalText"/>
                      <w:ind w:right="-55"/>
                      <w:rPr>
                        <w:noProof w:val="0"/>
                        <w:color w:val="000000"/>
                      </w:rPr>
                    </w:pPr>
                    <w:hyperlink r:id="rId3" w:history="1">
                      <w:proofErr w:type="spellStart"/>
                      <w:r w:rsidR="00F72DDD">
                        <w:rPr>
                          <w:rStyle w:val="Hyperlink"/>
                          <w:noProof w:val="0"/>
                          <w:color w:val="000000"/>
                        </w:rPr>
                        <w:t>www.uts.edu.au</w:t>
                      </w:r>
                      <w:proofErr w:type="spellEnd"/>
                    </w:hyperlink>
                  </w:p>
                  <w:p w:rsidR="00F72DDD" w:rsidRDefault="00F72DDD" w:rsidP="00F72DDD">
                    <w:pPr>
                      <w:pStyle w:val="UTSPersonalText"/>
                      <w:ind w:right="-55"/>
                      <w:rPr>
                        <w:noProof w:val="0"/>
                        <w:sz w:val="10"/>
                      </w:rPr>
                    </w:pPr>
                  </w:p>
                  <w:p w:rsidR="00F72DDD" w:rsidRDefault="00F72DDD" w:rsidP="00F72DDD">
                    <w:pPr>
                      <w:pStyle w:val="UTSPersonalText"/>
                      <w:ind w:right="-55"/>
                      <w:rPr>
                        <w:noProof w:val="0"/>
                        <w:spacing w:val="0"/>
                        <w:sz w:val="10"/>
                      </w:rPr>
                    </w:pPr>
                    <w:proofErr w:type="spellStart"/>
                    <w:r>
                      <w:rPr>
                        <w:noProof w:val="0"/>
                        <w:spacing w:val="0"/>
                        <w:sz w:val="10"/>
                      </w:rPr>
                      <w:t>UTS</w:t>
                    </w:r>
                    <w:proofErr w:type="spellEnd"/>
                    <w:r>
                      <w:rPr>
                        <w:noProof w:val="0"/>
                        <w:spacing w:val="0"/>
                        <w:sz w:val="10"/>
                      </w:rPr>
                      <w:t xml:space="preserve"> </w:t>
                    </w:r>
                    <w:proofErr w:type="spellStart"/>
                    <w:r>
                      <w:rPr>
                        <w:noProof w:val="0"/>
                        <w:spacing w:val="0"/>
                        <w:sz w:val="10"/>
                      </w:rPr>
                      <w:t>CRICOS</w:t>
                    </w:r>
                    <w:proofErr w:type="spellEnd"/>
                    <w:r>
                      <w:rPr>
                        <w:noProof w:val="0"/>
                        <w:spacing w:val="0"/>
                        <w:sz w:val="10"/>
                      </w:rPr>
                      <w:t xml:space="preserve"> PROVIDER CODE </w:t>
                    </w:r>
                    <w:proofErr w:type="spellStart"/>
                    <w:r>
                      <w:rPr>
                        <w:noProof w:val="0"/>
                        <w:spacing w:val="0"/>
                        <w:sz w:val="10"/>
                      </w:rPr>
                      <w:t>00099F</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10A48"/>
    <w:rsid w:val="00020937"/>
    <w:rsid w:val="00056210"/>
    <w:rsid w:val="0005779F"/>
    <w:rsid w:val="000814C9"/>
    <w:rsid w:val="000916DA"/>
    <w:rsid w:val="0011181F"/>
    <w:rsid w:val="0019530F"/>
    <w:rsid w:val="001A5C9E"/>
    <w:rsid w:val="001B0A41"/>
    <w:rsid w:val="001B7D1B"/>
    <w:rsid w:val="001C5C7C"/>
    <w:rsid w:val="001D0609"/>
    <w:rsid w:val="00221C86"/>
    <w:rsid w:val="00231C06"/>
    <w:rsid w:val="002A5357"/>
    <w:rsid w:val="002C3233"/>
    <w:rsid w:val="002D6079"/>
    <w:rsid w:val="00383BA1"/>
    <w:rsid w:val="00396299"/>
    <w:rsid w:val="003A31BE"/>
    <w:rsid w:val="003C5524"/>
    <w:rsid w:val="003C65EE"/>
    <w:rsid w:val="003F3908"/>
    <w:rsid w:val="003F591B"/>
    <w:rsid w:val="004149E7"/>
    <w:rsid w:val="00423861"/>
    <w:rsid w:val="00423BFB"/>
    <w:rsid w:val="00480079"/>
    <w:rsid w:val="0048038E"/>
    <w:rsid w:val="004B21E0"/>
    <w:rsid w:val="004B442D"/>
    <w:rsid w:val="004B6E74"/>
    <w:rsid w:val="00534A5B"/>
    <w:rsid w:val="005455E1"/>
    <w:rsid w:val="00565FAC"/>
    <w:rsid w:val="005B5901"/>
    <w:rsid w:val="005C0629"/>
    <w:rsid w:val="00626C39"/>
    <w:rsid w:val="006349CF"/>
    <w:rsid w:val="007265D4"/>
    <w:rsid w:val="00746C8C"/>
    <w:rsid w:val="007665BE"/>
    <w:rsid w:val="007C3E81"/>
    <w:rsid w:val="00810726"/>
    <w:rsid w:val="00820633"/>
    <w:rsid w:val="00843256"/>
    <w:rsid w:val="00885AF4"/>
    <w:rsid w:val="00886DEB"/>
    <w:rsid w:val="008D2DF5"/>
    <w:rsid w:val="00914610"/>
    <w:rsid w:val="00947B19"/>
    <w:rsid w:val="009C2459"/>
    <w:rsid w:val="009D4169"/>
    <w:rsid w:val="00A17B13"/>
    <w:rsid w:val="00AF7201"/>
    <w:rsid w:val="00B2649B"/>
    <w:rsid w:val="00BA09CC"/>
    <w:rsid w:val="00BF1E71"/>
    <w:rsid w:val="00BF2F9E"/>
    <w:rsid w:val="00C638DA"/>
    <w:rsid w:val="00C969D3"/>
    <w:rsid w:val="00D1072F"/>
    <w:rsid w:val="00D15E10"/>
    <w:rsid w:val="00D333D5"/>
    <w:rsid w:val="00D528F3"/>
    <w:rsid w:val="00DC03C7"/>
    <w:rsid w:val="00DD676A"/>
    <w:rsid w:val="00E0213B"/>
    <w:rsid w:val="00E055BC"/>
    <w:rsid w:val="00E1793C"/>
    <w:rsid w:val="00E33CD7"/>
    <w:rsid w:val="00E7598B"/>
    <w:rsid w:val="00E958E6"/>
    <w:rsid w:val="00EC4447"/>
    <w:rsid w:val="00EC75E2"/>
    <w:rsid w:val="00F31D54"/>
    <w:rsid w:val="00F51EC1"/>
    <w:rsid w:val="00F72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UTSPersonalText">
    <w:name w:val="UTS Personal Text"/>
    <w:rsid w:val="00BF1E71"/>
    <w:pPr>
      <w:spacing w:line="200" w:lineRule="exact"/>
      <w:ind w:right="1418"/>
    </w:pPr>
    <w:rPr>
      <w:rFonts w:ascii="Arial" w:eastAsia="Times" w:hAnsi="Arial"/>
      <w:noProof/>
      <w:spacing w:val="-4"/>
      <w:sz w:val="16"/>
      <w:lang w:val="en-US" w:eastAsia="en-US"/>
    </w:rPr>
  </w:style>
  <w:style w:type="paragraph" w:customStyle="1" w:styleId="UTSLetterBodytext">
    <w:name w:val="UTS Letter Body text"/>
    <w:basedOn w:val="Normal"/>
    <w:rsid w:val="00BF1E71"/>
    <w:pPr>
      <w:spacing w:after="120" w:line="240" w:lineRule="exact"/>
      <w:ind w:right="2835"/>
    </w:pPr>
    <w:rPr>
      <w:rFonts w:ascii="Arial" w:eastAsia="Times" w:hAnsi="Arial"/>
      <w:lang w:eastAsia="en-US"/>
    </w:rPr>
  </w:style>
  <w:style w:type="paragraph" w:styleId="FootnoteText">
    <w:name w:val="footnote text"/>
    <w:basedOn w:val="Normal"/>
    <w:link w:val="FootnoteTextChar"/>
    <w:uiPriority w:val="99"/>
    <w:qFormat/>
    <w:rsid w:val="002A5357"/>
    <w:pPr>
      <w:spacing w:before="60"/>
      <w:jc w:val="both"/>
    </w:pPr>
    <w:rPr>
      <w:rFonts w:ascii="Book Antiqua" w:hAnsi="Book Antiqua" w:cs="Arial"/>
      <w:szCs w:val="22"/>
      <w:shd w:val="clear" w:color="auto" w:fill="FFFFFF"/>
      <w:lang w:eastAsia="en-US"/>
    </w:rPr>
  </w:style>
  <w:style w:type="character" w:customStyle="1" w:styleId="FootnoteTextChar">
    <w:name w:val="Footnote Text Char"/>
    <w:basedOn w:val="DefaultParagraphFont"/>
    <w:link w:val="FootnoteText"/>
    <w:uiPriority w:val="99"/>
    <w:rsid w:val="002A5357"/>
    <w:rPr>
      <w:rFonts w:ascii="Book Antiqua" w:hAnsi="Book Antiqua" w:cs="Arial"/>
      <w:szCs w:val="22"/>
      <w:lang w:eastAsia="en-US"/>
    </w:rPr>
  </w:style>
  <w:style w:type="character" w:styleId="FootnoteReference">
    <w:name w:val="footnote reference"/>
    <w:basedOn w:val="DefaultParagraphFont"/>
    <w:uiPriority w:val="99"/>
    <w:qFormat/>
    <w:rsid w:val="002A5357"/>
    <w:rPr>
      <w:rFonts w:ascii="Book Antiqua" w:hAnsi="Book Antiqua"/>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UTSPersonalText">
    <w:name w:val="UTS Personal Text"/>
    <w:rsid w:val="00BF1E71"/>
    <w:pPr>
      <w:spacing w:line="200" w:lineRule="exact"/>
      <w:ind w:right="1418"/>
    </w:pPr>
    <w:rPr>
      <w:rFonts w:ascii="Arial" w:eastAsia="Times" w:hAnsi="Arial"/>
      <w:noProof/>
      <w:spacing w:val="-4"/>
      <w:sz w:val="16"/>
      <w:lang w:val="en-US" w:eastAsia="en-US"/>
    </w:rPr>
  </w:style>
  <w:style w:type="paragraph" w:customStyle="1" w:styleId="UTSLetterBodytext">
    <w:name w:val="UTS Letter Body text"/>
    <w:basedOn w:val="Normal"/>
    <w:rsid w:val="00BF1E71"/>
    <w:pPr>
      <w:spacing w:after="120" w:line="240" w:lineRule="exact"/>
      <w:ind w:right="2835"/>
    </w:pPr>
    <w:rPr>
      <w:rFonts w:ascii="Arial" w:eastAsia="Times" w:hAnsi="Arial"/>
      <w:lang w:eastAsia="en-US"/>
    </w:rPr>
  </w:style>
  <w:style w:type="paragraph" w:styleId="FootnoteText">
    <w:name w:val="footnote text"/>
    <w:basedOn w:val="Normal"/>
    <w:link w:val="FootnoteTextChar"/>
    <w:uiPriority w:val="99"/>
    <w:qFormat/>
    <w:rsid w:val="002A5357"/>
    <w:pPr>
      <w:spacing w:before="60"/>
      <w:jc w:val="both"/>
    </w:pPr>
    <w:rPr>
      <w:rFonts w:ascii="Book Antiqua" w:hAnsi="Book Antiqua" w:cs="Arial"/>
      <w:szCs w:val="22"/>
      <w:shd w:val="clear" w:color="auto" w:fill="FFFFFF"/>
      <w:lang w:eastAsia="en-US"/>
    </w:rPr>
  </w:style>
  <w:style w:type="character" w:customStyle="1" w:styleId="FootnoteTextChar">
    <w:name w:val="Footnote Text Char"/>
    <w:basedOn w:val="DefaultParagraphFont"/>
    <w:link w:val="FootnoteText"/>
    <w:uiPriority w:val="99"/>
    <w:rsid w:val="002A5357"/>
    <w:rPr>
      <w:rFonts w:ascii="Book Antiqua" w:hAnsi="Book Antiqua" w:cs="Arial"/>
      <w:szCs w:val="22"/>
      <w:lang w:eastAsia="en-US"/>
    </w:rPr>
  </w:style>
  <w:style w:type="character" w:styleId="FootnoteReference">
    <w:name w:val="footnote reference"/>
    <w:basedOn w:val="DefaultParagraphFont"/>
    <w:uiPriority w:val="99"/>
    <w:qFormat/>
    <w:rsid w:val="002A5357"/>
    <w:rPr>
      <w:rFonts w:ascii="Book Antiqua" w:hAnsi="Book Antiqua"/>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ildcare@pc.gov.au"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uts.edu.au" TargetMode="External"/><Relationship Id="rId2" Type="http://schemas.openxmlformats.org/officeDocument/2006/relationships/hyperlink" Target="http://www.uts.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C88B-9B30-4814-A5D6-C5997104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4570</Characters>
  <Application>Microsoft Office Word</Application>
  <DocSecurity>0</DocSecurity>
  <Lines>87</Lines>
  <Paragraphs>18</Paragraphs>
  <ScaleCrop>false</ScaleCrop>
  <HeadingPairs>
    <vt:vector size="2" baseType="variant">
      <vt:variant>
        <vt:lpstr>Title</vt:lpstr>
      </vt:variant>
      <vt:variant>
        <vt:i4>1</vt:i4>
      </vt:variant>
    </vt:vector>
  </HeadingPairs>
  <TitlesOfParts>
    <vt:vector size="1" baseType="lpstr">
      <vt:lpstr>Submission 315 - Dr Laurie Berg - Childcare and Early Childhood Learning - Public inquiry</vt:lpstr>
    </vt:vector>
  </TitlesOfParts>
  <Company>Dr Laurie Berg</Company>
  <LinksUpToDate>false</LinksUpToDate>
  <CharactersWithSpaces>5377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315 - Dr Laurie Berg - Childcare and Early Childhood Learning - Public inquiry</dc:title>
  <dc:creator>Dr Laurie Berg</dc:creator>
  <cp:lastModifiedBy>Productivity Commission</cp:lastModifiedBy>
  <cp:revision>2</cp:revision>
  <cp:lastPrinted>2014-02-05T04:13:00Z</cp:lastPrinted>
  <dcterms:created xsi:type="dcterms:W3CDTF">2014-02-13T02:17:00Z</dcterms:created>
  <dcterms:modified xsi:type="dcterms:W3CDTF">2014-02-13T02:17:00Z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