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605F0" w14:textId="77777777" w:rsidR="006E1256" w:rsidRDefault="006E1256" w:rsidP="006E1256">
      <w:pPr>
        <w:pBdr>
          <w:bottom w:val="single" w:sz="12" w:space="1" w:color="F68B33" w:themeColor="accent2"/>
        </w:pBdr>
        <w:jc w:val="right"/>
        <w:rPr>
          <w:b/>
          <w:bCs/>
          <w:sz w:val="22"/>
          <w:szCs w:val="22"/>
          <w:lang w:val="en-US"/>
        </w:rPr>
      </w:pPr>
      <w:bookmarkStart w:id="0" w:name="_Toc259022864"/>
      <w:bookmarkStart w:id="1" w:name="_Toc259023048"/>
      <w:bookmarkStart w:id="2" w:name="_Toc259023191"/>
      <w:bookmarkStart w:id="3" w:name="_Toc259023307"/>
      <w:bookmarkStart w:id="4" w:name="_Toc259022865"/>
      <w:bookmarkStart w:id="5" w:name="_Toc259023049"/>
      <w:bookmarkStart w:id="6" w:name="_Toc259023192"/>
      <w:bookmarkStart w:id="7" w:name="_Toc259023308"/>
      <w:r>
        <w:rPr>
          <w:b/>
          <w:bCs/>
          <w:noProof/>
          <w:sz w:val="22"/>
          <w:szCs w:val="22"/>
        </w:rPr>
        <w:drawing>
          <wp:inline distT="0" distB="0" distL="0" distR="0" wp14:anchorId="1D34D684" wp14:editId="0F164DD0">
            <wp:extent cx="3743324" cy="1030454"/>
            <wp:effectExtent l="0" t="0" r="0" b="0"/>
            <wp:docPr id="7" name="Picture 7" descr="S:\Communications\Branding\GrattanLogo_Right (PREF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unications\Branding\GrattanLogo_Right (PREFER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599" cy="1030530"/>
                    </a:xfrm>
                    <a:prstGeom prst="rect">
                      <a:avLst/>
                    </a:prstGeom>
                    <a:noFill/>
                    <a:ln>
                      <a:noFill/>
                    </a:ln>
                  </pic:spPr>
                </pic:pic>
              </a:graphicData>
            </a:graphic>
          </wp:inline>
        </w:drawing>
      </w:r>
    </w:p>
    <w:p w14:paraId="4FCE9912" w14:textId="77777777" w:rsidR="006E1256" w:rsidRPr="00403F7D" w:rsidRDefault="006E1256" w:rsidP="006E1256">
      <w:pPr>
        <w:pBdr>
          <w:bottom w:val="single" w:sz="12" w:space="1" w:color="F68B33" w:themeColor="accent2"/>
        </w:pBdr>
        <w:jc w:val="right"/>
        <w:rPr>
          <w:b/>
          <w:bCs/>
          <w:sz w:val="22"/>
          <w:szCs w:val="22"/>
          <w:lang w:val="en-US"/>
        </w:rPr>
      </w:pPr>
    </w:p>
    <w:p w14:paraId="43D337A2" w14:textId="77777777" w:rsidR="006E1256" w:rsidRDefault="006E1256" w:rsidP="006E1256">
      <w:pPr>
        <w:tabs>
          <w:tab w:val="left" w:pos="4650"/>
        </w:tabs>
        <w:rPr>
          <w:b/>
          <w:bCs/>
          <w:sz w:val="22"/>
          <w:szCs w:val="22"/>
          <w:lang w:val="en-US"/>
        </w:rPr>
        <w:sectPr w:rsidR="006E1256" w:rsidSect="006E1256">
          <w:footerReference w:type="default" r:id="rId10"/>
          <w:endnotePr>
            <w:numFmt w:val="decimal"/>
          </w:endnotePr>
          <w:type w:val="continuous"/>
          <w:pgSz w:w="16838" w:h="11906" w:orient="landscape"/>
          <w:pgMar w:top="2155" w:right="1418" w:bottom="1588" w:left="1814" w:header="851" w:footer="1191" w:gutter="0"/>
          <w:pgNumType w:start="1"/>
          <w:cols w:space="708"/>
          <w:docGrid w:linePitch="360"/>
        </w:sectPr>
      </w:pPr>
    </w:p>
    <w:p w14:paraId="324E3890" w14:textId="672EDBD0" w:rsidR="006E1256" w:rsidRPr="00C414DA" w:rsidRDefault="006E1256" w:rsidP="00AA282C">
      <w:pPr>
        <w:tabs>
          <w:tab w:val="left" w:pos="4650"/>
        </w:tabs>
        <w:rPr>
          <w:b/>
          <w:bCs/>
          <w:sz w:val="22"/>
          <w:szCs w:val="22"/>
          <w:lang w:val="en-US"/>
        </w:rPr>
      </w:pPr>
      <w:r>
        <w:rPr>
          <w:b/>
          <w:bCs/>
          <w:sz w:val="22"/>
          <w:szCs w:val="22"/>
          <w:lang w:val="en-US"/>
        </w:rPr>
        <w:lastRenderedPageBreak/>
        <w:tab/>
      </w:r>
    </w:p>
    <w:p w14:paraId="7DDCB6B6" w14:textId="77777777" w:rsidR="006E1256" w:rsidRDefault="006E1256" w:rsidP="006E1256">
      <w:pPr>
        <w:spacing w:before="120"/>
        <w:ind w:left="0" w:right="28"/>
        <w:jc w:val="right"/>
        <w:rPr>
          <w:b/>
          <w:bCs/>
          <w:sz w:val="40"/>
          <w:szCs w:val="40"/>
        </w:rPr>
      </w:pPr>
      <w:r>
        <w:rPr>
          <w:b/>
          <w:bCs/>
          <w:sz w:val="40"/>
          <w:szCs w:val="40"/>
        </w:rPr>
        <w:t xml:space="preserve">Submission to the Productivity Commission Inquiry on </w:t>
      </w:r>
    </w:p>
    <w:p w14:paraId="175A727C" w14:textId="77777777" w:rsidR="006E1256" w:rsidRDefault="006E1256" w:rsidP="006E1256">
      <w:pPr>
        <w:spacing w:before="120"/>
        <w:ind w:left="0" w:right="28"/>
        <w:jc w:val="right"/>
        <w:rPr>
          <w:b/>
          <w:bCs/>
          <w:sz w:val="40"/>
          <w:szCs w:val="40"/>
        </w:rPr>
      </w:pPr>
      <w:r>
        <w:rPr>
          <w:b/>
          <w:bCs/>
          <w:sz w:val="40"/>
          <w:szCs w:val="40"/>
        </w:rPr>
        <w:t>Childcare and Early Childhood Learning</w:t>
      </w:r>
    </w:p>
    <w:p w14:paraId="528D3625" w14:textId="77777777" w:rsidR="00AA282C" w:rsidRDefault="00AA282C" w:rsidP="006E1256">
      <w:pPr>
        <w:spacing w:before="120"/>
        <w:ind w:left="0" w:right="28"/>
        <w:jc w:val="right"/>
        <w:rPr>
          <w:b/>
          <w:bCs/>
          <w:sz w:val="40"/>
          <w:szCs w:val="40"/>
        </w:rPr>
      </w:pPr>
    </w:p>
    <w:p w14:paraId="03E6B706" w14:textId="6A089AFD" w:rsidR="006E1256" w:rsidRPr="00AA282C" w:rsidRDefault="00AA282C" w:rsidP="00AA282C">
      <w:pPr>
        <w:spacing w:before="120"/>
        <w:ind w:left="0" w:right="28"/>
        <w:jc w:val="right"/>
        <w:rPr>
          <w:b/>
          <w:bCs/>
          <w:sz w:val="40"/>
          <w:szCs w:val="40"/>
        </w:rPr>
      </w:pPr>
      <w:r>
        <w:rPr>
          <w:b/>
          <w:bCs/>
          <w:sz w:val="40"/>
          <w:szCs w:val="40"/>
        </w:rPr>
        <w:t>John Daley and Cassie McGannon</w:t>
      </w:r>
    </w:p>
    <w:p w14:paraId="45080898" w14:textId="77777777" w:rsidR="006E1256" w:rsidRDefault="006E1256" w:rsidP="006E1256">
      <w:pPr>
        <w:spacing w:before="720"/>
        <w:ind w:left="0" w:right="28"/>
        <w:jc w:val="right"/>
        <w:rPr>
          <w:bCs/>
          <w:sz w:val="40"/>
          <w:szCs w:val="40"/>
        </w:rPr>
      </w:pPr>
      <w:r>
        <w:rPr>
          <w:bCs/>
          <w:sz w:val="40"/>
          <w:szCs w:val="40"/>
        </w:rPr>
        <w:t>M</w:t>
      </w:r>
      <w:r w:rsidRPr="00C414DA">
        <w:rPr>
          <w:bCs/>
          <w:sz w:val="40"/>
          <w:szCs w:val="40"/>
        </w:rPr>
        <w:t>arch 2014</w:t>
      </w:r>
    </w:p>
    <w:p w14:paraId="603E7786" w14:textId="77777777" w:rsidR="006E1256" w:rsidRDefault="006E1256" w:rsidP="006E1256">
      <w:pPr>
        <w:pBdr>
          <w:bottom w:val="single" w:sz="12" w:space="1" w:color="F68B33" w:themeColor="accent2"/>
        </w:pBdr>
        <w:spacing w:before="720"/>
        <w:ind w:left="0" w:right="28"/>
        <w:rPr>
          <w:bCs/>
          <w:sz w:val="40"/>
          <w:szCs w:val="40"/>
        </w:rPr>
      </w:pPr>
    </w:p>
    <w:p w14:paraId="577C3462" w14:textId="77777777" w:rsidR="002823BB" w:rsidRDefault="002823BB">
      <w:pPr>
        <w:spacing w:before="0"/>
        <w:ind w:left="0"/>
        <w:rPr>
          <w:b/>
          <w:color w:val="F3901D"/>
          <w:sz w:val="30"/>
          <w:szCs w:val="30"/>
        </w:rPr>
      </w:pPr>
    </w:p>
    <w:p w14:paraId="52F2723C" w14:textId="77777777" w:rsidR="007F3C69" w:rsidRDefault="007F3C69" w:rsidP="006D394F">
      <w:pPr>
        <w:spacing w:after="240"/>
        <w:ind w:left="0"/>
        <w:rPr>
          <w:rStyle w:val="Heading2Char"/>
        </w:rPr>
        <w:sectPr w:rsidR="007F3C69" w:rsidSect="006E1256">
          <w:endnotePr>
            <w:numFmt w:val="decimal"/>
          </w:endnotePr>
          <w:type w:val="continuous"/>
          <w:pgSz w:w="16838" w:h="11906" w:orient="landscape"/>
          <w:pgMar w:top="2155" w:right="1418" w:bottom="1588" w:left="1814" w:header="851" w:footer="1191" w:gutter="0"/>
          <w:pgNumType w:start="1"/>
          <w:cols w:space="708"/>
          <w:docGrid w:linePitch="360"/>
        </w:sectPr>
      </w:pPr>
    </w:p>
    <w:bookmarkEnd w:id="0"/>
    <w:bookmarkEnd w:id="1"/>
    <w:bookmarkEnd w:id="2"/>
    <w:bookmarkEnd w:id="3"/>
    <w:p w14:paraId="3A155172" w14:textId="77777777" w:rsidR="007F3C69" w:rsidRDefault="007F3C69">
      <w:pPr>
        <w:spacing w:before="0"/>
        <w:ind w:left="0"/>
        <w:rPr>
          <w:sz w:val="16"/>
          <w:szCs w:val="16"/>
        </w:rPr>
        <w:sectPr w:rsidR="007F3C69" w:rsidSect="006E1256">
          <w:endnotePr>
            <w:numFmt w:val="decimal"/>
          </w:endnotePr>
          <w:type w:val="continuous"/>
          <w:pgSz w:w="16838" w:h="11906" w:orient="landscape"/>
          <w:pgMar w:top="2155" w:right="1418" w:bottom="1588" w:left="1814" w:header="851" w:footer="1191" w:gutter="0"/>
          <w:pgNumType w:start="1"/>
          <w:cols w:space="708"/>
          <w:docGrid w:linePitch="360"/>
        </w:sectPr>
      </w:pPr>
    </w:p>
    <w:p w14:paraId="5EE26099" w14:textId="77777777" w:rsidR="00DF2758" w:rsidRDefault="00BF2DB3" w:rsidP="006E1256">
      <w:pPr>
        <w:pStyle w:val="Heading1"/>
      </w:pPr>
      <w:bookmarkStart w:id="8" w:name="_Toc382921476"/>
      <w:bookmarkEnd w:id="4"/>
      <w:bookmarkEnd w:id="5"/>
      <w:bookmarkEnd w:id="6"/>
      <w:bookmarkEnd w:id="7"/>
      <w:r>
        <w:lastRenderedPageBreak/>
        <w:t>Introduction</w:t>
      </w:r>
      <w:bookmarkEnd w:id="8"/>
    </w:p>
    <w:p w14:paraId="2DA0B3C9" w14:textId="77777777" w:rsidR="00DF2758" w:rsidRDefault="00DF2758" w:rsidP="00DF2758">
      <w:pPr>
        <w:pStyle w:val="BodyText"/>
        <w:sectPr w:rsidR="00DF2758" w:rsidSect="006E1256">
          <w:footerReference w:type="default" r:id="rId11"/>
          <w:endnotePr>
            <w:numFmt w:val="decimal"/>
          </w:endnotePr>
          <w:pgSz w:w="16838" w:h="11906" w:orient="landscape"/>
          <w:pgMar w:top="1134" w:right="1418" w:bottom="1588" w:left="1814" w:header="851" w:footer="1191" w:gutter="0"/>
          <w:cols w:space="708"/>
          <w:docGrid w:linePitch="360"/>
        </w:sectPr>
      </w:pPr>
    </w:p>
    <w:p w14:paraId="091DF692" w14:textId="77777777" w:rsidR="007625DE" w:rsidRPr="007E33E6" w:rsidRDefault="007625DE" w:rsidP="00BF2DB3">
      <w:pPr>
        <w:pStyle w:val="BodyText"/>
      </w:pPr>
      <w:r w:rsidRPr="007E33E6">
        <w:lastRenderedPageBreak/>
        <w:t xml:space="preserve">As the Inquiry’s Terms of Reference and Issues Paper acknowledge, the provision of childcare and early childhood learning has the dual aims of supporting workforce participation and enabling children to learn and develop. Both are important.  </w:t>
      </w:r>
    </w:p>
    <w:p w14:paraId="5D88FCA1" w14:textId="77777777" w:rsidR="007E33E6" w:rsidRPr="007E33E6" w:rsidRDefault="007625DE" w:rsidP="00BF2DB3">
      <w:pPr>
        <w:pStyle w:val="BodyText"/>
      </w:pPr>
      <w:r w:rsidRPr="007E33E6">
        <w:t>This submission focusse</w:t>
      </w:r>
      <w:r w:rsidR="007E33E6" w:rsidRPr="007E33E6">
        <w:t>s on the first aim – specifically, on increasing Australia’s rates of female workforce participation as a means of boosting economic growth and enabling women to achieve and maintain financial security.</w:t>
      </w:r>
    </w:p>
    <w:p w14:paraId="6B50922A" w14:textId="77777777" w:rsidR="00F10519" w:rsidRPr="007E33E6" w:rsidRDefault="00F10519" w:rsidP="00BF2DB3">
      <w:pPr>
        <w:pStyle w:val="BodyText"/>
      </w:pPr>
      <w:r w:rsidRPr="007E33E6">
        <w:t xml:space="preserve">Other submissions to the Inquiry will be </w:t>
      </w:r>
      <w:r w:rsidR="00BF2DB3" w:rsidRPr="007E33E6">
        <w:t>better placed to comment on</w:t>
      </w:r>
      <w:r w:rsidR="007E33E6" w:rsidRPr="007E33E6">
        <w:t xml:space="preserve"> many</w:t>
      </w:r>
      <w:r w:rsidRPr="007E33E6">
        <w:t xml:space="preserve"> aspects of this complex issue, including the importance of early childhood education and care</w:t>
      </w:r>
      <w:r w:rsidR="00BF2DB3" w:rsidRPr="007E33E6">
        <w:t xml:space="preserve"> for</w:t>
      </w:r>
      <w:r w:rsidRPr="007E33E6">
        <w:t xml:space="preserve"> maintaining</w:t>
      </w:r>
      <w:r w:rsidR="00BF2DB3" w:rsidRPr="007E33E6">
        <w:t xml:space="preserve"> long-run productivity</w:t>
      </w:r>
      <w:r w:rsidRPr="007E33E6">
        <w:t xml:space="preserve"> growth</w:t>
      </w:r>
      <w:r w:rsidR="00BF2DB3" w:rsidRPr="007E33E6">
        <w:t xml:space="preserve">, and </w:t>
      </w:r>
      <w:r w:rsidRPr="007E33E6">
        <w:t>how governments should co</w:t>
      </w:r>
      <w:r w:rsidR="007E33E6" w:rsidRPr="007E33E6">
        <w:t>n</w:t>
      </w:r>
      <w:r w:rsidRPr="007E33E6">
        <w:t xml:space="preserve">sider the trade-offs required when seeking to make high-quality care available at an affordable price. </w:t>
      </w:r>
    </w:p>
    <w:p w14:paraId="0D0441C2" w14:textId="77777777" w:rsidR="005D5000" w:rsidRPr="005D5000" w:rsidRDefault="005D5000" w:rsidP="005D5000">
      <w:pPr>
        <w:pStyle w:val="Heading1"/>
      </w:pPr>
      <w:bookmarkStart w:id="9" w:name="_Toc382921477"/>
      <w:r>
        <w:t>Women’s workforce participation in Australia</w:t>
      </w:r>
      <w:bookmarkEnd w:id="9"/>
    </w:p>
    <w:p w14:paraId="775B638C" w14:textId="77777777" w:rsidR="00641447" w:rsidRDefault="00641447" w:rsidP="002D6810">
      <w:pPr>
        <w:pStyle w:val="Heading2"/>
      </w:pPr>
      <w:r>
        <w:t>Relatively low female workforce participation</w:t>
      </w:r>
    </w:p>
    <w:p w14:paraId="0806FB48" w14:textId="77777777" w:rsidR="005D5000" w:rsidRPr="00F10519" w:rsidRDefault="005D5000" w:rsidP="005D5000">
      <w:pPr>
        <w:pStyle w:val="BodyText"/>
      </w:pPr>
      <w:r>
        <w:t xml:space="preserve">As Grattan Institute showed in its 2012 report </w:t>
      </w:r>
      <w:r>
        <w:rPr>
          <w:i/>
        </w:rPr>
        <w:t>Game-changers: economic reform priorities for Australia</w:t>
      </w:r>
      <w:r>
        <w:t>, Australia has relatively low rates of female labour force participation relative to comparable countries.</w:t>
      </w:r>
      <w:r>
        <w:rPr>
          <w:rStyle w:val="FootnoteReference"/>
        </w:rPr>
        <w:footnoteReference w:id="1"/>
      </w:r>
      <w:r>
        <w:t xml:space="preserve"> </w:t>
      </w:r>
    </w:p>
    <w:p w14:paraId="0EE2B1BB" w14:textId="7233E7F2" w:rsidR="00641447" w:rsidRDefault="00641447" w:rsidP="00641447">
      <w:pPr>
        <w:pStyle w:val="BodyText"/>
      </w:pPr>
      <w:r>
        <w:t>Only 67 per cent of women aged 15-64 are currently in paid work, compared with 78 per cent of men.</w:t>
      </w:r>
      <w:r>
        <w:rPr>
          <w:rStyle w:val="FootnoteReference"/>
        </w:rPr>
        <w:footnoteReference w:id="2"/>
      </w:r>
      <w:r>
        <w:t xml:space="preserve"> While 55 per cent of </w:t>
      </w:r>
      <w:r>
        <w:lastRenderedPageBreak/>
        <w:t xml:space="preserve">employed women work full time, 85 per cent of employed men do, </w:t>
      </w:r>
      <w:r w:rsidRPr="00C32AB8">
        <w:t>with the remainder working part time.</w:t>
      </w:r>
      <w:r w:rsidRPr="00C32AB8">
        <w:rPr>
          <w:rStyle w:val="FootnoteReference"/>
        </w:rPr>
        <w:footnoteReference w:id="3"/>
      </w:r>
      <w:r w:rsidRPr="00C32AB8">
        <w:t xml:space="preserve"> These rates are substantially lower than in many other OECD countries, as shown in</w:t>
      </w:r>
      <w:r w:rsidR="00AA282C">
        <w:t xml:space="preserve"> </w:t>
      </w:r>
      <w:r w:rsidR="00AA282C">
        <w:fldChar w:fldCharType="begin"/>
      </w:r>
      <w:r w:rsidR="00AA282C">
        <w:instrText xml:space="preserve"> REF _Ref226561159 \h </w:instrText>
      </w:r>
      <w:r w:rsidR="00AA282C">
        <w:fldChar w:fldCharType="separate"/>
      </w:r>
      <w:r w:rsidR="00AA282C" w:rsidRPr="00AA282C">
        <w:t>Figure 1</w:t>
      </w:r>
      <w:r w:rsidR="00AA282C">
        <w:fldChar w:fldCharType="end"/>
      </w:r>
      <w:r w:rsidRPr="00C32AB8">
        <w:t xml:space="preserve">. While Australia is just above the OECD average, </w:t>
      </w:r>
      <w:r w:rsidR="00C32AB8">
        <w:t>that</w:t>
      </w:r>
      <w:r w:rsidRPr="00C32AB8">
        <w:t xml:space="preserve"> average includes</w:t>
      </w:r>
      <w:r>
        <w:t xml:space="preserve"> countries with very low participation rates, such as Greece.</w:t>
      </w:r>
    </w:p>
    <w:p w14:paraId="211FA015" w14:textId="0EE4896D" w:rsidR="00AA282C" w:rsidRPr="00AA282C" w:rsidRDefault="00AA282C" w:rsidP="00AA282C">
      <w:pPr>
        <w:pStyle w:val="Figuretitle"/>
      </w:pPr>
      <w:bookmarkStart w:id="10" w:name="_Ref226561159"/>
      <w:bookmarkStart w:id="11" w:name="_Toc227955194"/>
      <w:bookmarkStart w:id="12" w:name="_Ref257629886"/>
      <w:r w:rsidRPr="00AA282C">
        <w:t xml:space="preserve">Figure </w:t>
      </w:r>
      <w:r w:rsidR="00930090">
        <w:fldChar w:fldCharType="begin"/>
      </w:r>
      <w:r w:rsidR="00930090">
        <w:instrText xml:space="preserve"> SEQ Figure \* ARABIC </w:instrText>
      </w:r>
      <w:r w:rsidR="00930090">
        <w:fldChar w:fldCharType="separate"/>
      </w:r>
      <w:r w:rsidRPr="00AA282C">
        <w:t>1</w:t>
      </w:r>
      <w:r w:rsidR="00930090">
        <w:fldChar w:fldCharType="end"/>
      </w:r>
      <w:bookmarkEnd w:id="10"/>
      <w:r w:rsidRPr="00AA282C">
        <w:t xml:space="preserve">: </w:t>
      </w:r>
      <w:bookmarkEnd w:id="11"/>
      <w:r w:rsidRPr="00AA282C">
        <w:t>Participation rates women aged 25-54, selected OECD</w:t>
      </w:r>
    </w:p>
    <w:p w14:paraId="554D0D69" w14:textId="6B8E1534" w:rsidR="00AA282C" w:rsidRPr="00EE6207" w:rsidRDefault="00AA282C" w:rsidP="00AA282C">
      <w:pPr>
        <w:pStyle w:val="Chartunits"/>
      </w:pPr>
      <w:r w:rsidRPr="00EE6207">
        <w:rPr>
          <w:lang w:val="en-US"/>
        </w:rPr>
        <w:t xml:space="preserve">Percent </w:t>
      </w:r>
    </w:p>
    <w:bookmarkEnd w:id="12"/>
    <w:p w14:paraId="20D3D2A3" w14:textId="77777777" w:rsidR="006E1256" w:rsidRDefault="006E1256" w:rsidP="006E1256">
      <w:pPr>
        <w:pStyle w:val="BodyText"/>
      </w:pPr>
      <w:r w:rsidRPr="003F74E2">
        <w:rPr>
          <w:noProof/>
        </w:rPr>
        <w:drawing>
          <wp:inline distT="0" distB="0" distL="0" distR="0" wp14:anchorId="65B3DF74" wp14:editId="40905C80">
            <wp:extent cx="4095115" cy="2835080"/>
            <wp:effectExtent l="1905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095115" cy="2835080"/>
                    </a:xfrm>
                    <a:prstGeom prst="rect">
                      <a:avLst/>
                    </a:prstGeom>
                    <a:noFill/>
                    <a:ln w="9525">
                      <a:noFill/>
                      <a:miter lim="800000"/>
                      <a:headEnd/>
                      <a:tailEnd/>
                    </a:ln>
                  </pic:spPr>
                </pic:pic>
              </a:graphicData>
            </a:graphic>
          </wp:inline>
        </w:drawing>
      </w:r>
    </w:p>
    <w:p w14:paraId="7944788D" w14:textId="4543A7A5" w:rsidR="006E1256" w:rsidRPr="00370AB2" w:rsidRDefault="006E1256" w:rsidP="006E1256">
      <w:pPr>
        <w:pStyle w:val="Source"/>
        <w:rPr>
          <w:rStyle w:val="SourcesChar"/>
          <w:i/>
        </w:rPr>
      </w:pPr>
      <w:r w:rsidRPr="00370AB2">
        <w:rPr>
          <w:rStyle w:val="SourcesChar"/>
        </w:rPr>
        <w:t xml:space="preserve">Source: </w:t>
      </w:r>
      <w:r w:rsidRPr="00370AB2">
        <w:rPr>
          <w:rStyle w:val="SourcesChar"/>
          <w:i/>
        </w:rPr>
        <w:fldChar w:fldCharType="begin"/>
      </w:r>
      <w:r>
        <w:rPr>
          <w:rStyle w:val="SourcesChar"/>
          <w:i/>
        </w:rPr>
        <w:instrText xml:space="preserve"> ADDIN EN.CITE &lt;EndNote&gt;&lt;Cite&gt;&lt;Author&gt;OECD&lt;/Author&gt;&lt;Year&gt;2010&lt;/Year&gt;&lt;RecNum&gt;156&lt;/RecNum&gt;&lt;DisplayText&gt;OECD (2010)&lt;/DisplayText&gt;&lt;record&gt;&lt;rec-number&gt;156&lt;/rec-number&gt;&lt;foreign-keys&gt;&lt;key app="EN" db-id="ppex2pv97zx2s2edf055dxsb9pwfwev9d5sf"&gt;156&lt;/key&gt;&lt;/foreign-keys&gt;&lt;ref-type name=".Online Database"&gt;45&lt;/ref-type&gt;&lt;contributors&gt;&lt;authors&gt;&lt;author&gt;OECD&lt;/author&gt;&lt;/authors&gt;&lt;/contributors&gt;&lt;titles&gt;&lt;title&gt;Labour force statistics by sex and age&lt;/title&gt;&lt;secondary-title&gt;Labour Market Statistics&lt;/secondary-title&gt;&lt;/titles&gt;&lt;dates&gt;&lt;year&gt;2010&lt;/year&gt;&lt;/dates&gt;&lt;urls&gt;&lt;related-urls&gt;&lt;url&gt;http://www.oecd-ilibrary.org/employment/data/labour-market-statistics/labour-force-statistics-by-sex-and-age-indicators_data-00310-en;jsessionid=4g7nekik2m6bs.delta?isPartOf=/content/datacollection/lfs-lms-data-en&lt;/url&gt;&lt;/related-urls&gt;&lt;/urls&gt;&lt;/record&gt;&lt;/Cite&gt;&lt;/EndNote&gt;</w:instrText>
      </w:r>
      <w:r w:rsidRPr="00370AB2">
        <w:rPr>
          <w:rStyle w:val="SourcesChar"/>
          <w:i/>
        </w:rPr>
        <w:fldChar w:fldCharType="separate"/>
      </w:r>
      <w:hyperlink w:anchor="_ENREF_28" w:tooltip="OECD, 2010 #156" w:history="1">
        <w:r w:rsidR="004F376B" w:rsidRPr="00110467">
          <w:rPr>
            <w:rStyle w:val="SourcesChar"/>
            <w:noProof/>
          </w:rPr>
          <w:t>OECD (2010</w:t>
        </w:r>
      </w:hyperlink>
      <w:r w:rsidRPr="00110467">
        <w:rPr>
          <w:rStyle w:val="SourcesChar"/>
          <w:noProof/>
        </w:rPr>
        <w:t>)</w:t>
      </w:r>
      <w:r w:rsidRPr="00370AB2">
        <w:rPr>
          <w:rStyle w:val="SourcesChar"/>
          <w:i/>
        </w:rPr>
        <w:fldChar w:fldCharType="end"/>
      </w:r>
      <w:r w:rsidRPr="00370AB2">
        <w:rPr>
          <w:rStyle w:val="SourcesChar"/>
        </w:rPr>
        <w:t>.</w:t>
      </w:r>
      <w:r w:rsidRPr="00370AB2">
        <w:rPr>
          <w:i w:val="0"/>
        </w:rPr>
        <w:t xml:space="preserve"> </w:t>
      </w:r>
    </w:p>
    <w:p w14:paraId="52D1A20C" w14:textId="77777777" w:rsidR="006E1256" w:rsidRDefault="006E1256" w:rsidP="00641447">
      <w:pPr>
        <w:pStyle w:val="BodyText"/>
      </w:pPr>
    </w:p>
    <w:p w14:paraId="4F4284B2" w14:textId="77777777" w:rsidR="00641447" w:rsidRDefault="00641447" w:rsidP="00641447">
      <w:pPr>
        <w:pStyle w:val="BodyText"/>
      </w:pPr>
      <w:r>
        <w:lastRenderedPageBreak/>
        <w:t>Some of these are northern European countries with a distinct social compact which may not be easily replicated in Australia. However, female workforce participation is also substantially higher in Canada, a country that is culturally, economically and institutionally similar to Australia.</w:t>
      </w:r>
    </w:p>
    <w:p w14:paraId="45E96E71" w14:textId="3730499A" w:rsidR="00641447" w:rsidRDefault="00641447" w:rsidP="00641447">
      <w:pPr>
        <w:pStyle w:val="BodyText"/>
      </w:pPr>
      <w:r>
        <w:t>Childbirth and childcare have a big impact on female workforce participat</w:t>
      </w:r>
      <w:r w:rsidR="007E33E6">
        <w:t xml:space="preserve">ion. </w:t>
      </w:r>
      <w:r w:rsidR="00AA282C">
        <w:fldChar w:fldCharType="begin"/>
      </w:r>
      <w:r w:rsidR="00AA282C">
        <w:instrText xml:space="preserve"> REF _Ref257638229 \h </w:instrText>
      </w:r>
      <w:r w:rsidR="00AA282C">
        <w:fldChar w:fldCharType="separate"/>
      </w:r>
      <w:r w:rsidR="00AA282C" w:rsidRPr="00AA282C">
        <w:t xml:space="preserve">Figure </w:t>
      </w:r>
      <w:r w:rsidR="00AA282C">
        <w:rPr>
          <w:noProof/>
        </w:rPr>
        <w:t>2</w:t>
      </w:r>
      <w:r w:rsidR="00AA282C">
        <w:fldChar w:fldCharType="end"/>
      </w:r>
      <w:r w:rsidR="00AA282C">
        <w:t xml:space="preserve"> </w:t>
      </w:r>
      <w:r w:rsidR="00AA76A0">
        <w:t xml:space="preserve">shows that </w:t>
      </w:r>
      <w:r>
        <w:t>the vast majority of women who do not do paid work, or who work part-time, have children.</w:t>
      </w:r>
      <w:r w:rsidR="00AA76A0" w:rsidRPr="00AA76A0">
        <w:t xml:space="preserve"> </w:t>
      </w:r>
      <w:r w:rsidR="00AA76A0">
        <w:t>As illustrated in</w:t>
      </w:r>
      <w:r w:rsidR="00AA282C">
        <w:t xml:space="preserve"> </w:t>
      </w:r>
      <w:r w:rsidR="00AA282C">
        <w:fldChar w:fldCharType="begin"/>
      </w:r>
      <w:r w:rsidR="00AA282C">
        <w:instrText xml:space="preserve"> REF _Ref257638243 \h </w:instrText>
      </w:r>
      <w:r w:rsidR="00AA282C">
        <w:fldChar w:fldCharType="separate"/>
      </w:r>
      <w:r w:rsidR="00AA282C" w:rsidRPr="00AA282C">
        <w:t xml:space="preserve">Figure </w:t>
      </w:r>
      <w:r w:rsidR="00AA282C">
        <w:rPr>
          <w:noProof/>
        </w:rPr>
        <w:t>3</w:t>
      </w:r>
      <w:r w:rsidR="00AA282C">
        <w:fldChar w:fldCharType="end"/>
      </w:r>
      <w:r w:rsidR="00AA76A0">
        <w:t>, women who provide care for their own children have significantly lower participation rates than those who do not.</w:t>
      </w:r>
      <w:r>
        <w:t xml:space="preserve"> Female workforce participation can only change significantly if more mothers have jobs. </w:t>
      </w:r>
    </w:p>
    <w:p w14:paraId="273EAD5C" w14:textId="6588ABBD" w:rsidR="00641447" w:rsidRDefault="00641447" w:rsidP="00641447">
      <w:pPr>
        <w:pStyle w:val="BodyText"/>
      </w:pPr>
      <w:r>
        <w:t>Before they have children, young women are as likely as young men to do paid work. However, most women have children in their 20s or 30s, and thereafter are much less likely to do paid work.</w:t>
      </w:r>
      <w:r>
        <w:rPr>
          <w:rStyle w:val="FootnoteReference"/>
        </w:rPr>
        <w:footnoteReference w:id="4"/>
      </w:r>
      <w:r>
        <w:t xml:space="preserve">  Those who continue in the workforce tend to work for shorter hours over the rest of their lives, as shown in</w:t>
      </w:r>
      <w:r w:rsidR="00AA282C" w:rsidRPr="00AA282C">
        <w:t xml:space="preserve"> </w:t>
      </w:r>
      <w:r w:rsidR="00AA282C">
        <w:fldChar w:fldCharType="begin"/>
      </w:r>
      <w:r w:rsidR="00AA282C">
        <w:instrText xml:space="preserve"> REF _Ref257638229 \h </w:instrText>
      </w:r>
      <w:r w:rsidR="00AA282C">
        <w:fldChar w:fldCharType="separate"/>
      </w:r>
      <w:r w:rsidR="00AA282C" w:rsidRPr="00AA282C">
        <w:t xml:space="preserve">Figure </w:t>
      </w:r>
      <w:r w:rsidR="00AA282C">
        <w:rPr>
          <w:noProof/>
        </w:rPr>
        <w:t>2</w:t>
      </w:r>
      <w:r w:rsidR="00AA282C">
        <w:fldChar w:fldCharType="end"/>
      </w:r>
      <w:r w:rsidR="006E1256">
        <w:t>.</w:t>
      </w:r>
      <w:r>
        <w:rPr>
          <w:rStyle w:val="FootnoteReference"/>
        </w:rPr>
        <w:footnoteReference w:id="5"/>
      </w:r>
    </w:p>
    <w:p w14:paraId="2A8D60C4" w14:textId="4ADF2B84" w:rsidR="00641447" w:rsidRDefault="00641447" w:rsidP="00641447">
      <w:pPr>
        <w:pStyle w:val="BodyText"/>
      </w:pPr>
      <w:r>
        <w:t xml:space="preserve">As </w:t>
      </w:r>
      <w:r w:rsidR="00AA282C">
        <w:fldChar w:fldCharType="begin"/>
      </w:r>
      <w:r w:rsidR="00AA282C">
        <w:instrText xml:space="preserve"> REF _Ref257638229 \h </w:instrText>
      </w:r>
      <w:r w:rsidR="00AA282C">
        <w:fldChar w:fldCharType="separate"/>
      </w:r>
      <w:r w:rsidR="00AA282C" w:rsidRPr="00AA282C">
        <w:t xml:space="preserve">Figure </w:t>
      </w:r>
      <w:r w:rsidR="00AA282C">
        <w:rPr>
          <w:noProof/>
        </w:rPr>
        <w:t>2</w:t>
      </w:r>
      <w:r w:rsidR="00AA282C">
        <w:fldChar w:fldCharType="end"/>
      </w:r>
      <w:r w:rsidR="00AA282C">
        <w:t xml:space="preserve"> </w:t>
      </w:r>
      <w:r>
        <w:t>shows, there are some women without children who do not work,</w:t>
      </w:r>
      <w:r>
        <w:rPr>
          <w:rStyle w:val="FootnoteReference"/>
        </w:rPr>
        <w:footnoteReference w:id="6"/>
      </w:r>
      <w:r>
        <w:t xml:space="preserve"> but they are a relatively small proportion of the potential workforce. </w:t>
      </w:r>
    </w:p>
    <w:p w14:paraId="04A4D68C" w14:textId="0C8911E8" w:rsidR="00AA282C" w:rsidRPr="00AA282C" w:rsidRDefault="00AA282C" w:rsidP="00AA282C">
      <w:pPr>
        <w:pStyle w:val="Figuretitle"/>
      </w:pPr>
      <w:bookmarkStart w:id="13" w:name="_Ref257638229"/>
      <w:r w:rsidRPr="00AA282C">
        <w:lastRenderedPageBreak/>
        <w:t xml:space="preserve">Figure </w:t>
      </w:r>
      <w:r w:rsidR="00930090">
        <w:fldChar w:fldCharType="begin"/>
      </w:r>
      <w:r w:rsidR="00930090">
        <w:instrText xml:space="preserve"> SEQ Figure \* ARABIC </w:instrText>
      </w:r>
      <w:r w:rsidR="00930090">
        <w:fldChar w:fldCharType="separate"/>
      </w:r>
      <w:r>
        <w:rPr>
          <w:noProof/>
        </w:rPr>
        <w:t>2</w:t>
      </w:r>
      <w:r w:rsidR="00930090">
        <w:rPr>
          <w:noProof/>
        </w:rPr>
        <w:fldChar w:fldCharType="end"/>
      </w:r>
      <w:bookmarkEnd w:id="13"/>
      <w:r w:rsidRPr="00AA282C">
        <w:t xml:space="preserve">: </w:t>
      </w:r>
      <w:r w:rsidRPr="006E1256">
        <w:t>Female workforce participation</w:t>
      </w:r>
    </w:p>
    <w:p w14:paraId="0CC5F77A" w14:textId="051C6462" w:rsidR="00AA76A0" w:rsidRDefault="00AA76A0" w:rsidP="00AA282C">
      <w:pPr>
        <w:pStyle w:val="Chartunits"/>
      </w:pPr>
      <w:r w:rsidRPr="002A212C">
        <w:t>Percent of age cohort</w:t>
      </w:r>
    </w:p>
    <w:p w14:paraId="21B3C69C" w14:textId="2F6FA3CE" w:rsidR="00AA76A0" w:rsidRDefault="004F376B" w:rsidP="00AA76A0">
      <w:pPr>
        <w:pStyle w:val="BodyText"/>
      </w:pPr>
      <w:r w:rsidRPr="004F376B">
        <w:rPr>
          <w:noProof/>
        </w:rPr>
        <w:drawing>
          <wp:inline distT="0" distB="0" distL="0" distR="0" wp14:anchorId="2FD6161D" wp14:editId="3DE45FC5">
            <wp:extent cx="4095115" cy="284283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115" cy="2842838"/>
                    </a:xfrm>
                    <a:prstGeom prst="rect">
                      <a:avLst/>
                    </a:prstGeom>
                    <a:noFill/>
                    <a:ln>
                      <a:noFill/>
                    </a:ln>
                  </pic:spPr>
                </pic:pic>
              </a:graphicData>
            </a:graphic>
          </wp:inline>
        </w:drawing>
      </w:r>
    </w:p>
    <w:p w14:paraId="08D7067F" w14:textId="77777777" w:rsidR="00AA76A0" w:rsidRDefault="00AA76A0" w:rsidP="00AA76A0">
      <w:pPr>
        <w:pStyle w:val="Sources"/>
        <w:tabs>
          <w:tab w:val="clear" w:pos="709"/>
          <w:tab w:val="left" w:pos="0"/>
        </w:tabs>
        <w:ind w:left="0" w:firstLine="0"/>
        <w:rPr>
          <w:lang w:val="en-US"/>
        </w:rPr>
      </w:pPr>
      <w:r>
        <w:t xml:space="preserve">Note: </w:t>
      </w:r>
      <w:r w:rsidRPr="006856BB">
        <w:rPr>
          <w:lang w:val="en-US"/>
        </w:rPr>
        <w:t>Refers to women who have ever had children.  Women who are unemployed and looking for fulltime or part time work are included in the FT and PT figures. Those who were employed but did not state their hours have been included here as a proportion of FT and PT work for their age bracket.</w:t>
      </w:r>
    </w:p>
    <w:p w14:paraId="3C20F5FA" w14:textId="41587E85" w:rsidR="00AA76A0" w:rsidRPr="006856BB" w:rsidRDefault="00AA76A0" w:rsidP="00AA76A0">
      <w:pPr>
        <w:pStyle w:val="Sources"/>
        <w:tabs>
          <w:tab w:val="clear" w:pos="709"/>
          <w:tab w:val="left" w:pos="0"/>
        </w:tabs>
        <w:ind w:left="0" w:firstLine="0"/>
        <w:rPr>
          <w:lang w:val="en-US"/>
        </w:rPr>
      </w:pPr>
      <w:r w:rsidRPr="006856BB">
        <w:rPr>
          <w:lang w:val="en-US"/>
        </w:rPr>
        <w:t xml:space="preserve"> Source: </w:t>
      </w:r>
      <w:r w:rsidR="004F376B">
        <w:rPr>
          <w:lang w:val="en-US"/>
        </w:rPr>
        <w:fldChar w:fldCharType="begin"/>
      </w:r>
      <w:r w:rsidR="004F376B">
        <w:rPr>
          <w:lang w:val="en-US"/>
        </w:rPr>
        <w:instrText xml:space="preserve"> ADDIN EN.CITE &lt;EndNote&gt;&lt;Cite&gt;&lt;Author&gt;ABS&lt;/Author&gt;&lt;Year&gt;2011&lt;/Year&gt;&lt;RecNum&gt;416&lt;/RecNum&gt;&lt;DisplayText&gt;ABS (2011c)&lt;/DisplayText&gt;&lt;record&gt;&lt;rec-number&gt;416&lt;/rec-number&gt;&lt;foreign-keys&gt;&lt;key app="EN" db-id="ppex2pv97zx2s2edf055dxsb9pwfwev9d5sf"&gt;416&lt;/key&gt;&lt;/foreign-keys&gt;&lt;ref-type name="OECD"&gt;55&lt;/ref-type&gt;&lt;contributors&gt;&lt;authors&gt;&lt;author&gt;ABS&lt;/author&gt;&lt;/authors&gt;&lt;/contributors&gt;&lt;titles&gt;&lt;title&gt;Census of Population and Housing&lt;/title&gt;&lt;/titles&gt;&lt;dates&gt;&lt;year&gt;2011&lt;/year&gt;&lt;/dates&gt;&lt;publisher&gt;Australian Bureau of Statistics&lt;/publisher&gt;&lt;urls&gt;&lt;/urls&gt;&lt;/record&gt;&lt;/Cite&gt;&lt;/EndNote&gt;</w:instrText>
      </w:r>
      <w:r w:rsidR="004F376B">
        <w:rPr>
          <w:lang w:val="en-US"/>
        </w:rPr>
        <w:fldChar w:fldCharType="separate"/>
      </w:r>
      <w:hyperlink w:anchor="_ENREF_6" w:tooltip="ABS, 2011 #416" w:history="1">
        <w:r w:rsidR="004F376B">
          <w:rPr>
            <w:noProof/>
            <w:lang w:val="en-US"/>
          </w:rPr>
          <w:t>ABS (2011c</w:t>
        </w:r>
      </w:hyperlink>
      <w:r w:rsidR="004F376B">
        <w:rPr>
          <w:noProof/>
          <w:lang w:val="en-US"/>
        </w:rPr>
        <w:t>)</w:t>
      </w:r>
      <w:r w:rsidR="004F376B">
        <w:rPr>
          <w:lang w:val="en-US"/>
        </w:rPr>
        <w:fldChar w:fldCharType="end"/>
      </w:r>
    </w:p>
    <w:p w14:paraId="5789485E" w14:textId="77777777" w:rsidR="006E1256" w:rsidRDefault="006E1256" w:rsidP="006E1256">
      <w:pPr>
        <w:pStyle w:val="Figuretitle"/>
      </w:pPr>
      <w:r>
        <w:br w:type="page"/>
      </w:r>
    </w:p>
    <w:p w14:paraId="1DD7A13E" w14:textId="17802934" w:rsidR="00AA282C" w:rsidRPr="00AA282C" w:rsidRDefault="00AA282C" w:rsidP="00AA282C">
      <w:pPr>
        <w:pStyle w:val="Figuretitle"/>
      </w:pPr>
      <w:bookmarkStart w:id="14" w:name="_Ref257638243"/>
      <w:r w:rsidRPr="00AA282C">
        <w:lastRenderedPageBreak/>
        <w:t xml:space="preserve">Figure </w:t>
      </w:r>
      <w:r w:rsidR="00930090">
        <w:fldChar w:fldCharType="begin"/>
      </w:r>
      <w:r w:rsidR="00930090">
        <w:instrText xml:space="preserve"> SEQ Figure \* ARABIC </w:instrText>
      </w:r>
      <w:r w:rsidR="00930090">
        <w:fldChar w:fldCharType="separate"/>
      </w:r>
      <w:r>
        <w:rPr>
          <w:noProof/>
        </w:rPr>
        <w:t>3</w:t>
      </w:r>
      <w:r w:rsidR="00930090">
        <w:rPr>
          <w:noProof/>
        </w:rPr>
        <w:fldChar w:fldCharType="end"/>
      </w:r>
      <w:bookmarkEnd w:id="14"/>
      <w:r w:rsidRPr="00AA282C">
        <w:t xml:space="preserve">: </w:t>
      </w:r>
      <w:r>
        <w:t>Female workforce participation by provision of child care</w:t>
      </w:r>
    </w:p>
    <w:p w14:paraId="41EB2520" w14:textId="274DC5FE" w:rsidR="00AA76A0" w:rsidRPr="00AA282C" w:rsidRDefault="002F4EAC" w:rsidP="00AA282C">
      <w:pPr>
        <w:pStyle w:val="Chartunits"/>
      </w:pPr>
      <w:r w:rsidRPr="00AA282C">
        <w:t>Participation rate</w:t>
      </w:r>
      <w:r w:rsidR="00AA76A0" w:rsidRPr="00AA282C">
        <w:br/>
      </w:r>
      <w:r w:rsidRPr="00AA282C">
        <w:rPr>
          <w:noProof/>
        </w:rPr>
        <w:drawing>
          <wp:inline distT="0" distB="0" distL="0" distR="0" wp14:anchorId="0A86FE79" wp14:editId="77DD0DDE">
            <wp:extent cx="4095115" cy="2835080"/>
            <wp:effectExtent l="0" t="0" r="0" b="1016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115" cy="2835080"/>
                    </a:xfrm>
                    <a:prstGeom prst="rect">
                      <a:avLst/>
                    </a:prstGeom>
                    <a:noFill/>
                    <a:ln>
                      <a:noFill/>
                    </a:ln>
                  </pic:spPr>
                </pic:pic>
              </a:graphicData>
            </a:graphic>
          </wp:inline>
        </w:drawing>
      </w:r>
    </w:p>
    <w:p w14:paraId="74FC02C1" w14:textId="1916F9E5" w:rsidR="000762C2" w:rsidRDefault="000762C2" w:rsidP="000762C2">
      <w:pPr>
        <w:pStyle w:val="Source"/>
      </w:pPr>
      <w:bookmarkStart w:id="15" w:name="_Ref198476901"/>
      <w:r w:rsidRPr="00590D7E">
        <w:t>Source:</w:t>
      </w:r>
      <w:r w:rsidR="00C32AB8">
        <w:t xml:space="preserve"> </w:t>
      </w:r>
      <w:r>
        <w:t xml:space="preserve">ABS </w:t>
      </w:r>
      <w:r w:rsidR="00C32AB8">
        <w:t>(</w:t>
      </w:r>
      <w:r>
        <w:t>2011)</w:t>
      </w:r>
      <w:r w:rsidR="00C32AB8">
        <w:t xml:space="preserve">; </w:t>
      </w:r>
      <w:r>
        <w:fldChar w:fldCharType="begin"/>
      </w:r>
      <w:r>
        <w:instrText xml:space="preserve"> ADDIN EN.CITE &lt;EndNote&gt;&lt;Cite&gt;&lt;Author&gt;ABS&lt;/Author&gt;&lt;Year&gt;2012&lt;/Year&gt;&lt;RecNum&gt;295&lt;/RecNum&gt;&lt;DisplayText&gt;ABS (2012b)&lt;/DisplayText&gt;&lt;record&gt;&lt;rec-number&gt;295&lt;/rec-number&gt;&lt;foreign-keys&gt;&lt;key app="EN" db-id="sax5xzax2wr5ttes9pf5a92yvterpr9xrdve"&gt;295&lt;/key&gt;&lt;/foreign-keys&gt;&lt;ref-type name="Catalog"&gt;8&lt;/ref-type&gt;&lt;contributors&gt;&lt;authors&gt;&lt;author&gt;ABS&lt;/author&gt;&lt;/authors&gt;&lt;secondary-authors&gt;&lt;author&gt;Australian Bureau of Statistics,&lt;/author&gt;&lt;/secondary-authors&gt;&lt;/contributors&gt;&lt;titles&gt;&lt;title&gt;Labour Force, Australia, Detailed&lt;/title&gt;&lt;/titles&gt;&lt;num-vols&gt;6291.0.55.001&lt;/num-vols&gt;&lt;dates&gt;&lt;year&gt;2012&lt;/year&gt;&lt;/dates&gt;&lt;urls&gt;&lt;/urls&gt;&lt;/record&gt;&lt;/Cite&gt;&lt;/EndNote&gt;</w:instrText>
      </w:r>
      <w:r>
        <w:fldChar w:fldCharType="separate"/>
      </w:r>
      <w:hyperlink w:anchor="_ENREF_8" w:tooltip="ABS, 2012 #295" w:history="1">
        <w:r w:rsidR="004F376B">
          <w:rPr>
            <w:noProof/>
          </w:rPr>
          <w:t>ABS (2012b</w:t>
        </w:r>
      </w:hyperlink>
      <w:r>
        <w:rPr>
          <w:noProof/>
        </w:rPr>
        <w:t>)</w:t>
      </w:r>
      <w:r>
        <w:fldChar w:fldCharType="end"/>
      </w:r>
    </w:p>
    <w:p w14:paraId="0302A6EB" w14:textId="77777777" w:rsidR="000762C2" w:rsidRDefault="000762C2" w:rsidP="006E1256">
      <w:pPr>
        <w:pStyle w:val="BodyText"/>
      </w:pPr>
    </w:p>
    <w:p w14:paraId="17CA4224" w14:textId="318C4209" w:rsidR="006E1256" w:rsidRDefault="006E1256" w:rsidP="006E1256">
      <w:pPr>
        <w:pStyle w:val="BodyText"/>
      </w:pPr>
      <w:r>
        <w:t>Female workforce participation has increased substantially in Australia, as illustrated in</w:t>
      </w:r>
      <w:r w:rsidR="003835CB">
        <w:t xml:space="preserve"> </w:t>
      </w:r>
      <w:r w:rsidR="003835CB">
        <w:fldChar w:fldCharType="begin"/>
      </w:r>
      <w:r w:rsidR="003835CB">
        <w:instrText xml:space="preserve"> REF _Ref257638360 \h </w:instrText>
      </w:r>
      <w:r w:rsidR="003835CB">
        <w:fldChar w:fldCharType="separate"/>
      </w:r>
      <w:r w:rsidR="003835CB" w:rsidRPr="00AA282C">
        <w:t xml:space="preserve">Figure </w:t>
      </w:r>
      <w:r w:rsidR="003835CB">
        <w:rPr>
          <w:noProof/>
        </w:rPr>
        <w:t>4</w:t>
      </w:r>
      <w:r w:rsidR="003835CB">
        <w:fldChar w:fldCharType="end"/>
      </w:r>
      <w:r>
        <w:t>, particularly amongst older workers. This change has been driven primarily by improved health, higher levels of education, and partners also working later</w:t>
      </w:r>
      <w:r w:rsidRPr="006E1256">
        <w:t xml:space="preserve"> </w:t>
      </w:r>
      <w:r>
        <w:t>in life.</w:t>
      </w:r>
      <w:r>
        <w:rPr>
          <w:rStyle w:val="FootnoteReference"/>
        </w:rPr>
        <w:footnoteReference w:id="7"/>
      </w:r>
      <w:r>
        <w:t xml:space="preserve"> However, participation of 35-44 year olds has barely changed since 1990.</w:t>
      </w:r>
    </w:p>
    <w:p w14:paraId="45581E78" w14:textId="77777777" w:rsidR="006E1256" w:rsidRDefault="006E1256" w:rsidP="006E1256">
      <w:pPr>
        <w:pStyle w:val="BodyText"/>
      </w:pPr>
    </w:p>
    <w:p w14:paraId="597B6742" w14:textId="77777777" w:rsidR="00AA282C" w:rsidRDefault="00AA282C" w:rsidP="00AA282C">
      <w:pPr>
        <w:pStyle w:val="Figuretitle"/>
      </w:pPr>
      <w:bookmarkStart w:id="16" w:name="_Ref257638360"/>
      <w:r w:rsidRPr="00AA282C">
        <w:lastRenderedPageBreak/>
        <w:t xml:space="preserve">Figure </w:t>
      </w:r>
      <w:r w:rsidR="00930090">
        <w:fldChar w:fldCharType="begin"/>
      </w:r>
      <w:r w:rsidR="00930090">
        <w:instrText xml:space="preserve"> SEQ Figure \* ARABIC </w:instrText>
      </w:r>
      <w:r w:rsidR="00930090">
        <w:fldChar w:fldCharType="separate"/>
      </w:r>
      <w:r>
        <w:rPr>
          <w:noProof/>
        </w:rPr>
        <w:t>4</w:t>
      </w:r>
      <w:r w:rsidR="00930090">
        <w:rPr>
          <w:noProof/>
        </w:rPr>
        <w:fldChar w:fldCharType="end"/>
      </w:r>
      <w:bookmarkEnd w:id="16"/>
      <w:r w:rsidRPr="00AA282C">
        <w:t xml:space="preserve">: </w:t>
      </w:r>
      <w:r>
        <w:t>Workforce participation by age group</w:t>
      </w:r>
      <w:r w:rsidRPr="00AA282C">
        <w:t xml:space="preserve"> </w:t>
      </w:r>
    </w:p>
    <w:bookmarkEnd w:id="15"/>
    <w:p w14:paraId="6095C5B2" w14:textId="0240B865" w:rsidR="007E33E6" w:rsidRPr="00AA282C" w:rsidRDefault="007E33E6" w:rsidP="00AA282C">
      <w:pPr>
        <w:pStyle w:val="Chartunits"/>
      </w:pPr>
      <w:r w:rsidRPr="00AA282C">
        <w:t>% of cohort</w:t>
      </w:r>
    </w:p>
    <w:p w14:paraId="6CCE3147" w14:textId="77777777" w:rsidR="007E33E6" w:rsidRDefault="00C32AB8" w:rsidP="007E33E6">
      <w:pPr>
        <w:pStyle w:val="BodyText"/>
        <w:keepNext/>
      </w:pPr>
      <w:r w:rsidRPr="00C32AB8">
        <w:rPr>
          <w:noProof/>
        </w:rPr>
        <w:drawing>
          <wp:inline distT="0" distB="0" distL="0" distR="0" wp14:anchorId="7669FA67" wp14:editId="5AB82BE4">
            <wp:extent cx="4095115" cy="28350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115" cy="2835080"/>
                    </a:xfrm>
                    <a:prstGeom prst="rect">
                      <a:avLst/>
                    </a:prstGeom>
                    <a:noFill/>
                    <a:ln>
                      <a:noFill/>
                    </a:ln>
                  </pic:spPr>
                </pic:pic>
              </a:graphicData>
            </a:graphic>
          </wp:inline>
        </w:drawing>
      </w:r>
    </w:p>
    <w:p w14:paraId="3D45550C" w14:textId="1C9B9594" w:rsidR="007E33E6" w:rsidRDefault="007E33E6" w:rsidP="007E33E6">
      <w:pPr>
        <w:pStyle w:val="Source"/>
      </w:pPr>
      <w:r>
        <w:t>Note: 12 month trailing average</w:t>
      </w:r>
      <w:r w:rsidR="00C32AB8">
        <w:t>.</w:t>
      </w:r>
      <w:r>
        <w:t xml:space="preserve"> </w:t>
      </w:r>
      <w:r w:rsidRPr="00590D7E">
        <w:t>Source:</w:t>
      </w:r>
      <w:r>
        <w:t xml:space="preserve"> </w:t>
      </w:r>
      <w:r>
        <w:fldChar w:fldCharType="begin"/>
      </w:r>
      <w:r>
        <w:instrText xml:space="preserve"> ADDIN EN.CITE &lt;EndNote&gt;&lt;Cite&gt;&lt;Author&gt;ABS&lt;/Author&gt;&lt;Year&gt;2012&lt;/Year&gt;&lt;RecNum&gt;295&lt;/RecNum&gt;&lt;DisplayText&gt;ABS (2012b)&lt;/DisplayText&gt;&lt;record&gt;&lt;rec-number&gt;295&lt;/rec-number&gt;&lt;foreign-keys&gt;&lt;key app="EN" db-id="sax5xzax2wr5ttes9pf5a92yvterpr9xrdve"&gt;295&lt;/key&gt;&lt;/foreign-keys&gt;&lt;ref-type name="Catalog"&gt;8&lt;/ref-type&gt;&lt;contributors&gt;&lt;authors&gt;&lt;author&gt;ABS&lt;/author&gt;&lt;/authors&gt;&lt;secondary-authors&gt;&lt;author&gt;Australian Bureau of Statistics,&lt;/author&gt;&lt;/secondary-authors&gt;&lt;/contributors&gt;&lt;titles&gt;&lt;title&gt;Labour Force, Australia, Detailed&lt;/title&gt;&lt;/titles&gt;&lt;num-vols&gt;6291.0.55.001&lt;/num-vols&gt;&lt;dates&gt;&lt;year&gt;2012&lt;/year&gt;&lt;/dates&gt;&lt;urls&gt;&lt;/urls&gt;&lt;/record&gt;&lt;/Cite&gt;&lt;/EndNote&gt;</w:instrText>
      </w:r>
      <w:r>
        <w:fldChar w:fldCharType="separate"/>
      </w:r>
      <w:hyperlink w:anchor="_ENREF_8" w:tooltip="ABS, 2012 #295" w:history="1">
        <w:r w:rsidR="004F376B">
          <w:rPr>
            <w:noProof/>
          </w:rPr>
          <w:t>ABS (2012b</w:t>
        </w:r>
      </w:hyperlink>
      <w:r>
        <w:rPr>
          <w:noProof/>
        </w:rPr>
        <w:t>)</w:t>
      </w:r>
      <w:r>
        <w:fldChar w:fldCharType="end"/>
      </w:r>
    </w:p>
    <w:p w14:paraId="27DC88B3" w14:textId="77777777" w:rsidR="00641447" w:rsidRDefault="00641447" w:rsidP="002D6810">
      <w:pPr>
        <w:pStyle w:val="Heading2"/>
      </w:pPr>
      <w:r>
        <w:t>Economic impact of higher participation</w:t>
      </w:r>
    </w:p>
    <w:p w14:paraId="5274FE9D" w14:textId="77777777" w:rsidR="00641447" w:rsidRDefault="00641447" w:rsidP="00641447">
      <w:pPr>
        <w:pStyle w:val="BodyText"/>
      </w:pPr>
      <w:r>
        <w:t>Increasing female workforce participation would have a substantial impact on the Australian economy. If Australian women did as much paid work as women in Canada – implying an extra 6 per cent of women in the workforce — Australia’s GDP would be about $25 billion higher. On both Productivity Commission and Grattan Institute calculations, such increases in female workforce participation and economic productivity are feasible in Australia.</w:t>
      </w:r>
      <w:r>
        <w:rPr>
          <w:rStyle w:val="FootnoteReference"/>
        </w:rPr>
        <w:footnoteReference w:id="8"/>
      </w:r>
      <w:r>
        <w:t xml:space="preserve"> There would also be substantial benefits to </w:t>
      </w:r>
      <w:r>
        <w:lastRenderedPageBreak/>
        <w:t>government budgets as the number of income tax payers increased.</w:t>
      </w:r>
    </w:p>
    <w:p w14:paraId="6D58A0BA" w14:textId="77777777" w:rsidR="00641447" w:rsidRDefault="00641447" w:rsidP="00641447">
      <w:pPr>
        <w:pStyle w:val="BodyText"/>
      </w:pPr>
      <w:r>
        <w:t>Improving female workforce participation would also mean a better return on Australia’s investment in higher education. Women now make up 58 per cent of Australia’s tertiary education enrolment.</w:t>
      </w:r>
      <w:r>
        <w:rPr>
          <w:rStyle w:val="FootnoteReference"/>
        </w:rPr>
        <w:footnoteReference w:id="9"/>
      </w:r>
      <w:r>
        <w:t xml:space="preserve"> If these tertiary graduates do not work, Australia loses their substantial potential economic contribution.</w:t>
      </w:r>
      <w:r w:rsidRPr="003F06A6">
        <w:t xml:space="preserve"> </w:t>
      </w:r>
    </w:p>
    <w:p w14:paraId="7C1AFBA6" w14:textId="3D457436" w:rsidR="00641447" w:rsidRDefault="00641447" w:rsidP="00641447">
      <w:pPr>
        <w:pStyle w:val="BodyText"/>
      </w:pPr>
      <w:r>
        <w:t xml:space="preserve">Some might be concerned about where all the jobs will come from for additional women moving into the workforce. It is sometimes assumed that </w:t>
      </w:r>
      <w:r>
        <w:rPr>
          <w:lang w:val="en-US"/>
        </w:rPr>
        <w:t>an increase in labour force participation would mean higher unemployment. However this concern, known in economics as the ‘lump of labour fallacy’, is misplaced. There is no fixed amount of work available in an economy. When someone enters paid work,</w:t>
      </w:r>
      <w:r w:rsidR="00335CCD">
        <w:rPr>
          <w:lang w:val="en-US"/>
        </w:rPr>
        <w:t xml:space="preserve"> more is produced. In the medium run, household </w:t>
      </w:r>
      <w:r>
        <w:rPr>
          <w:lang w:val="en-US"/>
        </w:rPr>
        <w:t>demand tends to increase</w:t>
      </w:r>
      <w:r w:rsidR="00335CCD">
        <w:rPr>
          <w:lang w:val="en-US"/>
        </w:rPr>
        <w:t xml:space="preserve"> accordingly</w:t>
      </w:r>
      <w:r>
        <w:rPr>
          <w:lang w:val="en-US"/>
        </w:rPr>
        <w:t>. Nor do those moving into the workforce depress wages</w:t>
      </w:r>
      <w:r w:rsidR="00B422F8">
        <w:rPr>
          <w:lang w:val="en-US"/>
        </w:rPr>
        <w:t xml:space="preserve"> in the medium term</w:t>
      </w:r>
      <w:r>
        <w:rPr>
          <w:lang w:val="en-US"/>
        </w:rPr>
        <w:t xml:space="preserve">. With more labour, capital </w:t>
      </w:r>
      <w:r w:rsidR="00335CCD">
        <w:rPr>
          <w:lang w:val="en-US"/>
        </w:rPr>
        <w:t xml:space="preserve">earns higher returns. </w:t>
      </w:r>
      <w:r>
        <w:rPr>
          <w:lang w:val="en-US"/>
        </w:rPr>
        <w:t xml:space="preserve">This induces </w:t>
      </w:r>
      <w:r w:rsidR="00B422F8">
        <w:rPr>
          <w:lang w:val="en-US"/>
        </w:rPr>
        <w:t xml:space="preserve">more </w:t>
      </w:r>
      <w:r>
        <w:rPr>
          <w:lang w:val="en-US"/>
        </w:rPr>
        <w:t>investment, increasing the demand for labour, and restoring wages to their original level.</w:t>
      </w:r>
      <w:r w:rsidR="00B422F8">
        <w:rPr>
          <w:lang w:val="en-US"/>
        </w:rPr>
        <w:t xml:space="preserve"> Australia’s history over the last 30 years illustrates these trends.  Female workforce participation </w:t>
      </w:r>
      <w:r w:rsidR="004F376B">
        <w:rPr>
          <w:lang w:val="en-US"/>
        </w:rPr>
        <w:t xml:space="preserve">has risen </w:t>
      </w:r>
      <w:r w:rsidR="00B422F8">
        <w:rPr>
          <w:lang w:val="en-US"/>
        </w:rPr>
        <w:t>rapidly, as shown in</w:t>
      </w:r>
      <w:r w:rsidR="003835CB">
        <w:rPr>
          <w:lang w:val="en-US"/>
        </w:rPr>
        <w:t xml:space="preserve"> </w:t>
      </w:r>
      <w:r w:rsidR="003835CB">
        <w:rPr>
          <w:lang w:val="en-US"/>
        </w:rPr>
        <w:fldChar w:fldCharType="begin"/>
      </w:r>
      <w:r w:rsidR="003835CB">
        <w:rPr>
          <w:lang w:val="en-US"/>
        </w:rPr>
        <w:instrText xml:space="preserve"> REF _Ref257638360 \h </w:instrText>
      </w:r>
      <w:r w:rsidR="003835CB">
        <w:rPr>
          <w:lang w:val="en-US"/>
        </w:rPr>
      </w:r>
      <w:r w:rsidR="003835CB">
        <w:rPr>
          <w:lang w:val="en-US"/>
        </w:rPr>
        <w:fldChar w:fldCharType="separate"/>
      </w:r>
      <w:r w:rsidR="003835CB" w:rsidRPr="00AA282C">
        <w:t xml:space="preserve">Figure </w:t>
      </w:r>
      <w:r w:rsidR="003835CB">
        <w:rPr>
          <w:noProof/>
        </w:rPr>
        <w:t>4</w:t>
      </w:r>
      <w:r w:rsidR="003835CB">
        <w:rPr>
          <w:lang w:val="en-US"/>
        </w:rPr>
        <w:fldChar w:fldCharType="end"/>
      </w:r>
      <w:r w:rsidR="00B422F8">
        <w:rPr>
          <w:lang w:val="en-US"/>
        </w:rPr>
        <w:t>. Unemployment did not rise materially as result, and average household incomes rose quickly.</w:t>
      </w:r>
    </w:p>
    <w:p w14:paraId="323507B7" w14:textId="77777777" w:rsidR="00641447" w:rsidRDefault="00641447" w:rsidP="002D6810">
      <w:pPr>
        <w:pStyle w:val="Heading2"/>
      </w:pPr>
      <w:r>
        <w:t>Intangible impacts of female workforce participation</w:t>
      </w:r>
    </w:p>
    <w:p w14:paraId="3775CD6D" w14:textId="77777777" w:rsidR="00641447" w:rsidRDefault="00641447" w:rsidP="00641447">
      <w:pPr>
        <w:pStyle w:val="BodyText"/>
      </w:pPr>
      <w:r>
        <w:t>The unpaid work of women is an extremely large social and economic contribution to Australia.</w:t>
      </w:r>
      <w:r w:rsidRPr="00650B9E">
        <w:rPr>
          <w:rStyle w:val="FootnoteReference"/>
        </w:rPr>
        <w:t xml:space="preserve"> </w:t>
      </w:r>
      <w:r>
        <w:rPr>
          <w:rStyle w:val="FootnoteReference"/>
        </w:rPr>
        <w:footnoteReference w:id="10"/>
      </w:r>
      <w:r>
        <w:t xml:space="preserve"> While it is not generally included in economic statistics, this work would have a very substantial economic value if paid at market rates. In 1997, the Australian Bureau of Statistics put the total value of unpaid </w:t>
      </w:r>
      <w:r>
        <w:lastRenderedPageBreak/>
        <w:t>household work at $237 billion, and estimated that women did 65 per cent of it.</w:t>
      </w:r>
      <w:r>
        <w:rPr>
          <w:rStyle w:val="FootnoteReference"/>
        </w:rPr>
        <w:footnoteReference w:id="11"/>
      </w:r>
      <w:r>
        <w:t xml:space="preserve"> </w:t>
      </w:r>
    </w:p>
    <w:p w14:paraId="3D568F30" w14:textId="77777777" w:rsidR="00641447" w:rsidRDefault="00641447" w:rsidP="00641447">
      <w:pPr>
        <w:pStyle w:val="BodyText"/>
      </w:pPr>
      <w:r>
        <w:t>D</w:t>
      </w:r>
      <w:r w:rsidRPr="00630021">
        <w:t xml:space="preserve">espite increased participation in the workforce, women still do significantly more unpaid domestic work than men, even in couples where both partners work </w:t>
      </w:r>
      <w:r>
        <w:t>similar</w:t>
      </w:r>
      <w:r w:rsidRPr="00630021">
        <w:t xml:space="preserve"> hours.</w:t>
      </w:r>
      <w:r>
        <w:rPr>
          <w:rStyle w:val="FootnoteReference"/>
          <w:rFonts w:asciiTheme="minorHAnsi" w:hAnsiTheme="minorHAnsi"/>
        </w:rPr>
        <w:footnoteReference w:id="12"/>
      </w:r>
      <w:r>
        <w:t xml:space="preserve"> Interestingly, in Canada where women do more paid work, men have been spending more time on housework over the last three generations, and Gen-Y men do roughly the same amount of household work as their partners.</w:t>
      </w:r>
      <w:r>
        <w:rPr>
          <w:rStyle w:val="FootnoteReference"/>
        </w:rPr>
        <w:footnoteReference w:id="13"/>
      </w:r>
      <w:r>
        <w:t xml:space="preserve"> </w:t>
      </w:r>
    </w:p>
    <w:p w14:paraId="3CBFEDF1" w14:textId="77777777" w:rsidR="000762C2" w:rsidRDefault="00641447" w:rsidP="000762C2">
      <w:pPr>
        <w:pStyle w:val="BodyText"/>
      </w:pPr>
      <w:r>
        <w:t>It is unclear whether non-parental child care substantially affects children’s well-being and development, despite extensive study.</w:t>
      </w:r>
      <w:r>
        <w:rPr>
          <w:rStyle w:val="FootnoteReference"/>
        </w:rPr>
        <w:footnoteReference w:id="14"/>
      </w:r>
      <w:r>
        <w:t xml:space="preserve"> Studies differ on whether non-parental or parental care is better for cognitive and emotional development, social skills and</w:t>
      </w:r>
      <w:r w:rsidR="006E1256">
        <w:t xml:space="preserve"> </w:t>
      </w:r>
      <w:r>
        <w:t>academic performance.</w:t>
      </w:r>
      <w:r>
        <w:rPr>
          <w:rStyle w:val="FootnoteReference"/>
        </w:rPr>
        <w:footnoteReference w:id="15"/>
      </w:r>
      <w:r>
        <w:t xml:space="preserve"> The weight of evidence is that parental care for a child’s first 6 months results in better development outcomes, but beyond 12 months there are fewer clear developmental benefits to parental care (although this depends heavily on the measurements used).</w:t>
      </w:r>
      <w:r>
        <w:rPr>
          <w:rStyle w:val="FootnoteReference"/>
        </w:rPr>
        <w:footnoteReference w:id="16"/>
      </w:r>
      <w:r>
        <w:t xml:space="preserve"> Either way, formal </w:t>
      </w:r>
      <w:r>
        <w:lastRenderedPageBreak/>
        <w:t xml:space="preserve">childcare has little impact relative to other factors such as quality of parental care and level of socio-economic advantage. </w:t>
      </w:r>
      <w:r w:rsidR="000762C2">
        <w:t xml:space="preserve"> </w:t>
      </w:r>
    </w:p>
    <w:p w14:paraId="2A1817A9" w14:textId="5411899A" w:rsidR="000762C2" w:rsidRDefault="000762C2" w:rsidP="000762C2">
      <w:pPr>
        <w:pStyle w:val="BodyText"/>
      </w:pPr>
      <w:r>
        <w:t xml:space="preserve">Some might be concerned that higher female workforce participation might lead to lower volunteering rates in the </w:t>
      </w:r>
      <w:r w:rsidRPr="003835CB">
        <w:t xml:space="preserve">community. However, on a simple comparison, volunteering rates are </w:t>
      </w:r>
      <w:r w:rsidRPr="003835CB">
        <w:rPr>
          <w:i/>
        </w:rPr>
        <w:t>higher</w:t>
      </w:r>
      <w:r w:rsidRPr="003835CB">
        <w:t xml:space="preserve"> for women in paid work than for those not working, as shown in</w:t>
      </w:r>
      <w:r w:rsidR="003835CB" w:rsidRPr="003835CB">
        <w:t xml:space="preserve"> </w:t>
      </w:r>
      <w:r w:rsidR="003835CB" w:rsidRPr="003835CB">
        <w:fldChar w:fldCharType="begin"/>
      </w:r>
      <w:r w:rsidR="003835CB" w:rsidRPr="003835CB">
        <w:instrText xml:space="preserve"> REF _Ref257638558 \h </w:instrText>
      </w:r>
      <w:r w:rsidR="003835CB" w:rsidRPr="003835CB">
        <w:fldChar w:fldCharType="separate"/>
      </w:r>
      <w:r w:rsidR="002D6810" w:rsidRPr="00AA282C">
        <w:t xml:space="preserve">Figure </w:t>
      </w:r>
      <w:r w:rsidR="002D6810">
        <w:rPr>
          <w:noProof/>
        </w:rPr>
        <w:t>5</w:t>
      </w:r>
      <w:r w:rsidR="003835CB" w:rsidRPr="003835CB">
        <w:fldChar w:fldCharType="end"/>
      </w:r>
      <w:r w:rsidRPr="003835CB">
        <w:t>. More thorough regression analysis — taking into account education levels, socio-economic status, having children and income — suggests that</w:t>
      </w:r>
      <w:r>
        <w:t>, on average, a woman who works full time does about one hour of volunteering less per week than a woman who doesn’t work at all.</w:t>
      </w:r>
      <w:r>
        <w:rPr>
          <w:rStyle w:val="FootnoteReference"/>
        </w:rPr>
        <w:footnoteReference w:id="17"/>
      </w:r>
    </w:p>
    <w:p w14:paraId="79507174" w14:textId="77777777" w:rsidR="000762C2" w:rsidRDefault="000762C2" w:rsidP="000762C2">
      <w:pPr>
        <w:pStyle w:val="BodyText"/>
      </w:pPr>
      <w:r>
        <w:t xml:space="preserve">Working mothers are likely to have significantly less free time and leisure time than mothers who don’t work. Reforming the current tax-transfer system so mothers can profit more from paid work would not compel mothers to give up leisure time, but simply give them more choices. </w:t>
      </w:r>
    </w:p>
    <w:p w14:paraId="1E1D5EC9" w14:textId="77777777" w:rsidR="000762C2" w:rsidRDefault="000762C2" w:rsidP="000762C2">
      <w:pPr>
        <w:pStyle w:val="BodyText"/>
      </w:pPr>
      <w:r>
        <w:t>Besides the initial boost to economic growth that comes from increased labour force participation, there are longer-term benefits for both individual women and for the country as a whole. The longer women stay out of the labour force after having children, the more difficult it is for them to return to work, and the more likely they are not to return at all.</w:t>
      </w:r>
      <w:r w:rsidRPr="005D5000">
        <w:rPr>
          <w:rStyle w:val="FootnoteReference"/>
        </w:rPr>
        <w:t xml:space="preserve"> </w:t>
      </w:r>
      <w:r w:rsidRPr="00281320">
        <w:rPr>
          <w:rStyle w:val="FootnoteReference"/>
        </w:rPr>
        <w:footnoteReference w:id="18"/>
      </w:r>
      <w:r>
        <w:t xml:space="preserve">  When they do return, they may do so on lower wages. Because they earn less over their lives, they end up with much lower retirement savings than would otherwise be the case.</w:t>
      </w:r>
      <w:r>
        <w:rPr>
          <w:rStyle w:val="FootnoteReference"/>
        </w:rPr>
        <w:footnoteReference w:id="19"/>
      </w:r>
      <w:r>
        <w:t xml:space="preserve">  Not only does this leave many women </w:t>
      </w:r>
      <w:r>
        <w:lastRenderedPageBreak/>
        <w:t>economically vulnerable as they age, but it also increases the number reliant on the Age Pension and other government support services.  Given that the Age Pension is one of the faster-growing areas of government expenditure, this places further pressure on government budgets.</w:t>
      </w:r>
      <w:r>
        <w:rPr>
          <w:rStyle w:val="FootnoteReference"/>
        </w:rPr>
        <w:footnoteReference w:id="20"/>
      </w:r>
      <w:r>
        <w:t xml:space="preserve"> </w:t>
      </w:r>
    </w:p>
    <w:p w14:paraId="26601159" w14:textId="766892A7" w:rsidR="003835CB" w:rsidRDefault="003835CB" w:rsidP="003835CB">
      <w:pPr>
        <w:pStyle w:val="Figuretitle"/>
      </w:pPr>
      <w:bookmarkStart w:id="17" w:name="_Ref257638558"/>
      <w:r w:rsidRPr="00AA282C">
        <w:t xml:space="preserve">Figure </w:t>
      </w:r>
      <w:r w:rsidR="00930090">
        <w:fldChar w:fldCharType="begin"/>
      </w:r>
      <w:r w:rsidR="00930090">
        <w:instrText xml:space="preserve"> SEQ Figure \* ARABIC </w:instrText>
      </w:r>
      <w:r w:rsidR="00930090">
        <w:fldChar w:fldCharType="separate"/>
      </w:r>
      <w:r>
        <w:rPr>
          <w:noProof/>
        </w:rPr>
        <w:t>5</w:t>
      </w:r>
      <w:r w:rsidR="00930090">
        <w:rPr>
          <w:noProof/>
        </w:rPr>
        <w:fldChar w:fldCharType="end"/>
      </w:r>
      <w:bookmarkEnd w:id="17"/>
      <w:r w:rsidRPr="00AA282C">
        <w:t xml:space="preserve">: </w:t>
      </w:r>
      <w:r>
        <w:t>Female volunteers by work status and children</w:t>
      </w:r>
    </w:p>
    <w:p w14:paraId="4E864771" w14:textId="77777777" w:rsidR="003835CB" w:rsidRPr="00AA282C" w:rsidRDefault="003835CB" w:rsidP="003835CB">
      <w:pPr>
        <w:pStyle w:val="Chartunits"/>
      </w:pPr>
      <w:r w:rsidRPr="00AA282C">
        <w:t>% of cohort</w:t>
      </w:r>
    </w:p>
    <w:p w14:paraId="54F0BF4A" w14:textId="77777777" w:rsidR="000762C2" w:rsidRDefault="00960C6F" w:rsidP="000762C2">
      <w:pPr>
        <w:pStyle w:val="BodyText"/>
      </w:pPr>
      <w:r w:rsidRPr="00960C6F">
        <w:rPr>
          <w:noProof/>
        </w:rPr>
        <w:drawing>
          <wp:inline distT="0" distB="0" distL="0" distR="0" wp14:anchorId="6678A803" wp14:editId="3DD2614B">
            <wp:extent cx="4095115" cy="2835080"/>
            <wp:effectExtent l="0" t="0" r="0" b="1016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115" cy="2835080"/>
                    </a:xfrm>
                    <a:prstGeom prst="rect">
                      <a:avLst/>
                    </a:prstGeom>
                    <a:noFill/>
                    <a:ln>
                      <a:noFill/>
                    </a:ln>
                  </pic:spPr>
                </pic:pic>
              </a:graphicData>
            </a:graphic>
          </wp:inline>
        </w:drawing>
      </w:r>
    </w:p>
    <w:p w14:paraId="32E75166" w14:textId="1D6032EE" w:rsidR="000762C2" w:rsidRDefault="000762C2" w:rsidP="000762C2">
      <w:pPr>
        <w:pStyle w:val="Sources"/>
      </w:pPr>
      <w:r>
        <w:t xml:space="preserve">Source: </w:t>
      </w:r>
      <w:r>
        <w:fldChar w:fldCharType="begin"/>
      </w:r>
      <w:r>
        <w:instrText xml:space="preserve"> ADDIN EN.CITE &lt;EndNote&gt;&lt;Cite&gt;&lt;Author&gt;ABS&lt;/Author&gt;&lt;Year&gt;2010&lt;/Year&gt;&lt;RecNum&gt;125&lt;/RecNum&gt;&lt;DisplayText&gt;ABS (2010)&lt;/DisplayText&gt;&lt;record&gt;&lt;rec-number&gt;125&lt;/rec-number&gt;&lt;foreign-keys&gt;&lt;key app="EN" db-id="sax5xzax2wr5ttes9pf5a92yvterpr9xrdve"&gt;125&lt;/key&gt;&lt;/foreign-keys&gt;&lt;ref-type name="Generic"&gt;13&lt;/ref-type&gt;&lt;contributors&gt;&lt;authors&gt;&lt;author&gt;ABS&lt;/author&gt;&lt;/authors&gt;&lt;secondary-authors&gt;&lt;author&gt;Australian Bureau of Statistics,&lt;/author&gt;&lt;/secondary-authors&gt;&lt;/contributors&gt;&lt;titles&gt;&lt;title&gt;General Social Survey&lt;/title&gt;&lt;/titles&gt;&lt;num-vols&gt;4159.0&lt;/num-vols&gt;&lt;dates&gt;&lt;year&gt;2010&lt;/year&gt;&lt;/dates&gt;&lt;urls&gt;&lt;/urls&gt;&lt;/record&gt;&lt;/Cite&gt;&lt;/EndNote&gt;</w:instrText>
      </w:r>
      <w:r>
        <w:fldChar w:fldCharType="separate"/>
      </w:r>
      <w:hyperlink w:anchor="_ENREF_3" w:tooltip="ABS, 2010 #125" w:history="1">
        <w:r w:rsidR="004F376B">
          <w:rPr>
            <w:noProof/>
          </w:rPr>
          <w:t>ABS (2010</w:t>
        </w:r>
      </w:hyperlink>
      <w:r>
        <w:rPr>
          <w:noProof/>
        </w:rPr>
        <w:t>)</w:t>
      </w:r>
      <w:r>
        <w:fldChar w:fldCharType="end"/>
      </w:r>
    </w:p>
    <w:p w14:paraId="6F2A95E3" w14:textId="77777777" w:rsidR="00641447" w:rsidRDefault="00641447" w:rsidP="00641447">
      <w:pPr>
        <w:pStyle w:val="BodyText"/>
      </w:pPr>
    </w:p>
    <w:p w14:paraId="4FC50B84" w14:textId="77795A31" w:rsidR="000762C2" w:rsidRPr="003835CB" w:rsidRDefault="003835CB" w:rsidP="003835CB">
      <w:pPr>
        <w:pStyle w:val="BoxHeading"/>
      </w:pPr>
      <w:r w:rsidRPr="003835CB">
        <w:lastRenderedPageBreak/>
        <w:t xml:space="preserve">Box </w:t>
      </w:r>
      <w:r w:rsidR="00930090">
        <w:fldChar w:fldCharType="begin"/>
      </w:r>
      <w:r w:rsidR="00930090">
        <w:instrText xml:space="preserve"> SEQ Box \* ARABIC </w:instrText>
      </w:r>
      <w:r w:rsidR="00930090">
        <w:fldChar w:fldCharType="separate"/>
      </w:r>
      <w:r w:rsidRPr="003835CB">
        <w:t>1</w:t>
      </w:r>
      <w:r w:rsidR="00930090">
        <w:fldChar w:fldCharType="end"/>
      </w:r>
      <w:r w:rsidR="000762C2" w:rsidRPr="003835CB">
        <w:t xml:space="preserve">: GDP gains and child care.    </w:t>
      </w:r>
    </w:p>
    <w:p w14:paraId="5557B014" w14:textId="77777777" w:rsidR="000762C2" w:rsidRDefault="000762C2" w:rsidP="003835CB">
      <w:pPr>
        <w:pStyle w:val="BOXText"/>
        <w:pBdr>
          <w:top w:val="single" w:sz="4" w:space="12" w:color="F68B33" w:themeColor="accent2"/>
          <w:bottom w:val="single" w:sz="4" w:space="15" w:color="F68B33" w:themeColor="accent2"/>
        </w:pBdr>
      </w:pPr>
      <w:r>
        <w:t>It is sometimes assumed that when women return to paid work, they transfer unpaid work (like home child care) to paid work in the workforce, and therefore there is no real gain in output.</w:t>
      </w:r>
    </w:p>
    <w:p w14:paraId="200AC30A" w14:textId="77777777" w:rsidR="000762C2" w:rsidRDefault="000762C2" w:rsidP="003835CB">
      <w:pPr>
        <w:pStyle w:val="BOXText"/>
        <w:pBdr>
          <w:top w:val="single" w:sz="4" w:space="12" w:color="F68B33" w:themeColor="accent2"/>
          <w:bottom w:val="single" w:sz="4" w:space="15" w:color="F68B33" w:themeColor="accent2"/>
        </w:pBdr>
      </w:pPr>
      <w:r>
        <w:t>However, the GDP effect of increasing women's participation is not simply a switch from unpaid work to paid work. The economic value of a parent’s paid work is usually higher than the economic value of childcare — captured in the fact that hourly wages are usually substantially higher than the hourly cost of childcare. Non-parental childcare offers efficiencies of scale and specialisation, so that net productivity usually increases with higher rates of female participation.</w:t>
      </w:r>
      <w:r w:rsidRPr="0008716C">
        <w:t xml:space="preserve"> </w:t>
      </w:r>
      <w:r>
        <w:t xml:space="preserve">Unpaid care (for instance, by relatives or friends) also has a positive GDP effect if it frees up the labour supply of parents who are then able to work.  </w:t>
      </w:r>
    </w:p>
    <w:p w14:paraId="57E90CF4" w14:textId="77777777" w:rsidR="000762C2" w:rsidRDefault="00960C6F" w:rsidP="003835CB">
      <w:pPr>
        <w:pStyle w:val="BOXText"/>
        <w:pBdr>
          <w:top w:val="single" w:sz="4" w:space="12" w:color="F68B33" w:themeColor="accent2"/>
          <w:bottom w:val="single" w:sz="4" w:space="15" w:color="F68B33" w:themeColor="accent2"/>
        </w:pBdr>
        <w:spacing w:after="120"/>
      </w:pPr>
      <w:r>
        <w:t>T</w:t>
      </w:r>
      <w:r w:rsidR="000762C2">
        <w:t xml:space="preserve">his </w:t>
      </w:r>
      <w:r w:rsidR="000762C2" w:rsidRPr="00B12FA9">
        <w:t xml:space="preserve">strictly economic analysis does not take into account the intangible benefits of caring for a child within the family.  </w:t>
      </w:r>
      <w:r w:rsidR="000762C2">
        <w:t>Views differ on the value of those benefits. The choice is usually left as a matter of personal preference, though Australia’s current tax and benefit system implicitly puts a very high value on parental care — particularly for women who would otherwise be in lower paid work</w:t>
      </w:r>
      <w:r w:rsidR="000762C2" w:rsidRPr="00B12FA9">
        <w:t xml:space="preserve">.  </w:t>
      </w:r>
    </w:p>
    <w:p w14:paraId="22A2E0EE" w14:textId="77777777" w:rsidR="00641447" w:rsidRDefault="00641447" w:rsidP="00641447">
      <w:pPr>
        <w:pStyle w:val="BodyText"/>
      </w:pPr>
      <w:r>
        <w:t xml:space="preserve">Clearly there are trade-offs between work hours, parental child care, unpaid and volunteer work, and time spent on leisure and personal activities. However, the current system strongly discourages mothers from paid work. As a result, policy settings significantly distort the choices that women make about benefits and disadvantages of paid work. As the next section shows, without these distortions, it is likely that many more women would elect to work, a choice that would reflect their preferences, </w:t>
      </w:r>
      <w:r w:rsidRPr="0089268C">
        <w:rPr>
          <w:i/>
        </w:rPr>
        <w:t xml:space="preserve">and </w:t>
      </w:r>
      <w:r>
        <w:t>contribute to substantial economic growth.</w:t>
      </w:r>
    </w:p>
    <w:p w14:paraId="5D9BE0B4" w14:textId="77777777" w:rsidR="0093378E" w:rsidRDefault="00F10519" w:rsidP="00BF2DB3">
      <w:pPr>
        <w:pStyle w:val="BodyText"/>
      </w:pPr>
      <w:r>
        <w:lastRenderedPageBreak/>
        <w:t>If women, in consultation with their families, choose not to work while their children are young, that is up to them. Similarly, women who want or need to return to work before their children start school should have that option. But at the moment, policy settings make returning to work so financially un</w:t>
      </w:r>
      <w:r w:rsidR="0093378E">
        <w:t xml:space="preserve">attractive for many women that they remain out of the workforce for long periods, with negative long-term consequences for them and for society as a whole. </w:t>
      </w:r>
    </w:p>
    <w:p w14:paraId="400835DA" w14:textId="77777777" w:rsidR="00BF2DB3" w:rsidRDefault="00BF2DB3" w:rsidP="00BF2DB3"/>
    <w:p w14:paraId="1606CB95" w14:textId="77777777" w:rsidR="00BF2DB3" w:rsidRDefault="000762C2" w:rsidP="00BF2DB3">
      <w:pPr>
        <w:pStyle w:val="Heading1"/>
      </w:pPr>
      <w:bookmarkStart w:id="18" w:name="_Toc382921478"/>
      <w:r>
        <w:t>Drivers of women’s workforce participation</w:t>
      </w:r>
      <w:bookmarkEnd w:id="18"/>
    </w:p>
    <w:p w14:paraId="1DBCCF60" w14:textId="77777777" w:rsidR="00BF2DB3" w:rsidRPr="008733E9" w:rsidRDefault="008733E9" w:rsidP="008733E9">
      <w:pPr>
        <w:pStyle w:val="BodyText"/>
      </w:pPr>
      <w:r w:rsidRPr="008733E9">
        <w:t xml:space="preserve">The drivers of </w:t>
      </w:r>
      <w:r>
        <w:t>women’s choices about labour fo</w:t>
      </w:r>
      <w:r w:rsidRPr="008733E9">
        <w:t>rce participation are complex, and it is beyond the scope of this submission to</w:t>
      </w:r>
      <w:r>
        <w:t xml:space="preserve"> consider all </w:t>
      </w:r>
      <w:r w:rsidRPr="008733E9">
        <w:t>o</w:t>
      </w:r>
      <w:r>
        <w:t>f</w:t>
      </w:r>
      <w:r w:rsidRPr="008733E9">
        <w:t xml:space="preserve"> them.</w:t>
      </w:r>
      <w:r>
        <w:t xml:space="preserve"> For mothers with dependent children, they may include: </w:t>
      </w:r>
    </w:p>
    <w:p w14:paraId="6F6C4AD9" w14:textId="77777777" w:rsidR="008733E9" w:rsidRDefault="008733E9" w:rsidP="008733E9">
      <w:pPr>
        <w:pStyle w:val="ReportBullet1"/>
      </w:pPr>
      <w:r>
        <w:t>The income available from paid work, after accounting for tax paid, family benefits lost, and child care costs.</w:t>
      </w:r>
    </w:p>
    <w:p w14:paraId="288050C8" w14:textId="77777777" w:rsidR="00BF2DB3" w:rsidRDefault="008733E9" w:rsidP="008733E9">
      <w:pPr>
        <w:pStyle w:val="ReportBullet1"/>
      </w:pPr>
      <w:r>
        <w:t>The availability, affordability and quality of child care.</w:t>
      </w:r>
    </w:p>
    <w:p w14:paraId="5DA7DC80" w14:textId="77777777" w:rsidR="00BF2DB3" w:rsidRDefault="008733E9" w:rsidP="008733E9">
      <w:pPr>
        <w:pStyle w:val="ReportBullet1"/>
      </w:pPr>
      <w:r>
        <w:t>The availability of job opportunities that are suited to their skills, appropriately located, and sufficiently flexible to enable them to balance work and family.</w:t>
      </w:r>
    </w:p>
    <w:p w14:paraId="0BC2FE28" w14:textId="77777777" w:rsidR="00BF2DB3" w:rsidRDefault="00BF2DB3" w:rsidP="008733E9">
      <w:pPr>
        <w:pStyle w:val="ReportBullet1"/>
      </w:pPr>
      <w:r>
        <w:t xml:space="preserve">Personal and cultural </w:t>
      </w:r>
      <w:r w:rsidR="008733E9">
        <w:t>beliefs and preferences about how children should be raised, and the role of women in the family and society.</w:t>
      </w:r>
    </w:p>
    <w:p w14:paraId="529D0E56" w14:textId="77777777" w:rsidR="007E33E6" w:rsidRDefault="00BF2DB3" w:rsidP="0093378E">
      <w:pPr>
        <w:pStyle w:val="BodyText"/>
      </w:pPr>
      <w:r>
        <w:t xml:space="preserve">Although in theory these factors could apply to both mothers and fathers, in practice they fall disproportionately on women.  </w:t>
      </w:r>
      <w:r w:rsidR="0093378E">
        <w:t>There are a variety of reasons for this. Wo</w:t>
      </w:r>
      <w:r>
        <w:t xml:space="preserve">men </w:t>
      </w:r>
      <w:r w:rsidR="0093378E">
        <w:t xml:space="preserve">are much </w:t>
      </w:r>
      <w:r>
        <w:t xml:space="preserve">more likely to </w:t>
      </w:r>
      <w:r>
        <w:lastRenderedPageBreak/>
        <w:t xml:space="preserve">take time off work to care </w:t>
      </w:r>
      <w:r w:rsidR="0093378E">
        <w:t xml:space="preserve">for young children, whether due to </w:t>
      </w:r>
      <w:r>
        <w:t>biological needs</w:t>
      </w:r>
      <w:r w:rsidR="0093378E">
        <w:t xml:space="preserve"> soon after birth, traditional ideas about women’s role as the primary caregiver, or the tendency for </w:t>
      </w:r>
      <w:r>
        <w:t xml:space="preserve">women </w:t>
      </w:r>
      <w:r w:rsidR="0093378E">
        <w:t>to earn</w:t>
      </w:r>
      <w:r>
        <w:t xml:space="preserve"> less</w:t>
      </w:r>
      <w:r w:rsidR="0093378E">
        <w:t xml:space="preserve"> than men. </w:t>
      </w:r>
      <w:r w:rsidR="00185A86">
        <w:t>Adding to this</w:t>
      </w:r>
      <w:r w:rsidR="0093378E">
        <w:t xml:space="preserve"> are </w:t>
      </w:r>
      <w:r>
        <w:t>cultural understandings that child</w:t>
      </w:r>
      <w:r w:rsidR="0093378E">
        <w:t xml:space="preserve"> </w:t>
      </w:r>
      <w:r>
        <w:t>care costs co</w:t>
      </w:r>
      <w:r w:rsidR="0093378E">
        <w:t>me out of the woman’s income when she returns to work</w:t>
      </w:r>
      <w:r w:rsidR="00185A86">
        <w:t xml:space="preserve"> in a two-income family</w:t>
      </w:r>
      <w:r w:rsidR="0093378E">
        <w:t xml:space="preserve">, even though they are more appropriately </w:t>
      </w:r>
      <w:r w:rsidR="00185A86">
        <w:t>thought of as a family expense.</w:t>
      </w:r>
      <w:r w:rsidR="007E33E6">
        <w:t xml:space="preserve">  </w:t>
      </w:r>
    </w:p>
    <w:p w14:paraId="6E3BCFDB" w14:textId="77777777" w:rsidR="007625DE" w:rsidRDefault="00F96D4C" w:rsidP="007625DE">
      <w:pPr>
        <w:pStyle w:val="BodyText"/>
      </w:pPr>
      <w:r>
        <w:t xml:space="preserve">These factors will play out differently for different women and their families, who will make different choices about trade-offs. Even so, there is very good evidence that the major influences </w:t>
      </w:r>
      <w:r w:rsidR="007625DE">
        <w:t>on female workforce participation are marginal tax rates and the net costs of childcare.</w:t>
      </w:r>
      <w:r w:rsidR="007625DE" w:rsidRPr="004C133A">
        <w:rPr>
          <w:rStyle w:val="FootnoteReference"/>
        </w:rPr>
        <w:footnoteReference w:id="21"/>
      </w:r>
      <w:r w:rsidR="00960C6F">
        <w:t xml:space="preserve"> </w:t>
      </w:r>
      <w:r w:rsidR="007625DE">
        <w:t xml:space="preserve">In Canada, female workforce participation increased substantially above trend levels when marginal taxes and the net costs of childcare were reduced, as discussed in </w:t>
      </w:r>
      <w:r w:rsidR="00930090">
        <w:fldChar w:fldCharType="begin"/>
      </w:r>
      <w:r w:rsidR="00930090">
        <w:instrText xml:space="preserve"> REF _Ref326871722 </w:instrText>
      </w:r>
      <w:r w:rsidR="00930090">
        <w:fldChar w:fldCharType="separate"/>
      </w:r>
      <w:r w:rsidR="00C32AB8" w:rsidRPr="001D054D">
        <w:t>Box</w:t>
      </w:r>
      <w:r w:rsidR="00930090">
        <w:fldChar w:fldCharType="end"/>
      </w:r>
      <w:r w:rsidR="00960C6F">
        <w:rPr>
          <w:noProof/>
        </w:rPr>
        <w:t> 2</w:t>
      </w:r>
      <w:r w:rsidR="007625DE">
        <w:t>.</w:t>
      </w:r>
    </w:p>
    <w:p w14:paraId="07A203DE" w14:textId="77777777" w:rsidR="007625DE" w:rsidRDefault="007625DE" w:rsidP="007625DE">
      <w:pPr>
        <w:pStyle w:val="BodyText"/>
      </w:pPr>
      <w:r>
        <w:t>This is not surprising:  mothers face a high opportunity cost in seeing less of their children and in dealing with the stress of juggling work and family responsibilities.</w:t>
      </w:r>
      <w:r>
        <w:rPr>
          <w:rStyle w:val="FootnoteReference"/>
        </w:rPr>
        <w:footnoteReference w:id="22"/>
      </w:r>
      <w:r>
        <w:t xml:space="preserve"> The net financial return of working, including the impact of tax, welfare, childcare costs and childcare benefits, matters to them.</w:t>
      </w:r>
    </w:p>
    <w:p w14:paraId="6D7B0023" w14:textId="77777777" w:rsidR="00F96D4C" w:rsidRDefault="007625DE" w:rsidP="00F96D4C">
      <w:pPr>
        <w:pStyle w:val="BodyText"/>
      </w:pPr>
      <w:r>
        <w:t>Paid parental leave also influences female workforce participation</w:t>
      </w:r>
      <w:r w:rsidR="00960C6F">
        <w:t>.</w:t>
      </w:r>
      <w:r w:rsidR="00960C6F" w:rsidRPr="00960C6F">
        <w:t xml:space="preserve"> </w:t>
      </w:r>
      <w:r w:rsidR="00960C6F">
        <w:t>Paid parental leave at levels relatively similar to previous earnings, can encourage women to return to paid work after having children.</w:t>
      </w:r>
      <w:r w:rsidR="00960C6F">
        <w:rPr>
          <w:rStyle w:val="FootnoteReference"/>
        </w:rPr>
        <w:footnoteReference w:id="23"/>
      </w:r>
      <w:r w:rsidR="00960C6F">
        <w:t xml:space="preserve"> However, </w:t>
      </w:r>
      <w:r>
        <w:t xml:space="preserve">international experience suggests </w:t>
      </w:r>
      <w:r>
        <w:lastRenderedPageBreak/>
        <w:t>that government support for childcare has about double the impact of spending on parental leave.</w:t>
      </w:r>
      <w:r>
        <w:rPr>
          <w:rStyle w:val="FootnoteReference"/>
        </w:rPr>
        <w:footnoteReference w:id="24"/>
      </w:r>
      <w:r>
        <w:t xml:space="preserve"> </w:t>
      </w:r>
    </w:p>
    <w:p w14:paraId="22C12A2A" w14:textId="77777777" w:rsidR="007625DE" w:rsidRDefault="007625DE" w:rsidP="007625DE">
      <w:pPr>
        <w:pStyle w:val="BodyText"/>
      </w:pPr>
      <w:r>
        <w:t>Education levels are important too, though already more women than men go to university in Australia.</w:t>
      </w:r>
      <w:r>
        <w:rPr>
          <w:rStyle w:val="FootnoteReference"/>
        </w:rPr>
        <w:footnoteReference w:id="25"/>
      </w:r>
      <w:r>
        <w:t xml:space="preserve"> Governments have less control over other factors that influence female workforce participation, such as overall unemployment rates, security of employment and social attitudes.</w:t>
      </w:r>
      <w:r>
        <w:rPr>
          <w:rStyle w:val="FootnoteReference"/>
        </w:rPr>
        <w:footnoteReference w:id="26"/>
      </w:r>
      <w:r>
        <w:t xml:space="preserve"> </w:t>
      </w:r>
    </w:p>
    <w:p w14:paraId="677B5304" w14:textId="77777777" w:rsidR="007625DE" w:rsidRDefault="007625DE" w:rsidP="007625DE">
      <w:pPr>
        <w:pStyle w:val="BodyText"/>
      </w:pPr>
      <w:r>
        <w:t>Australian experience seems consistent with international trends.  Australian women with children change their behaviour depending on effective marginal tax rates.</w:t>
      </w:r>
      <w:r>
        <w:rPr>
          <w:rStyle w:val="FootnoteReference"/>
        </w:rPr>
        <w:footnoteReference w:id="27"/>
      </w:r>
      <w:r>
        <w:t xml:space="preserve"> And caring for children is the major reason why Australian women between 25 and 44 who work part time do not work full time, as shown in </w:t>
      </w:r>
      <w:r>
        <w:fldChar w:fldCharType="begin"/>
      </w:r>
      <w:r>
        <w:instrText xml:space="preserve"> REF _Ref197676520 \h </w:instrText>
      </w:r>
      <w:r>
        <w:fldChar w:fldCharType="separate"/>
      </w:r>
      <w:r w:rsidR="00C32AB8">
        <w:t>Figure</w:t>
      </w:r>
      <w:r>
        <w:fldChar w:fldCharType="end"/>
      </w:r>
      <w:r w:rsidR="00F23E7A">
        <w:t xml:space="preserve"> 6</w:t>
      </w:r>
      <w:r>
        <w:t xml:space="preserve">. </w:t>
      </w:r>
    </w:p>
    <w:p w14:paraId="012C9E6B" w14:textId="77777777" w:rsidR="007625DE" w:rsidRDefault="007625DE" w:rsidP="007625DE">
      <w:pPr>
        <w:pStyle w:val="BodyText"/>
      </w:pPr>
      <w:r>
        <w:t xml:space="preserve">Why are Australian women choosing not to work after they have children? While it is intuitive that childcare-related issues are probably involved, few Australian studies </w:t>
      </w:r>
      <w:r w:rsidRPr="002121BE">
        <w:t xml:space="preserve">distinguish whether the </w:t>
      </w:r>
      <w:r>
        <w:t>issue</w:t>
      </w:r>
      <w:r w:rsidRPr="002121BE">
        <w:t xml:space="preserve"> is the </w:t>
      </w:r>
      <w:r w:rsidRPr="002121BE">
        <w:rPr>
          <w:i/>
        </w:rPr>
        <w:t>cost</w:t>
      </w:r>
      <w:r w:rsidRPr="002121BE">
        <w:t xml:space="preserve"> of childcare, the </w:t>
      </w:r>
      <w:r w:rsidRPr="002121BE">
        <w:rPr>
          <w:i/>
        </w:rPr>
        <w:t xml:space="preserve">availability </w:t>
      </w:r>
      <w:r w:rsidRPr="002121BE">
        <w:t xml:space="preserve">of childcare, or a preference for the </w:t>
      </w:r>
      <w:r w:rsidRPr="002121BE">
        <w:rPr>
          <w:i/>
        </w:rPr>
        <w:t>quality</w:t>
      </w:r>
      <w:r w:rsidRPr="002121BE">
        <w:t xml:space="preserve"> of childcare provided by a child’s family.</w:t>
      </w:r>
    </w:p>
    <w:p w14:paraId="27C619CF" w14:textId="77777777" w:rsidR="000762C2" w:rsidRDefault="000762C2" w:rsidP="000762C2">
      <w:pPr>
        <w:pStyle w:val="BodyText"/>
      </w:pPr>
      <w:r>
        <w:rPr>
          <w:i/>
        </w:rPr>
        <w:t>A</w:t>
      </w:r>
      <w:r w:rsidRPr="00E8280A">
        <w:rPr>
          <w:i/>
        </w:rPr>
        <w:t>vailability</w:t>
      </w:r>
      <w:r>
        <w:t xml:space="preserve"> does not appear to be a major issue in Australia. In the last ABS survey, only 2 per cent of families with preschool children were “currently looking” for additional preschool or formal care primarily for work-related reasons.</w:t>
      </w:r>
      <w:r>
        <w:rPr>
          <w:rStyle w:val="FootnoteReference"/>
        </w:rPr>
        <w:footnoteReference w:id="28"/>
      </w:r>
      <w:r>
        <w:t xml:space="preserve">  There is little data on the effects of </w:t>
      </w:r>
      <w:r>
        <w:rPr>
          <w:i/>
        </w:rPr>
        <w:t xml:space="preserve">quality </w:t>
      </w:r>
      <w:r>
        <w:t>of child care on parents’ decisions to use care.</w:t>
      </w:r>
      <w:r>
        <w:rPr>
          <w:rStyle w:val="FootnoteReference"/>
        </w:rPr>
        <w:footnoteReference w:id="29"/>
      </w:r>
      <w:r>
        <w:t xml:space="preserve"> </w:t>
      </w:r>
    </w:p>
    <w:p w14:paraId="51847BEE" w14:textId="6F0DB529" w:rsidR="003835CB" w:rsidRDefault="003835CB" w:rsidP="003835CB">
      <w:pPr>
        <w:pStyle w:val="Figuretitle"/>
      </w:pPr>
      <w:bookmarkStart w:id="19" w:name="_Ref197676520"/>
      <w:r w:rsidRPr="00AA282C">
        <w:lastRenderedPageBreak/>
        <w:t xml:space="preserve">Figure </w:t>
      </w:r>
      <w:r w:rsidR="00930090">
        <w:fldChar w:fldCharType="begin"/>
      </w:r>
      <w:r w:rsidR="00930090">
        <w:instrText xml:space="preserve"> SEQ Figure \* ARABIC </w:instrText>
      </w:r>
      <w:r w:rsidR="00930090">
        <w:fldChar w:fldCharType="separate"/>
      </w:r>
      <w:r>
        <w:rPr>
          <w:noProof/>
        </w:rPr>
        <w:t>6</w:t>
      </w:r>
      <w:r w:rsidR="00930090">
        <w:rPr>
          <w:noProof/>
        </w:rPr>
        <w:fldChar w:fldCharType="end"/>
      </w:r>
      <w:r w:rsidRPr="00AA282C">
        <w:t xml:space="preserve">: </w:t>
      </w:r>
      <w:r>
        <w:t>Reasons why women working part-time do not seek full-time work</w:t>
      </w:r>
    </w:p>
    <w:p w14:paraId="629328A9" w14:textId="236004D6" w:rsidR="003835CB" w:rsidRPr="003835CB" w:rsidRDefault="003835CB" w:rsidP="003835CB">
      <w:pPr>
        <w:pStyle w:val="Chartunits"/>
      </w:pPr>
      <w:r w:rsidRPr="003835CB">
        <w:t>Percent</w:t>
      </w:r>
    </w:p>
    <w:bookmarkEnd w:id="19"/>
    <w:p w14:paraId="19CD1DB9" w14:textId="77777777" w:rsidR="007625DE" w:rsidRDefault="00960C6F" w:rsidP="006E1256">
      <w:pPr>
        <w:pStyle w:val="Figuretitle"/>
      </w:pPr>
      <w:r w:rsidRPr="00960C6F">
        <w:rPr>
          <w:noProof/>
        </w:rPr>
        <w:drawing>
          <wp:inline distT="0" distB="0" distL="0" distR="0" wp14:anchorId="4AEB4ACB" wp14:editId="3FA131B3">
            <wp:extent cx="4095115" cy="2835080"/>
            <wp:effectExtent l="0" t="0" r="0" b="1016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115" cy="2835080"/>
                    </a:xfrm>
                    <a:prstGeom prst="rect">
                      <a:avLst/>
                    </a:prstGeom>
                    <a:noFill/>
                    <a:ln>
                      <a:noFill/>
                    </a:ln>
                  </pic:spPr>
                </pic:pic>
              </a:graphicData>
            </a:graphic>
          </wp:inline>
        </w:drawing>
      </w:r>
    </w:p>
    <w:p w14:paraId="6CF9F47B" w14:textId="3C27CCEA" w:rsidR="007625DE" w:rsidRPr="004C133A" w:rsidRDefault="007625DE" w:rsidP="007625DE">
      <w:pPr>
        <w:pStyle w:val="Source"/>
      </w:pPr>
      <w:r>
        <w:t xml:space="preserve">Source: </w:t>
      </w:r>
      <w:r>
        <w:fldChar w:fldCharType="begin"/>
      </w:r>
      <w:r>
        <w:instrText xml:space="preserve"> ADDIN EN.CITE &lt;EndNote&gt;&lt;Cite&gt;&lt;Author&gt;Abhayaratna&lt;/Author&gt;&lt;Year&gt;2008&lt;/Year&gt;&lt;RecNum&gt;34&lt;/RecNum&gt;&lt;DisplayText&gt;Abhayaratna&lt;style face="italic"&gt; et al.&lt;/style&gt; (2008)&lt;/DisplayText&gt;&lt;record&gt;&lt;rec-number&gt;34&lt;/rec-number&gt;&lt;foreign-keys&gt;&lt;key app="EN" db-id="sax5xzax2wr5ttes9pf5a92yvterpr9xrdve"&gt;34&lt;/key&gt;&lt;/foreign-keys&gt;&lt;ref-type name="Report"&gt;27&lt;/ref-type&gt;&lt;contributors&gt;&lt;authors&gt;&lt;author&gt;Joanna Abhayaratna &lt;/author&gt;&lt;author&gt;Les Andrews &lt;/author&gt;&lt;author&gt;Hudan Nuch &lt;/author&gt;&lt;author&gt;Troy Podbury&lt;/author&gt;&lt;/authors&gt;&lt;/contributors&gt;&lt;titles&gt;&lt;title&gt;Part Time Employment: the Australian experience&lt;/title&gt;&lt;/titles&gt;&lt;dates&gt;&lt;year&gt;2008&lt;/year&gt;&lt;/dates&gt;&lt;publisher&gt;Staff Working Paper,Productivity Commission&lt;/publisher&gt;&lt;urls&gt;&lt;/urls&gt;&lt;/record&gt;&lt;/Cite&gt;&lt;/EndNote&gt;</w:instrText>
      </w:r>
      <w:r>
        <w:fldChar w:fldCharType="separate"/>
      </w:r>
      <w:hyperlink w:anchor="_ENREF_1" w:tooltip="Abhayaratna, 2008 #34" w:history="1">
        <w:r w:rsidR="004F376B">
          <w:rPr>
            <w:noProof/>
          </w:rPr>
          <w:t>Abhayaratna et al. (2008</w:t>
        </w:r>
      </w:hyperlink>
      <w:r>
        <w:rPr>
          <w:noProof/>
        </w:rPr>
        <w:t>)</w:t>
      </w:r>
      <w:r>
        <w:fldChar w:fldCharType="end"/>
      </w:r>
    </w:p>
    <w:p w14:paraId="4C250E51" w14:textId="77777777" w:rsidR="007625DE" w:rsidRDefault="007625DE" w:rsidP="007625DE">
      <w:pPr>
        <w:pStyle w:val="BodyText"/>
      </w:pPr>
      <w:r>
        <w:t xml:space="preserve">International evidence suggests that the </w:t>
      </w:r>
      <w:r w:rsidRPr="00E8280A">
        <w:rPr>
          <w:i/>
        </w:rPr>
        <w:t xml:space="preserve">costs </w:t>
      </w:r>
      <w:r>
        <w:t xml:space="preserve">of childcare are a major disincentive for many mothers who would otherwise seek work. Experience in Canada — where female workforce participation is substantially higher than in Australia — suggests that affordable childcare is </w:t>
      </w:r>
      <w:r w:rsidR="00F96D4C">
        <w:t>crucial to participation rates.</w:t>
      </w:r>
      <w:r w:rsidR="00F96D4C" w:rsidRPr="00F96D4C">
        <w:rPr>
          <w:rStyle w:val="FootnoteReference"/>
        </w:rPr>
        <w:t xml:space="preserve"> </w:t>
      </w:r>
      <w:r w:rsidR="00F96D4C">
        <w:rPr>
          <w:rStyle w:val="FootnoteReference"/>
        </w:rPr>
        <w:footnoteReference w:id="30"/>
      </w:r>
      <w:r w:rsidR="00F96D4C">
        <w:t xml:space="preserve"> </w:t>
      </w:r>
      <w:r>
        <w:t xml:space="preserve"> </w:t>
      </w:r>
    </w:p>
    <w:p w14:paraId="44A3082D" w14:textId="77777777" w:rsidR="007625DE" w:rsidRDefault="007625DE" w:rsidP="007625DE">
      <w:pPr>
        <w:pStyle w:val="BodyText"/>
      </w:pPr>
      <w:r>
        <w:t xml:space="preserve">It is most plausible that household choices are influenced by the cumulative effects on net take-home income of income tax, foregone welfare benefits, child care costs, and child care </w:t>
      </w:r>
      <w:r>
        <w:lastRenderedPageBreak/>
        <w:t>benefits. Take-home income, net of these effects, amounts to the financial incentive to work relative to staying at home.</w:t>
      </w:r>
    </w:p>
    <w:p w14:paraId="3D7D7C84" w14:textId="77777777" w:rsidR="007625DE" w:rsidRDefault="007625DE" w:rsidP="007625DE">
      <w:pPr>
        <w:pStyle w:val="BodyText"/>
      </w:pPr>
      <w:r>
        <w:t xml:space="preserve">Working women clearly face a wide variety of circumstances that may affect their decision to seek work. However, no single issue appears to affect the choice to work as directly as the marginal costs of tax, welfare and childcare. </w:t>
      </w:r>
    </w:p>
    <w:p w14:paraId="121EA973" w14:textId="77777777" w:rsidR="007625DE" w:rsidRDefault="007625DE" w:rsidP="007625DE">
      <w:pPr>
        <w:pStyle w:val="BodyText"/>
      </w:pPr>
      <w:r>
        <w:t xml:space="preserve">Women might also be more prepared to work if their hours were more flexible. While this issue is frequently raised in the debate about women’s participation, it is not clear how much of a difference it would make.  </w:t>
      </w:r>
      <w:r w:rsidR="00F23E7A">
        <w:t xml:space="preserve">Many </w:t>
      </w:r>
      <w:r>
        <w:t>women are already working in part-time or casual jobs,</w:t>
      </w:r>
      <w:r w:rsidR="00F23E7A">
        <w:t xml:space="preserve"> as shown in Figure 2,</w:t>
      </w:r>
      <w:r>
        <w:t xml:space="preserve"> but whether these are genuinely flexible in a way that meets the needs of women caring for children, or mostly structured for the benefit of the employer, is difficult to tell.</w:t>
      </w:r>
      <w:r>
        <w:rPr>
          <w:rStyle w:val="FootnoteReference"/>
        </w:rPr>
        <w:footnoteReference w:id="31"/>
      </w:r>
      <w:r>
        <w:t xml:space="preserve">  </w:t>
      </w:r>
    </w:p>
    <w:p w14:paraId="3D575DEB" w14:textId="77777777" w:rsidR="007625DE" w:rsidRDefault="007625DE" w:rsidP="007625DE">
      <w:pPr>
        <w:pStyle w:val="BodyText"/>
      </w:pPr>
      <w:r>
        <w:t>Anecdotally, at least, the length of the school holidays in Australia also appears to be an issue. Many parents and employers acknowledge that even when part-time work is available with flexible hours and reasonable pay, many parents face substantial logistical challenges in covering up to 15 weeks of school holidays per year. There is some evidence of demand for more vacation programs for school-aged children.</w:t>
      </w:r>
      <w:r>
        <w:rPr>
          <w:rStyle w:val="FootnoteReference"/>
        </w:rPr>
        <w:footnoteReference w:id="32"/>
      </w:r>
      <w:r>
        <w:t xml:space="preserve"> However, there is no rigorous data on the impact of the length of school holidays — it has not been included in major Australian surveys about barriers to workforce participation.  </w:t>
      </w:r>
    </w:p>
    <w:p w14:paraId="5BBAE29A" w14:textId="77777777" w:rsidR="007625DE" w:rsidRDefault="007625DE" w:rsidP="007625DE">
      <w:pPr>
        <w:pStyle w:val="BodyText"/>
      </w:pPr>
      <w:r>
        <w:t xml:space="preserve">Social attitudes can be important, too, but their effects are unknown. It is likely that high marginal tax rates, welfare and childcare costs have the greatest material impact on decisions to work. It seems likely that if these were changed, resulting in more </w:t>
      </w:r>
      <w:r>
        <w:lastRenderedPageBreak/>
        <w:t>women choosing to work, social attitudes would also gradually change.</w:t>
      </w:r>
    </w:p>
    <w:p w14:paraId="2B940CCE" w14:textId="77777777" w:rsidR="00BF2DB3" w:rsidRDefault="000762C2" w:rsidP="00BF2DB3">
      <w:pPr>
        <w:pStyle w:val="Heading1"/>
      </w:pPr>
      <w:r>
        <w:t>Effective marginal tax rates</w:t>
      </w:r>
    </w:p>
    <w:p w14:paraId="69BC1306" w14:textId="77777777" w:rsidR="007625DE" w:rsidRDefault="007625DE" w:rsidP="007625DE">
      <w:pPr>
        <w:pStyle w:val="BodyText"/>
      </w:pPr>
      <w:r>
        <w:t>Many Australian second income earners have limited financial incentives to work, or to work full time, as demonstrated by analysis of net take-home income conducted for Grattan Institute by the National Centre for Social and Economic Modelling.</w:t>
      </w:r>
      <w:r>
        <w:rPr>
          <w:rStyle w:val="FootnoteReference"/>
        </w:rPr>
        <w:footnoteReference w:id="33"/>
      </w:r>
      <w:r>
        <w:t xml:space="preserve">  </w:t>
      </w:r>
    </w:p>
    <w:p w14:paraId="6F32C55D" w14:textId="77777777" w:rsidR="000762C2" w:rsidRDefault="007625DE" w:rsidP="000762C2">
      <w:pPr>
        <w:pStyle w:val="BodyText"/>
      </w:pPr>
      <w:r>
        <w:t xml:space="preserve">For example, a family of two parents earning $40,000  each per year, with one child in long day care, take home only around half of the second worker’s earnings – $320 more per week – if the second income earner (typically the mother) chooses to work full-time, as shown in </w:t>
      </w:r>
      <w:r>
        <w:fldChar w:fldCharType="begin"/>
      </w:r>
      <w:r>
        <w:instrText xml:space="preserve"> REF _Ref197676552 \h  \* MERGEFORMAT </w:instrText>
      </w:r>
      <w:r>
        <w:fldChar w:fldCharType="separate"/>
      </w:r>
      <w:r w:rsidR="00C32AB8">
        <w:t xml:space="preserve">Figure </w:t>
      </w:r>
      <w:r>
        <w:fldChar w:fldCharType="end"/>
      </w:r>
      <w:r w:rsidR="000762C2">
        <w:t xml:space="preserve"> 7</w:t>
      </w:r>
      <w:r>
        <w:t xml:space="preserve">.  </w:t>
      </w:r>
    </w:p>
    <w:p w14:paraId="09CA681D" w14:textId="078B50A5" w:rsidR="000762C2" w:rsidRDefault="000762C2" w:rsidP="000762C2">
      <w:pPr>
        <w:pStyle w:val="BodyText"/>
      </w:pPr>
      <w:r>
        <w:t>The problem is worse for families with two children. In a family where the first wage earner earns $70,000, and the second wage earner would earn $70,000 if working full time, and there are two children in long day care, then the family only takes home 20 cents in each dollar earned by the second wage earner when working more than two days per week, as shown in</w:t>
      </w:r>
      <w:r w:rsidR="002D6810">
        <w:t xml:space="preserve"> </w:t>
      </w:r>
      <w:r w:rsidR="002D6810">
        <w:fldChar w:fldCharType="begin"/>
      </w:r>
      <w:r w:rsidR="002D6810">
        <w:instrText xml:space="preserve"> REF _Ref257642562 \h </w:instrText>
      </w:r>
      <w:r w:rsidR="002D6810">
        <w:fldChar w:fldCharType="separate"/>
      </w:r>
      <w:r w:rsidR="002D6810" w:rsidRPr="00AA282C">
        <w:t xml:space="preserve">Figure </w:t>
      </w:r>
      <w:r w:rsidR="002D6810">
        <w:rPr>
          <w:noProof/>
        </w:rPr>
        <w:t>8</w:t>
      </w:r>
      <w:r w:rsidR="002D6810">
        <w:fldChar w:fldCharType="end"/>
      </w:r>
      <w:r>
        <w:t>.</w:t>
      </w:r>
    </w:p>
    <w:p w14:paraId="3508E698" w14:textId="77777777" w:rsidR="007625DE" w:rsidRDefault="007625DE" w:rsidP="007625DE">
      <w:pPr>
        <w:pStyle w:val="BodyText"/>
      </w:pPr>
    </w:p>
    <w:p w14:paraId="1568C812" w14:textId="546D3746" w:rsidR="001103E3" w:rsidRDefault="001103E3" w:rsidP="001103E3">
      <w:pPr>
        <w:pStyle w:val="Figuretitle"/>
      </w:pPr>
      <w:bookmarkStart w:id="20" w:name="_Ref257642606"/>
      <w:bookmarkStart w:id="21" w:name="_Ref197676552"/>
      <w:r w:rsidRPr="00AA282C">
        <w:lastRenderedPageBreak/>
        <w:t xml:space="preserve">Figure </w:t>
      </w:r>
      <w:r w:rsidR="00930090">
        <w:fldChar w:fldCharType="begin"/>
      </w:r>
      <w:r w:rsidR="00930090">
        <w:instrText xml:space="preserve"> SEQ Figure \* ARABIC </w:instrText>
      </w:r>
      <w:r w:rsidR="00930090">
        <w:fldChar w:fldCharType="separate"/>
      </w:r>
      <w:r>
        <w:rPr>
          <w:noProof/>
        </w:rPr>
        <w:t>7</w:t>
      </w:r>
      <w:r w:rsidR="00930090">
        <w:rPr>
          <w:noProof/>
        </w:rPr>
        <w:fldChar w:fldCharType="end"/>
      </w:r>
      <w:bookmarkEnd w:id="20"/>
      <w:r w:rsidRPr="00AA282C">
        <w:t xml:space="preserve">: </w:t>
      </w:r>
      <w:r>
        <w:t>Reductions to take home pay of second income earner earning $40k, one child aged 2</w:t>
      </w:r>
    </w:p>
    <w:p w14:paraId="6FD00732" w14:textId="77777777" w:rsidR="001103E3" w:rsidRPr="003835CB" w:rsidRDefault="001103E3" w:rsidP="001103E3">
      <w:pPr>
        <w:pStyle w:val="Chartunits"/>
      </w:pPr>
      <w:r w:rsidRPr="003835CB">
        <w:t>Percent</w:t>
      </w:r>
    </w:p>
    <w:bookmarkEnd w:id="21"/>
    <w:p w14:paraId="0FBCCF1E" w14:textId="77777777" w:rsidR="007625DE" w:rsidRDefault="007625DE" w:rsidP="007625DE">
      <w:pPr>
        <w:pStyle w:val="BodyText"/>
      </w:pPr>
      <w:r w:rsidRPr="0008398E">
        <w:rPr>
          <w:noProof/>
        </w:rPr>
        <w:drawing>
          <wp:inline distT="0" distB="0" distL="0" distR="0" wp14:anchorId="25FC85B5" wp14:editId="63A236E3">
            <wp:extent cx="4095115" cy="2838432"/>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095115" cy="2838432"/>
                    </a:xfrm>
                    <a:prstGeom prst="rect">
                      <a:avLst/>
                    </a:prstGeom>
                    <a:noFill/>
                    <a:ln w="9525">
                      <a:noFill/>
                      <a:miter lim="800000"/>
                      <a:headEnd/>
                      <a:tailEnd/>
                    </a:ln>
                  </pic:spPr>
                </pic:pic>
              </a:graphicData>
            </a:graphic>
          </wp:inline>
        </w:drawing>
      </w:r>
    </w:p>
    <w:p w14:paraId="596269F2" w14:textId="77777777" w:rsidR="007625DE" w:rsidRDefault="007625DE" w:rsidP="007625DE">
      <w:pPr>
        <w:pStyle w:val="Sources"/>
      </w:pPr>
      <w:r w:rsidRPr="000A7832">
        <w:t xml:space="preserve">Source: NATSEM modelling for Grattan Institute </w:t>
      </w:r>
      <w:r>
        <w:t>. Note: this was updated on December 5 2012 as there was an error in the modelling provided.</w:t>
      </w:r>
    </w:p>
    <w:p w14:paraId="2F873DA9" w14:textId="77777777" w:rsidR="000762C2" w:rsidRDefault="000762C2" w:rsidP="007625DE">
      <w:pPr>
        <w:pStyle w:val="Sources"/>
      </w:pPr>
    </w:p>
    <w:p w14:paraId="72554094" w14:textId="77777777" w:rsidR="000762C2" w:rsidRDefault="000762C2">
      <w:pPr>
        <w:spacing w:before="0"/>
        <w:ind w:left="0"/>
        <w:rPr>
          <w:i/>
          <w:iCs/>
          <w:sz w:val="16"/>
          <w:szCs w:val="18"/>
        </w:rPr>
      </w:pPr>
      <w:r>
        <w:br w:type="page"/>
      </w:r>
    </w:p>
    <w:p w14:paraId="792CE55C" w14:textId="711E3995" w:rsidR="001103E3" w:rsidRDefault="001103E3" w:rsidP="001103E3">
      <w:pPr>
        <w:pStyle w:val="Figuretitle"/>
      </w:pPr>
      <w:bookmarkStart w:id="22" w:name="_Ref257642562"/>
      <w:bookmarkStart w:id="23" w:name="_Ref197676586"/>
      <w:r w:rsidRPr="00AA282C">
        <w:lastRenderedPageBreak/>
        <w:t xml:space="preserve">Figure </w:t>
      </w:r>
      <w:r w:rsidR="00930090">
        <w:fldChar w:fldCharType="begin"/>
      </w:r>
      <w:r w:rsidR="00930090">
        <w:instrText xml:space="preserve"> SEQ Figure \* ARABIC </w:instrText>
      </w:r>
      <w:r w:rsidR="00930090">
        <w:fldChar w:fldCharType="separate"/>
      </w:r>
      <w:r>
        <w:rPr>
          <w:noProof/>
        </w:rPr>
        <w:t>8</w:t>
      </w:r>
      <w:r w:rsidR="00930090">
        <w:rPr>
          <w:noProof/>
        </w:rPr>
        <w:fldChar w:fldCharType="end"/>
      </w:r>
      <w:bookmarkEnd w:id="22"/>
      <w:r w:rsidRPr="00AA282C">
        <w:t xml:space="preserve">: </w:t>
      </w:r>
      <w:r>
        <w:t>Reductions to take home pay of second income earner earning $40k, two children aged 2 and 4</w:t>
      </w:r>
    </w:p>
    <w:p w14:paraId="4A67F454" w14:textId="77777777" w:rsidR="001103E3" w:rsidRPr="003835CB" w:rsidRDefault="001103E3" w:rsidP="001103E3">
      <w:pPr>
        <w:pStyle w:val="Chartunits"/>
      </w:pPr>
      <w:r w:rsidRPr="003835CB">
        <w:t>Percent</w:t>
      </w:r>
    </w:p>
    <w:bookmarkEnd w:id="23"/>
    <w:p w14:paraId="20C603A9" w14:textId="77777777" w:rsidR="007625DE" w:rsidRDefault="007625DE" w:rsidP="007625DE">
      <w:pPr>
        <w:pStyle w:val="BodyText"/>
      </w:pPr>
      <w:r w:rsidRPr="00C6751C">
        <w:rPr>
          <w:noProof/>
        </w:rPr>
        <w:drawing>
          <wp:inline distT="0" distB="0" distL="0" distR="0" wp14:anchorId="61207CE7" wp14:editId="36648CF9">
            <wp:extent cx="4095115" cy="2835080"/>
            <wp:effectExtent l="19050" t="0" r="63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095115" cy="2835080"/>
                    </a:xfrm>
                    <a:prstGeom prst="rect">
                      <a:avLst/>
                    </a:prstGeom>
                    <a:noFill/>
                    <a:ln w="9525">
                      <a:noFill/>
                      <a:miter lim="800000"/>
                      <a:headEnd/>
                      <a:tailEnd/>
                    </a:ln>
                  </pic:spPr>
                </pic:pic>
              </a:graphicData>
            </a:graphic>
          </wp:inline>
        </w:drawing>
      </w:r>
    </w:p>
    <w:p w14:paraId="6787200B" w14:textId="77777777" w:rsidR="007625DE" w:rsidRPr="00980806" w:rsidRDefault="007625DE" w:rsidP="007625DE">
      <w:pPr>
        <w:pStyle w:val="Sources"/>
      </w:pPr>
      <w:r w:rsidRPr="00980806">
        <w:t xml:space="preserve">Source: NATSEM modelling for Grattan Institute </w:t>
      </w:r>
    </w:p>
    <w:p w14:paraId="45E521EF" w14:textId="77777777" w:rsidR="007625DE" w:rsidRDefault="007625DE" w:rsidP="007625DE">
      <w:pPr>
        <w:pStyle w:val="BodyText"/>
      </w:pPr>
      <w:r>
        <w:t xml:space="preserve">Childcare costs (modelled here at $8/hour for long day care) are so significant in these charts because in addition to paying the net costs of care after the Child Care Benefit and Rebate, a mother’s increasing additional income as she works more hours reduces her access to these benefits.  </w:t>
      </w:r>
      <w:r w:rsidR="00F96D4C">
        <w:t>In many parts of Australia, childcare costs significantly more than this, which will reduce take-home pay still further.</w:t>
      </w:r>
    </w:p>
    <w:p w14:paraId="0253A2CC" w14:textId="77777777" w:rsidR="007625DE" w:rsidRDefault="007625DE" w:rsidP="007625DE">
      <w:pPr>
        <w:pStyle w:val="BodyText"/>
      </w:pPr>
      <w:r>
        <w:t>These problems apply in a wide variet</w:t>
      </w:r>
      <w:r w:rsidR="000762C2">
        <w:t>y of scenarios, as summarised in Table 1</w:t>
      </w:r>
      <w:r>
        <w:t>.</w:t>
      </w:r>
    </w:p>
    <w:p w14:paraId="5D991ED6" w14:textId="77777777" w:rsidR="00F23E7A" w:rsidRDefault="00F23E7A" w:rsidP="006E1256">
      <w:pPr>
        <w:pStyle w:val="Figuretitle"/>
      </w:pPr>
      <w:bookmarkStart w:id="24" w:name="_Ref199864482"/>
      <w:bookmarkStart w:id="25" w:name="_Ref199864447"/>
    </w:p>
    <w:p w14:paraId="5640D075" w14:textId="77777777" w:rsidR="007625DE" w:rsidRDefault="007625DE" w:rsidP="006E1256">
      <w:pPr>
        <w:pStyle w:val="Figuretitle"/>
      </w:pPr>
      <w:r>
        <w:lastRenderedPageBreak/>
        <w:t xml:space="preserve">Table </w:t>
      </w:r>
      <w:bookmarkEnd w:id="24"/>
      <w:r w:rsidR="000762C2">
        <w:t>1</w:t>
      </w:r>
      <w:r>
        <w:t xml:space="preserve"> – Second income earner income after tax, welfare and childcare</w:t>
      </w:r>
      <w:bookmarkEnd w:id="25"/>
    </w:p>
    <w:tbl>
      <w:tblPr>
        <w:tblStyle w:val="TableGrid"/>
        <w:tblW w:w="66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93"/>
        <w:gridCol w:w="1134"/>
        <w:gridCol w:w="1134"/>
        <w:gridCol w:w="1134"/>
        <w:gridCol w:w="1134"/>
      </w:tblGrid>
      <w:tr w:rsidR="007625DE" w:rsidRPr="00FC453E" w14:paraId="4E71C2B5" w14:textId="77777777" w:rsidTr="00A4191F">
        <w:tc>
          <w:tcPr>
            <w:tcW w:w="1134" w:type="dxa"/>
            <w:vMerge w:val="restart"/>
            <w:tcBorders>
              <w:top w:val="single" w:sz="4" w:space="0" w:color="auto"/>
            </w:tcBorders>
          </w:tcPr>
          <w:p w14:paraId="0F8A0BBF" w14:textId="77777777" w:rsidR="007625DE" w:rsidRPr="00FC453E" w:rsidRDefault="007625DE" w:rsidP="00A4191F">
            <w:pPr>
              <w:pStyle w:val="Tablefont"/>
              <w:rPr>
                <w:b/>
              </w:rPr>
            </w:pPr>
            <w:r>
              <w:rPr>
                <w:b/>
              </w:rPr>
              <w:t>Income per partner</w:t>
            </w:r>
          </w:p>
        </w:tc>
        <w:tc>
          <w:tcPr>
            <w:tcW w:w="993" w:type="dxa"/>
            <w:vMerge w:val="restart"/>
            <w:tcBorders>
              <w:top w:val="single" w:sz="4" w:space="0" w:color="auto"/>
            </w:tcBorders>
          </w:tcPr>
          <w:p w14:paraId="3DF15FCD" w14:textId="77777777" w:rsidR="007625DE" w:rsidRPr="00FC453E" w:rsidRDefault="007625DE" w:rsidP="00A4191F">
            <w:pPr>
              <w:pStyle w:val="Tablefont"/>
              <w:jc w:val="center"/>
              <w:rPr>
                <w:b/>
              </w:rPr>
            </w:pPr>
            <w:r w:rsidRPr="00FC453E">
              <w:rPr>
                <w:b/>
              </w:rPr>
              <w:t>No. of children</w:t>
            </w:r>
          </w:p>
        </w:tc>
        <w:tc>
          <w:tcPr>
            <w:tcW w:w="2268" w:type="dxa"/>
            <w:gridSpan w:val="2"/>
            <w:tcBorders>
              <w:top w:val="single" w:sz="4" w:space="0" w:color="auto"/>
              <w:bottom w:val="single" w:sz="4" w:space="0" w:color="auto"/>
            </w:tcBorders>
          </w:tcPr>
          <w:p w14:paraId="6FF504E6" w14:textId="77777777" w:rsidR="007625DE" w:rsidRPr="00FC453E" w:rsidRDefault="007625DE" w:rsidP="00A4191F">
            <w:pPr>
              <w:pStyle w:val="Tablefont"/>
              <w:rPr>
                <w:b/>
              </w:rPr>
            </w:pPr>
            <w:r w:rsidRPr="00FC453E">
              <w:rPr>
                <w:b/>
              </w:rPr>
              <w:t>From the first 3 days worked</w:t>
            </w:r>
          </w:p>
        </w:tc>
        <w:tc>
          <w:tcPr>
            <w:tcW w:w="2268" w:type="dxa"/>
            <w:gridSpan w:val="2"/>
            <w:tcBorders>
              <w:top w:val="single" w:sz="4" w:space="0" w:color="auto"/>
              <w:bottom w:val="single" w:sz="4" w:space="0" w:color="auto"/>
            </w:tcBorders>
          </w:tcPr>
          <w:p w14:paraId="25C9EC0F" w14:textId="77777777" w:rsidR="007625DE" w:rsidRPr="00FC453E" w:rsidRDefault="007625DE" w:rsidP="00A4191F">
            <w:pPr>
              <w:pStyle w:val="Tablefont"/>
              <w:rPr>
                <w:b/>
              </w:rPr>
            </w:pPr>
            <w:r w:rsidRPr="00FC453E">
              <w:rPr>
                <w:b/>
              </w:rPr>
              <w:t>From the 4</w:t>
            </w:r>
            <w:r w:rsidRPr="00FC453E">
              <w:rPr>
                <w:b/>
                <w:vertAlign w:val="superscript"/>
              </w:rPr>
              <w:t>th</w:t>
            </w:r>
            <w:r w:rsidRPr="00FC453E">
              <w:rPr>
                <w:b/>
              </w:rPr>
              <w:t xml:space="preserve"> and 5</w:t>
            </w:r>
            <w:r w:rsidRPr="00FC453E">
              <w:rPr>
                <w:b/>
                <w:vertAlign w:val="superscript"/>
              </w:rPr>
              <w:t>th</w:t>
            </w:r>
            <w:r w:rsidRPr="00FC453E">
              <w:rPr>
                <w:b/>
              </w:rPr>
              <w:t xml:space="preserve"> days worked</w:t>
            </w:r>
          </w:p>
        </w:tc>
      </w:tr>
      <w:tr w:rsidR="007625DE" w:rsidRPr="00FC453E" w14:paraId="3889D4EB" w14:textId="77777777" w:rsidTr="00A4191F">
        <w:tc>
          <w:tcPr>
            <w:tcW w:w="1134" w:type="dxa"/>
            <w:vMerge/>
            <w:tcBorders>
              <w:bottom w:val="single" w:sz="4" w:space="0" w:color="auto"/>
            </w:tcBorders>
          </w:tcPr>
          <w:p w14:paraId="7D4769A0" w14:textId="77777777" w:rsidR="007625DE" w:rsidRPr="00FC453E" w:rsidRDefault="007625DE" w:rsidP="00A4191F">
            <w:pPr>
              <w:pStyle w:val="Tablefont"/>
            </w:pPr>
          </w:p>
        </w:tc>
        <w:tc>
          <w:tcPr>
            <w:tcW w:w="993" w:type="dxa"/>
            <w:vMerge/>
            <w:tcBorders>
              <w:bottom w:val="single" w:sz="4" w:space="0" w:color="auto"/>
            </w:tcBorders>
          </w:tcPr>
          <w:p w14:paraId="37AC1117" w14:textId="77777777" w:rsidR="007625DE" w:rsidRPr="00FC453E" w:rsidRDefault="007625DE" w:rsidP="00A4191F">
            <w:pPr>
              <w:pStyle w:val="Tablefont"/>
              <w:jc w:val="center"/>
            </w:pPr>
          </w:p>
        </w:tc>
        <w:tc>
          <w:tcPr>
            <w:tcW w:w="1134" w:type="dxa"/>
            <w:tcBorders>
              <w:top w:val="single" w:sz="4" w:space="0" w:color="auto"/>
              <w:bottom w:val="single" w:sz="4" w:space="0" w:color="auto"/>
            </w:tcBorders>
          </w:tcPr>
          <w:p w14:paraId="5F1883D5" w14:textId="77777777" w:rsidR="007625DE" w:rsidRPr="00FC453E" w:rsidRDefault="007625DE" w:rsidP="00A4191F">
            <w:pPr>
              <w:pStyle w:val="Tablefont"/>
              <w:jc w:val="center"/>
            </w:pPr>
            <w:r>
              <w:t>Take home income/</w:t>
            </w:r>
            <w:proofErr w:type="spellStart"/>
            <w:r>
              <w:t>wk</w:t>
            </w:r>
            <w:proofErr w:type="spellEnd"/>
          </w:p>
        </w:tc>
        <w:tc>
          <w:tcPr>
            <w:tcW w:w="1134" w:type="dxa"/>
            <w:tcBorders>
              <w:top w:val="single" w:sz="4" w:space="0" w:color="auto"/>
              <w:bottom w:val="single" w:sz="4" w:space="0" w:color="auto"/>
            </w:tcBorders>
          </w:tcPr>
          <w:p w14:paraId="4A867279" w14:textId="77777777" w:rsidR="007625DE" w:rsidRPr="00FC453E" w:rsidRDefault="007625DE" w:rsidP="00A4191F">
            <w:pPr>
              <w:pStyle w:val="Tablefont"/>
              <w:jc w:val="center"/>
            </w:pPr>
            <w:r>
              <w:t>Take home income as % of earnings</w:t>
            </w:r>
          </w:p>
        </w:tc>
        <w:tc>
          <w:tcPr>
            <w:tcW w:w="1134" w:type="dxa"/>
            <w:tcBorders>
              <w:top w:val="single" w:sz="4" w:space="0" w:color="auto"/>
              <w:bottom w:val="single" w:sz="4" w:space="0" w:color="auto"/>
            </w:tcBorders>
          </w:tcPr>
          <w:p w14:paraId="22E25B9C" w14:textId="77777777" w:rsidR="007625DE" w:rsidRPr="00FC453E" w:rsidRDefault="007625DE" w:rsidP="00A4191F">
            <w:pPr>
              <w:pStyle w:val="Tablefont"/>
              <w:jc w:val="center"/>
            </w:pPr>
            <w:r>
              <w:t>Take home income/</w:t>
            </w:r>
            <w:proofErr w:type="spellStart"/>
            <w:r>
              <w:t>wk</w:t>
            </w:r>
            <w:proofErr w:type="spellEnd"/>
          </w:p>
        </w:tc>
        <w:tc>
          <w:tcPr>
            <w:tcW w:w="1134" w:type="dxa"/>
            <w:tcBorders>
              <w:top w:val="single" w:sz="4" w:space="0" w:color="auto"/>
              <w:bottom w:val="single" w:sz="4" w:space="0" w:color="auto"/>
            </w:tcBorders>
          </w:tcPr>
          <w:p w14:paraId="60E1265E" w14:textId="77777777" w:rsidR="007625DE" w:rsidRPr="00FC453E" w:rsidRDefault="007625DE" w:rsidP="00A4191F">
            <w:pPr>
              <w:pStyle w:val="Tablefont"/>
              <w:jc w:val="center"/>
            </w:pPr>
            <w:r>
              <w:t>Take home income as % of earnings</w:t>
            </w:r>
          </w:p>
        </w:tc>
      </w:tr>
      <w:tr w:rsidR="007625DE" w14:paraId="2FF992ED" w14:textId="77777777" w:rsidTr="00A4191F">
        <w:trPr>
          <w:cantSplit/>
        </w:trPr>
        <w:tc>
          <w:tcPr>
            <w:tcW w:w="1134" w:type="dxa"/>
            <w:tcBorders>
              <w:top w:val="single" w:sz="4" w:space="0" w:color="auto"/>
            </w:tcBorders>
          </w:tcPr>
          <w:p w14:paraId="1AB9FD03" w14:textId="77777777" w:rsidR="007625DE" w:rsidRDefault="007625DE" w:rsidP="00A4191F">
            <w:pPr>
              <w:pStyle w:val="Tablefont"/>
              <w:jc w:val="center"/>
            </w:pPr>
            <w:r>
              <w:t>$40,000</w:t>
            </w:r>
          </w:p>
        </w:tc>
        <w:tc>
          <w:tcPr>
            <w:tcW w:w="993" w:type="dxa"/>
            <w:tcBorders>
              <w:top w:val="single" w:sz="4" w:space="0" w:color="auto"/>
            </w:tcBorders>
          </w:tcPr>
          <w:p w14:paraId="6C2C140F" w14:textId="77777777" w:rsidR="007625DE" w:rsidRDefault="007625DE" w:rsidP="00A4191F">
            <w:pPr>
              <w:pStyle w:val="Tablefont"/>
              <w:jc w:val="center"/>
            </w:pPr>
            <w:r>
              <w:t>1</w:t>
            </w:r>
          </w:p>
        </w:tc>
        <w:tc>
          <w:tcPr>
            <w:tcW w:w="1134" w:type="dxa"/>
            <w:tcBorders>
              <w:top w:val="single" w:sz="4" w:space="0" w:color="auto"/>
            </w:tcBorders>
          </w:tcPr>
          <w:p w14:paraId="720A7796" w14:textId="77777777" w:rsidR="007625DE" w:rsidRDefault="007625DE" w:rsidP="00A4191F">
            <w:pPr>
              <w:pStyle w:val="Tablefont"/>
              <w:jc w:val="center"/>
            </w:pPr>
            <w:r>
              <w:t>$218</w:t>
            </w:r>
          </w:p>
        </w:tc>
        <w:tc>
          <w:tcPr>
            <w:tcW w:w="1134" w:type="dxa"/>
            <w:tcBorders>
              <w:top w:val="single" w:sz="4" w:space="0" w:color="auto"/>
            </w:tcBorders>
          </w:tcPr>
          <w:p w14:paraId="169AA450" w14:textId="77777777" w:rsidR="007625DE" w:rsidRDefault="007625DE" w:rsidP="00A4191F">
            <w:pPr>
              <w:pStyle w:val="Tablefont"/>
              <w:jc w:val="center"/>
            </w:pPr>
            <w:r>
              <w:t>53%</w:t>
            </w:r>
          </w:p>
        </w:tc>
        <w:tc>
          <w:tcPr>
            <w:tcW w:w="1134" w:type="dxa"/>
            <w:tcBorders>
              <w:top w:val="single" w:sz="4" w:space="0" w:color="auto"/>
            </w:tcBorders>
          </w:tcPr>
          <w:p w14:paraId="459E5D6A" w14:textId="77777777" w:rsidR="007625DE" w:rsidRDefault="007625DE" w:rsidP="00A4191F">
            <w:pPr>
              <w:pStyle w:val="Tablefont"/>
              <w:jc w:val="center"/>
            </w:pPr>
            <w:r>
              <w:t>$99</w:t>
            </w:r>
          </w:p>
        </w:tc>
        <w:tc>
          <w:tcPr>
            <w:tcW w:w="1134" w:type="dxa"/>
            <w:tcBorders>
              <w:top w:val="single" w:sz="4" w:space="0" w:color="auto"/>
            </w:tcBorders>
          </w:tcPr>
          <w:p w14:paraId="677288DE" w14:textId="77777777" w:rsidR="007625DE" w:rsidRDefault="007625DE" w:rsidP="00A4191F">
            <w:pPr>
              <w:pStyle w:val="Tablefont"/>
              <w:jc w:val="center"/>
            </w:pPr>
            <w:r>
              <w:t>56%</w:t>
            </w:r>
          </w:p>
        </w:tc>
      </w:tr>
      <w:tr w:rsidR="007625DE" w14:paraId="7803E653" w14:textId="77777777" w:rsidTr="00A4191F">
        <w:trPr>
          <w:cantSplit/>
        </w:trPr>
        <w:tc>
          <w:tcPr>
            <w:tcW w:w="1134" w:type="dxa"/>
          </w:tcPr>
          <w:p w14:paraId="1486659E" w14:textId="77777777" w:rsidR="007625DE" w:rsidRDefault="007625DE" w:rsidP="00A4191F">
            <w:pPr>
              <w:pStyle w:val="Tablefont"/>
              <w:jc w:val="center"/>
            </w:pPr>
            <w:r>
              <w:t>$40,000</w:t>
            </w:r>
          </w:p>
        </w:tc>
        <w:tc>
          <w:tcPr>
            <w:tcW w:w="993" w:type="dxa"/>
          </w:tcPr>
          <w:p w14:paraId="02F517DF" w14:textId="77777777" w:rsidR="007625DE" w:rsidRDefault="007625DE" w:rsidP="00A4191F">
            <w:pPr>
              <w:pStyle w:val="Tablefont"/>
              <w:jc w:val="center"/>
            </w:pPr>
            <w:r>
              <w:t>2</w:t>
            </w:r>
          </w:p>
        </w:tc>
        <w:tc>
          <w:tcPr>
            <w:tcW w:w="1134" w:type="dxa"/>
          </w:tcPr>
          <w:p w14:paraId="0FA185B4" w14:textId="77777777" w:rsidR="007625DE" w:rsidRDefault="007625DE" w:rsidP="00A4191F">
            <w:pPr>
              <w:pStyle w:val="Tablefont"/>
              <w:jc w:val="center"/>
            </w:pPr>
            <w:r>
              <w:t>$156</w:t>
            </w:r>
          </w:p>
        </w:tc>
        <w:tc>
          <w:tcPr>
            <w:tcW w:w="1134" w:type="dxa"/>
          </w:tcPr>
          <w:p w14:paraId="42930D01" w14:textId="77777777" w:rsidR="007625DE" w:rsidRDefault="007625DE" w:rsidP="00A4191F">
            <w:pPr>
              <w:pStyle w:val="Tablefont"/>
              <w:jc w:val="center"/>
            </w:pPr>
            <w:r>
              <w:t>35%</w:t>
            </w:r>
          </w:p>
        </w:tc>
        <w:tc>
          <w:tcPr>
            <w:tcW w:w="1134" w:type="dxa"/>
          </w:tcPr>
          <w:p w14:paraId="1E66BC34" w14:textId="77777777" w:rsidR="007625DE" w:rsidRDefault="007625DE" w:rsidP="00A4191F">
            <w:pPr>
              <w:pStyle w:val="Tablefont"/>
              <w:jc w:val="center"/>
            </w:pPr>
            <w:r>
              <w:t>$49</w:t>
            </w:r>
          </w:p>
        </w:tc>
        <w:tc>
          <w:tcPr>
            <w:tcW w:w="1134" w:type="dxa"/>
          </w:tcPr>
          <w:p w14:paraId="664ECC63" w14:textId="77777777" w:rsidR="007625DE" w:rsidRDefault="007625DE" w:rsidP="00A4191F">
            <w:pPr>
              <w:pStyle w:val="Tablefont"/>
              <w:jc w:val="center"/>
            </w:pPr>
            <w:r>
              <w:t>17%</w:t>
            </w:r>
          </w:p>
        </w:tc>
      </w:tr>
      <w:tr w:rsidR="007625DE" w14:paraId="156FF63C" w14:textId="77777777" w:rsidTr="00A4191F">
        <w:trPr>
          <w:cantSplit/>
        </w:trPr>
        <w:tc>
          <w:tcPr>
            <w:tcW w:w="1134" w:type="dxa"/>
          </w:tcPr>
          <w:p w14:paraId="48A801BA" w14:textId="77777777" w:rsidR="007625DE" w:rsidRDefault="007625DE" w:rsidP="00A4191F">
            <w:pPr>
              <w:pStyle w:val="Tablefont"/>
              <w:jc w:val="center"/>
            </w:pPr>
            <w:r>
              <w:t>$70,000</w:t>
            </w:r>
          </w:p>
        </w:tc>
        <w:tc>
          <w:tcPr>
            <w:tcW w:w="993" w:type="dxa"/>
          </w:tcPr>
          <w:p w14:paraId="705714E8" w14:textId="77777777" w:rsidR="007625DE" w:rsidRDefault="007625DE" w:rsidP="00A4191F">
            <w:pPr>
              <w:pStyle w:val="Tablefont"/>
              <w:jc w:val="center"/>
            </w:pPr>
            <w:r>
              <w:t>1</w:t>
            </w:r>
          </w:p>
        </w:tc>
        <w:tc>
          <w:tcPr>
            <w:tcW w:w="1134" w:type="dxa"/>
          </w:tcPr>
          <w:p w14:paraId="57CA0E67" w14:textId="77777777" w:rsidR="007625DE" w:rsidRDefault="007625DE" w:rsidP="00A4191F">
            <w:pPr>
              <w:pStyle w:val="Tablefont"/>
              <w:jc w:val="center"/>
            </w:pPr>
            <w:r>
              <w:t>$458</w:t>
            </w:r>
          </w:p>
        </w:tc>
        <w:tc>
          <w:tcPr>
            <w:tcW w:w="1134" w:type="dxa"/>
          </w:tcPr>
          <w:p w14:paraId="7D9764A6" w14:textId="77777777" w:rsidR="007625DE" w:rsidRDefault="007625DE" w:rsidP="00A4191F">
            <w:pPr>
              <w:pStyle w:val="Tablefont"/>
              <w:jc w:val="center"/>
            </w:pPr>
            <w:r>
              <w:t>54%</w:t>
            </w:r>
          </w:p>
        </w:tc>
        <w:tc>
          <w:tcPr>
            <w:tcW w:w="1134" w:type="dxa"/>
          </w:tcPr>
          <w:p w14:paraId="33FD2F57" w14:textId="77777777" w:rsidR="007625DE" w:rsidRDefault="007625DE" w:rsidP="00A4191F">
            <w:pPr>
              <w:pStyle w:val="Tablefont"/>
              <w:jc w:val="center"/>
            </w:pPr>
            <w:r>
              <w:t>$193</w:t>
            </w:r>
          </w:p>
        </w:tc>
        <w:tc>
          <w:tcPr>
            <w:tcW w:w="1134" w:type="dxa"/>
          </w:tcPr>
          <w:p w14:paraId="130DD9FA" w14:textId="77777777" w:rsidR="007625DE" w:rsidRDefault="007625DE" w:rsidP="00A4191F">
            <w:pPr>
              <w:pStyle w:val="Tablefont"/>
              <w:jc w:val="center"/>
            </w:pPr>
            <w:r>
              <w:t>39%</w:t>
            </w:r>
          </w:p>
        </w:tc>
      </w:tr>
      <w:tr w:rsidR="007625DE" w14:paraId="78040531" w14:textId="77777777" w:rsidTr="00A4191F">
        <w:trPr>
          <w:cantSplit/>
        </w:trPr>
        <w:tc>
          <w:tcPr>
            <w:tcW w:w="1134" w:type="dxa"/>
          </w:tcPr>
          <w:p w14:paraId="034607EF" w14:textId="77777777" w:rsidR="007625DE" w:rsidRDefault="007625DE" w:rsidP="00A4191F">
            <w:pPr>
              <w:pStyle w:val="Tablefont"/>
              <w:jc w:val="center"/>
            </w:pPr>
            <w:r>
              <w:t>$70,000</w:t>
            </w:r>
          </w:p>
        </w:tc>
        <w:tc>
          <w:tcPr>
            <w:tcW w:w="993" w:type="dxa"/>
          </w:tcPr>
          <w:p w14:paraId="30AB0EC7" w14:textId="77777777" w:rsidR="007625DE" w:rsidRDefault="007625DE" w:rsidP="00A4191F">
            <w:pPr>
              <w:pStyle w:val="Tablefont"/>
              <w:jc w:val="center"/>
            </w:pPr>
            <w:r>
              <w:t>2</w:t>
            </w:r>
          </w:p>
        </w:tc>
        <w:tc>
          <w:tcPr>
            <w:tcW w:w="1134" w:type="dxa"/>
          </w:tcPr>
          <w:p w14:paraId="2D62AF8E" w14:textId="77777777" w:rsidR="007625DE" w:rsidRDefault="007625DE" w:rsidP="00A4191F">
            <w:pPr>
              <w:pStyle w:val="Tablefont"/>
              <w:jc w:val="center"/>
            </w:pPr>
            <w:r>
              <w:t>$284</w:t>
            </w:r>
          </w:p>
        </w:tc>
        <w:tc>
          <w:tcPr>
            <w:tcW w:w="1134" w:type="dxa"/>
          </w:tcPr>
          <w:p w14:paraId="3DF59B1A" w14:textId="77777777" w:rsidR="007625DE" w:rsidRDefault="007625DE" w:rsidP="00A4191F">
            <w:pPr>
              <w:pStyle w:val="Tablefont"/>
              <w:jc w:val="center"/>
            </w:pPr>
            <w:r>
              <w:t>37%</w:t>
            </w:r>
          </w:p>
        </w:tc>
        <w:tc>
          <w:tcPr>
            <w:tcW w:w="1134" w:type="dxa"/>
          </w:tcPr>
          <w:p w14:paraId="124BF6FC" w14:textId="77777777" w:rsidR="007625DE" w:rsidRDefault="007625DE" w:rsidP="00A4191F">
            <w:pPr>
              <w:pStyle w:val="Tablefont"/>
              <w:jc w:val="center"/>
            </w:pPr>
            <w:r>
              <w:t>$57</w:t>
            </w:r>
          </w:p>
        </w:tc>
        <w:tc>
          <w:tcPr>
            <w:tcW w:w="1134" w:type="dxa"/>
          </w:tcPr>
          <w:p w14:paraId="074EE06A" w14:textId="77777777" w:rsidR="007625DE" w:rsidRDefault="007625DE" w:rsidP="00A4191F">
            <w:pPr>
              <w:pStyle w:val="Tablefont"/>
              <w:jc w:val="center"/>
            </w:pPr>
            <w:r>
              <w:t>10%</w:t>
            </w:r>
          </w:p>
        </w:tc>
      </w:tr>
      <w:tr w:rsidR="007625DE" w14:paraId="0146EB6B" w14:textId="77777777" w:rsidTr="00A4191F">
        <w:trPr>
          <w:cantSplit/>
        </w:trPr>
        <w:tc>
          <w:tcPr>
            <w:tcW w:w="1134" w:type="dxa"/>
          </w:tcPr>
          <w:p w14:paraId="4D481BF7" w14:textId="77777777" w:rsidR="007625DE" w:rsidRDefault="007625DE" w:rsidP="00A4191F">
            <w:pPr>
              <w:pStyle w:val="Tablefont"/>
              <w:jc w:val="center"/>
            </w:pPr>
            <w:r>
              <w:t>$100,000</w:t>
            </w:r>
          </w:p>
        </w:tc>
        <w:tc>
          <w:tcPr>
            <w:tcW w:w="993" w:type="dxa"/>
          </w:tcPr>
          <w:p w14:paraId="6265B39C" w14:textId="77777777" w:rsidR="007625DE" w:rsidRDefault="007625DE" w:rsidP="00A4191F">
            <w:pPr>
              <w:pStyle w:val="Tablefont"/>
              <w:jc w:val="center"/>
            </w:pPr>
            <w:r>
              <w:t>1</w:t>
            </w:r>
          </w:p>
        </w:tc>
        <w:tc>
          <w:tcPr>
            <w:tcW w:w="1134" w:type="dxa"/>
          </w:tcPr>
          <w:p w14:paraId="72A8628D" w14:textId="77777777" w:rsidR="007625DE" w:rsidRDefault="007625DE" w:rsidP="00A4191F">
            <w:pPr>
              <w:pStyle w:val="Tablefont"/>
              <w:jc w:val="center"/>
            </w:pPr>
            <w:r>
              <w:t>$735</w:t>
            </w:r>
          </w:p>
        </w:tc>
        <w:tc>
          <w:tcPr>
            <w:tcW w:w="1134" w:type="dxa"/>
          </w:tcPr>
          <w:p w14:paraId="40D9B73B" w14:textId="77777777" w:rsidR="007625DE" w:rsidRDefault="007625DE" w:rsidP="00A4191F">
            <w:pPr>
              <w:pStyle w:val="Tablefont"/>
              <w:jc w:val="center"/>
            </w:pPr>
            <w:r>
              <w:t>61%</w:t>
            </w:r>
          </w:p>
        </w:tc>
        <w:tc>
          <w:tcPr>
            <w:tcW w:w="1134" w:type="dxa"/>
          </w:tcPr>
          <w:p w14:paraId="7B571D95" w14:textId="77777777" w:rsidR="007625DE" w:rsidRDefault="007625DE" w:rsidP="00A4191F">
            <w:pPr>
              <w:pStyle w:val="Tablefont"/>
              <w:jc w:val="center"/>
            </w:pPr>
            <w:r>
              <w:t>$338</w:t>
            </w:r>
          </w:p>
        </w:tc>
        <w:tc>
          <w:tcPr>
            <w:tcW w:w="1134" w:type="dxa"/>
          </w:tcPr>
          <w:p w14:paraId="5816E473" w14:textId="77777777" w:rsidR="007625DE" w:rsidRDefault="007625DE" w:rsidP="00A4191F">
            <w:pPr>
              <w:pStyle w:val="Tablefont"/>
              <w:jc w:val="center"/>
            </w:pPr>
            <w:r>
              <w:t>48%</w:t>
            </w:r>
          </w:p>
        </w:tc>
      </w:tr>
      <w:tr w:rsidR="007625DE" w14:paraId="351C4A90" w14:textId="77777777" w:rsidTr="00A4191F">
        <w:trPr>
          <w:cantSplit/>
        </w:trPr>
        <w:tc>
          <w:tcPr>
            <w:tcW w:w="1134" w:type="dxa"/>
          </w:tcPr>
          <w:p w14:paraId="18C220F8" w14:textId="77777777" w:rsidR="007625DE" w:rsidRDefault="007625DE" w:rsidP="00A4191F">
            <w:pPr>
              <w:pStyle w:val="Tablefont"/>
              <w:jc w:val="center"/>
            </w:pPr>
            <w:r>
              <w:t>$100,000</w:t>
            </w:r>
          </w:p>
        </w:tc>
        <w:tc>
          <w:tcPr>
            <w:tcW w:w="993" w:type="dxa"/>
          </w:tcPr>
          <w:p w14:paraId="6A778D4E" w14:textId="77777777" w:rsidR="007625DE" w:rsidRDefault="007625DE" w:rsidP="00A4191F">
            <w:pPr>
              <w:pStyle w:val="Tablefont"/>
              <w:jc w:val="center"/>
            </w:pPr>
            <w:r>
              <w:t>2</w:t>
            </w:r>
          </w:p>
        </w:tc>
        <w:tc>
          <w:tcPr>
            <w:tcW w:w="1134" w:type="dxa"/>
          </w:tcPr>
          <w:p w14:paraId="0774CC0F" w14:textId="77777777" w:rsidR="007625DE" w:rsidRDefault="007625DE" w:rsidP="00A4191F">
            <w:pPr>
              <w:pStyle w:val="Tablefont"/>
              <w:jc w:val="center"/>
            </w:pPr>
            <w:r>
              <w:t>$565</w:t>
            </w:r>
          </w:p>
        </w:tc>
        <w:tc>
          <w:tcPr>
            <w:tcW w:w="1134" w:type="dxa"/>
          </w:tcPr>
          <w:p w14:paraId="26C507A9" w14:textId="77777777" w:rsidR="007625DE" w:rsidRDefault="007625DE" w:rsidP="00A4191F">
            <w:pPr>
              <w:pStyle w:val="Tablefont"/>
              <w:jc w:val="center"/>
            </w:pPr>
            <w:r>
              <w:t>47%</w:t>
            </w:r>
          </w:p>
        </w:tc>
        <w:tc>
          <w:tcPr>
            <w:tcW w:w="1134" w:type="dxa"/>
          </w:tcPr>
          <w:p w14:paraId="6FC39850" w14:textId="77777777" w:rsidR="007625DE" w:rsidRDefault="007625DE" w:rsidP="00A4191F">
            <w:pPr>
              <w:pStyle w:val="Tablefont"/>
              <w:jc w:val="center"/>
            </w:pPr>
            <w:r>
              <w:t>$224</w:t>
            </w:r>
          </w:p>
        </w:tc>
        <w:tc>
          <w:tcPr>
            <w:tcW w:w="1134" w:type="dxa"/>
          </w:tcPr>
          <w:p w14:paraId="3DB71E90" w14:textId="77777777" w:rsidR="007625DE" w:rsidRDefault="007625DE" w:rsidP="00A4191F">
            <w:pPr>
              <w:pStyle w:val="Tablefont"/>
              <w:jc w:val="center"/>
            </w:pPr>
            <w:r>
              <w:t>32%</w:t>
            </w:r>
          </w:p>
        </w:tc>
      </w:tr>
      <w:tr w:rsidR="007625DE" w14:paraId="3DE4A773" w14:textId="77777777" w:rsidTr="00A4191F">
        <w:trPr>
          <w:cantSplit/>
        </w:trPr>
        <w:tc>
          <w:tcPr>
            <w:tcW w:w="1134" w:type="dxa"/>
          </w:tcPr>
          <w:p w14:paraId="19653E65" w14:textId="77777777" w:rsidR="007625DE" w:rsidRDefault="007625DE" w:rsidP="00A4191F">
            <w:pPr>
              <w:pStyle w:val="Tablefont"/>
              <w:jc w:val="center"/>
            </w:pPr>
            <w:r>
              <w:t>$150,000</w:t>
            </w:r>
          </w:p>
        </w:tc>
        <w:tc>
          <w:tcPr>
            <w:tcW w:w="993" w:type="dxa"/>
          </w:tcPr>
          <w:p w14:paraId="5C17787D" w14:textId="77777777" w:rsidR="007625DE" w:rsidRDefault="007625DE" w:rsidP="00A4191F">
            <w:pPr>
              <w:pStyle w:val="Tablefont"/>
              <w:jc w:val="center"/>
            </w:pPr>
            <w:r>
              <w:t>1</w:t>
            </w:r>
          </w:p>
        </w:tc>
        <w:tc>
          <w:tcPr>
            <w:tcW w:w="1134" w:type="dxa"/>
          </w:tcPr>
          <w:p w14:paraId="0B763E69" w14:textId="77777777" w:rsidR="007625DE" w:rsidRDefault="007625DE" w:rsidP="00A4191F">
            <w:pPr>
              <w:pStyle w:val="Tablefont"/>
              <w:jc w:val="center"/>
            </w:pPr>
            <w:r>
              <w:t>$1,077</w:t>
            </w:r>
          </w:p>
        </w:tc>
        <w:tc>
          <w:tcPr>
            <w:tcW w:w="1134" w:type="dxa"/>
          </w:tcPr>
          <w:p w14:paraId="5245044E" w14:textId="77777777" w:rsidR="007625DE" w:rsidRDefault="007625DE" w:rsidP="00A4191F">
            <w:pPr>
              <w:pStyle w:val="Tablefont"/>
              <w:jc w:val="center"/>
            </w:pPr>
            <w:r>
              <w:t>55%</w:t>
            </w:r>
          </w:p>
        </w:tc>
        <w:tc>
          <w:tcPr>
            <w:tcW w:w="1134" w:type="dxa"/>
          </w:tcPr>
          <w:p w14:paraId="3CC30D16" w14:textId="77777777" w:rsidR="007625DE" w:rsidRDefault="007625DE" w:rsidP="00A4191F">
            <w:pPr>
              <w:pStyle w:val="Tablefont"/>
              <w:jc w:val="center"/>
            </w:pPr>
            <w:r>
              <w:t>$624</w:t>
            </w:r>
          </w:p>
        </w:tc>
        <w:tc>
          <w:tcPr>
            <w:tcW w:w="1134" w:type="dxa"/>
          </w:tcPr>
          <w:p w14:paraId="21D9DC49" w14:textId="77777777" w:rsidR="007625DE" w:rsidRDefault="007625DE" w:rsidP="00A4191F">
            <w:pPr>
              <w:pStyle w:val="Tablefont"/>
              <w:jc w:val="center"/>
            </w:pPr>
            <w:r>
              <w:t>52%</w:t>
            </w:r>
          </w:p>
        </w:tc>
      </w:tr>
      <w:tr w:rsidR="007625DE" w14:paraId="16166B76" w14:textId="77777777" w:rsidTr="00A4191F">
        <w:trPr>
          <w:cantSplit/>
        </w:trPr>
        <w:tc>
          <w:tcPr>
            <w:tcW w:w="1134" w:type="dxa"/>
            <w:tcBorders>
              <w:bottom w:val="single" w:sz="4" w:space="0" w:color="auto"/>
            </w:tcBorders>
          </w:tcPr>
          <w:p w14:paraId="07F8B2D5" w14:textId="77777777" w:rsidR="007625DE" w:rsidRDefault="007625DE" w:rsidP="00A4191F">
            <w:pPr>
              <w:pStyle w:val="Tablefont"/>
              <w:jc w:val="center"/>
            </w:pPr>
            <w:r>
              <w:t>$150,000</w:t>
            </w:r>
          </w:p>
        </w:tc>
        <w:tc>
          <w:tcPr>
            <w:tcW w:w="993" w:type="dxa"/>
            <w:tcBorders>
              <w:bottom w:val="single" w:sz="4" w:space="0" w:color="auto"/>
            </w:tcBorders>
          </w:tcPr>
          <w:p w14:paraId="6AF156DD" w14:textId="77777777" w:rsidR="007625DE" w:rsidRDefault="007625DE" w:rsidP="00A4191F">
            <w:pPr>
              <w:pStyle w:val="Tablefont"/>
              <w:jc w:val="center"/>
            </w:pPr>
            <w:r>
              <w:t xml:space="preserve"> 2</w:t>
            </w:r>
          </w:p>
        </w:tc>
        <w:tc>
          <w:tcPr>
            <w:tcW w:w="1134" w:type="dxa"/>
            <w:tcBorders>
              <w:bottom w:val="single" w:sz="4" w:space="0" w:color="auto"/>
            </w:tcBorders>
          </w:tcPr>
          <w:p w14:paraId="479E530C" w14:textId="77777777" w:rsidR="007625DE" w:rsidRDefault="007625DE" w:rsidP="00A4191F">
            <w:pPr>
              <w:pStyle w:val="Tablefont"/>
              <w:jc w:val="center"/>
            </w:pPr>
            <w:r>
              <w:t>$1,040</w:t>
            </w:r>
          </w:p>
        </w:tc>
        <w:tc>
          <w:tcPr>
            <w:tcW w:w="1134" w:type="dxa"/>
            <w:tcBorders>
              <w:bottom w:val="single" w:sz="4" w:space="0" w:color="auto"/>
            </w:tcBorders>
          </w:tcPr>
          <w:p w14:paraId="1FE4C974" w14:textId="77777777" w:rsidR="007625DE" w:rsidRDefault="007625DE" w:rsidP="00A4191F">
            <w:pPr>
              <w:pStyle w:val="Tablefont"/>
              <w:jc w:val="center"/>
            </w:pPr>
            <w:r>
              <w:t>48%</w:t>
            </w:r>
          </w:p>
        </w:tc>
        <w:tc>
          <w:tcPr>
            <w:tcW w:w="1134" w:type="dxa"/>
            <w:tcBorders>
              <w:bottom w:val="single" w:sz="4" w:space="0" w:color="auto"/>
            </w:tcBorders>
          </w:tcPr>
          <w:p w14:paraId="271135AB" w14:textId="77777777" w:rsidR="007625DE" w:rsidRDefault="007625DE" w:rsidP="00A4191F">
            <w:pPr>
              <w:pStyle w:val="Tablefont"/>
              <w:jc w:val="center"/>
            </w:pPr>
            <w:r>
              <w:t>$428</w:t>
            </w:r>
          </w:p>
        </w:tc>
        <w:tc>
          <w:tcPr>
            <w:tcW w:w="1134" w:type="dxa"/>
            <w:tcBorders>
              <w:bottom w:val="single" w:sz="4" w:space="0" w:color="auto"/>
            </w:tcBorders>
          </w:tcPr>
          <w:p w14:paraId="5A44A262" w14:textId="77777777" w:rsidR="007625DE" w:rsidRDefault="007625DE" w:rsidP="00A4191F">
            <w:pPr>
              <w:pStyle w:val="Tablefont"/>
              <w:jc w:val="center"/>
            </w:pPr>
            <w:r>
              <w:t>40%</w:t>
            </w:r>
          </w:p>
        </w:tc>
      </w:tr>
    </w:tbl>
    <w:p w14:paraId="752549E2" w14:textId="77777777" w:rsidR="007625DE" w:rsidRPr="00624584" w:rsidRDefault="007625DE" w:rsidP="007625DE">
      <w:pPr>
        <w:pStyle w:val="Source"/>
      </w:pPr>
      <w:r>
        <w:t>Note: Assumes that the primary income earner works full time for the income listed, and the second earner would receive the same income if they work full time.</w:t>
      </w:r>
      <w:r w:rsidRPr="00624584">
        <w:t xml:space="preserve"> </w:t>
      </w:r>
      <w:r>
        <w:t xml:space="preserve">This table was updated on 5 December 2012. </w:t>
      </w:r>
      <w:r w:rsidRPr="00624584">
        <w:t xml:space="preserve">Source: NATSEM </w:t>
      </w:r>
      <w:r>
        <w:t>modelling for Grattan Institute.</w:t>
      </w:r>
    </w:p>
    <w:p w14:paraId="32904FE6" w14:textId="5AFA2126" w:rsidR="007625DE" w:rsidRDefault="007625DE" w:rsidP="007625DE">
      <w:pPr>
        <w:pStyle w:val="BodyText"/>
      </w:pPr>
      <w:r>
        <w:t xml:space="preserve">Even when families use little or no childcare — whether because their children are older, or they have informal care arrangements — effective take-home income can be relatively low. For low </w:t>
      </w:r>
      <w:r w:rsidR="00F23E7A">
        <w:t xml:space="preserve">and middle </w:t>
      </w:r>
      <w:r>
        <w:t>income earners, even without childcare costs, effective rates of take-home pay are still less than 60 cents in the dollar due to the impacts of Family Tax Benefit, tax, and welf</w:t>
      </w:r>
      <w:r w:rsidR="000762C2">
        <w:t xml:space="preserve">are withdrawal as illustrated in </w:t>
      </w:r>
      <w:r w:rsidR="007A5AAA">
        <w:fldChar w:fldCharType="begin"/>
      </w:r>
      <w:r w:rsidR="007A5AAA">
        <w:instrText xml:space="preserve"> REF _Ref257642606 \h </w:instrText>
      </w:r>
      <w:r w:rsidR="007A5AAA">
        <w:fldChar w:fldCharType="separate"/>
      </w:r>
      <w:r w:rsidR="007A5AAA" w:rsidRPr="00AA282C">
        <w:t xml:space="preserve">Figure </w:t>
      </w:r>
      <w:r w:rsidR="007A5AAA">
        <w:rPr>
          <w:noProof/>
        </w:rPr>
        <w:t>7</w:t>
      </w:r>
      <w:r w:rsidR="007A5AAA">
        <w:fldChar w:fldCharType="end"/>
      </w:r>
      <w:r w:rsidR="007A5AAA">
        <w:t xml:space="preserve"> </w:t>
      </w:r>
      <w:r w:rsidR="00F23E7A">
        <w:t>and</w:t>
      </w:r>
      <w:r w:rsidR="007A5AAA">
        <w:t xml:space="preserve"> </w:t>
      </w:r>
      <w:r w:rsidR="007A5AAA">
        <w:fldChar w:fldCharType="begin"/>
      </w:r>
      <w:r w:rsidR="007A5AAA">
        <w:instrText xml:space="preserve"> REF _Ref257642562 \h </w:instrText>
      </w:r>
      <w:r w:rsidR="007A5AAA">
        <w:fldChar w:fldCharType="separate"/>
      </w:r>
      <w:r w:rsidR="007A5AAA" w:rsidRPr="00AA282C">
        <w:t xml:space="preserve">Figure </w:t>
      </w:r>
      <w:r w:rsidR="007A5AAA">
        <w:rPr>
          <w:noProof/>
        </w:rPr>
        <w:t>8</w:t>
      </w:r>
      <w:r w:rsidR="007A5AAA">
        <w:fldChar w:fldCharType="end"/>
      </w:r>
      <w:r>
        <w:t>.</w:t>
      </w:r>
    </w:p>
    <w:p w14:paraId="6555FA80" w14:textId="77777777" w:rsidR="00BF2DB3" w:rsidRDefault="00BF2DB3" w:rsidP="00BF2DB3">
      <w:pPr>
        <w:pStyle w:val="Heading1"/>
      </w:pPr>
      <w:bookmarkStart w:id="26" w:name="_Toc382921480"/>
      <w:r>
        <w:t>What can be done?</w:t>
      </w:r>
      <w:bookmarkEnd w:id="26"/>
    </w:p>
    <w:p w14:paraId="2E77F970" w14:textId="77777777" w:rsidR="00B563D9" w:rsidRDefault="00B563D9" w:rsidP="00BF2DB3">
      <w:pPr>
        <w:pStyle w:val="BodyText"/>
      </w:pPr>
      <w:r>
        <w:t xml:space="preserve">Smoothing effective marginal tax rates to reduce disincentives to work is a complex task, particularly in the constrained budget environment that Australia currently faces.  However, given the </w:t>
      </w:r>
      <w:r>
        <w:lastRenderedPageBreak/>
        <w:t>economic and fiscal benefits of increased female labour force participation described above, it is a problem worth tackling.</w:t>
      </w:r>
    </w:p>
    <w:p w14:paraId="4BA8F79B" w14:textId="77777777" w:rsidR="00BF2DB3" w:rsidRDefault="00B563D9" w:rsidP="00BF2DB3">
      <w:pPr>
        <w:pStyle w:val="BodyText"/>
      </w:pPr>
      <w:r>
        <w:t>Canada provides a model of what can be achieved.  As described</w:t>
      </w:r>
      <w:r w:rsidR="000762C2">
        <w:t xml:space="preserve"> in Box 2</w:t>
      </w:r>
      <w:r>
        <w:t>, reforms that reduced tax rates for low and middle-income families, and provided higher subsidies for child care, are correlate with a rise in rates of female labour force participation.</w:t>
      </w:r>
    </w:p>
    <w:p w14:paraId="2C2FDECF" w14:textId="77777777" w:rsidR="007625DE" w:rsidRDefault="00B563D9" w:rsidP="007625DE">
      <w:pPr>
        <w:pStyle w:val="BodyText"/>
      </w:pPr>
      <w:r>
        <w:t>There is no doubt that r</w:t>
      </w:r>
      <w:r w:rsidR="007625DE">
        <w:t xml:space="preserve">educing barriers to participation by reducing marginal tax and welfare rates is a challenge for government budgets. A substantial issue is the net impact of withdrawing means-tested benefits as incomes increase. </w:t>
      </w:r>
    </w:p>
    <w:p w14:paraId="43837B73" w14:textId="77777777" w:rsidR="007625DE" w:rsidRDefault="007625DE" w:rsidP="007625DE">
      <w:pPr>
        <w:pStyle w:val="BodyText"/>
      </w:pPr>
      <w:r>
        <w:t>Reducing benefits themselves would be effective, but is likely to be seen as unfair. Reducing benefits over a wider range of income (sometimes described as ‘increasing the taper’) would increase effective take-home income, but at a cost to the budget. Means testing all benefits on the basis of the household’s higher income earner would reduce the disincentives for a second income earner,</w:t>
      </w:r>
      <w:r>
        <w:rPr>
          <w:rStyle w:val="FootnoteReference"/>
        </w:rPr>
        <w:footnoteReference w:id="34"/>
      </w:r>
      <w:r>
        <w:t xml:space="preserve"> but there would be winners and losers amongst existing households. Any budget impacts need to take into account the additional revenue as participation rates increase.</w:t>
      </w:r>
    </w:p>
    <w:p w14:paraId="2623B2DC" w14:textId="77777777" w:rsidR="007625DE" w:rsidRDefault="00B563D9" w:rsidP="007625DE">
      <w:pPr>
        <w:pStyle w:val="BodyText"/>
      </w:pPr>
      <w:r>
        <w:t>Th</w:t>
      </w:r>
      <w:r w:rsidR="007625DE">
        <w:t>e</w:t>
      </w:r>
      <w:r>
        <w:t xml:space="preserve"> policy direction is clear.  I</w:t>
      </w:r>
      <w:r w:rsidR="007625DE">
        <w:t xml:space="preserve">t is hard to believe that the very high effective take-home income rates, particularly for lower income households, are an optimal policy solution. Identifying changes that remove </w:t>
      </w:r>
      <w:r>
        <w:t>disincentives</w:t>
      </w:r>
      <w:r w:rsidR="007625DE">
        <w:t xml:space="preserve"> are fiscally acceptable, and fair to low-income households should be a high priority given both the economic benefits and the social advantages.</w:t>
      </w:r>
    </w:p>
    <w:p w14:paraId="429171B8" w14:textId="77777777" w:rsidR="00110467" w:rsidRDefault="00110467" w:rsidP="00110467">
      <w:pPr>
        <w:pStyle w:val="BodyText"/>
      </w:pPr>
      <w:r>
        <w:t xml:space="preserve">These barriers could be substantially reduced by treating Family Tax Benefit as income in the hands of the family’s first wage-earner, and treating child care as a deduction in calculating tax and eligibility for welfare benefits. However, more work is required </w:t>
      </w:r>
      <w:r>
        <w:lastRenderedPageBreak/>
        <w:t>to identify tax and welfare changes that would reduce barriers at an acceptable cost to the budget, after taking into account increased income tax collection as a result of higher participation.</w:t>
      </w:r>
    </w:p>
    <w:p w14:paraId="60C48AD7" w14:textId="77777777" w:rsidR="000762C2" w:rsidRDefault="000762C2" w:rsidP="000762C2">
      <w:pPr>
        <w:pStyle w:val="BodyText"/>
      </w:pPr>
      <w:r>
        <w:t>While marginal tax, welfare and childcare costs are the chief barriers to female workforce participation, individual circumstances vary enormously with levels of education, earnings, family circumstances and values. All these affect workforce participation. A married, tertiary-educated woman returning to work for an accounting firm faces very different issues to a single woman without tertiary qualifications seeking casual work in a supermarket. In identifying key levers for reform, we have tried to focus on those issues that appear to affect the largest number of women.</w:t>
      </w:r>
    </w:p>
    <w:p w14:paraId="6F0F42A1" w14:textId="77777777" w:rsidR="000762C2" w:rsidRDefault="000762C2" w:rsidP="000762C2">
      <w:pPr>
        <w:pStyle w:val="BodyText"/>
      </w:pPr>
      <w:r>
        <w:t xml:space="preserve">It should also be noted that current arrangements are highly regressive: </w:t>
      </w:r>
      <w:r w:rsidRPr="004C133A">
        <w:t>women with low</w:t>
      </w:r>
      <w:r>
        <w:t>er</w:t>
      </w:r>
      <w:r w:rsidRPr="004C133A">
        <w:t xml:space="preserve"> earning capacity are more</w:t>
      </w:r>
      <w:r>
        <w:t xml:space="preserve"> strongly</w:t>
      </w:r>
      <w:r w:rsidRPr="004C133A">
        <w:t xml:space="preserve"> discouraged </w:t>
      </w:r>
      <w:r>
        <w:t>from</w:t>
      </w:r>
      <w:r w:rsidRPr="004C133A">
        <w:t xml:space="preserve"> work.  </w:t>
      </w:r>
      <w:r>
        <w:t xml:space="preserve">They </w:t>
      </w:r>
      <w:r w:rsidRPr="004C133A">
        <w:t xml:space="preserve">take home a smaller </w:t>
      </w:r>
      <w:r w:rsidRPr="000E1C84">
        <w:rPr>
          <w:i/>
        </w:rPr>
        <w:t>proportion</w:t>
      </w:r>
      <w:r w:rsidRPr="004C133A">
        <w:t xml:space="preserve"> of </w:t>
      </w:r>
      <w:r>
        <w:t xml:space="preserve">any </w:t>
      </w:r>
      <w:r w:rsidRPr="004C133A">
        <w:t xml:space="preserve">money they </w:t>
      </w:r>
      <w:r>
        <w:t xml:space="preserve">do </w:t>
      </w:r>
      <w:r w:rsidRPr="004C133A">
        <w:t>earn</w:t>
      </w:r>
      <w:r>
        <w:t xml:space="preserve"> — and a much smaller dollar amount</w:t>
      </w:r>
      <w:r w:rsidRPr="004C133A">
        <w:t xml:space="preserve">. </w:t>
      </w:r>
      <w:r>
        <w:t>This may discourage them from workforce participation for several years, reducing their opportunities later in life.</w:t>
      </w:r>
    </w:p>
    <w:p w14:paraId="377C033D" w14:textId="77777777" w:rsidR="000762C2" w:rsidRDefault="000762C2" w:rsidP="000762C2">
      <w:pPr>
        <w:pStyle w:val="BodyText"/>
      </w:pPr>
      <w:r>
        <w:t>We are confident that more women would do paid work if governments reduced effective tax, welfare, and childcare costs. However, there are many other issues on which further work would be valuable.</w:t>
      </w:r>
    </w:p>
    <w:p w14:paraId="2B95129A" w14:textId="77777777" w:rsidR="000762C2" w:rsidRDefault="000762C2" w:rsidP="000762C2">
      <w:pPr>
        <w:pStyle w:val="BodyText"/>
      </w:pPr>
      <w:r>
        <w:t>There is no rigorous study in Australia of the value of unpaid work by women, and how this might compare to the economic and social value of paid work. Many will remain unconvinced that the incentives to work should be increased until this issue is resolved.</w:t>
      </w:r>
    </w:p>
    <w:p w14:paraId="10F776D0" w14:textId="77777777" w:rsidR="000762C2" w:rsidRDefault="000762C2" w:rsidP="00110467">
      <w:pPr>
        <w:pStyle w:val="BodyText"/>
      </w:pPr>
    </w:p>
    <w:p w14:paraId="0095CD60" w14:textId="77777777" w:rsidR="000762C2" w:rsidRDefault="000762C2" w:rsidP="00110467">
      <w:pPr>
        <w:pStyle w:val="BodyText"/>
      </w:pPr>
    </w:p>
    <w:p w14:paraId="0DF49E1D" w14:textId="77777777" w:rsidR="00F96D4C" w:rsidRPr="00F23E7A" w:rsidRDefault="00F96D4C" w:rsidP="001103E3">
      <w:pPr>
        <w:pStyle w:val="BoxHeading"/>
        <w:pBdr>
          <w:top w:val="single" w:sz="4" w:space="5" w:color="F68B33" w:themeColor="accent2"/>
          <w:bottom w:val="single" w:sz="4" w:space="5" w:color="F68B33" w:themeColor="accent2"/>
        </w:pBdr>
      </w:pPr>
      <w:bookmarkStart w:id="27" w:name="_Ref200121443"/>
      <w:bookmarkStart w:id="28" w:name="_Ref326871722"/>
      <w:bookmarkStart w:id="29" w:name="_Ref199825120"/>
      <w:r w:rsidRPr="001D054D">
        <w:lastRenderedPageBreak/>
        <w:t>Box</w:t>
      </w:r>
      <w:bookmarkEnd w:id="27"/>
      <w:bookmarkEnd w:id="28"/>
      <w:r w:rsidR="0078197F">
        <w:t xml:space="preserve"> </w:t>
      </w:r>
      <w:r w:rsidR="000762C2">
        <w:t>2</w:t>
      </w:r>
      <w:r w:rsidRPr="001D054D">
        <w:t xml:space="preserve">: </w:t>
      </w:r>
      <w:r w:rsidRPr="00F23E7A">
        <w:t>Women in Canada’s workforce</w:t>
      </w:r>
    </w:p>
    <w:p w14:paraId="7C6287E3" w14:textId="77777777" w:rsidR="00F96D4C" w:rsidRPr="00F23E7A" w:rsidRDefault="00F96D4C" w:rsidP="001103E3">
      <w:pPr>
        <w:pStyle w:val="BOXText"/>
        <w:pBdr>
          <w:top w:val="single" w:sz="4" w:space="5" w:color="F68B33" w:themeColor="accent2"/>
          <w:bottom w:val="single" w:sz="4" w:space="5" w:color="F68B33" w:themeColor="accent2"/>
        </w:pBdr>
      </w:pPr>
      <w:r w:rsidRPr="00F23E7A">
        <w:t>Canada’s experience shows that lower effective tax rates and subsidised child care lead to more women in paid work.</w:t>
      </w:r>
      <w:r w:rsidRPr="00F23E7A">
        <w:rPr>
          <w:rStyle w:val="FootnoteReference"/>
        </w:rPr>
        <w:footnoteReference w:id="35"/>
      </w:r>
      <w:r w:rsidRPr="00F23E7A">
        <w:t xml:space="preserve"> </w:t>
      </w:r>
    </w:p>
    <w:p w14:paraId="6B04147F" w14:textId="77777777" w:rsidR="00F96D4C" w:rsidRPr="00F23E7A" w:rsidRDefault="00F96D4C" w:rsidP="001103E3">
      <w:pPr>
        <w:pStyle w:val="BOXText"/>
        <w:pBdr>
          <w:top w:val="single" w:sz="4" w:space="5" w:color="F68B33" w:themeColor="accent2"/>
          <w:bottom w:val="single" w:sz="4" w:space="5" w:color="F68B33" w:themeColor="accent2"/>
        </w:pBdr>
      </w:pPr>
      <w:r w:rsidRPr="00F23E7A">
        <w:t>Female participation grew rapidly in Canada from the mid-1970s and is well ahead of Australia. Female workforce participation (aged 25-54) rose from 53.1 per cent in 1976 to 82 per cent in 2012.</w:t>
      </w:r>
      <w:r w:rsidRPr="00F23E7A">
        <w:rPr>
          <w:rStyle w:val="FootnoteReference"/>
        </w:rPr>
        <w:footnoteReference w:id="36"/>
      </w:r>
      <w:r w:rsidRPr="00F23E7A">
        <w:t xml:space="preserve"> In this age group, over 80 per cent of female workers are employed full-time.</w:t>
      </w:r>
      <w:r w:rsidRPr="00F23E7A">
        <w:rPr>
          <w:rStyle w:val="FootnoteReference"/>
        </w:rPr>
        <w:footnoteReference w:id="37"/>
      </w:r>
      <w:r w:rsidRPr="00F23E7A">
        <w:t xml:space="preserve"> In 2009, 64 per cent of mothers with children under 3 do some paid work.</w:t>
      </w:r>
      <w:r w:rsidRPr="00F23E7A">
        <w:rPr>
          <w:rStyle w:val="FootnoteReference"/>
        </w:rPr>
        <w:t xml:space="preserve"> </w:t>
      </w:r>
      <w:r w:rsidRPr="00F23E7A">
        <w:rPr>
          <w:rStyle w:val="FootnoteReference"/>
        </w:rPr>
        <w:footnoteReference w:id="38"/>
      </w:r>
    </w:p>
    <w:p w14:paraId="16934C7E" w14:textId="77777777" w:rsidR="00F96D4C" w:rsidRPr="00F23E7A" w:rsidRDefault="00F96D4C" w:rsidP="001103E3">
      <w:pPr>
        <w:pStyle w:val="BOXText"/>
        <w:pBdr>
          <w:top w:val="single" w:sz="4" w:space="5" w:color="F68B33" w:themeColor="accent2"/>
          <w:bottom w:val="single" w:sz="4" w:space="5" w:color="F68B33" w:themeColor="accent2"/>
        </w:pBdr>
      </w:pPr>
      <w:r w:rsidRPr="00F23E7A">
        <w:t>In Canada, a range of reforms reduced the disincentives to work. Around 1997, tax cuts for low and middle income families reduced effective tax rates for second income earners.</w:t>
      </w:r>
      <w:r w:rsidR="00F23E7A" w:rsidRPr="00F23E7A">
        <w:rPr>
          <w:vertAlign w:val="superscript"/>
        </w:rPr>
        <w:t>39</w:t>
      </w:r>
      <w:r w:rsidR="00F23E7A" w:rsidRPr="00F23E7A">
        <w:t xml:space="preserve"> </w:t>
      </w:r>
      <w:r w:rsidRPr="00F23E7A">
        <w:t>At about the same time, Canadian governments committed to improving the accessibility and quality of childcare, including subsidising the cost. Quebec reduced childcare cost to $5 per day,</w:t>
      </w:r>
      <w:r w:rsidR="00F23E7A" w:rsidRPr="00F23E7A">
        <w:rPr>
          <w:vertAlign w:val="superscript"/>
        </w:rPr>
        <w:t>40</w:t>
      </w:r>
      <w:r w:rsidR="00F23E7A" w:rsidRPr="00F23E7A">
        <w:t xml:space="preserve"> </w:t>
      </w:r>
      <w:r w:rsidRPr="00F23E7A">
        <w:t>and other provinces also have substantial subsidies. In 2000 employment insurance scheme for parental and maternity leave was extended so that parents could take 50 weeks leave with partial salary.</w:t>
      </w:r>
      <w:r w:rsidR="00F23E7A" w:rsidRPr="00F23E7A">
        <w:rPr>
          <w:vertAlign w:val="superscript"/>
        </w:rPr>
        <w:t>41</w:t>
      </w:r>
    </w:p>
    <w:p w14:paraId="2BEA3718" w14:textId="77777777" w:rsidR="00F96D4C" w:rsidRPr="00F23E7A" w:rsidRDefault="00F96D4C" w:rsidP="001103E3">
      <w:pPr>
        <w:pStyle w:val="BOXText"/>
        <w:pBdr>
          <w:top w:val="single" w:sz="4" w:space="5" w:color="F68B33" w:themeColor="accent2"/>
          <w:bottom w:val="single" w:sz="4" w:space="5" w:color="F68B33" w:themeColor="accent2"/>
        </w:pBdr>
      </w:pPr>
      <w:r w:rsidRPr="00F23E7A">
        <w:t>As a result, after limited increases in the early 1990s, female workforce participation rose steeply from about 1997, particularly i</w:t>
      </w:r>
      <w:r w:rsidR="000762C2" w:rsidRPr="00F23E7A">
        <w:t>n Quebec, as shown in Figure 9</w:t>
      </w:r>
      <w:r w:rsidRPr="00F23E7A">
        <w:t>.</w:t>
      </w:r>
    </w:p>
    <w:p w14:paraId="53506BD5" w14:textId="77777777" w:rsidR="00F96D4C" w:rsidRPr="00F23E7A" w:rsidRDefault="00F96D4C" w:rsidP="001103E3">
      <w:pPr>
        <w:pStyle w:val="BOXText"/>
        <w:pBdr>
          <w:top w:val="single" w:sz="4" w:space="5" w:color="F68B33" w:themeColor="accent2"/>
          <w:bottom w:val="single" w:sz="4" w:space="5" w:color="F68B33" w:themeColor="accent2"/>
        </w:pBdr>
      </w:pPr>
      <w:r w:rsidRPr="00F23E7A">
        <w:t>Female workforce participation also increased in Australia over this period, presumably because tertiary participation increased.</w:t>
      </w:r>
      <w:r w:rsidR="00F23E7A" w:rsidRPr="00F23E7A">
        <w:t xml:space="preserve"> </w:t>
      </w:r>
      <w:r w:rsidRPr="00F23E7A">
        <w:t>However, participation in Canada remains much higher than in Australia, and with more women working full-time.</w:t>
      </w:r>
    </w:p>
    <w:p w14:paraId="4F45BB98" w14:textId="77777777" w:rsidR="00F96D4C" w:rsidRPr="00F23E7A" w:rsidRDefault="00F96D4C" w:rsidP="001103E3">
      <w:pPr>
        <w:pStyle w:val="BoxHeading"/>
        <w:pBdr>
          <w:top w:val="single" w:sz="4" w:space="5" w:color="F68B33" w:themeColor="accent2"/>
          <w:bottom w:val="single" w:sz="4" w:space="31" w:color="F68B33" w:themeColor="accent2"/>
        </w:pBdr>
      </w:pPr>
      <w:bookmarkStart w:id="30" w:name="_Ref326328542"/>
      <w:r w:rsidRPr="00F23E7A">
        <w:lastRenderedPageBreak/>
        <w:t xml:space="preserve">Figure </w:t>
      </w:r>
      <w:bookmarkEnd w:id="30"/>
      <w:r w:rsidR="000762C2" w:rsidRPr="00F23E7A">
        <w:t>9</w:t>
      </w:r>
      <w:r w:rsidRPr="00F23E7A">
        <w:t>: Female participation rates, 25-54 year olds, selected Canadian provinces, 1980-2012</w:t>
      </w:r>
      <w:r w:rsidR="00F23E7A" w:rsidRPr="001103E3">
        <w:rPr>
          <w:rStyle w:val="FootnoteReference"/>
          <w:vanish/>
        </w:rPr>
        <w:footnoteReference w:id="39"/>
      </w:r>
      <w:r w:rsidR="00F23E7A" w:rsidRPr="001103E3">
        <w:rPr>
          <w:rStyle w:val="FootnoteReference"/>
          <w:vanish/>
        </w:rPr>
        <w:footnoteReference w:id="40"/>
      </w:r>
      <w:r w:rsidR="00F23E7A" w:rsidRPr="001103E3">
        <w:rPr>
          <w:rStyle w:val="FootnoteReference"/>
          <w:vanish/>
        </w:rPr>
        <w:footnoteReference w:id="41"/>
      </w:r>
      <w:r w:rsidRPr="00F23E7A">
        <w:t xml:space="preserve"> </w:t>
      </w:r>
    </w:p>
    <w:p w14:paraId="413AA1AB" w14:textId="2F93F09B" w:rsidR="00F96D4C" w:rsidRPr="00F23E7A" w:rsidRDefault="00F23E7A" w:rsidP="001103E3">
      <w:pPr>
        <w:pStyle w:val="BOXText"/>
        <w:pBdr>
          <w:top w:val="single" w:sz="4" w:space="5" w:color="F68B33" w:themeColor="accent2"/>
          <w:bottom w:val="single" w:sz="4" w:space="31" w:color="F68B33" w:themeColor="accent2"/>
        </w:pBdr>
      </w:pPr>
      <w:r w:rsidRPr="00F23E7A">
        <w:rPr>
          <w:noProof/>
        </w:rPr>
        <w:drawing>
          <wp:inline distT="0" distB="0" distL="0" distR="0" wp14:anchorId="4A810B3E" wp14:editId="53991ABF">
            <wp:extent cx="4095115" cy="2835080"/>
            <wp:effectExtent l="0" t="0" r="0" b="1016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115" cy="2835080"/>
                    </a:xfrm>
                    <a:prstGeom prst="rect">
                      <a:avLst/>
                    </a:prstGeom>
                    <a:noFill/>
                    <a:ln>
                      <a:noFill/>
                    </a:ln>
                  </pic:spPr>
                </pic:pic>
              </a:graphicData>
            </a:graphic>
          </wp:inline>
        </w:drawing>
      </w:r>
      <w:r w:rsidR="001103E3">
        <w:t xml:space="preserve"> </w:t>
      </w:r>
    </w:p>
    <w:p w14:paraId="0158E2BC" w14:textId="77777777" w:rsidR="00F96D4C" w:rsidRPr="00F23E7A" w:rsidRDefault="00F96D4C" w:rsidP="001103E3">
      <w:pPr>
        <w:pStyle w:val="BOXText"/>
        <w:pBdr>
          <w:top w:val="single" w:sz="4" w:space="5" w:color="F68B33" w:themeColor="accent2"/>
          <w:bottom w:val="single" w:sz="4" w:space="31" w:color="F68B33" w:themeColor="accent2"/>
        </w:pBdr>
        <w:rPr>
          <w:sz w:val="16"/>
          <w:szCs w:val="16"/>
        </w:rPr>
      </w:pPr>
      <w:r w:rsidRPr="00F23E7A">
        <w:rPr>
          <w:i/>
          <w:sz w:val="16"/>
          <w:szCs w:val="16"/>
        </w:rPr>
        <w:t>Note: 12 month trailing averages. Participation rate includes those who are unemployed and looking for work.</w:t>
      </w:r>
      <w:r w:rsidRPr="00F23E7A">
        <w:rPr>
          <w:sz w:val="16"/>
          <w:szCs w:val="16"/>
        </w:rPr>
        <w:t xml:space="preserve">  </w:t>
      </w:r>
      <w:r w:rsidRPr="00F23E7A">
        <w:rPr>
          <w:i/>
          <w:iCs/>
          <w:sz w:val="16"/>
          <w:szCs w:val="16"/>
        </w:rPr>
        <w:t xml:space="preserve">Source: Statistics Canada (2012); ABS (2012b). </w:t>
      </w:r>
      <w:bookmarkEnd w:id="29"/>
    </w:p>
    <w:p w14:paraId="49FEEFF5" w14:textId="77777777" w:rsidR="000762C2" w:rsidRDefault="000762C2">
      <w:pPr>
        <w:spacing w:before="0"/>
        <w:ind w:left="0"/>
        <w:rPr>
          <w:sz w:val="22"/>
          <w:szCs w:val="22"/>
        </w:rPr>
      </w:pPr>
      <w:r>
        <w:br w:type="page"/>
      </w:r>
    </w:p>
    <w:p w14:paraId="5448638B" w14:textId="77777777" w:rsidR="00110467" w:rsidRDefault="00110467" w:rsidP="00110467">
      <w:pPr>
        <w:pStyle w:val="BodyText"/>
      </w:pPr>
      <w:r>
        <w:lastRenderedPageBreak/>
        <w:t>The equity impacts of the policy changes suggested also need to be calculated. Who will be the winners and losers of the changes? Again this will depend on the precise parameters chosen.</w:t>
      </w:r>
    </w:p>
    <w:p w14:paraId="781FB31E" w14:textId="77777777" w:rsidR="00110467" w:rsidRDefault="00110467" w:rsidP="00110467">
      <w:pPr>
        <w:pStyle w:val="BodyText"/>
      </w:pPr>
      <w:r>
        <w:t>Nevertheless, there appears to be compelling evidence that the cost of childcare after tax and welfare benefits is a substantial barrier to higher female workforce participation in Australia</w:t>
      </w:r>
      <w:r w:rsidR="00F23E7A">
        <w:t xml:space="preserve">. Changing the cost of childcare would not be cheap, but it would increase female workforce participation, thereby increasing economic </w:t>
      </w:r>
      <w:proofErr w:type="spellStart"/>
      <w:r w:rsidR="00F23E7A">
        <w:t>ouput</w:t>
      </w:r>
      <w:proofErr w:type="spellEnd"/>
      <w:r w:rsidR="00F23E7A">
        <w:t xml:space="preserve"> as well as improving the long-term employment prospects of many Australian women.</w:t>
      </w:r>
      <w:r>
        <w:t xml:space="preserve"> </w:t>
      </w:r>
    </w:p>
    <w:p w14:paraId="73278E1E" w14:textId="77777777" w:rsidR="00110467" w:rsidRDefault="00110467" w:rsidP="00BF2DB3">
      <w:pPr>
        <w:pStyle w:val="BodyText"/>
        <w:sectPr w:rsidR="00110467" w:rsidSect="000762C2">
          <w:endnotePr>
            <w:numFmt w:val="decimal"/>
          </w:endnotePr>
          <w:type w:val="continuous"/>
          <w:pgSz w:w="16838" w:h="11906" w:orient="landscape"/>
          <w:pgMar w:top="1276" w:right="1418" w:bottom="1588" w:left="1814" w:header="851" w:footer="1191" w:gutter="0"/>
          <w:cols w:num="2" w:space="708"/>
          <w:docGrid w:linePitch="360"/>
        </w:sectPr>
      </w:pPr>
    </w:p>
    <w:p w14:paraId="4F83F76E" w14:textId="77777777" w:rsidR="00F12BF2" w:rsidRDefault="00F12BF2" w:rsidP="000762C2">
      <w:pPr>
        <w:pStyle w:val="Heading1"/>
        <w:numPr>
          <w:ilvl w:val="0"/>
          <w:numId w:val="0"/>
        </w:numPr>
        <w:ind w:left="680" w:hanging="680"/>
      </w:pPr>
      <w:bookmarkStart w:id="31" w:name="_Toc382921481"/>
      <w:r>
        <w:lastRenderedPageBreak/>
        <w:t>References</w:t>
      </w:r>
      <w:bookmarkEnd w:id="31"/>
    </w:p>
    <w:p w14:paraId="14B80B68" w14:textId="77777777" w:rsidR="00F12BF2" w:rsidRDefault="00F12BF2" w:rsidP="00FD0AB4">
      <w:pPr>
        <w:pStyle w:val="References"/>
        <w:sectPr w:rsidR="00F12BF2" w:rsidSect="001E3F49">
          <w:endnotePr>
            <w:numFmt w:val="decimal"/>
          </w:endnotePr>
          <w:pgSz w:w="16838" w:h="11906" w:orient="landscape"/>
          <w:pgMar w:top="1278" w:right="1418" w:bottom="1588" w:left="1814" w:header="851" w:footer="1191" w:gutter="0"/>
          <w:cols w:num="2" w:space="708"/>
          <w:docGrid w:linePitch="360"/>
        </w:sectPr>
      </w:pPr>
    </w:p>
    <w:p w14:paraId="51D950F9" w14:textId="77777777" w:rsidR="004F376B" w:rsidRDefault="00CB2013" w:rsidP="004F376B">
      <w:pPr>
        <w:pStyle w:val="References"/>
        <w:spacing w:after="0"/>
      </w:pPr>
      <w:r w:rsidRPr="0078197F">
        <w:lastRenderedPageBreak/>
        <w:fldChar w:fldCharType="begin"/>
      </w:r>
      <w:r w:rsidRPr="0078197F">
        <w:instrText xml:space="preserve"> ADDIN EN.REFLIST </w:instrText>
      </w:r>
      <w:r w:rsidRPr="0078197F">
        <w:fldChar w:fldCharType="separate"/>
      </w:r>
      <w:bookmarkStart w:id="32" w:name="_ENREF_1"/>
      <w:r w:rsidR="004F376B">
        <w:t xml:space="preserve">Abhayaratna, J., Andrews, L., Nuch, H. and Podbury, T. (2008) </w:t>
      </w:r>
      <w:r w:rsidR="004F376B" w:rsidRPr="004F376B">
        <w:rPr>
          <w:i/>
        </w:rPr>
        <w:t>Part Time Employment: the Australian experience</w:t>
      </w:r>
      <w:r w:rsidR="004F376B">
        <w:t>,</w:t>
      </w:r>
      <w:r w:rsidR="004F376B" w:rsidRPr="004F376B">
        <w:rPr>
          <w:i/>
        </w:rPr>
        <w:t xml:space="preserve"> </w:t>
      </w:r>
      <w:r w:rsidR="004F376B">
        <w:t xml:space="preserve">Staff Working Paper,Productivity Commission </w:t>
      </w:r>
      <w:bookmarkEnd w:id="32"/>
    </w:p>
    <w:p w14:paraId="5CB1AB0C" w14:textId="77777777" w:rsidR="004F376B" w:rsidRDefault="004F376B" w:rsidP="004F376B">
      <w:pPr>
        <w:pStyle w:val="References"/>
        <w:spacing w:after="0"/>
      </w:pPr>
      <w:bookmarkStart w:id="33" w:name="_ENREF_2"/>
      <w:r>
        <w:t xml:space="preserve">Abhayaratna, J. and Lattimore, R. (2006) </w:t>
      </w:r>
      <w:r w:rsidRPr="004F376B">
        <w:rPr>
          <w:i/>
        </w:rPr>
        <w:t>Workforce Participation Rates – How Does Australia Compare?</w:t>
      </w:r>
      <w:r>
        <w:t>,</w:t>
      </w:r>
      <w:r w:rsidRPr="004F376B">
        <w:rPr>
          <w:i/>
        </w:rPr>
        <w:t xml:space="preserve"> </w:t>
      </w:r>
      <w:r>
        <w:t xml:space="preserve">Productivity Commission Staff Working Paper </w:t>
      </w:r>
      <w:bookmarkEnd w:id="33"/>
    </w:p>
    <w:p w14:paraId="23D7668E" w14:textId="23201D29" w:rsidR="004F376B" w:rsidRDefault="004F376B" w:rsidP="004F376B">
      <w:pPr>
        <w:pStyle w:val="References"/>
        <w:spacing w:after="0"/>
      </w:pPr>
      <w:bookmarkStart w:id="34" w:name="_ENREF_3"/>
      <w:r>
        <w:t xml:space="preserve">ABS (2010) </w:t>
      </w:r>
      <w:r w:rsidRPr="004F376B">
        <w:rPr>
          <w:i/>
        </w:rPr>
        <w:t>General Social Survey</w:t>
      </w:r>
      <w:r>
        <w:t xml:space="preserve">, </w:t>
      </w:r>
      <w:bookmarkEnd w:id="34"/>
      <w:r w:rsidR="006B4DE2">
        <w:t>Australian Bureau of Statistics</w:t>
      </w:r>
    </w:p>
    <w:p w14:paraId="48AE7E9C" w14:textId="7DC05B39" w:rsidR="004F376B" w:rsidRDefault="004F376B" w:rsidP="004F376B">
      <w:pPr>
        <w:pStyle w:val="References"/>
        <w:spacing w:after="0"/>
      </w:pPr>
      <w:bookmarkStart w:id="35" w:name="_ENREF_4"/>
      <w:r>
        <w:t xml:space="preserve">ABS (2011a) </w:t>
      </w:r>
      <w:r w:rsidRPr="004F376B">
        <w:rPr>
          <w:i/>
        </w:rPr>
        <w:t>4125.0 - Gender Indicators</w:t>
      </w:r>
      <w:r>
        <w:t xml:space="preserve">, </w:t>
      </w:r>
      <w:bookmarkEnd w:id="35"/>
      <w:r w:rsidR="006B4DE2">
        <w:t>Australian Bureau of Statistics</w:t>
      </w:r>
    </w:p>
    <w:p w14:paraId="74F40EE6" w14:textId="51EC7EC5" w:rsidR="006B4DE2" w:rsidRDefault="004F376B" w:rsidP="006B4DE2">
      <w:pPr>
        <w:pStyle w:val="References"/>
        <w:spacing w:after="0"/>
      </w:pPr>
      <w:bookmarkStart w:id="36" w:name="_ENREF_5"/>
      <w:r>
        <w:t xml:space="preserve">ABS (2011b) </w:t>
      </w:r>
      <w:r w:rsidRPr="004F376B">
        <w:rPr>
          <w:i/>
        </w:rPr>
        <w:t>4402.0 - Childhood Education and Care, Australia</w:t>
      </w:r>
      <w:r>
        <w:t>,</w:t>
      </w:r>
      <w:bookmarkStart w:id="37" w:name="_ENREF_6"/>
      <w:bookmarkEnd w:id="36"/>
      <w:r w:rsidR="006B4DE2" w:rsidRPr="006B4DE2">
        <w:t xml:space="preserve"> </w:t>
      </w:r>
      <w:r w:rsidR="006B4DE2">
        <w:t>Australian Bureau of Statistics</w:t>
      </w:r>
    </w:p>
    <w:p w14:paraId="16504E7E" w14:textId="763BF35C" w:rsidR="004F376B" w:rsidRDefault="004F376B" w:rsidP="004F376B">
      <w:pPr>
        <w:pStyle w:val="References"/>
        <w:spacing w:after="0"/>
      </w:pPr>
      <w:r>
        <w:t xml:space="preserve">ABS (2011c) </w:t>
      </w:r>
      <w:r w:rsidRPr="004F376B">
        <w:rPr>
          <w:i/>
        </w:rPr>
        <w:t>Census of Population and Housing</w:t>
      </w:r>
      <w:r>
        <w:t xml:space="preserve">, Australian Bureau of Statistics </w:t>
      </w:r>
      <w:bookmarkEnd w:id="37"/>
    </w:p>
    <w:p w14:paraId="33F639EF" w14:textId="081951BB" w:rsidR="006B4DE2" w:rsidRDefault="004F376B" w:rsidP="006B4DE2">
      <w:pPr>
        <w:pStyle w:val="References"/>
        <w:spacing w:after="0"/>
      </w:pPr>
      <w:bookmarkStart w:id="38" w:name="_ENREF_7"/>
      <w:r>
        <w:t xml:space="preserve">ABS (2012a) </w:t>
      </w:r>
      <w:r w:rsidRPr="004F376B">
        <w:rPr>
          <w:i/>
        </w:rPr>
        <w:t>6202.0 - Labour Force, Australia</w:t>
      </w:r>
      <w:r>
        <w:t>,</w:t>
      </w:r>
      <w:bookmarkEnd w:id="38"/>
      <w:r w:rsidR="006B4DE2" w:rsidRPr="006B4DE2">
        <w:t xml:space="preserve"> </w:t>
      </w:r>
      <w:r w:rsidR="006B4DE2">
        <w:t>Australian Bureau of Statistics</w:t>
      </w:r>
    </w:p>
    <w:p w14:paraId="54F7C34F" w14:textId="78C83716" w:rsidR="004F376B" w:rsidRDefault="004F376B" w:rsidP="004F376B">
      <w:pPr>
        <w:pStyle w:val="References"/>
        <w:spacing w:after="0"/>
      </w:pPr>
    </w:p>
    <w:p w14:paraId="3D14A435" w14:textId="77777777" w:rsidR="006B4DE2" w:rsidRDefault="004F376B" w:rsidP="006B4DE2">
      <w:pPr>
        <w:pStyle w:val="References"/>
        <w:spacing w:after="0"/>
      </w:pPr>
      <w:bookmarkStart w:id="39" w:name="_ENREF_8"/>
      <w:r>
        <w:t xml:space="preserve">ABS (2012b) </w:t>
      </w:r>
      <w:r w:rsidR="006B4DE2">
        <w:t xml:space="preserve">6291.0.55.001 </w:t>
      </w:r>
      <w:r w:rsidRPr="004F376B">
        <w:rPr>
          <w:i/>
        </w:rPr>
        <w:t>Labour Force, Australia, Detailed,</w:t>
      </w:r>
      <w:r>
        <w:t xml:space="preserve"> </w:t>
      </w:r>
      <w:bookmarkEnd w:id="39"/>
      <w:r w:rsidR="006B4DE2">
        <w:t>Australian Bureau of Statistics</w:t>
      </w:r>
    </w:p>
    <w:p w14:paraId="33C31B11" w14:textId="7B309A4B" w:rsidR="004F376B" w:rsidRDefault="004F376B" w:rsidP="004F376B">
      <w:pPr>
        <w:pStyle w:val="References"/>
      </w:pPr>
      <w:bookmarkStart w:id="40" w:name="_ENREF_9"/>
      <w:r>
        <w:t>Apps, P. (2006) 'Family Taxation: An Unfair and Inefficient System, Discussion Paper No. 524; Centre for Economic Policy Research, Australian National University</w:t>
      </w:r>
      <w:bookmarkEnd w:id="40"/>
    </w:p>
    <w:p w14:paraId="0CAC4ED8" w14:textId="77777777" w:rsidR="004F376B" w:rsidRDefault="004F376B" w:rsidP="004F376B">
      <w:pPr>
        <w:pStyle w:val="References"/>
        <w:spacing w:after="0"/>
      </w:pPr>
      <w:bookmarkStart w:id="41" w:name="_ENREF_10"/>
      <w:r>
        <w:t xml:space="preserve">Apps, P. (2010) 'Why the Henry Review Fails on Family Tax Reform', in </w:t>
      </w:r>
      <w:r w:rsidRPr="004F376B">
        <w:rPr>
          <w:i/>
        </w:rPr>
        <w:t>Australia's Future Tax System: The Prospects After Henry</w:t>
      </w:r>
      <w:r>
        <w:t>,  Thomson Reuters</w:t>
      </w:r>
      <w:bookmarkEnd w:id="41"/>
    </w:p>
    <w:p w14:paraId="0EB48838" w14:textId="77777777" w:rsidR="004F376B" w:rsidRDefault="004F376B" w:rsidP="004F376B">
      <w:pPr>
        <w:pStyle w:val="References"/>
        <w:spacing w:after="0"/>
      </w:pPr>
      <w:bookmarkStart w:id="42" w:name="_ENREF_11"/>
      <w:r>
        <w:t xml:space="preserve">Baker, M., Gruber, J. and Milligan, K. (2005) </w:t>
      </w:r>
      <w:r w:rsidRPr="004F376B">
        <w:rPr>
          <w:i/>
        </w:rPr>
        <w:t>Universal Childcare, Maternal Labor Supply, and Family Well-Being (NBER Working Paper No. 11832)</w:t>
      </w:r>
      <w:r>
        <w:t>,</w:t>
      </w:r>
      <w:r w:rsidRPr="004F376B">
        <w:rPr>
          <w:i/>
        </w:rPr>
        <w:t xml:space="preserve"> </w:t>
      </w:r>
      <w:r>
        <w:t xml:space="preserve">National Bureau of Economic Research, </w:t>
      </w:r>
      <w:bookmarkEnd w:id="42"/>
    </w:p>
    <w:p w14:paraId="5FE19359" w14:textId="77777777" w:rsidR="004F376B" w:rsidRDefault="004F376B" w:rsidP="004F376B">
      <w:pPr>
        <w:pStyle w:val="References"/>
        <w:spacing w:after="0"/>
      </w:pPr>
      <w:bookmarkStart w:id="43" w:name="_ENREF_12"/>
      <w:r>
        <w:t xml:space="preserve">Barnett, W. S. and Ackerman, D. J. (2006) 'Costs, Benefits, and Long-Term Effects of Early Care and Education Programs: Recommendations and Cautions for Community Developers', </w:t>
      </w:r>
      <w:r w:rsidRPr="004F376B">
        <w:rPr>
          <w:i/>
        </w:rPr>
        <w:t>Community Development</w:t>
      </w:r>
      <w:r>
        <w:t>, 37(2), p 86-100</w:t>
      </w:r>
      <w:bookmarkEnd w:id="43"/>
    </w:p>
    <w:p w14:paraId="5700D1A5" w14:textId="77777777" w:rsidR="004F376B" w:rsidRDefault="004F376B" w:rsidP="004F376B">
      <w:pPr>
        <w:pStyle w:val="References"/>
        <w:spacing w:after="0"/>
      </w:pPr>
      <w:bookmarkStart w:id="44" w:name="_ENREF_13"/>
      <w:r>
        <w:t xml:space="preserve">Breusch, T. and Gray, E. (2004) 'New Estimates of Mothers' Forgone Earnings Using HILDA Data ', </w:t>
      </w:r>
      <w:r w:rsidRPr="004F376B">
        <w:rPr>
          <w:i/>
        </w:rPr>
        <w:t>Australian Journal of Labour Economics</w:t>
      </w:r>
      <w:r>
        <w:t>, 7(2), p 125-150</w:t>
      </w:r>
      <w:bookmarkEnd w:id="44"/>
    </w:p>
    <w:p w14:paraId="180282C1" w14:textId="77777777" w:rsidR="004F376B" w:rsidRDefault="004F376B" w:rsidP="004F376B">
      <w:pPr>
        <w:pStyle w:val="References"/>
        <w:spacing w:after="0"/>
      </w:pPr>
      <w:bookmarkStart w:id="45" w:name="_ENREF_14"/>
      <w:r>
        <w:t xml:space="preserve">Buddelmeyer, H. and Fok, Y. K. (2007) </w:t>
      </w:r>
      <w:r w:rsidRPr="004F376B">
        <w:rPr>
          <w:i/>
        </w:rPr>
        <w:t xml:space="preserve">What determines how long women spend out of the labour force after the birth of a child? </w:t>
      </w:r>
      <w:r>
        <w:t>,</w:t>
      </w:r>
      <w:r w:rsidRPr="004F376B">
        <w:rPr>
          <w:i/>
        </w:rPr>
        <w:t xml:space="preserve"> </w:t>
      </w:r>
      <w:r>
        <w:t xml:space="preserve">Melbourne Institute of Applied Economic and Social Research </w:t>
      </w:r>
      <w:bookmarkEnd w:id="45"/>
    </w:p>
    <w:p w14:paraId="683FB69E" w14:textId="77777777" w:rsidR="004F376B" w:rsidRDefault="004F376B" w:rsidP="004F376B">
      <w:pPr>
        <w:pStyle w:val="References"/>
        <w:spacing w:after="0"/>
      </w:pPr>
      <w:bookmarkStart w:id="46" w:name="_ENREF_15"/>
      <w:r>
        <w:t xml:space="preserve">Burger, K. (2010) 'How does early childhood care and education affect cognitive development? An international review of the effects of early interventions for children from different social backgrounds', </w:t>
      </w:r>
      <w:r w:rsidRPr="004F376B">
        <w:rPr>
          <w:i/>
        </w:rPr>
        <w:t>Early Childhood Research Quarterly</w:t>
      </w:r>
      <w:r>
        <w:t>, 25(2), p 140-165</w:t>
      </w:r>
      <w:bookmarkEnd w:id="46"/>
    </w:p>
    <w:p w14:paraId="35671196" w14:textId="77777777" w:rsidR="004F376B" w:rsidRPr="004F376B" w:rsidRDefault="004F376B" w:rsidP="004F376B">
      <w:pPr>
        <w:pStyle w:val="References"/>
        <w:spacing w:after="0"/>
        <w:rPr>
          <w:i/>
        </w:rPr>
      </w:pPr>
      <w:bookmarkStart w:id="47" w:name="_ENREF_16"/>
      <w:r>
        <w:t xml:space="preserve">Canada, H. R. a. S. D. (2001) </w:t>
      </w:r>
      <w:r w:rsidRPr="004F376B">
        <w:rPr>
          <w:i/>
        </w:rPr>
        <w:t xml:space="preserve">Employment Equity Act Review (Appendix G: </w:t>
      </w:r>
      <w:r w:rsidRPr="004F376B">
        <w:rPr>
          <w:i/>
        </w:rPr>
        <w:lastRenderedPageBreak/>
        <w:t xml:space="preserve">Employment equity in Canada: Women and minority groups in the Canadian labour market), </w:t>
      </w:r>
      <w:bookmarkEnd w:id="47"/>
    </w:p>
    <w:p w14:paraId="7B9AAE9D" w14:textId="77777777" w:rsidR="004F376B" w:rsidRDefault="004F376B" w:rsidP="004F376B">
      <w:pPr>
        <w:pStyle w:val="References"/>
        <w:spacing w:after="0"/>
      </w:pPr>
      <w:bookmarkStart w:id="48" w:name="_ENREF_17"/>
      <w:r>
        <w:t xml:space="preserve">Chesters, J., Baxter, J. and Western, M. (2009) 'Paid and Unpaid Work in Australian Households: Trends in the Gender Division of Labour, 1986-2005', </w:t>
      </w:r>
      <w:r w:rsidRPr="004F376B">
        <w:rPr>
          <w:i/>
        </w:rPr>
        <w:t xml:space="preserve">Australian Journal of Labour Economics </w:t>
      </w:r>
      <w:r>
        <w:t>12(1), p 89-107</w:t>
      </w:r>
      <w:bookmarkEnd w:id="48"/>
    </w:p>
    <w:p w14:paraId="44FE6EC0" w14:textId="7D11CFB3" w:rsidR="004F376B" w:rsidRDefault="004F376B" w:rsidP="004F376B">
      <w:pPr>
        <w:pStyle w:val="References"/>
        <w:spacing w:after="0"/>
      </w:pPr>
      <w:bookmarkStart w:id="49" w:name="_ENREF_18"/>
      <w:r>
        <w:t xml:space="preserve">Daley, J., McGannon, C. and Ginnivan, L. (2012) </w:t>
      </w:r>
      <w:r w:rsidRPr="004F376B">
        <w:rPr>
          <w:i/>
        </w:rPr>
        <w:t>Game-changers: Economic reform priorities for Australia</w:t>
      </w:r>
      <w:r>
        <w:t>,</w:t>
      </w:r>
      <w:r w:rsidRPr="004F376B">
        <w:rPr>
          <w:i/>
        </w:rPr>
        <w:t xml:space="preserve"> </w:t>
      </w:r>
      <w:r>
        <w:t xml:space="preserve">Grattan Institute, accessed 2 October 2013, from </w:t>
      </w:r>
      <w:hyperlink r:id="rId21" w:history="1">
        <w:r w:rsidRPr="004F376B">
          <w:rPr>
            <w:rStyle w:val="Hyperlink"/>
            <w:rFonts w:cs="Arial"/>
          </w:rPr>
          <w:t>http://grattan.edu.au/publications/reports/post/game-changers-economic-reform-priorities-for-australia/</w:t>
        </w:r>
        <w:bookmarkEnd w:id="49"/>
      </w:hyperlink>
    </w:p>
    <w:p w14:paraId="3CFBC656" w14:textId="77777777" w:rsidR="004F376B" w:rsidRDefault="004F376B" w:rsidP="004F376B">
      <w:pPr>
        <w:pStyle w:val="References"/>
        <w:spacing w:after="0"/>
      </w:pPr>
      <w:bookmarkStart w:id="50" w:name="_ENREF_19"/>
      <w:r>
        <w:t xml:space="preserve">Daley, J., McGannon, C., Savage, J. and Hunter, A. (2013) </w:t>
      </w:r>
      <w:r w:rsidRPr="004F376B">
        <w:rPr>
          <w:i/>
        </w:rPr>
        <w:t>Balancing budgets: tough choices we need</w:t>
      </w:r>
      <w:r>
        <w:t>,</w:t>
      </w:r>
      <w:r w:rsidRPr="004F376B">
        <w:rPr>
          <w:i/>
        </w:rPr>
        <w:t xml:space="preserve"> </w:t>
      </w:r>
      <w:r>
        <w:t>Grattan Institute, accessed January 2014, from grattan.edu.au/publications/reports/post/balancing-budgets-tough-choices-we-need/</w:t>
      </w:r>
      <w:bookmarkEnd w:id="50"/>
    </w:p>
    <w:p w14:paraId="58B0FE41" w14:textId="0B5F4236" w:rsidR="004F376B" w:rsidRDefault="004F376B" w:rsidP="004F376B">
      <w:pPr>
        <w:pStyle w:val="References"/>
        <w:spacing w:after="0"/>
      </w:pPr>
      <w:bookmarkStart w:id="51" w:name="_ENREF_20"/>
      <w:r>
        <w:t xml:space="preserve">Headey, B., Freebairn, J. and Warren, D. (2010) </w:t>
      </w:r>
      <w:r w:rsidRPr="004F376B">
        <w:rPr>
          <w:i/>
        </w:rPr>
        <w:t>Dynamics of Mature Age Workforce Participation: Policy Effects and Continuing Trends</w:t>
      </w:r>
      <w:r>
        <w:t>,</w:t>
      </w:r>
      <w:r w:rsidRPr="004F376B">
        <w:rPr>
          <w:i/>
        </w:rPr>
        <w:t xml:space="preserve"> </w:t>
      </w:r>
      <w:r>
        <w:t xml:space="preserve">Melbourne Institute of Applied Economic and Social Research from </w:t>
      </w:r>
      <w:hyperlink r:id="rId22" w:history="1">
        <w:r w:rsidRPr="004F376B">
          <w:rPr>
            <w:rStyle w:val="Hyperlink"/>
            <w:rFonts w:cs="Arial"/>
          </w:rPr>
          <w:t>http://melbourneinstitute.com/downloads/labour/5-10FinalReport.pdf</w:t>
        </w:r>
        <w:bookmarkEnd w:id="51"/>
      </w:hyperlink>
    </w:p>
    <w:p w14:paraId="1E2BF1F4" w14:textId="77777777" w:rsidR="004F376B" w:rsidRDefault="004F376B" w:rsidP="004F376B">
      <w:pPr>
        <w:pStyle w:val="References"/>
        <w:spacing w:after="0"/>
      </w:pPr>
      <w:bookmarkStart w:id="52" w:name="_ENREF_21"/>
      <w:r>
        <w:t xml:space="preserve">Kalb, G. and Thoresen, T. (2007) 'The Case for Labour Supply Incentives: A Comparison of Family Policies in Australia and Norway. Working Paper No. 27/2007', Melbourne Institute of Applied Economic and Social Research, from </w:t>
      </w:r>
      <w:bookmarkEnd w:id="52"/>
    </w:p>
    <w:p w14:paraId="445F7166" w14:textId="77777777" w:rsidR="004F376B" w:rsidRDefault="004F376B" w:rsidP="004F376B">
      <w:pPr>
        <w:pStyle w:val="References"/>
        <w:spacing w:after="0"/>
      </w:pPr>
      <w:bookmarkStart w:id="53" w:name="_ENREF_22"/>
      <w:r>
        <w:t xml:space="preserve">Losoncz, I. (2011) 'Persistent work-family strain among Australian mothers', </w:t>
      </w:r>
      <w:r w:rsidRPr="004F376B">
        <w:rPr>
          <w:i/>
        </w:rPr>
        <w:t>Family Matters</w:t>
      </w:r>
      <w:r>
        <w:t xml:space="preserve">, 86, </w:t>
      </w:r>
      <w:bookmarkEnd w:id="53"/>
    </w:p>
    <w:p w14:paraId="130FF58D" w14:textId="77777777" w:rsidR="004F376B" w:rsidRDefault="004F376B" w:rsidP="004F376B">
      <w:pPr>
        <w:pStyle w:val="References"/>
        <w:spacing w:after="0"/>
      </w:pPr>
      <w:bookmarkStart w:id="54" w:name="_ENREF_23"/>
      <w:r>
        <w:t xml:space="preserve">Losoncz, I. and Bortolotto, N. (2009) 'Work-life balance: The experience of Australian Working Mothers', </w:t>
      </w:r>
      <w:r w:rsidRPr="004F376B">
        <w:rPr>
          <w:i/>
        </w:rPr>
        <w:t>Journal of Family Studies</w:t>
      </w:r>
      <w:r>
        <w:t>, 15(22), p 122-138</w:t>
      </w:r>
      <w:bookmarkEnd w:id="54"/>
    </w:p>
    <w:p w14:paraId="34E06E40" w14:textId="77777777" w:rsidR="004F376B" w:rsidRDefault="004F376B" w:rsidP="004F376B">
      <w:pPr>
        <w:pStyle w:val="References"/>
        <w:spacing w:after="0"/>
      </w:pPr>
      <w:bookmarkStart w:id="55" w:name="_ENREF_24"/>
      <w:r>
        <w:t xml:space="preserve">Manne, A. (2008) </w:t>
      </w:r>
      <w:r w:rsidRPr="004F376B">
        <w:rPr>
          <w:i/>
        </w:rPr>
        <w:t>Love &amp; Money: The Family and the Free Market</w:t>
      </w:r>
      <w:r>
        <w:t>,  Quarterly Essay</w:t>
      </w:r>
      <w:bookmarkEnd w:id="55"/>
    </w:p>
    <w:p w14:paraId="0FBCDFC5" w14:textId="77777777" w:rsidR="004F376B" w:rsidRDefault="004F376B" w:rsidP="004F376B">
      <w:pPr>
        <w:pStyle w:val="References"/>
        <w:spacing w:after="0"/>
      </w:pPr>
      <w:bookmarkStart w:id="56" w:name="_ENREF_25"/>
      <w:r>
        <w:t xml:space="preserve">Marshall, K. (2011) </w:t>
      </w:r>
      <w:r w:rsidRPr="004F376B">
        <w:rPr>
          <w:i/>
        </w:rPr>
        <w:t>Generational change in paid and unpaid work,</w:t>
      </w:r>
      <w:r>
        <w:t xml:space="preserve"> catalogue number 11-008-X, </w:t>
      </w:r>
      <w:bookmarkEnd w:id="56"/>
    </w:p>
    <w:p w14:paraId="6C952EF9" w14:textId="77777777" w:rsidR="004F376B" w:rsidRDefault="004F376B" w:rsidP="004F376B">
      <w:pPr>
        <w:pStyle w:val="References"/>
        <w:spacing w:after="0"/>
      </w:pPr>
      <w:bookmarkStart w:id="57" w:name="_ENREF_26"/>
      <w:r>
        <w:t xml:space="preserve">Newspoll (2008) </w:t>
      </w:r>
      <w:r w:rsidRPr="004F376B">
        <w:rPr>
          <w:i/>
        </w:rPr>
        <w:t>Out of School Hours Care Study (Prepared for National Foundation for Australian Women)</w:t>
      </w:r>
      <w:r>
        <w:t>,</w:t>
      </w:r>
      <w:r w:rsidRPr="004F376B">
        <w:rPr>
          <w:i/>
        </w:rPr>
        <w:t xml:space="preserve"> </w:t>
      </w:r>
      <w:r>
        <w:t xml:space="preserve"> </w:t>
      </w:r>
      <w:bookmarkEnd w:id="57"/>
    </w:p>
    <w:p w14:paraId="75C83B96" w14:textId="77777777" w:rsidR="004F376B" w:rsidRDefault="004F376B" w:rsidP="004F376B">
      <w:pPr>
        <w:pStyle w:val="References"/>
        <w:spacing w:after="0"/>
      </w:pPr>
      <w:bookmarkStart w:id="58" w:name="_ENREF_27"/>
      <w:r>
        <w:t xml:space="preserve">Norton, A. (2012) </w:t>
      </w:r>
      <w:r w:rsidRPr="004F376B">
        <w:rPr>
          <w:i/>
        </w:rPr>
        <w:t>Mapping Australian Higher Education</w:t>
      </w:r>
      <w:r>
        <w:t>,</w:t>
      </w:r>
      <w:r w:rsidRPr="004F376B">
        <w:rPr>
          <w:i/>
        </w:rPr>
        <w:t xml:space="preserve"> </w:t>
      </w:r>
      <w:r>
        <w:t xml:space="preserve">Grattan Institute </w:t>
      </w:r>
      <w:bookmarkEnd w:id="58"/>
    </w:p>
    <w:p w14:paraId="1DE14A3F" w14:textId="27B8C60B" w:rsidR="004F376B" w:rsidRDefault="004F376B" w:rsidP="004F376B">
      <w:pPr>
        <w:pStyle w:val="References"/>
        <w:spacing w:after="0"/>
      </w:pPr>
      <w:bookmarkStart w:id="59" w:name="_ENREF_28"/>
      <w:r>
        <w:t xml:space="preserve">OECD (2010) </w:t>
      </w:r>
      <w:r w:rsidRPr="004F376B">
        <w:rPr>
          <w:i/>
        </w:rPr>
        <w:t>Labour force statistics by sex and age</w:t>
      </w:r>
      <w:r>
        <w:t xml:space="preserve">,  Labour Market Statisticsfrom </w:t>
      </w:r>
      <w:hyperlink r:id="rId23" w:history="1">
        <w:r w:rsidRPr="004F376B">
          <w:rPr>
            <w:rStyle w:val="Hyperlink"/>
            <w:rFonts w:cs="Arial"/>
          </w:rPr>
          <w:t>http://www.oecd-ilibrary.org/employment/data/labour-market-statistics/labour-force-statistics-by-sex-and-age-indicators_data-00310-en;jsessionid=4g7nekik2m6bs.delta?isPartOf=/content/datacollection/lfs-lms-data-en</w:t>
        </w:r>
        <w:bookmarkEnd w:id="59"/>
      </w:hyperlink>
    </w:p>
    <w:p w14:paraId="3E390A78" w14:textId="77777777" w:rsidR="004F376B" w:rsidRDefault="004F376B" w:rsidP="004F376B">
      <w:pPr>
        <w:pStyle w:val="References"/>
        <w:spacing w:after="0"/>
      </w:pPr>
      <w:bookmarkStart w:id="60" w:name="_ENREF_29"/>
      <w:r>
        <w:t xml:space="preserve">OECD (2011) 'Chapter4. Reducing barriers to parental employment', in </w:t>
      </w:r>
      <w:r w:rsidRPr="004F376B">
        <w:rPr>
          <w:i/>
        </w:rPr>
        <w:t xml:space="preserve">Doing </w:t>
      </w:r>
      <w:r w:rsidRPr="004F376B">
        <w:rPr>
          <w:i/>
        </w:rPr>
        <w:lastRenderedPageBreak/>
        <w:t>Better for Families</w:t>
      </w:r>
      <w:r>
        <w:t xml:space="preserve">, </w:t>
      </w:r>
      <w:bookmarkEnd w:id="60"/>
    </w:p>
    <w:p w14:paraId="67C38727" w14:textId="77777777" w:rsidR="004F376B" w:rsidRDefault="004F376B" w:rsidP="004F376B">
      <w:pPr>
        <w:pStyle w:val="References"/>
        <w:spacing w:after="0"/>
      </w:pPr>
      <w:bookmarkStart w:id="61" w:name="_ENREF_30"/>
      <w:r>
        <w:t xml:space="preserve">Productivity Commission (2009) </w:t>
      </w:r>
      <w:r w:rsidRPr="004F376B">
        <w:rPr>
          <w:i/>
        </w:rPr>
        <w:t xml:space="preserve">Paid Parental Leave: Support for Parents with Newborn Children, </w:t>
      </w:r>
      <w:r>
        <w:t xml:space="preserve">Canberra, </w:t>
      </w:r>
      <w:bookmarkEnd w:id="61"/>
    </w:p>
    <w:p w14:paraId="495BC35F" w14:textId="77777777" w:rsidR="004F376B" w:rsidRDefault="004F376B" w:rsidP="004F376B">
      <w:pPr>
        <w:pStyle w:val="References"/>
        <w:spacing w:after="0"/>
      </w:pPr>
      <w:bookmarkStart w:id="62" w:name="_ENREF_31"/>
      <w:r>
        <w:t xml:space="preserve">Rush, E. (2006) </w:t>
      </w:r>
      <w:r w:rsidRPr="004F376B">
        <w:rPr>
          <w:i/>
        </w:rPr>
        <w:t>Child Care Quality in Australia (Discussion Paper Number 84)</w:t>
      </w:r>
      <w:r>
        <w:t>,</w:t>
      </w:r>
      <w:r w:rsidRPr="004F376B">
        <w:rPr>
          <w:i/>
        </w:rPr>
        <w:t xml:space="preserve"> </w:t>
      </w:r>
      <w:r>
        <w:t xml:space="preserve">The Australia Institute </w:t>
      </w:r>
      <w:bookmarkEnd w:id="62"/>
    </w:p>
    <w:p w14:paraId="3918EF6C" w14:textId="77777777" w:rsidR="004F376B" w:rsidRDefault="004F376B" w:rsidP="004F376B">
      <w:pPr>
        <w:pStyle w:val="References"/>
        <w:spacing w:after="0"/>
      </w:pPr>
      <w:bookmarkStart w:id="63" w:name="_ENREF_32"/>
      <w:r>
        <w:t xml:space="preserve">Schwarz, P. (2012) 'Tax disincentives and female employment in OECD countries', </w:t>
      </w:r>
      <w:r w:rsidRPr="004F376B">
        <w:rPr>
          <w:i/>
        </w:rPr>
        <w:t>Journal of European Social Policy</w:t>
      </w:r>
      <w:r>
        <w:t xml:space="preserve">, 22(17), </w:t>
      </w:r>
      <w:bookmarkEnd w:id="63"/>
    </w:p>
    <w:p w14:paraId="52A7EEAF" w14:textId="77777777" w:rsidR="004F376B" w:rsidRDefault="004F376B" w:rsidP="004F376B">
      <w:pPr>
        <w:pStyle w:val="References"/>
        <w:spacing w:after="0"/>
      </w:pPr>
      <w:bookmarkStart w:id="64" w:name="_ENREF_33"/>
      <w:r>
        <w:t xml:space="preserve">Shpancer, N. (2006) 'The effects of daycare: Persistent questions, elusive answers', </w:t>
      </w:r>
      <w:r w:rsidRPr="004F376B">
        <w:rPr>
          <w:i/>
        </w:rPr>
        <w:t>Early Childhood Research Quarterly</w:t>
      </w:r>
      <w:r>
        <w:t>, 21(2), p 227-237</w:t>
      </w:r>
      <w:bookmarkEnd w:id="64"/>
    </w:p>
    <w:p w14:paraId="177BF0B9" w14:textId="77777777" w:rsidR="004F376B" w:rsidRDefault="004F376B" w:rsidP="004F376B">
      <w:pPr>
        <w:pStyle w:val="References"/>
        <w:spacing w:after="0"/>
      </w:pPr>
      <w:bookmarkStart w:id="65" w:name="_ENREF_34"/>
      <w:r>
        <w:t xml:space="preserve">Smith, J. (2007) 'Time Use Among New Mothers, the Economic Value of Unpaid Care Work and Gender Aspects of Superannuation Tax Concessions', </w:t>
      </w:r>
      <w:r w:rsidRPr="004F376B">
        <w:rPr>
          <w:i/>
        </w:rPr>
        <w:t>Australian Journal of Labour Economics</w:t>
      </w:r>
      <w:r>
        <w:t>, 10(2), p 99-114</w:t>
      </w:r>
      <w:bookmarkEnd w:id="65"/>
    </w:p>
    <w:p w14:paraId="78A5BF85" w14:textId="77777777" w:rsidR="004F376B" w:rsidRDefault="004F376B" w:rsidP="004F376B">
      <w:pPr>
        <w:pStyle w:val="References"/>
        <w:spacing w:after="0"/>
      </w:pPr>
      <w:bookmarkStart w:id="66" w:name="_ENREF_35"/>
      <w:r>
        <w:t xml:space="preserve">Statistics Canada (2011) </w:t>
      </w:r>
      <w:r w:rsidRPr="004F376B">
        <w:rPr>
          <w:i/>
        </w:rPr>
        <w:t>Women in Canada: a Gender-Based Statistical Report</w:t>
      </w:r>
      <w:r>
        <w:t xml:space="preserve">, </w:t>
      </w:r>
      <w:bookmarkEnd w:id="66"/>
    </w:p>
    <w:p w14:paraId="1F39AAD4" w14:textId="77777777" w:rsidR="004F376B" w:rsidRDefault="004F376B" w:rsidP="004F376B">
      <w:pPr>
        <w:pStyle w:val="References"/>
        <w:spacing w:after="0"/>
      </w:pPr>
      <w:bookmarkStart w:id="67" w:name="_ENREF_36"/>
      <w:r>
        <w:t xml:space="preserve">Statistics Canada (2012) </w:t>
      </w:r>
      <w:r w:rsidRPr="004F376B">
        <w:rPr>
          <w:i/>
        </w:rPr>
        <w:t>Labour force survey estimates (LFS), by sex and age group, seasonally adjusted and unadjusted</w:t>
      </w:r>
      <w:r>
        <w:t xml:space="preserve">, </w:t>
      </w:r>
      <w:bookmarkEnd w:id="67"/>
    </w:p>
    <w:p w14:paraId="0055CBA8" w14:textId="77777777" w:rsidR="004F376B" w:rsidRDefault="004F376B" w:rsidP="004F376B">
      <w:pPr>
        <w:pStyle w:val="References"/>
        <w:spacing w:after="0"/>
      </w:pPr>
      <w:bookmarkStart w:id="68" w:name="_ENREF_37"/>
      <w:r>
        <w:t xml:space="preserve">Trewin, D. (1997) </w:t>
      </w:r>
      <w:r w:rsidRPr="004F376B">
        <w:rPr>
          <w:i/>
        </w:rPr>
        <w:t>Unpaid Work and the Australian Economy</w:t>
      </w:r>
      <w:r>
        <w:t xml:space="preserve">, </w:t>
      </w:r>
      <w:bookmarkEnd w:id="68"/>
    </w:p>
    <w:p w14:paraId="2732DD54" w14:textId="77777777" w:rsidR="004F376B" w:rsidRDefault="004F376B" w:rsidP="004F376B">
      <w:pPr>
        <w:pStyle w:val="References"/>
      </w:pPr>
      <w:bookmarkStart w:id="69" w:name="_ENREF_38"/>
      <w:r>
        <w:t xml:space="preserve">Tsounta, E. (2006) </w:t>
      </w:r>
      <w:r w:rsidRPr="004F376B">
        <w:rPr>
          <w:i/>
        </w:rPr>
        <w:t xml:space="preserve">Why are women working so much more in Canada? </w:t>
      </w:r>
      <w:r>
        <w:t>,</w:t>
      </w:r>
      <w:r w:rsidRPr="004F376B">
        <w:rPr>
          <w:i/>
        </w:rPr>
        <w:t xml:space="preserve"> </w:t>
      </w:r>
      <w:r>
        <w:t xml:space="preserve">International Monetary Fund </w:t>
      </w:r>
      <w:bookmarkEnd w:id="69"/>
    </w:p>
    <w:p w14:paraId="2D4A112F" w14:textId="7672A50D" w:rsidR="004F376B" w:rsidRDefault="004F376B" w:rsidP="004F376B">
      <w:pPr>
        <w:pStyle w:val="References"/>
      </w:pPr>
    </w:p>
    <w:p w14:paraId="51E50D23" w14:textId="77777777" w:rsidR="001E3F49" w:rsidRDefault="00CB2013" w:rsidP="001E3F49">
      <w:pPr>
        <w:pStyle w:val="References"/>
        <w:sectPr w:rsidR="001E3F49" w:rsidSect="001E3F49">
          <w:endnotePr>
            <w:numFmt w:val="decimal"/>
          </w:endnotePr>
          <w:type w:val="continuous"/>
          <w:pgSz w:w="16838" w:h="11906" w:orient="landscape"/>
          <w:pgMar w:top="2155" w:right="1418" w:bottom="1588" w:left="1814" w:header="851" w:footer="1191" w:gutter="0"/>
          <w:cols w:num="2" w:space="708"/>
          <w:docGrid w:linePitch="360"/>
        </w:sectPr>
      </w:pPr>
      <w:r w:rsidRPr="0078197F">
        <w:fldChar w:fldCharType="end"/>
      </w:r>
    </w:p>
    <w:p w14:paraId="3DD8488C" w14:textId="77777777" w:rsidR="001E3F49" w:rsidRPr="001E3F49" w:rsidRDefault="001E3F49" w:rsidP="001E3F49">
      <w:pPr>
        <w:pStyle w:val="References"/>
        <w:sectPr w:rsidR="001E3F49" w:rsidRPr="001E3F49" w:rsidSect="001E3F49">
          <w:endnotePr>
            <w:numFmt w:val="decimal"/>
          </w:endnotePr>
          <w:pgSz w:w="16838" w:h="11906" w:orient="landscape"/>
          <w:pgMar w:top="2155" w:right="1418" w:bottom="1588" w:left="1814" w:header="851" w:footer="1191" w:gutter="0"/>
          <w:cols w:num="2" w:space="708"/>
          <w:docGrid w:linePitch="360"/>
        </w:sectPr>
      </w:pPr>
    </w:p>
    <w:p w14:paraId="20904592" w14:textId="77777777" w:rsidR="001E3F49" w:rsidRDefault="001E3F49" w:rsidP="001E3F49">
      <w:pPr>
        <w:pStyle w:val="BodyText"/>
        <w:widowControl w:val="0"/>
        <w:spacing w:after="0"/>
        <w:rPr>
          <w:b/>
          <w:sz w:val="24"/>
          <w:szCs w:val="24"/>
        </w:rPr>
      </w:pPr>
    </w:p>
    <w:p w14:paraId="6D6FB973" w14:textId="3FB30047" w:rsidR="001E3F49" w:rsidRPr="00A53A64" w:rsidRDefault="001E3F49" w:rsidP="001E3F49">
      <w:pPr>
        <w:pStyle w:val="BodyText"/>
        <w:widowControl w:val="0"/>
        <w:spacing w:after="0"/>
        <w:rPr>
          <w:b/>
          <w:sz w:val="24"/>
          <w:szCs w:val="24"/>
        </w:rPr>
      </w:pPr>
      <w:r>
        <w:rPr>
          <w:b/>
          <w:sz w:val="24"/>
          <w:szCs w:val="24"/>
        </w:rPr>
        <w:t>Contact details</w:t>
      </w:r>
    </w:p>
    <w:p w14:paraId="722A5A93" w14:textId="77777777" w:rsidR="001E3F49" w:rsidRDefault="001E3F49" w:rsidP="001E3F49">
      <w:pPr>
        <w:pStyle w:val="BodyText"/>
        <w:spacing w:after="0"/>
        <w:rPr>
          <w:sz w:val="24"/>
        </w:rPr>
      </w:pPr>
    </w:p>
    <w:p w14:paraId="5DE1A586" w14:textId="77777777" w:rsidR="001E3F49" w:rsidRPr="00A53A64" w:rsidRDefault="001E3F49" w:rsidP="001E3F49">
      <w:pPr>
        <w:pStyle w:val="BodyText"/>
        <w:spacing w:after="0"/>
        <w:rPr>
          <w:sz w:val="24"/>
        </w:rPr>
      </w:pPr>
      <w:r w:rsidRPr="00A53A64">
        <w:rPr>
          <w:sz w:val="24"/>
        </w:rPr>
        <w:t>John Daley</w:t>
      </w:r>
      <w:r>
        <w:rPr>
          <w:sz w:val="24"/>
        </w:rPr>
        <w:tab/>
      </w:r>
      <w:r>
        <w:rPr>
          <w:sz w:val="24"/>
        </w:rPr>
        <w:tab/>
      </w:r>
      <w:r>
        <w:rPr>
          <w:sz w:val="24"/>
        </w:rPr>
        <w:tab/>
      </w:r>
      <w:r>
        <w:rPr>
          <w:sz w:val="24"/>
        </w:rPr>
        <w:tab/>
      </w:r>
      <w:r>
        <w:rPr>
          <w:sz w:val="24"/>
        </w:rPr>
        <w:tab/>
      </w:r>
      <w:r>
        <w:rPr>
          <w:sz w:val="24"/>
        </w:rPr>
        <w:tab/>
      </w:r>
      <w:r>
        <w:rPr>
          <w:sz w:val="24"/>
        </w:rPr>
        <w:tab/>
        <w:t>Cassie McGannon</w:t>
      </w:r>
    </w:p>
    <w:p w14:paraId="3497E3B7" w14:textId="77777777" w:rsidR="001E3F49" w:rsidRPr="00A53A64" w:rsidRDefault="001E3F49" w:rsidP="001E3F49">
      <w:pPr>
        <w:pStyle w:val="BodyText"/>
        <w:spacing w:after="0"/>
        <w:rPr>
          <w:sz w:val="24"/>
        </w:rPr>
      </w:pPr>
      <w:r w:rsidRPr="00A53A64">
        <w:rPr>
          <w:sz w:val="24"/>
        </w:rPr>
        <w:t>Chief Executive Officer</w:t>
      </w:r>
      <w:r>
        <w:rPr>
          <w:sz w:val="24"/>
        </w:rPr>
        <w:tab/>
      </w:r>
      <w:r>
        <w:rPr>
          <w:sz w:val="24"/>
        </w:rPr>
        <w:tab/>
      </w:r>
      <w:r>
        <w:rPr>
          <w:sz w:val="24"/>
        </w:rPr>
        <w:tab/>
      </w:r>
      <w:r>
        <w:rPr>
          <w:sz w:val="24"/>
        </w:rPr>
        <w:tab/>
      </w:r>
      <w:r>
        <w:rPr>
          <w:sz w:val="24"/>
        </w:rPr>
        <w:tab/>
        <w:t>Fellow, Australian Perspectives</w:t>
      </w:r>
      <w:r>
        <w:rPr>
          <w:sz w:val="24"/>
        </w:rPr>
        <w:tab/>
      </w:r>
    </w:p>
    <w:p w14:paraId="4207BBBF" w14:textId="77777777" w:rsidR="001E3F49" w:rsidRDefault="001E3F49" w:rsidP="001E3F49">
      <w:pPr>
        <w:pStyle w:val="BodyText"/>
        <w:spacing w:after="0"/>
        <w:rPr>
          <w:sz w:val="24"/>
        </w:rPr>
      </w:pPr>
    </w:p>
    <w:p w14:paraId="498F69F1" w14:textId="77777777" w:rsidR="001E3F49" w:rsidRDefault="001E3F49" w:rsidP="001E3F49">
      <w:pPr>
        <w:pStyle w:val="BodyText"/>
        <w:spacing w:after="0"/>
        <w:rPr>
          <w:sz w:val="24"/>
        </w:rPr>
      </w:pPr>
    </w:p>
    <w:p w14:paraId="52C24D39" w14:textId="77777777" w:rsidR="007A1208" w:rsidRDefault="007A1208" w:rsidP="001E3F49">
      <w:pPr>
        <w:pStyle w:val="BodyText"/>
        <w:spacing w:after="0"/>
        <w:rPr>
          <w:sz w:val="24"/>
        </w:rPr>
      </w:pPr>
    </w:p>
    <w:p w14:paraId="0319535C" w14:textId="77777777" w:rsidR="007A1208" w:rsidRDefault="007A1208" w:rsidP="001E3F49">
      <w:pPr>
        <w:pStyle w:val="BodyText"/>
        <w:spacing w:after="0"/>
        <w:rPr>
          <w:sz w:val="24"/>
        </w:rPr>
      </w:pPr>
      <w:bookmarkStart w:id="70" w:name="_GoBack"/>
      <w:bookmarkEnd w:id="70"/>
    </w:p>
    <w:p w14:paraId="25527A3E" w14:textId="77777777" w:rsidR="001E3F49" w:rsidRDefault="001E3F49" w:rsidP="001E3F49">
      <w:pPr>
        <w:pStyle w:val="BodyText"/>
        <w:spacing w:after="0"/>
        <w:rPr>
          <w:sz w:val="24"/>
        </w:rPr>
      </w:pPr>
    </w:p>
    <w:p w14:paraId="3CE6F4E2" w14:textId="77777777" w:rsidR="001E3F49" w:rsidRDefault="001E3F49" w:rsidP="001E3F49">
      <w:pPr>
        <w:pStyle w:val="BodyText"/>
        <w:spacing w:after="0"/>
        <w:rPr>
          <w:sz w:val="24"/>
        </w:rPr>
      </w:pPr>
      <w:r>
        <w:rPr>
          <w:sz w:val="24"/>
        </w:rPr>
        <w:t>Grattan Institute</w:t>
      </w:r>
    </w:p>
    <w:p w14:paraId="034D6204" w14:textId="77777777" w:rsidR="001E3F49" w:rsidRPr="00A53A64" w:rsidRDefault="001E3F49" w:rsidP="001E3F49">
      <w:pPr>
        <w:pStyle w:val="BodyText"/>
        <w:spacing w:after="0"/>
        <w:rPr>
          <w:sz w:val="24"/>
        </w:rPr>
      </w:pPr>
      <w:r w:rsidRPr="00A53A64">
        <w:rPr>
          <w:sz w:val="24"/>
        </w:rPr>
        <w:t>8 Malvina Place, Carlton VIC 3053</w:t>
      </w:r>
    </w:p>
    <w:p w14:paraId="4AB5D3BF" w14:textId="77777777" w:rsidR="001E3F49" w:rsidRDefault="00930090" w:rsidP="001E3F49">
      <w:pPr>
        <w:pStyle w:val="BodyText"/>
        <w:spacing w:after="0"/>
        <w:rPr>
          <w:rStyle w:val="Hyperlink"/>
          <w:rFonts w:cs="Arial"/>
          <w:color w:val="FE8B3B" w:themeColor="background1"/>
          <w:sz w:val="24"/>
        </w:rPr>
      </w:pPr>
      <w:hyperlink r:id="rId24" w:history="1">
        <w:r w:rsidR="001E3F49" w:rsidRPr="00A53A64">
          <w:rPr>
            <w:rStyle w:val="Hyperlink"/>
            <w:rFonts w:cs="Arial"/>
            <w:color w:val="FE8B3B" w:themeColor="background1"/>
            <w:sz w:val="24"/>
          </w:rPr>
          <w:t>www.grattan.edu.au</w:t>
        </w:r>
      </w:hyperlink>
    </w:p>
    <w:p w14:paraId="3C892B3E" w14:textId="77777777" w:rsidR="001E3F49" w:rsidRDefault="001E3F49" w:rsidP="001E3F49">
      <w:pPr>
        <w:pStyle w:val="BodyText"/>
        <w:spacing w:after="0"/>
        <w:rPr>
          <w:color w:val="FE8B3B" w:themeColor="background1"/>
          <w:sz w:val="24"/>
        </w:rPr>
      </w:pPr>
    </w:p>
    <w:p w14:paraId="754CC6BB" w14:textId="1629868D" w:rsidR="001E3F49" w:rsidRDefault="001E3F49" w:rsidP="001E3F49">
      <w:pPr>
        <w:pStyle w:val="NormalWeb"/>
        <w:spacing w:before="0" w:beforeAutospacing="0" w:after="240" w:afterAutospacing="0" w:line="285" w:lineRule="atLeast"/>
        <w:textAlignment w:val="baseline"/>
        <w:rPr>
          <w:color w:val="FE8B3B" w:themeColor="background1"/>
        </w:rPr>
      </w:pPr>
      <w:r w:rsidRPr="00A53A64">
        <w:rPr>
          <w:rFonts w:ascii="Arial" w:hAnsi="Arial" w:cs="Arial"/>
          <w:i/>
          <w:szCs w:val="20"/>
        </w:rPr>
        <w:t xml:space="preserve">Grattan Institute contributes to public policy in Australia as a liberal democracy in a globalised economy. Our work is independent, rigorous and practical. We foster informed </w:t>
      </w:r>
      <w:r>
        <w:rPr>
          <w:rFonts w:ascii="Arial" w:hAnsi="Arial" w:cs="Arial"/>
          <w:i/>
          <w:szCs w:val="20"/>
        </w:rPr>
        <w:t xml:space="preserve">public debate on the key issues </w:t>
      </w:r>
      <w:r w:rsidRPr="00A53A64">
        <w:rPr>
          <w:rFonts w:ascii="Arial" w:hAnsi="Arial" w:cs="Arial"/>
          <w:i/>
          <w:szCs w:val="20"/>
        </w:rPr>
        <w:t xml:space="preserve">for Australia, through both private forums and public events, engaging key decision </w:t>
      </w:r>
      <w:r>
        <w:rPr>
          <w:rFonts w:ascii="Arial" w:hAnsi="Arial" w:cs="Arial"/>
          <w:i/>
          <w:szCs w:val="20"/>
        </w:rPr>
        <w:t>makers and the broader community</w:t>
      </w:r>
      <w:r w:rsidRPr="00A53A64">
        <w:rPr>
          <w:rFonts w:ascii="Arial" w:hAnsi="Arial" w:cs="Arial"/>
          <w:i/>
          <w:szCs w:val="20"/>
        </w:rPr>
        <w:t>.</w:t>
      </w:r>
    </w:p>
    <w:p w14:paraId="6EC2EE87" w14:textId="77777777" w:rsidR="001E3F49" w:rsidRPr="001E3F49" w:rsidRDefault="001E3F49" w:rsidP="001E3F49">
      <w:pPr>
        <w:pStyle w:val="BodyText"/>
        <w:rPr>
          <w:i/>
          <w:sz w:val="24"/>
          <w:szCs w:val="20"/>
        </w:rPr>
      </w:pPr>
      <w:r w:rsidRPr="001E3F49">
        <w:rPr>
          <w:i/>
          <w:sz w:val="24"/>
          <w:szCs w:val="20"/>
        </w:rPr>
        <w:t>The opinions in this report are those of the authors and do not necessarily represent the views of Grattan Institute’s founding members, affiliates, individual board members or reference group members. Any remaining errors or omissions are the responsibility of the authors.</w:t>
      </w:r>
    </w:p>
    <w:p w14:paraId="0F69F404" w14:textId="77777777" w:rsidR="001E3F49" w:rsidRPr="001E3F49" w:rsidRDefault="001E3F49" w:rsidP="001103E3">
      <w:pPr>
        <w:pStyle w:val="References"/>
        <w:rPr>
          <w:i/>
          <w:noProof w:val="0"/>
          <w:sz w:val="24"/>
          <w:szCs w:val="20"/>
        </w:rPr>
        <w:sectPr w:rsidR="001E3F49" w:rsidRPr="001E3F49" w:rsidSect="001E3F49">
          <w:endnotePr>
            <w:numFmt w:val="decimal"/>
          </w:endnotePr>
          <w:type w:val="continuous"/>
          <w:pgSz w:w="16838" w:h="11906" w:orient="landscape"/>
          <w:pgMar w:top="1278" w:right="1418" w:bottom="1588" w:left="1814" w:header="851" w:footer="1191" w:gutter="0"/>
          <w:cols w:space="708"/>
          <w:docGrid w:linePitch="360"/>
        </w:sectPr>
      </w:pPr>
    </w:p>
    <w:p w14:paraId="03F77AAE" w14:textId="521B8BFD" w:rsidR="008B68EB" w:rsidRDefault="008B68EB" w:rsidP="001103E3">
      <w:pPr>
        <w:pStyle w:val="References"/>
      </w:pPr>
    </w:p>
    <w:p w14:paraId="29217C24" w14:textId="77777777" w:rsidR="001E3F49" w:rsidRDefault="001E3F49" w:rsidP="001E3F49">
      <w:pPr>
        <w:pStyle w:val="BodyText"/>
        <w:spacing w:after="0"/>
        <w:rPr>
          <w:sz w:val="24"/>
        </w:rPr>
      </w:pPr>
      <w:r>
        <w:rPr>
          <w:sz w:val="24"/>
        </w:rPr>
        <w:t xml:space="preserve">The authors wish to acknowledge Leah </w:t>
      </w:r>
      <w:proofErr w:type="spellStart"/>
      <w:r>
        <w:rPr>
          <w:sz w:val="24"/>
        </w:rPr>
        <w:t>Ginnivan</w:t>
      </w:r>
      <w:proofErr w:type="spellEnd"/>
      <w:r>
        <w:rPr>
          <w:sz w:val="24"/>
        </w:rPr>
        <w:t>, who made a substantial contribution to the research that underpins this submission.</w:t>
      </w:r>
    </w:p>
    <w:p w14:paraId="59C9ADE8" w14:textId="3C581E5D" w:rsidR="001E3F49" w:rsidRPr="001103E3" w:rsidRDefault="001E3F49" w:rsidP="001103E3">
      <w:pPr>
        <w:pStyle w:val="References"/>
      </w:pPr>
    </w:p>
    <w:sectPr w:rsidR="001E3F49" w:rsidRPr="001103E3" w:rsidSect="001E3F49">
      <w:endnotePr>
        <w:numFmt w:val="decimal"/>
      </w:endnotePr>
      <w:type w:val="continuous"/>
      <w:pgSz w:w="16838" w:h="11906" w:orient="landscape"/>
      <w:pgMar w:top="1278" w:right="1418" w:bottom="1588" w:left="1814" w:header="851"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1573F" w14:textId="77777777" w:rsidR="0027786B" w:rsidRDefault="0027786B" w:rsidP="00A73376">
      <w:pPr>
        <w:ind w:left="0"/>
      </w:pPr>
      <w:r>
        <w:separator/>
      </w:r>
    </w:p>
  </w:endnote>
  <w:endnote w:type="continuationSeparator" w:id="0">
    <w:p w14:paraId="784A438C" w14:textId="77777777" w:rsidR="0027786B" w:rsidRPr="00746920" w:rsidRDefault="0027786B" w:rsidP="00A73376">
      <w:pPr>
        <w:pStyle w:val="End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8D64A" w14:textId="77777777" w:rsidR="001E3F49" w:rsidRPr="00361FD4" w:rsidRDefault="001E3F49" w:rsidP="006F7D52">
    <w:pPr>
      <w:pStyle w:val="FooterReport"/>
      <w:tabs>
        <w:tab w:val="clear" w:pos="4153"/>
        <w:tab w:val="clear" w:pos="8306"/>
        <w:tab w:val="right" w:pos="13608"/>
      </w:tabs>
    </w:pPr>
    <w:r>
      <w:rPr>
        <w:rStyle w:val="PageNumber"/>
        <w:rFonts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0F82" w14:textId="77777777" w:rsidR="001E3F49" w:rsidRPr="00361FD4" w:rsidRDefault="001E3F49" w:rsidP="006F7D52">
    <w:pPr>
      <w:pStyle w:val="FooterReport"/>
      <w:tabs>
        <w:tab w:val="clear" w:pos="4153"/>
        <w:tab w:val="clear" w:pos="8306"/>
        <w:tab w:val="right" w:pos="13608"/>
      </w:tabs>
    </w:pPr>
    <w:r w:rsidRPr="00D34C57">
      <w:t>Grattan Institute</w:t>
    </w:r>
    <w:r>
      <w:rPr>
        <w:lang w:val="en-AU" w:eastAsia="en-AU"/>
      </w:rPr>
      <mc:AlternateContent>
        <mc:Choice Requires="wps">
          <w:drawing>
            <wp:anchor distT="0" distB="0" distL="114300" distR="114300" simplePos="0" relativeHeight="251662848" behindDoc="0" locked="0" layoutInCell="1" allowOverlap="1" wp14:anchorId="0710E263" wp14:editId="2DC9AB29">
              <wp:simplePos x="0" y="0"/>
              <wp:positionH relativeFrom="column">
                <wp:posOffset>0</wp:posOffset>
              </wp:positionH>
              <wp:positionV relativeFrom="paragraph">
                <wp:posOffset>10160</wp:posOffset>
              </wp:positionV>
              <wp:extent cx="8686800" cy="0"/>
              <wp:effectExtent l="12700" t="10160" r="25400" b="27940"/>
              <wp:wrapTight wrapText="bothSides">
                <wp:wrapPolygon edited="0">
                  <wp:start x="2" y="-2147483648"/>
                  <wp:lineTo x="913" y="-2147483648"/>
                  <wp:lineTo x="913" y="-2147483648"/>
                  <wp:lineTo x="2" y="-2147483648"/>
                  <wp:lineTo x="2" y="-2147483648"/>
                </wp:wrapPolygon>
              </wp:wrapTight>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12700">
                        <a:solidFill>
                          <a:srgbClr val="F8981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684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" strokecolor="#f8981d" strokeweight="1pt">
              <v:fill o:detectmouseclick="t"/>
              <v:shadow opacity="22938f" offset="0"/>
              <w10:wrap type="tight"/>
            </v:line>
          </w:pict>
        </mc:Fallback>
      </mc:AlternateContent>
    </w:r>
    <w:r w:rsidRPr="00D34C57">
      <w:t xml:space="preserve"> 201</w:t>
    </w:r>
    <w:r>
      <w:t>4</w:t>
    </w:r>
    <w:r>
      <w:rPr>
        <w:rStyle w:val="PageNumber"/>
        <w:rFonts w:cs="Arial"/>
      </w:rPr>
      <w:tab/>
    </w:r>
    <w:r w:rsidRPr="00361FD4">
      <w:rPr>
        <w:rStyle w:val="PageNumber"/>
        <w:rFonts w:cs="Arial"/>
      </w:rPr>
      <w:fldChar w:fldCharType="begin"/>
    </w:r>
    <w:r w:rsidRPr="00361FD4">
      <w:rPr>
        <w:rStyle w:val="PageNumber"/>
        <w:rFonts w:cs="Arial"/>
      </w:rPr>
      <w:instrText xml:space="preserve"> PAGE </w:instrText>
    </w:r>
    <w:r w:rsidRPr="00361FD4">
      <w:rPr>
        <w:rStyle w:val="PageNumber"/>
        <w:rFonts w:cs="Arial"/>
      </w:rPr>
      <w:fldChar w:fldCharType="separate"/>
    </w:r>
    <w:r w:rsidR="009A722C">
      <w:rPr>
        <w:rStyle w:val="PageNumber"/>
        <w:rFonts w:cs="Arial"/>
      </w:rPr>
      <w:t>2</w:t>
    </w:r>
    <w:r w:rsidRPr="00361FD4">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6BB2C" w14:textId="77777777" w:rsidR="0027786B" w:rsidRDefault="0027786B" w:rsidP="00AC30A5">
      <w:pPr>
        <w:spacing w:before="0"/>
        <w:ind w:left="0"/>
      </w:pPr>
      <w:r>
        <w:separator/>
      </w:r>
    </w:p>
  </w:footnote>
  <w:footnote w:type="continuationSeparator" w:id="0">
    <w:p w14:paraId="6F8BE250" w14:textId="77777777" w:rsidR="0027786B" w:rsidRDefault="0027786B">
      <w:r>
        <w:continuationSeparator/>
      </w:r>
    </w:p>
  </w:footnote>
  <w:footnote w:id="1">
    <w:p w14:paraId="2CB80A67" w14:textId="77777777" w:rsidR="001E3F49" w:rsidRDefault="001E3F49" w:rsidP="005D5000">
      <w:pPr>
        <w:pStyle w:val="FootnoteText"/>
      </w:pPr>
      <w:r>
        <w:rPr>
          <w:rStyle w:val="FootnoteReference"/>
        </w:rPr>
        <w:footnoteRef/>
      </w:r>
      <w:r>
        <w:t xml:space="preserve"> </w:t>
      </w:r>
      <w:r>
        <w:fldChar w:fldCharType="begin"/>
      </w:r>
      <w:r>
        <w:instrText xml:space="preserve"> ADDIN EN.CITE &lt;EndNote&gt;&lt;Cite&gt;&lt;Author&gt;Daley&lt;/Author&gt;&lt;Year&gt;2012&lt;/Year&gt;&lt;RecNum&gt;202&lt;/RecNum&gt;&lt;DisplayText&gt;Daley&lt;style face="italic"&gt;, et al.&lt;/style&gt; (2012)&lt;/DisplayText&gt;&lt;record&gt;&lt;rec-number&gt;202&lt;/rec-number&gt;&lt;foreign-keys&gt;&lt;key app="EN" db-id="ppex2pv97zx2s2edf055dxsb9pwfwev9d5sf"&gt;202&lt;/key&gt;&lt;/foreign-keys&gt;&lt;ref-type name="Report"&gt;27&lt;/ref-type&gt;&lt;contributors&gt;&lt;authors&gt;&lt;author&gt;John Daley&lt;/author&gt;&lt;author&gt;Cassie McGannon&lt;/author&gt;&lt;author&gt;Leah Ginnivan&lt;/author&gt;&lt;/authors&gt;&lt;/contributors&gt;&lt;titles&gt;&lt;title&gt;Game-changers: Economic reform priorities for Australia&lt;/title&gt;&lt;/titles&gt;&lt;dates&gt;&lt;year&gt;2012&lt;/year&gt;&lt;/dates&gt;&lt;publisher&gt;Grattan Institute&lt;/publisher&gt;&lt;urls&gt;&lt;related-urls&gt;&lt;url&gt;http://grattan.edu.au/publications/reports/post/game-changers-economic-reform-priorities-for-australia/&lt;/url&gt;&lt;/related-urls&gt;&lt;/urls&gt;&lt;access-date&gt;2 October 2013&lt;/access-date&gt;&lt;/record&gt;&lt;/Cite&gt;&lt;/EndNote&gt;</w:instrText>
      </w:r>
      <w:r>
        <w:fldChar w:fldCharType="separate"/>
      </w:r>
      <w:r>
        <w:rPr>
          <w:noProof/>
        </w:rPr>
        <w:t>Daley</w:t>
      </w:r>
      <w:r w:rsidRPr="00CB2013">
        <w:rPr>
          <w:i/>
          <w:noProof/>
        </w:rPr>
        <w:t>, et al.</w:t>
      </w:r>
      <w:r>
        <w:rPr>
          <w:noProof/>
        </w:rPr>
        <w:t xml:space="preserve"> (2012)</w:t>
      </w:r>
      <w:r>
        <w:fldChar w:fldCharType="end"/>
      </w:r>
    </w:p>
  </w:footnote>
  <w:footnote w:id="2">
    <w:p w14:paraId="2B73E856" w14:textId="77777777" w:rsidR="001E3F49" w:rsidRPr="004109FC" w:rsidRDefault="001E3F49" w:rsidP="00641447">
      <w:pPr>
        <w:pStyle w:val="FootnoteText"/>
        <w:rPr>
          <w:lang w:val="en-US"/>
        </w:rPr>
      </w:pPr>
      <w:r w:rsidRPr="004109FC">
        <w:rPr>
          <w:rStyle w:val="FootnoteReference"/>
        </w:rPr>
        <w:footnoteRef/>
      </w:r>
      <w:r w:rsidRPr="004109FC">
        <w:t xml:space="preserve"> </w:t>
      </w:r>
      <w:r>
        <w:rPr>
          <w:lang w:val="en-US"/>
        </w:rPr>
        <w:fldChar w:fldCharType="begin"/>
      </w:r>
      <w:r>
        <w:rPr>
          <w:lang w:val="en-US"/>
        </w:rPr>
        <w:instrText xml:space="preserve"> ADDIN EN.CITE &lt;EndNote&gt;&lt;Cite&gt;&lt;Author&gt;ABS&lt;/Author&gt;&lt;Year&gt;2012&lt;/Year&gt;&lt;RecNum&gt;49&lt;/RecNum&gt;&lt;DisplayText&gt;ABS (2012a)&lt;/DisplayText&gt;&lt;record&gt;&lt;rec-number&gt;49&lt;/rec-number&gt;&lt;foreign-keys&gt;&lt;key app="EN" db-id="sax5xzax2wr5ttes9pf5a92yvterpr9xrdve"&gt;49&lt;/key&gt;&lt;/foreign-keys&gt;&lt;ref-type name="Online Database"&gt;45&lt;/ref-type&gt;&lt;contributors&gt;&lt;authors&gt;&lt;author&gt;ABS,&lt;/author&gt;&lt;/authors&gt;&lt;/contributors&gt;&lt;titles&gt;&lt;title&gt;6202.0 - Labour Force, Australia&lt;/title&gt;&lt;/titles&gt;&lt;dates&gt;&lt;year&gt;2012&lt;/year&gt;&lt;/dates&gt;&lt;urls&gt;&lt;related-urls&gt;&lt;url&gt;http://www.abs.gov.au/ausstats/abs@.nsf/mf/6202.0&lt;/url&gt;&lt;/related-urls&gt;&lt;/urls&gt;&lt;/record&gt;&lt;/Cite&gt;&lt;/EndNote&gt;</w:instrText>
      </w:r>
      <w:r>
        <w:rPr>
          <w:lang w:val="en-US"/>
        </w:rPr>
        <w:fldChar w:fldCharType="separate"/>
      </w:r>
      <w:r>
        <w:rPr>
          <w:noProof/>
          <w:lang w:val="en-US"/>
        </w:rPr>
        <w:t>ABS (2012a)</w:t>
      </w:r>
      <w:r>
        <w:rPr>
          <w:lang w:val="en-US"/>
        </w:rPr>
        <w:fldChar w:fldCharType="end"/>
      </w:r>
      <w:r>
        <w:rPr>
          <w:lang w:val="en-US"/>
        </w:rPr>
        <w:t xml:space="preserve"> </w:t>
      </w:r>
      <w:r>
        <w:rPr>
          <w:lang w:val="en-US"/>
        </w:rPr>
        <w:fldChar w:fldCharType="begin"/>
      </w:r>
      <w:r>
        <w:rPr>
          <w:lang w:val="en-US"/>
        </w:rPr>
        <w:instrText xml:space="preserve"> ADDIN EN.CITE &lt;EndNote&gt;&lt;Cite&gt;&lt;Author&gt;ABS&lt;/Author&gt;&lt;Year&gt;2012&lt;/Year&gt;&lt;RecNum&gt;295&lt;/RecNum&gt;&lt;DisplayText&gt;ABS (2012b)&lt;/DisplayText&gt;&lt;record&gt;&lt;rec-number&gt;295&lt;/rec-number&gt;&lt;foreign-keys&gt;&lt;key app="EN" db-id="sax5xzax2wr5ttes9pf5a92yvterpr9xrdve"&gt;295&lt;/key&gt;&lt;/foreign-keys&gt;&lt;ref-type name="Catalog"&gt;8&lt;/ref-type&gt;&lt;contributors&gt;&lt;authors&gt;&lt;author&gt;ABS&lt;/author&gt;&lt;/authors&gt;&lt;secondary-authors&gt;&lt;author&gt;Australian Bureau of Statistics,&lt;/author&gt;&lt;/secondary-authors&gt;&lt;/contributors&gt;&lt;titles&gt;&lt;title&gt;Labour Force, Australia, Detailed&lt;/title&gt;&lt;/titles&gt;&lt;num-vols&gt;6291.0.55.001&lt;/num-vols&gt;&lt;dates&gt;&lt;year&gt;2012&lt;/year&gt;&lt;/dates&gt;&lt;urls&gt;&lt;/urls&gt;&lt;/record&gt;&lt;/Cite&gt;&lt;/EndNote&gt;</w:instrText>
      </w:r>
      <w:r>
        <w:rPr>
          <w:lang w:val="en-US"/>
        </w:rPr>
        <w:fldChar w:fldCharType="separate"/>
      </w:r>
      <w:r>
        <w:rPr>
          <w:noProof/>
          <w:lang w:val="en-US"/>
        </w:rPr>
        <w:t>ABS (2012b)</w:t>
      </w:r>
      <w:r>
        <w:rPr>
          <w:lang w:val="en-US"/>
        </w:rPr>
        <w:fldChar w:fldCharType="end"/>
      </w:r>
      <w:r>
        <w:rPr>
          <w:lang w:val="en-US"/>
        </w:rPr>
        <w:t xml:space="preserve"> – this excludes those looking for work, and is different to the ‘participation rate’ of 82.3% for men and 70.4% for women.</w:t>
      </w:r>
    </w:p>
  </w:footnote>
  <w:footnote w:id="3">
    <w:p w14:paraId="18A4F9B2" w14:textId="77777777" w:rsidR="001E3F49" w:rsidRPr="00486325" w:rsidRDefault="001E3F49" w:rsidP="00641447">
      <w:pPr>
        <w:pStyle w:val="FootnoteText"/>
        <w:rPr>
          <w:lang w:val="en-US"/>
        </w:rPr>
      </w:pPr>
      <w:r w:rsidRPr="004109FC">
        <w:rPr>
          <w:rStyle w:val="FootnoteReference"/>
        </w:rPr>
        <w:footnoteRef/>
      </w:r>
      <w:r w:rsidRPr="004109FC">
        <w:t xml:space="preserve"> </w:t>
      </w:r>
      <w:r>
        <w:rPr>
          <w:lang w:val="en-US"/>
        </w:rPr>
        <w:fldChar w:fldCharType="begin"/>
      </w:r>
      <w:r>
        <w:rPr>
          <w:lang w:val="en-US"/>
        </w:rPr>
        <w:instrText xml:space="preserve"> ADDIN EN.CITE &lt;EndNote&gt;&lt;Cite&gt;&lt;Author&gt;ABS&lt;/Author&gt;&lt;Year&gt;2012&lt;/Year&gt;&lt;RecNum&gt;49&lt;/RecNum&gt;&lt;DisplayText&gt;ABS (2012a)&lt;/DisplayText&gt;&lt;record&gt;&lt;rec-number&gt;49&lt;/rec-number&gt;&lt;foreign-keys&gt;&lt;key app="EN" db-id="sax5xzax2wr5ttes9pf5a92yvterpr9xrdve"&gt;49&lt;/key&gt;&lt;/foreign-keys&gt;&lt;ref-type name="Online Database"&gt;45&lt;/ref-type&gt;&lt;contributors&gt;&lt;authors&gt;&lt;author&gt;ABS,&lt;/author&gt;&lt;/authors&gt;&lt;/contributors&gt;&lt;titles&gt;&lt;title&gt;6202.0 - Labour Force, Australia&lt;/title&gt;&lt;/titles&gt;&lt;dates&gt;&lt;year&gt;2012&lt;/year&gt;&lt;/dates&gt;&lt;urls&gt;&lt;related-urls&gt;&lt;url&gt;http://www.abs.gov.au/ausstats/abs@.nsf/mf/6202.0&lt;/url&gt;&lt;/related-urls&gt;&lt;/urls&gt;&lt;/record&gt;&lt;/Cite&gt;&lt;/EndNote&gt;</w:instrText>
      </w:r>
      <w:r>
        <w:rPr>
          <w:lang w:val="en-US"/>
        </w:rPr>
        <w:fldChar w:fldCharType="separate"/>
      </w:r>
      <w:r>
        <w:rPr>
          <w:noProof/>
          <w:lang w:val="en-US"/>
        </w:rPr>
        <w:t>ABS (2012a)</w:t>
      </w:r>
      <w:r>
        <w:rPr>
          <w:lang w:val="en-US"/>
        </w:rPr>
        <w:fldChar w:fldCharType="end"/>
      </w:r>
      <w:r>
        <w:rPr>
          <w:lang w:val="en-US"/>
        </w:rPr>
        <w:tab/>
      </w:r>
      <w:r>
        <w:rPr>
          <w:lang w:val="en-US"/>
        </w:rPr>
        <w:tab/>
      </w:r>
      <w:r>
        <w:rPr>
          <w:lang w:val="en-US"/>
        </w:rPr>
        <w:tab/>
      </w:r>
      <w:r>
        <w:rPr>
          <w:lang w:val="en-US"/>
        </w:rPr>
        <w:tab/>
      </w:r>
      <w:r>
        <w:rPr>
          <w:lang w:val="en-US"/>
        </w:rPr>
        <w:tab/>
      </w:r>
      <w:r>
        <w:rPr>
          <w:lang w:val="en-US"/>
        </w:rPr>
        <w:tab/>
      </w:r>
      <w:r>
        <w:rPr>
          <w:lang w:val="en-US"/>
        </w:rPr>
        <w:tab/>
      </w:r>
    </w:p>
  </w:footnote>
  <w:footnote w:id="4">
    <w:p w14:paraId="0C0BDBF6" w14:textId="222013AF" w:rsidR="001E3F49" w:rsidRPr="00AF427D" w:rsidRDefault="001E3F49" w:rsidP="00641447">
      <w:pPr>
        <w:pStyle w:val="FootnoteText"/>
        <w:rPr>
          <w:lang w:val="en-US"/>
        </w:rPr>
      </w:pPr>
      <w:r>
        <w:rPr>
          <w:rStyle w:val="FootnoteReference"/>
        </w:rPr>
        <w:footnoteRef/>
      </w:r>
      <w:r>
        <w:t xml:space="preserve"> Women</w:t>
      </w:r>
      <w:r w:rsidRPr="0016645E">
        <w:rPr>
          <w:lang w:val="en-GB"/>
        </w:rPr>
        <w:t xml:space="preserve"> </w:t>
      </w:r>
      <w:r w:rsidRPr="00AD735B">
        <w:rPr>
          <w:i/>
          <w:lang w:val="en-GB"/>
        </w:rPr>
        <w:t xml:space="preserve">without </w:t>
      </w:r>
      <w:r w:rsidRPr="0016645E">
        <w:rPr>
          <w:lang w:val="en-GB"/>
        </w:rPr>
        <w:t xml:space="preserve">children </w:t>
      </w:r>
      <w:r>
        <w:rPr>
          <w:lang w:val="en-GB"/>
        </w:rPr>
        <w:t xml:space="preserve">also </w:t>
      </w:r>
      <w:r w:rsidRPr="0016645E">
        <w:rPr>
          <w:lang w:val="en-GB"/>
        </w:rPr>
        <w:t xml:space="preserve">participate less in full time work from their </w:t>
      </w:r>
      <w:proofErr w:type="spellStart"/>
      <w:r w:rsidRPr="0016645E">
        <w:rPr>
          <w:lang w:val="en-GB"/>
        </w:rPr>
        <w:t>30s</w:t>
      </w:r>
      <w:proofErr w:type="spellEnd"/>
      <w:r w:rsidRPr="0016645E">
        <w:rPr>
          <w:lang w:val="en-GB"/>
        </w:rPr>
        <w:t xml:space="preserve"> </w:t>
      </w:r>
      <w:proofErr w:type="spellStart"/>
      <w:r w:rsidRPr="0016645E">
        <w:rPr>
          <w:lang w:val="en-GB"/>
        </w:rPr>
        <w:t>onwards</w:t>
      </w:r>
      <w:r>
        <w:rPr>
          <w:lang w:val="en-GB"/>
        </w:rPr>
        <w:t>:</w:t>
      </w:r>
      <w:r>
        <w:rPr>
          <w:lang w:val="en-GB"/>
        </w:rPr>
        <w:fldChar w:fldCharType="begin"/>
      </w:r>
      <w:r>
        <w:rPr>
          <w:lang w:val="en-GB"/>
        </w:rPr>
        <w:instrText xml:space="preserve"> ADDIN EN.CITE &lt;EndNote&gt;&lt;Cite&gt;&lt;Author&gt;ABS&lt;/Author&gt;&lt;Year&gt;2011&lt;/Year&gt;&lt;RecNum&gt;416&lt;/RecNum&gt;&lt;DisplayText&gt;ABS (2011c)&lt;/DisplayText&gt;&lt;record&gt;&lt;rec-number&gt;416&lt;/rec-number&gt;&lt;foreign-keys&gt;&lt;key app="EN" db-id="ppex2pv97zx2s2edf055dxsb9pwfwev9d5sf"&gt;416&lt;/key&gt;&lt;/foreign-keys&gt;&lt;ref-type name="OECD"&gt;55&lt;/ref-type&gt;&lt;contributors&gt;&lt;authors&gt;&lt;author&gt;ABS&lt;/author&gt;&lt;/authors&gt;&lt;/contributors&gt;&lt;titles&gt;&lt;title&gt;Census of Population and Housing&lt;/title&gt;&lt;/titles&gt;&lt;dates&gt;&lt;year&gt;2011&lt;/year&gt;&lt;/dates&gt;&lt;publisher&gt;Australian Bureau of Statistics&lt;/publisher&gt;&lt;urls&gt;&lt;/urls&gt;&lt;/record&gt;&lt;/Cite&gt;&lt;/EndNote&gt;</w:instrText>
      </w:r>
      <w:r>
        <w:rPr>
          <w:lang w:val="en-GB"/>
        </w:rPr>
        <w:fldChar w:fldCharType="separate"/>
      </w:r>
      <w:r>
        <w:rPr>
          <w:noProof/>
          <w:lang w:val="en-GB"/>
        </w:rPr>
        <w:t>ABS</w:t>
      </w:r>
      <w:proofErr w:type="spellEnd"/>
      <w:r>
        <w:rPr>
          <w:noProof/>
          <w:lang w:val="en-GB"/>
        </w:rPr>
        <w:t xml:space="preserve"> (2011c)</w:t>
      </w:r>
      <w:r>
        <w:rPr>
          <w:lang w:val="en-GB"/>
        </w:rPr>
        <w:fldChar w:fldCharType="end"/>
      </w:r>
      <w:r>
        <w:rPr>
          <w:lang w:val="en-GB"/>
        </w:rPr>
        <w:t xml:space="preserve">. However, this is a comparatively small group, as </w:t>
      </w:r>
      <w:r>
        <w:rPr>
          <w:lang w:val="en-GB"/>
        </w:rPr>
        <w:fldChar w:fldCharType="begin"/>
      </w:r>
      <w:r>
        <w:rPr>
          <w:lang w:val="en-GB"/>
        </w:rPr>
        <w:instrText xml:space="preserve"> REF _Ref257638229 \h </w:instrText>
      </w:r>
      <w:r>
        <w:rPr>
          <w:lang w:val="en-GB"/>
        </w:rPr>
      </w:r>
      <w:r>
        <w:rPr>
          <w:lang w:val="en-GB"/>
        </w:rPr>
        <w:fldChar w:fldCharType="separate"/>
      </w:r>
      <w:r w:rsidRPr="00AA282C">
        <w:t xml:space="preserve">Figure </w:t>
      </w:r>
      <w:r>
        <w:rPr>
          <w:noProof/>
        </w:rPr>
        <w:t>2</w:t>
      </w:r>
      <w:r>
        <w:rPr>
          <w:lang w:val="en-GB"/>
        </w:rPr>
        <w:fldChar w:fldCharType="end"/>
      </w:r>
      <w:r>
        <w:rPr>
          <w:lang w:val="en-GB"/>
        </w:rPr>
        <w:t xml:space="preserve"> shows; there are also probably cohort effects at work here.</w:t>
      </w:r>
    </w:p>
  </w:footnote>
  <w:footnote w:id="5">
    <w:p w14:paraId="3E022BFB" w14:textId="77777777" w:rsidR="001E3F49" w:rsidRPr="00F72164" w:rsidRDefault="001E3F49" w:rsidP="00641447">
      <w:pPr>
        <w:spacing w:before="0"/>
        <w:ind w:left="0"/>
        <w:rPr>
          <w:color w:val="FF0000"/>
          <w:sz w:val="18"/>
          <w:szCs w:val="18"/>
          <w:lang w:val="en-GB"/>
        </w:rPr>
      </w:pPr>
      <w:r w:rsidRPr="004109FC">
        <w:rPr>
          <w:rStyle w:val="FootnoteReference"/>
          <w:sz w:val="18"/>
          <w:szCs w:val="18"/>
        </w:rPr>
        <w:footnoteRef/>
      </w:r>
      <w:r w:rsidRPr="004109FC">
        <w:rPr>
          <w:sz w:val="18"/>
          <w:szCs w:val="18"/>
        </w:rPr>
        <w:t xml:space="preserve"> </w:t>
      </w:r>
      <w:r>
        <w:rPr>
          <w:sz w:val="18"/>
          <w:szCs w:val="18"/>
        </w:rPr>
        <w:fldChar w:fldCharType="begin"/>
      </w:r>
      <w:r>
        <w:rPr>
          <w:sz w:val="18"/>
          <w:szCs w:val="18"/>
        </w:rPr>
        <w:instrText xml:space="preserve"> ADDIN EN.CITE &lt;EndNote&gt;&lt;Cite&gt;&lt;Author&gt;Apps&lt;/Author&gt;&lt;Year&gt;2010&lt;/Year&gt;&lt;RecNum&gt;30&lt;/RecNum&gt;&lt;DisplayText&gt;Apps (2010)&lt;/DisplayText&gt;&lt;record&gt;&lt;rec-number&gt;30&lt;/rec-number&gt;&lt;foreign-keys&gt;&lt;key app="EN" db-id="sax5xzax2wr5ttes9pf5a92yvterpr9xrdve"&gt;30&lt;/key&gt;&lt;/foreign-keys&gt;&lt;ref-type name="Book Section"&gt;5&lt;/ref-type&gt;&lt;contributors&gt;&lt;authors&gt;&lt;author&gt;Patricia Apps&lt;/author&gt;&lt;/authors&gt;&lt;/contributors&gt;&lt;titles&gt;&lt;title&gt;Why the Henry Review Fails on Family Tax Reform&lt;/title&gt;&lt;secondary-title&gt;Australia&amp;apos;s Future Tax System: The Prospects After Henry&lt;/secondary-title&gt;&lt;/titles&gt;&lt;dates&gt;&lt;year&gt;2010&lt;/year&gt;&lt;/dates&gt;&lt;pub-location&gt;Sydney&lt;/pub-location&gt;&lt;publisher&gt;Thomson Reuters&lt;/publisher&gt;&lt;urls&gt;&lt;/urls&gt;&lt;/record&gt;&lt;/Cite&gt;&lt;/EndNote&gt;</w:instrText>
      </w:r>
      <w:r>
        <w:rPr>
          <w:sz w:val="18"/>
          <w:szCs w:val="18"/>
        </w:rPr>
        <w:fldChar w:fldCharType="separate"/>
      </w:r>
      <w:r>
        <w:rPr>
          <w:noProof/>
          <w:sz w:val="18"/>
          <w:szCs w:val="18"/>
        </w:rPr>
        <w:t>Apps (2010)</w:t>
      </w:r>
      <w:r>
        <w:rPr>
          <w:sz w:val="18"/>
          <w:szCs w:val="18"/>
        </w:rPr>
        <w:fldChar w:fldCharType="end"/>
      </w:r>
      <w:r w:rsidRPr="00F72164">
        <w:rPr>
          <w:color w:val="FF0000"/>
          <w:sz w:val="18"/>
          <w:szCs w:val="18"/>
          <w:lang w:val="en-GB"/>
        </w:rPr>
        <w:t xml:space="preserve"> </w:t>
      </w:r>
    </w:p>
  </w:footnote>
  <w:footnote w:id="6">
    <w:p w14:paraId="745E1E30" w14:textId="63CC9B41" w:rsidR="001E3F49" w:rsidRPr="00EE14DE" w:rsidRDefault="001E3F49" w:rsidP="00641447">
      <w:pPr>
        <w:pStyle w:val="FootnoteText"/>
        <w:rPr>
          <w:lang w:val="en-US"/>
        </w:rPr>
      </w:pPr>
      <w:r>
        <w:rPr>
          <w:rStyle w:val="FootnoteReference"/>
        </w:rPr>
        <w:footnoteRef/>
      </w:r>
      <w:r>
        <w:t xml:space="preserve"> </w:t>
      </w:r>
      <w:r>
        <w:fldChar w:fldCharType="begin"/>
      </w:r>
      <w:r>
        <w:instrText xml:space="preserve"> ADDIN EN.CITE &lt;EndNote&gt;&lt;Cite&gt;&lt;Author&gt;ABS&lt;/Author&gt;&lt;Year&gt;2011&lt;/Year&gt;&lt;RecNum&gt;416&lt;/RecNum&gt;&lt;DisplayText&gt;ABS (2011c)&lt;/DisplayText&gt;&lt;record&gt;&lt;rec-number&gt;416&lt;/rec-number&gt;&lt;foreign-keys&gt;&lt;key app="EN" db-id="ppex2pv97zx2s2edf055dxsb9pwfwev9d5sf"&gt;416&lt;/key&gt;&lt;/foreign-keys&gt;&lt;ref-type name="OECD"&gt;55&lt;/ref-type&gt;&lt;contributors&gt;&lt;authors&gt;&lt;author&gt;ABS&lt;/author&gt;&lt;/authors&gt;&lt;/contributors&gt;&lt;titles&gt;&lt;title&gt;Census of Population and Housing&lt;/title&gt;&lt;/titles&gt;&lt;dates&gt;&lt;year&gt;2011&lt;/year&gt;&lt;/dates&gt;&lt;publisher&gt;Australian Bureau of Statistics&lt;/publisher&gt;&lt;urls&gt;&lt;/urls&gt;&lt;/record&gt;&lt;/Cite&gt;&lt;/EndNote&gt;</w:instrText>
      </w:r>
      <w:r>
        <w:fldChar w:fldCharType="separate"/>
      </w:r>
      <w:r>
        <w:rPr>
          <w:noProof/>
        </w:rPr>
        <w:t>ABS (2011c)</w:t>
      </w:r>
      <w:r>
        <w:fldChar w:fldCharType="end"/>
      </w:r>
    </w:p>
  </w:footnote>
  <w:footnote w:id="7">
    <w:p w14:paraId="59B907C1" w14:textId="77777777" w:rsidR="001E3F49" w:rsidRPr="00624113" w:rsidRDefault="001E3F49" w:rsidP="006E1256">
      <w:pPr>
        <w:pStyle w:val="FootnoteText"/>
        <w:rPr>
          <w:lang w:val="en-US"/>
        </w:rPr>
      </w:pPr>
      <w:r>
        <w:rPr>
          <w:rStyle w:val="FootnoteReference"/>
        </w:rPr>
        <w:footnoteRef/>
      </w:r>
      <w:r>
        <w:t xml:space="preserve"> </w:t>
      </w:r>
      <w:r>
        <w:fldChar w:fldCharType="begin"/>
      </w:r>
      <w:r>
        <w:instrText xml:space="preserve"> ADDIN EN.CITE &lt;EndNote&gt;&lt;Cite&gt;&lt;Author&gt;Headey&lt;/Author&gt;&lt;Year&gt;2010&lt;/Year&gt;&lt;RecNum&gt;142&lt;/RecNum&gt;&lt;DisplayText&gt;Headey&lt;style face="italic"&gt;, et al.&lt;/style&gt; (2010)&lt;/DisplayText&gt;&lt;record&gt;&lt;rec-number&gt;142&lt;/rec-number&gt;&lt;foreign-keys&gt;&lt;key app="EN" db-id="sax5xzax2wr5ttes9pf5a92yvterpr9xrdve"&gt;142&lt;/key&gt;&lt;/foreign-keys&gt;&lt;ref-type name="Report"&gt;27&lt;/ref-type&gt;&lt;contributors&gt;&lt;authors&gt;&lt;author&gt;Bruce Headey&lt;/author&gt;&lt;author&gt;John Freebairn&lt;/author&gt;&lt;author&gt;Diana Warren&lt;/author&gt;&lt;/authors&gt;&lt;/contributors&gt;&lt;titles&gt;&lt;title&gt;Dynamics of Mature Age Workforce Participation: Policy Effects and Continuing Trends&lt;/title&gt;&lt;/titles&gt;&lt;dates&gt;&lt;year&gt;2010&lt;/year&gt;&lt;/dates&gt;&lt;pub-location&gt;Melbourne&lt;/pub-location&gt;&lt;publisher&gt;Melbourne Institute of Applied Economic and Social Research&lt;/publisher&gt;&lt;isbn&gt;5/2010&lt;/isbn&gt;&lt;urls&gt;&lt;related-urls&gt;&lt;url&gt;http://melbourneinstitute.com/downloads/labour/5-10FinalReport.pdf&lt;/url&gt;&lt;/related-urls&gt;&lt;/urls&gt;&lt;/record&gt;&lt;/Cite&gt;&lt;/EndNote&gt;</w:instrText>
      </w:r>
      <w:r>
        <w:fldChar w:fldCharType="separate"/>
      </w:r>
      <w:r>
        <w:rPr>
          <w:noProof/>
        </w:rPr>
        <w:t>Headey</w:t>
      </w:r>
      <w:r w:rsidRPr="00F9644E">
        <w:rPr>
          <w:i/>
          <w:noProof/>
        </w:rPr>
        <w:t>, et al.</w:t>
      </w:r>
      <w:r>
        <w:rPr>
          <w:noProof/>
        </w:rPr>
        <w:t xml:space="preserve"> (2010)</w:t>
      </w:r>
      <w:r>
        <w:fldChar w:fldCharType="end"/>
      </w:r>
      <w:r>
        <w:t>, pp.104-120</w:t>
      </w:r>
    </w:p>
  </w:footnote>
  <w:footnote w:id="8">
    <w:p w14:paraId="2A6B5BBE" w14:textId="77777777" w:rsidR="001E3F49" w:rsidRPr="0016645E" w:rsidRDefault="001E3F49" w:rsidP="00641447">
      <w:pPr>
        <w:pStyle w:val="FootnoteText"/>
        <w:rPr>
          <w:lang w:val="en-US"/>
        </w:rPr>
      </w:pPr>
      <w:r w:rsidRPr="0016645E">
        <w:rPr>
          <w:rStyle w:val="FootnoteReference"/>
        </w:rPr>
        <w:footnoteRef/>
      </w:r>
      <w:r w:rsidRPr="0016645E">
        <w:t xml:space="preserve"> </w:t>
      </w:r>
      <w:r>
        <w:rPr>
          <w:lang w:val="en-GB"/>
        </w:rPr>
        <w:t xml:space="preserve">See also </w:t>
      </w:r>
      <w:r>
        <w:rPr>
          <w:lang w:val="en-GB"/>
        </w:rPr>
        <w:fldChar w:fldCharType="begin"/>
      </w:r>
      <w:r>
        <w:rPr>
          <w:lang w:val="en-GB"/>
        </w:rPr>
        <w:instrText xml:space="preserve"> ADDIN EN.CITE &lt;EndNote&gt;&lt;Cite&gt;&lt;Author&gt;Abhayaratna&lt;/Author&gt;&lt;Year&gt;2006&lt;/Year&gt;&lt;RecNum&gt;43&lt;/RecNum&gt;&lt;DisplayText&gt;Abhayaratna and Lattimore (2006)&lt;/DisplayText&gt;&lt;record&gt;&lt;rec-number&gt;43&lt;/rec-number&gt;&lt;foreign-keys&gt;&lt;key app="EN" db-id="sax5xzax2wr5ttes9pf5a92yvterpr9xrdve"&gt;43&lt;/key&gt;&lt;/foreign-keys&gt;&lt;ref-type name="Report"&gt;27&lt;/ref-type&gt;&lt;contributors&gt;&lt;authors&gt;&lt;author&gt;Joanna Abhayaratna &lt;/author&gt;&lt;author&gt;Ralph Lattimore&lt;/author&gt;&lt;/authors&gt;&lt;/contributors&gt;&lt;titles&gt;&lt;title&gt;Workforce Participation Rates – How Does Australia Compare?&lt;/title&gt;&lt;/titles&gt;&lt;dates&gt;&lt;year&gt;2006&lt;/year&gt;&lt;/dates&gt;&lt;pub-location&gt;Canberra&lt;/pub-location&gt;&lt;publisher&gt;Productivity Commission Staff Working Paper&lt;/publisher&gt;&lt;urls&gt;&lt;/urls&gt;&lt;/record&gt;&lt;/Cite&gt;&lt;/EndNote&gt;</w:instrText>
      </w:r>
      <w:r>
        <w:rPr>
          <w:lang w:val="en-GB"/>
        </w:rPr>
        <w:fldChar w:fldCharType="separate"/>
      </w:r>
      <w:r>
        <w:rPr>
          <w:noProof/>
          <w:lang w:val="en-GB"/>
        </w:rPr>
        <w:t>Abhayaratna and Lattimore (2006)</w:t>
      </w:r>
      <w:r>
        <w:rPr>
          <w:lang w:val="en-GB"/>
        </w:rPr>
        <w:fldChar w:fldCharType="end"/>
      </w:r>
    </w:p>
  </w:footnote>
  <w:footnote w:id="9">
    <w:p w14:paraId="73AB5FB0" w14:textId="77777777" w:rsidR="001E3F49" w:rsidRPr="0089576F" w:rsidRDefault="001E3F49" w:rsidP="00641447">
      <w:pPr>
        <w:pStyle w:val="FootnoteText"/>
        <w:rPr>
          <w:lang w:val="en-US"/>
        </w:rPr>
      </w:pPr>
      <w:r w:rsidRPr="0016645E">
        <w:rPr>
          <w:rStyle w:val="FootnoteReference"/>
        </w:rPr>
        <w:footnoteRef/>
      </w:r>
      <w:r w:rsidRPr="0016645E">
        <w:t xml:space="preserve"> </w:t>
      </w:r>
      <w:r w:rsidRPr="0016645E">
        <w:rPr>
          <w:lang w:val="en-US"/>
        </w:rPr>
        <w:fldChar w:fldCharType="begin"/>
      </w:r>
      <w:r>
        <w:rPr>
          <w:lang w:val="en-US"/>
        </w:rPr>
        <w:instrText xml:space="preserve"> ADDIN EN.CITE &lt;EndNote&gt;&lt;Cite&gt;&lt;Author&gt;Norton&lt;/Author&gt;&lt;Year&gt;2012&lt;/Year&gt;&lt;RecNum&gt;74&lt;/RecNum&gt;&lt;DisplayText&gt;Norton (2012)&lt;/DisplayText&gt;&lt;record&gt;&lt;rec-number&gt;74&lt;/rec-number&gt;&lt;foreign-keys&gt;&lt;key app="EN" db-id="ppex2pv97zx2s2edf055dxsb9pwfwev9d5sf"&gt;74&lt;/key&gt;&lt;/foreign-keys&gt;&lt;ref-type name="Report"&gt;27&lt;/ref-type&gt;&lt;contributors&gt;&lt;authors&gt;&lt;author&gt;Andrew Norton&lt;/author&gt;&lt;/authors&gt;&lt;/contributors&gt;&lt;titles&gt;&lt;title&gt;Mapping Australian Higher Education&lt;/title&gt;&lt;/titles&gt;&lt;dates&gt;&lt;year&gt;2012&lt;/year&gt;&lt;/dates&gt;&lt;publisher&gt;Grattan Institute&lt;/publisher&gt;&lt;urls&gt;&lt;/urls&gt;&lt;/record&gt;&lt;/Cite&gt;&lt;/EndNote&gt;</w:instrText>
      </w:r>
      <w:r w:rsidRPr="0016645E">
        <w:rPr>
          <w:lang w:val="en-US"/>
        </w:rPr>
        <w:fldChar w:fldCharType="separate"/>
      </w:r>
      <w:r w:rsidRPr="0016645E">
        <w:rPr>
          <w:noProof/>
          <w:lang w:val="en-US"/>
        </w:rPr>
        <w:t>Norton (2012)</w:t>
      </w:r>
      <w:r w:rsidRPr="0016645E">
        <w:rPr>
          <w:lang w:val="en-US"/>
        </w:rPr>
        <w:fldChar w:fldCharType="end"/>
      </w:r>
    </w:p>
  </w:footnote>
  <w:footnote w:id="10">
    <w:p w14:paraId="1082D0B6" w14:textId="77777777" w:rsidR="001E3F49" w:rsidRPr="00AC7A11" w:rsidRDefault="001E3F49" w:rsidP="00641447">
      <w:pPr>
        <w:pStyle w:val="FootnoteText"/>
        <w:rPr>
          <w:color w:val="FF0000"/>
          <w:lang w:val="en-US"/>
        </w:rPr>
      </w:pPr>
      <w:r>
        <w:rPr>
          <w:rStyle w:val="FootnoteReference"/>
        </w:rPr>
        <w:footnoteRef/>
      </w:r>
      <w:r>
        <w:t xml:space="preserve"> </w:t>
      </w:r>
      <w:r>
        <w:fldChar w:fldCharType="begin"/>
      </w:r>
      <w:r>
        <w:instrText xml:space="preserve"> ADDIN EN.CITE &lt;EndNote&gt;&lt;Cite&gt;&lt;Author&gt;Manne&lt;/Author&gt;&lt;Year&gt;2008&lt;/Year&gt;&lt;RecNum&gt;39&lt;/RecNum&gt;&lt;DisplayText&gt;Manne (2008)&lt;/DisplayText&gt;&lt;record&gt;&lt;rec-number&gt;39&lt;/rec-number&gt;&lt;foreign-keys&gt;&lt;key app="EN" db-id="sax5xzax2wr5ttes9pf5a92yvterpr9xrdve"&gt;39&lt;/key&gt;&lt;/foreign-keys&gt;&lt;ref-type name="Magazine Article"&gt;19&lt;/ref-type&gt;&lt;contributors&gt;&lt;authors&gt;&lt;author&gt;Anne Manne&lt;/author&gt;&lt;/authors&gt;&lt;/contributors&gt;&lt;titles&gt;&lt;title&gt;Love &amp;amp; Money: The Family and the Free Market&lt;/title&gt;&lt;secondary-title&gt;Quarterly Essay&lt;/secondary-title&gt;&lt;/titles&gt;&lt;volume&gt;29&lt;/volume&gt;&lt;dates&gt;&lt;year&gt;2008&lt;/year&gt;&lt;/dates&gt;&lt;urls&gt;&lt;/urls&gt;&lt;/record&gt;&lt;/Cite&gt;&lt;/EndNote&gt;</w:instrText>
      </w:r>
      <w:r>
        <w:fldChar w:fldCharType="separate"/>
      </w:r>
      <w:r>
        <w:rPr>
          <w:noProof/>
        </w:rPr>
        <w:t>Manne (2008)</w:t>
      </w:r>
      <w:r>
        <w:fldChar w:fldCharType="end"/>
      </w:r>
    </w:p>
  </w:footnote>
  <w:footnote w:id="11">
    <w:p w14:paraId="058D8DA5" w14:textId="77777777" w:rsidR="001E3F49" w:rsidRPr="00CA3995" w:rsidRDefault="001E3F49" w:rsidP="00641447">
      <w:pPr>
        <w:pStyle w:val="FootnoteText"/>
        <w:rPr>
          <w:lang w:val="en-US"/>
        </w:rPr>
      </w:pPr>
      <w:r>
        <w:rPr>
          <w:rStyle w:val="FootnoteReference"/>
        </w:rPr>
        <w:footnoteRef/>
      </w:r>
      <w:r>
        <w:t xml:space="preserve"> Putting a dollar figure on unpaid work is very difficult due to conceptual and measurement issues in defining what is and isn’t unpaid work. The 1997 ABS report compared the ‘</w:t>
      </w:r>
      <w:r w:rsidRPr="0009599C">
        <w:rPr>
          <w:lang w:val="en-US"/>
        </w:rPr>
        <w:t>market replacement cost</w:t>
      </w:r>
      <w:r>
        <w:rPr>
          <w:lang w:val="en-US"/>
        </w:rPr>
        <w:t xml:space="preserve">’ with what it would cost to hire someone to provide childcare/cooking/cleaning </w:t>
      </w:r>
      <w:proofErr w:type="spellStart"/>
      <w:r>
        <w:rPr>
          <w:lang w:val="en-US"/>
        </w:rPr>
        <w:t>etc</w:t>
      </w:r>
      <w:proofErr w:type="spellEnd"/>
      <w:r>
        <w:rPr>
          <w:lang w:val="en-US"/>
        </w:rPr>
        <w:t xml:space="preserve"> with the ‘opportunity cost’- what an unpaid worker would earn if they were spending the same amount of time in paid work as they were on unpaid activities. See </w:t>
      </w:r>
      <w:r>
        <w:rPr>
          <w:lang w:val="en-US"/>
        </w:rPr>
        <w:fldChar w:fldCharType="begin"/>
      </w:r>
      <w:r>
        <w:rPr>
          <w:lang w:val="en-US"/>
        </w:rPr>
        <w:instrText xml:space="preserve"> ADDIN EN.CITE &lt;EndNote&gt;&lt;Cite&gt;&lt;Author&gt;Trewin&lt;/Author&gt;&lt;Year&gt;1997&lt;/Year&gt;&lt;RecNum&gt;116&lt;/RecNum&gt;&lt;DisplayText&gt;Trewin (1997)&lt;/DisplayText&gt;&lt;record&gt;&lt;rec-number&gt;116&lt;/rec-number&gt;&lt;foreign-keys&gt;&lt;key app="EN" db-id="sax5xzax2wr5ttes9pf5a92yvterpr9xrdve"&gt;116&lt;/key&gt;&lt;/foreign-keys&gt;&lt;ref-type name="Generic"&gt;13&lt;/ref-type&gt;&lt;contributors&gt;&lt;authors&gt;&lt;author&gt;Dennis Trewin&lt;/author&gt;&lt;/authors&gt;&lt;secondary-authors&gt;&lt;author&gt;Australian Bureau of Statistics,&lt;/author&gt;&lt;/secondary-authors&gt;&lt;/contributors&gt;&lt;titles&gt;&lt;title&gt;Unpaid Work and the Australian Economy&lt;/title&gt;&lt;/titles&gt;&lt;num-vols&gt;5240.0&lt;/num-vols&gt;&lt;dates&gt;&lt;year&gt;1997&lt;/year&gt;&lt;/dates&gt;&lt;urls&gt;&lt;/urls&gt;&lt;/record&gt;&lt;/Cite&gt;&lt;/EndNote&gt;</w:instrText>
      </w:r>
      <w:r>
        <w:rPr>
          <w:lang w:val="en-US"/>
        </w:rPr>
        <w:fldChar w:fldCharType="separate"/>
      </w:r>
      <w:r>
        <w:rPr>
          <w:noProof/>
          <w:lang w:val="en-US"/>
        </w:rPr>
        <w:t>Trewin (1997)</w:t>
      </w:r>
      <w:r>
        <w:rPr>
          <w:lang w:val="en-US"/>
        </w:rPr>
        <w:fldChar w:fldCharType="end"/>
      </w:r>
      <w:r>
        <w:rPr>
          <w:lang w:val="en-US"/>
        </w:rPr>
        <w:t xml:space="preserve">. </w:t>
      </w:r>
    </w:p>
  </w:footnote>
  <w:footnote w:id="12">
    <w:p w14:paraId="227F96E9" w14:textId="77777777" w:rsidR="001E3F49" w:rsidRDefault="001E3F49" w:rsidP="00641447">
      <w:pPr>
        <w:pStyle w:val="FootnoteText"/>
      </w:pPr>
      <w:r>
        <w:rPr>
          <w:rStyle w:val="FootnoteReference"/>
        </w:rPr>
        <w:footnoteRef/>
      </w:r>
      <w:r>
        <w:t xml:space="preserve"> </w:t>
      </w:r>
      <w:r w:rsidRPr="00630021">
        <w:t>In other words, working mothers in coupl</w:t>
      </w:r>
      <w:r>
        <w:t>e families are likely to simply add</w:t>
      </w:r>
      <w:r w:rsidRPr="00630021">
        <w:t xml:space="preserve"> paid work to the significant unpaid work they already do, a phenomenon that has been described as a ‘second shift’ by some researchers.</w:t>
      </w:r>
      <w:r w:rsidRPr="00630021">
        <w:rPr>
          <w:rStyle w:val="FootnoteReference"/>
        </w:rPr>
        <w:t xml:space="preserve"> </w:t>
      </w:r>
      <w:r>
        <w:rPr>
          <w:rFonts w:cs="Times New Roman"/>
        </w:rPr>
        <w:fldChar w:fldCharType="begin"/>
      </w:r>
      <w:r>
        <w:rPr>
          <w:rFonts w:cs="Times New Roman"/>
        </w:rPr>
        <w:instrText xml:space="preserve"> ADDIN EN.CITE &lt;EndNote&gt;&lt;Cite&gt;&lt;Author&gt;Chesters&lt;/Author&gt;&lt;Year&gt;2009&lt;/Year&gt;&lt;RecNum&gt;161&lt;/RecNum&gt;&lt;DisplayText&gt;Smith (2007); Chesters&lt;style face="italic"&gt;, et al.&lt;/style&gt; (2009)&lt;/DisplayText&gt;&lt;record&gt;&lt;rec-number&gt;161&lt;/rec-number&gt;&lt;foreign-keys&gt;&lt;key app="EN" db-id="sax5xzax2wr5ttes9pf5a92yvterpr9xrdve"&gt;161&lt;/key&gt;&lt;/foreign-keys&gt;&lt;ref-type name="Journal Article"&gt;17&lt;/ref-type&gt;&lt;contributors&gt;&lt;authors&gt;&lt;author&gt;Jenny Chesters&lt;/author&gt;&lt;author&gt;Janeen Baxter&lt;/author&gt;&lt;author&gt;Mark Western&lt;/author&gt;&lt;/authors&gt;&lt;/contributors&gt;&lt;titles&gt;&lt;title&gt;Paid and Unpaid Work in Australian Households: Trends in the Gender Division of Labour, 1986-2005&lt;/title&gt;&lt;secondary-title&gt;Australian Journal of Labour Economics &lt;/secondary-title&gt;&lt;/titles&gt;&lt;periodical&gt;&lt;full-title&gt;Australian Journal of Labour Economics&lt;/full-title&gt;&lt;/periodical&gt;&lt;pages&gt;89-107&lt;/pages&gt;&lt;volume&gt;12&lt;/volume&gt;&lt;number&gt;1&lt;/number&gt;&lt;dates&gt;&lt;year&gt;2009&lt;/year&gt;&lt;/dates&gt;&lt;urls&gt;&lt;/urls&gt;&lt;/record&gt;&lt;/Cite&gt;&lt;Cite&gt;&lt;Author&gt;Smith&lt;/Author&gt;&lt;Year&gt;2007&lt;/Year&gt;&lt;RecNum&gt;162&lt;/RecNum&gt;&lt;record&gt;&lt;rec-number&gt;162&lt;/rec-number&gt;&lt;foreign-keys&gt;&lt;key app="EN" db-id="sax5xzax2wr5ttes9pf5a92yvterpr9xrdve"&gt;162&lt;/key&gt;&lt;/foreign-keys&gt;&lt;ref-type name="Journal Article"&gt;17&lt;/ref-type&gt;&lt;contributors&gt;&lt;authors&gt;&lt;author&gt;Julie Smith&lt;/author&gt;&lt;/authors&gt;&lt;/contributors&gt;&lt;titles&gt;&lt;title&gt;Time Use Among New Mothers, the Economic Value of Unpaid Care Work and Gender Aspects of Superannuation Tax Concessions&lt;/title&gt;&lt;secondary-title&gt;Australian Journal of Labour Economics&lt;/secondary-title&gt;&lt;/titles&gt;&lt;periodical&gt;&lt;full-title&gt;Australian Journal of Labour Economics&lt;/full-title&gt;&lt;/periodical&gt;&lt;pages&gt;99-114&lt;/pages&gt;&lt;volume&gt;10&lt;/volume&gt;&lt;number&gt;2&lt;/number&gt;&lt;dates&gt;&lt;year&gt;2007&lt;/year&gt;&lt;/dates&gt;&lt;urls&gt;&lt;/urls&gt;&lt;/record&gt;&lt;/Cite&gt;&lt;/EndNote&gt;</w:instrText>
      </w:r>
      <w:r>
        <w:rPr>
          <w:rFonts w:cs="Times New Roman"/>
        </w:rPr>
        <w:fldChar w:fldCharType="separate"/>
      </w:r>
      <w:r>
        <w:rPr>
          <w:rFonts w:cs="Times New Roman"/>
          <w:noProof/>
        </w:rPr>
        <w:t>Smith (2007); Chesters</w:t>
      </w:r>
      <w:r w:rsidRPr="00110467">
        <w:rPr>
          <w:rFonts w:cs="Times New Roman"/>
          <w:i/>
          <w:noProof/>
        </w:rPr>
        <w:t>, et al.</w:t>
      </w:r>
      <w:r>
        <w:rPr>
          <w:rFonts w:cs="Times New Roman"/>
          <w:noProof/>
        </w:rPr>
        <w:t xml:space="preserve"> (2009)</w:t>
      </w:r>
      <w:r>
        <w:rPr>
          <w:rFonts w:cs="Times New Roman"/>
        </w:rPr>
        <w:fldChar w:fldCharType="end"/>
      </w:r>
    </w:p>
  </w:footnote>
  <w:footnote w:id="13">
    <w:p w14:paraId="13CD2351" w14:textId="77777777" w:rsidR="001E3F49" w:rsidRPr="00E436D4" w:rsidRDefault="001E3F49" w:rsidP="00641447">
      <w:pPr>
        <w:pStyle w:val="FootnoteText"/>
        <w:rPr>
          <w:lang w:val="en-US"/>
        </w:rPr>
      </w:pPr>
      <w:r>
        <w:rPr>
          <w:rStyle w:val="FootnoteReference"/>
        </w:rPr>
        <w:footnoteRef/>
      </w:r>
      <w:r>
        <w:t xml:space="preserve"> </w:t>
      </w:r>
      <w:r>
        <w:fldChar w:fldCharType="begin"/>
      </w:r>
      <w:r>
        <w:instrText xml:space="preserve"> ADDIN EN.CITE &lt;EndNote&gt;&lt;Cite&gt;&lt;Author&gt;Marshall&lt;/Author&gt;&lt;Year&gt;2011&lt;/Year&gt;&lt;RecNum&gt;165&lt;/RecNum&gt;&lt;DisplayText&gt;Marshall (2011)&lt;/DisplayText&gt;&lt;record&gt;&lt;rec-number&gt;165&lt;/rec-number&gt;&lt;foreign-keys&gt;&lt;key app="EN" db-id="sax5xzax2wr5ttes9pf5a92yvterpr9xrdve"&gt;165&lt;/key&gt;&lt;/foreign-keys&gt;&lt;ref-type name="Catalog"&gt;8&lt;/ref-type&gt;&lt;contributors&gt;&lt;authors&gt;&lt;author&gt;Katherine Marshall&lt;/author&gt;&lt;/authors&gt;&lt;secondary-authors&gt;&lt;author&gt;Statistics Canada&lt;/author&gt;&lt;/secondary-authors&gt;&lt;/contributors&gt;&lt;titles&gt;&lt;title&gt;Generational change in paid and unpaid work&lt;/title&gt;&lt;secondary-title&gt;Canadian Social Trends&lt;/secondary-title&gt;&lt;/titles&gt;&lt;num-vols&gt;11-008-X&lt;/num-vols&gt;&lt;dates&gt;&lt;year&gt;2011&lt;/year&gt;&lt;/dates&gt;&lt;urls&gt;&lt;/urls&gt;&lt;/record&gt;&lt;/Cite&gt;&lt;/EndNote&gt;</w:instrText>
      </w:r>
      <w:r>
        <w:fldChar w:fldCharType="separate"/>
      </w:r>
      <w:r>
        <w:rPr>
          <w:noProof/>
        </w:rPr>
        <w:t>Marshall (2011)</w:t>
      </w:r>
      <w:r>
        <w:fldChar w:fldCharType="end"/>
      </w:r>
    </w:p>
  </w:footnote>
  <w:footnote w:id="14">
    <w:p w14:paraId="3FD09685" w14:textId="77777777" w:rsidR="001E3F49" w:rsidRPr="001E40AE" w:rsidRDefault="001E3F49" w:rsidP="00641447">
      <w:pPr>
        <w:pStyle w:val="FootnoteText"/>
        <w:rPr>
          <w:lang w:val="en-US"/>
        </w:rPr>
      </w:pPr>
      <w:r>
        <w:rPr>
          <w:rStyle w:val="FootnoteReference"/>
        </w:rPr>
        <w:footnoteRef/>
      </w:r>
      <w:r>
        <w:t xml:space="preserve"> </w:t>
      </w:r>
      <w:r>
        <w:rPr>
          <w:lang w:val="en-US"/>
        </w:rPr>
        <w:t xml:space="preserve">For children from disadvantaged backgrounds, there is significant evidence that quality early child care can make a positive difference in their development. </w:t>
      </w:r>
      <w:r>
        <w:rPr>
          <w:lang w:val="en-US"/>
        </w:rPr>
        <w:fldChar w:fldCharType="begin"/>
      </w:r>
      <w:r>
        <w:rPr>
          <w:lang w:val="en-US"/>
        </w:rPr>
        <w:instrText xml:space="preserve"> ADDIN EN.CITE &lt;EndNote&gt;&lt;Cite&gt;&lt;Author&gt;Burger&lt;/Author&gt;&lt;Year&gt;2010&lt;/Year&gt;&lt;RecNum&gt;77&lt;/RecNum&gt;&lt;DisplayText&gt;Burger (2010)&lt;/DisplayText&gt;&lt;record&gt;&lt;rec-number&gt;77&lt;/rec-number&gt;&lt;foreign-keys&gt;&lt;key app="EN" db-id="sax5xzax2wr5ttes9pf5a92yvterpr9xrdve"&gt;77&lt;/key&gt;&lt;/foreign-keys&gt;&lt;ref-type name="Journal Article"&gt;17&lt;/ref-type&gt;&lt;contributors&gt;&lt;authors&gt;&lt;author&gt;Kaspar Burger&lt;/author&gt;&lt;/authors&gt;&lt;/contributors&gt;&lt;titles&gt;&lt;title&gt;How does early childhood care and education affect cognitive development? An international review of the effects of early interventions for children from different social backgrounds&lt;/title&gt;&lt;secondary-title&gt;Early Childhood Research Quarterly&lt;/secondary-title&gt;&lt;/titles&gt;&lt;pages&gt;140-165&lt;/pages&gt;&lt;volume&gt;25&lt;/volume&gt;&lt;number&gt;2&lt;/number&gt;&lt;dates&gt;&lt;year&gt;2010&lt;/year&gt;&lt;/dates&gt;&lt;urls&gt;&lt;/urls&gt;&lt;/record&gt;&lt;/Cite&gt;&lt;/EndNote&gt;</w:instrText>
      </w:r>
      <w:r>
        <w:rPr>
          <w:lang w:val="en-US"/>
        </w:rPr>
        <w:fldChar w:fldCharType="separate"/>
      </w:r>
      <w:r>
        <w:rPr>
          <w:noProof/>
          <w:lang w:val="en-US"/>
        </w:rPr>
        <w:t>Burger (2010)</w:t>
      </w:r>
      <w:r>
        <w:rPr>
          <w:lang w:val="en-US"/>
        </w:rPr>
        <w:fldChar w:fldCharType="end"/>
      </w:r>
      <w:r>
        <w:rPr>
          <w:lang w:val="en-US"/>
        </w:rPr>
        <w:t xml:space="preserve">. </w:t>
      </w:r>
    </w:p>
  </w:footnote>
  <w:footnote w:id="15">
    <w:p w14:paraId="402B39B8" w14:textId="77777777" w:rsidR="001E3F49" w:rsidRPr="00E01310" w:rsidRDefault="001E3F49" w:rsidP="00641447">
      <w:pPr>
        <w:pStyle w:val="FootnoteText"/>
        <w:rPr>
          <w:lang w:val="en-US"/>
        </w:rPr>
      </w:pPr>
      <w:r>
        <w:rPr>
          <w:rStyle w:val="FootnoteReference"/>
        </w:rPr>
        <w:footnoteRef/>
      </w:r>
      <w:r>
        <w:t xml:space="preserve"> </w:t>
      </w:r>
      <w:r>
        <w:fldChar w:fldCharType="begin"/>
      </w:r>
      <w:r>
        <w:instrText xml:space="preserve"> ADDIN EN.CITE &lt;EndNote&gt;&lt;Cite&gt;&lt;Author&gt;Shpancer&lt;/Author&gt;&lt;Year&gt;2006&lt;/Year&gt;&lt;RecNum&gt;75&lt;/RecNum&gt;&lt;DisplayText&gt;Barnett and Ackerman (2006); Shpancer (2006)&lt;/DisplayText&gt;&lt;record&gt;&lt;rec-number&gt;75&lt;/rec-number&gt;&lt;foreign-keys&gt;&lt;key app="EN" db-id="sax5xzax2wr5ttes9pf5a92yvterpr9xrdve"&gt;75&lt;/key&gt;&lt;/foreign-keys&gt;&lt;ref-type name="Journal Article"&gt;17&lt;/ref-type&gt;&lt;contributors&gt;&lt;authors&gt;&lt;author&gt;Noam Shpancer&lt;/author&gt;&lt;/authors&gt;&lt;/contributors&gt;&lt;titles&gt;&lt;title&gt;The effects of daycare: Persistent questions, elusive answers&lt;/title&gt;&lt;secondary-title&gt;Early Childhood Research Quarterly&lt;/secondary-title&gt;&lt;/titles&gt;&lt;pages&gt;227-237&lt;/pages&gt;&lt;volume&gt;21&lt;/volume&gt;&lt;number&gt;2&lt;/number&gt;&lt;dates&gt;&lt;year&gt;2006&lt;/year&gt;&lt;/dates&gt;&lt;urls&gt;&lt;/urls&gt;&lt;/record&gt;&lt;/Cite&gt;&lt;Cite&gt;&lt;Author&gt;Barnett&lt;/Author&gt;&lt;Year&gt;2006&lt;/Year&gt;&lt;RecNum&gt;76&lt;/RecNum&gt;&lt;record&gt;&lt;rec-number&gt;76&lt;/rec-number&gt;&lt;foreign-keys&gt;&lt;key app="EN" db-id="sax5xzax2wr5ttes9pf5a92yvterpr9xrdve"&gt;76&lt;/key&gt;&lt;/foreign-keys&gt;&lt;ref-type name="Journal Article"&gt;17&lt;/ref-type&gt;&lt;contributors&gt;&lt;authors&gt;&lt;author&gt;W Steven Barnett&lt;/author&gt;&lt;author&gt;Debra J Ackerman&lt;/author&gt;&lt;/authors&gt;&lt;/contributors&gt;&lt;titles&gt;&lt;title&gt;Costs, Benefits, and Long-Term Effects of Early Care and Education Programs: Recommendations and Cautions for Community Developers&lt;/title&gt;&lt;secondary-title&gt;Community Development&lt;/secondary-title&gt;&lt;/titles&gt;&lt;periodical&gt;&lt;full-title&gt;Community Development&lt;/full-title&gt;&lt;/periodical&gt;&lt;pages&gt;86-100&lt;/pages&gt;&lt;volume&gt;37&lt;/volume&gt;&lt;number&gt;2&lt;/number&gt;&lt;dates&gt;&lt;year&gt;2006&lt;/year&gt;&lt;/dates&gt;&lt;urls&gt;&lt;/urls&gt;&lt;/record&gt;&lt;/Cite&gt;&lt;/EndNote&gt;</w:instrText>
      </w:r>
      <w:r>
        <w:fldChar w:fldCharType="separate"/>
      </w:r>
      <w:r>
        <w:rPr>
          <w:noProof/>
        </w:rPr>
        <w:t>Barnett and Ackerman (2006); Shpancer (2006)</w:t>
      </w:r>
      <w:r>
        <w:fldChar w:fldCharType="end"/>
      </w:r>
    </w:p>
  </w:footnote>
  <w:footnote w:id="16">
    <w:p w14:paraId="555213AC" w14:textId="77777777" w:rsidR="001E3F49" w:rsidRPr="002121BE" w:rsidRDefault="001E3F49" w:rsidP="00641447">
      <w:pPr>
        <w:pStyle w:val="FootnoteText"/>
        <w:rPr>
          <w:lang w:val="en-US"/>
        </w:rPr>
      </w:pPr>
      <w:r>
        <w:rPr>
          <w:rStyle w:val="FootnoteReference"/>
        </w:rPr>
        <w:footnoteRef/>
      </w:r>
      <w:r>
        <w:t xml:space="preserve"> </w:t>
      </w:r>
      <w:r>
        <w:fldChar w:fldCharType="begin"/>
      </w:r>
      <w:r>
        <w:instrText xml:space="preserve"> ADDIN EN.CITE &lt;EndNote&gt;&lt;Cite&gt;&lt;Author&gt;Productivity Commission&lt;/Author&gt;&lt;Year&gt;2009&lt;/Year&gt;&lt;RecNum&gt;79&lt;/RecNum&gt;&lt;DisplayText&gt;Productivity Commission (2009)&lt;/DisplayText&gt;&lt;record&gt;&lt;rec-number&gt;79&lt;/rec-number&gt;&lt;foreign-keys&gt;&lt;key app="EN" db-id="sax5xzax2wr5ttes9pf5a92yvterpr9xrdve"&gt;79&lt;/key&gt;&lt;/foreign-keys&gt;&lt;ref-type name="Government Document"&gt;46&lt;/ref-type&gt;&lt;contributors&gt;&lt;authors&gt;&lt;author&gt;Productivity Commission,&lt;/author&gt;&lt;/authors&gt;&lt;secondary-authors&gt;&lt;author&gt;Productivity Commission&lt;/author&gt;&lt;/secondary-authors&gt;&lt;/contributors&gt;&lt;titles&gt;&lt;title&gt;Paid Parental Leave: Support for Parents with Newborn Children&lt;/title&gt;&lt;/titles&gt;&lt;number&gt;47&lt;/number&gt;&lt;dates&gt;&lt;year&gt;2009&lt;/year&gt;&lt;/dates&gt;&lt;pub-location&gt;Canberra&lt;/pub-location&gt;&lt;urls&gt;&lt;/urls&gt;&lt;/record&gt;&lt;/Cite&gt;&lt;/EndNote&gt;</w:instrText>
      </w:r>
      <w:r>
        <w:fldChar w:fldCharType="separate"/>
      </w:r>
      <w:r>
        <w:rPr>
          <w:noProof/>
        </w:rPr>
        <w:t>Productivity Commission (2009)</w:t>
      </w:r>
      <w:r>
        <w:fldChar w:fldCharType="end"/>
      </w:r>
    </w:p>
  </w:footnote>
  <w:footnote w:id="17">
    <w:p w14:paraId="48C9806E" w14:textId="77777777" w:rsidR="001E3F49" w:rsidRPr="002D40BF" w:rsidRDefault="001E3F49" w:rsidP="000762C2">
      <w:pPr>
        <w:pStyle w:val="FootnoteText"/>
        <w:rPr>
          <w:lang w:val="en-US"/>
        </w:rPr>
      </w:pPr>
      <w:r>
        <w:rPr>
          <w:rStyle w:val="FootnoteReference"/>
        </w:rPr>
        <w:footnoteRef/>
      </w:r>
      <w:r>
        <w:t xml:space="preserve"> </w:t>
      </w:r>
      <w:r>
        <w:rPr>
          <w:lang w:val="en-US"/>
        </w:rPr>
        <w:t>Grattan Institute regression analysis of determinants of volunteering, available on request.</w:t>
      </w:r>
    </w:p>
  </w:footnote>
  <w:footnote w:id="18">
    <w:p w14:paraId="7550D8B8" w14:textId="77777777" w:rsidR="001E3F49" w:rsidRPr="00AC7A11" w:rsidRDefault="001E3F49" w:rsidP="000762C2">
      <w:pPr>
        <w:pStyle w:val="FootnoteText"/>
        <w:rPr>
          <w:color w:val="FF0000"/>
          <w:lang w:val="en-US"/>
        </w:rPr>
      </w:pPr>
      <w:r w:rsidRPr="005B03D4">
        <w:rPr>
          <w:rStyle w:val="FootnoteReference"/>
        </w:rPr>
        <w:footnoteRef/>
      </w:r>
      <w:r w:rsidRPr="005B03D4">
        <w:t xml:space="preserve"> </w:t>
      </w:r>
      <w:r>
        <w:fldChar w:fldCharType="begin"/>
      </w:r>
      <w:r>
        <w:instrText xml:space="preserve"> ADDIN EN.CITE &lt;EndNote&gt;&lt;Cite&gt;&lt;Author&gt;OECD&lt;/Author&gt;&lt;Year&gt;2011&lt;/Year&gt;&lt;RecNum&gt;31&lt;/RecNum&gt;&lt;DisplayText&gt;OECD (2011)&lt;/DisplayText&gt;&lt;record&gt;&lt;rec-number&gt;31&lt;/rec-number&gt;&lt;foreign-keys&gt;&lt;key app="EN" db-id="sax5xzax2wr5ttes9pf5a92yvterpr9xrdve"&gt;31&lt;/key&gt;&lt;/foreign-keys&gt;&lt;ref-type name="Book Section"&gt;5&lt;/ref-type&gt;&lt;contributors&gt;&lt;authors&gt;&lt;author&gt;OECD,&lt;/author&gt;&lt;/authors&gt;&lt;/contributors&gt;&lt;titles&gt;&lt;title&gt;Chapter4. Reducing barriers to parental employment&lt;/title&gt;&lt;secondary-title&gt;Doing Better for Families&lt;/secondary-title&gt;&lt;/titles&gt;&lt;dates&gt;&lt;year&gt;2011&lt;/year&gt;&lt;/dates&gt;&lt;urls&gt;&lt;/urls&gt;&lt;/record&gt;&lt;/Cite&gt;&lt;/EndNote&gt;</w:instrText>
      </w:r>
      <w:r>
        <w:fldChar w:fldCharType="separate"/>
      </w:r>
      <w:r>
        <w:rPr>
          <w:noProof/>
        </w:rPr>
        <w:t>OECD (2011)</w:t>
      </w:r>
      <w:r>
        <w:fldChar w:fldCharType="end"/>
      </w:r>
      <w:r w:rsidRPr="00AC7A11">
        <w:rPr>
          <w:color w:val="FF0000"/>
          <w:lang w:val="en-US"/>
        </w:rPr>
        <w:t xml:space="preserve"> </w:t>
      </w:r>
    </w:p>
  </w:footnote>
  <w:footnote w:id="19">
    <w:p w14:paraId="3997061A" w14:textId="77777777" w:rsidR="001E3F49" w:rsidRPr="007208E2" w:rsidRDefault="001E3F49" w:rsidP="000762C2">
      <w:pPr>
        <w:pStyle w:val="FootnoteText"/>
        <w:rPr>
          <w:color w:val="FF0000"/>
        </w:rPr>
      </w:pPr>
      <w:r w:rsidRPr="0016645E">
        <w:rPr>
          <w:rStyle w:val="FootnoteReference"/>
        </w:rPr>
        <w:footnoteRef/>
      </w:r>
      <w:r>
        <w:t xml:space="preserve"> </w:t>
      </w:r>
      <w:r w:rsidRPr="0016645E">
        <w:t xml:space="preserve">Women on average forgo 31% of their lifetime earnings when they have one child, an additional 13% for two children and a further 9% if they have three. This is more pronounced for less educated women. See </w:t>
      </w:r>
      <w:r w:rsidRPr="0016645E">
        <w:fldChar w:fldCharType="begin"/>
      </w:r>
      <w:r>
        <w:instrText xml:space="preserve"> ADDIN EN.CITE &lt;EndNote&gt;&lt;Cite&gt;&lt;Author&gt;Breusch&lt;/Author&gt;&lt;Year&gt;2004&lt;/Year&gt;&lt;RecNum&gt;155&lt;/RecNum&gt;&lt;DisplayText&gt;Breusch and Gray (2004)&lt;/DisplayText&gt;&lt;record&gt;&lt;rec-number&gt;155&lt;/rec-number&gt;&lt;foreign-keys&gt;&lt;key app="EN" db-id="ppex2pv97zx2s2edf055dxsb9pwfwev9d5sf"&gt;155&lt;/key&gt;&lt;/foreign-keys&gt;&lt;ref-type name="Journal Article"&gt;17&lt;/ref-type&gt;&lt;contributors&gt;&lt;authors&gt;&lt;author&gt;Trevor Breusch &lt;/author&gt;&lt;author&gt;Edith Gray&lt;/author&gt;&lt;/authors&gt;&lt;/contributors&gt;&lt;titles&gt;&lt;title&gt;New Estimates of Mothers&amp;apos; Forgone Earnings Using HILDA Data &lt;/title&gt;&lt;secondary-title&gt;Australian Journal of Labour Economics&lt;/secondary-title&gt;&lt;/titles&gt;&lt;pages&gt;125-150&lt;/pages&gt;&lt;volume&gt;7&lt;/volume&gt;&lt;number&gt;2&lt;/number&gt;&lt;dates&gt;&lt;year&gt;2004&lt;/year&gt;&lt;/dates&gt;&lt;urls&gt;&lt;/urls&gt;&lt;/record&gt;&lt;/Cite&gt;&lt;/EndNote&gt;</w:instrText>
      </w:r>
      <w:r w:rsidRPr="0016645E">
        <w:fldChar w:fldCharType="separate"/>
      </w:r>
      <w:r w:rsidRPr="0016645E">
        <w:rPr>
          <w:noProof/>
        </w:rPr>
        <w:t>Breusch and Gray (2004)</w:t>
      </w:r>
      <w:r w:rsidRPr="0016645E">
        <w:fldChar w:fldCharType="end"/>
      </w:r>
      <w:r>
        <w:t xml:space="preserve"> Women across all age groups have lower superannuation balances than their male counterparts.  See </w:t>
      </w:r>
      <w:r>
        <w:fldChar w:fldCharType="begin"/>
      </w:r>
      <w:r>
        <w:instrText xml:space="preserve"> ADDIN EN.CITE &lt;EndNote&gt;&lt;Cite&gt;&lt;Author&gt;ABS&lt;/Author&gt;&lt;Year&gt;2011&lt;/Year&gt;&lt;RecNum&gt;78&lt;/RecNum&gt;&lt;DisplayText&gt;ABS (2011a)&lt;/DisplayText&gt;&lt;record&gt;&lt;rec-number&gt;78&lt;/rec-number&gt;&lt;foreign-keys&gt;&lt;key app="EN" db-id="sax5xzax2wr5ttes9pf5a92yvterpr9xrdve"&gt;78&lt;/key&gt;&lt;/foreign-keys&gt;&lt;ref-type name="Online Database"&gt;45&lt;/ref-type&gt;&lt;contributors&gt;&lt;authors&gt;&lt;author&gt;ABS&lt;/author&gt;&lt;/authors&gt;&lt;/contributors&gt;&lt;titles&gt;&lt;title&gt;4125.0 - Gender Indicators&lt;/title&gt;&lt;/titles&gt;&lt;dates&gt;&lt;year&gt;2011&lt;/year&gt;&lt;/dates&gt;&lt;publisher&gt;abs.gov.au&lt;/publisher&gt;&lt;urls&gt;&lt;related-urls&gt;&lt;url&gt;http://www.abs.gov.au/AUSSTATS/abs@.nsf/DetailsPage/4125.0Jul%202011?OpenDocument&lt;/url&gt;&lt;/related-urls&gt;&lt;/urls&gt;&lt;/record&gt;&lt;/Cite&gt;&lt;/EndNote&gt;</w:instrText>
      </w:r>
      <w:r>
        <w:fldChar w:fldCharType="separate"/>
      </w:r>
      <w:r>
        <w:rPr>
          <w:noProof/>
        </w:rPr>
        <w:t>ABS (2011a)</w:t>
      </w:r>
      <w:r>
        <w:fldChar w:fldCharType="end"/>
      </w:r>
    </w:p>
  </w:footnote>
  <w:footnote w:id="20">
    <w:p w14:paraId="71D1E5A4" w14:textId="77777777" w:rsidR="001E3F49" w:rsidRDefault="001E3F49" w:rsidP="000762C2">
      <w:pPr>
        <w:pStyle w:val="FootnoteText"/>
      </w:pPr>
      <w:r>
        <w:rPr>
          <w:rStyle w:val="FootnoteReference"/>
        </w:rPr>
        <w:footnoteRef/>
      </w:r>
      <w:r>
        <w:t xml:space="preserve"> </w:t>
      </w:r>
      <w:r>
        <w:fldChar w:fldCharType="begin"/>
      </w:r>
      <w:r>
        <w:instrText xml:space="preserve"> ADDIN EN.CITE &lt;EndNote&gt;&lt;Cite&gt;&lt;Author&gt;Daley&lt;/Author&gt;&lt;Year&gt;2013&lt;/Year&gt;&lt;RecNum&gt;575&lt;/RecNum&gt;&lt;DisplayText&gt;Daley&lt;style face="italic"&gt;, et al.&lt;/style&gt; (2013)&lt;/DisplayText&gt;&lt;record&gt;&lt;rec-number&gt;575&lt;/rec-number&gt;&lt;foreign-keys&gt;&lt;key app="EN" db-id="ppex2pv97zx2s2edf055dxsb9pwfwev9d5sf"&gt;575&lt;/key&gt;&lt;/foreign-keys&gt;&lt;ref-type name="Report"&gt;27&lt;/ref-type&gt;&lt;contributors&gt;&lt;authors&gt;&lt;author&gt;John Daley&lt;/author&gt;&lt;author&gt;Cassie McGannon&lt;/author&gt;&lt;author&gt;Savage, James&lt;/author&gt;&lt;author&gt;Hunter, Amelie&lt;/author&gt;&lt;/authors&gt;&lt;/contributors&gt;&lt;titles&gt;&lt;title&gt;Balancing budgets: tough choices we need&lt;/title&gt;&lt;/titles&gt;&lt;dates&gt;&lt;year&gt;2013&lt;/year&gt;&lt;/dates&gt;&lt;publisher&gt;Grattan Institute&lt;/publisher&gt;&lt;urls&gt;&lt;related-urls&gt;&lt;url&gt;grattan.edu.au/publications/reports/post/balancing-budgets-tough-choices-we-need/&lt;/url&gt;&lt;/related-urls&gt;&lt;/urls&gt;&lt;access-date&gt;January 2014&lt;/access-date&gt;&lt;/record&gt;&lt;/Cite&gt;&lt;/EndNote&gt;</w:instrText>
      </w:r>
      <w:r>
        <w:fldChar w:fldCharType="separate"/>
      </w:r>
      <w:r>
        <w:rPr>
          <w:noProof/>
        </w:rPr>
        <w:t>Daley</w:t>
      </w:r>
      <w:r w:rsidRPr="00F10519">
        <w:rPr>
          <w:i/>
          <w:noProof/>
        </w:rPr>
        <w:t>, et al.</w:t>
      </w:r>
      <w:r>
        <w:rPr>
          <w:noProof/>
        </w:rPr>
        <w:t xml:space="preserve"> (2013)</w:t>
      </w:r>
      <w:r>
        <w:fldChar w:fldCharType="end"/>
      </w:r>
    </w:p>
  </w:footnote>
  <w:footnote w:id="21">
    <w:p w14:paraId="1C63A863" w14:textId="77777777" w:rsidR="001E3F49" w:rsidRPr="000C60F8" w:rsidRDefault="001E3F49" w:rsidP="007625DE">
      <w:pPr>
        <w:pStyle w:val="FootnoteText"/>
        <w:rPr>
          <w:lang w:val="en-US"/>
        </w:rPr>
      </w:pPr>
      <w:r>
        <w:rPr>
          <w:rStyle w:val="FootnoteReference"/>
        </w:rPr>
        <w:footnoteRef/>
      </w:r>
      <w:r>
        <w:rPr>
          <w:lang w:val="en-US"/>
        </w:rPr>
        <w:fldChar w:fldCharType="begin"/>
      </w:r>
      <w:r>
        <w:rPr>
          <w:lang w:val="en-US"/>
        </w:rPr>
        <w:instrText xml:space="preserve"> ADDIN EN.CITE &lt;EndNote&gt;&lt;Cite&gt;&lt;Author&gt;Tsounta&lt;/Author&gt;&lt;Year&gt;2006&lt;/Year&gt;&lt;RecNum&gt;119&lt;/RecNum&gt;&lt;DisplayText&gt;Tsounta (2006)&lt;/DisplayText&gt;&lt;record&gt;&lt;rec-number&gt;119&lt;/rec-number&gt;&lt;foreign-keys&gt;&lt;key app="EN" db-id="sax5xzax2wr5ttes9pf5a92yvterpr9xrdve"&gt;119&lt;/key&gt;&lt;/foreign-keys&gt;&lt;ref-type name="Report"&gt;27&lt;/ref-type&gt;&lt;contributors&gt;&lt;authors&gt;&lt;author&gt;Evridiki Tsounta&lt;/author&gt;&lt;/authors&gt;&lt;/contributors&gt;&lt;titles&gt;&lt;title&gt;Why are women working so much more in Canada? &lt;/title&gt;&lt;secondary-title&gt;IMF Working Paper 92,&lt;/secondary-title&gt;&lt;/titles&gt;&lt;dates&gt;&lt;year&gt;2006&lt;/year&gt;&lt;/dates&gt;&lt;publisher&gt;International Monetary Fund&lt;/publisher&gt;&lt;urls&gt;&lt;/urls&gt;&lt;/record&gt;&lt;/Cite&gt;&lt;/EndNote&gt;</w:instrText>
      </w:r>
      <w:r>
        <w:rPr>
          <w:lang w:val="en-US"/>
        </w:rPr>
        <w:fldChar w:fldCharType="separate"/>
      </w:r>
      <w:r>
        <w:rPr>
          <w:noProof/>
          <w:lang w:val="en-US"/>
        </w:rPr>
        <w:t>Tsounta (2006)</w:t>
      </w:r>
      <w:r>
        <w:rPr>
          <w:lang w:val="en-US"/>
        </w:rPr>
        <w:fldChar w:fldCharType="end"/>
      </w:r>
      <w:r>
        <w:rPr>
          <w:lang w:val="en-US"/>
        </w:rPr>
        <w:t xml:space="preserve">; </w:t>
      </w:r>
      <w:r>
        <w:fldChar w:fldCharType="begin"/>
      </w:r>
      <w:r>
        <w:instrText xml:space="preserve"> ADDIN EN.CITE &lt;EndNote&gt;&lt;Cite&gt;&lt;Author&gt;Schwarz&lt;/Author&gt;&lt;Year&gt;2012&lt;/Year&gt;&lt;RecNum&gt;64&lt;/RecNum&gt;&lt;DisplayText&gt;Schwarz (2012); ibid.&lt;/DisplayText&gt;&lt;record&gt;&lt;rec-number&gt;64&lt;/rec-number&gt;&lt;foreign-keys&gt;&lt;key app="EN" db-id="sax5xzax2wr5ttes9pf5a92yvterpr9xrdve"&gt;64&lt;/key&gt;&lt;/foreign-keys&gt;&lt;ref-type name="Journal Article"&gt;17&lt;/ref-type&gt;&lt;contributors&gt;&lt;authors&gt;&lt;author&gt;Peter Schwarz&lt;/author&gt;&lt;/authors&gt;&lt;/contributors&gt;&lt;titles&gt;&lt;title&gt;Tax disincentives and female employment in OECD countries&lt;/title&gt;&lt;secondary-title&gt;Journal of European Social Policy&lt;/secondary-title&gt;&lt;/titles&gt;&lt;volume&gt;22&lt;/volume&gt;&lt;number&gt;17&lt;/number&gt;&lt;dates&gt;&lt;year&gt;2012&lt;/year&gt;&lt;/dates&gt;&lt;urls&gt;&lt;/urls&gt;&lt;/record&gt;&lt;/Cite&gt;&lt;Cite&gt;&lt;Author&gt;Schwarz&lt;/Author&gt;&lt;Year&gt;2012&lt;/Year&gt;&lt;RecNum&gt;64&lt;/RecNum&gt;&lt;record&gt;&lt;rec-number&gt;64&lt;/rec-number&gt;&lt;foreign-keys&gt;&lt;key app="EN" db-id="sax5xzax2wr5ttes9pf5a92yvterpr9xrdve"&gt;64&lt;/key&gt;&lt;/foreign-keys&gt;&lt;ref-type name="Journal Article"&gt;17&lt;/ref-type&gt;&lt;contributors&gt;&lt;authors&gt;&lt;author&gt;Peter Schwarz&lt;/author&gt;&lt;/authors&gt;&lt;/contributors&gt;&lt;titles&gt;&lt;title&gt;Tax disincentives and female employment in OECD countries&lt;/title&gt;&lt;secondary-title&gt;Journal of European Social Policy&lt;/secondary-title&gt;&lt;/titles&gt;&lt;volume&gt;22&lt;/volume&gt;&lt;number&gt;17&lt;/number&gt;&lt;dates&gt;&lt;year&gt;2012&lt;/year&gt;&lt;/dates&gt;&lt;urls&gt;&lt;/urls&gt;&lt;/record&gt;&lt;/Cite&gt;&lt;/EndNote&gt;</w:instrText>
      </w:r>
      <w:r>
        <w:fldChar w:fldCharType="separate"/>
      </w:r>
      <w:r>
        <w:rPr>
          <w:noProof/>
        </w:rPr>
        <w:t>Schwarz (2012); ibid.</w:t>
      </w:r>
      <w:r>
        <w:fldChar w:fldCharType="end"/>
      </w:r>
      <w:r>
        <w:t xml:space="preserve"> </w:t>
      </w:r>
    </w:p>
  </w:footnote>
  <w:footnote w:id="22">
    <w:p w14:paraId="363F8F58" w14:textId="77777777" w:rsidR="001E3F49" w:rsidRPr="00D032AC" w:rsidRDefault="001E3F49" w:rsidP="007625DE">
      <w:pPr>
        <w:pStyle w:val="FootnoteText"/>
        <w:rPr>
          <w:lang w:val="en-US"/>
        </w:rPr>
      </w:pPr>
      <w:r>
        <w:rPr>
          <w:rStyle w:val="FootnoteReference"/>
        </w:rPr>
        <w:footnoteRef/>
      </w:r>
      <w:r>
        <w:t xml:space="preserve"> </w:t>
      </w:r>
      <w:r>
        <w:fldChar w:fldCharType="begin"/>
      </w:r>
      <w:r>
        <w:instrText xml:space="preserve"> ADDIN EN.CITE &lt;EndNote&gt;&lt;Cite&gt;&lt;Author&gt;Losoncz&lt;/Author&gt;&lt;Year&gt;2011&lt;/Year&gt;&lt;RecNum&gt;65&lt;/RecNum&gt;&lt;DisplayText&gt;Losoncz and Bortolotto (2009); Losoncz (2011)&lt;/DisplayText&gt;&lt;record&gt;&lt;rec-number&gt;65&lt;/rec-number&gt;&lt;foreign-keys&gt;&lt;key app="EN" db-id="sax5xzax2wr5ttes9pf5a92yvterpr9xrdve"&gt;65&lt;/key&gt;&lt;/foreign-keys&gt;&lt;ref-type name="Journal Article"&gt;17&lt;/ref-type&gt;&lt;contributors&gt;&lt;authors&gt;&lt;author&gt;Ibolya Losoncz&lt;/author&gt;&lt;/authors&gt;&lt;/contributors&gt;&lt;titles&gt;&lt;title&gt;Persistent work-family strain among Australian mothers&lt;/title&gt;&lt;secondary-title&gt;Family Matters&lt;/secondary-title&gt;&lt;/titles&gt;&lt;volume&gt;86&lt;/volume&gt;&lt;dates&gt;&lt;year&gt;2011&lt;/year&gt;&lt;/dates&gt;&lt;urls&gt;&lt;/urls&gt;&lt;/record&gt;&lt;/Cite&gt;&lt;Cite&gt;&lt;Author&gt;Losoncz&lt;/Author&gt;&lt;Year&gt;2009&lt;/Year&gt;&lt;RecNum&gt;66&lt;/RecNum&gt;&lt;record&gt;&lt;rec-number&gt;66&lt;/rec-number&gt;&lt;foreign-keys&gt;&lt;key app="EN" db-id="sax5xzax2wr5ttes9pf5a92yvterpr9xrdve"&gt;66&lt;/key&gt;&lt;/foreign-keys&gt;&lt;ref-type name="Journal Article"&gt;17&lt;/ref-type&gt;&lt;contributors&gt;&lt;authors&gt;&lt;author&gt;I Losoncz &lt;/author&gt;&lt;author&gt;N. Bortolotto&lt;/author&gt;&lt;/authors&gt;&lt;/contributors&gt;&lt;titles&gt;&lt;title&gt;Work-life balance: The experience of Australian Working Mothers&lt;/title&gt;&lt;secondary-title&gt;Journal of Family Studies&lt;/secondary-title&gt;&lt;/titles&gt;&lt;pages&gt;122-38&lt;/pages&gt;&lt;volume&gt;15&lt;/volume&gt;&lt;number&gt;22&lt;/number&gt;&lt;dates&gt;&lt;year&gt;2009&lt;/year&gt;&lt;/dates&gt;&lt;urls&gt;&lt;/urls&gt;&lt;/record&gt;&lt;/Cite&gt;&lt;/EndNote&gt;</w:instrText>
      </w:r>
      <w:r>
        <w:fldChar w:fldCharType="separate"/>
      </w:r>
      <w:r>
        <w:rPr>
          <w:noProof/>
        </w:rPr>
        <w:t>Losoncz and Bortolotto (2009); Losoncz (2011)</w:t>
      </w:r>
      <w:r>
        <w:fldChar w:fldCharType="end"/>
      </w:r>
    </w:p>
  </w:footnote>
  <w:footnote w:id="23">
    <w:p w14:paraId="3F6AF158" w14:textId="77777777" w:rsidR="001E3F49" w:rsidRPr="00554217" w:rsidRDefault="001E3F49" w:rsidP="00960C6F">
      <w:pPr>
        <w:pStyle w:val="FootnoteText"/>
        <w:rPr>
          <w:lang w:val="en-US"/>
        </w:rPr>
      </w:pPr>
      <w:r>
        <w:rPr>
          <w:rStyle w:val="FootnoteReference"/>
        </w:rPr>
        <w:footnoteRef/>
      </w:r>
      <w:r>
        <w:t xml:space="preserve"> </w:t>
      </w:r>
      <w:r>
        <w:rPr>
          <w:lang w:val="en-US"/>
        </w:rPr>
        <w:t xml:space="preserve">See discussion in </w:t>
      </w:r>
      <w:r>
        <w:rPr>
          <w:lang w:val="en-US"/>
        </w:rPr>
        <w:fldChar w:fldCharType="begin"/>
      </w:r>
      <w:r>
        <w:rPr>
          <w:lang w:val="en-US"/>
        </w:rPr>
        <w:instrText xml:space="preserve"> ADDIN EN.CITE &lt;EndNote&gt;&lt;Cite&gt;&lt;Author&gt;Productivity Commission&lt;/Author&gt;&lt;Year&gt;2009&lt;/Year&gt;&lt;RecNum&gt;79&lt;/RecNum&gt;&lt;DisplayText&gt;Productivity Commission (2009)&lt;/DisplayText&gt;&lt;record&gt;&lt;rec-number&gt;79&lt;/rec-number&gt;&lt;foreign-keys&gt;&lt;key app="EN" db-id="sax5xzax2wr5ttes9pf5a92yvterpr9xrdve"&gt;79&lt;/key&gt;&lt;/foreign-keys&gt;&lt;ref-type name="Government Document"&gt;46&lt;/ref-type&gt;&lt;contributors&gt;&lt;authors&gt;&lt;author&gt;Productivity Commission,&lt;/author&gt;&lt;/authors&gt;&lt;secondary-authors&gt;&lt;author&gt;Productivity Commission&lt;/author&gt;&lt;/secondary-authors&gt;&lt;/contributors&gt;&lt;titles&gt;&lt;title&gt;Paid Parental Leave: Support for Parents with Newborn Children&lt;/title&gt;&lt;/titles&gt;&lt;number&gt;47&lt;/number&gt;&lt;dates&gt;&lt;year&gt;2009&lt;/year&gt;&lt;/dates&gt;&lt;pub-location&gt;Canberra&lt;/pub-location&gt;&lt;urls&gt;&lt;/urls&gt;&lt;/record&gt;&lt;/Cite&gt;&lt;/EndNote&gt;</w:instrText>
      </w:r>
      <w:r>
        <w:rPr>
          <w:lang w:val="en-US"/>
        </w:rPr>
        <w:fldChar w:fldCharType="separate"/>
      </w:r>
      <w:r>
        <w:rPr>
          <w:noProof/>
          <w:lang w:val="en-US"/>
        </w:rPr>
        <w:t>Productivity Commission (2009)</w:t>
      </w:r>
      <w:r>
        <w:rPr>
          <w:lang w:val="en-US"/>
        </w:rPr>
        <w:fldChar w:fldCharType="end"/>
      </w:r>
      <w:r>
        <w:rPr>
          <w:lang w:val="en-US"/>
        </w:rPr>
        <w:t xml:space="preserve">, </w:t>
      </w:r>
      <w:proofErr w:type="spellStart"/>
      <w:r>
        <w:rPr>
          <w:lang w:val="en-US"/>
        </w:rPr>
        <w:t>Ch</w:t>
      </w:r>
      <w:proofErr w:type="spellEnd"/>
      <w:r>
        <w:rPr>
          <w:lang w:val="en-US"/>
        </w:rPr>
        <w:t xml:space="preserve"> 5, pp. 26-38. After controlling for industry and education levels this may not be a particularly strong effect — see </w:t>
      </w:r>
      <w:r>
        <w:fldChar w:fldCharType="begin"/>
      </w:r>
      <w:r>
        <w:instrText xml:space="preserve"> ADDIN EN.CITE &lt;EndNote&gt;&lt;Cite&gt;&lt;Author&gt;Buddelmeyer&lt;/Author&gt;&lt;Year&gt;2007&lt;/Year&gt;&lt;RecNum&gt;33&lt;/RecNum&gt;&lt;DisplayText&gt;Buddelmeyer and Fok (2007)&lt;/DisplayText&gt;&lt;record&gt;&lt;rec-number&gt;33&lt;/rec-number&gt;&lt;foreign-keys&gt;&lt;key app="EN" db-id="sax5xzax2wr5ttes9pf5a92yvterpr9xrdve"&gt;33&lt;/key&gt;&lt;/foreign-keys&gt;&lt;ref-type name="Report"&gt;27&lt;/ref-type&gt;&lt;contributors&gt;&lt;authors&gt;&lt;author&gt;Hielke Buddelmeyer&lt;/author&gt;&lt;author&gt;Yin King Fok&lt;/author&gt;&lt;/authors&gt;&lt;/contributors&gt;&lt;titles&gt;&lt;title&gt;What determines how long women spend out of the labour force after the birth of a child? &lt;/title&gt;&lt;/titles&gt;&lt;dates&gt;&lt;year&gt;2007&lt;/year&gt;&lt;/dates&gt;&lt;pub-location&gt;Melbourne&lt;/pub-location&gt;&lt;publisher&gt;Melbourne Institute of Applied Economic and Social Research&lt;/publisher&gt;&lt;urls&gt;&lt;/urls&gt;&lt;/record&gt;&lt;/Cite&gt;&lt;/EndNote&gt;</w:instrText>
      </w:r>
      <w:r>
        <w:fldChar w:fldCharType="separate"/>
      </w:r>
      <w:r>
        <w:rPr>
          <w:noProof/>
        </w:rPr>
        <w:t>Buddelmeyer and Fok (2007)</w:t>
      </w:r>
      <w:r>
        <w:fldChar w:fldCharType="end"/>
      </w:r>
      <w:r>
        <w:rPr>
          <w:lang w:val="en-US"/>
        </w:rPr>
        <w:t xml:space="preserve">, p.5 and cross-country studies suggesting that it has half the impact of government spending on childcare in </w:t>
      </w:r>
      <w:r>
        <w:fldChar w:fldCharType="begin"/>
      </w:r>
      <w:r>
        <w:instrText xml:space="preserve"> ADDIN EN.CITE &lt;EndNote&gt;&lt;Cite&gt;&lt;Author&gt;Schwarz&lt;/Author&gt;&lt;Year&gt;2012&lt;/Year&gt;&lt;RecNum&gt;64&lt;/RecNum&gt;&lt;DisplayText&gt;Schwarz (2012); ibid.&lt;/DisplayText&gt;&lt;record&gt;&lt;rec-number&gt;64&lt;/rec-number&gt;&lt;foreign-keys&gt;&lt;key app="EN" db-id="sax5xzax2wr5ttes9pf5a92yvterpr9xrdve"&gt;64&lt;/key&gt;&lt;/foreign-keys&gt;&lt;ref-type name="Journal Article"&gt;17&lt;/ref-type&gt;&lt;contributors&gt;&lt;authors&gt;&lt;author&gt;Peter Schwarz&lt;/author&gt;&lt;/authors&gt;&lt;/contributors&gt;&lt;titles&gt;&lt;title&gt;Tax disincentives and female employment in OECD countries&lt;/title&gt;&lt;secondary-title&gt;Journal of European Social Policy&lt;/secondary-title&gt;&lt;/titles&gt;&lt;volume&gt;22&lt;/volume&gt;&lt;number&gt;17&lt;/number&gt;&lt;dates&gt;&lt;year&gt;2012&lt;/year&gt;&lt;/dates&gt;&lt;urls&gt;&lt;/urls&gt;&lt;/record&gt;&lt;/Cite&gt;&lt;Cite&gt;&lt;Author&gt;Schwarz&lt;/Author&gt;&lt;Year&gt;2012&lt;/Year&gt;&lt;RecNum&gt;64&lt;/RecNum&gt;&lt;record&gt;&lt;rec-number&gt;64&lt;/rec-number&gt;&lt;foreign-keys&gt;&lt;key app="EN" db-id="sax5xzax2wr5ttes9pf5a92yvterpr9xrdve"&gt;64&lt;/key&gt;&lt;/foreign-keys&gt;&lt;ref-type name="Journal Article"&gt;17&lt;/ref-type&gt;&lt;contributors&gt;&lt;authors&gt;&lt;author&gt;Peter Schwarz&lt;/author&gt;&lt;/authors&gt;&lt;/contributors&gt;&lt;titles&gt;&lt;title&gt;Tax disincentives and female employment in OECD countries&lt;/title&gt;&lt;secondary-title&gt;Journal of European Social Policy&lt;/secondary-title&gt;&lt;/titles&gt;&lt;volume&gt;22&lt;/volume&gt;&lt;number&gt;17&lt;/number&gt;&lt;dates&gt;&lt;year&gt;2012&lt;/year&gt;&lt;/dates&gt;&lt;urls&gt;&lt;/urls&gt;&lt;/record&gt;&lt;/Cite&gt;&lt;/EndNote&gt;</w:instrText>
      </w:r>
      <w:r>
        <w:fldChar w:fldCharType="separate"/>
      </w:r>
      <w:r>
        <w:rPr>
          <w:noProof/>
        </w:rPr>
        <w:t>Schwarz (2012); ibid.</w:t>
      </w:r>
      <w:r>
        <w:fldChar w:fldCharType="end"/>
      </w:r>
      <w:r>
        <w:t xml:space="preserve"> p.24</w:t>
      </w:r>
    </w:p>
  </w:footnote>
  <w:footnote w:id="24">
    <w:p w14:paraId="04B996A9" w14:textId="77777777" w:rsidR="001E3F49" w:rsidRPr="003100AB" w:rsidRDefault="001E3F49" w:rsidP="007625DE">
      <w:pPr>
        <w:pStyle w:val="FootnoteText"/>
        <w:rPr>
          <w:lang w:val="en-US"/>
        </w:rPr>
      </w:pPr>
      <w:r>
        <w:rPr>
          <w:rStyle w:val="FootnoteReference"/>
        </w:rPr>
        <w:footnoteRef/>
      </w:r>
      <w:r>
        <w:t xml:space="preserve"> </w:t>
      </w:r>
      <w:r>
        <w:fldChar w:fldCharType="begin"/>
      </w:r>
      <w:r>
        <w:instrText xml:space="preserve"> ADDIN EN.CITE &lt;EndNote&gt;&lt;Cite&gt;&lt;Author&gt;Schwarz&lt;/Author&gt;&lt;Year&gt;2012&lt;/Year&gt;&lt;RecNum&gt;64&lt;/RecNum&gt;&lt;DisplayText&gt;Schwarz (2012); ibid.&lt;/DisplayText&gt;&lt;record&gt;&lt;rec-number&gt;64&lt;/rec-number&gt;&lt;foreign-keys&gt;&lt;key app="EN" db-id="sax5xzax2wr5ttes9pf5a92yvterpr9xrdve"&gt;64&lt;/key&gt;&lt;/foreign-keys&gt;&lt;ref-type name="Journal Article"&gt;17&lt;/ref-type&gt;&lt;contributors&gt;&lt;authors&gt;&lt;author&gt;Peter Schwarz&lt;/author&gt;&lt;/authors&gt;&lt;/contributors&gt;&lt;titles&gt;&lt;title&gt;Tax disincentives and female employment in OECD countries&lt;/title&gt;&lt;secondary-title&gt;Journal of European Social Policy&lt;/secondary-title&gt;&lt;/titles&gt;&lt;volume&gt;22&lt;/volume&gt;&lt;number&gt;17&lt;/number&gt;&lt;dates&gt;&lt;year&gt;2012&lt;/year&gt;&lt;/dates&gt;&lt;urls&gt;&lt;/urls&gt;&lt;/record&gt;&lt;/Cite&gt;&lt;Cite&gt;&lt;Author&gt;Schwarz&lt;/Author&gt;&lt;Year&gt;2012&lt;/Year&gt;&lt;RecNum&gt;64&lt;/RecNum&gt;&lt;record&gt;&lt;rec-number&gt;64&lt;/rec-number&gt;&lt;foreign-keys&gt;&lt;key app="EN" db-id="sax5xzax2wr5ttes9pf5a92yvterpr9xrdve"&gt;64&lt;/key&gt;&lt;/foreign-keys&gt;&lt;ref-type name="Journal Article"&gt;17&lt;/ref-type&gt;&lt;contributors&gt;&lt;authors&gt;&lt;author&gt;Peter Schwarz&lt;/author&gt;&lt;/authors&gt;&lt;/contributors&gt;&lt;titles&gt;&lt;title&gt;Tax disincentives and female employment in OECD countries&lt;/title&gt;&lt;secondary-title&gt;Journal of European Social Policy&lt;/secondary-title&gt;&lt;/titles&gt;&lt;volume&gt;22&lt;/volume&gt;&lt;number&gt;17&lt;/number&gt;&lt;dates&gt;&lt;year&gt;2012&lt;/year&gt;&lt;/dates&gt;&lt;urls&gt;&lt;/urls&gt;&lt;/record&gt;&lt;/Cite&gt;&lt;/EndNote&gt;</w:instrText>
      </w:r>
      <w:r>
        <w:fldChar w:fldCharType="separate"/>
      </w:r>
      <w:r>
        <w:rPr>
          <w:noProof/>
        </w:rPr>
        <w:t>Schwarz (2012); ibid.</w:t>
      </w:r>
      <w:r>
        <w:fldChar w:fldCharType="end"/>
      </w:r>
      <w:r>
        <w:t xml:space="preserve"> p.24 </w:t>
      </w:r>
    </w:p>
  </w:footnote>
  <w:footnote w:id="25">
    <w:p w14:paraId="5ED59521" w14:textId="77777777" w:rsidR="001E3F49" w:rsidRPr="00023A2E" w:rsidRDefault="001E3F49" w:rsidP="007625DE">
      <w:pPr>
        <w:pStyle w:val="FootnoteText"/>
        <w:rPr>
          <w:lang w:val="en-US"/>
        </w:rPr>
      </w:pPr>
      <w:r>
        <w:rPr>
          <w:rStyle w:val="FootnoteReference"/>
        </w:rPr>
        <w:footnoteRef/>
      </w:r>
      <w:r>
        <w:t xml:space="preserve"> </w:t>
      </w:r>
      <w:r>
        <w:fldChar w:fldCharType="begin"/>
      </w:r>
      <w:r>
        <w:instrText xml:space="preserve"> ADDIN EN.CITE &lt;EndNote&gt;&lt;Cite&gt;&lt;Author&gt;Norton&lt;/Author&gt;&lt;Year&gt;2012&lt;/Year&gt;&lt;RecNum&gt;74&lt;/RecNum&gt;&lt;DisplayText&gt;Norton (2012)&lt;/DisplayText&gt;&lt;record&gt;&lt;rec-number&gt;74&lt;/rec-number&gt;&lt;foreign-keys&gt;&lt;key app="EN" db-id="ppex2pv97zx2s2edf055dxsb9pwfwev9d5sf"&gt;74&lt;/key&gt;&lt;/foreign-keys&gt;&lt;ref-type name="Report"&gt;27&lt;/ref-type&gt;&lt;contributors&gt;&lt;authors&gt;&lt;author&gt;Andrew Norton&lt;/author&gt;&lt;/authors&gt;&lt;/contributors&gt;&lt;titles&gt;&lt;title&gt;Mapping Australian Higher Education&lt;/title&gt;&lt;/titles&gt;&lt;dates&gt;&lt;year&gt;2012&lt;/year&gt;&lt;/dates&gt;&lt;publisher&gt;Grattan Institute&lt;/publisher&gt;&lt;urls&gt;&lt;/urls&gt;&lt;/record&gt;&lt;/Cite&gt;&lt;/EndNote&gt;</w:instrText>
      </w:r>
      <w:r>
        <w:fldChar w:fldCharType="separate"/>
      </w:r>
      <w:r>
        <w:rPr>
          <w:noProof/>
        </w:rPr>
        <w:t>Norton (2012)</w:t>
      </w:r>
      <w:r>
        <w:fldChar w:fldCharType="end"/>
      </w:r>
      <w:r>
        <w:t>, p. 25</w:t>
      </w:r>
    </w:p>
  </w:footnote>
  <w:footnote w:id="26">
    <w:p w14:paraId="42C6F49F" w14:textId="77777777" w:rsidR="001E3F49" w:rsidRPr="003100AB" w:rsidRDefault="001E3F49" w:rsidP="007625DE">
      <w:pPr>
        <w:pStyle w:val="FootnoteText"/>
        <w:rPr>
          <w:lang w:val="en-US"/>
        </w:rPr>
      </w:pPr>
      <w:r>
        <w:rPr>
          <w:rStyle w:val="FootnoteReference"/>
        </w:rPr>
        <w:footnoteRef/>
      </w:r>
      <w:r>
        <w:t xml:space="preserve"> </w:t>
      </w:r>
      <w:r>
        <w:fldChar w:fldCharType="begin"/>
      </w:r>
      <w:r>
        <w:instrText xml:space="preserve"> ADDIN EN.CITE &lt;EndNote&gt;&lt;Cite&gt;&lt;Author&gt;Tsounta&lt;/Author&gt;&lt;Year&gt;2006&lt;/Year&gt;&lt;RecNum&gt;119&lt;/RecNum&gt;&lt;DisplayText&gt;Tsounta (2006)&lt;/DisplayText&gt;&lt;record&gt;&lt;rec-number&gt;119&lt;/rec-number&gt;&lt;foreign-keys&gt;&lt;key app="EN" db-id="sax5xzax2wr5ttes9pf5a92yvterpr9xrdve"&gt;119&lt;/key&gt;&lt;/foreign-keys&gt;&lt;ref-type name="Report"&gt;27&lt;/ref-type&gt;&lt;contributors&gt;&lt;authors&gt;&lt;author&gt;Evridiki Tsounta&lt;/author&gt;&lt;/authors&gt;&lt;/contributors&gt;&lt;titles&gt;&lt;title&gt;Why are women working so much more in Canada? &lt;/title&gt;&lt;secondary-title&gt;IMF Working Paper 92,&lt;/secondary-title&gt;&lt;/titles&gt;&lt;dates&gt;&lt;year&gt;2006&lt;/year&gt;&lt;/dates&gt;&lt;publisher&gt;International Monetary Fund&lt;/publisher&gt;&lt;urls&gt;&lt;/urls&gt;&lt;/record&gt;&lt;/Cite&gt;&lt;/EndNote&gt;</w:instrText>
      </w:r>
      <w:r>
        <w:fldChar w:fldCharType="separate"/>
      </w:r>
      <w:r>
        <w:rPr>
          <w:noProof/>
        </w:rPr>
        <w:t>Tsounta (2006)</w:t>
      </w:r>
      <w:r>
        <w:fldChar w:fldCharType="end"/>
      </w:r>
      <w:r>
        <w:t xml:space="preserve">; security of employment was </w:t>
      </w:r>
      <w:proofErr w:type="spellStart"/>
      <w:r>
        <w:t>proxied</w:t>
      </w:r>
      <w:proofErr w:type="spellEnd"/>
      <w:r>
        <w:t xml:space="preserve"> using union membership rates, and social attitudes were</w:t>
      </w:r>
      <w:r w:rsidRPr="003100AB">
        <w:t xml:space="preserve"> </w:t>
      </w:r>
      <w:proofErr w:type="spellStart"/>
      <w:r>
        <w:t>proxied</w:t>
      </w:r>
      <w:proofErr w:type="spellEnd"/>
      <w:r>
        <w:t xml:space="preserve"> using female parliamentary representation and government political ideology.</w:t>
      </w:r>
    </w:p>
  </w:footnote>
  <w:footnote w:id="27">
    <w:p w14:paraId="65A3453C" w14:textId="77777777" w:rsidR="001E3F49" w:rsidRPr="00D032AC" w:rsidRDefault="001E3F49" w:rsidP="007625DE">
      <w:pPr>
        <w:pStyle w:val="FootnoteText"/>
        <w:rPr>
          <w:lang w:val="en-US"/>
        </w:rPr>
      </w:pPr>
      <w:r>
        <w:rPr>
          <w:rStyle w:val="FootnoteReference"/>
        </w:rPr>
        <w:footnoteRef/>
      </w:r>
      <w:r>
        <w:t xml:space="preserve"> </w:t>
      </w:r>
      <w:r>
        <w:fldChar w:fldCharType="begin"/>
      </w:r>
      <w:r>
        <w:instrText xml:space="preserve"> ADDIN EN.CITE &lt;EndNote&gt;&lt;Cite&gt;&lt;Author&gt;Apps&lt;/Author&gt;&lt;Year&gt;2006&lt;/Year&gt;&lt;RecNum&gt;73&lt;/RecNum&gt;&lt;DisplayText&gt;Apps (2006); Kalb and Thoresen (2007)&lt;/DisplayText&gt;&lt;record&gt;&lt;rec-number&gt;73&lt;/rec-number&gt;&lt;foreign-keys&gt;&lt;key app="EN" db-id="sax5xzax2wr5ttes9pf5a92yvterpr9xrdve"&gt;73&lt;/key&gt;&lt;/foreign-keys&gt;&lt;ref-type name="Conference Paper"&gt;47&lt;/ref-type&gt;&lt;contributors&gt;&lt;authors&gt;&lt;author&gt;Patricia Apps&lt;/author&gt;&lt;/authors&gt;&lt;/contributors&gt;&lt;titles&gt;&lt;title&gt;Family Taxation: An Unfair and Inefficient System, Discussion Paper No. 524&amp;#xD; &lt;/title&gt;&lt;secondary-title&gt;Centre for Economic Policy Research&lt;/secondary-title&gt;&lt;/titles&gt;&lt;dates&gt;&lt;year&gt;2006&lt;/year&gt;&lt;/dates&gt;&lt;pub-location&gt;Australian National University&lt;/pub-location&gt;&lt;urls&gt;&lt;/urls&gt;&lt;/record&gt;&lt;/Cite&gt;&lt;Cite&gt;&lt;Author&gt;Kalb&lt;/Author&gt;&lt;Year&gt;2007&lt;/Year&gt;&lt;RecNum&gt;74&lt;/RecNum&gt;&lt;record&gt;&lt;rec-number&gt;74&lt;/rec-number&gt;&lt;foreign-keys&gt;&lt;key app="EN" db-id="sax5xzax2wr5ttes9pf5a92yvterpr9xrdve"&gt;74&lt;/key&gt;&lt;/foreign-keys&gt;&lt;ref-type name="Conference Paper"&gt;47&lt;/ref-type&gt;&lt;contributors&gt;&lt;authors&gt;&lt;author&gt;G Kalb&lt;/author&gt;&lt;author&gt;T Thoresen&lt;/author&gt;&lt;/authors&gt;&lt;/contributors&gt;&lt;titles&gt;&lt;title&gt;The Case for Labour Supply Incentives: A Comparison of Family Policies in Australia and Norway. Working Paper No. 27/2007&lt;/title&gt;&lt;secondary-title&gt;Melbourne Institute of Applied Economic and Social Research&lt;/secondary-title&gt;&lt;/titles&gt;&lt;dates&gt;&lt;year&gt;2007&lt;/year&gt;&lt;/dates&gt;&lt;urls&gt;&lt;/urls&gt;&lt;/record&gt;&lt;/Cite&gt;&lt;/EndNote&gt;</w:instrText>
      </w:r>
      <w:r>
        <w:fldChar w:fldCharType="separate"/>
      </w:r>
      <w:r>
        <w:rPr>
          <w:noProof/>
        </w:rPr>
        <w:t>Apps (2006); Kalb and Thoresen (2007)</w:t>
      </w:r>
      <w:r>
        <w:fldChar w:fldCharType="end"/>
      </w:r>
    </w:p>
  </w:footnote>
  <w:footnote w:id="28">
    <w:p w14:paraId="43A407F5" w14:textId="77777777" w:rsidR="001E3F49" w:rsidRPr="00E8280A" w:rsidRDefault="001E3F49" w:rsidP="000762C2">
      <w:pPr>
        <w:pStyle w:val="FootnoteText"/>
        <w:rPr>
          <w:lang w:val="en-US"/>
        </w:rPr>
      </w:pPr>
      <w:r>
        <w:rPr>
          <w:rStyle w:val="FootnoteReference"/>
        </w:rPr>
        <w:footnoteRef/>
      </w:r>
      <w:r>
        <w:t xml:space="preserve"> </w:t>
      </w:r>
      <w:r>
        <w:fldChar w:fldCharType="begin"/>
      </w:r>
      <w:r>
        <w:instrText xml:space="preserve"> ADDIN EN.CITE &lt;EndNote&gt;&lt;Cite&gt;&lt;Author&gt;ABS&lt;/Author&gt;&lt;Year&gt;2011&lt;/Year&gt;&lt;RecNum&gt;70&lt;/RecNum&gt;&lt;DisplayText&gt;ABS (2011b)&lt;/DisplayText&gt;&lt;record&gt;&lt;rec-number&gt;70&lt;/rec-number&gt;&lt;foreign-keys&gt;&lt;key app="EN" db-id="sax5xzax2wr5ttes9pf5a92yvterpr9xrdve"&gt;70&lt;/key&gt;&lt;/foreign-keys&gt;&lt;ref-type name="Online Database"&gt;45&lt;/ref-type&gt;&lt;contributors&gt;&lt;authors&gt;&lt;author&gt;ABS,&lt;/author&gt;&lt;/authors&gt;&lt;/contributors&gt;&lt;titles&gt;&lt;title&gt;4402.0 - Childhood Education and Care, Australia&lt;/title&gt;&lt;/titles&gt;&lt;dates&gt;&lt;year&gt;2011&lt;/year&gt;&lt;/dates&gt;&lt;urls&gt;&lt;related-urls&gt;&lt;url&gt;http://www.abs.gov.au/AUSSTATS/abs@.nsf/Lookup/4402.0Main+Features1June%202011?OpenDocument&lt;/url&gt;&lt;/related-urls&gt;&lt;/urls&gt;&lt;/record&gt;&lt;/Cite&gt;&lt;/EndNote&gt;</w:instrText>
      </w:r>
      <w:r>
        <w:fldChar w:fldCharType="separate"/>
      </w:r>
      <w:r>
        <w:rPr>
          <w:noProof/>
        </w:rPr>
        <w:t>ABS (2011b)</w:t>
      </w:r>
      <w:r>
        <w:fldChar w:fldCharType="end"/>
      </w:r>
    </w:p>
  </w:footnote>
  <w:footnote w:id="29">
    <w:p w14:paraId="06D210D5" w14:textId="77777777" w:rsidR="001E3F49" w:rsidRPr="00C34B2D" w:rsidRDefault="001E3F49" w:rsidP="000762C2">
      <w:pPr>
        <w:pStyle w:val="FootnoteText"/>
        <w:rPr>
          <w:lang w:val="en-US"/>
        </w:rPr>
      </w:pPr>
      <w:r>
        <w:rPr>
          <w:rStyle w:val="FootnoteReference"/>
        </w:rPr>
        <w:footnoteRef/>
      </w:r>
      <w:r>
        <w:t xml:space="preserve"> </w:t>
      </w:r>
      <w:r>
        <w:rPr>
          <w:lang w:val="en-US"/>
        </w:rPr>
        <w:t xml:space="preserve">For a survey of child care attitudes see </w:t>
      </w:r>
      <w:r>
        <w:rPr>
          <w:lang w:val="en-US"/>
        </w:rPr>
        <w:fldChar w:fldCharType="begin"/>
      </w:r>
      <w:r>
        <w:rPr>
          <w:lang w:val="en-US"/>
        </w:rPr>
        <w:instrText xml:space="preserve"> ADDIN EN.CITE &lt;EndNote&gt;&lt;Cite&gt;&lt;Author&gt;Rush&lt;/Author&gt;&lt;Year&gt;2006&lt;/Year&gt;&lt;RecNum&gt;127&lt;/RecNum&gt;&lt;DisplayText&gt;Rush (2006)&lt;/DisplayText&gt;&lt;record&gt;&lt;rec-number&gt;127&lt;/rec-number&gt;&lt;foreign-keys&gt;&lt;key app="EN" db-id="sax5xzax2wr5ttes9pf5a92yvterpr9xrdve"&gt;127&lt;/key&gt;&lt;/foreign-keys&gt;&lt;ref-type name="Report"&gt;27&lt;/ref-type&gt;&lt;contributors&gt;&lt;authors&gt;&lt;author&gt;Emma Rush&lt;/author&gt;&lt;/authors&gt;&lt;/contributors&gt;&lt;titles&gt;&lt;title&gt;Child Care Quality in Australia (Discussion Paper Number 84)&lt;/title&gt;&lt;/titles&gt;&lt;dates&gt;&lt;year&gt;2006&lt;/year&gt;&lt;/dates&gt;&lt;publisher&gt;The Australia Institute&lt;/publisher&gt;&lt;urls&gt;&lt;/urls&gt;&lt;/record&gt;&lt;/Cite&gt;&lt;/EndNote&gt;</w:instrText>
      </w:r>
      <w:r>
        <w:rPr>
          <w:lang w:val="en-US"/>
        </w:rPr>
        <w:fldChar w:fldCharType="separate"/>
      </w:r>
      <w:r>
        <w:rPr>
          <w:noProof/>
          <w:lang w:val="en-US"/>
        </w:rPr>
        <w:t>Rush (2006)</w:t>
      </w:r>
      <w:r>
        <w:rPr>
          <w:lang w:val="en-US"/>
        </w:rPr>
        <w:fldChar w:fldCharType="end"/>
      </w:r>
    </w:p>
  </w:footnote>
  <w:footnote w:id="30">
    <w:p w14:paraId="43DC7227" w14:textId="77777777" w:rsidR="001E3F49" w:rsidRPr="00BE2069" w:rsidRDefault="001E3F49" w:rsidP="00F96D4C">
      <w:pPr>
        <w:pStyle w:val="FootnoteText"/>
        <w:rPr>
          <w:lang w:val="en-US"/>
        </w:rPr>
      </w:pPr>
      <w:r>
        <w:rPr>
          <w:rStyle w:val="FootnoteReference"/>
        </w:rPr>
        <w:footnoteRef/>
      </w:r>
      <w:r>
        <w:t xml:space="preserve"> </w:t>
      </w:r>
      <w:r>
        <w:fldChar w:fldCharType="begin"/>
      </w:r>
      <w:r>
        <w:instrText xml:space="preserve"> ADDIN EN.CITE &lt;EndNote&gt;&lt;Cite&gt;&lt;Author&gt;Tsounta&lt;/Author&gt;&lt;Year&gt;2006&lt;/Year&gt;&lt;RecNum&gt;119&lt;/RecNum&gt;&lt;DisplayText&gt;Tsounta (2006)&lt;/DisplayText&gt;&lt;record&gt;&lt;rec-number&gt;119&lt;/rec-number&gt;&lt;foreign-keys&gt;&lt;key app="EN" db-id="sax5xzax2wr5ttes9pf5a92yvterpr9xrdve"&gt;119&lt;/key&gt;&lt;/foreign-keys&gt;&lt;ref-type name="Report"&gt;27&lt;/ref-type&gt;&lt;contributors&gt;&lt;authors&gt;&lt;author&gt;Evridiki Tsounta&lt;/author&gt;&lt;/authors&gt;&lt;/contributors&gt;&lt;titles&gt;&lt;title&gt;Why are women working so much more in Canada? &lt;/title&gt;&lt;secondary-title&gt;IMF Working Paper 92,&lt;/secondary-title&gt;&lt;/titles&gt;&lt;dates&gt;&lt;year&gt;2006&lt;/year&gt;&lt;/dates&gt;&lt;publisher&gt;International Monetary Fund&lt;/publisher&gt;&lt;urls&gt;&lt;/urls&gt;&lt;/record&gt;&lt;/Cite&gt;&lt;/EndNote&gt;</w:instrText>
      </w:r>
      <w:r>
        <w:fldChar w:fldCharType="separate"/>
      </w:r>
      <w:r>
        <w:rPr>
          <w:noProof/>
        </w:rPr>
        <w:t>Tsounta (2006)</w:t>
      </w:r>
      <w:r>
        <w:fldChar w:fldCharType="end"/>
      </w:r>
    </w:p>
  </w:footnote>
  <w:footnote w:id="31">
    <w:p w14:paraId="7B141389" w14:textId="77777777" w:rsidR="001E3F49" w:rsidRPr="00053DA8" w:rsidRDefault="001E3F49" w:rsidP="007625DE">
      <w:pPr>
        <w:pStyle w:val="FootnoteText"/>
        <w:rPr>
          <w:lang w:val="en-US"/>
        </w:rPr>
      </w:pPr>
      <w:r>
        <w:rPr>
          <w:rStyle w:val="FootnoteReference"/>
        </w:rPr>
        <w:footnoteRef/>
      </w:r>
      <w:r>
        <w:t xml:space="preserve"> </w:t>
      </w:r>
      <w:r>
        <w:fldChar w:fldCharType="begin"/>
      </w:r>
      <w:r>
        <w:instrText xml:space="preserve"> ADDIN EN.CITE &lt;EndNote&gt;&lt;Cite&gt;&lt;Author&gt;Abhayaratna&lt;/Author&gt;&lt;Year&gt;2008&lt;/Year&gt;&lt;RecNum&gt;34&lt;/RecNum&gt;&lt;DisplayText&gt;Abhayaratna&lt;style face="italic"&gt;, et al.&lt;/style&gt; (2008)&lt;/DisplayText&gt;&lt;record&gt;&lt;rec-number&gt;34&lt;/rec-number&gt;&lt;foreign-keys&gt;&lt;key app="EN" db-id="sax5xzax2wr5ttes9pf5a92yvterpr9xrdve"&gt;34&lt;/key&gt;&lt;/foreign-keys&gt;&lt;ref-type name="Report"&gt;27&lt;/ref-type&gt;&lt;contributors&gt;&lt;authors&gt;&lt;author&gt;Joanna Abhayaratna &lt;/author&gt;&lt;author&gt;Les Andrews &lt;/author&gt;&lt;author&gt;Hudan Nuch &lt;/author&gt;&lt;author&gt;Troy Podbury&lt;/author&gt;&lt;/authors&gt;&lt;/contributors&gt;&lt;titles&gt;&lt;title&gt;Part Time Employment: the Australian experience&lt;/title&gt;&lt;/titles&gt;&lt;dates&gt;&lt;year&gt;2008&lt;/year&gt;&lt;/dates&gt;&lt;publisher&gt;Staff Working Paper,Productivity Commission&lt;/publisher&gt;&lt;urls&gt;&lt;/urls&gt;&lt;/record&gt;&lt;/Cite&gt;&lt;/EndNote&gt;</w:instrText>
      </w:r>
      <w:r>
        <w:fldChar w:fldCharType="separate"/>
      </w:r>
      <w:r>
        <w:rPr>
          <w:noProof/>
        </w:rPr>
        <w:t>Abhayaratna</w:t>
      </w:r>
      <w:r w:rsidRPr="00D460DA">
        <w:rPr>
          <w:i/>
          <w:noProof/>
        </w:rPr>
        <w:t>, et al.</w:t>
      </w:r>
      <w:r>
        <w:rPr>
          <w:noProof/>
        </w:rPr>
        <w:t xml:space="preserve"> (2008)</w:t>
      </w:r>
      <w:r>
        <w:fldChar w:fldCharType="end"/>
      </w:r>
    </w:p>
  </w:footnote>
  <w:footnote w:id="32">
    <w:p w14:paraId="4C3E7903" w14:textId="77777777" w:rsidR="001E3F49" w:rsidRDefault="001E3F49" w:rsidP="007625DE">
      <w:pPr>
        <w:pStyle w:val="FootnoteText"/>
      </w:pPr>
      <w:r>
        <w:rPr>
          <w:rStyle w:val="FootnoteReference"/>
        </w:rPr>
        <w:footnoteRef/>
      </w:r>
      <w:r>
        <w:t xml:space="preserve"> </w:t>
      </w:r>
      <w:r>
        <w:fldChar w:fldCharType="begin"/>
      </w:r>
      <w:r>
        <w:instrText xml:space="preserve"> ADDIN EN.CITE &lt;EndNote&gt;&lt;Cite&gt;&lt;Author&gt;Newspoll&lt;/Author&gt;&lt;Year&gt;2008&lt;/Year&gt;&lt;RecNum&gt;358&lt;/RecNum&gt;&lt;DisplayText&gt;Newspoll (2008)&lt;/DisplayText&gt;&lt;record&gt;&lt;rec-number&gt;358&lt;/rec-number&gt;&lt;foreign-keys&gt;&lt;key app="EN" db-id="sax5xzax2wr5ttes9pf5a92yvterpr9xrdve"&gt;358&lt;/key&gt;&lt;/foreign-keys&gt;&lt;ref-type name="Report"&gt;27&lt;/ref-type&gt;&lt;contributors&gt;&lt;authors&gt;&lt;author&gt;Newspoll&lt;/author&gt;&lt;/authors&gt;&lt;/contributors&gt;&lt;titles&gt;&lt;title&gt;Out of School Hours Care Study (Prepared for National Foundation for Australian Women)&lt;/title&gt;&lt;/titles&gt;&lt;dates&gt;&lt;year&gt;2008&lt;/year&gt;&lt;/dates&gt;&lt;urls&gt;&lt;/urls&gt;&lt;/record&gt;&lt;/Cite&gt;&lt;/EndNote&gt;</w:instrText>
      </w:r>
      <w:r>
        <w:fldChar w:fldCharType="separate"/>
      </w:r>
      <w:r>
        <w:rPr>
          <w:noProof/>
        </w:rPr>
        <w:t>Newspoll (2008)</w:t>
      </w:r>
      <w:r>
        <w:fldChar w:fldCharType="end"/>
      </w:r>
    </w:p>
  </w:footnote>
  <w:footnote w:id="33">
    <w:p w14:paraId="13B546E1" w14:textId="77777777" w:rsidR="001E3F49" w:rsidRPr="00DB3D67" w:rsidRDefault="001E3F49" w:rsidP="007625DE">
      <w:pPr>
        <w:pStyle w:val="FootnoteText"/>
        <w:rPr>
          <w:lang w:val="en-US"/>
        </w:rPr>
      </w:pPr>
      <w:r>
        <w:rPr>
          <w:rStyle w:val="FootnoteReference"/>
        </w:rPr>
        <w:footnoteRef/>
      </w:r>
      <w:r>
        <w:t xml:space="preserve"> </w:t>
      </w:r>
      <w:r>
        <w:rPr>
          <w:lang w:val="en-US"/>
        </w:rPr>
        <w:t>This modeling is based on income tax and welfare rates as of 1 July 2012. The modeling takes into account income tax, welfare benefits, the Medicare Levy, Low Income Tax Offsets, Childcare Benefit, and Childcare Rebate. It assumes that childcare is required for 25% more hours than are worked (i.e. if working an 8 hour day, then childcare is required for 10 hours), and that childcare costs $8/hour/child. This modeling does not take into consideration the increases to the FTB announced in the 2012-13 federal budget. However, because these benefits are means tested, they are likely to reduce the financial incentive to work.</w:t>
      </w:r>
    </w:p>
  </w:footnote>
  <w:footnote w:id="34">
    <w:p w14:paraId="2C6CD099" w14:textId="77777777" w:rsidR="001E3F49" w:rsidRPr="00676C8C" w:rsidRDefault="001E3F49" w:rsidP="007625DE">
      <w:pPr>
        <w:pStyle w:val="FootnoteText"/>
        <w:rPr>
          <w:lang w:val="en-US"/>
        </w:rPr>
      </w:pPr>
      <w:r>
        <w:rPr>
          <w:rStyle w:val="FootnoteReference"/>
        </w:rPr>
        <w:footnoteRef/>
      </w:r>
      <w:r>
        <w:t xml:space="preserve"> </w:t>
      </w:r>
      <w:r>
        <w:rPr>
          <w:lang w:val="en-US"/>
        </w:rPr>
        <w:t xml:space="preserve">See </w:t>
      </w:r>
      <w:r>
        <w:rPr>
          <w:lang w:val="en-US"/>
        </w:rPr>
        <w:fldChar w:fldCharType="begin"/>
      </w:r>
      <w:r>
        <w:rPr>
          <w:lang w:val="en-US"/>
        </w:rPr>
        <w:instrText xml:space="preserve"> ADDIN EN.CITE &lt;EndNote&gt;&lt;Cite&gt;&lt;Author&gt;Apps&lt;/Author&gt;&lt;Year&gt;2010&lt;/Year&gt;&lt;RecNum&gt;30&lt;/RecNum&gt;&lt;DisplayText&gt;Apps (2010)&lt;/DisplayText&gt;&lt;record&gt;&lt;rec-number&gt;30&lt;/rec-number&gt;&lt;foreign-keys&gt;&lt;key app="EN" db-id="sax5xzax2wr5ttes9pf5a92yvterpr9xrdve"&gt;30&lt;/key&gt;&lt;/foreign-keys&gt;&lt;ref-type name="Book Section"&gt;5&lt;/ref-type&gt;&lt;contributors&gt;&lt;authors&gt;&lt;author&gt;Patricia Apps&lt;/author&gt;&lt;/authors&gt;&lt;/contributors&gt;&lt;titles&gt;&lt;title&gt;Why the Henry Review Fails on Family Tax Reform&lt;/title&gt;&lt;secondary-title&gt;Australia&amp;apos;s Future Tax System: The Prospects After Henry&lt;/secondary-title&gt;&lt;/titles&gt;&lt;dates&gt;&lt;year&gt;2010&lt;/year&gt;&lt;/dates&gt;&lt;pub-location&gt;Sydney&lt;/pub-location&gt;&lt;publisher&gt;Thomson Reuters&lt;/publisher&gt;&lt;urls&gt;&lt;/urls&gt;&lt;/record&gt;&lt;/Cite&gt;&lt;/EndNote&gt;</w:instrText>
      </w:r>
      <w:r>
        <w:rPr>
          <w:lang w:val="en-US"/>
        </w:rPr>
        <w:fldChar w:fldCharType="separate"/>
      </w:r>
      <w:r>
        <w:rPr>
          <w:noProof/>
          <w:lang w:val="en-US"/>
        </w:rPr>
        <w:t>Apps (2010)</w:t>
      </w:r>
      <w:r>
        <w:rPr>
          <w:lang w:val="en-US"/>
        </w:rPr>
        <w:fldChar w:fldCharType="end"/>
      </w:r>
    </w:p>
  </w:footnote>
  <w:footnote w:id="35">
    <w:p w14:paraId="658B5386" w14:textId="77777777" w:rsidR="001E3F49" w:rsidRPr="00BE2069" w:rsidRDefault="001E3F49" w:rsidP="00F96D4C">
      <w:pPr>
        <w:pStyle w:val="FootnoteText"/>
        <w:rPr>
          <w:lang w:val="en-US"/>
        </w:rPr>
      </w:pPr>
      <w:r>
        <w:rPr>
          <w:rStyle w:val="FootnoteReference"/>
        </w:rPr>
        <w:footnoteRef/>
      </w:r>
      <w:r>
        <w:t xml:space="preserve"> </w:t>
      </w:r>
      <w:r>
        <w:fldChar w:fldCharType="begin"/>
      </w:r>
      <w:r>
        <w:instrText xml:space="preserve"> ADDIN EN.CITE &lt;EndNote&gt;&lt;Cite&gt;&lt;Author&gt;Tsounta&lt;/Author&gt;&lt;Year&gt;2006&lt;/Year&gt;&lt;RecNum&gt;119&lt;/RecNum&gt;&lt;DisplayText&gt;Tsounta (2006)&lt;/DisplayText&gt;&lt;record&gt;&lt;rec-number&gt;119&lt;/rec-number&gt;&lt;foreign-keys&gt;&lt;key app="EN" db-id="sax5xzax2wr5ttes9pf5a92yvterpr9xrdve"&gt;119&lt;/key&gt;&lt;/foreign-keys&gt;&lt;ref-type name="Report"&gt;27&lt;/ref-type&gt;&lt;contributors&gt;&lt;authors&gt;&lt;author&gt;Evridiki Tsounta&lt;/author&gt;&lt;/authors&gt;&lt;/contributors&gt;&lt;titles&gt;&lt;title&gt;Why are women working so much more in Canada? &lt;/title&gt;&lt;secondary-title&gt;IMF Working Paper 92,&lt;/secondary-title&gt;&lt;/titles&gt;&lt;dates&gt;&lt;year&gt;2006&lt;/year&gt;&lt;/dates&gt;&lt;publisher&gt;International Monetary Fund&lt;/publisher&gt;&lt;urls&gt;&lt;/urls&gt;&lt;/record&gt;&lt;/Cite&gt;&lt;/EndNote&gt;</w:instrText>
      </w:r>
      <w:r>
        <w:fldChar w:fldCharType="separate"/>
      </w:r>
      <w:r>
        <w:rPr>
          <w:noProof/>
        </w:rPr>
        <w:t>Tsounta (2006)</w:t>
      </w:r>
      <w:r>
        <w:fldChar w:fldCharType="end"/>
      </w:r>
    </w:p>
  </w:footnote>
  <w:footnote w:id="36">
    <w:p w14:paraId="2D1022A2" w14:textId="77777777" w:rsidR="001E3F49" w:rsidRPr="00035403" w:rsidRDefault="001E3F49" w:rsidP="00F96D4C">
      <w:pPr>
        <w:pStyle w:val="FootnoteText"/>
        <w:rPr>
          <w:lang w:val="en-US"/>
        </w:rPr>
      </w:pPr>
      <w:r>
        <w:rPr>
          <w:rStyle w:val="FootnoteReference"/>
        </w:rPr>
        <w:footnoteRef/>
      </w:r>
      <w:r>
        <w:t xml:space="preserve"> </w:t>
      </w:r>
      <w:r>
        <w:rPr>
          <w:lang w:val="en-US"/>
        </w:rPr>
        <w:fldChar w:fldCharType="begin"/>
      </w:r>
      <w:r>
        <w:rPr>
          <w:lang w:val="en-US"/>
        </w:rPr>
        <w:instrText xml:space="preserve"> ADDIN EN.CITE &lt;EndNote&gt;&lt;Cite&gt;&lt;Author&gt;Statistics Canada&lt;/Author&gt;&lt;Year&gt;2012&lt;/Year&gt;&lt;RecNum&gt;157&lt;/RecNum&gt;&lt;DisplayText&gt;Statistics Canada (2012)&lt;/DisplayText&gt;&lt;record&gt;&lt;rec-number&gt;157&lt;/rec-number&gt;&lt;foreign-keys&gt;&lt;key app="EN" db-id="ppex2pv97zx2s2edf055dxsb9pwfwev9d5sf"&gt;157&lt;/key&gt;&lt;/foreign-keys&gt;&lt;ref-type name="Generic"&gt;13&lt;/ref-type&gt;&lt;contributors&gt;&lt;authors&gt;&lt;author&gt;Statistics Canada,&lt;/author&gt;&lt;/authors&gt;&lt;secondary-authors&gt;&lt;author&gt;Statistics Canada,&lt;/author&gt;&lt;/secondary-authors&gt;&lt;/contributors&gt;&lt;titles&gt;&lt;title&gt;Labour force survey estimates (LFS), by sex and age group, seasonally adjusted and unadjusted&lt;/title&gt;&lt;/titles&gt;&lt;num-vols&gt;282-0087&lt;/num-vols&gt;&lt;dates&gt;&lt;year&gt;2012&lt;/year&gt;&lt;/dates&gt;&lt;urls&gt;&lt;/urls&gt;&lt;/record&gt;&lt;/Cite&gt;&lt;/EndNote&gt;</w:instrText>
      </w:r>
      <w:r>
        <w:rPr>
          <w:lang w:val="en-US"/>
        </w:rPr>
        <w:fldChar w:fldCharType="separate"/>
      </w:r>
      <w:r>
        <w:rPr>
          <w:noProof/>
          <w:lang w:val="en-US"/>
        </w:rPr>
        <w:t>Statistics Canada (2012)</w:t>
      </w:r>
      <w:r>
        <w:rPr>
          <w:lang w:val="en-US"/>
        </w:rPr>
        <w:fldChar w:fldCharType="end"/>
      </w:r>
      <w:r w:rsidRPr="00035403">
        <w:rPr>
          <w:lang w:val="en-US"/>
        </w:rPr>
        <w:t xml:space="preserve"> </w:t>
      </w:r>
    </w:p>
  </w:footnote>
  <w:footnote w:id="37">
    <w:p w14:paraId="5F0D6A5B" w14:textId="77777777" w:rsidR="001E3F49" w:rsidRPr="0041675D" w:rsidRDefault="001E3F49" w:rsidP="00F96D4C">
      <w:pPr>
        <w:pStyle w:val="FootnoteText"/>
        <w:rPr>
          <w:lang w:val="en-US"/>
        </w:rPr>
      </w:pPr>
      <w:r>
        <w:rPr>
          <w:rStyle w:val="FootnoteReference"/>
        </w:rPr>
        <w:footnoteRef/>
      </w:r>
      <w:r>
        <w:t xml:space="preserve"> </w:t>
      </w:r>
      <w:r>
        <w:fldChar w:fldCharType="begin"/>
      </w:r>
      <w:r>
        <w:instrText xml:space="preserve"> ADDIN EN.CITE &lt;EndNote&gt;&lt;Cite&gt;&lt;Author&gt;Statistics Canada&lt;/Author&gt;&lt;Year&gt;2012&lt;/Year&gt;&lt;RecNum&gt;157&lt;/RecNum&gt;&lt;DisplayText&gt;Ibid.&lt;/DisplayText&gt;&lt;record&gt;&lt;rec-number&gt;157&lt;/rec-number&gt;&lt;foreign-keys&gt;&lt;key app="EN" db-id="ppex2pv97zx2s2edf055dxsb9pwfwev9d5sf"&gt;157&lt;/key&gt;&lt;/foreign-keys&gt;&lt;ref-type name="Generic"&gt;13&lt;/ref-type&gt;&lt;contributors&gt;&lt;authors&gt;&lt;author&gt;Statistics Canada,&lt;/author&gt;&lt;/authors&gt;&lt;secondary-authors&gt;&lt;author&gt;Statistics Canada,&lt;/author&gt;&lt;/secondary-authors&gt;&lt;/contributors&gt;&lt;titles&gt;&lt;title&gt;Labour force survey estimates (LFS), by sex and age group, seasonally adjusted and unadjusted&lt;/title&gt;&lt;/titles&gt;&lt;num-vols&gt;282-0087&lt;/num-vols&gt;&lt;dates&gt;&lt;year&gt;2012&lt;/year&gt;&lt;/dates&gt;&lt;urls&gt;&lt;/urls&gt;&lt;/record&gt;&lt;/Cite&gt;&lt;/EndNote&gt;</w:instrText>
      </w:r>
      <w:r>
        <w:fldChar w:fldCharType="separate"/>
      </w:r>
      <w:r>
        <w:rPr>
          <w:noProof/>
        </w:rPr>
        <w:t>Ibid.</w:t>
      </w:r>
      <w:r>
        <w:fldChar w:fldCharType="end"/>
      </w:r>
    </w:p>
  </w:footnote>
  <w:footnote w:id="38">
    <w:p w14:paraId="20B6062B" w14:textId="77777777" w:rsidR="001E3F49" w:rsidRPr="00EB500F" w:rsidRDefault="001E3F49" w:rsidP="00F96D4C">
      <w:pPr>
        <w:pStyle w:val="FootnoteText"/>
        <w:rPr>
          <w:lang w:val="en-US"/>
        </w:rPr>
      </w:pPr>
      <w:r>
        <w:rPr>
          <w:rStyle w:val="FootnoteReference"/>
        </w:rPr>
        <w:footnoteRef/>
      </w:r>
      <w:r>
        <w:t xml:space="preserve"> </w:t>
      </w:r>
      <w:r>
        <w:fldChar w:fldCharType="begin"/>
      </w:r>
      <w:r>
        <w:instrText xml:space="preserve"> ADDIN EN.CITE &lt;EndNote&gt;&lt;Cite&gt;&lt;Author&gt;Canada&lt;/Author&gt;&lt;Year&gt;2011&lt;/Year&gt;&lt;RecNum&gt;118&lt;/RecNum&gt;&lt;DisplayText&gt;Statistics Canada (2011)&lt;/DisplayText&gt;&lt;record&gt;&lt;rec-number&gt;118&lt;/rec-number&gt;&lt;foreign-keys&gt;&lt;key app="EN" db-id="sax5xzax2wr5ttes9pf5a92yvterpr9xrdve"&gt;118&lt;/key&gt;&lt;/foreign-keys&gt;&lt;ref-type name="Generic"&gt;13&lt;/ref-type&gt;&lt;contributors&gt;&lt;authors&gt;&lt;author&gt;Statistics Canada,&lt;/author&gt;&lt;/authors&gt;&lt;secondary-authors&gt;&lt;author&gt;Statistics Canada,&lt;/author&gt;&lt;/secondary-authors&gt;&lt;/contributors&gt;&lt;titles&gt;&lt;title&gt;Women in Canada: a Gender-Based Statistical Report&lt;/title&gt;&lt;/titles&gt;&lt;num-vols&gt;89-503-XWE&lt;/num-vols&gt;&lt;dates&gt;&lt;year&gt;2011&lt;/year&gt;&lt;/dates&gt;&lt;urls&gt;&lt;/urls&gt;&lt;/record&gt;&lt;/Cite&gt;&lt;/EndNote&gt;</w:instrText>
      </w:r>
      <w:r>
        <w:fldChar w:fldCharType="separate"/>
      </w:r>
      <w:r>
        <w:rPr>
          <w:noProof/>
        </w:rPr>
        <w:t>Statistics Canada (2011)</w:t>
      </w:r>
      <w:r>
        <w:fldChar w:fldCharType="end"/>
      </w:r>
    </w:p>
  </w:footnote>
  <w:footnote w:id="39">
    <w:p w14:paraId="021762B0" w14:textId="77777777" w:rsidR="001E3F49" w:rsidRPr="00F23E7A" w:rsidRDefault="001E3F49" w:rsidP="00F23E7A">
      <w:pPr>
        <w:pStyle w:val="FootnoteText"/>
        <w:rPr>
          <w:lang w:val="en-US"/>
        </w:rPr>
      </w:pPr>
      <w:r>
        <w:rPr>
          <w:rStyle w:val="FootnoteReference"/>
        </w:rPr>
        <w:footnoteRef/>
      </w:r>
      <w:r>
        <w:t xml:space="preserve"> </w:t>
      </w:r>
      <w:r>
        <w:fldChar w:fldCharType="begin"/>
      </w:r>
      <w:r>
        <w:instrText xml:space="preserve"> ADDIN EN.CITE &lt;EndNote&gt;&lt;Cite&gt;&lt;Author&gt;Tsounta&lt;/Author&gt;&lt;Year&gt;2006&lt;/Year&gt;&lt;RecNum&gt;119&lt;/RecNum&gt;&lt;DisplayText&gt;Tsounta (2006)&lt;/DisplayText&gt;&lt;record&gt;&lt;rec-number&gt;119&lt;/rec-number&gt;&lt;foreign-keys&gt;&lt;key app="EN" db-id="sax5xzax2wr5ttes9pf5a92yvterpr9xrdve"&gt;119&lt;/key&gt;&lt;/foreign-keys&gt;&lt;ref-type name="Report"&gt;27&lt;/ref-type&gt;&lt;contributors&gt;&lt;authors&gt;&lt;author&gt;Evridiki Tsounta&lt;/author&gt;&lt;/authors&gt;&lt;/contributors&gt;&lt;titles&gt;&lt;title&gt;Why are women working so much more in Canada? &lt;/title&gt;&lt;secondary-title&gt;IMF Working Paper 92,&lt;/secondary-title&gt;&lt;/titles&gt;&lt;dates&gt;&lt;year&gt;2006&lt;/year&gt;&lt;/dates&gt;&lt;publisher&gt;International Monetary Fund&lt;/publisher&gt;&lt;urls&gt;&lt;/urls&gt;&lt;/record&gt;&lt;/Cite&gt;&lt;/EndNote&gt;</w:instrText>
      </w:r>
      <w:r>
        <w:fldChar w:fldCharType="separate"/>
      </w:r>
      <w:r>
        <w:rPr>
          <w:noProof/>
        </w:rPr>
        <w:t>Tsounta (2006)</w:t>
      </w:r>
      <w:r>
        <w:fldChar w:fldCharType="end"/>
      </w:r>
      <w:r>
        <w:t xml:space="preserve">, </w:t>
      </w:r>
      <w:r>
        <w:rPr>
          <w:lang w:val="en-US"/>
        </w:rPr>
        <w:t>p.9</w:t>
      </w:r>
    </w:p>
  </w:footnote>
  <w:footnote w:id="40">
    <w:p w14:paraId="56319CDA" w14:textId="77777777" w:rsidR="001E3F49" w:rsidRPr="00F23E7A" w:rsidRDefault="001E3F49" w:rsidP="00F23E7A">
      <w:pPr>
        <w:pStyle w:val="FootnoteText"/>
        <w:rPr>
          <w:lang w:val="en-US"/>
        </w:rPr>
      </w:pPr>
      <w:r>
        <w:rPr>
          <w:rStyle w:val="FootnoteReference"/>
        </w:rPr>
        <w:footnoteRef/>
      </w:r>
      <w:r>
        <w:t xml:space="preserve"> </w:t>
      </w:r>
      <w:r>
        <w:fldChar w:fldCharType="begin"/>
      </w:r>
      <w:r>
        <w:instrText xml:space="preserve"> ADDIN EN.CITE &lt;EndNote&gt;&lt;Cite&gt;&lt;Author&gt;Tsounta&lt;/Author&gt;&lt;Year&gt;2006&lt;/Year&gt;&lt;RecNum&gt;119&lt;/RecNum&gt;&lt;DisplayText&gt;Ibid.&lt;/DisplayText&gt;&lt;record&gt;&lt;rec-number&gt;119&lt;/rec-number&gt;&lt;foreign-keys&gt;&lt;key app="EN" db-id="sax5xzax2wr5ttes9pf5a92yvterpr9xrdve"&gt;119&lt;/key&gt;&lt;/foreign-keys&gt;&lt;ref-type name="Report"&gt;27&lt;/ref-type&gt;&lt;contributors&gt;&lt;authors&gt;&lt;author&gt;Evridiki Tsounta&lt;/author&gt;&lt;/authors&gt;&lt;/contributors&gt;&lt;titles&gt;&lt;title&gt;Why are women working so much more in Canada? &lt;/title&gt;&lt;secondary-title&gt;IMF Working Paper 92,&lt;/secondary-title&gt;&lt;/titles&gt;&lt;dates&gt;&lt;year&gt;2006&lt;/year&gt;&lt;/dates&gt;&lt;publisher&gt;International Monetary Fund&lt;/publisher&gt;&lt;urls&gt;&lt;/urls&gt;&lt;/record&gt;&lt;/Cite&gt;&lt;/EndNote&gt;</w:instrText>
      </w:r>
      <w:r>
        <w:fldChar w:fldCharType="separate"/>
      </w:r>
      <w:r>
        <w:rPr>
          <w:noProof/>
        </w:rPr>
        <w:t>Ibid.</w:t>
      </w:r>
      <w:r>
        <w:fldChar w:fldCharType="end"/>
      </w:r>
      <w:r>
        <w:t xml:space="preserve">, </w:t>
      </w:r>
      <w:r>
        <w:rPr>
          <w:lang w:val="en-US"/>
        </w:rPr>
        <w:t xml:space="preserve">p.11; </w:t>
      </w:r>
      <w:r>
        <w:rPr>
          <w:lang w:val="en-US"/>
        </w:rPr>
        <w:fldChar w:fldCharType="begin"/>
      </w:r>
      <w:r>
        <w:rPr>
          <w:lang w:val="en-US"/>
        </w:rPr>
        <w:instrText xml:space="preserve"> ADDIN EN.CITE &lt;EndNote&gt;&lt;Cite&gt;&lt;Author&gt;Baker&lt;/Author&gt;&lt;Year&gt;2005&lt;/Year&gt;&lt;RecNum&gt;123&lt;/RecNum&gt;&lt;DisplayText&gt;Baker&lt;style face="italic"&gt;, et al.&lt;/style&gt; (2005)&lt;/DisplayText&gt;&lt;record&gt;&lt;rec-number&gt;123&lt;/rec-number&gt;&lt;foreign-keys&gt;&lt;key app="EN" db-id="sax5xzax2wr5ttes9pf5a92yvterpr9xrdve"&gt;123&lt;/key&gt;&lt;/foreign-keys&gt;&lt;ref-type name="Report"&gt;27&lt;/ref-type&gt;&lt;contributors&gt;&lt;authors&gt;&lt;author&gt;Michael Baker&lt;/author&gt;&lt;author&gt;Jonathon Gruber&lt;/author&gt;&lt;author&gt;Kevin Milligan&lt;/author&gt;&lt;/authors&gt;&lt;/contributors&gt;&lt;titles&gt;&lt;title&gt;Universal Childcare, Maternal Labor Supply, and Family Well-Being (NBER Working Paper No. 11832)&lt;/title&gt;&lt;/titles&gt;&lt;dates&gt;&lt;year&gt;2005&lt;/year&gt;&lt;/dates&gt;&lt;publisher&gt;National Bureau of Economic Research,&lt;/publisher&gt;&lt;urls&gt;&lt;/urls&gt;&lt;/record&gt;&lt;/Cite&gt;&lt;/EndNote&gt;</w:instrText>
      </w:r>
      <w:r>
        <w:rPr>
          <w:lang w:val="en-US"/>
        </w:rPr>
        <w:fldChar w:fldCharType="separate"/>
      </w:r>
      <w:r>
        <w:rPr>
          <w:noProof/>
          <w:lang w:val="en-US"/>
        </w:rPr>
        <w:t>Baker</w:t>
      </w:r>
      <w:r w:rsidRPr="00D460DA">
        <w:rPr>
          <w:i/>
          <w:noProof/>
          <w:lang w:val="en-US"/>
        </w:rPr>
        <w:t>, et al.</w:t>
      </w:r>
      <w:r>
        <w:rPr>
          <w:noProof/>
          <w:lang w:val="en-US"/>
        </w:rPr>
        <w:t xml:space="preserve"> (2005)</w:t>
      </w:r>
      <w:r>
        <w:rPr>
          <w:lang w:val="en-US"/>
        </w:rPr>
        <w:fldChar w:fldCharType="end"/>
      </w:r>
    </w:p>
  </w:footnote>
  <w:footnote w:id="41">
    <w:p w14:paraId="485B49C3" w14:textId="77777777" w:rsidR="001E3F49" w:rsidRPr="00F23E7A" w:rsidRDefault="001E3F49" w:rsidP="00F23E7A">
      <w:pPr>
        <w:pStyle w:val="FootnoteText"/>
        <w:rPr>
          <w:lang w:val="en-US"/>
        </w:rPr>
      </w:pPr>
      <w:r>
        <w:rPr>
          <w:rStyle w:val="FootnoteReference"/>
        </w:rPr>
        <w:footnoteRef/>
      </w:r>
      <w:r>
        <w:t xml:space="preserve"> </w:t>
      </w:r>
      <w:r>
        <w:rPr>
          <w:szCs w:val="24"/>
        </w:rPr>
        <w:fldChar w:fldCharType="begin"/>
      </w:r>
      <w:r>
        <w:instrText xml:space="preserve"> ADDIN EN.CITE &lt;EndNote&gt;&lt;Cite&gt;&lt;Author&gt;Canada&lt;/Author&gt;&lt;Year&gt;2001&lt;/Year&gt;&lt;RecNum&gt;124&lt;/RecNum&gt;&lt;DisplayText&gt;Canada (2001)&lt;/DisplayText&gt;&lt;record&gt;&lt;rec-number&gt;124&lt;/rec-number&gt;&lt;foreign-keys&gt;&lt;key app="EN" db-id="sax5xzax2wr5ttes9pf5a92yvterpr9xrdve"&gt;124&lt;/key&gt;&lt;/foreign-keys&gt;&lt;ref-type name="Government Document"&gt;46&lt;/ref-type&gt;&lt;contributors&gt;&lt;authors&gt;&lt;author&gt;Human Resources and Skills Development Canada&lt;/author&gt;&lt;/authors&gt;&lt;secondary-authors&gt;&lt;author&gt;Labour Canada,&lt;/author&gt;&lt;/secondary-authors&gt;&lt;/contributors&gt;&lt;titles&gt;&lt;title&gt;Employment Equity Act Review (Appendix G: Employment equity in Canada: Women and minority groups in the Canadian labour market)&lt;/title&gt;&lt;/titles&gt;&lt;dates&gt;&lt;year&gt;2001&lt;/year&gt;&lt;/dates&gt;&lt;urls&gt;&lt;/urls&gt;&lt;/record&gt;&lt;/Cite&gt;&lt;/EndNote&gt;</w:instrText>
      </w:r>
      <w:r>
        <w:rPr>
          <w:szCs w:val="24"/>
        </w:rPr>
        <w:fldChar w:fldCharType="separate"/>
      </w:r>
      <w:r w:rsidRPr="00110467">
        <w:rPr>
          <w:noProof/>
          <w:szCs w:val="24"/>
        </w:rPr>
        <w:t>Canada (2001)</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4E7"/>
    <w:multiLevelType w:val="multilevel"/>
    <w:tmpl w:val="10366012"/>
    <w:styleLink w:val="Bullet1"/>
    <w:lvl w:ilvl="0">
      <w:start w:val="1"/>
      <w:numFmt w:val="bullet"/>
      <w:lvlText w:val=""/>
      <w:lvlJc w:val="left"/>
      <w:pPr>
        <w:tabs>
          <w:tab w:val="num" w:pos="284"/>
        </w:tabs>
        <w:ind w:left="284" w:hanging="284"/>
      </w:pPr>
      <w:rPr>
        <w:rFonts w:ascii="Symbol" w:hAnsi="Symbol" w:hint="default"/>
        <w:color w:val="F3901D"/>
        <w:sz w:val="24"/>
      </w:rPr>
    </w:lvl>
    <w:lvl w:ilvl="1">
      <w:start w:val="1"/>
      <w:numFmt w:val="bullet"/>
      <w:lvlText w:val="-"/>
      <w:lvlJc w:val="left"/>
      <w:pPr>
        <w:tabs>
          <w:tab w:val="num" w:pos="284"/>
        </w:tabs>
        <w:ind w:left="567" w:hanging="283"/>
      </w:pPr>
      <w:rPr>
        <w:rFonts w:ascii="Arial" w:hAnsi="Arial" w:hint="default"/>
        <w:color w:val="F3901D"/>
      </w:rPr>
    </w:lvl>
    <w:lvl w:ilvl="2">
      <w:start w:val="1"/>
      <w:numFmt w:val="bullet"/>
      <w:lvlText w:val=""/>
      <w:lvlJc w:val="left"/>
      <w:pPr>
        <w:tabs>
          <w:tab w:val="num" w:pos="5171"/>
        </w:tabs>
        <w:ind w:left="5171" w:hanging="360"/>
      </w:pPr>
      <w:rPr>
        <w:rFonts w:ascii="Wingdings" w:hAnsi="Wingdings" w:hint="default"/>
      </w:rPr>
    </w:lvl>
    <w:lvl w:ilvl="3">
      <w:start w:val="1"/>
      <w:numFmt w:val="bullet"/>
      <w:lvlText w:val=""/>
      <w:lvlJc w:val="left"/>
      <w:pPr>
        <w:tabs>
          <w:tab w:val="num" w:pos="5891"/>
        </w:tabs>
        <w:ind w:left="5891" w:hanging="360"/>
      </w:pPr>
      <w:rPr>
        <w:rFonts w:ascii="Symbol" w:hAnsi="Symbol" w:hint="default"/>
      </w:rPr>
    </w:lvl>
    <w:lvl w:ilvl="4">
      <w:start w:val="1"/>
      <w:numFmt w:val="bullet"/>
      <w:lvlText w:val="o"/>
      <w:lvlJc w:val="left"/>
      <w:pPr>
        <w:tabs>
          <w:tab w:val="num" w:pos="6611"/>
        </w:tabs>
        <w:ind w:left="6611" w:hanging="360"/>
      </w:pPr>
      <w:rPr>
        <w:rFonts w:ascii="Courier New" w:hAnsi="Courier New" w:cs="Courier New" w:hint="default"/>
      </w:rPr>
    </w:lvl>
    <w:lvl w:ilvl="5">
      <w:start w:val="1"/>
      <w:numFmt w:val="bullet"/>
      <w:lvlText w:val=""/>
      <w:lvlJc w:val="left"/>
      <w:pPr>
        <w:tabs>
          <w:tab w:val="num" w:pos="7331"/>
        </w:tabs>
        <w:ind w:left="7331" w:hanging="360"/>
      </w:pPr>
      <w:rPr>
        <w:rFonts w:ascii="Wingdings" w:hAnsi="Wingdings" w:hint="default"/>
      </w:rPr>
    </w:lvl>
    <w:lvl w:ilvl="6">
      <w:start w:val="1"/>
      <w:numFmt w:val="bullet"/>
      <w:lvlText w:val=""/>
      <w:lvlJc w:val="left"/>
      <w:pPr>
        <w:tabs>
          <w:tab w:val="num" w:pos="8051"/>
        </w:tabs>
        <w:ind w:left="8051" w:hanging="360"/>
      </w:pPr>
      <w:rPr>
        <w:rFonts w:ascii="Symbol" w:hAnsi="Symbol" w:hint="default"/>
      </w:rPr>
    </w:lvl>
    <w:lvl w:ilvl="7">
      <w:start w:val="1"/>
      <w:numFmt w:val="bullet"/>
      <w:lvlText w:val="o"/>
      <w:lvlJc w:val="left"/>
      <w:pPr>
        <w:tabs>
          <w:tab w:val="num" w:pos="8771"/>
        </w:tabs>
        <w:ind w:left="8771" w:hanging="360"/>
      </w:pPr>
      <w:rPr>
        <w:rFonts w:ascii="Courier New" w:hAnsi="Courier New" w:cs="Courier New" w:hint="default"/>
      </w:rPr>
    </w:lvl>
    <w:lvl w:ilvl="8">
      <w:start w:val="1"/>
      <w:numFmt w:val="bullet"/>
      <w:lvlText w:val=""/>
      <w:lvlJc w:val="left"/>
      <w:pPr>
        <w:tabs>
          <w:tab w:val="num" w:pos="9491"/>
        </w:tabs>
        <w:ind w:left="9491" w:hanging="360"/>
      </w:pPr>
      <w:rPr>
        <w:rFonts w:ascii="Wingdings" w:hAnsi="Wingdings" w:hint="default"/>
      </w:rPr>
    </w:lvl>
  </w:abstractNum>
  <w:abstractNum w:abstractNumId="1">
    <w:nsid w:val="17195086"/>
    <w:multiLevelType w:val="singleLevel"/>
    <w:tmpl w:val="4D589CF8"/>
    <w:lvl w:ilvl="0">
      <w:start w:val="1"/>
      <w:numFmt w:val="bullet"/>
      <w:pStyle w:val="ReportBullet1"/>
      <w:lvlText w:val=""/>
      <w:lvlJc w:val="left"/>
      <w:pPr>
        <w:ind w:left="360" w:hanging="360"/>
      </w:pPr>
      <w:rPr>
        <w:rFonts w:ascii="Symbol" w:hAnsi="Symbol" w:hint="default"/>
        <w:color w:val="F3901D"/>
        <w:sz w:val="24"/>
      </w:rPr>
    </w:lvl>
  </w:abstractNum>
  <w:abstractNum w:abstractNumId="2">
    <w:nsid w:val="1B4427EA"/>
    <w:multiLevelType w:val="multilevel"/>
    <w:tmpl w:val="8F8082A8"/>
    <w:lvl w:ilvl="0">
      <w:start w:val="1"/>
      <w:numFmt w:val="decimal"/>
      <w:pStyle w:val="Heading1"/>
      <w:lvlText w:val="%1."/>
      <w:lvlJc w:val="left"/>
      <w:pPr>
        <w:tabs>
          <w:tab w:val="num" w:pos="3361"/>
        </w:tabs>
        <w:ind w:left="3361" w:hanging="284"/>
      </w:pPr>
      <w:rPr>
        <w:rFonts w:cs="Times New Roman" w:hint="default"/>
      </w:rPr>
    </w:lvl>
    <w:lvl w:ilvl="1">
      <w:start w:val="1"/>
      <w:numFmt w:val="decimal"/>
      <w:pStyle w:val="Heading2"/>
      <w:lvlText w:val="%1.%2"/>
      <w:lvlJc w:val="left"/>
      <w:pPr>
        <w:tabs>
          <w:tab w:val="num" w:pos="2207"/>
        </w:tabs>
        <w:ind w:left="2207" w:hanging="397"/>
      </w:pPr>
      <w:rPr>
        <w:rFonts w:cs="Times New Roman"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851" w:hanging="851"/>
      </w:pPr>
      <w:rPr>
        <w:rFonts w:cs="Times New Roman" w:hint="default"/>
      </w:rPr>
    </w:lvl>
    <w:lvl w:ilvl="3">
      <w:start w:val="1"/>
      <w:numFmt w:val="none"/>
      <w:lvlText w:val=""/>
      <w:lvlJc w:val="left"/>
      <w:pPr>
        <w:tabs>
          <w:tab w:val="num" w:pos="851"/>
        </w:tabs>
        <w:ind w:left="851" w:hanging="851"/>
      </w:pPr>
      <w:rPr>
        <w:rFonts w:cs="Times New Roman" w:hint="default"/>
      </w:rPr>
    </w:lvl>
    <w:lvl w:ilvl="4">
      <w:start w:val="1"/>
      <w:numFmt w:val="none"/>
      <w:pStyle w:val="Heading5"/>
      <w:lvlText w:val="-"/>
      <w:lvlJc w:val="left"/>
      <w:pPr>
        <w:tabs>
          <w:tab w:val="num" w:pos="1077"/>
        </w:tabs>
        <w:ind w:left="1077" w:hanging="226"/>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433213E8"/>
    <w:multiLevelType w:val="singleLevel"/>
    <w:tmpl w:val="90C8DFF0"/>
    <w:lvl w:ilvl="0">
      <w:start w:val="1"/>
      <w:numFmt w:val="bullet"/>
      <w:pStyle w:val="Bullet2"/>
      <w:lvlText w:val="-"/>
      <w:lvlJc w:val="left"/>
      <w:pPr>
        <w:tabs>
          <w:tab w:val="num" w:pos="284"/>
        </w:tabs>
        <w:ind w:left="567" w:hanging="283"/>
      </w:pPr>
      <w:rPr>
        <w:rFonts w:ascii="Arial" w:hAnsi="Arial" w:hint="default"/>
        <w:color w:val="F3901D"/>
        <w:sz w:val="24"/>
      </w:rPr>
    </w:lvl>
  </w:abstractNum>
  <w:abstractNum w:abstractNumId="4">
    <w:nsid w:val="60987234"/>
    <w:multiLevelType w:val="multilevel"/>
    <w:tmpl w:val="8D7EAE42"/>
    <w:lvl w:ilvl="0">
      <w:start w:val="1"/>
      <w:numFmt w:val="bullet"/>
      <w:lvlText w:val=""/>
      <w:lvlJc w:val="left"/>
      <w:pPr>
        <w:tabs>
          <w:tab w:val="num" w:pos="284"/>
        </w:tabs>
        <w:ind w:left="567" w:hanging="567"/>
      </w:pPr>
      <w:rPr>
        <w:rFonts w:ascii="Symbol" w:hAnsi="Symbol" w:hint="default"/>
        <w:color w:val="F3901D"/>
        <w:sz w:val="24"/>
      </w:rPr>
    </w:lvl>
    <w:lvl w:ilvl="1">
      <w:start w:val="1"/>
      <w:numFmt w:val="bullet"/>
      <w:pStyle w:val="ReportBullet2"/>
      <w:lvlText w:val="-"/>
      <w:lvlJc w:val="left"/>
      <w:pPr>
        <w:tabs>
          <w:tab w:val="num" w:pos="284"/>
        </w:tabs>
        <w:ind w:left="567" w:hanging="283"/>
      </w:pPr>
      <w:rPr>
        <w:rFonts w:ascii="Arial" w:hAnsi="Arial" w:hint="default"/>
        <w:color w:val="F3901D"/>
      </w:rPr>
    </w:lvl>
    <w:lvl w:ilvl="2">
      <w:start w:val="1"/>
      <w:numFmt w:val="bullet"/>
      <w:lvlText w:val=""/>
      <w:lvlJc w:val="left"/>
      <w:pPr>
        <w:tabs>
          <w:tab w:val="num" w:pos="5171"/>
        </w:tabs>
        <w:ind w:left="5171" w:hanging="360"/>
      </w:pPr>
      <w:rPr>
        <w:rFonts w:ascii="Wingdings" w:hAnsi="Wingdings" w:hint="default"/>
      </w:rPr>
    </w:lvl>
    <w:lvl w:ilvl="3">
      <w:start w:val="1"/>
      <w:numFmt w:val="bullet"/>
      <w:lvlText w:val=""/>
      <w:lvlJc w:val="left"/>
      <w:pPr>
        <w:tabs>
          <w:tab w:val="num" w:pos="5891"/>
        </w:tabs>
        <w:ind w:left="5891" w:hanging="360"/>
      </w:pPr>
      <w:rPr>
        <w:rFonts w:ascii="Symbol" w:hAnsi="Symbol" w:hint="default"/>
      </w:rPr>
    </w:lvl>
    <w:lvl w:ilvl="4">
      <w:start w:val="1"/>
      <w:numFmt w:val="bullet"/>
      <w:lvlText w:val="o"/>
      <w:lvlJc w:val="left"/>
      <w:pPr>
        <w:tabs>
          <w:tab w:val="num" w:pos="6611"/>
        </w:tabs>
        <w:ind w:left="6611" w:hanging="360"/>
      </w:pPr>
      <w:rPr>
        <w:rFonts w:ascii="Courier New" w:hAnsi="Courier New" w:cs="Courier New" w:hint="default"/>
      </w:rPr>
    </w:lvl>
    <w:lvl w:ilvl="5">
      <w:start w:val="1"/>
      <w:numFmt w:val="bullet"/>
      <w:lvlText w:val=""/>
      <w:lvlJc w:val="left"/>
      <w:pPr>
        <w:tabs>
          <w:tab w:val="num" w:pos="7331"/>
        </w:tabs>
        <w:ind w:left="7331" w:hanging="360"/>
      </w:pPr>
      <w:rPr>
        <w:rFonts w:ascii="Wingdings" w:hAnsi="Wingdings" w:hint="default"/>
      </w:rPr>
    </w:lvl>
    <w:lvl w:ilvl="6">
      <w:start w:val="1"/>
      <w:numFmt w:val="bullet"/>
      <w:lvlText w:val=""/>
      <w:lvlJc w:val="left"/>
      <w:pPr>
        <w:tabs>
          <w:tab w:val="num" w:pos="8051"/>
        </w:tabs>
        <w:ind w:left="8051" w:hanging="360"/>
      </w:pPr>
      <w:rPr>
        <w:rFonts w:ascii="Symbol" w:hAnsi="Symbol" w:hint="default"/>
      </w:rPr>
    </w:lvl>
    <w:lvl w:ilvl="7">
      <w:start w:val="1"/>
      <w:numFmt w:val="bullet"/>
      <w:lvlText w:val="o"/>
      <w:lvlJc w:val="left"/>
      <w:pPr>
        <w:tabs>
          <w:tab w:val="num" w:pos="8771"/>
        </w:tabs>
        <w:ind w:left="8771" w:hanging="360"/>
      </w:pPr>
      <w:rPr>
        <w:rFonts w:ascii="Courier New" w:hAnsi="Courier New" w:cs="Courier New" w:hint="default"/>
      </w:rPr>
    </w:lvl>
    <w:lvl w:ilvl="8">
      <w:start w:val="1"/>
      <w:numFmt w:val="bullet"/>
      <w:lvlText w:val=""/>
      <w:lvlJc w:val="left"/>
      <w:pPr>
        <w:tabs>
          <w:tab w:val="num" w:pos="9491"/>
        </w:tabs>
        <w:ind w:left="9491" w:hanging="360"/>
      </w:pPr>
      <w:rPr>
        <w:rFonts w:ascii="Wingdings" w:hAnsi="Wingdings" w:hint="default"/>
      </w:rPr>
    </w:lvl>
  </w:abstractNum>
  <w:abstractNum w:abstractNumId="5">
    <w:nsid w:val="74D32288"/>
    <w:multiLevelType w:val="hybridMultilevel"/>
    <w:tmpl w:val="2494A1FE"/>
    <w:lvl w:ilvl="0" w:tplc="27BA8252">
      <w:start w:val="1"/>
      <w:numFmt w:val="decimal"/>
      <w:pStyle w:val="Reportnumbered"/>
      <w:lvlText w:val="%1."/>
      <w:lvlJc w:val="left"/>
      <w:pPr>
        <w:ind w:left="360" w:hanging="360"/>
      </w:pPr>
      <w:rPr>
        <w:rFonts w:hint="default"/>
        <w:b/>
        <w:i w:val="0"/>
        <w:color w:val="F3901D"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81"/>
  <w:displayHorizontalDrawingGridEvery w:val="2"/>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yle of Quiet Achievers&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pex2pv97zx2s2edf055dxsb9pwfwev9d5sf&quot;&gt;Australian Perspectives MASTER v15 10 Feb 2013&lt;record-ids&gt;&lt;item&gt;74&lt;/item&gt;&lt;item&gt;155&lt;/item&gt;&lt;item&gt;156&lt;/item&gt;&lt;item&gt;157&lt;/item&gt;&lt;item&gt;202&lt;/item&gt;&lt;item&gt;416&lt;/item&gt;&lt;item&gt;575&lt;/item&gt;&lt;/record-ids&gt;&lt;/item&gt;&lt;/Libraries&gt;"/>
  </w:docVars>
  <w:rsids>
    <w:rsidRoot w:val="00EA4286"/>
    <w:rsid w:val="000011E7"/>
    <w:rsid w:val="00006796"/>
    <w:rsid w:val="000076E8"/>
    <w:rsid w:val="00007E38"/>
    <w:rsid w:val="00011A64"/>
    <w:rsid w:val="00026E24"/>
    <w:rsid w:val="00027A95"/>
    <w:rsid w:val="0003019A"/>
    <w:rsid w:val="00030EF6"/>
    <w:rsid w:val="00033008"/>
    <w:rsid w:val="000415CC"/>
    <w:rsid w:val="00043C0F"/>
    <w:rsid w:val="000503E1"/>
    <w:rsid w:val="00051219"/>
    <w:rsid w:val="000517BA"/>
    <w:rsid w:val="00060140"/>
    <w:rsid w:val="00065192"/>
    <w:rsid w:val="00070321"/>
    <w:rsid w:val="000762C2"/>
    <w:rsid w:val="00082F13"/>
    <w:rsid w:val="00084223"/>
    <w:rsid w:val="00086DD9"/>
    <w:rsid w:val="00096F72"/>
    <w:rsid w:val="000A67CE"/>
    <w:rsid w:val="000B01A9"/>
    <w:rsid w:val="000B373F"/>
    <w:rsid w:val="000C2E60"/>
    <w:rsid w:val="000C47C3"/>
    <w:rsid w:val="000E2AAA"/>
    <w:rsid w:val="000F4BF9"/>
    <w:rsid w:val="000F684F"/>
    <w:rsid w:val="000F74D2"/>
    <w:rsid w:val="001056C0"/>
    <w:rsid w:val="001103E3"/>
    <w:rsid w:val="00110467"/>
    <w:rsid w:val="00113264"/>
    <w:rsid w:val="00121B3E"/>
    <w:rsid w:val="00122AE5"/>
    <w:rsid w:val="001329C9"/>
    <w:rsid w:val="00142626"/>
    <w:rsid w:val="00152DD3"/>
    <w:rsid w:val="00165BAF"/>
    <w:rsid w:val="00170EF2"/>
    <w:rsid w:val="0017350C"/>
    <w:rsid w:val="00174F78"/>
    <w:rsid w:val="0018171D"/>
    <w:rsid w:val="00184F5C"/>
    <w:rsid w:val="00185A86"/>
    <w:rsid w:val="001A2A20"/>
    <w:rsid w:val="001A64BC"/>
    <w:rsid w:val="001B259A"/>
    <w:rsid w:val="001B2E1B"/>
    <w:rsid w:val="001B7F87"/>
    <w:rsid w:val="001C4B18"/>
    <w:rsid w:val="001C6EA1"/>
    <w:rsid w:val="001E14FB"/>
    <w:rsid w:val="001E2CFF"/>
    <w:rsid w:val="001E3F49"/>
    <w:rsid w:val="001F0BA5"/>
    <w:rsid w:val="001F4231"/>
    <w:rsid w:val="002040CB"/>
    <w:rsid w:val="00220F3B"/>
    <w:rsid w:val="0022170D"/>
    <w:rsid w:val="0022480D"/>
    <w:rsid w:val="00227F1E"/>
    <w:rsid w:val="00236425"/>
    <w:rsid w:val="0024151F"/>
    <w:rsid w:val="0024650F"/>
    <w:rsid w:val="00255E6A"/>
    <w:rsid w:val="00261F3C"/>
    <w:rsid w:val="0027786B"/>
    <w:rsid w:val="002823BB"/>
    <w:rsid w:val="00283174"/>
    <w:rsid w:val="00284202"/>
    <w:rsid w:val="00285444"/>
    <w:rsid w:val="0028592E"/>
    <w:rsid w:val="00290DD3"/>
    <w:rsid w:val="00293AF4"/>
    <w:rsid w:val="00296C56"/>
    <w:rsid w:val="00297A56"/>
    <w:rsid w:val="002A33F6"/>
    <w:rsid w:val="002B0764"/>
    <w:rsid w:val="002B0FD6"/>
    <w:rsid w:val="002B11FF"/>
    <w:rsid w:val="002B1D66"/>
    <w:rsid w:val="002C77A9"/>
    <w:rsid w:val="002C7CCD"/>
    <w:rsid w:val="002D4C02"/>
    <w:rsid w:val="002D6810"/>
    <w:rsid w:val="002E0E7A"/>
    <w:rsid w:val="002E4354"/>
    <w:rsid w:val="002E4BAD"/>
    <w:rsid w:val="002E7EDA"/>
    <w:rsid w:val="002F4EAC"/>
    <w:rsid w:val="00323884"/>
    <w:rsid w:val="003240E4"/>
    <w:rsid w:val="00325545"/>
    <w:rsid w:val="003306D6"/>
    <w:rsid w:val="00330BE6"/>
    <w:rsid w:val="003349E4"/>
    <w:rsid w:val="00335CCD"/>
    <w:rsid w:val="003404DC"/>
    <w:rsid w:val="0034380F"/>
    <w:rsid w:val="0034632B"/>
    <w:rsid w:val="00351113"/>
    <w:rsid w:val="003520F5"/>
    <w:rsid w:val="003538CB"/>
    <w:rsid w:val="00357089"/>
    <w:rsid w:val="00361FD4"/>
    <w:rsid w:val="00362B67"/>
    <w:rsid w:val="00366918"/>
    <w:rsid w:val="003835CB"/>
    <w:rsid w:val="00384FC3"/>
    <w:rsid w:val="003858DE"/>
    <w:rsid w:val="003922D3"/>
    <w:rsid w:val="00393431"/>
    <w:rsid w:val="00395E01"/>
    <w:rsid w:val="003A7EF3"/>
    <w:rsid w:val="003B7229"/>
    <w:rsid w:val="003C21E5"/>
    <w:rsid w:val="003D1F42"/>
    <w:rsid w:val="003D375B"/>
    <w:rsid w:val="003D473F"/>
    <w:rsid w:val="003E1D3D"/>
    <w:rsid w:val="003E1D99"/>
    <w:rsid w:val="003E6421"/>
    <w:rsid w:val="003E7516"/>
    <w:rsid w:val="003F3338"/>
    <w:rsid w:val="003F3449"/>
    <w:rsid w:val="003F5DB4"/>
    <w:rsid w:val="0040363E"/>
    <w:rsid w:val="0040398B"/>
    <w:rsid w:val="00403F7D"/>
    <w:rsid w:val="00405538"/>
    <w:rsid w:val="0041036F"/>
    <w:rsid w:val="00410DA6"/>
    <w:rsid w:val="00412224"/>
    <w:rsid w:val="00420446"/>
    <w:rsid w:val="00442457"/>
    <w:rsid w:val="004433DA"/>
    <w:rsid w:val="00446417"/>
    <w:rsid w:val="0044725E"/>
    <w:rsid w:val="00456F1C"/>
    <w:rsid w:val="00462AD0"/>
    <w:rsid w:val="00471AA2"/>
    <w:rsid w:val="00472499"/>
    <w:rsid w:val="004A497E"/>
    <w:rsid w:val="004A5E12"/>
    <w:rsid w:val="004C4A8A"/>
    <w:rsid w:val="004C5071"/>
    <w:rsid w:val="004C77F7"/>
    <w:rsid w:val="004D2DAF"/>
    <w:rsid w:val="004E3D72"/>
    <w:rsid w:val="004F1820"/>
    <w:rsid w:val="004F277D"/>
    <w:rsid w:val="004F376B"/>
    <w:rsid w:val="004F6E37"/>
    <w:rsid w:val="004F7CA9"/>
    <w:rsid w:val="00502A25"/>
    <w:rsid w:val="00511F0B"/>
    <w:rsid w:val="00513391"/>
    <w:rsid w:val="0052022F"/>
    <w:rsid w:val="00522DA1"/>
    <w:rsid w:val="005260EC"/>
    <w:rsid w:val="005346D4"/>
    <w:rsid w:val="00552748"/>
    <w:rsid w:val="00552F5F"/>
    <w:rsid w:val="00556267"/>
    <w:rsid w:val="0056006E"/>
    <w:rsid w:val="005621DB"/>
    <w:rsid w:val="00562B09"/>
    <w:rsid w:val="005803FD"/>
    <w:rsid w:val="00581328"/>
    <w:rsid w:val="00587A9A"/>
    <w:rsid w:val="00593650"/>
    <w:rsid w:val="005A00AD"/>
    <w:rsid w:val="005A4427"/>
    <w:rsid w:val="005A7B64"/>
    <w:rsid w:val="005C433C"/>
    <w:rsid w:val="005C6593"/>
    <w:rsid w:val="005D11C6"/>
    <w:rsid w:val="005D1773"/>
    <w:rsid w:val="005D5000"/>
    <w:rsid w:val="005D511A"/>
    <w:rsid w:val="005D57DE"/>
    <w:rsid w:val="005E6AE7"/>
    <w:rsid w:val="005E7AED"/>
    <w:rsid w:val="005E7B49"/>
    <w:rsid w:val="005F0736"/>
    <w:rsid w:val="00612315"/>
    <w:rsid w:val="006229F4"/>
    <w:rsid w:val="00625F4E"/>
    <w:rsid w:val="0062620C"/>
    <w:rsid w:val="00636122"/>
    <w:rsid w:val="00636C8F"/>
    <w:rsid w:val="00637508"/>
    <w:rsid w:val="00641447"/>
    <w:rsid w:val="006442F9"/>
    <w:rsid w:val="00657CCC"/>
    <w:rsid w:val="00664D8F"/>
    <w:rsid w:val="00664E81"/>
    <w:rsid w:val="00671F19"/>
    <w:rsid w:val="00672E43"/>
    <w:rsid w:val="006833E5"/>
    <w:rsid w:val="006845FC"/>
    <w:rsid w:val="00685449"/>
    <w:rsid w:val="00695599"/>
    <w:rsid w:val="00695779"/>
    <w:rsid w:val="0069677F"/>
    <w:rsid w:val="006A2B1C"/>
    <w:rsid w:val="006A56E7"/>
    <w:rsid w:val="006B4DE2"/>
    <w:rsid w:val="006C4497"/>
    <w:rsid w:val="006C7E2F"/>
    <w:rsid w:val="006D05A0"/>
    <w:rsid w:val="006D394F"/>
    <w:rsid w:val="006D4656"/>
    <w:rsid w:val="006E1256"/>
    <w:rsid w:val="006E31F1"/>
    <w:rsid w:val="006F7D52"/>
    <w:rsid w:val="00700BE6"/>
    <w:rsid w:val="00712536"/>
    <w:rsid w:val="00717995"/>
    <w:rsid w:val="00725E33"/>
    <w:rsid w:val="00734787"/>
    <w:rsid w:val="00742B51"/>
    <w:rsid w:val="007459D1"/>
    <w:rsid w:val="00746920"/>
    <w:rsid w:val="007551C6"/>
    <w:rsid w:val="007625DE"/>
    <w:rsid w:val="007661D2"/>
    <w:rsid w:val="00773FBE"/>
    <w:rsid w:val="0078197F"/>
    <w:rsid w:val="00782320"/>
    <w:rsid w:val="00786C31"/>
    <w:rsid w:val="00796E44"/>
    <w:rsid w:val="007A1208"/>
    <w:rsid w:val="007A4659"/>
    <w:rsid w:val="007A5AAA"/>
    <w:rsid w:val="007B148E"/>
    <w:rsid w:val="007B2EA6"/>
    <w:rsid w:val="007B6418"/>
    <w:rsid w:val="007C5E67"/>
    <w:rsid w:val="007C63B8"/>
    <w:rsid w:val="007E33E6"/>
    <w:rsid w:val="007E3BA1"/>
    <w:rsid w:val="007F2F2A"/>
    <w:rsid w:val="007F3C69"/>
    <w:rsid w:val="00807979"/>
    <w:rsid w:val="00810A04"/>
    <w:rsid w:val="00812D43"/>
    <w:rsid w:val="00816BEC"/>
    <w:rsid w:val="00825B56"/>
    <w:rsid w:val="00830CDC"/>
    <w:rsid w:val="00833DE5"/>
    <w:rsid w:val="00834D16"/>
    <w:rsid w:val="0084150C"/>
    <w:rsid w:val="00845BA1"/>
    <w:rsid w:val="00855E24"/>
    <w:rsid w:val="00857E18"/>
    <w:rsid w:val="00860925"/>
    <w:rsid w:val="008664DA"/>
    <w:rsid w:val="00867359"/>
    <w:rsid w:val="00870443"/>
    <w:rsid w:val="008733E9"/>
    <w:rsid w:val="00873F35"/>
    <w:rsid w:val="008769F8"/>
    <w:rsid w:val="008A11FD"/>
    <w:rsid w:val="008A5043"/>
    <w:rsid w:val="008A64A4"/>
    <w:rsid w:val="008B390C"/>
    <w:rsid w:val="008B3E6F"/>
    <w:rsid w:val="008B4D44"/>
    <w:rsid w:val="008B68EB"/>
    <w:rsid w:val="008D42C7"/>
    <w:rsid w:val="008D5D60"/>
    <w:rsid w:val="008E0A90"/>
    <w:rsid w:val="008E251F"/>
    <w:rsid w:val="008E4384"/>
    <w:rsid w:val="008E788B"/>
    <w:rsid w:val="008E7A0A"/>
    <w:rsid w:val="008F20B3"/>
    <w:rsid w:val="0090112A"/>
    <w:rsid w:val="009062AD"/>
    <w:rsid w:val="009070DB"/>
    <w:rsid w:val="0091037D"/>
    <w:rsid w:val="009157A2"/>
    <w:rsid w:val="00925FDF"/>
    <w:rsid w:val="00931AF0"/>
    <w:rsid w:val="0093378E"/>
    <w:rsid w:val="00935983"/>
    <w:rsid w:val="00942CD5"/>
    <w:rsid w:val="0094395E"/>
    <w:rsid w:val="00944433"/>
    <w:rsid w:val="00944B09"/>
    <w:rsid w:val="009525E1"/>
    <w:rsid w:val="00953060"/>
    <w:rsid w:val="00953BB8"/>
    <w:rsid w:val="00955002"/>
    <w:rsid w:val="00956EDB"/>
    <w:rsid w:val="00960574"/>
    <w:rsid w:val="00960C6F"/>
    <w:rsid w:val="00961312"/>
    <w:rsid w:val="00963597"/>
    <w:rsid w:val="009668ED"/>
    <w:rsid w:val="00970EF4"/>
    <w:rsid w:val="00971E96"/>
    <w:rsid w:val="009775F7"/>
    <w:rsid w:val="009862F5"/>
    <w:rsid w:val="00990D5F"/>
    <w:rsid w:val="00992850"/>
    <w:rsid w:val="009953C8"/>
    <w:rsid w:val="009969CB"/>
    <w:rsid w:val="009A68D8"/>
    <w:rsid w:val="009A722C"/>
    <w:rsid w:val="009B0F59"/>
    <w:rsid w:val="009B798A"/>
    <w:rsid w:val="009C39F4"/>
    <w:rsid w:val="009C6726"/>
    <w:rsid w:val="009C6D59"/>
    <w:rsid w:val="009D0A35"/>
    <w:rsid w:val="009D1000"/>
    <w:rsid w:val="009E3AFF"/>
    <w:rsid w:val="009E546B"/>
    <w:rsid w:val="009E71AA"/>
    <w:rsid w:val="009F70F4"/>
    <w:rsid w:val="00A04A89"/>
    <w:rsid w:val="00A146B4"/>
    <w:rsid w:val="00A16064"/>
    <w:rsid w:val="00A2490A"/>
    <w:rsid w:val="00A35542"/>
    <w:rsid w:val="00A4130E"/>
    <w:rsid w:val="00A4191F"/>
    <w:rsid w:val="00A447F8"/>
    <w:rsid w:val="00A50F52"/>
    <w:rsid w:val="00A52C08"/>
    <w:rsid w:val="00A554AB"/>
    <w:rsid w:val="00A56BBE"/>
    <w:rsid w:val="00A67C91"/>
    <w:rsid w:val="00A73376"/>
    <w:rsid w:val="00A75FBA"/>
    <w:rsid w:val="00A76D06"/>
    <w:rsid w:val="00A76D17"/>
    <w:rsid w:val="00A8053C"/>
    <w:rsid w:val="00A837F6"/>
    <w:rsid w:val="00A862E6"/>
    <w:rsid w:val="00A87E40"/>
    <w:rsid w:val="00A927C3"/>
    <w:rsid w:val="00AA282C"/>
    <w:rsid w:val="00AA76A0"/>
    <w:rsid w:val="00AB254A"/>
    <w:rsid w:val="00AB3428"/>
    <w:rsid w:val="00AC30A5"/>
    <w:rsid w:val="00AC4F32"/>
    <w:rsid w:val="00AC7CC4"/>
    <w:rsid w:val="00AD2735"/>
    <w:rsid w:val="00AD3A48"/>
    <w:rsid w:val="00AD7543"/>
    <w:rsid w:val="00AE000E"/>
    <w:rsid w:val="00AF292B"/>
    <w:rsid w:val="00B05BE8"/>
    <w:rsid w:val="00B1464F"/>
    <w:rsid w:val="00B17850"/>
    <w:rsid w:val="00B37BF8"/>
    <w:rsid w:val="00B41B02"/>
    <w:rsid w:val="00B422F8"/>
    <w:rsid w:val="00B42EA1"/>
    <w:rsid w:val="00B438AC"/>
    <w:rsid w:val="00B47A18"/>
    <w:rsid w:val="00B563D9"/>
    <w:rsid w:val="00B66021"/>
    <w:rsid w:val="00B677B0"/>
    <w:rsid w:val="00B83A7C"/>
    <w:rsid w:val="00B94828"/>
    <w:rsid w:val="00BA7C70"/>
    <w:rsid w:val="00BB0AFA"/>
    <w:rsid w:val="00BB2E47"/>
    <w:rsid w:val="00BC30C1"/>
    <w:rsid w:val="00BC6846"/>
    <w:rsid w:val="00BD54CA"/>
    <w:rsid w:val="00BE1BF6"/>
    <w:rsid w:val="00BF2DB3"/>
    <w:rsid w:val="00BF3E21"/>
    <w:rsid w:val="00C0137A"/>
    <w:rsid w:val="00C05465"/>
    <w:rsid w:val="00C05E17"/>
    <w:rsid w:val="00C114DD"/>
    <w:rsid w:val="00C13CF8"/>
    <w:rsid w:val="00C14BE4"/>
    <w:rsid w:val="00C17C2A"/>
    <w:rsid w:val="00C23B64"/>
    <w:rsid w:val="00C24624"/>
    <w:rsid w:val="00C24B9B"/>
    <w:rsid w:val="00C32AB8"/>
    <w:rsid w:val="00C34FE4"/>
    <w:rsid w:val="00C4473C"/>
    <w:rsid w:val="00C459AA"/>
    <w:rsid w:val="00C46613"/>
    <w:rsid w:val="00C50B68"/>
    <w:rsid w:val="00C5274B"/>
    <w:rsid w:val="00C55F89"/>
    <w:rsid w:val="00C64F90"/>
    <w:rsid w:val="00C74E6B"/>
    <w:rsid w:val="00C76082"/>
    <w:rsid w:val="00C81493"/>
    <w:rsid w:val="00C857F6"/>
    <w:rsid w:val="00C8644D"/>
    <w:rsid w:val="00C909B5"/>
    <w:rsid w:val="00C939A7"/>
    <w:rsid w:val="00C940DA"/>
    <w:rsid w:val="00CA1064"/>
    <w:rsid w:val="00CA5C68"/>
    <w:rsid w:val="00CB2013"/>
    <w:rsid w:val="00CB6B7D"/>
    <w:rsid w:val="00CC2A7E"/>
    <w:rsid w:val="00CC3BD8"/>
    <w:rsid w:val="00CC68BC"/>
    <w:rsid w:val="00CD15DC"/>
    <w:rsid w:val="00CD3B82"/>
    <w:rsid w:val="00CD5B40"/>
    <w:rsid w:val="00CE52CA"/>
    <w:rsid w:val="00CE6339"/>
    <w:rsid w:val="00CF3CE3"/>
    <w:rsid w:val="00D00BCC"/>
    <w:rsid w:val="00D04A3C"/>
    <w:rsid w:val="00D04C3A"/>
    <w:rsid w:val="00D227DB"/>
    <w:rsid w:val="00D25BA0"/>
    <w:rsid w:val="00D3185B"/>
    <w:rsid w:val="00D32DA0"/>
    <w:rsid w:val="00D34C57"/>
    <w:rsid w:val="00D44529"/>
    <w:rsid w:val="00D45B66"/>
    <w:rsid w:val="00D546DE"/>
    <w:rsid w:val="00D6652C"/>
    <w:rsid w:val="00D70697"/>
    <w:rsid w:val="00D7130A"/>
    <w:rsid w:val="00D74809"/>
    <w:rsid w:val="00D748A6"/>
    <w:rsid w:val="00D7513D"/>
    <w:rsid w:val="00D77462"/>
    <w:rsid w:val="00D83296"/>
    <w:rsid w:val="00D84B17"/>
    <w:rsid w:val="00D84E7F"/>
    <w:rsid w:val="00D94153"/>
    <w:rsid w:val="00DA00B5"/>
    <w:rsid w:val="00DA5CAA"/>
    <w:rsid w:val="00DA5D1E"/>
    <w:rsid w:val="00DC2FB3"/>
    <w:rsid w:val="00DD332B"/>
    <w:rsid w:val="00DD4817"/>
    <w:rsid w:val="00DE01F2"/>
    <w:rsid w:val="00DF2323"/>
    <w:rsid w:val="00DF2758"/>
    <w:rsid w:val="00DF54C7"/>
    <w:rsid w:val="00DF6211"/>
    <w:rsid w:val="00DF77B5"/>
    <w:rsid w:val="00E12380"/>
    <w:rsid w:val="00E12E76"/>
    <w:rsid w:val="00E14CE3"/>
    <w:rsid w:val="00E20CAB"/>
    <w:rsid w:val="00E33381"/>
    <w:rsid w:val="00E3624F"/>
    <w:rsid w:val="00E4063D"/>
    <w:rsid w:val="00E4787B"/>
    <w:rsid w:val="00E5110D"/>
    <w:rsid w:val="00E57EB9"/>
    <w:rsid w:val="00E602BA"/>
    <w:rsid w:val="00E60E53"/>
    <w:rsid w:val="00E71468"/>
    <w:rsid w:val="00E75648"/>
    <w:rsid w:val="00E756D9"/>
    <w:rsid w:val="00E77C0B"/>
    <w:rsid w:val="00E81BD3"/>
    <w:rsid w:val="00E9484F"/>
    <w:rsid w:val="00EA4286"/>
    <w:rsid w:val="00EA4930"/>
    <w:rsid w:val="00EB59CF"/>
    <w:rsid w:val="00EC09C3"/>
    <w:rsid w:val="00ED360B"/>
    <w:rsid w:val="00ED7C6D"/>
    <w:rsid w:val="00EE3165"/>
    <w:rsid w:val="00F10519"/>
    <w:rsid w:val="00F12BF2"/>
    <w:rsid w:val="00F12E1E"/>
    <w:rsid w:val="00F130C4"/>
    <w:rsid w:val="00F210CC"/>
    <w:rsid w:val="00F223EF"/>
    <w:rsid w:val="00F23E7A"/>
    <w:rsid w:val="00F24E3F"/>
    <w:rsid w:val="00F27156"/>
    <w:rsid w:val="00F338C6"/>
    <w:rsid w:val="00F4682F"/>
    <w:rsid w:val="00F55044"/>
    <w:rsid w:val="00F555AE"/>
    <w:rsid w:val="00F6228E"/>
    <w:rsid w:val="00F64323"/>
    <w:rsid w:val="00F77F4B"/>
    <w:rsid w:val="00F85BB1"/>
    <w:rsid w:val="00F91128"/>
    <w:rsid w:val="00F96D4C"/>
    <w:rsid w:val="00F9730D"/>
    <w:rsid w:val="00FA4BF8"/>
    <w:rsid w:val="00FA76F3"/>
    <w:rsid w:val="00FB5F26"/>
    <w:rsid w:val="00FB6582"/>
    <w:rsid w:val="00FB6ACD"/>
    <w:rsid w:val="00FD0AB4"/>
    <w:rsid w:val="00FD1AF6"/>
    <w:rsid w:val="00FD4117"/>
    <w:rsid w:val="00FE04F2"/>
    <w:rsid w:val="00FE3862"/>
    <w:rsid w:val="00FE3BFF"/>
    <w:rsid w:val="00FF377C"/>
    <w:rsid w:val="00FF6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7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lsdException w:name="heading 7" w:uiPriority="0"/>
    <w:lsdException w:name="heading 8" w:uiPriority="0"/>
    <w:lsdException w:name="heading 9" w:uiPriority="0"/>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locked="1" w:semiHidden="1"/>
    <w:lsdException w:name="footnote text" w:locked="1" w:uiPriority="99"/>
    <w:lsdException w:name="annotation text" w:locked="1" w:uiPriority="0"/>
    <w:lsdException w:name="header" w:locked="1" w:uiPriority="0"/>
    <w:lsdException w:name="footer" w:locked="1" w:uiPriority="0"/>
    <w:lsdException w:name="index heading" w:locked="1" w:semiHidden="1"/>
    <w:lsdException w:name="caption" w:uiPriority="0" w:qFormat="1"/>
    <w:lsdException w:name="table of figures" w:locked="1" w:semiHidden="1" w:uiPriority="99"/>
    <w:lsdException w:name="envelope address" w:locked="1" w:semiHidden="1"/>
    <w:lsdException w:name="envelope return" w:locked="1" w:semiHidden="1"/>
    <w:lsdException w:name="footnote reference" w:locked="1" w:uiPriority="99"/>
    <w:lsdException w:name="annotation reference" w:locked="1" w:uiPriority="0"/>
    <w:lsdException w:name="line number" w:locked="1" w:semiHidden="1"/>
    <w:lsdException w:name="page number" w:locked="1" w:uiPriority="0"/>
    <w:lsdException w:name="endnote reference" w:locked="1" w:uiPriority="0"/>
    <w:lsdException w:name="endnote text" w:locked="1" w:uiPriority="0"/>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qFormat="1"/>
    <w:lsdException w:name="Closing" w:locked="1" w:semiHidden="1"/>
    <w:lsdException w:name="Signature" w:locked="1" w:semiHidden="1"/>
    <w:lsdException w:name="Default Paragraph Font" w:uiPriority="0"/>
    <w:lsdException w:name="Body Text" w:locked="1" w:uiPriority="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uiPriority="0"/>
    <w:lsdException w:name="Hyperlink" w:locked="1" w:uiPriority="99"/>
    <w:lsdException w:name="FollowedHyperlink" w:locked="1" w:uiPriority="0"/>
    <w:lsdException w:name="Strong" w:uiPriority="0" w:qFormat="1"/>
    <w:lsdException w:name="Emphasis" w:uiPriority="0" w:qFormat="1"/>
    <w:lsdException w:name="Document Map" w:locked="1" w:semiHidden="1"/>
    <w:lsdException w:name="Plain Text" w:locked="1" w:semiHidden="1"/>
    <w:lsdException w:name="E-mail Signature" w:locked="1" w:semiHidden="1"/>
    <w:lsdException w:name="HTML Top of Form" w:locked="1" w:uiPriority="0"/>
    <w:lsdException w:name="HTML Bottom of Form" w:locked="1" w:uiPriority="0"/>
    <w:lsdException w:name="Normal (Web)" w:locked="1" w:uiPriority="0"/>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0"/>
    <w:lsdException w:name="Table Theme" w:locked="1"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atentStyles>
  <w:style w:type="paragraph" w:default="1" w:styleId="Normal">
    <w:name w:val="Normal"/>
    <w:uiPriority w:val="1"/>
    <w:semiHidden/>
    <w:qFormat/>
    <w:rsid w:val="002040CB"/>
    <w:pPr>
      <w:spacing w:before="240"/>
      <w:ind w:left="851"/>
    </w:pPr>
    <w:rPr>
      <w:rFonts w:ascii="Arial" w:hAnsi="Arial" w:cs="Arial"/>
      <w:sz w:val="24"/>
      <w:szCs w:val="24"/>
    </w:rPr>
  </w:style>
  <w:style w:type="paragraph" w:styleId="Heading1">
    <w:name w:val="heading 1"/>
    <w:basedOn w:val="Normal"/>
    <w:next w:val="BodyText"/>
    <w:link w:val="Heading1Char"/>
    <w:uiPriority w:val="1"/>
    <w:qFormat/>
    <w:rsid w:val="008B390C"/>
    <w:pPr>
      <w:keepNext/>
      <w:numPr>
        <w:numId w:val="1"/>
      </w:numPr>
      <w:tabs>
        <w:tab w:val="clear" w:pos="3361"/>
      </w:tabs>
      <w:spacing w:before="0" w:after="300"/>
      <w:ind w:left="680" w:hanging="680"/>
      <w:outlineLvl w:val="0"/>
    </w:pPr>
    <w:rPr>
      <w:b/>
      <w:bCs/>
      <w:color w:val="F3901D"/>
      <w:kern w:val="32"/>
      <w:sz w:val="30"/>
      <w:szCs w:val="30"/>
    </w:rPr>
  </w:style>
  <w:style w:type="paragraph" w:styleId="Heading2">
    <w:name w:val="heading 2"/>
    <w:basedOn w:val="Normal"/>
    <w:next w:val="BodyText"/>
    <w:link w:val="Heading2Char"/>
    <w:uiPriority w:val="1"/>
    <w:qFormat/>
    <w:rsid w:val="00E756D9"/>
    <w:pPr>
      <w:keepNext/>
      <w:numPr>
        <w:ilvl w:val="1"/>
        <w:numId w:val="1"/>
      </w:numPr>
      <w:tabs>
        <w:tab w:val="clear" w:pos="2207"/>
      </w:tabs>
      <w:spacing w:before="0" w:after="220"/>
      <w:ind w:left="680" w:hanging="680"/>
      <w:outlineLvl w:val="1"/>
    </w:pPr>
    <w:rPr>
      <w:b/>
      <w:bCs/>
      <w:color w:val="F3901D"/>
      <w:sz w:val="22"/>
      <w:szCs w:val="22"/>
    </w:rPr>
  </w:style>
  <w:style w:type="paragraph" w:styleId="Heading3">
    <w:name w:val="heading 3"/>
    <w:basedOn w:val="Normal"/>
    <w:next w:val="BodyText"/>
    <w:link w:val="Heading3Char"/>
    <w:uiPriority w:val="1"/>
    <w:qFormat/>
    <w:rsid w:val="00E756D9"/>
    <w:pPr>
      <w:keepNext/>
      <w:keepLines/>
      <w:numPr>
        <w:ilvl w:val="2"/>
        <w:numId w:val="1"/>
      </w:numPr>
      <w:tabs>
        <w:tab w:val="clear" w:pos="851"/>
      </w:tabs>
      <w:spacing w:before="0" w:after="220"/>
      <w:outlineLvl w:val="2"/>
    </w:pPr>
    <w:rPr>
      <w:b/>
      <w:bCs/>
      <w:color w:val="F3901D"/>
      <w:sz w:val="22"/>
      <w:szCs w:val="22"/>
    </w:rPr>
  </w:style>
  <w:style w:type="paragraph" w:styleId="Heading4">
    <w:name w:val="heading 4"/>
    <w:basedOn w:val="BodyText"/>
    <w:link w:val="Heading4Char"/>
    <w:autoRedefine/>
    <w:uiPriority w:val="1"/>
    <w:qFormat/>
    <w:rsid w:val="00AB3428"/>
    <w:pPr>
      <w:keepLines/>
      <w:outlineLvl w:val="3"/>
    </w:pPr>
    <w:rPr>
      <w:iCs/>
      <w:color w:val="F3901D" w:themeColor="accent5"/>
    </w:rPr>
  </w:style>
  <w:style w:type="paragraph" w:styleId="Heading5">
    <w:name w:val="heading 5"/>
    <w:basedOn w:val="Normal"/>
    <w:next w:val="Normal"/>
    <w:link w:val="Heading5Char"/>
    <w:uiPriority w:val="1"/>
    <w:semiHidden/>
    <w:qFormat/>
    <w:rsid w:val="008A5043"/>
    <w:pPr>
      <w:numPr>
        <w:ilvl w:val="4"/>
        <w:numId w:val="1"/>
      </w:numPr>
      <w:spacing w:before="120"/>
      <w:outlineLvl w:val="4"/>
    </w:pPr>
  </w:style>
  <w:style w:type="paragraph" w:styleId="Heading6">
    <w:name w:val="heading 6"/>
    <w:basedOn w:val="Normal"/>
    <w:next w:val="Normal"/>
    <w:link w:val="Heading6Char"/>
    <w:uiPriority w:val="1"/>
    <w:semiHidden/>
    <w:rsid w:val="008A5043"/>
    <w:pPr>
      <w:numPr>
        <w:ilvl w:val="5"/>
        <w:numId w:val="1"/>
      </w:num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1"/>
    <w:semiHidden/>
    <w:rsid w:val="008A5043"/>
    <w:pPr>
      <w:numPr>
        <w:ilvl w:val="6"/>
        <w:numId w:val="1"/>
      </w:numPr>
      <w:spacing w:after="60"/>
      <w:outlineLvl w:val="6"/>
    </w:pPr>
    <w:rPr>
      <w:rFonts w:ascii="Times New Roman" w:hAnsi="Times New Roman" w:cs="Times New Roman"/>
    </w:rPr>
  </w:style>
  <w:style w:type="paragraph" w:styleId="Heading8">
    <w:name w:val="heading 8"/>
    <w:basedOn w:val="Normal"/>
    <w:next w:val="Normal"/>
    <w:link w:val="Heading8Char"/>
    <w:uiPriority w:val="1"/>
    <w:semiHidden/>
    <w:rsid w:val="008A5043"/>
    <w:pPr>
      <w:numPr>
        <w:ilvl w:val="7"/>
        <w:numId w:val="1"/>
      </w:numPr>
      <w:spacing w:after="60"/>
      <w:outlineLvl w:val="7"/>
    </w:pPr>
    <w:rPr>
      <w:rFonts w:ascii="Times New Roman" w:hAnsi="Times New Roman" w:cs="Times New Roman"/>
      <w:i/>
      <w:iCs/>
    </w:rPr>
  </w:style>
  <w:style w:type="paragraph" w:styleId="Heading9">
    <w:name w:val="heading 9"/>
    <w:basedOn w:val="Normal"/>
    <w:next w:val="Normal"/>
    <w:link w:val="Heading9Char"/>
    <w:uiPriority w:val="1"/>
    <w:semiHidden/>
    <w:rsid w:val="008A5043"/>
    <w:pPr>
      <w:numPr>
        <w:ilvl w:val="8"/>
        <w:numId w:val="1"/>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8B390C"/>
    <w:rPr>
      <w:rFonts w:ascii="Arial" w:hAnsi="Arial" w:cs="Arial"/>
      <w:b/>
      <w:bCs/>
      <w:color w:val="F3901D"/>
      <w:kern w:val="32"/>
      <w:sz w:val="30"/>
      <w:szCs w:val="30"/>
    </w:rPr>
  </w:style>
  <w:style w:type="character" w:customStyle="1" w:styleId="Heading2Char">
    <w:name w:val="Heading 2 Char"/>
    <w:basedOn w:val="DefaultParagraphFont"/>
    <w:link w:val="Heading2"/>
    <w:uiPriority w:val="1"/>
    <w:locked/>
    <w:rsid w:val="00E602BA"/>
    <w:rPr>
      <w:rFonts w:ascii="Arial" w:hAnsi="Arial" w:cs="Arial"/>
      <w:b/>
      <w:bCs/>
      <w:color w:val="F3901D"/>
      <w:sz w:val="22"/>
      <w:szCs w:val="22"/>
    </w:rPr>
  </w:style>
  <w:style w:type="character" w:customStyle="1" w:styleId="Heading3Char">
    <w:name w:val="Heading 3 Char"/>
    <w:basedOn w:val="DefaultParagraphFont"/>
    <w:link w:val="Heading3"/>
    <w:uiPriority w:val="1"/>
    <w:locked/>
    <w:rsid w:val="00E602BA"/>
    <w:rPr>
      <w:rFonts w:ascii="Arial" w:hAnsi="Arial" w:cs="Arial"/>
      <w:b/>
      <w:bCs/>
      <w:color w:val="F3901D"/>
      <w:sz w:val="22"/>
      <w:szCs w:val="22"/>
    </w:rPr>
  </w:style>
  <w:style w:type="character" w:customStyle="1" w:styleId="Heading4Char">
    <w:name w:val="Heading 4 Char"/>
    <w:basedOn w:val="DefaultParagraphFont"/>
    <w:link w:val="Heading4"/>
    <w:uiPriority w:val="1"/>
    <w:locked/>
    <w:rsid w:val="00AB3428"/>
    <w:rPr>
      <w:rFonts w:ascii="Arial" w:hAnsi="Arial" w:cs="Arial"/>
      <w:iCs/>
      <w:color w:val="F3901D" w:themeColor="accent5"/>
      <w:sz w:val="22"/>
      <w:szCs w:val="22"/>
    </w:rPr>
  </w:style>
  <w:style w:type="character" w:customStyle="1" w:styleId="Heading5Char">
    <w:name w:val="Heading 5 Char"/>
    <w:basedOn w:val="DefaultParagraphFont"/>
    <w:link w:val="Heading5"/>
    <w:uiPriority w:val="1"/>
    <w:semiHidden/>
    <w:locked/>
    <w:rsid w:val="009B798A"/>
    <w:rPr>
      <w:rFonts w:ascii="Arial" w:hAnsi="Arial" w:cs="Arial"/>
      <w:sz w:val="24"/>
      <w:szCs w:val="24"/>
    </w:rPr>
  </w:style>
  <w:style w:type="character" w:customStyle="1" w:styleId="Heading6Char">
    <w:name w:val="Heading 6 Char"/>
    <w:basedOn w:val="DefaultParagraphFont"/>
    <w:link w:val="Heading6"/>
    <w:uiPriority w:val="1"/>
    <w:semiHidden/>
    <w:locked/>
    <w:rsid w:val="009B798A"/>
    <w:rPr>
      <w:b/>
      <w:bCs/>
      <w:sz w:val="22"/>
      <w:szCs w:val="22"/>
    </w:rPr>
  </w:style>
  <w:style w:type="character" w:customStyle="1" w:styleId="Heading7Char">
    <w:name w:val="Heading 7 Char"/>
    <w:basedOn w:val="DefaultParagraphFont"/>
    <w:link w:val="Heading7"/>
    <w:uiPriority w:val="1"/>
    <w:semiHidden/>
    <w:locked/>
    <w:rsid w:val="009B798A"/>
    <w:rPr>
      <w:sz w:val="24"/>
      <w:szCs w:val="24"/>
    </w:rPr>
  </w:style>
  <w:style w:type="character" w:customStyle="1" w:styleId="Heading8Char">
    <w:name w:val="Heading 8 Char"/>
    <w:basedOn w:val="DefaultParagraphFont"/>
    <w:link w:val="Heading8"/>
    <w:uiPriority w:val="1"/>
    <w:semiHidden/>
    <w:locked/>
    <w:rsid w:val="009B798A"/>
    <w:rPr>
      <w:i/>
      <w:iCs/>
      <w:sz w:val="24"/>
      <w:szCs w:val="24"/>
    </w:rPr>
  </w:style>
  <w:style w:type="character" w:customStyle="1" w:styleId="Heading9Char">
    <w:name w:val="Heading 9 Char"/>
    <w:basedOn w:val="DefaultParagraphFont"/>
    <w:link w:val="Heading9"/>
    <w:uiPriority w:val="1"/>
    <w:semiHidden/>
    <w:locked/>
    <w:rsid w:val="009B798A"/>
    <w:rPr>
      <w:rFonts w:ascii="Arial" w:hAnsi="Arial" w:cs="Arial"/>
      <w:sz w:val="22"/>
      <w:szCs w:val="22"/>
    </w:rPr>
  </w:style>
  <w:style w:type="paragraph" w:styleId="BalloonText">
    <w:name w:val="Balloon Text"/>
    <w:basedOn w:val="Normal"/>
    <w:link w:val="BalloonTextChar"/>
    <w:semiHidden/>
    <w:rsid w:val="008A5043"/>
    <w:rPr>
      <w:rFonts w:ascii="Tahoma" w:hAnsi="Tahoma" w:cs="Tahoma"/>
      <w:sz w:val="16"/>
      <w:szCs w:val="16"/>
    </w:rPr>
  </w:style>
  <w:style w:type="character" w:customStyle="1" w:styleId="BalloonTextChar">
    <w:name w:val="Balloon Text Char"/>
    <w:basedOn w:val="DefaultParagraphFont"/>
    <w:link w:val="BalloonText"/>
    <w:semiHidden/>
    <w:locked/>
    <w:rsid w:val="008A5043"/>
    <w:rPr>
      <w:rFonts w:cs="Times New Roman"/>
      <w:sz w:val="2"/>
      <w:szCs w:val="2"/>
      <w:lang w:val="en-AU" w:eastAsia="en-AU"/>
    </w:rPr>
  </w:style>
  <w:style w:type="character" w:styleId="Hyperlink">
    <w:name w:val="Hyperlink"/>
    <w:basedOn w:val="DefaultParagraphFont"/>
    <w:uiPriority w:val="99"/>
    <w:rsid w:val="008B68EB"/>
    <w:rPr>
      <w:rFonts w:cs="Times New Roman"/>
      <w:color w:val="0000FF"/>
      <w:sz w:val="18"/>
      <w:u w:val="single"/>
    </w:rPr>
  </w:style>
  <w:style w:type="paragraph" w:styleId="Header">
    <w:name w:val="header"/>
    <w:basedOn w:val="Normal"/>
    <w:link w:val="HeaderChar"/>
    <w:uiPriority w:val="7"/>
    <w:rsid w:val="008A5043"/>
    <w:pPr>
      <w:tabs>
        <w:tab w:val="center" w:pos="4153"/>
        <w:tab w:val="right" w:pos="8306"/>
      </w:tabs>
      <w:ind w:left="0"/>
    </w:pPr>
    <w:rPr>
      <w:noProof/>
      <w:color w:val="6A737B"/>
      <w:sz w:val="22"/>
      <w:szCs w:val="22"/>
      <w:lang w:val="en-US" w:eastAsia="en-US"/>
    </w:rPr>
  </w:style>
  <w:style w:type="character" w:customStyle="1" w:styleId="HeaderChar">
    <w:name w:val="Header Char"/>
    <w:basedOn w:val="DefaultParagraphFont"/>
    <w:link w:val="Header"/>
    <w:uiPriority w:val="7"/>
    <w:locked/>
    <w:rsid w:val="00E602BA"/>
    <w:rPr>
      <w:rFonts w:ascii="Arial" w:hAnsi="Arial" w:cs="Arial"/>
      <w:noProof/>
      <w:color w:val="6A737B"/>
      <w:sz w:val="22"/>
      <w:szCs w:val="22"/>
      <w:lang w:val="en-US" w:eastAsia="en-US"/>
    </w:rPr>
  </w:style>
  <w:style w:type="paragraph" w:styleId="Footer">
    <w:name w:val="footer"/>
    <w:basedOn w:val="Normal"/>
    <w:link w:val="FooterChar"/>
    <w:semiHidden/>
    <w:locked/>
    <w:rsid w:val="006F7D52"/>
    <w:pPr>
      <w:tabs>
        <w:tab w:val="center" w:pos="4680"/>
        <w:tab w:val="right" w:pos="9360"/>
      </w:tabs>
      <w:spacing w:before="0"/>
    </w:pPr>
  </w:style>
  <w:style w:type="character" w:customStyle="1" w:styleId="FooterChar">
    <w:name w:val="Footer Char"/>
    <w:basedOn w:val="DefaultParagraphFont"/>
    <w:link w:val="Footer"/>
    <w:semiHidden/>
    <w:rsid w:val="002040CB"/>
    <w:rPr>
      <w:rFonts w:ascii="Arial" w:hAnsi="Arial" w:cs="Arial"/>
      <w:sz w:val="24"/>
      <w:szCs w:val="24"/>
    </w:rPr>
  </w:style>
  <w:style w:type="character" w:styleId="PageNumber">
    <w:name w:val="page number"/>
    <w:basedOn w:val="DefaultParagraphFont"/>
    <w:uiPriority w:val="1"/>
    <w:semiHidden/>
    <w:rsid w:val="008A5043"/>
    <w:rPr>
      <w:rFonts w:cs="Times New Roman"/>
    </w:rPr>
  </w:style>
  <w:style w:type="paragraph" w:customStyle="1" w:styleId="Sidebartext">
    <w:name w:val="Sidebar text"/>
    <w:basedOn w:val="Normal"/>
    <w:uiPriority w:val="1"/>
    <w:semiHidden/>
    <w:rsid w:val="008A5043"/>
    <w:pPr>
      <w:spacing w:before="0"/>
      <w:ind w:left="0"/>
    </w:pPr>
  </w:style>
  <w:style w:type="paragraph" w:styleId="EndnoteText">
    <w:name w:val="endnote text"/>
    <w:basedOn w:val="Normal"/>
    <w:link w:val="EndnoteTextChar"/>
    <w:semiHidden/>
    <w:rsid w:val="008A5043"/>
  </w:style>
  <w:style w:type="character" w:customStyle="1" w:styleId="EndnoteTextChar">
    <w:name w:val="Endnote Text Char"/>
    <w:basedOn w:val="DefaultParagraphFont"/>
    <w:link w:val="EndnoteText"/>
    <w:semiHidden/>
    <w:locked/>
    <w:rsid w:val="008A5043"/>
    <w:rPr>
      <w:rFonts w:ascii="Arial" w:hAnsi="Arial" w:cs="Arial"/>
      <w:sz w:val="20"/>
      <w:szCs w:val="20"/>
      <w:lang w:val="en-AU" w:eastAsia="en-AU"/>
    </w:rPr>
  </w:style>
  <w:style w:type="character" w:styleId="EndnoteReference">
    <w:name w:val="endnote reference"/>
    <w:basedOn w:val="DefaultParagraphFont"/>
    <w:semiHidden/>
    <w:rsid w:val="008A5043"/>
    <w:rPr>
      <w:rFonts w:cs="Times New Roman"/>
      <w:vertAlign w:val="superscript"/>
    </w:rPr>
  </w:style>
  <w:style w:type="paragraph" w:customStyle="1" w:styleId="Endnote">
    <w:name w:val="Endnote"/>
    <w:basedOn w:val="EndnoteText"/>
    <w:uiPriority w:val="1"/>
    <w:semiHidden/>
    <w:rsid w:val="008A5043"/>
    <w:pPr>
      <w:ind w:left="360" w:hanging="360"/>
    </w:pPr>
  </w:style>
  <w:style w:type="character" w:styleId="Emphasis">
    <w:name w:val="Emphasis"/>
    <w:basedOn w:val="DefaultParagraphFont"/>
    <w:uiPriority w:val="1"/>
    <w:semiHidden/>
    <w:qFormat/>
    <w:rsid w:val="008A5043"/>
    <w:rPr>
      <w:rFonts w:cs="Times New Roman"/>
      <w:i/>
      <w:iCs/>
    </w:rPr>
  </w:style>
  <w:style w:type="paragraph" w:styleId="Revision">
    <w:name w:val="Revision"/>
    <w:hidden/>
    <w:semiHidden/>
    <w:rsid w:val="008A5043"/>
    <w:rPr>
      <w:rFonts w:ascii="Arial" w:hAnsi="Arial" w:cs="Arial"/>
      <w:sz w:val="24"/>
      <w:szCs w:val="24"/>
    </w:rPr>
  </w:style>
  <w:style w:type="character" w:styleId="FollowedHyperlink">
    <w:name w:val="FollowedHyperlink"/>
    <w:basedOn w:val="DefaultParagraphFont"/>
    <w:uiPriority w:val="1"/>
    <w:semiHidden/>
    <w:rsid w:val="008A5043"/>
    <w:rPr>
      <w:rFonts w:cs="Times New Roman"/>
      <w:color w:val="800080"/>
      <w:u w:val="single"/>
    </w:rPr>
  </w:style>
  <w:style w:type="paragraph" w:styleId="Title">
    <w:name w:val="Title"/>
    <w:basedOn w:val="Normal"/>
    <w:link w:val="TitleChar"/>
    <w:uiPriority w:val="1"/>
    <w:semiHidden/>
    <w:qFormat/>
    <w:rsid w:val="008A5043"/>
    <w:pPr>
      <w:spacing w:after="60"/>
      <w:jc w:val="center"/>
      <w:outlineLvl w:val="0"/>
    </w:pPr>
    <w:rPr>
      <w:b/>
      <w:bCs/>
      <w:kern w:val="28"/>
      <w:sz w:val="32"/>
      <w:szCs w:val="32"/>
    </w:rPr>
  </w:style>
  <w:style w:type="character" w:customStyle="1" w:styleId="TitleChar">
    <w:name w:val="Title Char"/>
    <w:basedOn w:val="DefaultParagraphFont"/>
    <w:link w:val="Title"/>
    <w:uiPriority w:val="1"/>
    <w:semiHidden/>
    <w:locked/>
    <w:rsid w:val="009B798A"/>
    <w:rPr>
      <w:rFonts w:ascii="Arial" w:hAnsi="Arial" w:cs="Arial"/>
      <w:b/>
      <w:bCs/>
      <w:kern w:val="28"/>
      <w:sz w:val="32"/>
      <w:szCs w:val="32"/>
    </w:rPr>
  </w:style>
  <w:style w:type="table" w:styleId="TableGrid">
    <w:name w:val="Table Grid"/>
    <w:basedOn w:val="TableNormal"/>
    <w:rsid w:val="008A5043"/>
    <w:pPr>
      <w:spacing w:before="240"/>
      <w:ind w:left="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A5043"/>
    <w:pPr>
      <w:spacing w:before="0"/>
      <w:ind w:left="0"/>
    </w:pPr>
    <w:rPr>
      <w:sz w:val="18"/>
      <w:szCs w:val="18"/>
    </w:rPr>
  </w:style>
  <w:style w:type="character" w:customStyle="1" w:styleId="FootnoteTextChar">
    <w:name w:val="Footnote Text Char"/>
    <w:basedOn w:val="DefaultParagraphFont"/>
    <w:link w:val="FootnoteText"/>
    <w:uiPriority w:val="99"/>
    <w:locked/>
    <w:rsid w:val="008A5043"/>
    <w:rPr>
      <w:rFonts w:ascii="Arial" w:hAnsi="Arial" w:cs="Arial"/>
      <w:sz w:val="20"/>
      <w:szCs w:val="20"/>
      <w:lang w:val="en-AU" w:eastAsia="en-AU"/>
    </w:rPr>
  </w:style>
  <w:style w:type="character" w:styleId="FootnoteReference">
    <w:name w:val="footnote reference"/>
    <w:basedOn w:val="DefaultParagraphFont"/>
    <w:uiPriority w:val="99"/>
    <w:rsid w:val="008A5043"/>
    <w:rPr>
      <w:rFonts w:cs="Times New Roman"/>
      <w:vertAlign w:val="superscript"/>
    </w:rPr>
  </w:style>
  <w:style w:type="character" w:styleId="Strong">
    <w:name w:val="Strong"/>
    <w:basedOn w:val="DefaultParagraphFont"/>
    <w:uiPriority w:val="1"/>
    <w:semiHidden/>
    <w:qFormat/>
    <w:rsid w:val="008A5043"/>
    <w:rPr>
      <w:rFonts w:cs="Times New Roman"/>
      <w:b/>
      <w:bCs/>
    </w:rPr>
  </w:style>
  <w:style w:type="paragraph" w:customStyle="1" w:styleId="CM44">
    <w:name w:val="CM44"/>
    <w:basedOn w:val="Normal"/>
    <w:next w:val="Normal"/>
    <w:uiPriority w:val="1"/>
    <w:semiHidden/>
    <w:rsid w:val="008A5043"/>
    <w:pPr>
      <w:autoSpaceDE w:val="0"/>
      <w:autoSpaceDN w:val="0"/>
      <w:adjustRightInd w:val="0"/>
      <w:spacing w:before="0"/>
      <w:ind w:left="0"/>
    </w:pPr>
  </w:style>
  <w:style w:type="paragraph" w:styleId="NormalWeb">
    <w:name w:val="Normal (Web)"/>
    <w:basedOn w:val="Normal"/>
    <w:uiPriority w:val="1"/>
    <w:semiHidden/>
    <w:rsid w:val="008A5043"/>
    <w:pPr>
      <w:spacing w:before="100" w:beforeAutospacing="1" w:after="100" w:afterAutospacing="1"/>
      <w:ind w:left="0"/>
    </w:pPr>
    <w:rPr>
      <w:rFonts w:ascii="Times New Roman" w:hAnsi="Times New Roman" w:cs="Times New Roman"/>
    </w:rPr>
  </w:style>
  <w:style w:type="paragraph" w:customStyle="1" w:styleId="Default">
    <w:name w:val="Default"/>
    <w:uiPriority w:val="1"/>
    <w:semiHidden/>
    <w:rsid w:val="008A5043"/>
    <w:pPr>
      <w:autoSpaceDE w:val="0"/>
      <w:autoSpaceDN w:val="0"/>
      <w:adjustRightInd w:val="0"/>
    </w:pPr>
    <w:rPr>
      <w:color w:val="000000"/>
      <w:sz w:val="24"/>
      <w:szCs w:val="24"/>
    </w:rPr>
  </w:style>
  <w:style w:type="paragraph" w:customStyle="1" w:styleId="Notes">
    <w:name w:val="Note(s)"/>
    <w:basedOn w:val="Sources"/>
    <w:uiPriority w:val="2"/>
    <w:qFormat/>
    <w:rsid w:val="00BD54CA"/>
    <w:pPr>
      <w:spacing w:after="0"/>
    </w:pPr>
  </w:style>
  <w:style w:type="paragraph" w:customStyle="1" w:styleId="TableTextLeft">
    <w:name w:val="Table Text Left"/>
    <w:basedOn w:val="Default"/>
    <w:next w:val="Default"/>
    <w:uiPriority w:val="1"/>
    <w:semiHidden/>
    <w:rsid w:val="008A5043"/>
    <w:rPr>
      <w:rFonts w:ascii="Arial" w:hAnsi="Arial" w:cs="Arial"/>
      <w:color w:val="auto"/>
    </w:rPr>
  </w:style>
  <w:style w:type="numbering" w:customStyle="1" w:styleId="Bullet1">
    <w:name w:val="Bullet 1"/>
    <w:basedOn w:val="NoList"/>
    <w:rsid w:val="009953C8"/>
    <w:pPr>
      <w:numPr>
        <w:numId w:val="2"/>
      </w:numPr>
    </w:pPr>
  </w:style>
  <w:style w:type="paragraph" w:styleId="BodyText">
    <w:name w:val="Body Text"/>
    <w:basedOn w:val="Normal"/>
    <w:link w:val="BodyTextChar"/>
    <w:qFormat/>
    <w:rsid w:val="008A5043"/>
    <w:pPr>
      <w:spacing w:before="0" w:after="220"/>
      <w:ind w:left="0"/>
    </w:pPr>
    <w:rPr>
      <w:sz w:val="22"/>
      <w:szCs w:val="22"/>
    </w:rPr>
  </w:style>
  <w:style w:type="character" w:customStyle="1" w:styleId="BodyTextChar">
    <w:name w:val="Body Text Char"/>
    <w:basedOn w:val="DefaultParagraphFont"/>
    <w:link w:val="BodyText"/>
    <w:locked/>
    <w:rsid w:val="008A5043"/>
    <w:rPr>
      <w:rFonts w:ascii="Arial" w:hAnsi="Arial" w:cs="Arial"/>
      <w:sz w:val="22"/>
      <w:szCs w:val="22"/>
      <w:lang w:eastAsia="en-AU"/>
    </w:rPr>
  </w:style>
  <w:style w:type="paragraph" w:customStyle="1" w:styleId="Comment-JD">
    <w:name w:val="Comment - JD"/>
    <w:basedOn w:val="BodyText"/>
    <w:uiPriority w:val="1"/>
    <w:semiHidden/>
    <w:rsid w:val="008A5043"/>
    <w:pPr>
      <w:spacing w:after="0"/>
    </w:pPr>
    <w:rPr>
      <w:rFonts w:ascii="Times New Roman" w:hAnsi="Times New Roman" w:cs="Times New Roman"/>
      <w:color w:val="FF0000"/>
    </w:rPr>
  </w:style>
  <w:style w:type="paragraph" w:styleId="Quote">
    <w:name w:val="Quote"/>
    <w:basedOn w:val="Normal"/>
    <w:next w:val="Normal"/>
    <w:link w:val="QuoteChar"/>
    <w:uiPriority w:val="5"/>
    <w:qFormat/>
    <w:rsid w:val="003E7516"/>
    <w:pPr>
      <w:spacing w:after="240"/>
      <w:ind w:left="284"/>
    </w:pPr>
    <w:rPr>
      <w:i/>
      <w:iCs/>
      <w:sz w:val="22"/>
    </w:rPr>
  </w:style>
  <w:style w:type="character" w:customStyle="1" w:styleId="QuoteChar">
    <w:name w:val="Quote Char"/>
    <w:basedOn w:val="DefaultParagraphFont"/>
    <w:link w:val="Quote"/>
    <w:uiPriority w:val="5"/>
    <w:locked/>
    <w:rsid w:val="00E602BA"/>
    <w:rPr>
      <w:rFonts w:ascii="Arial" w:hAnsi="Arial" w:cs="Arial"/>
      <w:i/>
      <w:iCs/>
      <w:sz w:val="22"/>
      <w:szCs w:val="24"/>
    </w:rPr>
  </w:style>
  <w:style w:type="paragraph" w:customStyle="1" w:styleId="Figuretitle">
    <w:name w:val="Figure title"/>
    <w:basedOn w:val="Normal"/>
    <w:link w:val="FiguretitleChar"/>
    <w:uiPriority w:val="2"/>
    <w:rsid w:val="00AA282C"/>
    <w:pPr>
      <w:keepNext/>
      <w:spacing w:before="0"/>
      <w:ind w:left="0"/>
    </w:pPr>
    <w:rPr>
      <w:b/>
      <w:bCs/>
      <w:color w:val="6A737B"/>
      <w:sz w:val="20"/>
      <w:szCs w:val="20"/>
    </w:rPr>
  </w:style>
  <w:style w:type="character" w:customStyle="1" w:styleId="A8">
    <w:name w:val="A8"/>
    <w:uiPriority w:val="1"/>
    <w:semiHidden/>
    <w:rsid w:val="008A5043"/>
    <w:rPr>
      <w:b/>
      <w:color w:val="000000"/>
      <w:sz w:val="30"/>
    </w:rPr>
  </w:style>
  <w:style w:type="paragraph" w:customStyle="1" w:styleId="Boxnote">
    <w:name w:val="Box_note"/>
    <w:basedOn w:val="Notes"/>
    <w:uiPriority w:val="3"/>
    <w:qFormat/>
    <w:rsid w:val="00BD54CA"/>
    <w:pPr>
      <w:pBdr>
        <w:top w:val="single" w:sz="4" w:space="1" w:color="F68B33" w:themeColor="accent2"/>
        <w:left w:val="single" w:sz="4" w:space="4" w:color="F68B33" w:themeColor="accent2"/>
        <w:bottom w:val="single" w:sz="4" w:space="1" w:color="F68B33" w:themeColor="accent2"/>
        <w:right w:val="single" w:sz="4" w:space="4" w:color="F68B33" w:themeColor="accent2"/>
      </w:pBdr>
      <w:shd w:val="clear" w:color="auto" w:fill="FEF0DE" w:themeFill="text1"/>
    </w:pPr>
  </w:style>
  <w:style w:type="paragraph" w:customStyle="1" w:styleId="Squaretext">
    <w:name w:val="Square text"/>
    <w:basedOn w:val="Normal"/>
    <w:uiPriority w:val="1"/>
    <w:semiHidden/>
    <w:rsid w:val="00261F3C"/>
    <w:pPr>
      <w:autoSpaceDE w:val="0"/>
      <w:autoSpaceDN w:val="0"/>
      <w:adjustRightInd w:val="0"/>
      <w:spacing w:before="20" w:after="20"/>
      <w:ind w:left="0"/>
    </w:pPr>
    <w:rPr>
      <w:sz w:val="20"/>
      <w:szCs w:val="20"/>
    </w:rPr>
  </w:style>
  <w:style w:type="paragraph" w:customStyle="1" w:styleId="Squaretextbold">
    <w:name w:val="Square text bold"/>
    <w:basedOn w:val="Squaretext"/>
    <w:uiPriority w:val="1"/>
    <w:semiHidden/>
    <w:rsid w:val="008A5043"/>
    <w:rPr>
      <w:b/>
      <w:bCs/>
    </w:rPr>
  </w:style>
  <w:style w:type="paragraph" w:customStyle="1" w:styleId="Sources">
    <w:name w:val="Source(s)"/>
    <w:basedOn w:val="BodyText"/>
    <w:link w:val="SourcesChar"/>
    <w:uiPriority w:val="2"/>
    <w:rsid w:val="00261F3C"/>
    <w:pPr>
      <w:tabs>
        <w:tab w:val="left" w:pos="709"/>
      </w:tabs>
      <w:ind w:left="709" w:hanging="709"/>
    </w:pPr>
    <w:rPr>
      <w:i/>
      <w:iCs/>
      <w:sz w:val="16"/>
      <w:szCs w:val="18"/>
    </w:rPr>
  </w:style>
  <w:style w:type="paragraph" w:customStyle="1" w:styleId="Credits">
    <w:name w:val="Credits"/>
    <w:basedOn w:val="BodyText"/>
    <w:uiPriority w:val="99"/>
    <w:semiHidden/>
    <w:rsid w:val="00796E44"/>
    <w:pPr>
      <w:spacing w:after="360"/>
      <w:jc w:val="center"/>
    </w:pPr>
    <w:rPr>
      <w:b/>
      <w:bCs/>
      <w:noProof/>
      <w:color w:val="808080"/>
      <w:sz w:val="24"/>
      <w:szCs w:val="24"/>
      <w:lang w:val="en-US" w:eastAsia="en-US"/>
    </w:rPr>
  </w:style>
  <w:style w:type="paragraph" w:styleId="Caption">
    <w:name w:val="caption"/>
    <w:basedOn w:val="Normal"/>
    <w:next w:val="Normal"/>
    <w:uiPriority w:val="1"/>
    <w:semiHidden/>
    <w:qFormat/>
    <w:rsid w:val="008A5043"/>
    <w:rPr>
      <w:b/>
      <w:bCs/>
      <w:sz w:val="20"/>
      <w:szCs w:val="20"/>
    </w:rPr>
  </w:style>
  <w:style w:type="character" w:customStyle="1" w:styleId="FiguretitleChar">
    <w:name w:val="Figure title Char"/>
    <w:basedOn w:val="DefaultParagraphFont"/>
    <w:link w:val="Figuretitle"/>
    <w:uiPriority w:val="2"/>
    <w:locked/>
    <w:rsid w:val="00AA282C"/>
    <w:rPr>
      <w:rFonts w:ascii="Arial" w:hAnsi="Arial" w:cs="Arial"/>
      <w:b/>
      <w:bCs/>
      <w:color w:val="6A737B"/>
    </w:rPr>
  </w:style>
  <w:style w:type="character" w:styleId="CommentReference">
    <w:name w:val="annotation reference"/>
    <w:basedOn w:val="DefaultParagraphFont"/>
    <w:semiHidden/>
    <w:locked/>
    <w:rsid w:val="008A5043"/>
    <w:rPr>
      <w:rFonts w:cs="Times New Roman"/>
      <w:sz w:val="16"/>
      <w:szCs w:val="16"/>
    </w:rPr>
  </w:style>
  <w:style w:type="paragraph" w:styleId="CommentText">
    <w:name w:val="annotation text"/>
    <w:basedOn w:val="Normal"/>
    <w:link w:val="CommentTextChar"/>
    <w:semiHidden/>
    <w:locked/>
    <w:rsid w:val="008A5043"/>
    <w:rPr>
      <w:sz w:val="20"/>
      <w:szCs w:val="20"/>
    </w:rPr>
  </w:style>
  <w:style w:type="character" w:customStyle="1" w:styleId="CommentTextChar">
    <w:name w:val="Comment Text Char"/>
    <w:basedOn w:val="DefaultParagraphFont"/>
    <w:link w:val="CommentText"/>
    <w:semiHidden/>
    <w:locked/>
    <w:rsid w:val="008A5043"/>
    <w:rPr>
      <w:rFonts w:ascii="Arial" w:hAnsi="Arial" w:cs="Arial"/>
      <w:sz w:val="20"/>
      <w:szCs w:val="20"/>
      <w:lang w:val="en-AU" w:eastAsia="en-AU"/>
    </w:rPr>
  </w:style>
  <w:style w:type="paragraph" w:styleId="CommentSubject">
    <w:name w:val="annotation subject"/>
    <w:basedOn w:val="CommentText"/>
    <w:next w:val="CommentText"/>
    <w:link w:val="CommentSubjectChar"/>
    <w:semiHidden/>
    <w:locked/>
    <w:rsid w:val="008A5043"/>
    <w:rPr>
      <w:b/>
      <w:bCs/>
    </w:rPr>
  </w:style>
  <w:style w:type="character" w:customStyle="1" w:styleId="CommentSubjectChar">
    <w:name w:val="Comment Subject Char"/>
    <w:basedOn w:val="CommentTextChar"/>
    <w:link w:val="CommentSubject"/>
    <w:semiHidden/>
    <w:locked/>
    <w:rsid w:val="008A5043"/>
    <w:rPr>
      <w:rFonts w:ascii="Arial" w:hAnsi="Arial" w:cs="Arial"/>
      <w:b/>
      <w:bCs/>
      <w:sz w:val="20"/>
      <w:szCs w:val="20"/>
      <w:lang w:val="en-AU" w:eastAsia="en-AU"/>
    </w:rPr>
  </w:style>
  <w:style w:type="character" w:customStyle="1" w:styleId="SourcesChar">
    <w:name w:val="Source(s) Char"/>
    <w:basedOn w:val="BodyTextChar"/>
    <w:link w:val="Sources"/>
    <w:uiPriority w:val="2"/>
    <w:locked/>
    <w:rsid w:val="00E602BA"/>
    <w:rPr>
      <w:rFonts w:ascii="Arial" w:hAnsi="Arial" w:cs="Arial"/>
      <w:i/>
      <w:iCs/>
      <w:sz w:val="16"/>
      <w:szCs w:val="18"/>
      <w:lang w:eastAsia="en-AU"/>
    </w:rPr>
  </w:style>
  <w:style w:type="paragraph" w:styleId="TOC1">
    <w:name w:val="toc 1"/>
    <w:basedOn w:val="Normal"/>
    <w:next w:val="Normal"/>
    <w:autoRedefine/>
    <w:uiPriority w:val="39"/>
    <w:locked/>
    <w:rsid w:val="001F4231"/>
    <w:pPr>
      <w:tabs>
        <w:tab w:val="left" w:pos="6657"/>
        <w:tab w:val="right" w:leader="dot" w:pos="13596"/>
      </w:tabs>
      <w:ind w:left="6237"/>
    </w:pPr>
    <w:rPr>
      <w:noProof/>
    </w:rPr>
  </w:style>
  <w:style w:type="paragraph" w:customStyle="1" w:styleId="Bullet2">
    <w:name w:val="Bullet 2"/>
    <w:basedOn w:val="Normal"/>
    <w:uiPriority w:val="1"/>
    <w:semiHidden/>
    <w:rsid w:val="00D45B66"/>
    <w:pPr>
      <w:numPr>
        <w:numId w:val="3"/>
      </w:numPr>
      <w:spacing w:before="0" w:after="220"/>
    </w:pPr>
    <w:rPr>
      <w:sz w:val="22"/>
    </w:rPr>
  </w:style>
  <w:style w:type="paragraph" w:customStyle="1" w:styleId="Boxsource">
    <w:name w:val="Box_source"/>
    <w:basedOn w:val="Sources"/>
    <w:next w:val="BodyText"/>
    <w:uiPriority w:val="3"/>
    <w:qFormat/>
    <w:rsid w:val="00BD54CA"/>
    <w:pPr>
      <w:pBdr>
        <w:top w:val="single" w:sz="4" w:space="1" w:color="F68B33" w:themeColor="accent2"/>
        <w:left w:val="single" w:sz="4" w:space="4" w:color="F68B33" w:themeColor="accent2"/>
        <w:bottom w:val="single" w:sz="4" w:space="1" w:color="F68B33" w:themeColor="accent2"/>
        <w:right w:val="single" w:sz="4" w:space="4" w:color="F68B33" w:themeColor="accent2"/>
      </w:pBdr>
      <w:shd w:val="clear" w:color="auto" w:fill="FEF0DE" w:themeFill="text1"/>
    </w:pPr>
  </w:style>
  <w:style w:type="paragraph" w:customStyle="1" w:styleId="Break-outquote">
    <w:name w:val="Break-out quote"/>
    <w:basedOn w:val="BodyText"/>
    <w:next w:val="BodyText"/>
    <w:uiPriority w:val="5"/>
    <w:qFormat/>
    <w:rsid w:val="00220F3B"/>
    <w:pPr>
      <w:keepLines/>
      <w:spacing w:after="120"/>
      <w:ind w:left="851"/>
    </w:pPr>
    <w:rPr>
      <w:rFonts w:ascii="Times New Roman" w:hAnsi="Times New Roman" w:cs="Times New Roman"/>
      <w:i/>
      <w:iCs/>
      <w:color w:val="F3901D"/>
      <w:sz w:val="32"/>
      <w:szCs w:val="36"/>
    </w:rPr>
  </w:style>
  <w:style w:type="paragraph" w:styleId="TableofFigures">
    <w:name w:val="table of figures"/>
    <w:basedOn w:val="Normal"/>
    <w:next w:val="Normal"/>
    <w:uiPriority w:val="99"/>
    <w:locked/>
    <w:rsid w:val="001F4231"/>
    <w:pPr>
      <w:ind w:left="0"/>
    </w:pPr>
  </w:style>
  <w:style w:type="paragraph" w:customStyle="1" w:styleId="FooterReport">
    <w:name w:val="Footer_Report"/>
    <w:basedOn w:val="Header"/>
    <w:uiPriority w:val="7"/>
    <w:qFormat/>
    <w:rsid w:val="006F7D52"/>
  </w:style>
  <w:style w:type="paragraph" w:customStyle="1" w:styleId="References">
    <w:name w:val="References"/>
    <w:basedOn w:val="Normal"/>
    <w:uiPriority w:val="4"/>
    <w:qFormat/>
    <w:rsid w:val="001103E3"/>
    <w:pPr>
      <w:spacing w:before="0" w:after="120"/>
      <w:ind w:left="720" w:hanging="720"/>
    </w:pPr>
    <w:rPr>
      <w:noProof/>
      <w:sz w:val="18"/>
      <w:szCs w:val="18"/>
    </w:rPr>
  </w:style>
  <w:style w:type="paragraph" w:customStyle="1" w:styleId="ReportBullet1">
    <w:name w:val="Report Bullet 1"/>
    <w:uiPriority w:val="99"/>
    <w:qFormat/>
    <w:rsid w:val="005A7B64"/>
    <w:pPr>
      <w:numPr>
        <w:numId w:val="4"/>
      </w:numPr>
      <w:tabs>
        <w:tab w:val="left" w:pos="426"/>
      </w:tabs>
      <w:spacing w:after="220"/>
      <w:ind w:left="357" w:hanging="357"/>
    </w:pPr>
    <w:rPr>
      <w:rFonts w:ascii="Arial" w:hAnsi="Arial" w:cs="Arial"/>
      <w:sz w:val="22"/>
      <w:szCs w:val="22"/>
    </w:rPr>
  </w:style>
  <w:style w:type="paragraph" w:customStyle="1" w:styleId="ReportBullet2">
    <w:name w:val="Report Bullet 2"/>
    <w:basedOn w:val="BodyText"/>
    <w:uiPriority w:val="3"/>
    <w:qFormat/>
    <w:rsid w:val="00F130C4"/>
    <w:pPr>
      <w:numPr>
        <w:ilvl w:val="1"/>
        <w:numId w:val="5"/>
      </w:numPr>
    </w:pPr>
  </w:style>
  <w:style w:type="paragraph" w:styleId="BlockText">
    <w:name w:val="Block Text"/>
    <w:basedOn w:val="Normal"/>
    <w:uiPriority w:val="1"/>
    <w:semiHidden/>
    <w:locked/>
    <w:rsid w:val="000B01A9"/>
    <w:pPr>
      <w:pBdr>
        <w:top w:val="single" w:sz="2" w:space="10" w:color="D4582A" w:themeColor="accent1" w:shadow="1"/>
        <w:left w:val="single" w:sz="2" w:space="10" w:color="D4582A" w:themeColor="accent1" w:shadow="1"/>
        <w:bottom w:val="single" w:sz="2" w:space="10" w:color="D4582A" w:themeColor="accent1" w:shadow="1"/>
        <w:right w:val="single" w:sz="2" w:space="10" w:color="D4582A" w:themeColor="accent1" w:shadow="1"/>
      </w:pBdr>
      <w:ind w:left="1152" w:right="1152"/>
    </w:pPr>
    <w:rPr>
      <w:rFonts w:asciiTheme="minorHAnsi" w:eastAsiaTheme="minorEastAsia" w:hAnsiTheme="minorHAnsi" w:cstheme="minorBidi"/>
      <w:i/>
      <w:iCs/>
      <w:color w:val="D4582A" w:themeColor="accent1"/>
    </w:rPr>
  </w:style>
  <w:style w:type="paragraph" w:customStyle="1" w:styleId="Reportnumbered">
    <w:name w:val="Report numbered"/>
    <w:basedOn w:val="ReportBullet1"/>
    <w:uiPriority w:val="3"/>
    <w:qFormat/>
    <w:rsid w:val="00CE6339"/>
    <w:pPr>
      <w:numPr>
        <w:numId w:val="6"/>
      </w:numPr>
    </w:pPr>
  </w:style>
  <w:style w:type="paragraph" w:customStyle="1" w:styleId="Tablefont">
    <w:name w:val="Table font"/>
    <w:basedOn w:val="BodyText"/>
    <w:uiPriority w:val="4"/>
    <w:qFormat/>
    <w:rsid w:val="00D34C57"/>
    <w:pPr>
      <w:keepNext/>
      <w:keepLines/>
      <w:spacing w:before="40" w:after="40"/>
    </w:pPr>
    <w:rPr>
      <w:bCs/>
      <w:sz w:val="18"/>
      <w:lang w:val="en-US"/>
    </w:rPr>
  </w:style>
  <w:style w:type="paragraph" w:customStyle="1" w:styleId="BoxHeading">
    <w:name w:val="Box Heading"/>
    <w:basedOn w:val="BodyText"/>
    <w:next w:val="BOXText"/>
    <w:uiPriority w:val="3"/>
    <w:qFormat/>
    <w:rsid w:val="003835CB"/>
    <w:pPr>
      <w:keepNext/>
      <w:pBdr>
        <w:top w:val="single" w:sz="4" w:space="12" w:color="F68B33" w:themeColor="accent2"/>
        <w:left w:val="single" w:sz="4" w:space="4" w:color="F68B33" w:themeColor="accent2"/>
        <w:bottom w:val="single" w:sz="4" w:space="15" w:color="F68B33" w:themeColor="accent2"/>
        <w:right w:val="single" w:sz="4" w:space="4" w:color="F68B33" w:themeColor="accent2"/>
      </w:pBdr>
      <w:shd w:val="clear" w:color="auto" w:fill="FEF0DE" w:themeFill="text1"/>
      <w:spacing w:before="240"/>
    </w:pPr>
    <w:rPr>
      <w:b/>
      <w:bCs/>
      <w:color w:val="F8981D"/>
    </w:rPr>
  </w:style>
  <w:style w:type="paragraph" w:customStyle="1" w:styleId="BOXText">
    <w:name w:val="BOX Text"/>
    <w:basedOn w:val="BodyText"/>
    <w:uiPriority w:val="3"/>
    <w:qFormat/>
    <w:rsid w:val="00261F3C"/>
    <w:pPr>
      <w:pBdr>
        <w:top w:val="single" w:sz="4" w:space="1" w:color="F68B33" w:themeColor="accent2"/>
        <w:left w:val="single" w:sz="4" w:space="4" w:color="F68B33" w:themeColor="accent2"/>
        <w:bottom w:val="single" w:sz="4" w:space="1" w:color="F68B33" w:themeColor="accent2"/>
        <w:right w:val="single" w:sz="4" w:space="4" w:color="F68B33" w:themeColor="accent2"/>
      </w:pBdr>
      <w:shd w:val="clear" w:color="auto" w:fill="FEF0DE" w:themeFill="text1"/>
    </w:pPr>
  </w:style>
  <w:style w:type="paragraph" w:styleId="DocumentMap">
    <w:name w:val="Document Map"/>
    <w:basedOn w:val="Normal"/>
    <w:link w:val="DocumentMapChar"/>
    <w:uiPriority w:val="1"/>
    <w:semiHidden/>
    <w:locked/>
    <w:rsid w:val="00A35542"/>
    <w:pPr>
      <w:spacing w:before="0"/>
    </w:pPr>
    <w:rPr>
      <w:rFonts w:ascii="Tahoma" w:hAnsi="Tahoma" w:cs="Tahoma"/>
      <w:sz w:val="16"/>
      <w:szCs w:val="16"/>
    </w:rPr>
  </w:style>
  <w:style w:type="character" w:customStyle="1" w:styleId="DocumentMapChar">
    <w:name w:val="Document Map Char"/>
    <w:basedOn w:val="DefaultParagraphFont"/>
    <w:link w:val="DocumentMap"/>
    <w:uiPriority w:val="1"/>
    <w:semiHidden/>
    <w:rsid w:val="00A35542"/>
    <w:rPr>
      <w:rFonts w:ascii="Tahoma" w:hAnsi="Tahoma" w:cs="Tahoma"/>
      <w:sz w:val="16"/>
      <w:szCs w:val="16"/>
    </w:rPr>
  </w:style>
  <w:style w:type="table" w:styleId="LightList-Accent5">
    <w:name w:val="Light List Accent 5"/>
    <w:basedOn w:val="TableNormal"/>
    <w:uiPriority w:val="61"/>
    <w:rsid w:val="00FD1AF6"/>
    <w:tblPr>
      <w:tblStyleRowBandSize w:val="1"/>
      <w:tblStyleColBandSize w:val="1"/>
      <w:tblInd w:w="0" w:type="dxa"/>
      <w:tblBorders>
        <w:top w:val="single" w:sz="8" w:space="0" w:color="F3901D" w:themeColor="accent5"/>
        <w:left w:val="single" w:sz="8" w:space="0" w:color="F3901D" w:themeColor="accent5"/>
        <w:bottom w:val="single" w:sz="8" w:space="0" w:color="F3901D" w:themeColor="accent5"/>
        <w:right w:val="single" w:sz="8" w:space="0" w:color="F3901D" w:themeColor="accent5"/>
      </w:tblBorders>
      <w:tblCellMar>
        <w:top w:w="0" w:type="dxa"/>
        <w:left w:w="108" w:type="dxa"/>
        <w:bottom w:w="0" w:type="dxa"/>
        <w:right w:w="108" w:type="dxa"/>
      </w:tblCellMar>
    </w:tblPr>
    <w:tblStylePr w:type="firstRow">
      <w:pPr>
        <w:spacing w:before="0" w:after="0" w:line="240" w:lineRule="auto"/>
      </w:pPr>
      <w:rPr>
        <w:b/>
        <w:bCs/>
        <w:color w:val="FE8B3B" w:themeColor="background1"/>
      </w:rPr>
      <w:tblPr/>
      <w:tcPr>
        <w:shd w:val="clear" w:color="auto" w:fill="F3901D" w:themeFill="accent5"/>
      </w:tcPr>
    </w:tblStylePr>
    <w:tblStylePr w:type="lastRow">
      <w:pPr>
        <w:spacing w:before="0" w:after="0" w:line="240" w:lineRule="auto"/>
      </w:pPr>
      <w:rPr>
        <w:b/>
        <w:bCs/>
      </w:rPr>
      <w:tblPr/>
      <w:tcPr>
        <w:tcBorders>
          <w:top w:val="double" w:sz="6" w:space="0" w:color="F3901D" w:themeColor="accent5"/>
          <w:left w:val="single" w:sz="8" w:space="0" w:color="F3901D" w:themeColor="accent5"/>
          <w:bottom w:val="single" w:sz="8" w:space="0" w:color="F3901D" w:themeColor="accent5"/>
          <w:right w:val="single" w:sz="8" w:space="0" w:color="F3901D" w:themeColor="accent5"/>
        </w:tcBorders>
      </w:tcPr>
    </w:tblStylePr>
    <w:tblStylePr w:type="firstCol">
      <w:rPr>
        <w:b/>
        <w:bCs/>
      </w:rPr>
    </w:tblStylePr>
    <w:tblStylePr w:type="lastCol">
      <w:rPr>
        <w:b/>
        <w:bCs/>
      </w:rPr>
    </w:tblStylePr>
    <w:tblStylePr w:type="band1Vert">
      <w:tblPr/>
      <w:tcPr>
        <w:tcBorders>
          <w:top w:val="single" w:sz="8" w:space="0" w:color="F3901D" w:themeColor="accent5"/>
          <w:left w:val="single" w:sz="8" w:space="0" w:color="F3901D" w:themeColor="accent5"/>
          <w:bottom w:val="single" w:sz="8" w:space="0" w:color="F3901D" w:themeColor="accent5"/>
          <w:right w:val="single" w:sz="8" w:space="0" w:color="F3901D" w:themeColor="accent5"/>
        </w:tcBorders>
      </w:tcPr>
    </w:tblStylePr>
    <w:tblStylePr w:type="band1Horz">
      <w:tblPr/>
      <w:tcPr>
        <w:tcBorders>
          <w:top w:val="single" w:sz="8" w:space="0" w:color="F3901D" w:themeColor="accent5"/>
          <w:left w:val="single" w:sz="8" w:space="0" w:color="F3901D" w:themeColor="accent5"/>
          <w:bottom w:val="single" w:sz="8" w:space="0" w:color="F3901D" w:themeColor="accent5"/>
          <w:right w:val="single" w:sz="8" w:space="0" w:color="F3901D" w:themeColor="accent5"/>
        </w:tcBorders>
      </w:tcPr>
    </w:tblStylePr>
  </w:style>
  <w:style w:type="paragraph" w:styleId="ListParagraph">
    <w:name w:val="List Paragraph"/>
    <w:basedOn w:val="Normal"/>
    <w:uiPriority w:val="34"/>
    <w:qFormat/>
    <w:rsid w:val="00BF2DB3"/>
    <w:pPr>
      <w:spacing w:before="0" w:after="200"/>
      <w:ind w:left="720"/>
      <w:contextualSpacing/>
    </w:pPr>
    <w:rPr>
      <w:rFonts w:asciiTheme="minorHAnsi" w:eastAsiaTheme="minorHAnsi" w:hAnsiTheme="minorHAnsi" w:cstheme="minorBidi"/>
      <w:lang w:val="en-US" w:eastAsia="en-US"/>
    </w:rPr>
  </w:style>
  <w:style w:type="paragraph" w:customStyle="1" w:styleId="Source">
    <w:name w:val="Source"/>
    <w:basedOn w:val="BodyText"/>
    <w:link w:val="SourceChar"/>
    <w:rsid w:val="00110467"/>
    <w:pPr>
      <w:spacing w:before="60"/>
    </w:pPr>
    <w:rPr>
      <w:i/>
      <w:iCs/>
      <w:sz w:val="18"/>
      <w:szCs w:val="18"/>
    </w:rPr>
  </w:style>
  <w:style w:type="character" w:customStyle="1" w:styleId="SourceChar">
    <w:name w:val="Source Char"/>
    <w:basedOn w:val="BodyTextChar"/>
    <w:link w:val="Source"/>
    <w:locked/>
    <w:rsid w:val="00110467"/>
    <w:rPr>
      <w:rFonts w:ascii="Arial" w:hAnsi="Arial" w:cs="Arial"/>
      <w:i/>
      <w:iCs/>
      <w:sz w:val="18"/>
      <w:szCs w:val="18"/>
      <w:lang w:eastAsia="en-AU"/>
    </w:rPr>
  </w:style>
  <w:style w:type="paragraph" w:customStyle="1" w:styleId="Chartunits">
    <w:name w:val="Chart units"/>
    <w:basedOn w:val="Figuretitle"/>
    <w:qFormat/>
    <w:rsid w:val="003835CB"/>
    <w:pPr>
      <w:keepLines/>
      <w:spacing w:after="120"/>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lsdException w:name="heading 7" w:uiPriority="0"/>
    <w:lsdException w:name="heading 8" w:uiPriority="0"/>
    <w:lsdException w:name="heading 9" w:uiPriority="0"/>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locked="1" w:semiHidden="1"/>
    <w:lsdException w:name="footnote text" w:locked="1" w:uiPriority="99"/>
    <w:lsdException w:name="annotation text" w:locked="1" w:uiPriority="0"/>
    <w:lsdException w:name="header" w:locked="1" w:uiPriority="0"/>
    <w:lsdException w:name="footer" w:locked="1" w:uiPriority="0"/>
    <w:lsdException w:name="index heading" w:locked="1" w:semiHidden="1"/>
    <w:lsdException w:name="caption" w:uiPriority="0" w:qFormat="1"/>
    <w:lsdException w:name="table of figures" w:locked="1" w:semiHidden="1" w:uiPriority="99"/>
    <w:lsdException w:name="envelope address" w:locked="1" w:semiHidden="1"/>
    <w:lsdException w:name="envelope return" w:locked="1" w:semiHidden="1"/>
    <w:lsdException w:name="footnote reference" w:locked="1" w:uiPriority="99"/>
    <w:lsdException w:name="annotation reference" w:locked="1" w:uiPriority="0"/>
    <w:lsdException w:name="line number" w:locked="1" w:semiHidden="1"/>
    <w:lsdException w:name="page number" w:locked="1" w:uiPriority="0"/>
    <w:lsdException w:name="endnote reference" w:locked="1" w:uiPriority="0"/>
    <w:lsdException w:name="endnote text" w:locked="1" w:uiPriority="0"/>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qFormat="1"/>
    <w:lsdException w:name="Closing" w:locked="1" w:semiHidden="1"/>
    <w:lsdException w:name="Signature" w:locked="1" w:semiHidden="1"/>
    <w:lsdException w:name="Default Paragraph Font" w:uiPriority="0"/>
    <w:lsdException w:name="Body Text" w:locked="1" w:uiPriority="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uiPriority="0"/>
    <w:lsdException w:name="Hyperlink" w:locked="1" w:uiPriority="99"/>
    <w:lsdException w:name="FollowedHyperlink" w:locked="1" w:uiPriority="0"/>
    <w:lsdException w:name="Strong" w:uiPriority="0" w:qFormat="1"/>
    <w:lsdException w:name="Emphasis" w:uiPriority="0" w:qFormat="1"/>
    <w:lsdException w:name="Document Map" w:locked="1" w:semiHidden="1"/>
    <w:lsdException w:name="Plain Text" w:locked="1" w:semiHidden="1"/>
    <w:lsdException w:name="E-mail Signature" w:locked="1" w:semiHidden="1"/>
    <w:lsdException w:name="HTML Top of Form" w:locked="1" w:uiPriority="0"/>
    <w:lsdException w:name="HTML Bottom of Form" w:locked="1" w:uiPriority="0"/>
    <w:lsdException w:name="Normal (Web)" w:locked="1" w:uiPriority="0"/>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0"/>
    <w:lsdException w:name="Table Theme" w:locked="1"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atentStyles>
  <w:style w:type="paragraph" w:default="1" w:styleId="Normal">
    <w:name w:val="Normal"/>
    <w:uiPriority w:val="1"/>
    <w:semiHidden/>
    <w:qFormat/>
    <w:rsid w:val="002040CB"/>
    <w:pPr>
      <w:spacing w:before="240"/>
      <w:ind w:left="851"/>
    </w:pPr>
    <w:rPr>
      <w:rFonts w:ascii="Arial" w:hAnsi="Arial" w:cs="Arial"/>
      <w:sz w:val="24"/>
      <w:szCs w:val="24"/>
    </w:rPr>
  </w:style>
  <w:style w:type="paragraph" w:styleId="Heading1">
    <w:name w:val="heading 1"/>
    <w:basedOn w:val="Normal"/>
    <w:next w:val="BodyText"/>
    <w:link w:val="Heading1Char"/>
    <w:uiPriority w:val="1"/>
    <w:qFormat/>
    <w:rsid w:val="008B390C"/>
    <w:pPr>
      <w:keepNext/>
      <w:numPr>
        <w:numId w:val="1"/>
      </w:numPr>
      <w:tabs>
        <w:tab w:val="clear" w:pos="3361"/>
      </w:tabs>
      <w:spacing w:before="0" w:after="300"/>
      <w:ind w:left="680" w:hanging="680"/>
      <w:outlineLvl w:val="0"/>
    </w:pPr>
    <w:rPr>
      <w:b/>
      <w:bCs/>
      <w:color w:val="F3901D"/>
      <w:kern w:val="32"/>
      <w:sz w:val="30"/>
      <w:szCs w:val="30"/>
    </w:rPr>
  </w:style>
  <w:style w:type="paragraph" w:styleId="Heading2">
    <w:name w:val="heading 2"/>
    <w:basedOn w:val="Normal"/>
    <w:next w:val="BodyText"/>
    <w:link w:val="Heading2Char"/>
    <w:uiPriority w:val="1"/>
    <w:qFormat/>
    <w:rsid w:val="00E756D9"/>
    <w:pPr>
      <w:keepNext/>
      <w:numPr>
        <w:ilvl w:val="1"/>
        <w:numId w:val="1"/>
      </w:numPr>
      <w:tabs>
        <w:tab w:val="clear" w:pos="2207"/>
      </w:tabs>
      <w:spacing w:before="0" w:after="220"/>
      <w:ind w:left="680" w:hanging="680"/>
      <w:outlineLvl w:val="1"/>
    </w:pPr>
    <w:rPr>
      <w:b/>
      <w:bCs/>
      <w:color w:val="F3901D"/>
      <w:sz w:val="22"/>
      <w:szCs w:val="22"/>
    </w:rPr>
  </w:style>
  <w:style w:type="paragraph" w:styleId="Heading3">
    <w:name w:val="heading 3"/>
    <w:basedOn w:val="Normal"/>
    <w:next w:val="BodyText"/>
    <w:link w:val="Heading3Char"/>
    <w:uiPriority w:val="1"/>
    <w:qFormat/>
    <w:rsid w:val="00E756D9"/>
    <w:pPr>
      <w:keepNext/>
      <w:keepLines/>
      <w:numPr>
        <w:ilvl w:val="2"/>
        <w:numId w:val="1"/>
      </w:numPr>
      <w:tabs>
        <w:tab w:val="clear" w:pos="851"/>
      </w:tabs>
      <w:spacing w:before="0" w:after="220"/>
      <w:outlineLvl w:val="2"/>
    </w:pPr>
    <w:rPr>
      <w:b/>
      <w:bCs/>
      <w:color w:val="F3901D"/>
      <w:sz w:val="22"/>
      <w:szCs w:val="22"/>
    </w:rPr>
  </w:style>
  <w:style w:type="paragraph" w:styleId="Heading4">
    <w:name w:val="heading 4"/>
    <w:basedOn w:val="BodyText"/>
    <w:link w:val="Heading4Char"/>
    <w:autoRedefine/>
    <w:uiPriority w:val="1"/>
    <w:qFormat/>
    <w:rsid w:val="00AB3428"/>
    <w:pPr>
      <w:keepLines/>
      <w:outlineLvl w:val="3"/>
    </w:pPr>
    <w:rPr>
      <w:iCs/>
      <w:color w:val="F3901D" w:themeColor="accent5"/>
    </w:rPr>
  </w:style>
  <w:style w:type="paragraph" w:styleId="Heading5">
    <w:name w:val="heading 5"/>
    <w:basedOn w:val="Normal"/>
    <w:next w:val="Normal"/>
    <w:link w:val="Heading5Char"/>
    <w:uiPriority w:val="1"/>
    <w:semiHidden/>
    <w:qFormat/>
    <w:rsid w:val="008A5043"/>
    <w:pPr>
      <w:numPr>
        <w:ilvl w:val="4"/>
        <w:numId w:val="1"/>
      </w:numPr>
      <w:spacing w:before="120"/>
      <w:outlineLvl w:val="4"/>
    </w:pPr>
  </w:style>
  <w:style w:type="paragraph" w:styleId="Heading6">
    <w:name w:val="heading 6"/>
    <w:basedOn w:val="Normal"/>
    <w:next w:val="Normal"/>
    <w:link w:val="Heading6Char"/>
    <w:uiPriority w:val="1"/>
    <w:semiHidden/>
    <w:rsid w:val="008A5043"/>
    <w:pPr>
      <w:numPr>
        <w:ilvl w:val="5"/>
        <w:numId w:val="1"/>
      </w:num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1"/>
    <w:semiHidden/>
    <w:rsid w:val="008A5043"/>
    <w:pPr>
      <w:numPr>
        <w:ilvl w:val="6"/>
        <w:numId w:val="1"/>
      </w:numPr>
      <w:spacing w:after="60"/>
      <w:outlineLvl w:val="6"/>
    </w:pPr>
    <w:rPr>
      <w:rFonts w:ascii="Times New Roman" w:hAnsi="Times New Roman" w:cs="Times New Roman"/>
    </w:rPr>
  </w:style>
  <w:style w:type="paragraph" w:styleId="Heading8">
    <w:name w:val="heading 8"/>
    <w:basedOn w:val="Normal"/>
    <w:next w:val="Normal"/>
    <w:link w:val="Heading8Char"/>
    <w:uiPriority w:val="1"/>
    <w:semiHidden/>
    <w:rsid w:val="008A5043"/>
    <w:pPr>
      <w:numPr>
        <w:ilvl w:val="7"/>
        <w:numId w:val="1"/>
      </w:numPr>
      <w:spacing w:after="60"/>
      <w:outlineLvl w:val="7"/>
    </w:pPr>
    <w:rPr>
      <w:rFonts w:ascii="Times New Roman" w:hAnsi="Times New Roman" w:cs="Times New Roman"/>
      <w:i/>
      <w:iCs/>
    </w:rPr>
  </w:style>
  <w:style w:type="paragraph" w:styleId="Heading9">
    <w:name w:val="heading 9"/>
    <w:basedOn w:val="Normal"/>
    <w:next w:val="Normal"/>
    <w:link w:val="Heading9Char"/>
    <w:uiPriority w:val="1"/>
    <w:semiHidden/>
    <w:rsid w:val="008A5043"/>
    <w:pPr>
      <w:numPr>
        <w:ilvl w:val="8"/>
        <w:numId w:val="1"/>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8B390C"/>
    <w:rPr>
      <w:rFonts w:ascii="Arial" w:hAnsi="Arial" w:cs="Arial"/>
      <w:b/>
      <w:bCs/>
      <w:color w:val="F3901D"/>
      <w:kern w:val="32"/>
      <w:sz w:val="30"/>
      <w:szCs w:val="30"/>
    </w:rPr>
  </w:style>
  <w:style w:type="character" w:customStyle="1" w:styleId="Heading2Char">
    <w:name w:val="Heading 2 Char"/>
    <w:basedOn w:val="DefaultParagraphFont"/>
    <w:link w:val="Heading2"/>
    <w:uiPriority w:val="1"/>
    <w:locked/>
    <w:rsid w:val="00E602BA"/>
    <w:rPr>
      <w:rFonts w:ascii="Arial" w:hAnsi="Arial" w:cs="Arial"/>
      <w:b/>
      <w:bCs/>
      <w:color w:val="F3901D"/>
      <w:sz w:val="22"/>
      <w:szCs w:val="22"/>
    </w:rPr>
  </w:style>
  <w:style w:type="character" w:customStyle="1" w:styleId="Heading3Char">
    <w:name w:val="Heading 3 Char"/>
    <w:basedOn w:val="DefaultParagraphFont"/>
    <w:link w:val="Heading3"/>
    <w:uiPriority w:val="1"/>
    <w:locked/>
    <w:rsid w:val="00E602BA"/>
    <w:rPr>
      <w:rFonts w:ascii="Arial" w:hAnsi="Arial" w:cs="Arial"/>
      <w:b/>
      <w:bCs/>
      <w:color w:val="F3901D"/>
      <w:sz w:val="22"/>
      <w:szCs w:val="22"/>
    </w:rPr>
  </w:style>
  <w:style w:type="character" w:customStyle="1" w:styleId="Heading4Char">
    <w:name w:val="Heading 4 Char"/>
    <w:basedOn w:val="DefaultParagraphFont"/>
    <w:link w:val="Heading4"/>
    <w:uiPriority w:val="1"/>
    <w:locked/>
    <w:rsid w:val="00AB3428"/>
    <w:rPr>
      <w:rFonts w:ascii="Arial" w:hAnsi="Arial" w:cs="Arial"/>
      <w:iCs/>
      <w:color w:val="F3901D" w:themeColor="accent5"/>
      <w:sz w:val="22"/>
      <w:szCs w:val="22"/>
    </w:rPr>
  </w:style>
  <w:style w:type="character" w:customStyle="1" w:styleId="Heading5Char">
    <w:name w:val="Heading 5 Char"/>
    <w:basedOn w:val="DefaultParagraphFont"/>
    <w:link w:val="Heading5"/>
    <w:uiPriority w:val="1"/>
    <w:semiHidden/>
    <w:locked/>
    <w:rsid w:val="009B798A"/>
    <w:rPr>
      <w:rFonts w:ascii="Arial" w:hAnsi="Arial" w:cs="Arial"/>
      <w:sz w:val="24"/>
      <w:szCs w:val="24"/>
    </w:rPr>
  </w:style>
  <w:style w:type="character" w:customStyle="1" w:styleId="Heading6Char">
    <w:name w:val="Heading 6 Char"/>
    <w:basedOn w:val="DefaultParagraphFont"/>
    <w:link w:val="Heading6"/>
    <w:uiPriority w:val="1"/>
    <w:semiHidden/>
    <w:locked/>
    <w:rsid w:val="009B798A"/>
    <w:rPr>
      <w:b/>
      <w:bCs/>
      <w:sz w:val="22"/>
      <w:szCs w:val="22"/>
    </w:rPr>
  </w:style>
  <w:style w:type="character" w:customStyle="1" w:styleId="Heading7Char">
    <w:name w:val="Heading 7 Char"/>
    <w:basedOn w:val="DefaultParagraphFont"/>
    <w:link w:val="Heading7"/>
    <w:uiPriority w:val="1"/>
    <w:semiHidden/>
    <w:locked/>
    <w:rsid w:val="009B798A"/>
    <w:rPr>
      <w:sz w:val="24"/>
      <w:szCs w:val="24"/>
    </w:rPr>
  </w:style>
  <w:style w:type="character" w:customStyle="1" w:styleId="Heading8Char">
    <w:name w:val="Heading 8 Char"/>
    <w:basedOn w:val="DefaultParagraphFont"/>
    <w:link w:val="Heading8"/>
    <w:uiPriority w:val="1"/>
    <w:semiHidden/>
    <w:locked/>
    <w:rsid w:val="009B798A"/>
    <w:rPr>
      <w:i/>
      <w:iCs/>
      <w:sz w:val="24"/>
      <w:szCs w:val="24"/>
    </w:rPr>
  </w:style>
  <w:style w:type="character" w:customStyle="1" w:styleId="Heading9Char">
    <w:name w:val="Heading 9 Char"/>
    <w:basedOn w:val="DefaultParagraphFont"/>
    <w:link w:val="Heading9"/>
    <w:uiPriority w:val="1"/>
    <w:semiHidden/>
    <w:locked/>
    <w:rsid w:val="009B798A"/>
    <w:rPr>
      <w:rFonts w:ascii="Arial" w:hAnsi="Arial" w:cs="Arial"/>
      <w:sz w:val="22"/>
      <w:szCs w:val="22"/>
    </w:rPr>
  </w:style>
  <w:style w:type="paragraph" w:styleId="BalloonText">
    <w:name w:val="Balloon Text"/>
    <w:basedOn w:val="Normal"/>
    <w:link w:val="BalloonTextChar"/>
    <w:semiHidden/>
    <w:rsid w:val="008A5043"/>
    <w:rPr>
      <w:rFonts w:ascii="Tahoma" w:hAnsi="Tahoma" w:cs="Tahoma"/>
      <w:sz w:val="16"/>
      <w:szCs w:val="16"/>
    </w:rPr>
  </w:style>
  <w:style w:type="character" w:customStyle="1" w:styleId="BalloonTextChar">
    <w:name w:val="Balloon Text Char"/>
    <w:basedOn w:val="DefaultParagraphFont"/>
    <w:link w:val="BalloonText"/>
    <w:semiHidden/>
    <w:locked/>
    <w:rsid w:val="008A5043"/>
    <w:rPr>
      <w:rFonts w:cs="Times New Roman"/>
      <w:sz w:val="2"/>
      <w:szCs w:val="2"/>
      <w:lang w:val="en-AU" w:eastAsia="en-AU"/>
    </w:rPr>
  </w:style>
  <w:style w:type="character" w:styleId="Hyperlink">
    <w:name w:val="Hyperlink"/>
    <w:basedOn w:val="DefaultParagraphFont"/>
    <w:uiPriority w:val="99"/>
    <w:rsid w:val="008B68EB"/>
    <w:rPr>
      <w:rFonts w:cs="Times New Roman"/>
      <w:color w:val="0000FF"/>
      <w:sz w:val="18"/>
      <w:u w:val="single"/>
    </w:rPr>
  </w:style>
  <w:style w:type="paragraph" w:styleId="Header">
    <w:name w:val="header"/>
    <w:basedOn w:val="Normal"/>
    <w:link w:val="HeaderChar"/>
    <w:uiPriority w:val="7"/>
    <w:rsid w:val="008A5043"/>
    <w:pPr>
      <w:tabs>
        <w:tab w:val="center" w:pos="4153"/>
        <w:tab w:val="right" w:pos="8306"/>
      </w:tabs>
      <w:ind w:left="0"/>
    </w:pPr>
    <w:rPr>
      <w:noProof/>
      <w:color w:val="6A737B"/>
      <w:sz w:val="22"/>
      <w:szCs w:val="22"/>
      <w:lang w:val="en-US" w:eastAsia="en-US"/>
    </w:rPr>
  </w:style>
  <w:style w:type="character" w:customStyle="1" w:styleId="HeaderChar">
    <w:name w:val="Header Char"/>
    <w:basedOn w:val="DefaultParagraphFont"/>
    <w:link w:val="Header"/>
    <w:uiPriority w:val="7"/>
    <w:locked/>
    <w:rsid w:val="00E602BA"/>
    <w:rPr>
      <w:rFonts w:ascii="Arial" w:hAnsi="Arial" w:cs="Arial"/>
      <w:noProof/>
      <w:color w:val="6A737B"/>
      <w:sz w:val="22"/>
      <w:szCs w:val="22"/>
      <w:lang w:val="en-US" w:eastAsia="en-US"/>
    </w:rPr>
  </w:style>
  <w:style w:type="paragraph" w:styleId="Footer">
    <w:name w:val="footer"/>
    <w:basedOn w:val="Normal"/>
    <w:link w:val="FooterChar"/>
    <w:semiHidden/>
    <w:locked/>
    <w:rsid w:val="006F7D52"/>
    <w:pPr>
      <w:tabs>
        <w:tab w:val="center" w:pos="4680"/>
        <w:tab w:val="right" w:pos="9360"/>
      </w:tabs>
      <w:spacing w:before="0"/>
    </w:pPr>
  </w:style>
  <w:style w:type="character" w:customStyle="1" w:styleId="FooterChar">
    <w:name w:val="Footer Char"/>
    <w:basedOn w:val="DefaultParagraphFont"/>
    <w:link w:val="Footer"/>
    <w:semiHidden/>
    <w:rsid w:val="002040CB"/>
    <w:rPr>
      <w:rFonts w:ascii="Arial" w:hAnsi="Arial" w:cs="Arial"/>
      <w:sz w:val="24"/>
      <w:szCs w:val="24"/>
    </w:rPr>
  </w:style>
  <w:style w:type="character" w:styleId="PageNumber">
    <w:name w:val="page number"/>
    <w:basedOn w:val="DefaultParagraphFont"/>
    <w:uiPriority w:val="1"/>
    <w:semiHidden/>
    <w:rsid w:val="008A5043"/>
    <w:rPr>
      <w:rFonts w:cs="Times New Roman"/>
    </w:rPr>
  </w:style>
  <w:style w:type="paragraph" w:customStyle="1" w:styleId="Sidebartext">
    <w:name w:val="Sidebar text"/>
    <w:basedOn w:val="Normal"/>
    <w:uiPriority w:val="1"/>
    <w:semiHidden/>
    <w:rsid w:val="008A5043"/>
    <w:pPr>
      <w:spacing w:before="0"/>
      <w:ind w:left="0"/>
    </w:pPr>
  </w:style>
  <w:style w:type="paragraph" w:styleId="EndnoteText">
    <w:name w:val="endnote text"/>
    <w:basedOn w:val="Normal"/>
    <w:link w:val="EndnoteTextChar"/>
    <w:semiHidden/>
    <w:rsid w:val="008A5043"/>
  </w:style>
  <w:style w:type="character" w:customStyle="1" w:styleId="EndnoteTextChar">
    <w:name w:val="Endnote Text Char"/>
    <w:basedOn w:val="DefaultParagraphFont"/>
    <w:link w:val="EndnoteText"/>
    <w:semiHidden/>
    <w:locked/>
    <w:rsid w:val="008A5043"/>
    <w:rPr>
      <w:rFonts w:ascii="Arial" w:hAnsi="Arial" w:cs="Arial"/>
      <w:sz w:val="20"/>
      <w:szCs w:val="20"/>
      <w:lang w:val="en-AU" w:eastAsia="en-AU"/>
    </w:rPr>
  </w:style>
  <w:style w:type="character" w:styleId="EndnoteReference">
    <w:name w:val="endnote reference"/>
    <w:basedOn w:val="DefaultParagraphFont"/>
    <w:semiHidden/>
    <w:rsid w:val="008A5043"/>
    <w:rPr>
      <w:rFonts w:cs="Times New Roman"/>
      <w:vertAlign w:val="superscript"/>
    </w:rPr>
  </w:style>
  <w:style w:type="paragraph" w:customStyle="1" w:styleId="Endnote">
    <w:name w:val="Endnote"/>
    <w:basedOn w:val="EndnoteText"/>
    <w:uiPriority w:val="1"/>
    <w:semiHidden/>
    <w:rsid w:val="008A5043"/>
    <w:pPr>
      <w:ind w:left="360" w:hanging="360"/>
    </w:pPr>
  </w:style>
  <w:style w:type="character" w:styleId="Emphasis">
    <w:name w:val="Emphasis"/>
    <w:basedOn w:val="DefaultParagraphFont"/>
    <w:uiPriority w:val="1"/>
    <w:semiHidden/>
    <w:qFormat/>
    <w:rsid w:val="008A5043"/>
    <w:rPr>
      <w:rFonts w:cs="Times New Roman"/>
      <w:i/>
      <w:iCs/>
    </w:rPr>
  </w:style>
  <w:style w:type="paragraph" w:styleId="Revision">
    <w:name w:val="Revision"/>
    <w:hidden/>
    <w:semiHidden/>
    <w:rsid w:val="008A5043"/>
    <w:rPr>
      <w:rFonts w:ascii="Arial" w:hAnsi="Arial" w:cs="Arial"/>
      <w:sz w:val="24"/>
      <w:szCs w:val="24"/>
    </w:rPr>
  </w:style>
  <w:style w:type="character" w:styleId="FollowedHyperlink">
    <w:name w:val="FollowedHyperlink"/>
    <w:basedOn w:val="DefaultParagraphFont"/>
    <w:uiPriority w:val="1"/>
    <w:semiHidden/>
    <w:rsid w:val="008A5043"/>
    <w:rPr>
      <w:rFonts w:cs="Times New Roman"/>
      <w:color w:val="800080"/>
      <w:u w:val="single"/>
    </w:rPr>
  </w:style>
  <w:style w:type="paragraph" w:styleId="Title">
    <w:name w:val="Title"/>
    <w:basedOn w:val="Normal"/>
    <w:link w:val="TitleChar"/>
    <w:uiPriority w:val="1"/>
    <w:semiHidden/>
    <w:qFormat/>
    <w:rsid w:val="008A5043"/>
    <w:pPr>
      <w:spacing w:after="60"/>
      <w:jc w:val="center"/>
      <w:outlineLvl w:val="0"/>
    </w:pPr>
    <w:rPr>
      <w:b/>
      <w:bCs/>
      <w:kern w:val="28"/>
      <w:sz w:val="32"/>
      <w:szCs w:val="32"/>
    </w:rPr>
  </w:style>
  <w:style w:type="character" w:customStyle="1" w:styleId="TitleChar">
    <w:name w:val="Title Char"/>
    <w:basedOn w:val="DefaultParagraphFont"/>
    <w:link w:val="Title"/>
    <w:uiPriority w:val="1"/>
    <w:semiHidden/>
    <w:locked/>
    <w:rsid w:val="009B798A"/>
    <w:rPr>
      <w:rFonts w:ascii="Arial" w:hAnsi="Arial" w:cs="Arial"/>
      <w:b/>
      <w:bCs/>
      <w:kern w:val="28"/>
      <w:sz w:val="32"/>
      <w:szCs w:val="32"/>
    </w:rPr>
  </w:style>
  <w:style w:type="table" w:styleId="TableGrid">
    <w:name w:val="Table Grid"/>
    <w:basedOn w:val="TableNormal"/>
    <w:rsid w:val="008A5043"/>
    <w:pPr>
      <w:spacing w:before="240"/>
      <w:ind w:left="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A5043"/>
    <w:pPr>
      <w:spacing w:before="0"/>
      <w:ind w:left="0"/>
    </w:pPr>
    <w:rPr>
      <w:sz w:val="18"/>
      <w:szCs w:val="18"/>
    </w:rPr>
  </w:style>
  <w:style w:type="character" w:customStyle="1" w:styleId="FootnoteTextChar">
    <w:name w:val="Footnote Text Char"/>
    <w:basedOn w:val="DefaultParagraphFont"/>
    <w:link w:val="FootnoteText"/>
    <w:uiPriority w:val="99"/>
    <w:locked/>
    <w:rsid w:val="008A5043"/>
    <w:rPr>
      <w:rFonts w:ascii="Arial" w:hAnsi="Arial" w:cs="Arial"/>
      <w:sz w:val="20"/>
      <w:szCs w:val="20"/>
      <w:lang w:val="en-AU" w:eastAsia="en-AU"/>
    </w:rPr>
  </w:style>
  <w:style w:type="character" w:styleId="FootnoteReference">
    <w:name w:val="footnote reference"/>
    <w:basedOn w:val="DefaultParagraphFont"/>
    <w:uiPriority w:val="99"/>
    <w:rsid w:val="008A5043"/>
    <w:rPr>
      <w:rFonts w:cs="Times New Roman"/>
      <w:vertAlign w:val="superscript"/>
    </w:rPr>
  </w:style>
  <w:style w:type="character" w:styleId="Strong">
    <w:name w:val="Strong"/>
    <w:basedOn w:val="DefaultParagraphFont"/>
    <w:uiPriority w:val="1"/>
    <w:semiHidden/>
    <w:qFormat/>
    <w:rsid w:val="008A5043"/>
    <w:rPr>
      <w:rFonts w:cs="Times New Roman"/>
      <w:b/>
      <w:bCs/>
    </w:rPr>
  </w:style>
  <w:style w:type="paragraph" w:customStyle="1" w:styleId="CM44">
    <w:name w:val="CM44"/>
    <w:basedOn w:val="Normal"/>
    <w:next w:val="Normal"/>
    <w:uiPriority w:val="1"/>
    <w:semiHidden/>
    <w:rsid w:val="008A5043"/>
    <w:pPr>
      <w:autoSpaceDE w:val="0"/>
      <w:autoSpaceDN w:val="0"/>
      <w:adjustRightInd w:val="0"/>
      <w:spacing w:before="0"/>
      <w:ind w:left="0"/>
    </w:pPr>
  </w:style>
  <w:style w:type="paragraph" w:styleId="NormalWeb">
    <w:name w:val="Normal (Web)"/>
    <w:basedOn w:val="Normal"/>
    <w:uiPriority w:val="1"/>
    <w:semiHidden/>
    <w:rsid w:val="008A5043"/>
    <w:pPr>
      <w:spacing w:before="100" w:beforeAutospacing="1" w:after="100" w:afterAutospacing="1"/>
      <w:ind w:left="0"/>
    </w:pPr>
    <w:rPr>
      <w:rFonts w:ascii="Times New Roman" w:hAnsi="Times New Roman" w:cs="Times New Roman"/>
    </w:rPr>
  </w:style>
  <w:style w:type="paragraph" w:customStyle="1" w:styleId="Default">
    <w:name w:val="Default"/>
    <w:uiPriority w:val="1"/>
    <w:semiHidden/>
    <w:rsid w:val="008A5043"/>
    <w:pPr>
      <w:autoSpaceDE w:val="0"/>
      <w:autoSpaceDN w:val="0"/>
      <w:adjustRightInd w:val="0"/>
    </w:pPr>
    <w:rPr>
      <w:color w:val="000000"/>
      <w:sz w:val="24"/>
      <w:szCs w:val="24"/>
    </w:rPr>
  </w:style>
  <w:style w:type="paragraph" w:customStyle="1" w:styleId="Notes">
    <w:name w:val="Note(s)"/>
    <w:basedOn w:val="Sources"/>
    <w:uiPriority w:val="2"/>
    <w:qFormat/>
    <w:rsid w:val="00BD54CA"/>
    <w:pPr>
      <w:spacing w:after="0"/>
    </w:pPr>
  </w:style>
  <w:style w:type="paragraph" w:customStyle="1" w:styleId="TableTextLeft">
    <w:name w:val="Table Text Left"/>
    <w:basedOn w:val="Default"/>
    <w:next w:val="Default"/>
    <w:uiPriority w:val="1"/>
    <w:semiHidden/>
    <w:rsid w:val="008A5043"/>
    <w:rPr>
      <w:rFonts w:ascii="Arial" w:hAnsi="Arial" w:cs="Arial"/>
      <w:color w:val="auto"/>
    </w:rPr>
  </w:style>
  <w:style w:type="numbering" w:customStyle="1" w:styleId="Bullet1">
    <w:name w:val="Bullet 1"/>
    <w:basedOn w:val="NoList"/>
    <w:rsid w:val="009953C8"/>
    <w:pPr>
      <w:numPr>
        <w:numId w:val="2"/>
      </w:numPr>
    </w:pPr>
  </w:style>
  <w:style w:type="paragraph" w:styleId="BodyText">
    <w:name w:val="Body Text"/>
    <w:basedOn w:val="Normal"/>
    <w:link w:val="BodyTextChar"/>
    <w:qFormat/>
    <w:rsid w:val="008A5043"/>
    <w:pPr>
      <w:spacing w:before="0" w:after="220"/>
      <w:ind w:left="0"/>
    </w:pPr>
    <w:rPr>
      <w:sz w:val="22"/>
      <w:szCs w:val="22"/>
    </w:rPr>
  </w:style>
  <w:style w:type="character" w:customStyle="1" w:styleId="BodyTextChar">
    <w:name w:val="Body Text Char"/>
    <w:basedOn w:val="DefaultParagraphFont"/>
    <w:link w:val="BodyText"/>
    <w:locked/>
    <w:rsid w:val="008A5043"/>
    <w:rPr>
      <w:rFonts w:ascii="Arial" w:hAnsi="Arial" w:cs="Arial"/>
      <w:sz w:val="22"/>
      <w:szCs w:val="22"/>
      <w:lang w:eastAsia="en-AU"/>
    </w:rPr>
  </w:style>
  <w:style w:type="paragraph" w:customStyle="1" w:styleId="Comment-JD">
    <w:name w:val="Comment - JD"/>
    <w:basedOn w:val="BodyText"/>
    <w:uiPriority w:val="1"/>
    <w:semiHidden/>
    <w:rsid w:val="008A5043"/>
    <w:pPr>
      <w:spacing w:after="0"/>
    </w:pPr>
    <w:rPr>
      <w:rFonts w:ascii="Times New Roman" w:hAnsi="Times New Roman" w:cs="Times New Roman"/>
      <w:color w:val="FF0000"/>
    </w:rPr>
  </w:style>
  <w:style w:type="paragraph" w:styleId="Quote">
    <w:name w:val="Quote"/>
    <w:basedOn w:val="Normal"/>
    <w:next w:val="Normal"/>
    <w:link w:val="QuoteChar"/>
    <w:uiPriority w:val="5"/>
    <w:qFormat/>
    <w:rsid w:val="003E7516"/>
    <w:pPr>
      <w:spacing w:after="240"/>
      <w:ind w:left="284"/>
    </w:pPr>
    <w:rPr>
      <w:i/>
      <w:iCs/>
      <w:sz w:val="22"/>
    </w:rPr>
  </w:style>
  <w:style w:type="character" w:customStyle="1" w:styleId="QuoteChar">
    <w:name w:val="Quote Char"/>
    <w:basedOn w:val="DefaultParagraphFont"/>
    <w:link w:val="Quote"/>
    <w:uiPriority w:val="5"/>
    <w:locked/>
    <w:rsid w:val="00E602BA"/>
    <w:rPr>
      <w:rFonts w:ascii="Arial" w:hAnsi="Arial" w:cs="Arial"/>
      <w:i/>
      <w:iCs/>
      <w:sz w:val="22"/>
      <w:szCs w:val="24"/>
    </w:rPr>
  </w:style>
  <w:style w:type="paragraph" w:customStyle="1" w:styleId="Figuretitle">
    <w:name w:val="Figure title"/>
    <w:basedOn w:val="Normal"/>
    <w:link w:val="FiguretitleChar"/>
    <w:uiPriority w:val="2"/>
    <w:rsid w:val="00AA282C"/>
    <w:pPr>
      <w:keepNext/>
      <w:spacing w:before="0"/>
      <w:ind w:left="0"/>
    </w:pPr>
    <w:rPr>
      <w:b/>
      <w:bCs/>
      <w:color w:val="6A737B"/>
      <w:sz w:val="20"/>
      <w:szCs w:val="20"/>
    </w:rPr>
  </w:style>
  <w:style w:type="character" w:customStyle="1" w:styleId="A8">
    <w:name w:val="A8"/>
    <w:uiPriority w:val="1"/>
    <w:semiHidden/>
    <w:rsid w:val="008A5043"/>
    <w:rPr>
      <w:b/>
      <w:color w:val="000000"/>
      <w:sz w:val="30"/>
    </w:rPr>
  </w:style>
  <w:style w:type="paragraph" w:customStyle="1" w:styleId="Boxnote">
    <w:name w:val="Box_note"/>
    <w:basedOn w:val="Notes"/>
    <w:uiPriority w:val="3"/>
    <w:qFormat/>
    <w:rsid w:val="00BD54CA"/>
    <w:pPr>
      <w:pBdr>
        <w:top w:val="single" w:sz="4" w:space="1" w:color="F68B33" w:themeColor="accent2"/>
        <w:left w:val="single" w:sz="4" w:space="4" w:color="F68B33" w:themeColor="accent2"/>
        <w:bottom w:val="single" w:sz="4" w:space="1" w:color="F68B33" w:themeColor="accent2"/>
        <w:right w:val="single" w:sz="4" w:space="4" w:color="F68B33" w:themeColor="accent2"/>
      </w:pBdr>
      <w:shd w:val="clear" w:color="auto" w:fill="FEF0DE" w:themeFill="text1"/>
    </w:pPr>
  </w:style>
  <w:style w:type="paragraph" w:customStyle="1" w:styleId="Squaretext">
    <w:name w:val="Square text"/>
    <w:basedOn w:val="Normal"/>
    <w:uiPriority w:val="1"/>
    <w:semiHidden/>
    <w:rsid w:val="00261F3C"/>
    <w:pPr>
      <w:autoSpaceDE w:val="0"/>
      <w:autoSpaceDN w:val="0"/>
      <w:adjustRightInd w:val="0"/>
      <w:spacing w:before="20" w:after="20"/>
      <w:ind w:left="0"/>
    </w:pPr>
    <w:rPr>
      <w:sz w:val="20"/>
      <w:szCs w:val="20"/>
    </w:rPr>
  </w:style>
  <w:style w:type="paragraph" w:customStyle="1" w:styleId="Squaretextbold">
    <w:name w:val="Square text bold"/>
    <w:basedOn w:val="Squaretext"/>
    <w:uiPriority w:val="1"/>
    <w:semiHidden/>
    <w:rsid w:val="008A5043"/>
    <w:rPr>
      <w:b/>
      <w:bCs/>
    </w:rPr>
  </w:style>
  <w:style w:type="paragraph" w:customStyle="1" w:styleId="Sources">
    <w:name w:val="Source(s)"/>
    <w:basedOn w:val="BodyText"/>
    <w:link w:val="SourcesChar"/>
    <w:uiPriority w:val="2"/>
    <w:rsid w:val="00261F3C"/>
    <w:pPr>
      <w:tabs>
        <w:tab w:val="left" w:pos="709"/>
      </w:tabs>
      <w:ind w:left="709" w:hanging="709"/>
    </w:pPr>
    <w:rPr>
      <w:i/>
      <w:iCs/>
      <w:sz w:val="16"/>
      <w:szCs w:val="18"/>
    </w:rPr>
  </w:style>
  <w:style w:type="paragraph" w:customStyle="1" w:styleId="Credits">
    <w:name w:val="Credits"/>
    <w:basedOn w:val="BodyText"/>
    <w:uiPriority w:val="99"/>
    <w:semiHidden/>
    <w:rsid w:val="00796E44"/>
    <w:pPr>
      <w:spacing w:after="360"/>
      <w:jc w:val="center"/>
    </w:pPr>
    <w:rPr>
      <w:b/>
      <w:bCs/>
      <w:noProof/>
      <w:color w:val="808080"/>
      <w:sz w:val="24"/>
      <w:szCs w:val="24"/>
      <w:lang w:val="en-US" w:eastAsia="en-US"/>
    </w:rPr>
  </w:style>
  <w:style w:type="paragraph" w:styleId="Caption">
    <w:name w:val="caption"/>
    <w:basedOn w:val="Normal"/>
    <w:next w:val="Normal"/>
    <w:uiPriority w:val="1"/>
    <w:semiHidden/>
    <w:qFormat/>
    <w:rsid w:val="008A5043"/>
    <w:rPr>
      <w:b/>
      <w:bCs/>
      <w:sz w:val="20"/>
      <w:szCs w:val="20"/>
    </w:rPr>
  </w:style>
  <w:style w:type="character" w:customStyle="1" w:styleId="FiguretitleChar">
    <w:name w:val="Figure title Char"/>
    <w:basedOn w:val="DefaultParagraphFont"/>
    <w:link w:val="Figuretitle"/>
    <w:uiPriority w:val="2"/>
    <w:locked/>
    <w:rsid w:val="00AA282C"/>
    <w:rPr>
      <w:rFonts w:ascii="Arial" w:hAnsi="Arial" w:cs="Arial"/>
      <w:b/>
      <w:bCs/>
      <w:color w:val="6A737B"/>
    </w:rPr>
  </w:style>
  <w:style w:type="character" w:styleId="CommentReference">
    <w:name w:val="annotation reference"/>
    <w:basedOn w:val="DefaultParagraphFont"/>
    <w:semiHidden/>
    <w:locked/>
    <w:rsid w:val="008A5043"/>
    <w:rPr>
      <w:rFonts w:cs="Times New Roman"/>
      <w:sz w:val="16"/>
      <w:szCs w:val="16"/>
    </w:rPr>
  </w:style>
  <w:style w:type="paragraph" w:styleId="CommentText">
    <w:name w:val="annotation text"/>
    <w:basedOn w:val="Normal"/>
    <w:link w:val="CommentTextChar"/>
    <w:semiHidden/>
    <w:locked/>
    <w:rsid w:val="008A5043"/>
    <w:rPr>
      <w:sz w:val="20"/>
      <w:szCs w:val="20"/>
    </w:rPr>
  </w:style>
  <w:style w:type="character" w:customStyle="1" w:styleId="CommentTextChar">
    <w:name w:val="Comment Text Char"/>
    <w:basedOn w:val="DefaultParagraphFont"/>
    <w:link w:val="CommentText"/>
    <w:semiHidden/>
    <w:locked/>
    <w:rsid w:val="008A5043"/>
    <w:rPr>
      <w:rFonts w:ascii="Arial" w:hAnsi="Arial" w:cs="Arial"/>
      <w:sz w:val="20"/>
      <w:szCs w:val="20"/>
      <w:lang w:val="en-AU" w:eastAsia="en-AU"/>
    </w:rPr>
  </w:style>
  <w:style w:type="paragraph" w:styleId="CommentSubject">
    <w:name w:val="annotation subject"/>
    <w:basedOn w:val="CommentText"/>
    <w:next w:val="CommentText"/>
    <w:link w:val="CommentSubjectChar"/>
    <w:semiHidden/>
    <w:locked/>
    <w:rsid w:val="008A5043"/>
    <w:rPr>
      <w:b/>
      <w:bCs/>
    </w:rPr>
  </w:style>
  <w:style w:type="character" w:customStyle="1" w:styleId="CommentSubjectChar">
    <w:name w:val="Comment Subject Char"/>
    <w:basedOn w:val="CommentTextChar"/>
    <w:link w:val="CommentSubject"/>
    <w:semiHidden/>
    <w:locked/>
    <w:rsid w:val="008A5043"/>
    <w:rPr>
      <w:rFonts w:ascii="Arial" w:hAnsi="Arial" w:cs="Arial"/>
      <w:b/>
      <w:bCs/>
      <w:sz w:val="20"/>
      <w:szCs w:val="20"/>
      <w:lang w:val="en-AU" w:eastAsia="en-AU"/>
    </w:rPr>
  </w:style>
  <w:style w:type="character" w:customStyle="1" w:styleId="SourcesChar">
    <w:name w:val="Source(s) Char"/>
    <w:basedOn w:val="BodyTextChar"/>
    <w:link w:val="Sources"/>
    <w:uiPriority w:val="2"/>
    <w:locked/>
    <w:rsid w:val="00E602BA"/>
    <w:rPr>
      <w:rFonts w:ascii="Arial" w:hAnsi="Arial" w:cs="Arial"/>
      <w:i/>
      <w:iCs/>
      <w:sz w:val="16"/>
      <w:szCs w:val="18"/>
      <w:lang w:eastAsia="en-AU"/>
    </w:rPr>
  </w:style>
  <w:style w:type="paragraph" w:styleId="TOC1">
    <w:name w:val="toc 1"/>
    <w:basedOn w:val="Normal"/>
    <w:next w:val="Normal"/>
    <w:autoRedefine/>
    <w:uiPriority w:val="39"/>
    <w:locked/>
    <w:rsid w:val="001F4231"/>
    <w:pPr>
      <w:tabs>
        <w:tab w:val="left" w:pos="6657"/>
        <w:tab w:val="right" w:leader="dot" w:pos="13596"/>
      </w:tabs>
      <w:ind w:left="6237"/>
    </w:pPr>
    <w:rPr>
      <w:noProof/>
    </w:rPr>
  </w:style>
  <w:style w:type="paragraph" w:customStyle="1" w:styleId="Bullet2">
    <w:name w:val="Bullet 2"/>
    <w:basedOn w:val="Normal"/>
    <w:uiPriority w:val="1"/>
    <w:semiHidden/>
    <w:rsid w:val="00D45B66"/>
    <w:pPr>
      <w:numPr>
        <w:numId w:val="3"/>
      </w:numPr>
      <w:spacing w:before="0" w:after="220"/>
    </w:pPr>
    <w:rPr>
      <w:sz w:val="22"/>
    </w:rPr>
  </w:style>
  <w:style w:type="paragraph" w:customStyle="1" w:styleId="Boxsource">
    <w:name w:val="Box_source"/>
    <w:basedOn w:val="Sources"/>
    <w:next w:val="BodyText"/>
    <w:uiPriority w:val="3"/>
    <w:qFormat/>
    <w:rsid w:val="00BD54CA"/>
    <w:pPr>
      <w:pBdr>
        <w:top w:val="single" w:sz="4" w:space="1" w:color="F68B33" w:themeColor="accent2"/>
        <w:left w:val="single" w:sz="4" w:space="4" w:color="F68B33" w:themeColor="accent2"/>
        <w:bottom w:val="single" w:sz="4" w:space="1" w:color="F68B33" w:themeColor="accent2"/>
        <w:right w:val="single" w:sz="4" w:space="4" w:color="F68B33" w:themeColor="accent2"/>
      </w:pBdr>
      <w:shd w:val="clear" w:color="auto" w:fill="FEF0DE" w:themeFill="text1"/>
    </w:pPr>
  </w:style>
  <w:style w:type="paragraph" w:customStyle="1" w:styleId="Break-outquote">
    <w:name w:val="Break-out quote"/>
    <w:basedOn w:val="BodyText"/>
    <w:next w:val="BodyText"/>
    <w:uiPriority w:val="5"/>
    <w:qFormat/>
    <w:rsid w:val="00220F3B"/>
    <w:pPr>
      <w:keepLines/>
      <w:spacing w:after="120"/>
      <w:ind w:left="851"/>
    </w:pPr>
    <w:rPr>
      <w:rFonts w:ascii="Times New Roman" w:hAnsi="Times New Roman" w:cs="Times New Roman"/>
      <w:i/>
      <w:iCs/>
      <w:color w:val="F3901D"/>
      <w:sz w:val="32"/>
      <w:szCs w:val="36"/>
    </w:rPr>
  </w:style>
  <w:style w:type="paragraph" w:styleId="TableofFigures">
    <w:name w:val="table of figures"/>
    <w:basedOn w:val="Normal"/>
    <w:next w:val="Normal"/>
    <w:uiPriority w:val="99"/>
    <w:locked/>
    <w:rsid w:val="001F4231"/>
    <w:pPr>
      <w:ind w:left="0"/>
    </w:pPr>
  </w:style>
  <w:style w:type="paragraph" w:customStyle="1" w:styleId="FooterReport">
    <w:name w:val="Footer_Report"/>
    <w:basedOn w:val="Header"/>
    <w:uiPriority w:val="7"/>
    <w:qFormat/>
    <w:rsid w:val="006F7D52"/>
  </w:style>
  <w:style w:type="paragraph" w:customStyle="1" w:styleId="References">
    <w:name w:val="References"/>
    <w:basedOn w:val="Normal"/>
    <w:uiPriority w:val="4"/>
    <w:qFormat/>
    <w:rsid w:val="001103E3"/>
    <w:pPr>
      <w:spacing w:before="0" w:after="120"/>
      <w:ind w:left="720" w:hanging="720"/>
    </w:pPr>
    <w:rPr>
      <w:noProof/>
      <w:sz w:val="18"/>
      <w:szCs w:val="18"/>
    </w:rPr>
  </w:style>
  <w:style w:type="paragraph" w:customStyle="1" w:styleId="ReportBullet1">
    <w:name w:val="Report Bullet 1"/>
    <w:uiPriority w:val="99"/>
    <w:qFormat/>
    <w:rsid w:val="005A7B64"/>
    <w:pPr>
      <w:numPr>
        <w:numId w:val="4"/>
      </w:numPr>
      <w:tabs>
        <w:tab w:val="left" w:pos="426"/>
      </w:tabs>
      <w:spacing w:after="220"/>
      <w:ind w:left="357" w:hanging="357"/>
    </w:pPr>
    <w:rPr>
      <w:rFonts w:ascii="Arial" w:hAnsi="Arial" w:cs="Arial"/>
      <w:sz w:val="22"/>
      <w:szCs w:val="22"/>
    </w:rPr>
  </w:style>
  <w:style w:type="paragraph" w:customStyle="1" w:styleId="ReportBullet2">
    <w:name w:val="Report Bullet 2"/>
    <w:basedOn w:val="BodyText"/>
    <w:uiPriority w:val="3"/>
    <w:qFormat/>
    <w:rsid w:val="00F130C4"/>
    <w:pPr>
      <w:numPr>
        <w:ilvl w:val="1"/>
        <w:numId w:val="5"/>
      </w:numPr>
    </w:pPr>
  </w:style>
  <w:style w:type="paragraph" w:styleId="BlockText">
    <w:name w:val="Block Text"/>
    <w:basedOn w:val="Normal"/>
    <w:uiPriority w:val="1"/>
    <w:semiHidden/>
    <w:locked/>
    <w:rsid w:val="000B01A9"/>
    <w:pPr>
      <w:pBdr>
        <w:top w:val="single" w:sz="2" w:space="10" w:color="D4582A" w:themeColor="accent1" w:shadow="1"/>
        <w:left w:val="single" w:sz="2" w:space="10" w:color="D4582A" w:themeColor="accent1" w:shadow="1"/>
        <w:bottom w:val="single" w:sz="2" w:space="10" w:color="D4582A" w:themeColor="accent1" w:shadow="1"/>
        <w:right w:val="single" w:sz="2" w:space="10" w:color="D4582A" w:themeColor="accent1" w:shadow="1"/>
      </w:pBdr>
      <w:ind w:left="1152" w:right="1152"/>
    </w:pPr>
    <w:rPr>
      <w:rFonts w:asciiTheme="minorHAnsi" w:eastAsiaTheme="minorEastAsia" w:hAnsiTheme="minorHAnsi" w:cstheme="minorBidi"/>
      <w:i/>
      <w:iCs/>
      <w:color w:val="D4582A" w:themeColor="accent1"/>
    </w:rPr>
  </w:style>
  <w:style w:type="paragraph" w:customStyle="1" w:styleId="Reportnumbered">
    <w:name w:val="Report numbered"/>
    <w:basedOn w:val="ReportBullet1"/>
    <w:uiPriority w:val="3"/>
    <w:qFormat/>
    <w:rsid w:val="00CE6339"/>
    <w:pPr>
      <w:numPr>
        <w:numId w:val="6"/>
      </w:numPr>
    </w:pPr>
  </w:style>
  <w:style w:type="paragraph" w:customStyle="1" w:styleId="Tablefont">
    <w:name w:val="Table font"/>
    <w:basedOn w:val="BodyText"/>
    <w:uiPriority w:val="4"/>
    <w:qFormat/>
    <w:rsid w:val="00D34C57"/>
    <w:pPr>
      <w:keepNext/>
      <w:keepLines/>
      <w:spacing w:before="40" w:after="40"/>
    </w:pPr>
    <w:rPr>
      <w:bCs/>
      <w:sz w:val="18"/>
      <w:lang w:val="en-US"/>
    </w:rPr>
  </w:style>
  <w:style w:type="paragraph" w:customStyle="1" w:styleId="BoxHeading">
    <w:name w:val="Box Heading"/>
    <w:basedOn w:val="BodyText"/>
    <w:next w:val="BOXText"/>
    <w:uiPriority w:val="3"/>
    <w:qFormat/>
    <w:rsid w:val="003835CB"/>
    <w:pPr>
      <w:keepNext/>
      <w:pBdr>
        <w:top w:val="single" w:sz="4" w:space="12" w:color="F68B33" w:themeColor="accent2"/>
        <w:left w:val="single" w:sz="4" w:space="4" w:color="F68B33" w:themeColor="accent2"/>
        <w:bottom w:val="single" w:sz="4" w:space="15" w:color="F68B33" w:themeColor="accent2"/>
        <w:right w:val="single" w:sz="4" w:space="4" w:color="F68B33" w:themeColor="accent2"/>
      </w:pBdr>
      <w:shd w:val="clear" w:color="auto" w:fill="FEF0DE" w:themeFill="text1"/>
      <w:spacing w:before="240"/>
    </w:pPr>
    <w:rPr>
      <w:b/>
      <w:bCs/>
      <w:color w:val="F8981D"/>
    </w:rPr>
  </w:style>
  <w:style w:type="paragraph" w:customStyle="1" w:styleId="BOXText">
    <w:name w:val="BOX Text"/>
    <w:basedOn w:val="BodyText"/>
    <w:uiPriority w:val="3"/>
    <w:qFormat/>
    <w:rsid w:val="00261F3C"/>
    <w:pPr>
      <w:pBdr>
        <w:top w:val="single" w:sz="4" w:space="1" w:color="F68B33" w:themeColor="accent2"/>
        <w:left w:val="single" w:sz="4" w:space="4" w:color="F68B33" w:themeColor="accent2"/>
        <w:bottom w:val="single" w:sz="4" w:space="1" w:color="F68B33" w:themeColor="accent2"/>
        <w:right w:val="single" w:sz="4" w:space="4" w:color="F68B33" w:themeColor="accent2"/>
      </w:pBdr>
      <w:shd w:val="clear" w:color="auto" w:fill="FEF0DE" w:themeFill="text1"/>
    </w:pPr>
  </w:style>
  <w:style w:type="paragraph" w:styleId="DocumentMap">
    <w:name w:val="Document Map"/>
    <w:basedOn w:val="Normal"/>
    <w:link w:val="DocumentMapChar"/>
    <w:uiPriority w:val="1"/>
    <w:semiHidden/>
    <w:locked/>
    <w:rsid w:val="00A35542"/>
    <w:pPr>
      <w:spacing w:before="0"/>
    </w:pPr>
    <w:rPr>
      <w:rFonts w:ascii="Tahoma" w:hAnsi="Tahoma" w:cs="Tahoma"/>
      <w:sz w:val="16"/>
      <w:szCs w:val="16"/>
    </w:rPr>
  </w:style>
  <w:style w:type="character" w:customStyle="1" w:styleId="DocumentMapChar">
    <w:name w:val="Document Map Char"/>
    <w:basedOn w:val="DefaultParagraphFont"/>
    <w:link w:val="DocumentMap"/>
    <w:uiPriority w:val="1"/>
    <w:semiHidden/>
    <w:rsid w:val="00A35542"/>
    <w:rPr>
      <w:rFonts w:ascii="Tahoma" w:hAnsi="Tahoma" w:cs="Tahoma"/>
      <w:sz w:val="16"/>
      <w:szCs w:val="16"/>
    </w:rPr>
  </w:style>
  <w:style w:type="table" w:styleId="LightList-Accent5">
    <w:name w:val="Light List Accent 5"/>
    <w:basedOn w:val="TableNormal"/>
    <w:uiPriority w:val="61"/>
    <w:rsid w:val="00FD1AF6"/>
    <w:tblPr>
      <w:tblStyleRowBandSize w:val="1"/>
      <w:tblStyleColBandSize w:val="1"/>
      <w:tblInd w:w="0" w:type="dxa"/>
      <w:tblBorders>
        <w:top w:val="single" w:sz="8" w:space="0" w:color="F3901D" w:themeColor="accent5"/>
        <w:left w:val="single" w:sz="8" w:space="0" w:color="F3901D" w:themeColor="accent5"/>
        <w:bottom w:val="single" w:sz="8" w:space="0" w:color="F3901D" w:themeColor="accent5"/>
        <w:right w:val="single" w:sz="8" w:space="0" w:color="F3901D" w:themeColor="accent5"/>
      </w:tblBorders>
      <w:tblCellMar>
        <w:top w:w="0" w:type="dxa"/>
        <w:left w:w="108" w:type="dxa"/>
        <w:bottom w:w="0" w:type="dxa"/>
        <w:right w:w="108" w:type="dxa"/>
      </w:tblCellMar>
    </w:tblPr>
    <w:tblStylePr w:type="firstRow">
      <w:pPr>
        <w:spacing w:before="0" w:after="0" w:line="240" w:lineRule="auto"/>
      </w:pPr>
      <w:rPr>
        <w:b/>
        <w:bCs/>
        <w:color w:val="FE8B3B" w:themeColor="background1"/>
      </w:rPr>
      <w:tblPr/>
      <w:tcPr>
        <w:shd w:val="clear" w:color="auto" w:fill="F3901D" w:themeFill="accent5"/>
      </w:tcPr>
    </w:tblStylePr>
    <w:tblStylePr w:type="lastRow">
      <w:pPr>
        <w:spacing w:before="0" w:after="0" w:line="240" w:lineRule="auto"/>
      </w:pPr>
      <w:rPr>
        <w:b/>
        <w:bCs/>
      </w:rPr>
      <w:tblPr/>
      <w:tcPr>
        <w:tcBorders>
          <w:top w:val="double" w:sz="6" w:space="0" w:color="F3901D" w:themeColor="accent5"/>
          <w:left w:val="single" w:sz="8" w:space="0" w:color="F3901D" w:themeColor="accent5"/>
          <w:bottom w:val="single" w:sz="8" w:space="0" w:color="F3901D" w:themeColor="accent5"/>
          <w:right w:val="single" w:sz="8" w:space="0" w:color="F3901D" w:themeColor="accent5"/>
        </w:tcBorders>
      </w:tcPr>
    </w:tblStylePr>
    <w:tblStylePr w:type="firstCol">
      <w:rPr>
        <w:b/>
        <w:bCs/>
      </w:rPr>
    </w:tblStylePr>
    <w:tblStylePr w:type="lastCol">
      <w:rPr>
        <w:b/>
        <w:bCs/>
      </w:rPr>
    </w:tblStylePr>
    <w:tblStylePr w:type="band1Vert">
      <w:tblPr/>
      <w:tcPr>
        <w:tcBorders>
          <w:top w:val="single" w:sz="8" w:space="0" w:color="F3901D" w:themeColor="accent5"/>
          <w:left w:val="single" w:sz="8" w:space="0" w:color="F3901D" w:themeColor="accent5"/>
          <w:bottom w:val="single" w:sz="8" w:space="0" w:color="F3901D" w:themeColor="accent5"/>
          <w:right w:val="single" w:sz="8" w:space="0" w:color="F3901D" w:themeColor="accent5"/>
        </w:tcBorders>
      </w:tcPr>
    </w:tblStylePr>
    <w:tblStylePr w:type="band1Horz">
      <w:tblPr/>
      <w:tcPr>
        <w:tcBorders>
          <w:top w:val="single" w:sz="8" w:space="0" w:color="F3901D" w:themeColor="accent5"/>
          <w:left w:val="single" w:sz="8" w:space="0" w:color="F3901D" w:themeColor="accent5"/>
          <w:bottom w:val="single" w:sz="8" w:space="0" w:color="F3901D" w:themeColor="accent5"/>
          <w:right w:val="single" w:sz="8" w:space="0" w:color="F3901D" w:themeColor="accent5"/>
        </w:tcBorders>
      </w:tcPr>
    </w:tblStylePr>
  </w:style>
  <w:style w:type="paragraph" w:styleId="ListParagraph">
    <w:name w:val="List Paragraph"/>
    <w:basedOn w:val="Normal"/>
    <w:uiPriority w:val="34"/>
    <w:qFormat/>
    <w:rsid w:val="00BF2DB3"/>
    <w:pPr>
      <w:spacing w:before="0" w:after="200"/>
      <w:ind w:left="720"/>
      <w:contextualSpacing/>
    </w:pPr>
    <w:rPr>
      <w:rFonts w:asciiTheme="minorHAnsi" w:eastAsiaTheme="minorHAnsi" w:hAnsiTheme="minorHAnsi" w:cstheme="minorBidi"/>
      <w:lang w:val="en-US" w:eastAsia="en-US"/>
    </w:rPr>
  </w:style>
  <w:style w:type="paragraph" w:customStyle="1" w:styleId="Source">
    <w:name w:val="Source"/>
    <w:basedOn w:val="BodyText"/>
    <w:link w:val="SourceChar"/>
    <w:rsid w:val="00110467"/>
    <w:pPr>
      <w:spacing w:before="60"/>
    </w:pPr>
    <w:rPr>
      <w:i/>
      <w:iCs/>
      <w:sz w:val="18"/>
      <w:szCs w:val="18"/>
    </w:rPr>
  </w:style>
  <w:style w:type="character" w:customStyle="1" w:styleId="SourceChar">
    <w:name w:val="Source Char"/>
    <w:basedOn w:val="BodyTextChar"/>
    <w:link w:val="Source"/>
    <w:locked/>
    <w:rsid w:val="00110467"/>
    <w:rPr>
      <w:rFonts w:ascii="Arial" w:hAnsi="Arial" w:cs="Arial"/>
      <w:i/>
      <w:iCs/>
      <w:sz w:val="18"/>
      <w:szCs w:val="18"/>
      <w:lang w:eastAsia="en-AU"/>
    </w:rPr>
  </w:style>
  <w:style w:type="paragraph" w:customStyle="1" w:styleId="Chartunits">
    <w:name w:val="Chart units"/>
    <w:basedOn w:val="Figuretitle"/>
    <w:qFormat/>
    <w:rsid w:val="003835CB"/>
    <w:pPr>
      <w:keepLines/>
      <w:spacing w:after="1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7341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rattan.edu.au/publications/reports/post/game-changers-economic-reform-priorities-for-australia/"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file:///C:\Users\cmcgannon\Dropbox\Grattan%20Gathering%202013%20(2)\Budget%20Solutions%20(Paper%202)\Presentations,%20media%20etc\www.grattan.edu.au"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www.oecd-ilibrary.org/employment/data/labour-market-statistics/labour-force-statistics-by-sex-and-age-indicators_data-00310-en;jsessionid=4g7nekik2m6bs.delta?isPartOf=/content/datacollection/lfs-lms-data-en" TargetMode="External"/><Relationship Id="rId10" Type="http://schemas.openxmlformats.org/officeDocument/2006/relationships/footer" Target="foot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melbourneinstitute.com/downloads/labour/5-10FinalReport.pdf" TargetMode="External"/></Relationships>
</file>

<file path=word/theme/theme1.xml><?xml version="1.0" encoding="utf-8"?>
<a:theme xmlns:a="http://schemas.openxmlformats.org/drawingml/2006/main" name="Office Theme">
  <a:themeElements>
    <a:clrScheme name="Grattan">
      <a:dk1>
        <a:srgbClr val="FEF0DE"/>
      </a:dk1>
      <a:lt1>
        <a:srgbClr val="FE8B3B"/>
      </a:lt1>
      <a:dk2>
        <a:srgbClr val="621214"/>
      </a:dk2>
      <a:lt2>
        <a:srgbClr val="A02226"/>
      </a:lt2>
      <a:accent1>
        <a:srgbClr val="D4582A"/>
      </a:accent1>
      <a:accent2>
        <a:srgbClr val="F68B33"/>
      </a:accent2>
      <a:accent3>
        <a:srgbClr val="FFC35A"/>
      </a:accent3>
      <a:accent4>
        <a:srgbClr val="FFE07F"/>
      </a:accent4>
      <a:accent5>
        <a:srgbClr val="F3901D"/>
      </a:accent5>
      <a:accent6>
        <a:srgbClr val="6A737B"/>
      </a:accent6>
      <a:hlink>
        <a:srgbClr val="757575"/>
      </a:hlink>
      <a:folHlink>
        <a:srgbClr val="AEAE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617C-2A71-4491-BADA-222E7553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5025</Words>
  <Characters>27613</Characters>
  <Application>Microsoft Office Word</Application>
  <DocSecurity>0</DocSecurity>
  <Lines>684</Lines>
  <Paragraphs>213</Paragraphs>
  <ScaleCrop>false</ScaleCrop>
  <HeadingPairs>
    <vt:vector size="2" baseType="variant">
      <vt:variant>
        <vt:lpstr>Title</vt:lpstr>
      </vt:variant>
      <vt:variant>
        <vt:i4>1</vt:i4>
      </vt:variant>
    </vt:vector>
  </HeadingPairs>
  <TitlesOfParts>
    <vt:vector size="1" baseType="lpstr">
      <vt:lpstr>Submission 445 - Grattan Institute - Childcare and Early Childhood Learning - Public inquiry</vt:lpstr>
    </vt:vector>
  </TitlesOfParts>
  <Company>Grattan Institute</Company>
  <LinksUpToDate>false</LinksUpToDate>
  <CharactersWithSpaces>32550</CharactersWithSpaces>
  <SharedDoc>false</SharedDoc>
  <HLinks>
    <vt:vector size="42" baseType="variant">
      <vt:variant>
        <vt:i4>1572912</vt:i4>
      </vt:variant>
      <vt:variant>
        <vt:i4>35</vt:i4>
      </vt:variant>
      <vt:variant>
        <vt:i4>0</vt:i4>
      </vt:variant>
      <vt:variant>
        <vt:i4>5</vt:i4>
      </vt:variant>
      <vt:variant>
        <vt:lpwstr/>
      </vt:variant>
      <vt:variant>
        <vt:lpwstr>_Toc259028920</vt:lpwstr>
      </vt:variant>
      <vt:variant>
        <vt:i4>1769520</vt:i4>
      </vt:variant>
      <vt:variant>
        <vt:i4>29</vt:i4>
      </vt:variant>
      <vt:variant>
        <vt:i4>0</vt:i4>
      </vt:variant>
      <vt:variant>
        <vt:i4>5</vt:i4>
      </vt:variant>
      <vt:variant>
        <vt:lpwstr/>
      </vt:variant>
      <vt:variant>
        <vt:lpwstr>_Toc259028919</vt:lpwstr>
      </vt:variant>
      <vt:variant>
        <vt:i4>1769520</vt:i4>
      </vt:variant>
      <vt:variant>
        <vt:i4>23</vt:i4>
      </vt:variant>
      <vt:variant>
        <vt:i4>0</vt:i4>
      </vt:variant>
      <vt:variant>
        <vt:i4>5</vt:i4>
      </vt:variant>
      <vt:variant>
        <vt:lpwstr/>
      </vt:variant>
      <vt:variant>
        <vt:lpwstr>_Toc259028918</vt:lpwstr>
      </vt:variant>
      <vt:variant>
        <vt:i4>1769520</vt:i4>
      </vt:variant>
      <vt:variant>
        <vt:i4>17</vt:i4>
      </vt:variant>
      <vt:variant>
        <vt:i4>0</vt:i4>
      </vt:variant>
      <vt:variant>
        <vt:i4>5</vt:i4>
      </vt:variant>
      <vt:variant>
        <vt:lpwstr/>
      </vt:variant>
      <vt:variant>
        <vt:lpwstr>_Toc259028917</vt:lpwstr>
      </vt:variant>
      <vt:variant>
        <vt:i4>1769520</vt:i4>
      </vt:variant>
      <vt:variant>
        <vt:i4>11</vt:i4>
      </vt:variant>
      <vt:variant>
        <vt:i4>0</vt:i4>
      </vt:variant>
      <vt:variant>
        <vt:i4>5</vt:i4>
      </vt:variant>
      <vt:variant>
        <vt:lpwstr/>
      </vt:variant>
      <vt:variant>
        <vt:lpwstr>_Toc259028916</vt:lpwstr>
      </vt:variant>
      <vt:variant>
        <vt:i4>1769501</vt:i4>
      </vt:variant>
      <vt:variant>
        <vt:i4>6</vt:i4>
      </vt:variant>
      <vt:variant>
        <vt:i4>0</vt:i4>
      </vt:variant>
      <vt:variant>
        <vt:i4>5</vt:i4>
      </vt:variant>
      <vt:variant>
        <vt:lpwstr>http://www.grattan.edu.au/signup.html</vt:lpwstr>
      </vt:variant>
      <vt:variant>
        <vt:lpwstr/>
      </vt:variant>
      <vt:variant>
        <vt:i4>5177372</vt:i4>
      </vt:variant>
      <vt:variant>
        <vt:i4>3</vt:i4>
      </vt:variant>
      <vt:variant>
        <vt:i4>0</vt:i4>
      </vt:variant>
      <vt:variant>
        <vt:i4>5</vt:i4>
      </vt:variant>
      <vt:variant>
        <vt:lpwstr>http://www.grattan.edu.au/programs/energy.php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445 - Grattan Institute - Childcare and Early Childhood Learning - Public inquiry</dc:title>
  <dc:creator>Grattan Institute</dc:creator>
  <cp:lastModifiedBy>Productivity Commission</cp:lastModifiedBy>
  <cp:revision>2</cp:revision>
  <cp:lastPrinted>2012-05-22T03:30:00Z</cp:lastPrinted>
  <dcterms:created xsi:type="dcterms:W3CDTF">2014-04-08T04:13:00Z</dcterms:created>
  <dcterms:modified xsi:type="dcterms:W3CDTF">2014-04-08T04:13:00Z</dcterms:modified>
</cp:coreProperties>
</file>