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C4" w:rsidRDefault="00AB1DC4" w:rsidP="00143692">
      <w:pPr>
        <w:spacing w:after="240" w:line="240" w:lineRule="auto"/>
        <w:jc w:val="both"/>
        <w:rPr>
          <w:rFonts w:ascii="Arial" w:hAnsi="Arial" w:cs="Arial"/>
          <w:b/>
          <w:sz w:val="28"/>
          <w:szCs w:val="28"/>
        </w:rPr>
      </w:pPr>
      <w:bookmarkStart w:id="0" w:name="_GoBack"/>
      <w:bookmarkEnd w:id="0"/>
      <w:r>
        <w:rPr>
          <w:noProof/>
          <w:lang w:eastAsia="en-AU"/>
        </w:rPr>
        <w:drawing>
          <wp:anchor distT="0" distB="0" distL="114300" distR="114300" simplePos="0" relativeHeight="251659264" behindDoc="1" locked="0" layoutInCell="1" allowOverlap="1" wp14:anchorId="4DFD4622" wp14:editId="087866F0">
            <wp:simplePos x="0" y="0"/>
            <wp:positionH relativeFrom="column">
              <wp:posOffset>349250</wp:posOffset>
            </wp:positionH>
            <wp:positionV relativeFrom="paragraph">
              <wp:posOffset>-556260</wp:posOffset>
            </wp:positionV>
            <wp:extent cx="5347335" cy="1422400"/>
            <wp:effectExtent l="0" t="0" r="0" b="0"/>
            <wp:wrapTight wrapText="bothSides">
              <wp:wrapPolygon edited="0">
                <wp:start x="0" y="0"/>
                <wp:lineTo x="0" y="21407"/>
                <wp:lineTo x="21546" y="21407"/>
                <wp:lineTo x="21546" y="0"/>
                <wp:lineTo x="0" y="0"/>
              </wp:wrapPolygon>
            </wp:wrapTight>
            <wp:docPr id="2" name="irc_mi" descr="community-children-centres-sa_n5_logo_14jun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ommunity-children-centres-sa_n5_logo_14jun1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7335" cy="1422400"/>
                    </a:xfrm>
                    <a:prstGeom prst="rect">
                      <a:avLst/>
                    </a:prstGeom>
                    <a:noFill/>
                  </pic:spPr>
                </pic:pic>
              </a:graphicData>
            </a:graphic>
            <wp14:sizeRelH relativeFrom="page">
              <wp14:pctWidth>0</wp14:pctWidth>
            </wp14:sizeRelH>
            <wp14:sizeRelV relativeFrom="page">
              <wp14:pctHeight>0</wp14:pctHeight>
            </wp14:sizeRelV>
          </wp:anchor>
        </w:drawing>
      </w:r>
    </w:p>
    <w:p w:rsidR="00AB1DC4" w:rsidRDefault="00AB1DC4" w:rsidP="00143692">
      <w:pPr>
        <w:spacing w:after="240" w:line="240" w:lineRule="auto"/>
        <w:jc w:val="both"/>
        <w:rPr>
          <w:rFonts w:ascii="Arial" w:hAnsi="Arial" w:cs="Arial"/>
          <w:b/>
          <w:sz w:val="28"/>
          <w:szCs w:val="28"/>
        </w:rPr>
      </w:pPr>
    </w:p>
    <w:p w:rsidR="00E41AA2" w:rsidRDefault="00E41AA2" w:rsidP="00143692">
      <w:pPr>
        <w:spacing w:after="240" w:line="240" w:lineRule="auto"/>
        <w:jc w:val="both"/>
        <w:rPr>
          <w:rFonts w:ascii="Arial" w:hAnsi="Arial" w:cs="Arial"/>
          <w:b/>
          <w:sz w:val="28"/>
          <w:szCs w:val="28"/>
        </w:rPr>
      </w:pPr>
    </w:p>
    <w:p w:rsidR="00CC38E1" w:rsidRPr="00CA4563" w:rsidRDefault="00CA4563" w:rsidP="00E41AA2">
      <w:pPr>
        <w:spacing w:after="240" w:line="240" w:lineRule="auto"/>
        <w:jc w:val="center"/>
        <w:rPr>
          <w:rFonts w:ascii="Arial" w:hAnsi="Arial" w:cs="Arial"/>
          <w:b/>
          <w:sz w:val="28"/>
          <w:szCs w:val="28"/>
        </w:rPr>
      </w:pPr>
      <w:proofErr w:type="spellStart"/>
      <w:r>
        <w:rPr>
          <w:rFonts w:ascii="Arial" w:hAnsi="Arial" w:cs="Arial"/>
          <w:b/>
          <w:sz w:val="28"/>
          <w:szCs w:val="28"/>
        </w:rPr>
        <w:t>CCCSA</w:t>
      </w:r>
      <w:proofErr w:type="spellEnd"/>
      <w:r>
        <w:rPr>
          <w:rFonts w:ascii="Arial" w:hAnsi="Arial" w:cs="Arial"/>
          <w:b/>
          <w:sz w:val="28"/>
          <w:szCs w:val="28"/>
        </w:rPr>
        <w:t xml:space="preserve"> PRODUCTIVITY COMMISSION INQUIRY RESPONSE</w:t>
      </w:r>
    </w:p>
    <w:p w:rsidR="00AF7959" w:rsidRPr="00B50139" w:rsidRDefault="00AF7959" w:rsidP="00143692">
      <w:pPr>
        <w:spacing w:after="240" w:line="240" w:lineRule="auto"/>
        <w:jc w:val="both"/>
        <w:rPr>
          <w:rFonts w:asciiTheme="minorHAnsi" w:hAnsiTheme="minorHAnsi" w:cs="Arial"/>
          <w:b/>
          <w:sz w:val="24"/>
          <w:szCs w:val="24"/>
        </w:rPr>
      </w:pPr>
      <w:r w:rsidRPr="00B50139">
        <w:rPr>
          <w:rFonts w:asciiTheme="minorHAnsi" w:hAnsiTheme="minorHAnsi" w:cs="Arial"/>
          <w:b/>
          <w:sz w:val="28"/>
          <w:szCs w:val="24"/>
        </w:rPr>
        <w:t>Introduction</w:t>
      </w:r>
    </w:p>
    <w:p w:rsidR="00CA4563" w:rsidRDefault="00CA4563" w:rsidP="00CA4563">
      <w:pPr>
        <w:autoSpaceDE w:val="0"/>
        <w:autoSpaceDN w:val="0"/>
        <w:spacing w:after="240" w:line="240" w:lineRule="auto"/>
        <w:jc w:val="both"/>
        <w:rPr>
          <w:rFonts w:asciiTheme="minorHAnsi" w:hAnsiTheme="minorHAnsi"/>
          <w:bCs/>
          <w:sz w:val="24"/>
          <w:szCs w:val="24"/>
        </w:rPr>
      </w:pPr>
      <w:r>
        <w:rPr>
          <w:rFonts w:asciiTheme="minorHAnsi" w:hAnsiTheme="minorHAnsi"/>
          <w:bCs/>
          <w:sz w:val="24"/>
          <w:szCs w:val="24"/>
        </w:rPr>
        <w:t>Community Children’s Centres SA (</w:t>
      </w:r>
      <w:proofErr w:type="spellStart"/>
      <w:r w:rsidR="00E41AA2">
        <w:rPr>
          <w:rFonts w:asciiTheme="minorHAnsi" w:hAnsiTheme="minorHAnsi"/>
          <w:bCs/>
          <w:sz w:val="24"/>
          <w:szCs w:val="24"/>
        </w:rPr>
        <w:t>CCCSA</w:t>
      </w:r>
      <w:proofErr w:type="spellEnd"/>
      <w:r w:rsidR="00E41AA2">
        <w:rPr>
          <w:rFonts w:asciiTheme="minorHAnsi" w:hAnsiTheme="minorHAnsi"/>
          <w:bCs/>
          <w:sz w:val="24"/>
          <w:szCs w:val="24"/>
        </w:rPr>
        <w:t>)</w:t>
      </w:r>
      <w:r>
        <w:rPr>
          <w:rFonts w:asciiTheme="minorHAnsi" w:hAnsiTheme="minorHAnsi"/>
          <w:bCs/>
          <w:sz w:val="24"/>
          <w:szCs w:val="24"/>
        </w:rPr>
        <w:t xml:space="preserve"> is an association for leaders of community based, not-for profit children’s services in South Australia. While there are many proposals within the</w:t>
      </w:r>
      <w:r w:rsidR="00E76F20" w:rsidRPr="00B50139">
        <w:rPr>
          <w:rFonts w:asciiTheme="minorHAnsi" w:hAnsiTheme="minorHAnsi"/>
          <w:bCs/>
          <w:sz w:val="24"/>
          <w:szCs w:val="24"/>
        </w:rPr>
        <w:t xml:space="preserve"> </w:t>
      </w:r>
      <w:r w:rsidR="00E76F20" w:rsidRPr="00B50139">
        <w:rPr>
          <w:rFonts w:asciiTheme="minorHAnsi" w:hAnsiTheme="minorHAnsi"/>
          <w:bCs/>
          <w:i/>
          <w:sz w:val="24"/>
          <w:szCs w:val="24"/>
        </w:rPr>
        <w:t>Productivity Commission Draft Report on Childcare and Early Childhood Learning</w:t>
      </w:r>
      <w:r w:rsidR="00E76F20" w:rsidRPr="00B50139">
        <w:rPr>
          <w:rFonts w:asciiTheme="minorHAnsi" w:hAnsiTheme="minorHAnsi"/>
          <w:bCs/>
          <w:sz w:val="24"/>
          <w:szCs w:val="24"/>
        </w:rPr>
        <w:t xml:space="preserve"> </w:t>
      </w:r>
      <w:r>
        <w:rPr>
          <w:rFonts w:asciiTheme="minorHAnsi" w:hAnsiTheme="minorHAnsi"/>
          <w:bCs/>
          <w:sz w:val="24"/>
          <w:szCs w:val="24"/>
        </w:rPr>
        <w:t xml:space="preserve">that will assist in making early childhood education &amp; care services more affordable </w:t>
      </w:r>
      <w:proofErr w:type="spellStart"/>
      <w:r>
        <w:rPr>
          <w:rFonts w:asciiTheme="minorHAnsi" w:hAnsiTheme="minorHAnsi"/>
          <w:bCs/>
          <w:sz w:val="24"/>
          <w:szCs w:val="24"/>
        </w:rPr>
        <w:t>CCCSA</w:t>
      </w:r>
      <w:proofErr w:type="spellEnd"/>
      <w:r>
        <w:rPr>
          <w:rFonts w:asciiTheme="minorHAnsi" w:hAnsiTheme="minorHAnsi"/>
          <w:bCs/>
          <w:sz w:val="24"/>
          <w:szCs w:val="24"/>
        </w:rPr>
        <w:t xml:space="preserve"> has identified several areas of concern that will have a detrimental effect on children &amp; families.</w:t>
      </w:r>
      <w:r w:rsidR="00E76F20" w:rsidRPr="00B50139">
        <w:rPr>
          <w:rFonts w:asciiTheme="minorHAnsi" w:hAnsiTheme="minorHAnsi"/>
          <w:bCs/>
          <w:sz w:val="24"/>
          <w:szCs w:val="24"/>
        </w:rPr>
        <w:t xml:space="preserve"> </w:t>
      </w:r>
    </w:p>
    <w:p w:rsidR="00CA4563" w:rsidRDefault="00CA4563" w:rsidP="00CA4563">
      <w:pPr>
        <w:autoSpaceDE w:val="0"/>
        <w:autoSpaceDN w:val="0"/>
        <w:spacing w:after="240" w:line="240" w:lineRule="auto"/>
        <w:jc w:val="both"/>
        <w:rPr>
          <w:rFonts w:asciiTheme="minorHAnsi" w:hAnsiTheme="minorHAnsi"/>
          <w:b/>
          <w:bCs/>
          <w:sz w:val="24"/>
          <w:szCs w:val="24"/>
        </w:rPr>
      </w:pPr>
      <w:r>
        <w:rPr>
          <w:rFonts w:asciiTheme="minorHAnsi" w:hAnsiTheme="minorHAnsi"/>
          <w:b/>
          <w:bCs/>
          <w:sz w:val="24"/>
          <w:szCs w:val="24"/>
        </w:rPr>
        <w:t xml:space="preserve">Concern </w:t>
      </w:r>
      <w:r w:rsidR="00E41AA2">
        <w:rPr>
          <w:rFonts w:asciiTheme="minorHAnsi" w:hAnsiTheme="minorHAnsi"/>
          <w:b/>
          <w:bCs/>
          <w:sz w:val="24"/>
          <w:szCs w:val="24"/>
        </w:rPr>
        <w:t>1:</w:t>
      </w:r>
      <w:r>
        <w:rPr>
          <w:rFonts w:asciiTheme="minorHAnsi" w:hAnsiTheme="minorHAnsi"/>
          <w:b/>
          <w:bCs/>
          <w:sz w:val="24"/>
          <w:szCs w:val="24"/>
        </w:rPr>
        <w:t xml:space="preserve"> The activity test &amp; ‘at risk’ processes.</w:t>
      </w:r>
    </w:p>
    <w:p w:rsidR="00CA4563" w:rsidRDefault="00CA4563" w:rsidP="00CA4563">
      <w:pPr>
        <w:autoSpaceDE w:val="0"/>
        <w:autoSpaceDN w:val="0"/>
        <w:spacing w:after="240" w:line="240" w:lineRule="auto"/>
        <w:jc w:val="both"/>
        <w:rPr>
          <w:rFonts w:asciiTheme="minorHAnsi" w:hAnsiTheme="minorHAnsi"/>
          <w:bCs/>
          <w:sz w:val="24"/>
          <w:szCs w:val="24"/>
        </w:rPr>
      </w:pPr>
      <w:r>
        <w:rPr>
          <w:rFonts w:asciiTheme="minorHAnsi" w:hAnsiTheme="minorHAnsi"/>
          <w:bCs/>
          <w:sz w:val="24"/>
          <w:szCs w:val="24"/>
        </w:rPr>
        <w:t xml:space="preserve">The activity test, as </w:t>
      </w:r>
      <w:r w:rsidR="00E41AA2">
        <w:rPr>
          <w:rFonts w:asciiTheme="minorHAnsi" w:hAnsiTheme="minorHAnsi"/>
          <w:bCs/>
          <w:sz w:val="24"/>
          <w:szCs w:val="24"/>
        </w:rPr>
        <w:t>proposed,</w:t>
      </w:r>
      <w:r>
        <w:rPr>
          <w:rFonts w:asciiTheme="minorHAnsi" w:hAnsiTheme="minorHAnsi"/>
          <w:bCs/>
          <w:sz w:val="24"/>
          <w:szCs w:val="24"/>
        </w:rPr>
        <w:t xml:space="preserve"> will significantly impact on vulnerable families particularly those who, for various reasons including mental illness, cannot work. We have serious concerns that children &amp; families </w:t>
      </w:r>
      <w:r w:rsidR="003E686A">
        <w:rPr>
          <w:rFonts w:asciiTheme="minorHAnsi" w:hAnsiTheme="minorHAnsi"/>
          <w:bCs/>
          <w:sz w:val="24"/>
          <w:szCs w:val="24"/>
        </w:rPr>
        <w:t>will be unable to access early childhood education &amp; care services due to the activity test &amp; ‘at risk’ processes. The exemption criteria are too limited. We often find that a diagnosis</w:t>
      </w:r>
      <w:r w:rsidR="0097411B">
        <w:rPr>
          <w:rFonts w:asciiTheme="minorHAnsi" w:hAnsiTheme="minorHAnsi"/>
          <w:bCs/>
          <w:sz w:val="24"/>
          <w:szCs w:val="24"/>
        </w:rPr>
        <w:t xml:space="preserve"> of disability in children </w:t>
      </w:r>
      <w:r w:rsidR="003E686A">
        <w:rPr>
          <w:rFonts w:asciiTheme="minorHAnsi" w:hAnsiTheme="minorHAnsi"/>
          <w:bCs/>
          <w:sz w:val="24"/>
          <w:szCs w:val="24"/>
        </w:rPr>
        <w:t xml:space="preserve">does not occur until children are enrolled in an early childhood service &amp; have been attending for some months. The actual process of diagnosis can be lengthy &amp; is influenced by </w:t>
      </w:r>
      <w:r w:rsidR="0097411B">
        <w:rPr>
          <w:rFonts w:asciiTheme="minorHAnsi" w:hAnsiTheme="minorHAnsi"/>
          <w:bCs/>
          <w:sz w:val="24"/>
          <w:szCs w:val="24"/>
        </w:rPr>
        <w:t>extensive</w:t>
      </w:r>
      <w:r w:rsidR="003E686A">
        <w:rPr>
          <w:rFonts w:asciiTheme="minorHAnsi" w:hAnsiTheme="minorHAnsi"/>
          <w:bCs/>
          <w:sz w:val="24"/>
          <w:szCs w:val="24"/>
        </w:rPr>
        <w:t xml:space="preserve"> waiting list times for children to be seen by specialists.</w:t>
      </w:r>
    </w:p>
    <w:p w:rsidR="00E41AA2" w:rsidRDefault="003E686A" w:rsidP="00CA4563">
      <w:pPr>
        <w:autoSpaceDE w:val="0"/>
        <w:autoSpaceDN w:val="0"/>
        <w:spacing w:after="240" w:line="240" w:lineRule="auto"/>
        <w:jc w:val="both"/>
        <w:rPr>
          <w:rFonts w:asciiTheme="minorHAnsi" w:hAnsiTheme="minorHAnsi"/>
          <w:bCs/>
          <w:sz w:val="18"/>
          <w:szCs w:val="18"/>
          <w:vertAlign w:val="superscript"/>
        </w:rPr>
      </w:pPr>
      <w:r>
        <w:rPr>
          <w:rFonts w:asciiTheme="minorHAnsi" w:hAnsiTheme="minorHAnsi"/>
          <w:bCs/>
          <w:sz w:val="24"/>
          <w:szCs w:val="24"/>
        </w:rPr>
        <w:t>This also applies to identifying families &amp; children ‘at risk.’  It takes time to build trust with vulnerable families</w:t>
      </w:r>
      <w:r w:rsidR="00613DE9">
        <w:rPr>
          <w:rFonts w:asciiTheme="minorHAnsi" w:hAnsiTheme="minorHAnsi"/>
          <w:bCs/>
          <w:sz w:val="24"/>
          <w:szCs w:val="24"/>
        </w:rPr>
        <w:t>,</w:t>
      </w:r>
      <w:r>
        <w:rPr>
          <w:rFonts w:asciiTheme="minorHAnsi" w:hAnsiTheme="minorHAnsi"/>
          <w:bCs/>
          <w:sz w:val="24"/>
          <w:szCs w:val="24"/>
        </w:rPr>
        <w:t xml:space="preserve"> many of whom are extremely wary of Government Departments &amp; systems.</w:t>
      </w:r>
      <w:r w:rsidR="0097411B">
        <w:rPr>
          <w:rFonts w:asciiTheme="minorHAnsi" w:hAnsiTheme="minorHAnsi"/>
          <w:bCs/>
          <w:sz w:val="24"/>
          <w:szCs w:val="24"/>
        </w:rPr>
        <w:t xml:space="preserve"> Making a notification to child protection authorities in every case will significantly affect the trust built between vulnerable families &amp; children &amp; is not always warranted. </w:t>
      </w:r>
      <w:r w:rsidR="00613DE9">
        <w:rPr>
          <w:rFonts w:asciiTheme="minorHAnsi" w:hAnsiTheme="minorHAnsi"/>
          <w:bCs/>
          <w:sz w:val="24"/>
          <w:szCs w:val="24"/>
        </w:rPr>
        <w:t xml:space="preserve">Many children’s services are the initial entry point for vulnerable families </w:t>
      </w:r>
      <w:r w:rsidR="00F0760E">
        <w:rPr>
          <w:rFonts w:asciiTheme="minorHAnsi" w:hAnsiTheme="minorHAnsi"/>
          <w:bCs/>
          <w:sz w:val="24"/>
          <w:szCs w:val="24"/>
        </w:rPr>
        <w:t xml:space="preserve">but are not yet in a place where the child may </w:t>
      </w:r>
      <w:r w:rsidR="00E41AA2">
        <w:rPr>
          <w:rFonts w:asciiTheme="minorHAnsi" w:hAnsiTheme="minorHAnsi"/>
          <w:bCs/>
          <w:sz w:val="24"/>
          <w:szCs w:val="24"/>
        </w:rPr>
        <w:t>be considered</w:t>
      </w:r>
      <w:r w:rsidR="00F0760E">
        <w:rPr>
          <w:rFonts w:asciiTheme="minorHAnsi" w:hAnsiTheme="minorHAnsi"/>
          <w:bCs/>
          <w:sz w:val="24"/>
          <w:szCs w:val="24"/>
        </w:rPr>
        <w:t xml:space="preserve"> to be at risk of serious abuse or </w:t>
      </w:r>
      <w:r w:rsidR="00E41AA2">
        <w:rPr>
          <w:rFonts w:asciiTheme="minorHAnsi" w:hAnsiTheme="minorHAnsi"/>
          <w:bCs/>
          <w:sz w:val="24"/>
          <w:szCs w:val="24"/>
        </w:rPr>
        <w:t>neglect. When</w:t>
      </w:r>
      <w:r w:rsidR="0097411B">
        <w:rPr>
          <w:rFonts w:asciiTheme="minorHAnsi" w:hAnsiTheme="minorHAnsi"/>
          <w:bCs/>
          <w:sz w:val="24"/>
          <w:szCs w:val="24"/>
        </w:rPr>
        <w:t xml:space="preserve"> high quality early childhood education &amp; care </w:t>
      </w:r>
      <w:r w:rsidR="00E41AA2">
        <w:rPr>
          <w:rFonts w:asciiTheme="minorHAnsi" w:hAnsiTheme="minorHAnsi"/>
          <w:bCs/>
          <w:sz w:val="24"/>
          <w:szCs w:val="24"/>
        </w:rPr>
        <w:t>services are</w:t>
      </w:r>
      <w:r w:rsidR="0097411B">
        <w:rPr>
          <w:rFonts w:asciiTheme="minorHAnsi" w:hAnsiTheme="minorHAnsi"/>
          <w:bCs/>
          <w:sz w:val="24"/>
          <w:szCs w:val="24"/>
        </w:rPr>
        <w:t xml:space="preserve"> able to identify &amp; support families early the need for a notification is often minimised or averted. The current Australian Government’s Priority of Access Guidelines provide Directors of Children’s Services with an easy framework to prioritise children who are at risk, along with subcategories that</w:t>
      </w:r>
      <w:r w:rsidR="000A7EF6">
        <w:rPr>
          <w:rFonts w:asciiTheme="minorHAnsi" w:hAnsiTheme="minorHAnsi"/>
          <w:bCs/>
          <w:sz w:val="24"/>
          <w:szCs w:val="24"/>
        </w:rPr>
        <w:t xml:space="preserve"> are</w:t>
      </w:r>
      <w:r w:rsidR="0097411B">
        <w:rPr>
          <w:rFonts w:asciiTheme="minorHAnsi" w:hAnsiTheme="minorHAnsi"/>
          <w:bCs/>
          <w:sz w:val="24"/>
          <w:szCs w:val="24"/>
        </w:rPr>
        <w:t xml:space="preserve"> possible indicators of disadvantage &amp; vulnerability.</w:t>
      </w:r>
      <w:r w:rsidR="00AB1DC4">
        <w:rPr>
          <w:rFonts w:asciiTheme="minorHAnsi" w:hAnsiTheme="minorHAnsi"/>
          <w:bCs/>
          <w:sz w:val="24"/>
          <w:szCs w:val="24"/>
        </w:rPr>
        <w:t xml:space="preserve">   Through the COAG   (</w:t>
      </w:r>
      <w:r w:rsidR="00E41AA2">
        <w:rPr>
          <w:rFonts w:asciiTheme="minorHAnsi" w:hAnsiTheme="minorHAnsi"/>
          <w:bCs/>
          <w:sz w:val="24"/>
          <w:szCs w:val="24"/>
        </w:rPr>
        <w:t>Council of</w:t>
      </w:r>
      <w:r w:rsidR="009A147E">
        <w:rPr>
          <w:rFonts w:asciiTheme="minorHAnsi" w:hAnsiTheme="minorHAnsi"/>
          <w:bCs/>
          <w:sz w:val="24"/>
          <w:szCs w:val="24"/>
        </w:rPr>
        <w:t xml:space="preserve"> Australian </w:t>
      </w:r>
      <w:r w:rsidR="00E41AA2">
        <w:rPr>
          <w:rFonts w:asciiTheme="minorHAnsi" w:hAnsiTheme="minorHAnsi"/>
          <w:bCs/>
          <w:sz w:val="24"/>
          <w:szCs w:val="24"/>
        </w:rPr>
        <w:t>Governments)</w:t>
      </w:r>
      <w:r w:rsidR="009A147E">
        <w:rPr>
          <w:rFonts w:asciiTheme="minorHAnsi" w:hAnsiTheme="minorHAnsi"/>
          <w:bCs/>
          <w:sz w:val="24"/>
          <w:szCs w:val="24"/>
        </w:rPr>
        <w:t xml:space="preserve"> all States &amp; Territories have endorsed the </w:t>
      </w:r>
      <w:r w:rsidR="009A147E">
        <w:rPr>
          <w:rFonts w:asciiTheme="minorHAnsi" w:hAnsiTheme="minorHAnsi"/>
          <w:bCs/>
          <w:i/>
          <w:sz w:val="24"/>
          <w:szCs w:val="24"/>
        </w:rPr>
        <w:t xml:space="preserve">National Framework for Protecting Australia’s Children 2009 to 2020.  </w:t>
      </w:r>
      <w:r w:rsidR="009A147E">
        <w:rPr>
          <w:rFonts w:asciiTheme="minorHAnsi" w:hAnsiTheme="minorHAnsi"/>
          <w:bCs/>
          <w:sz w:val="24"/>
          <w:szCs w:val="24"/>
        </w:rPr>
        <w:t xml:space="preserve">One of the six critical outcomes of the National Framework is that </w:t>
      </w:r>
      <w:r w:rsidR="00E41AA2">
        <w:rPr>
          <w:rFonts w:asciiTheme="minorHAnsi" w:hAnsiTheme="minorHAnsi"/>
          <w:bCs/>
          <w:sz w:val="24"/>
          <w:szCs w:val="24"/>
        </w:rPr>
        <w:t>“children</w:t>
      </w:r>
      <w:r w:rsidR="009A147E">
        <w:rPr>
          <w:rFonts w:asciiTheme="minorHAnsi" w:hAnsiTheme="minorHAnsi"/>
          <w:bCs/>
          <w:sz w:val="24"/>
          <w:szCs w:val="24"/>
        </w:rPr>
        <w:t xml:space="preserve"> &amp; families access adequate to promote safety &amp; intervene </w:t>
      </w:r>
      <w:proofErr w:type="spellStart"/>
      <w:r w:rsidR="009A147E">
        <w:rPr>
          <w:rFonts w:asciiTheme="minorHAnsi" w:hAnsiTheme="minorHAnsi"/>
          <w:bCs/>
          <w:sz w:val="24"/>
          <w:szCs w:val="24"/>
        </w:rPr>
        <w:t>early”.</w:t>
      </w:r>
      <w:r w:rsidR="009A147E">
        <w:rPr>
          <w:rFonts w:asciiTheme="minorHAnsi" w:hAnsiTheme="minorHAnsi"/>
          <w:bCs/>
          <w:sz w:val="18"/>
          <w:szCs w:val="18"/>
          <w:vertAlign w:val="superscript"/>
        </w:rPr>
        <w:t>1</w:t>
      </w:r>
      <w:proofErr w:type="spellEnd"/>
      <w:r w:rsidR="009A147E">
        <w:rPr>
          <w:rFonts w:asciiTheme="minorHAnsi" w:hAnsiTheme="minorHAnsi"/>
          <w:bCs/>
          <w:sz w:val="18"/>
          <w:szCs w:val="18"/>
          <w:vertAlign w:val="superscript"/>
        </w:rPr>
        <w:t xml:space="preserve">     </w:t>
      </w:r>
    </w:p>
    <w:p w:rsidR="00E41AA2" w:rsidRPr="00E41AA2" w:rsidRDefault="00C815F0" w:rsidP="00E41AA2">
      <w:pPr>
        <w:pStyle w:val="ListParagraph"/>
        <w:numPr>
          <w:ilvl w:val="0"/>
          <w:numId w:val="20"/>
        </w:numPr>
        <w:autoSpaceDE w:val="0"/>
        <w:autoSpaceDN w:val="0"/>
        <w:spacing w:after="240" w:line="240" w:lineRule="auto"/>
        <w:ind w:left="284"/>
        <w:jc w:val="both"/>
        <w:rPr>
          <w:rFonts w:asciiTheme="minorHAnsi" w:hAnsiTheme="minorHAnsi"/>
          <w:bCs/>
          <w:sz w:val="24"/>
          <w:szCs w:val="24"/>
        </w:rPr>
      </w:pPr>
      <w:r w:rsidRPr="00E41AA2">
        <w:rPr>
          <w:rFonts w:asciiTheme="minorHAnsi" w:hAnsiTheme="minorHAnsi"/>
          <w:b/>
          <w:bCs/>
          <w:i/>
          <w:sz w:val="24"/>
          <w:szCs w:val="24"/>
        </w:rPr>
        <w:t>( Protecting Children is Everyone’s Business, 2</w:t>
      </w:r>
      <w:r w:rsidRPr="00E41AA2">
        <w:rPr>
          <w:rFonts w:asciiTheme="minorHAnsi" w:hAnsiTheme="minorHAnsi"/>
          <w:b/>
          <w:bCs/>
          <w:i/>
          <w:sz w:val="24"/>
          <w:szCs w:val="24"/>
          <w:vertAlign w:val="superscript"/>
        </w:rPr>
        <w:t>nd</w:t>
      </w:r>
      <w:r w:rsidRPr="00E41AA2">
        <w:rPr>
          <w:rFonts w:asciiTheme="minorHAnsi" w:hAnsiTheme="minorHAnsi"/>
          <w:b/>
          <w:bCs/>
          <w:i/>
          <w:sz w:val="24"/>
          <w:szCs w:val="24"/>
        </w:rPr>
        <w:t xml:space="preserve"> 3-year action plan, 2012-2015 </w:t>
      </w:r>
      <w:r w:rsidRPr="00E41AA2">
        <w:rPr>
          <w:rFonts w:asciiTheme="minorHAnsi" w:hAnsiTheme="minorHAnsi"/>
          <w:b/>
          <w:bCs/>
          <w:sz w:val="24"/>
          <w:szCs w:val="24"/>
        </w:rPr>
        <w:t xml:space="preserve">Commonwealth of Australia 2012, </w:t>
      </w:r>
      <w:proofErr w:type="spellStart"/>
      <w:r w:rsidRPr="00E41AA2">
        <w:rPr>
          <w:rFonts w:asciiTheme="minorHAnsi" w:hAnsiTheme="minorHAnsi"/>
          <w:b/>
          <w:bCs/>
          <w:sz w:val="24"/>
          <w:szCs w:val="24"/>
        </w:rPr>
        <w:t>p.8</w:t>
      </w:r>
      <w:proofErr w:type="spellEnd"/>
      <w:r w:rsidRPr="00E41AA2">
        <w:rPr>
          <w:rFonts w:asciiTheme="minorHAnsi" w:hAnsiTheme="minorHAnsi"/>
          <w:b/>
          <w:bCs/>
          <w:sz w:val="24"/>
          <w:szCs w:val="24"/>
        </w:rPr>
        <w:t>)</w:t>
      </w:r>
      <w:r w:rsidRPr="00E41AA2">
        <w:rPr>
          <w:rFonts w:asciiTheme="minorHAnsi" w:hAnsiTheme="minorHAnsi"/>
          <w:bCs/>
          <w:sz w:val="24"/>
          <w:szCs w:val="24"/>
        </w:rPr>
        <w:t xml:space="preserve">               </w:t>
      </w:r>
    </w:p>
    <w:p w:rsidR="00F0760E" w:rsidRPr="00E41AA2" w:rsidRDefault="00C815F0" w:rsidP="00E41AA2">
      <w:pPr>
        <w:autoSpaceDE w:val="0"/>
        <w:autoSpaceDN w:val="0"/>
        <w:spacing w:after="240" w:line="240" w:lineRule="auto"/>
        <w:jc w:val="both"/>
        <w:rPr>
          <w:rFonts w:asciiTheme="minorHAnsi" w:hAnsiTheme="minorHAnsi"/>
          <w:bCs/>
          <w:sz w:val="24"/>
          <w:szCs w:val="24"/>
        </w:rPr>
      </w:pPr>
      <w:r w:rsidRPr="00E41AA2">
        <w:rPr>
          <w:rFonts w:asciiTheme="minorHAnsi" w:hAnsiTheme="minorHAnsi"/>
          <w:bCs/>
          <w:sz w:val="24"/>
          <w:szCs w:val="24"/>
        </w:rPr>
        <w:t xml:space="preserve">The public health model adopted by the National Framework considers that universal supports such as children’s services are a soft, safe entry point for families that may be in vulnerable circumstances related to child safety &amp; </w:t>
      </w:r>
      <w:proofErr w:type="spellStart"/>
      <w:r w:rsidRPr="00E41AA2">
        <w:rPr>
          <w:rFonts w:asciiTheme="minorHAnsi" w:hAnsiTheme="minorHAnsi"/>
          <w:bCs/>
          <w:sz w:val="24"/>
          <w:szCs w:val="24"/>
        </w:rPr>
        <w:t>well-being</w:t>
      </w:r>
      <w:proofErr w:type="spellEnd"/>
      <w:r w:rsidRPr="00E41AA2">
        <w:rPr>
          <w:rFonts w:asciiTheme="minorHAnsi" w:hAnsiTheme="minorHAnsi"/>
          <w:bCs/>
          <w:sz w:val="24"/>
          <w:szCs w:val="24"/>
        </w:rPr>
        <w:t xml:space="preserve">.      </w:t>
      </w:r>
    </w:p>
    <w:p w:rsidR="00F0760E" w:rsidRDefault="00AB1DC4" w:rsidP="0052675A">
      <w:pPr>
        <w:spacing w:after="0" w:line="240" w:lineRule="auto"/>
        <w:rPr>
          <w:rFonts w:asciiTheme="minorHAnsi" w:hAnsiTheme="minorHAnsi"/>
          <w:b/>
          <w:bCs/>
          <w:sz w:val="24"/>
          <w:szCs w:val="24"/>
        </w:rPr>
      </w:pPr>
      <w:r>
        <w:rPr>
          <w:rFonts w:asciiTheme="minorHAnsi" w:hAnsiTheme="minorHAnsi"/>
          <w:b/>
          <w:bCs/>
          <w:sz w:val="24"/>
          <w:szCs w:val="24"/>
        </w:rPr>
        <w:br w:type="page"/>
      </w:r>
      <w:r w:rsidR="00F0760E">
        <w:rPr>
          <w:rFonts w:asciiTheme="minorHAnsi" w:hAnsiTheme="minorHAnsi"/>
          <w:b/>
          <w:bCs/>
          <w:sz w:val="24"/>
          <w:szCs w:val="24"/>
        </w:rPr>
        <w:lastRenderedPageBreak/>
        <w:t>Concern 2: National Quality Framework</w:t>
      </w:r>
    </w:p>
    <w:p w:rsidR="00D121B9" w:rsidRDefault="00F0760E" w:rsidP="00CA4563">
      <w:pPr>
        <w:autoSpaceDE w:val="0"/>
        <w:autoSpaceDN w:val="0"/>
        <w:spacing w:after="240" w:line="240" w:lineRule="auto"/>
        <w:jc w:val="both"/>
        <w:rPr>
          <w:rFonts w:asciiTheme="minorHAnsi" w:hAnsiTheme="minorHAnsi"/>
          <w:bCs/>
          <w:sz w:val="24"/>
          <w:szCs w:val="24"/>
        </w:rPr>
      </w:pPr>
      <w:r>
        <w:rPr>
          <w:rFonts w:asciiTheme="minorHAnsi" w:hAnsiTheme="minorHAnsi"/>
          <w:bCs/>
          <w:sz w:val="24"/>
          <w:szCs w:val="24"/>
        </w:rPr>
        <w:t>We strongly recommend that there be no changes to the National Quality Framework particularly</w:t>
      </w:r>
      <w:r w:rsidR="0009609C">
        <w:rPr>
          <w:rFonts w:asciiTheme="minorHAnsi" w:hAnsiTheme="minorHAnsi"/>
          <w:bCs/>
          <w:sz w:val="24"/>
          <w:szCs w:val="24"/>
        </w:rPr>
        <w:t xml:space="preserve"> in regard</w:t>
      </w:r>
      <w:r>
        <w:rPr>
          <w:rFonts w:asciiTheme="minorHAnsi" w:hAnsiTheme="minorHAnsi"/>
          <w:bCs/>
          <w:sz w:val="24"/>
          <w:szCs w:val="24"/>
        </w:rPr>
        <w:t xml:space="preserve"> to qualification requirements &amp; the inclusion of preschools. The National Quality Framework was introduced to ensure that all children had access to qual</w:t>
      </w:r>
      <w:r w:rsidR="0009609C">
        <w:rPr>
          <w:rFonts w:asciiTheme="minorHAnsi" w:hAnsiTheme="minorHAnsi"/>
          <w:bCs/>
          <w:sz w:val="24"/>
          <w:szCs w:val="24"/>
        </w:rPr>
        <w:t xml:space="preserve">ity children’s services. If preschools were removed from the scope of the </w:t>
      </w:r>
      <w:proofErr w:type="spellStart"/>
      <w:r w:rsidR="0009609C">
        <w:rPr>
          <w:rFonts w:asciiTheme="minorHAnsi" w:hAnsiTheme="minorHAnsi"/>
          <w:bCs/>
          <w:sz w:val="24"/>
          <w:szCs w:val="24"/>
        </w:rPr>
        <w:t>NQF</w:t>
      </w:r>
      <w:proofErr w:type="spellEnd"/>
      <w:r w:rsidR="0009609C">
        <w:rPr>
          <w:rFonts w:asciiTheme="minorHAnsi" w:hAnsiTheme="minorHAnsi"/>
          <w:bCs/>
          <w:sz w:val="24"/>
          <w:szCs w:val="24"/>
        </w:rPr>
        <w:t xml:space="preserve"> there will be no quality assurance requirements for preschools which are a large part of the early childhood sector.</w:t>
      </w:r>
      <w:r w:rsidR="00D121B9">
        <w:rPr>
          <w:rFonts w:asciiTheme="minorHAnsi" w:hAnsiTheme="minorHAnsi"/>
          <w:bCs/>
          <w:sz w:val="24"/>
          <w:szCs w:val="24"/>
        </w:rPr>
        <w:t xml:space="preserve">   There are currently other review processes in place in regard to the </w:t>
      </w:r>
      <w:proofErr w:type="spellStart"/>
      <w:r w:rsidR="00D121B9">
        <w:rPr>
          <w:rFonts w:asciiTheme="minorHAnsi" w:hAnsiTheme="minorHAnsi"/>
          <w:bCs/>
          <w:sz w:val="24"/>
          <w:szCs w:val="24"/>
        </w:rPr>
        <w:t>NQF</w:t>
      </w:r>
      <w:proofErr w:type="spellEnd"/>
      <w:r w:rsidR="00D121B9">
        <w:rPr>
          <w:rFonts w:asciiTheme="minorHAnsi" w:hAnsiTheme="minorHAnsi"/>
          <w:bCs/>
          <w:sz w:val="24"/>
          <w:szCs w:val="24"/>
        </w:rPr>
        <w:t xml:space="preserve"> &amp; there are still many education &amp; care services that have not been assessed. These review processes will provide informed recommendations regarding the </w:t>
      </w:r>
      <w:proofErr w:type="spellStart"/>
      <w:r w:rsidR="00D121B9">
        <w:rPr>
          <w:rFonts w:asciiTheme="minorHAnsi" w:hAnsiTheme="minorHAnsi"/>
          <w:bCs/>
          <w:sz w:val="24"/>
          <w:szCs w:val="24"/>
        </w:rPr>
        <w:t>NQF</w:t>
      </w:r>
      <w:proofErr w:type="spellEnd"/>
      <w:r w:rsidR="00D121B9">
        <w:rPr>
          <w:rFonts w:asciiTheme="minorHAnsi" w:hAnsiTheme="minorHAnsi"/>
          <w:bCs/>
          <w:sz w:val="24"/>
          <w:szCs w:val="24"/>
        </w:rPr>
        <w:t>. However we still believe that no changes should be made until all early education &amp; care services have undergone the assessment &amp; rating process.</w:t>
      </w:r>
    </w:p>
    <w:p w:rsidR="00D121B9" w:rsidRDefault="00D121B9" w:rsidP="00CA4563">
      <w:pPr>
        <w:autoSpaceDE w:val="0"/>
        <w:autoSpaceDN w:val="0"/>
        <w:spacing w:after="240" w:line="240" w:lineRule="auto"/>
        <w:jc w:val="both"/>
        <w:rPr>
          <w:rFonts w:asciiTheme="minorHAnsi" w:hAnsiTheme="minorHAnsi"/>
          <w:b/>
          <w:bCs/>
          <w:sz w:val="24"/>
          <w:szCs w:val="24"/>
        </w:rPr>
      </w:pPr>
      <w:r>
        <w:rPr>
          <w:rFonts w:asciiTheme="minorHAnsi" w:hAnsiTheme="minorHAnsi"/>
          <w:b/>
          <w:bCs/>
          <w:sz w:val="24"/>
          <w:szCs w:val="24"/>
        </w:rPr>
        <w:t xml:space="preserve">Concern </w:t>
      </w:r>
      <w:r w:rsidR="00E41AA2">
        <w:rPr>
          <w:rFonts w:asciiTheme="minorHAnsi" w:hAnsiTheme="minorHAnsi"/>
          <w:b/>
          <w:bCs/>
          <w:sz w:val="24"/>
          <w:szCs w:val="24"/>
        </w:rPr>
        <w:t>3:</w:t>
      </w:r>
      <w:r>
        <w:rPr>
          <w:rFonts w:asciiTheme="minorHAnsi" w:hAnsiTheme="minorHAnsi"/>
          <w:b/>
          <w:bCs/>
          <w:sz w:val="24"/>
          <w:szCs w:val="24"/>
        </w:rPr>
        <w:t xml:space="preserve">  Risks for children &amp; Government</w:t>
      </w:r>
    </w:p>
    <w:p w:rsidR="00E414B9" w:rsidRDefault="00D121B9" w:rsidP="00CA4563">
      <w:pPr>
        <w:autoSpaceDE w:val="0"/>
        <w:autoSpaceDN w:val="0"/>
        <w:spacing w:after="240" w:line="240" w:lineRule="auto"/>
        <w:jc w:val="both"/>
        <w:rPr>
          <w:rFonts w:asciiTheme="minorHAnsi" w:hAnsiTheme="minorHAnsi"/>
          <w:bCs/>
          <w:sz w:val="24"/>
          <w:szCs w:val="24"/>
        </w:rPr>
      </w:pPr>
      <w:r>
        <w:rPr>
          <w:rFonts w:asciiTheme="minorHAnsi" w:hAnsiTheme="minorHAnsi"/>
          <w:bCs/>
          <w:sz w:val="24"/>
          <w:szCs w:val="24"/>
        </w:rPr>
        <w:t xml:space="preserve">Full consideration needs to be given to the levels of risk inherent when a reduction in quality, ratios &amp; qualification requirements are recommended.  </w:t>
      </w:r>
      <w:r w:rsidR="00E414B9">
        <w:rPr>
          <w:rFonts w:asciiTheme="minorHAnsi" w:hAnsiTheme="minorHAnsi"/>
          <w:bCs/>
          <w:sz w:val="24"/>
          <w:szCs w:val="24"/>
        </w:rPr>
        <w:t xml:space="preserve"> All research suggests that educator qualifications &amp; child: staff ratios impact on quality.</w:t>
      </w:r>
    </w:p>
    <w:p w:rsidR="00E41AA2" w:rsidRDefault="00E414B9" w:rsidP="00CA4563">
      <w:pPr>
        <w:autoSpaceDE w:val="0"/>
        <w:autoSpaceDN w:val="0"/>
        <w:spacing w:after="240" w:line="240" w:lineRule="auto"/>
        <w:jc w:val="both"/>
        <w:rPr>
          <w:rFonts w:asciiTheme="minorHAnsi" w:hAnsiTheme="minorHAnsi"/>
          <w:bCs/>
          <w:i/>
          <w:sz w:val="24"/>
          <w:szCs w:val="24"/>
        </w:rPr>
      </w:pPr>
      <w:r>
        <w:rPr>
          <w:rFonts w:asciiTheme="minorHAnsi" w:hAnsiTheme="minorHAnsi"/>
          <w:bCs/>
          <w:sz w:val="24"/>
          <w:szCs w:val="24"/>
        </w:rPr>
        <w:t>Children Under 3 years of age require Diploma &amp; Degree qualified educators. Neuroscience identifies that the 1</w:t>
      </w:r>
      <w:r w:rsidRPr="00E414B9">
        <w:rPr>
          <w:rFonts w:asciiTheme="minorHAnsi" w:hAnsiTheme="minorHAnsi"/>
          <w:bCs/>
          <w:sz w:val="24"/>
          <w:szCs w:val="24"/>
          <w:vertAlign w:val="superscript"/>
        </w:rPr>
        <w:t>st</w:t>
      </w:r>
      <w:r>
        <w:rPr>
          <w:rFonts w:asciiTheme="minorHAnsi" w:hAnsiTheme="minorHAnsi"/>
          <w:bCs/>
          <w:sz w:val="24"/>
          <w:szCs w:val="24"/>
        </w:rPr>
        <w:t xml:space="preserve"> three years of life are the most vulnerable for children’s development &amp; learning. </w:t>
      </w:r>
      <w:proofErr w:type="spellStart"/>
      <w:r>
        <w:rPr>
          <w:rFonts w:asciiTheme="minorHAnsi" w:hAnsiTheme="minorHAnsi"/>
          <w:bCs/>
          <w:i/>
          <w:sz w:val="24"/>
          <w:szCs w:val="24"/>
        </w:rPr>
        <w:t>Shonkoff</w:t>
      </w:r>
      <w:proofErr w:type="spellEnd"/>
      <w:r>
        <w:rPr>
          <w:rFonts w:asciiTheme="minorHAnsi" w:hAnsiTheme="minorHAnsi"/>
          <w:bCs/>
          <w:i/>
          <w:sz w:val="24"/>
          <w:szCs w:val="24"/>
        </w:rPr>
        <w:t xml:space="preserve"> (2000); Phillips (2000); Blakemore </w:t>
      </w:r>
      <w:r w:rsidR="00E41AA2">
        <w:rPr>
          <w:rFonts w:asciiTheme="minorHAnsi" w:hAnsiTheme="minorHAnsi"/>
          <w:bCs/>
          <w:i/>
          <w:sz w:val="24"/>
          <w:szCs w:val="24"/>
        </w:rPr>
        <w:t>(2005</w:t>
      </w:r>
      <w:r>
        <w:rPr>
          <w:rFonts w:asciiTheme="minorHAnsi" w:hAnsiTheme="minorHAnsi"/>
          <w:bCs/>
          <w:i/>
          <w:sz w:val="24"/>
          <w:szCs w:val="24"/>
        </w:rPr>
        <w:t>).</w:t>
      </w:r>
      <w:r w:rsidR="003C3B9B">
        <w:rPr>
          <w:rFonts w:asciiTheme="minorHAnsi" w:hAnsiTheme="minorHAnsi"/>
          <w:bCs/>
          <w:i/>
          <w:sz w:val="24"/>
          <w:szCs w:val="24"/>
        </w:rPr>
        <w:t xml:space="preserve">    </w:t>
      </w:r>
    </w:p>
    <w:p w:rsidR="00876F69" w:rsidRPr="00876F69" w:rsidRDefault="003C3B9B" w:rsidP="00CA4563">
      <w:pPr>
        <w:autoSpaceDE w:val="0"/>
        <w:autoSpaceDN w:val="0"/>
        <w:spacing w:after="240" w:line="240" w:lineRule="auto"/>
        <w:jc w:val="both"/>
        <w:rPr>
          <w:rFonts w:asciiTheme="minorHAnsi" w:hAnsiTheme="minorHAnsi"/>
          <w:bCs/>
          <w:sz w:val="24"/>
          <w:szCs w:val="24"/>
          <w:vertAlign w:val="superscript"/>
        </w:rPr>
      </w:pPr>
      <w:r>
        <w:rPr>
          <w:rFonts w:asciiTheme="minorHAnsi" w:hAnsiTheme="minorHAnsi"/>
          <w:bCs/>
          <w:sz w:val="24"/>
          <w:szCs w:val="24"/>
        </w:rPr>
        <w:t xml:space="preserve">Lowering the qualification requirements for educators </w:t>
      </w:r>
      <w:r w:rsidR="000A7EF6">
        <w:rPr>
          <w:rFonts w:asciiTheme="minorHAnsi" w:hAnsiTheme="minorHAnsi"/>
          <w:bCs/>
          <w:sz w:val="24"/>
          <w:szCs w:val="24"/>
        </w:rPr>
        <w:t>increases</w:t>
      </w:r>
      <w:r w:rsidR="00C815F0">
        <w:rPr>
          <w:rFonts w:asciiTheme="minorHAnsi" w:hAnsiTheme="minorHAnsi"/>
          <w:bCs/>
          <w:sz w:val="24"/>
          <w:szCs w:val="24"/>
        </w:rPr>
        <w:t xml:space="preserve"> </w:t>
      </w:r>
      <w:r>
        <w:rPr>
          <w:rFonts w:asciiTheme="minorHAnsi" w:hAnsiTheme="minorHAnsi"/>
          <w:bCs/>
          <w:sz w:val="24"/>
          <w:szCs w:val="24"/>
        </w:rPr>
        <w:t xml:space="preserve">risk due to the reduced theoretical &amp; practical knowledge of educators. The recommendation to lower qualification requirements goes against the research which shows the link between qualifications, quality &amp; positive outcomes for children. </w:t>
      </w:r>
      <w:r w:rsidR="00876F69">
        <w:rPr>
          <w:rFonts w:asciiTheme="minorHAnsi" w:hAnsiTheme="minorHAnsi"/>
          <w:bCs/>
          <w:sz w:val="18"/>
          <w:szCs w:val="18"/>
        </w:rPr>
        <w:t>2    3</w:t>
      </w:r>
    </w:p>
    <w:p w:rsidR="00E41AA2" w:rsidRPr="00E41AA2" w:rsidRDefault="000A7EF6" w:rsidP="00E41AA2">
      <w:pPr>
        <w:pStyle w:val="ListParagraph"/>
        <w:numPr>
          <w:ilvl w:val="0"/>
          <w:numId w:val="20"/>
        </w:numPr>
        <w:autoSpaceDE w:val="0"/>
        <w:autoSpaceDN w:val="0"/>
        <w:spacing w:after="240" w:line="240" w:lineRule="auto"/>
        <w:ind w:left="284"/>
        <w:rPr>
          <w:rFonts w:asciiTheme="minorHAnsi" w:hAnsiTheme="minorHAnsi"/>
          <w:b/>
          <w:bCs/>
          <w:i/>
          <w:sz w:val="24"/>
          <w:szCs w:val="24"/>
        </w:rPr>
      </w:pPr>
      <w:r w:rsidRPr="00E41AA2">
        <w:rPr>
          <w:rFonts w:asciiTheme="minorHAnsi" w:hAnsiTheme="minorHAnsi"/>
          <w:b/>
          <w:bCs/>
          <w:i/>
          <w:sz w:val="24"/>
          <w:szCs w:val="24"/>
        </w:rPr>
        <w:t xml:space="preserve">1:4 Cross Sectoral Task Force – Report on the Implementation of a 1:4 staff-child ratio for children aged under 2 years in NSW Children’s Services 2006 ;                                 </w:t>
      </w:r>
    </w:p>
    <w:p w:rsidR="00C815F0" w:rsidRPr="00E41AA2" w:rsidRDefault="000A7EF6" w:rsidP="00E41AA2">
      <w:pPr>
        <w:pStyle w:val="ListParagraph"/>
        <w:numPr>
          <w:ilvl w:val="0"/>
          <w:numId w:val="20"/>
        </w:numPr>
        <w:autoSpaceDE w:val="0"/>
        <w:autoSpaceDN w:val="0"/>
        <w:spacing w:after="240" w:line="240" w:lineRule="auto"/>
        <w:ind w:left="284"/>
        <w:rPr>
          <w:rFonts w:asciiTheme="minorHAnsi" w:hAnsiTheme="minorHAnsi"/>
          <w:bCs/>
          <w:sz w:val="24"/>
          <w:szCs w:val="24"/>
        </w:rPr>
      </w:pPr>
      <w:r w:rsidRPr="00E41AA2">
        <w:rPr>
          <w:rFonts w:asciiTheme="minorHAnsi" w:hAnsiTheme="minorHAnsi"/>
          <w:b/>
          <w:bCs/>
          <w:i/>
          <w:sz w:val="24"/>
          <w:szCs w:val="24"/>
        </w:rPr>
        <w:t xml:space="preserve">Research on Ratios, Group </w:t>
      </w:r>
      <w:r w:rsidR="00E41AA2" w:rsidRPr="00E41AA2">
        <w:rPr>
          <w:rFonts w:asciiTheme="minorHAnsi" w:hAnsiTheme="minorHAnsi"/>
          <w:b/>
          <w:bCs/>
          <w:i/>
          <w:sz w:val="24"/>
          <w:szCs w:val="24"/>
        </w:rPr>
        <w:t>Size,</w:t>
      </w:r>
      <w:r w:rsidRPr="00E41AA2">
        <w:rPr>
          <w:rFonts w:asciiTheme="minorHAnsi" w:hAnsiTheme="minorHAnsi"/>
          <w:b/>
          <w:bCs/>
          <w:i/>
          <w:sz w:val="24"/>
          <w:szCs w:val="24"/>
        </w:rPr>
        <w:t xml:space="preserve"> Staff qualifications &amp; training in Early Years &amp; Child Care Settings. Thomas </w:t>
      </w:r>
      <w:proofErr w:type="spellStart"/>
      <w:r w:rsidRPr="00E41AA2">
        <w:rPr>
          <w:rFonts w:asciiTheme="minorHAnsi" w:hAnsiTheme="minorHAnsi"/>
          <w:b/>
          <w:bCs/>
          <w:i/>
          <w:sz w:val="24"/>
          <w:szCs w:val="24"/>
        </w:rPr>
        <w:t>Coran</w:t>
      </w:r>
      <w:proofErr w:type="spellEnd"/>
      <w:r w:rsidRPr="00E41AA2">
        <w:rPr>
          <w:rFonts w:asciiTheme="minorHAnsi" w:hAnsiTheme="minorHAnsi"/>
          <w:bCs/>
          <w:i/>
          <w:sz w:val="24"/>
          <w:szCs w:val="24"/>
        </w:rPr>
        <w:t xml:space="preserve"> </w:t>
      </w:r>
      <w:r w:rsidRPr="00E41AA2">
        <w:rPr>
          <w:rFonts w:asciiTheme="minorHAnsi" w:hAnsiTheme="minorHAnsi"/>
          <w:b/>
          <w:bCs/>
          <w:i/>
          <w:sz w:val="24"/>
          <w:szCs w:val="24"/>
        </w:rPr>
        <w:t>Research</w:t>
      </w:r>
      <w:r w:rsidR="00876F69" w:rsidRPr="00E41AA2">
        <w:rPr>
          <w:rFonts w:asciiTheme="minorHAnsi" w:hAnsiTheme="minorHAnsi"/>
          <w:b/>
          <w:bCs/>
          <w:i/>
          <w:sz w:val="24"/>
          <w:szCs w:val="24"/>
        </w:rPr>
        <w:t xml:space="preserve"> Unit, Institute of Education, University of London, 2002.</w:t>
      </w:r>
      <w:r w:rsidR="003C3B9B" w:rsidRPr="00E41AA2">
        <w:rPr>
          <w:rFonts w:asciiTheme="minorHAnsi" w:hAnsiTheme="minorHAnsi"/>
          <w:bCs/>
          <w:i/>
          <w:sz w:val="24"/>
          <w:szCs w:val="24"/>
        </w:rPr>
        <w:t xml:space="preserve">   </w:t>
      </w:r>
      <w:r w:rsidR="00C815F0" w:rsidRPr="00E41AA2">
        <w:rPr>
          <w:rFonts w:asciiTheme="minorHAnsi" w:hAnsiTheme="minorHAnsi"/>
          <w:bCs/>
          <w:sz w:val="24"/>
          <w:szCs w:val="24"/>
        </w:rPr>
        <w:t xml:space="preserve">                                             </w:t>
      </w:r>
    </w:p>
    <w:p w:rsidR="00C97F26" w:rsidRDefault="00876F69" w:rsidP="00AF7959">
      <w:pPr>
        <w:spacing w:after="240" w:line="240" w:lineRule="auto"/>
        <w:jc w:val="both"/>
        <w:rPr>
          <w:rFonts w:asciiTheme="minorHAnsi" w:hAnsiTheme="minorHAnsi"/>
          <w:bCs/>
          <w:sz w:val="24"/>
          <w:szCs w:val="24"/>
        </w:rPr>
      </w:pPr>
      <w:r>
        <w:rPr>
          <w:rFonts w:asciiTheme="minorHAnsi" w:hAnsiTheme="minorHAnsi"/>
          <w:bCs/>
          <w:sz w:val="24"/>
          <w:szCs w:val="24"/>
        </w:rPr>
        <w:t>Lowering the level of qualification requirements also decreases the professionalism of early childhood education &amp; care. An important poi</w:t>
      </w:r>
      <w:r w:rsidR="00D7276E">
        <w:rPr>
          <w:rFonts w:asciiTheme="minorHAnsi" w:hAnsiTheme="minorHAnsi"/>
          <w:bCs/>
          <w:sz w:val="24"/>
          <w:szCs w:val="24"/>
        </w:rPr>
        <w:t>nt which has not been addressed</w:t>
      </w:r>
      <w:r>
        <w:rPr>
          <w:rFonts w:asciiTheme="minorHAnsi" w:hAnsiTheme="minorHAnsi"/>
          <w:bCs/>
          <w:sz w:val="24"/>
          <w:szCs w:val="24"/>
        </w:rPr>
        <w:t xml:space="preserve"> is the urgent need in the sector for appropriate remuneration to attract &amp; retain qualified educators.                                                                                                                                                                  No educator should be left alone in charge of a group of children as this creates significant workplace health &amp; safety issues</w:t>
      </w:r>
      <w:r w:rsidR="00C97F26">
        <w:rPr>
          <w:rFonts w:asciiTheme="minorHAnsi" w:hAnsiTheme="minorHAnsi"/>
          <w:bCs/>
          <w:sz w:val="24"/>
          <w:szCs w:val="24"/>
        </w:rPr>
        <w:t>, as well as child protection risks &amp; protection risks for the educator.                                                                                                                                                                   There is a risk to Government where funding of low quality &amp; high risk services is linked.</w:t>
      </w:r>
    </w:p>
    <w:p w:rsidR="00C97F26" w:rsidRDefault="00C97F26" w:rsidP="00AF7959">
      <w:pPr>
        <w:spacing w:after="240" w:line="240" w:lineRule="auto"/>
        <w:jc w:val="both"/>
        <w:rPr>
          <w:rFonts w:asciiTheme="minorHAnsi" w:hAnsiTheme="minorHAnsi"/>
          <w:b/>
          <w:bCs/>
          <w:sz w:val="24"/>
          <w:szCs w:val="24"/>
        </w:rPr>
      </w:pPr>
      <w:r>
        <w:rPr>
          <w:rFonts w:asciiTheme="minorHAnsi" w:hAnsiTheme="minorHAnsi"/>
          <w:b/>
          <w:bCs/>
          <w:sz w:val="24"/>
          <w:szCs w:val="24"/>
        </w:rPr>
        <w:t>Concern 4: Separation of Education &amp; Care</w:t>
      </w:r>
    </w:p>
    <w:p w:rsidR="00A0167E" w:rsidRDefault="00C97F26" w:rsidP="00AF7959">
      <w:pPr>
        <w:spacing w:after="240" w:line="240" w:lineRule="auto"/>
        <w:jc w:val="both"/>
        <w:rPr>
          <w:rFonts w:asciiTheme="minorHAnsi" w:hAnsiTheme="minorHAnsi"/>
          <w:bCs/>
          <w:sz w:val="24"/>
          <w:szCs w:val="24"/>
        </w:rPr>
      </w:pPr>
      <w:r>
        <w:rPr>
          <w:rFonts w:asciiTheme="minorHAnsi" w:hAnsiTheme="minorHAnsi"/>
          <w:bCs/>
          <w:sz w:val="24"/>
          <w:szCs w:val="24"/>
        </w:rPr>
        <w:t xml:space="preserve">Long day care services offering integrated programs, which include </w:t>
      </w:r>
      <w:r w:rsidR="00E41AA2">
        <w:rPr>
          <w:rFonts w:asciiTheme="minorHAnsi" w:hAnsiTheme="minorHAnsi"/>
          <w:bCs/>
          <w:sz w:val="24"/>
          <w:szCs w:val="24"/>
        </w:rPr>
        <w:t>preschool,</w:t>
      </w:r>
      <w:r>
        <w:rPr>
          <w:rFonts w:asciiTheme="minorHAnsi" w:hAnsiTheme="minorHAnsi"/>
          <w:bCs/>
          <w:sz w:val="24"/>
          <w:szCs w:val="24"/>
        </w:rPr>
        <w:t xml:space="preserve"> offer the very flexibility that families are requiring. As more families enter the workforce they will require services that are open longer hours &amp; can cater to their working requirements.  Preschools &amp; schools currently do not offer longer hours </w:t>
      </w:r>
      <w:r w:rsidR="00D7276E">
        <w:rPr>
          <w:rFonts w:asciiTheme="minorHAnsi" w:hAnsiTheme="minorHAnsi"/>
          <w:bCs/>
          <w:sz w:val="24"/>
          <w:szCs w:val="24"/>
        </w:rPr>
        <w:t>&amp;</w:t>
      </w:r>
      <w:r>
        <w:rPr>
          <w:rFonts w:asciiTheme="minorHAnsi" w:hAnsiTheme="minorHAnsi"/>
          <w:bCs/>
          <w:sz w:val="24"/>
          <w:szCs w:val="24"/>
        </w:rPr>
        <w:t xml:space="preserve"> a continuing learning environment that long day care ser</w:t>
      </w:r>
      <w:r w:rsidR="00D7276E">
        <w:rPr>
          <w:rFonts w:asciiTheme="minorHAnsi" w:hAnsiTheme="minorHAnsi"/>
          <w:bCs/>
          <w:sz w:val="24"/>
          <w:szCs w:val="24"/>
        </w:rPr>
        <w:t>vices do.     Many services are</w:t>
      </w:r>
      <w:r>
        <w:rPr>
          <w:rFonts w:asciiTheme="minorHAnsi" w:hAnsiTheme="minorHAnsi"/>
          <w:bCs/>
          <w:sz w:val="24"/>
          <w:szCs w:val="24"/>
        </w:rPr>
        <w:t xml:space="preserve"> not staffed </w:t>
      </w:r>
      <w:r w:rsidR="00E41AA2">
        <w:rPr>
          <w:rFonts w:asciiTheme="minorHAnsi" w:hAnsiTheme="minorHAnsi"/>
          <w:bCs/>
          <w:sz w:val="24"/>
          <w:szCs w:val="24"/>
        </w:rPr>
        <w:t>as Under</w:t>
      </w:r>
      <w:r>
        <w:rPr>
          <w:rFonts w:asciiTheme="minorHAnsi" w:hAnsiTheme="minorHAnsi"/>
          <w:bCs/>
          <w:sz w:val="24"/>
          <w:szCs w:val="24"/>
        </w:rPr>
        <w:t xml:space="preserve"> two year olds &amp; Over two year olds &amp; they may have integrated forms of education &amp; care. Appropriate qualifications &amp; experience with</w:t>
      </w:r>
      <w:r w:rsidR="00A0167E">
        <w:rPr>
          <w:rFonts w:asciiTheme="minorHAnsi" w:hAnsiTheme="minorHAnsi"/>
          <w:bCs/>
          <w:sz w:val="24"/>
          <w:szCs w:val="24"/>
        </w:rPr>
        <w:t xml:space="preserve"> all age groups is vital.</w:t>
      </w:r>
      <w:r w:rsidR="00876F69">
        <w:rPr>
          <w:rFonts w:asciiTheme="minorHAnsi" w:hAnsiTheme="minorHAnsi"/>
          <w:bCs/>
          <w:sz w:val="24"/>
          <w:szCs w:val="24"/>
        </w:rPr>
        <w:t xml:space="preserve">       </w:t>
      </w:r>
    </w:p>
    <w:p w:rsidR="00D7276E" w:rsidRDefault="00876F69" w:rsidP="00AF7959">
      <w:pPr>
        <w:spacing w:after="240" w:line="240" w:lineRule="auto"/>
        <w:jc w:val="both"/>
        <w:rPr>
          <w:rFonts w:asciiTheme="minorHAnsi" w:hAnsiTheme="minorHAnsi"/>
          <w:bCs/>
          <w:sz w:val="24"/>
          <w:szCs w:val="24"/>
        </w:rPr>
      </w:pPr>
      <w:r>
        <w:rPr>
          <w:rFonts w:asciiTheme="minorHAnsi" w:hAnsiTheme="minorHAnsi"/>
          <w:bCs/>
          <w:sz w:val="24"/>
          <w:szCs w:val="24"/>
        </w:rPr>
        <w:lastRenderedPageBreak/>
        <w:t xml:space="preserve">                                                                                              </w:t>
      </w:r>
    </w:p>
    <w:p w:rsidR="00AF7959" w:rsidRPr="00B50139" w:rsidRDefault="00876F69" w:rsidP="00AF7959">
      <w:pPr>
        <w:spacing w:after="240" w:line="240" w:lineRule="auto"/>
        <w:jc w:val="both"/>
        <w:rPr>
          <w:rFonts w:asciiTheme="minorHAnsi" w:hAnsiTheme="minorHAnsi"/>
          <w:sz w:val="24"/>
          <w:szCs w:val="24"/>
        </w:rPr>
      </w:pPr>
      <w:r>
        <w:rPr>
          <w:rFonts w:asciiTheme="minorHAnsi" w:hAnsiTheme="minorHAnsi"/>
          <w:bCs/>
          <w:sz w:val="24"/>
          <w:szCs w:val="24"/>
        </w:rPr>
        <w:t xml:space="preserve">                              </w:t>
      </w:r>
    </w:p>
    <w:p w:rsidR="00AF6894" w:rsidRPr="00A0167E" w:rsidRDefault="00A0167E" w:rsidP="00A0167E">
      <w:pPr>
        <w:spacing w:after="240" w:line="240" w:lineRule="auto"/>
        <w:jc w:val="both"/>
        <w:rPr>
          <w:rFonts w:asciiTheme="minorHAnsi" w:hAnsiTheme="minorHAnsi" w:cs="Arial"/>
          <w:b/>
          <w:bCs/>
          <w:sz w:val="24"/>
          <w:szCs w:val="24"/>
        </w:rPr>
      </w:pPr>
      <w:r>
        <w:rPr>
          <w:rFonts w:asciiTheme="minorHAnsi" w:hAnsiTheme="minorHAnsi" w:cs="Arial"/>
          <w:b/>
          <w:bCs/>
          <w:sz w:val="24"/>
          <w:szCs w:val="24"/>
        </w:rPr>
        <w:t xml:space="preserve">Concern </w:t>
      </w:r>
      <w:r w:rsidR="00E41AA2">
        <w:rPr>
          <w:rFonts w:asciiTheme="minorHAnsi" w:hAnsiTheme="minorHAnsi" w:cs="Arial"/>
          <w:b/>
          <w:bCs/>
          <w:sz w:val="24"/>
          <w:szCs w:val="24"/>
        </w:rPr>
        <w:t>5:</w:t>
      </w:r>
      <w:r>
        <w:rPr>
          <w:rFonts w:asciiTheme="minorHAnsi" w:hAnsiTheme="minorHAnsi" w:cs="Arial"/>
          <w:b/>
          <w:bCs/>
          <w:sz w:val="24"/>
          <w:szCs w:val="24"/>
        </w:rPr>
        <w:t xml:space="preserve">   </w:t>
      </w:r>
      <w:r w:rsidR="00AF6894" w:rsidRPr="00A0167E">
        <w:rPr>
          <w:rFonts w:asciiTheme="minorHAnsi" w:hAnsiTheme="minorHAnsi" w:cs="Arial"/>
          <w:b/>
          <w:sz w:val="24"/>
          <w:szCs w:val="24"/>
        </w:rPr>
        <w:t>The removal of tax concessions for not-for-profit children's services</w:t>
      </w:r>
    </w:p>
    <w:p w:rsidR="007F03B2" w:rsidRPr="00A0167E" w:rsidRDefault="007F03B2" w:rsidP="00143692">
      <w:pPr>
        <w:spacing w:after="240" w:line="240" w:lineRule="auto"/>
        <w:jc w:val="both"/>
        <w:rPr>
          <w:rFonts w:asciiTheme="minorHAnsi" w:hAnsiTheme="minorHAnsi"/>
          <w:i/>
          <w:sz w:val="24"/>
          <w:szCs w:val="24"/>
          <w:vertAlign w:val="superscript"/>
        </w:rPr>
      </w:pPr>
      <w:r w:rsidRPr="00B50139">
        <w:rPr>
          <w:rFonts w:asciiTheme="minorHAnsi" w:hAnsiTheme="minorHAnsi"/>
          <w:sz w:val="24"/>
          <w:szCs w:val="24"/>
        </w:rPr>
        <w:t>The removal of tax concessions for the not for profit children’s services</w:t>
      </w:r>
      <w:r w:rsidR="00A0167E">
        <w:rPr>
          <w:rFonts w:asciiTheme="minorHAnsi" w:hAnsiTheme="minorHAnsi"/>
          <w:sz w:val="24"/>
          <w:szCs w:val="24"/>
        </w:rPr>
        <w:t xml:space="preserve"> sector</w:t>
      </w:r>
      <w:r w:rsidRPr="00B50139">
        <w:rPr>
          <w:rFonts w:asciiTheme="minorHAnsi" w:hAnsiTheme="minorHAnsi"/>
          <w:sz w:val="24"/>
          <w:szCs w:val="24"/>
        </w:rPr>
        <w:t xml:space="preserve"> will have a detrimental effect and will not create a level playing field. </w:t>
      </w:r>
      <w:r w:rsidR="00D9523E" w:rsidRPr="00B50139">
        <w:rPr>
          <w:rFonts w:asciiTheme="minorHAnsi" w:hAnsiTheme="minorHAnsi"/>
          <w:sz w:val="24"/>
          <w:szCs w:val="24"/>
        </w:rPr>
        <w:t>Access to these concessions does not give not for profit providers a competitive advantage over for profit providers</w:t>
      </w:r>
      <w:r w:rsidR="00A0167E">
        <w:rPr>
          <w:rFonts w:asciiTheme="minorHAnsi" w:hAnsiTheme="minorHAnsi"/>
          <w:sz w:val="24"/>
          <w:szCs w:val="24"/>
        </w:rPr>
        <w:t>.</w:t>
      </w:r>
      <w:r w:rsidR="00D9523E" w:rsidRPr="00B50139">
        <w:rPr>
          <w:rFonts w:asciiTheme="minorHAnsi" w:hAnsiTheme="minorHAnsi"/>
          <w:sz w:val="24"/>
          <w:szCs w:val="24"/>
        </w:rPr>
        <w:t xml:space="preserve"> </w:t>
      </w:r>
      <w:r w:rsidR="00A0167E">
        <w:rPr>
          <w:rFonts w:asciiTheme="minorHAnsi" w:hAnsiTheme="minorHAnsi"/>
          <w:sz w:val="24"/>
          <w:szCs w:val="24"/>
        </w:rPr>
        <w:t xml:space="preserve">           </w:t>
      </w:r>
      <w:r w:rsidR="00A0167E">
        <w:rPr>
          <w:rFonts w:asciiTheme="minorHAnsi" w:hAnsiTheme="minorHAnsi"/>
          <w:i/>
          <w:sz w:val="24"/>
          <w:szCs w:val="24"/>
        </w:rPr>
        <w:t xml:space="preserve"> </w:t>
      </w:r>
    </w:p>
    <w:p w:rsidR="007F03B2" w:rsidRPr="00B50139" w:rsidRDefault="007F03B2" w:rsidP="00143692">
      <w:pPr>
        <w:spacing w:after="240" w:line="240" w:lineRule="auto"/>
        <w:jc w:val="both"/>
        <w:rPr>
          <w:rFonts w:asciiTheme="minorHAnsi" w:hAnsiTheme="minorHAnsi"/>
          <w:sz w:val="24"/>
          <w:szCs w:val="24"/>
        </w:rPr>
      </w:pPr>
      <w:r w:rsidRPr="00B50139">
        <w:rPr>
          <w:rFonts w:asciiTheme="minorHAnsi" w:hAnsiTheme="minorHAnsi"/>
          <w:sz w:val="24"/>
          <w:szCs w:val="24"/>
        </w:rPr>
        <w:t xml:space="preserve">There are few financial benefits that not for profit children’s services receive. The ability to </w:t>
      </w:r>
      <w:r w:rsidR="00806323" w:rsidRPr="00B50139">
        <w:rPr>
          <w:rFonts w:asciiTheme="minorHAnsi" w:hAnsiTheme="minorHAnsi"/>
          <w:sz w:val="24"/>
          <w:szCs w:val="24"/>
        </w:rPr>
        <w:t xml:space="preserve">not pay </w:t>
      </w:r>
      <w:r w:rsidRPr="00B50139">
        <w:rPr>
          <w:rFonts w:asciiTheme="minorHAnsi" w:hAnsiTheme="minorHAnsi"/>
          <w:sz w:val="24"/>
          <w:szCs w:val="24"/>
        </w:rPr>
        <w:t>payroll tax</w:t>
      </w:r>
      <w:r w:rsidR="00D9523E" w:rsidRPr="00B50139">
        <w:rPr>
          <w:rFonts w:asciiTheme="minorHAnsi" w:hAnsiTheme="minorHAnsi"/>
          <w:sz w:val="24"/>
          <w:szCs w:val="24"/>
        </w:rPr>
        <w:t xml:space="preserve">, </w:t>
      </w:r>
      <w:r w:rsidRPr="00B50139">
        <w:rPr>
          <w:rFonts w:asciiTheme="minorHAnsi" w:hAnsiTheme="minorHAnsi"/>
          <w:sz w:val="24"/>
          <w:szCs w:val="24"/>
        </w:rPr>
        <w:t xml:space="preserve">provide </w:t>
      </w:r>
      <w:proofErr w:type="spellStart"/>
      <w:r w:rsidRPr="00B50139">
        <w:rPr>
          <w:rFonts w:asciiTheme="minorHAnsi" w:hAnsiTheme="minorHAnsi"/>
          <w:sz w:val="24"/>
          <w:szCs w:val="24"/>
        </w:rPr>
        <w:t>FBT</w:t>
      </w:r>
      <w:proofErr w:type="spellEnd"/>
      <w:r w:rsidRPr="00B50139">
        <w:rPr>
          <w:rFonts w:asciiTheme="minorHAnsi" w:hAnsiTheme="minorHAnsi"/>
          <w:sz w:val="24"/>
          <w:szCs w:val="24"/>
        </w:rPr>
        <w:t xml:space="preserve"> exempt salary packaging</w:t>
      </w:r>
      <w:r w:rsidR="00D9523E" w:rsidRPr="00B50139">
        <w:rPr>
          <w:rFonts w:asciiTheme="minorHAnsi" w:hAnsiTheme="minorHAnsi"/>
          <w:sz w:val="24"/>
          <w:szCs w:val="24"/>
        </w:rPr>
        <w:t>, and be exempt from income tax</w:t>
      </w:r>
      <w:r w:rsidRPr="00B50139">
        <w:rPr>
          <w:rFonts w:asciiTheme="minorHAnsi" w:hAnsiTheme="minorHAnsi"/>
          <w:sz w:val="24"/>
          <w:szCs w:val="24"/>
        </w:rPr>
        <w:t xml:space="preserve"> are the only significant taxation benefits available.</w:t>
      </w:r>
      <w:r w:rsidR="009C6616" w:rsidRPr="00B50139">
        <w:rPr>
          <w:rFonts w:asciiTheme="minorHAnsi" w:hAnsiTheme="minorHAnsi"/>
          <w:sz w:val="24"/>
          <w:szCs w:val="24"/>
        </w:rPr>
        <w:t xml:space="preserve"> </w:t>
      </w:r>
    </w:p>
    <w:p w:rsidR="007F03B2" w:rsidRPr="00B50139" w:rsidRDefault="007F03B2" w:rsidP="00143692">
      <w:pPr>
        <w:spacing w:after="240" w:line="240" w:lineRule="auto"/>
        <w:jc w:val="both"/>
        <w:rPr>
          <w:rFonts w:asciiTheme="minorHAnsi" w:hAnsiTheme="minorHAnsi"/>
          <w:sz w:val="24"/>
          <w:szCs w:val="24"/>
        </w:rPr>
      </w:pPr>
      <w:r w:rsidRPr="00B50139">
        <w:rPr>
          <w:rFonts w:asciiTheme="minorHAnsi" w:hAnsiTheme="minorHAnsi"/>
          <w:sz w:val="24"/>
          <w:szCs w:val="24"/>
        </w:rPr>
        <w:t>In contrast the for profit sector is able to, and does, run many operating costs through the children’s services business operations as tax deductions including phones, cars, a variety of mobile devices and tablets, and home compute</w:t>
      </w:r>
      <w:r w:rsidR="001F0F6C" w:rsidRPr="00B50139">
        <w:rPr>
          <w:rFonts w:asciiTheme="minorHAnsi" w:hAnsiTheme="minorHAnsi"/>
          <w:sz w:val="24"/>
          <w:szCs w:val="24"/>
        </w:rPr>
        <w:t>r</w:t>
      </w:r>
      <w:r w:rsidRPr="00B50139">
        <w:rPr>
          <w:rFonts w:asciiTheme="minorHAnsi" w:hAnsiTheme="minorHAnsi"/>
          <w:sz w:val="24"/>
          <w:szCs w:val="24"/>
        </w:rPr>
        <w:t>s to ‘do the child care business’; they can raise finance (capital and operational) through loans and overdrafts (again tax deduct</w:t>
      </w:r>
      <w:r w:rsidR="00A0167E">
        <w:rPr>
          <w:rFonts w:asciiTheme="minorHAnsi" w:hAnsiTheme="minorHAnsi"/>
          <w:sz w:val="24"/>
          <w:szCs w:val="24"/>
        </w:rPr>
        <w:t>i</w:t>
      </w:r>
      <w:r w:rsidRPr="00B50139">
        <w:rPr>
          <w:rFonts w:asciiTheme="minorHAnsi" w:hAnsiTheme="minorHAnsi"/>
          <w:sz w:val="24"/>
          <w:szCs w:val="24"/>
        </w:rPr>
        <w:t>ble) through their governance structures.</w:t>
      </w:r>
    </w:p>
    <w:p w:rsidR="00E41AA2" w:rsidRDefault="007F03B2" w:rsidP="00143692">
      <w:pPr>
        <w:spacing w:after="240" w:line="240" w:lineRule="auto"/>
        <w:jc w:val="both"/>
        <w:rPr>
          <w:rFonts w:asciiTheme="minorHAnsi" w:hAnsiTheme="minorHAnsi"/>
          <w:sz w:val="24"/>
          <w:szCs w:val="24"/>
        </w:rPr>
      </w:pPr>
      <w:r w:rsidRPr="00B50139">
        <w:rPr>
          <w:rFonts w:asciiTheme="minorHAnsi" w:hAnsiTheme="minorHAnsi"/>
          <w:sz w:val="24"/>
          <w:szCs w:val="24"/>
        </w:rPr>
        <w:t>Not for profit services do not enjoy any of these benefits so it is unclear ho</w:t>
      </w:r>
      <w:r w:rsidR="00806323" w:rsidRPr="00B50139">
        <w:rPr>
          <w:rFonts w:asciiTheme="minorHAnsi" w:hAnsiTheme="minorHAnsi"/>
          <w:sz w:val="24"/>
          <w:szCs w:val="24"/>
        </w:rPr>
        <w:t>w</w:t>
      </w:r>
      <w:r w:rsidRPr="00B50139">
        <w:rPr>
          <w:rFonts w:asciiTheme="minorHAnsi" w:hAnsiTheme="minorHAnsi"/>
          <w:sz w:val="24"/>
          <w:szCs w:val="24"/>
        </w:rPr>
        <w:t xml:space="preserve"> removal of payroll tax exemption</w:t>
      </w:r>
      <w:r w:rsidR="00806323" w:rsidRPr="00B50139">
        <w:rPr>
          <w:rFonts w:asciiTheme="minorHAnsi" w:hAnsiTheme="minorHAnsi"/>
          <w:sz w:val="24"/>
          <w:szCs w:val="24"/>
        </w:rPr>
        <w:t xml:space="preserve">, </w:t>
      </w:r>
      <w:proofErr w:type="spellStart"/>
      <w:r w:rsidRPr="00B50139">
        <w:rPr>
          <w:rFonts w:asciiTheme="minorHAnsi" w:hAnsiTheme="minorHAnsi"/>
          <w:sz w:val="24"/>
          <w:szCs w:val="24"/>
        </w:rPr>
        <w:t>FBT</w:t>
      </w:r>
      <w:proofErr w:type="spellEnd"/>
      <w:r w:rsidRPr="00B50139">
        <w:rPr>
          <w:rFonts w:asciiTheme="minorHAnsi" w:hAnsiTheme="minorHAnsi"/>
          <w:sz w:val="24"/>
          <w:szCs w:val="24"/>
        </w:rPr>
        <w:t xml:space="preserve"> exempt salary packaging </w:t>
      </w:r>
      <w:r w:rsidR="00806323" w:rsidRPr="00B50139">
        <w:rPr>
          <w:rFonts w:asciiTheme="minorHAnsi" w:hAnsiTheme="minorHAnsi"/>
          <w:sz w:val="24"/>
          <w:szCs w:val="24"/>
        </w:rPr>
        <w:t xml:space="preserve"> and income tax exemption </w:t>
      </w:r>
      <w:r w:rsidRPr="00B50139">
        <w:rPr>
          <w:rFonts w:asciiTheme="minorHAnsi" w:hAnsiTheme="minorHAnsi"/>
          <w:sz w:val="24"/>
          <w:szCs w:val="24"/>
        </w:rPr>
        <w:t xml:space="preserve">would outweigh the tax deductions and ability to raise finance to grow that the for profit sector enjoys. </w:t>
      </w:r>
      <w:r w:rsidR="00806323" w:rsidRPr="00B50139">
        <w:rPr>
          <w:rFonts w:asciiTheme="minorHAnsi" w:hAnsiTheme="minorHAnsi"/>
          <w:sz w:val="24"/>
          <w:szCs w:val="24"/>
        </w:rPr>
        <w:t>T</w:t>
      </w:r>
      <w:r w:rsidRPr="00B50139">
        <w:rPr>
          <w:rFonts w:asciiTheme="minorHAnsi" w:hAnsiTheme="minorHAnsi"/>
          <w:sz w:val="24"/>
          <w:szCs w:val="24"/>
        </w:rPr>
        <w:t xml:space="preserve">he not for profit sector cannot raise capital to easily </w:t>
      </w:r>
      <w:r w:rsidR="00806323" w:rsidRPr="00B50139">
        <w:rPr>
          <w:rFonts w:asciiTheme="minorHAnsi" w:hAnsiTheme="minorHAnsi"/>
          <w:sz w:val="24"/>
          <w:szCs w:val="24"/>
        </w:rPr>
        <w:t>“</w:t>
      </w:r>
      <w:r w:rsidRPr="00B50139">
        <w:rPr>
          <w:rFonts w:asciiTheme="minorHAnsi" w:hAnsiTheme="minorHAnsi"/>
          <w:sz w:val="24"/>
          <w:szCs w:val="24"/>
        </w:rPr>
        <w:t xml:space="preserve">alter the configuration and capacity of a </w:t>
      </w:r>
      <w:proofErr w:type="spellStart"/>
      <w:r w:rsidRPr="00B50139">
        <w:rPr>
          <w:rFonts w:asciiTheme="minorHAnsi" w:hAnsiTheme="minorHAnsi"/>
          <w:sz w:val="24"/>
          <w:szCs w:val="24"/>
        </w:rPr>
        <w:t>facility”</w:t>
      </w:r>
      <w:r w:rsidR="00A0167E">
        <w:rPr>
          <w:rStyle w:val="FootnoteReference"/>
          <w:rFonts w:asciiTheme="minorHAnsi" w:hAnsiTheme="minorHAnsi"/>
          <w:sz w:val="18"/>
          <w:szCs w:val="18"/>
        </w:rPr>
        <w:t>4</w:t>
      </w:r>
      <w:proofErr w:type="spellEnd"/>
      <w:r w:rsidRPr="00B50139">
        <w:rPr>
          <w:rFonts w:asciiTheme="minorHAnsi" w:hAnsiTheme="minorHAnsi"/>
          <w:sz w:val="24"/>
          <w:szCs w:val="24"/>
        </w:rPr>
        <w:t xml:space="preserve"> due to governance structures of an association with limited and dispersed personal liability. </w:t>
      </w:r>
      <w:r w:rsidR="00806323" w:rsidRPr="00B50139">
        <w:rPr>
          <w:rFonts w:asciiTheme="minorHAnsi" w:hAnsiTheme="minorHAnsi"/>
          <w:sz w:val="24"/>
          <w:szCs w:val="24"/>
        </w:rPr>
        <w:t xml:space="preserve">Financial institutions are not willing to lend money to these types of governance entities. </w:t>
      </w:r>
    </w:p>
    <w:p w:rsidR="007F03B2" w:rsidRPr="00D7276E" w:rsidRDefault="0068757E" w:rsidP="00143692">
      <w:pPr>
        <w:spacing w:after="240" w:line="240" w:lineRule="auto"/>
        <w:jc w:val="both"/>
        <w:rPr>
          <w:rFonts w:asciiTheme="minorHAnsi" w:hAnsiTheme="minorHAnsi"/>
          <w:b/>
          <w:i/>
          <w:sz w:val="24"/>
          <w:szCs w:val="24"/>
          <w:vertAlign w:val="superscript"/>
        </w:rPr>
      </w:pPr>
      <w:r w:rsidRPr="00D7276E">
        <w:rPr>
          <w:rFonts w:asciiTheme="minorHAnsi" w:hAnsiTheme="minorHAnsi"/>
          <w:b/>
          <w:sz w:val="18"/>
          <w:szCs w:val="18"/>
        </w:rPr>
        <w:t xml:space="preserve">4 </w:t>
      </w:r>
      <w:r w:rsidRPr="00D7276E">
        <w:rPr>
          <w:rFonts w:asciiTheme="minorHAnsi" w:hAnsiTheme="minorHAnsi"/>
          <w:b/>
          <w:i/>
          <w:sz w:val="24"/>
          <w:szCs w:val="24"/>
        </w:rPr>
        <w:t xml:space="preserve">Productivity Commission (2014), Childcare &amp; Early Childhood </w:t>
      </w:r>
      <w:r w:rsidR="00E41AA2" w:rsidRPr="00D7276E">
        <w:rPr>
          <w:rFonts w:asciiTheme="minorHAnsi" w:hAnsiTheme="minorHAnsi"/>
          <w:b/>
          <w:i/>
          <w:sz w:val="24"/>
          <w:szCs w:val="24"/>
        </w:rPr>
        <w:t>Learning,</w:t>
      </w:r>
      <w:r w:rsidRPr="00D7276E">
        <w:rPr>
          <w:rFonts w:asciiTheme="minorHAnsi" w:hAnsiTheme="minorHAnsi"/>
          <w:b/>
          <w:i/>
          <w:sz w:val="24"/>
          <w:szCs w:val="24"/>
        </w:rPr>
        <w:t xml:space="preserve"> </w:t>
      </w:r>
      <w:r w:rsidRPr="00D7276E">
        <w:rPr>
          <w:rFonts w:asciiTheme="minorHAnsi" w:hAnsiTheme="minorHAnsi"/>
          <w:b/>
          <w:sz w:val="24"/>
          <w:szCs w:val="24"/>
        </w:rPr>
        <w:t>Draft Report, Canberra, p. 440.</w:t>
      </w:r>
    </w:p>
    <w:p w:rsidR="00F96800" w:rsidRPr="00B50139" w:rsidRDefault="009C6616" w:rsidP="00143692">
      <w:pPr>
        <w:spacing w:after="240" w:line="240" w:lineRule="auto"/>
        <w:jc w:val="both"/>
        <w:rPr>
          <w:rFonts w:asciiTheme="minorHAnsi" w:hAnsiTheme="minorHAnsi"/>
          <w:sz w:val="24"/>
          <w:szCs w:val="24"/>
        </w:rPr>
      </w:pPr>
      <w:r w:rsidRPr="00B50139">
        <w:rPr>
          <w:rFonts w:asciiTheme="minorHAnsi" w:hAnsiTheme="minorHAnsi"/>
          <w:sz w:val="24"/>
          <w:szCs w:val="24"/>
        </w:rPr>
        <w:t>It is an interesting notion to consider tax concessions as a form of government spending</w:t>
      </w:r>
      <w:r w:rsidR="0036051F" w:rsidRPr="00B50139">
        <w:rPr>
          <w:rFonts w:asciiTheme="minorHAnsi" w:hAnsiTheme="minorHAnsi"/>
          <w:sz w:val="24"/>
          <w:szCs w:val="24"/>
        </w:rPr>
        <w:t xml:space="preserve"> that should only be available if the tax concessions are “offset by the benefits such providers delivered to the </w:t>
      </w:r>
      <w:proofErr w:type="spellStart"/>
      <w:r w:rsidR="0036051F" w:rsidRPr="00B50139">
        <w:rPr>
          <w:rFonts w:asciiTheme="minorHAnsi" w:hAnsiTheme="minorHAnsi"/>
          <w:sz w:val="24"/>
          <w:szCs w:val="24"/>
        </w:rPr>
        <w:t>community”</w:t>
      </w:r>
      <w:r w:rsidR="0068757E">
        <w:rPr>
          <w:rFonts w:asciiTheme="minorHAnsi" w:hAnsiTheme="minorHAnsi"/>
          <w:sz w:val="18"/>
          <w:szCs w:val="18"/>
          <w:vertAlign w:val="superscript"/>
        </w:rPr>
        <w:t>4</w:t>
      </w:r>
      <w:proofErr w:type="spellEnd"/>
      <w:r w:rsidR="0036051F" w:rsidRPr="00B50139">
        <w:rPr>
          <w:rFonts w:asciiTheme="minorHAnsi" w:hAnsiTheme="minorHAnsi"/>
          <w:sz w:val="24"/>
          <w:szCs w:val="24"/>
        </w:rPr>
        <w:t xml:space="preserve"> (p. 461). There</w:t>
      </w:r>
      <w:r w:rsidR="006D7550" w:rsidRPr="00B50139">
        <w:rPr>
          <w:rFonts w:asciiTheme="minorHAnsi" w:hAnsiTheme="minorHAnsi"/>
          <w:sz w:val="24"/>
          <w:szCs w:val="24"/>
        </w:rPr>
        <w:t xml:space="preserve"> seems to be</w:t>
      </w:r>
      <w:r w:rsidR="0036051F" w:rsidRPr="00B50139">
        <w:rPr>
          <w:rFonts w:asciiTheme="minorHAnsi" w:hAnsiTheme="minorHAnsi"/>
          <w:sz w:val="24"/>
          <w:szCs w:val="24"/>
        </w:rPr>
        <w:t xml:space="preserve"> an assumption that social need only relates to family income.</w:t>
      </w:r>
      <w:r w:rsidR="006D7550" w:rsidRPr="00B50139">
        <w:rPr>
          <w:rFonts w:asciiTheme="minorHAnsi" w:hAnsiTheme="minorHAnsi"/>
          <w:sz w:val="24"/>
          <w:szCs w:val="24"/>
        </w:rPr>
        <w:t xml:space="preserve"> Not-for-profit children's services provide significant social benefit to any community they are located in, regardless of the </w:t>
      </w:r>
      <w:proofErr w:type="spellStart"/>
      <w:r w:rsidR="006D7550" w:rsidRPr="00B50139">
        <w:rPr>
          <w:rFonts w:asciiTheme="minorHAnsi" w:hAnsiTheme="minorHAnsi"/>
          <w:sz w:val="24"/>
          <w:szCs w:val="24"/>
        </w:rPr>
        <w:t>socio-economic</w:t>
      </w:r>
      <w:proofErr w:type="spellEnd"/>
      <w:r w:rsidR="006D7550" w:rsidRPr="00B50139">
        <w:rPr>
          <w:rFonts w:asciiTheme="minorHAnsi" w:hAnsiTheme="minorHAnsi"/>
          <w:sz w:val="24"/>
          <w:szCs w:val="24"/>
        </w:rPr>
        <w:t xml:space="preserve"> status of that community. Not-for-profit children's services are part of </w:t>
      </w:r>
      <w:r w:rsidR="00F96800" w:rsidRPr="00B50139">
        <w:rPr>
          <w:rFonts w:asciiTheme="minorHAnsi" w:hAnsiTheme="minorHAnsi"/>
          <w:sz w:val="24"/>
          <w:szCs w:val="24"/>
        </w:rPr>
        <w:t>a</w:t>
      </w:r>
      <w:r w:rsidR="006D7550" w:rsidRPr="00B50139">
        <w:rPr>
          <w:rFonts w:asciiTheme="minorHAnsi" w:hAnsiTheme="minorHAnsi"/>
          <w:sz w:val="24"/>
          <w:szCs w:val="24"/>
        </w:rPr>
        <w:t xml:space="preserve"> community</w:t>
      </w:r>
      <w:r w:rsidR="00F96800" w:rsidRPr="00B50139">
        <w:rPr>
          <w:rFonts w:asciiTheme="minorHAnsi" w:hAnsiTheme="minorHAnsi"/>
          <w:sz w:val="24"/>
          <w:szCs w:val="24"/>
        </w:rPr>
        <w:t xml:space="preserve">’s </w:t>
      </w:r>
      <w:r w:rsidR="006D7550" w:rsidRPr="00B50139">
        <w:rPr>
          <w:rFonts w:asciiTheme="minorHAnsi" w:hAnsiTheme="minorHAnsi"/>
          <w:sz w:val="24"/>
          <w:szCs w:val="24"/>
        </w:rPr>
        <w:t xml:space="preserve">inherent social capital contributing to local economic </w:t>
      </w:r>
      <w:proofErr w:type="spellStart"/>
      <w:r w:rsidR="006D7550" w:rsidRPr="00B50139">
        <w:rPr>
          <w:rFonts w:asciiTheme="minorHAnsi" w:hAnsiTheme="minorHAnsi"/>
          <w:sz w:val="24"/>
          <w:szCs w:val="24"/>
        </w:rPr>
        <w:t>well-being</w:t>
      </w:r>
      <w:proofErr w:type="spellEnd"/>
      <w:r w:rsidR="006D7550" w:rsidRPr="00B50139">
        <w:rPr>
          <w:rFonts w:asciiTheme="minorHAnsi" w:hAnsiTheme="minorHAnsi"/>
          <w:sz w:val="24"/>
          <w:szCs w:val="24"/>
        </w:rPr>
        <w:t xml:space="preserve"> of families in the community through majority provision of work-related child places, </w:t>
      </w:r>
      <w:r w:rsidR="00F96800" w:rsidRPr="00B50139">
        <w:rPr>
          <w:rFonts w:asciiTheme="minorHAnsi" w:hAnsiTheme="minorHAnsi"/>
          <w:sz w:val="24"/>
          <w:szCs w:val="24"/>
        </w:rPr>
        <w:t>and creating and supporting networks of social relations through strong trusting relationships. For profit services may be able to engage with communities to facilitate social benefits</w:t>
      </w:r>
      <w:r w:rsidR="0068757E">
        <w:rPr>
          <w:rFonts w:asciiTheme="minorHAnsi" w:hAnsiTheme="minorHAnsi"/>
          <w:sz w:val="24"/>
          <w:szCs w:val="24"/>
        </w:rPr>
        <w:t>.</w:t>
      </w:r>
      <w:r w:rsidR="00F96800" w:rsidRPr="00B50139">
        <w:rPr>
          <w:rFonts w:asciiTheme="minorHAnsi" w:hAnsiTheme="minorHAnsi"/>
          <w:sz w:val="24"/>
          <w:szCs w:val="24"/>
        </w:rPr>
        <w:t xml:space="preserve"> </w:t>
      </w:r>
      <w:r w:rsidR="0068757E">
        <w:rPr>
          <w:rFonts w:asciiTheme="minorHAnsi" w:hAnsiTheme="minorHAnsi"/>
          <w:sz w:val="24"/>
          <w:szCs w:val="24"/>
        </w:rPr>
        <w:t>H</w:t>
      </w:r>
      <w:r w:rsidR="002D297C" w:rsidRPr="00B50139">
        <w:rPr>
          <w:rFonts w:asciiTheme="minorHAnsi" w:hAnsiTheme="minorHAnsi"/>
          <w:sz w:val="24"/>
          <w:szCs w:val="24"/>
        </w:rPr>
        <w:t xml:space="preserve">owever </w:t>
      </w:r>
      <w:r w:rsidR="00F96800" w:rsidRPr="00B50139">
        <w:rPr>
          <w:rFonts w:asciiTheme="minorHAnsi" w:hAnsiTheme="minorHAnsi"/>
          <w:sz w:val="24"/>
          <w:szCs w:val="24"/>
        </w:rPr>
        <w:t xml:space="preserve">this is not the primary objective of </w:t>
      </w:r>
      <w:r w:rsidR="002D297C" w:rsidRPr="00B50139">
        <w:rPr>
          <w:rFonts w:asciiTheme="minorHAnsi" w:hAnsiTheme="minorHAnsi"/>
          <w:sz w:val="24"/>
          <w:szCs w:val="24"/>
        </w:rPr>
        <w:t>o</w:t>
      </w:r>
      <w:r w:rsidR="00F96800" w:rsidRPr="00B50139">
        <w:rPr>
          <w:rFonts w:asciiTheme="minorHAnsi" w:hAnsiTheme="minorHAnsi"/>
          <w:sz w:val="24"/>
          <w:szCs w:val="24"/>
        </w:rPr>
        <w:t xml:space="preserve">perating a business to </w:t>
      </w:r>
      <w:r w:rsidR="002D297C" w:rsidRPr="00B50139">
        <w:rPr>
          <w:rFonts w:asciiTheme="minorHAnsi" w:hAnsiTheme="minorHAnsi"/>
          <w:sz w:val="24"/>
          <w:szCs w:val="24"/>
        </w:rPr>
        <w:t xml:space="preserve">maximise </w:t>
      </w:r>
      <w:r w:rsidR="00F96800" w:rsidRPr="00B50139">
        <w:rPr>
          <w:rFonts w:asciiTheme="minorHAnsi" w:hAnsiTheme="minorHAnsi"/>
          <w:sz w:val="24"/>
          <w:szCs w:val="24"/>
        </w:rPr>
        <w:t xml:space="preserve">shareholder outcomes. In contrast, not-for-profit children's services will most often have </w:t>
      </w:r>
      <w:r w:rsidR="00AF6894" w:rsidRPr="00B50139">
        <w:rPr>
          <w:rFonts w:asciiTheme="minorHAnsi" w:hAnsiTheme="minorHAnsi"/>
          <w:sz w:val="24"/>
          <w:szCs w:val="24"/>
        </w:rPr>
        <w:t xml:space="preserve">community engagement as one of their principal objectives of being. </w:t>
      </w:r>
    </w:p>
    <w:p w:rsidR="007F03B2" w:rsidRPr="000817AF" w:rsidRDefault="007F03B2" w:rsidP="00B50139">
      <w:pPr>
        <w:spacing w:after="240" w:line="240" w:lineRule="auto"/>
        <w:jc w:val="both"/>
        <w:rPr>
          <w:rFonts w:asciiTheme="minorHAnsi" w:hAnsiTheme="minorHAnsi"/>
          <w:sz w:val="24"/>
          <w:szCs w:val="24"/>
        </w:rPr>
      </w:pPr>
    </w:p>
    <w:sectPr w:rsidR="007F03B2" w:rsidRPr="000817AF" w:rsidSect="00AB1DC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58D" w:rsidRDefault="007B758D" w:rsidP="00FE506B">
      <w:pPr>
        <w:spacing w:after="0" w:line="240" w:lineRule="auto"/>
      </w:pPr>
      <w:r>
        <w:separator/>
      </w:r>
    </w:p>
  </w:endnote>
  <w:endnote w:type="continuationSeparator" w:id="0">
    <w:p w:rsidR="007B758D" w:rsidRDefault="007B758D" w:rsidP="00FE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58D" w:rsidRDefault="007B758D" w:rsidP="00FE506B">
      <w:pPr>
        <w:spacing w:after="0" w:line="240" w:lineRule="auto"/>
      </w:pPr>
      <w:r>
        <w:separator/>
      </w:r>
    </w:p>
  </w:footnote>
  <w:footnote w:type="continuationSeparator" w:id="0">
    <w:p w:rsidR="007B758D" w:rsidRDefault="007B758D" w:rsidP="00FE5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7AB"/>
    <w:multiLevelType w:val="hybridMultilevel"/>
    <w:tmpl w:val="7ECE1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143DC0"/>
    <w:multiLevelType w:val="hybridMultilevel"/>
    <w:tmpl w:val="6CDA8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2F7799"/>
    <w:multiLevelType w:val="hybridMultilevel"/>
    <w:tmpl w:val="D0DC1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144FE1"/>
    <w:multiLevelType w:val="hybridMultilevel"/>
    <w:tmpl w:val="15D616CA"/>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nsid w:val="2DF37849"/>
    <w:multiLevelType w:val="hybridMultilevel"/>
    <w:tmpl w:val="0E5072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362F5C02"/>
    <w:multiLevelType w:val="hybridMultilevel"/>
    <w:tmpl w:val="0C1E2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3747CC"/>
    <w:multiLevelType w:val="hybridMultilevel"/>
    <w:tmpl w:val="56D22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C5547F3"/>
    <w:multiLevelType w:val="hybridMultilevel"/>
    <w:tmpl w:val="261AF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8F4886"/>
    <w:multiLevelType w:val="hybridMultilevel"/>
    <w:tmpl w:val="11FE8EC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4FC86809"/>
    <w:multiLevelType w:val="hybridMultilevel"/>
    <w:tmpl w:val="CDA4A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16429C7"/>
    <w:multiLevelType w:val="hybridMultilevel"/>
    <w:tmpl w:val="76C4B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860BF2"/>
    <w:multiLevelType w:val="hybridMultilevel"/>
    <w:tmpl w:val="6A7A2F50"/>
    <w:lvl w:ilvl="0" w:tplc="1B5840A6">
      <w:start w:val="1"/>
      <w:numFmt w:val="decimal"/>
      <w:lvlText w:val="%1"/>
      <w:lvlJc w:val="left"/>
      <w:pPr>
        <w:ind w:left="540" w:hanging="360"/>
      </w:pPr>
      <w:rPr>
        <w:rFonts w:hint="default"/>
        <w:sz w:val="18"/>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12">
    <w:nsid w:val="6B336320"/>
    <w:multiLevelType w:val="hybridMultilevel"/>
    <w:tmpl w:val="27122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C542702"/>
    <w:multiLevelType w:val="hybridMultilevel"/>
    <w:tmpl w:val="49107B4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6D650FBE"/>
    <w:multiLevelType w:val="hybridMultilevel"/>
    <w:tmpl w:val="6A3C083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cs="Times New Roman"/>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75D3682B"/>
    <w:multiLevelType w:val="hybridMultilevel"/>
    <w:tmpl w:val="FEFC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9C71275"/>
    <w:multiLevelType w:val="hybridMultilevel"/>
    <w:tmpl w:val="99ACD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B511C79"/>
    <w:multiLevelType w:val="hybridMultilevel"/>
    <w:tmpl w:val="E43C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16"/>
  </w:num>
  <w:num w:numId="5">
    <w:abstractNumId w:val="1"/>
  </w:num>
  <w:num w:numId="6">
    <w:abstractNumId w:val="10"/>
  </w:num>
  <w:num w:numId="7">
    <w:abstractNumId w:val="0"/>
  </w:num>
  <w:num w:numId="8">
    <w:abstractNumId w:val="13"/>
  </w:num>
  <w:num w:numId="9">
    <w:abstractNumId w:val="12"/>
  </w:num>
  <w:num w:numId="10">
    <w:abstractNumId w:val="6"/>
  </w:num>
  <w:num w:numId="11">
    <w:abstractNumId w:val="17"/>
  </w:num>
  <w:num w:numId="12">
    <w:abstractNumId w:val="7"/>
  </w:num>
  <w:num w:numId="13">
    <w:abstractNumId w:val="7"/>
  </w:num>
  <w:num w:numId="14">
    <w:abstractNumId w:val="14"/>
    <w:lvlOverride w:ilvl="0"/>
    <w:lvlOverride w:ilvl="1">
      <w:startOverride w:val="1"/>
    </w:lvlOverride>
    <w:lvlOverride w:ilvl="2"/>
    <w:lvlOverride w:ilvl="3"/>
    <w:lvlOverride w:ilvl="4"/>
    <w:lvlOverride w:ilvl="5"/>
    <w:lvlOverride w:ilvl="6"/>
    <w:lvlOverride w:ilvl="7"/>
    <w:lvlOverride w:ilvl="8"/>
  </w:num>
  <w:num w:numId="15">
    <w:abstractNumId w:val="8"/>
  </w:num>
  <w:num w:numId="16">
    <w:abstractNumId w:val="4"/>
  </w:num>
  <w:num w:numId="17">
    <w:abstractNumId w:val="14"/>
  </w:num>
  <w:num w:numId="18">
    <w:abstractNumId w:val="9"/>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ACFBC1C-DC62-45DF-8586-BC7260FE547B}"/>
    <w:docVar w:name="dgnword-eventsink" w:val="140377720"/>
  </w:docVars>
  <w:rsids>
    <w:rsidRoot w:val="00087642"/>
    <w:rsid w:val="00011EF6"/>
    <w:rsid w:val="00046CF0"/>
    <w:rsid w:val="00055287"/>
    <w:rsid w:val="000817AF"/>
    <w:rsid w:val="000858D4"/>
    <w:rsid w:val="00087642"/>
    <w:rsid w:val="00090B2D"/>
    <w:rsid w:val="0009609C"/>
    <w:rsid w:val="000A0C15"/>
    <w:rsid w:val="000A7EF6"/>
    <w:rsid w:val="000F7231"/>
    <w:rsid w:val="001113C6"/>
    <w:rsid w:val="00143692"/>
    <w:rsid w:val="0016070D"/>
    <w:rsid w:val="00167F5E"/>
    <w:rsid w:val="001D5841"/>
    <w:rsid w:val="001F0F6C"/>
    <w:rsid w:val="0025298B"/>
    <w:rsid w:val="00273207"/>
    <w:rsid w:val="002C4293"/>
    <w:rsid w:val="002D297C"/>
    <w:rsid w:val="002E04D1"/>
    <w:rsid w:val="002E3152"/>
    <w:rsid w:val="00300E5F"/>
    <w:rsid w:val="003115C9"/>
    <w:rsid w:val="0036051F"/>
    <w:rsid w:val="00386D31"/>
    <w:rsid w:val="003C3B9B"/>
    <w:rsid w:val="003E35EE"/>
    <w:rsid w:val="003E686A"/>
    <w:rsid w:val="003F1A67"/>
    <w:rsid w:val="0042729E"/>
    <w:rsid w:val="00432C04"/>
    <w:rsid w:val="0052675A"/>
    <w:rsid w:val="00563280"/>
    <w:rsid w:val="0060738A"/>
    <w:rsid w:val="00613DE9"/>
    <w:rsid w:val="00631C17"/>
    <w:rsid w:val="00643C5A"/>
    <w:rsid w:val="006662BE"/>
    <w:rsid w:val="0068757E"/>
    <w:rsid w:val="006D7550"/>
    <w:rsid w:val="007B758D"/>
    <w:rsid w:val="007F03B2"/>
    <w:rsid w:val="00806323"/>
    <w:rsid w:val="00876F69"/>
    <w:rsid w:val="008D77C9"/>
    <w:rsid w:val="008E4008"/>
    <w:rsid w:val="00921B06"/>
    <w:rsid w:val="0097411B"/>
    <w:rsid w:val="00991523"/>
    <w:rsid w:val="0099422F"/>
    <w:rsid w:val="00994D04"/>
    <w:rsid w:val="009A147E"/>
    <w:rsid w:val="009C6616"/>
    <w:rsid w:val="00A0167E"/>
    <w:rsid w:val="00A83246"/>
    <w:rsid w:val="00AB1DC4"/>
    <w:rsid w:val="00AF6894"/>
    <w:rsid w:val="00AF7959"/>
    <w:rsid w:val="00B50139"/>
    <w:rsid w:val="00C25951"/>
    <w:rsid w:val="00C368BB"/>
    <w:rsid w:val="00C5630B"/>
    <w:rsid w:val="00C815F0"/>
    <w:rsid w:val="00C85AB0"/>
    <w:rsid w:val="00C97F26"/>
    <w:rsid w:val="00CA4563"/>
    <w:rsid w:val="00CC38E1"/>
    <w:rsid w:val="00CD197E"/>
    <w:rsid w:val="00CE00F6"/>
    <w:rsid w:val="00D121B9"/>
    <w:rsid w:val="00D7276E"/>
    <w:rsid w:val="00D736AD"/>
    <w:rsid w:val="00D9523E"/>
    <w:rsid w:val="00DF1FB7"/>
    <w:rsid w:val="00E414B9"/>
    <w:rsid w:val="00E41AA2"/>
    <w:rsid w:val="00E76F20"/>
    <w:rsid w:val="00F0673E"/>
    <w:rsid w:val="00F069A0"/>
    <w:rsid w:val="00F0760E"/>
    <w:rsid w:val="00F87019"/>
    <w:rsid w:val="00F96800"/>
    <w:rsid w:val="00FE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D4"/>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7642"/>
    <w:pPr>
      <w:ind w:left="720"/>
      <w:contextualSpacing/>
    </w:pPr>
  </w:style>
  <w:style w:type="paragraph" w:styleId="Header">
    <w:name w:val="header"/>
    <w:basedOn w:val="Normal"/>
    <w:link w:val="HeaderChar"/>
    <w:uiPriority w:val="99"/>
    <w:rsid w:val="00FE506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E506B"/>
    <w:rPr>
      <w:rFonts w:cs="Times New Roman"/>
    </w:rPr>
  </w:style>
  <w:style w:type="paragraph" w:styleId="Footer">
    <w:name w:val="footer"/>
    <w:basedOn w:val="Normal"/>
    <w:link w:val="FooterChar"/>
    <w:uiPriority w:val="99"/>
    <w:rsid w:val="00FE506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E506B"/>
    <w:rPr>
      <w:rFonts w:cs="Times New Roman"/>
    </w:rPr>
  </w:style>
  <w:style w:type="paragraph" w:styleId="BalloonText">
    <w:name w:val="Balloon Text"/>
    <w:basedOn w:val="Normal"/>
    <w:link w:val="BalloonTextChar"/>
    <w:uiPriority w:val="99"/>
    <w:semiHidden/>
    <w:rsid w:val="00FE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506B"/>
    <w:rPr>
      <w:rFonts w:ascii="Tahoma" w:hAnsi="Tahoma" w:cs="Tahoma"/>
      <w:sz w:val="16"/>
      <w:szCs w:val="16"/>
    </w:rPr>
  </w:style>
  <w:style w:type="paragraph" w:styleId="FootnoteText">
    <w:name w:val="footnote text"/>
    <w:basedOn w:val="Normal"/>
    <w:link w:val="FootnoteTextChar"/>
    <w:uiPriority w:val="99"/>
    <w:semiHidden/>
    <w:unhideWhenUsed/>
    <w:rsid w:val="00F96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800"/>
    <w:rPr>
      <w:sz w:val="20"/>
      <w:szCs w:val="20"/>
      <w:lang w:val="en-AU"/>
    </w:rPr>
  </w:style>
  <w:style w:type="character" w:styleId="FootnoteReference">
    <w:name w:val="footnote reference"/>
    <w:basedOn w:val="DefaultParagraphFont"/>
    <w:uiPriority w:val="99"/>
    <w:semiHidden/>
    <w:unhideWhenUsed/>
    <w:rsid w:val="00F968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D4"/>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7642"/>
    <w:pPr>
      <w:ind w:left="720"/>
      <w:contextualSpacing/>
    </w:pPr>
  </w:style>
  <w:style w:type="paragraph" w:styleId="Header">
    <w:name w:val="header"/>
    <w:basedOn w:val="Normal"/>
    <w:link w:val="HeaderChar"/>
    <w:uiPriority w:val="99"/>
    <w:rsid w:val="00FE506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E506B"/>
    <w:rPr>
      <w:rFonts w:cs="Times New Roman"/>
    </w:rPr>
  </w:style>
  <w:style w:type="paragraph" w:styleId="Footer">
    <w:name w:val="footer"/>
    <w:basedOn w:val="Normal"/>
    <w:link w:val="FooterChar"/>
    <w:uiPriority w:val="99"/>
    <w:rsid w:val="00FE506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E506B"/>
    <w:rPr>
      <w:rFonts w:cs="Times New Roman"/>
    </w:rPr>
  </w:style>
  <w:style w:type="paragraph" w:styleId="BalloonText">
    <w:name w:val="Balloon Text"/>
    <w:basedOn w:val="Normal"/>
    <w:link w:val="BalloonTextChar"/>
    <w:uiPriority w:val="99"/>
    <w:semiHidden/>
    <w:rsid w:val="00FE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506B"/>
    <w:rPr>
      <w:rFonts w:ascii="Tahoma" w:hAnsi="Tahoma" w:cs="Tahoma"/>
      <w:sz w:val="16"/>
      <w:szCs w:val="16"/>
    </w:rPr>
  </w:style>
  <w:style w:type="paragraph" w:styleId="FootnoteText">
    <w:name w:val="footnote text"/>
    <w:basedOn w:val="Normal"/>
    <w:link w:val="FootnoteTextChar"/>
    <w:uiPriority w:val="99"/>
    <w:semiHidden/>
    <w:unhideWhenUsed/>
    <w:rsid w:val="00F96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800"/>
    <w:rPr>
      <w:sz w:val="20"/>
      <w:szCs w:val="20"/>
      <w:lang w:val="en-AU"/>
    </w:rPr>
  </w:style>
  <w:style w:type="character" w:styleId="FootnoteReference">
    <w:name w:val="footnote reference"/>
    <w:basedOn w:val="DefaultParagraphFont"/>
    <w:uiPriority w:val="99"/>
    <w:semiHidden/>
    <w:unhideWhenUsed/>
    <w:rsid w:val="00F96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419">
      <w:bodyDiv w:val="1"/>
      <w:marLeft w:val="0"/>
      <w:marRight w:val="0"/>
      <w:marTop w:val="0"/>
      <w:marBottom w:val="0"/>
      <w:divBdr>
        <w:top w:val="none" w:sz="0" w:space="0" w:color="auto"/>
        <w:left w:val="none" w:sz="0" w:space="0" w:color="auto"/>
        <w:bottom w:val="none" w:sz="0" w:space="0" w:color="auto"/>
        <w:right w:val="none" w:sz="0" w:space="0" w:color="auto"/>
      </w:divBdr>
      <w:divsChild>
        <w:div w:id="530730803">
          <w:marLeft w:val="0"/>
          <w:marRight w:val="0"/>
          <w:marTop w:val="0"/>
          <w:marBottom w:val="0"/>
          <w:divBdr>
            <w:top w:val="none" w:sz="0" w:space="0" w:color="auto"/>
            <w:left w:val="none" w:sz="0" w:space="0" w:color="auto"/>
            <w:bottom w:val="none" w:sz="0" w:space="0" w:color="auto"/>
            <w:right w:val="none" w:sz="0" w:space="0" w:color="auto"/>
          </w:divBdr>
        </w:div>
        <w:div w:id="1820148913">
          <w:marLeft w:val="0"/>
          <w:marRight w:val="0"/>
          <w:marTop w:val="0"/>
          <w:marBottom w:val="0"/>
          <w:divBdr>
            <w:top w:val="none" w:sz="0" w:space="0" w:color="auto"/>
            <w:left w:val="none" w:sz="0" w:space="0" w:color="auto"/>
            <w:bottom w:val="none" w:sz="0" w:space="0" w:color="auto"/>
            <w:right w:val="none" w:sz="0" w:space="0" w:color="auto"/>
          </w:divBdr>
        </w:div>
        <w:div w:id="1627999901">
          <w:marLeft w:val="0"/>
          <w:marRight w:val="0"/>
          <w:marTop w:val="0"/>
          <w:marBottom w:val="0"/>
          <w:divBdr>
            <w:top w:val="none" w:sz="0" w:space="0" w:color="auto"/>
            <w:left w:val="none" w:sz="0" w:space="0" w:color="auto"/>
            <w:bottom w:val="none" w:sz="0" w:space="0" w:color="auto"/>
            <w:right w:val="none" w:sz="0" w:space="0" w:color="auto"/>
          </w:divBdr>
        </w:div>
        <w:div w:id="248779240">
          <w:marLeft w:val="0"/>
          <w:marRight w:val="0"/>
          <w:marTop w:val="0"/>
          <w:marBottom w:val="0"/>
          <w:divBdr>
            <w:top w:val="none" w:sz="0" w:space="0" w:color="auto"/>
            <w:left w:val="none" w:sz="0" w:space="0" w:color="auto"/>
            <w:bottom w:val="none" w:sz="0" w:space="0" w:color="auto"/>
            <w:right w:val="none" w:sz="0" w:space="0" w:color="auto"/>
          </w:divBdr>
        </w:div>
        <w:div w:id="281303152">
          <w:marLeft w:val="0"/>
          <w:marRight w:val="0"/>
          <w:marTop w:val="0"/>
          <w:marBottom w:val="0"/>
          <w:divBdr>
            <w:top w:val="none" w:sz="0" w:space="0" w:color="auto"/>
            <w:left w:val="none" w:sz="0" w:space="0" w:color="auto"/>
            <w:bottom w:val="none" w:sz="0" w:space="0" w:color="auto"/>
            <w:right w:val="none" w:sz="0" w:space="0" w:color="auto"/>
          </w:divBdr>
        </w:div>
        <w:div w:id="1680692351">
          <w:marLeft w:val="0"/>
          <w:marRight w:val="0"/>
          <w:marTop w:val="0"/>
          <w:marBottom w:val="0"/>
          <w:divBdr>
            <w:top w:val="none" w:sz="0" w:space="0" w:color="auto"/>
            <w:left w:val="none" w:sz="0" w:space="0" w:color="auto"/>
            <w:bottom w:val="none" w:sz="0" w:space="0" w:color="auto"/>
            <w:right w:val="none" w:sz="0" w:space="0" w:color="auto"/>
          </w:divBdr>
        </w:div>
        <w:div w:id="466968439">
          <w:marLeft w:val="0"/>
          <w:marRight w:val="0"/>
          <w:marTop w:val="0"/>
          <w:marBottom w:val="0"/>
          <w:divBdr>
            <w:top w:val="none" w:sz="0" w:space="0" w:color="auto"/>
            <w:left w:val="none" w:sz="0" w:space="0" w:color="auto"/>
            <w:bottom w:val="none" w:sz="0" w:space="0" w:color="auto"/>
            <w:right w:val="none" w:sz="0" w:space="0" w:color="auto"/>
          </w:divBdr>
        </w:div>
        <w:div w:id="31000191">
          <w:marLeft w:val="0"/>
          <w:marRight w:val="0"/>
          <w:marTop w:val="0"/>
          <w:marBottom w:val="0"/>
          <w:divBdr>
            <w:top w:val="none" w:sz="0" w:space="0" w:color="auto"/>
            <w:left w:val="none" w:sz="0" w:space="0" w:color="auto"/>
            <w:bottom w:val="none" w:sz="0" w:space="0" w:color="auto"/>
            <w:right w:val="none" w:sz="0" w:space="0" w:color="auto"/>
          </w:divBdr>
        </w:div>
        <w:div w:id="1004166271">
          <w:marLeft w:val="0"/>
          <w:marRight w:val="0"/>
          <w:marTop w:val="0"/>
          <w:marBottom w:val="0"/>
          <w:divBdr>
            <w:top w:val="none" w:sz="0" w:space="0" w:color="auto"/>
            <w:left w:val="none" w:sz="0" w:space="0" w:color="auto"/>
            <w:bottom w:val="none" w:sz="0" w:space="0" w:color="auto"/>
            <w:right w:val="none" w:sz="0" w:space="0" w:color="auto"/>
          </w:divBdr>
        </w:div>
        <w:div w:id="623661025">
          <w:marLeft w:val="0"/>
          <w:marRight w:val="0"/>
          <w:marTop w:val="0"/>
          <w:marBottom w:val="0"/>
          <w:divBdr>
            <w:top w:val="none" w:sz="0" w:space="0" w:color="auto"/>
            <w:left w:val="none" w:sz="0" w:space="0" w:color="auto"/>
            <w:bottom w:val="none" w:sz="0" w:space="0" w:color="auto"/>
            <w:right w:val="none" w:sz="0" w:space="0" w:color="auto"/>
          </w:divBdr>
        </w:div>
        <w:div w:id="491993572">
          <w:marLeft w:val="0"/>
          <w:marRight w:val="0"/>
          <w:marTop w:val="0"/>
          <w:marBottom w:val="0"/>
          <w:divBdr>
            <w:top w:val="none" w:sz="0" w:space="0" w:color="auto"/>
            <w:left w:val="none" w:sz="0" w:space="0" w:color="auto"/>
            <w:bottom w:val="none" w:sz="0" w:space="0" w:color="auto"/>
            <w:right w:val="none" w:sz="0" w:space="0" w:color="auto"/>
          </w:divBdr>
        </w:div>
        <w:div w:id="184709061">
          <w:marLeft w:val="0"/>
          <w:marRight w:val="0"/>
          <w:marTop w:val="0"/>
          <w:marBottom w:val="0"/>
          <w:divBdr>
            <w:top w:val="none" w:sz="0" w:space="0" w:color="auto"/>
            <w:left w:val="none" w:sz="0" w:space="0" w:color="auto"/>
            <w:bottom w:val="none" w:sz="0" w:space="0" w:color="auto"/>
            <w:right w:val="none" w:sz="0" w:space="0" w:color="auto"/>
          </w:divBdr>
        </w:div>
        <w:div w:id="1906640597">
          <w:marLeft w:val="0"/>
          <w:marRight w:val="0"/>
          <w:marTop w:val="0"/>
          <w:marBottom w:val="0"/>
          <w:divBdr>
            <w:top w:val="none" w:sz="0" w:space="0" w:color="auto"/>
            <w:left w:val="none" w:sz="0" w:space="0" w:color="auto"/>
            <w:bottom w:val="none" w:sz="0" w:space="0" w:color="auto"/>
            <w:right w:val="none" w:sz="0" w:space="0" w:color="auto"/>
          </w:divBdr>
        </w:div>
        <w:div w:id="691759837">
          <w:marLeft w:val="0"/>
          <w:marRight w:val="0"/>
          <w:marTop w:val="0"/>
          <w:marBottom w:val="0"/>
          <w:divBdr>
            <w:top w:val="none" w:sz="0" w:space="0" w:color="auto"/>
            <w:left w:val="none" w:sz="0" w:space="0" w:color="auto"/>
            <w:bottom w:val="none" w:sz="0" w:space="0" w:color="auto"/>
            <w:right w:val="none" w:sz="0" w:space="0" w:color="auto"/>
          </w:divBdr>
        </w:div>
        <w:div w:id="943725593">
          <w:marLeft w:val="0"/>
          <w:marRight w:val="0"/>
          <w:marTop w:val="0"/>
          <w:marBottom w:val="0"/>
          <w:divBdr>
            <w:top w:val="none" w:sz="0" w:space="0" w:color="auto"/>
            <w:left w:val="none" w:sz="0" w:space="0" w:color="auto"/>
            <w:bottom w:val="none" w:sz="0" w:space="0" w:color="auto"/>
            <w:right w:val="none" w:sz="0" w:space="0" w:color="auto"/>
          </w:divBdr>
        </w:div>
      </w:divsChild>
    </w:div>
    <w:div w:id="256518911">
      <w:bodyDiv w:val="1"/>
      <w:marLeft w:val="0"/>
      <w:marRight w:val="0"/>
      <w:marTop w:val="0"/>
      <w:marBottom w:val="0"/>
      <w:divBdr>
        <w:top w:val="none" w:sz="0" w:space="0" w:color="auto"/>
        <w:left w:val="none" w:sz="0" w:space="0" w:color="auto"/>
        <w:bottom w:val="none" w:sz="0" w:space="0" w:color="auto"/>
        <w:right w:val="none" w:sz="0" w:space="0" w:color="auto"/>
      </w:divBdr>
      <w:divsChild>
        <w:div w:id="194007218">
          <w:marLeft w:val="0"/>
          <w:marRight w:val="0"/>
          <w:marTop w:val="0"/>
          <w:marBottom w:val="0"/>
          <w:divBdr>
            <w:top w:val="none" w:sz="0" w:space="0" w:color="auto"/>
            <w:left w:val="none" w:sz="0" w:space="0" w:color="auto"/>
            <w:bottom w:val="none" w:sz="0" w:space="0" w:color="auto"/>
            <w:right w:val="none" w:sz="0" w:space="0" w:color="auto"/>
          </w:divBdr>
        </w:div>
        <w:div w:id="1676150752">
          <w:marLeft w:val="0"/>
          <w:marRight w:val="0"/>
          <w:marTop w:val="0"/>
          <w:marBottom w:val="0"/>
          <w:divBdr>
            <w:top w:val="none" w:sz="0" w:space="0" w:color="auto"/>
            <w:left w:val="none" w:sz="0" w:space="0" w:color="auto"/>
            <w:bottom w:val="none" w:sz="0" w:space="0" w:color="auto"/>
            <w:right w:val="none" w:sz="0" w:space="0" w:color="auto"/>
          </w:divBdr>
        </w:div>
        <w:div w:id="400567593">
          <w:marLeft w:val="0"/>
          <w:marRight w:val="0"/>
          <w:marTop w:val="0"/>
          <w:marBottom w:val="0"/>
          <w:divBdr>
            <w:top w:val="none" w:sz="0" w:space="0" w:color="auto"/>
            <w:left w:val="none" w:sz="0" w:space="0" w:color="auto"/>
            <w:bottom w:val="none" w:sz="0" w:space="0" w:color="auto"/>
            <w:right w:val="none" w:sz="0" w:space="0" w:color="auto"/>
          </w:divBdr>
        </w:div>
        <w:div w:id="517815145">
          <w:marLeft w:val="0"/>
          <w:marRight w:val="0"/>
          <w:marTop w:val="0"/>
          <w:marBottom w:val="0"/>
          <w:divBdr>
            <w:top w:val="none" w:sz="0" w:space="0" w:color="auto"/>
            <w:left w:val="none" w:sz="0" w:space="0" w:color="auto"/>
            <w:bottom w:val="none" w:sz="0" w:space="0" w:color="auto"/>
            <w:right w:val="none" w:sz="0" w:space="0" w:color="auto"/>
          </w:divBdr>
        </w:div>
        <w:div w:id="915015517">
          <w:marLeft w:val="0"/>
          <w:marRight w:val="0"/>
          <w:marTop w:val="0"/>
          <w:marBottom w:val="0"/>
          <w:divBdr>
            <w:top w:val="none" w:sz="0" w:space="0" w:color="auto"/>
            <w:left w:val="none" w:sz="0" w:space="0" w:color="auto"/>
            <w:bottom w:val="none" w:sz="0" w:space="0" w:color="auto"/>
            <w:right w:val="none" w:sz="0" w:space="0" w:color="auto"/>
          </w:divBdr>
        </w:div>
      </w:divsChild>
    </w:div>
    <w:div w:id="387920282">
      <w:bodyDiv w:val="1"/>
      <w:marLeft w:val="0"/>
      <w:marRight w:val="0"/>
      <w:marTop w:val="0"/>
      <w:marBottom w:val="0"/>
      <w:divBdr>
        <w:top w:val="none" w:sz="0" w:space="0" w:color="auto"/>
        <w:left w:val="none" w:sz="0" w:space="0" w:color="auto"/>
        <w:bottom w:val="none" w:sz="0" w:space="0" w:color="auto"/>
        <w:right w:val="none" w:sz="0" w:space="0" w:color="auto"/>
      </w:divBdr>
      <w:divsChild>
        <w:div w:id="946501989">
          <w:marLeft w:val="0"/>
          <w:marRight w:val="0"/>
          <w:marTop w:val="0"/>
          <w:marBottom w:val="0"/>
          <w:divBdr>
            <w:top w:val="none" w:sz="0" w:space="0" w:color="auto"/>
            <w:left w:val="none" w:sz="0" w:space="0" w:color="auto"/>
            <w:bottom w:val="none" w:sz="0" w:space="0" w:color="auto"/>
            <w:right w:val="none" w:sz="0" w:space="0" w:color="auto"/>
          </w:divBdr>
        </w:div>
        <w:div w:id="1336807415">
          <w:marLeft w:val="0"/>
          <w:marRight w:val="0"/>
          <w:marTop w:val="0"/>
          <w:marBottom w:val="0"/>
          <w:divBdr>
            <w:top w:val="none" w:sz="0" w:space="0" w:color="auto"/>
            <w:left w:val="none" w:sz="0" w:space="0" w:color="auto"/>
            <w:bottom w:val="none" w:sz="0" w:space="0" w:color="auto"/>
            <w:right w:val="none" w:sz="0" w:space="0" w:color="auto"/>
          </w:divBdr>
        </w:div>
        <w:div w:id="194469145">
          <w:marLeft w:val="0"/>
          <w:marRight w:val="0"/>
          <w:marTop w:val="0"/>
          <w:marBottom w:val="0"/>
          <w:divBdr>
            <w:top w:val="none" w:sz="0" w:space="0" w:color="auto"/>
            <w:left w:val="none" w:sz="0" w:space="0" w:color="auto"/>
            <w:bottom w:val="none" w:sz="0" w:space="0" w:color="auto"/>
            <w:right w:val="none" w:sz="0" w:space="0" w:color="auto"/>
          </w:divBdr>
        </w:div>
        <w:div w:id="848180281">
          <w:marLeft w:val="0"/>
          <w:marRight w:val="0"/>
          <w:marTop w:val="0"/>
          <w:marBottom w:val="0"/>
          <w:divBdr>
            <w:top w:val="none" w:sz="0" w:space="0" w:color="auto"/>
            <w:left w:val="none" w:sz="0" w:space="0" w:color="auto"/>
            <w:bottom w:val="none" w:sz="0" w:space="0" w:color="auto"/>
            <w:right w:val="none" w:sz="0" w:space="0" w:color="auto"/>
          </w:divBdr>
        </w:div>
        <w:div w:id="149105314">
          <w:marLeft w:val="0"/>
          <w:marRight w:val="0"/>
          <w:marTop w:val="0"/>
          <w:marBottom w:val="0"/>
          <w:divBdr>
            <w:top w:val="none" w:sz="0" w:space="0" w:color="auto"/>
            <w:left w:val="none" w:sz="0" w:space="0" w:color="auto"/>
            <w:bottom w:val="none" w:sz="0" w:space="0" w:color="auto"/>
            <w:right w:val="none" w:sz="0" w:space="0" w:color="auto"/>
          </w:divBdr>
        </w:div>
        <w:div w:id="637614201">
          <w:marLeft w:val="0"/>
          <w:marRight w:val="0"/>
          <w:marTop w:val="0"/>
          <w:marBottom w:val="0"/>
          <w:divBdr>
            <w:top w:val="none" w:sz="0" w:space="0" w:color="auto"/>
            <w:left w:val="none" w:sz="0" w:space="0" w:color="auto"/>
            <w:bottom w:val="none" w:sz="0" w:space="0" w:color="auto"/>
            <w:right w:val="none" w:sz="0" w:space="0" w:color="auto"/>
          </w:divBdr>
        </w:div>
      </w:divsChild>
    </w:div>
    <w:div w:id="1043024679">
      <w:marLeft w:val="0"/>
      <w:marRight w:val="0"/>
      <w:marTop w:val="0"/>
      <w:marBottom w:val="0"/>
      <w:divBdr>
        <w:top w:val="none" w:sz="0" w:space="0" w:color="auto"/>
        <w:left w:val="none" w:sz="0" w:space="0" w:color="auto"/>
        <w:bottom w:val="none" w:sz="0" w:space="0" w:color="auto"/>
        <w:right w:val="none" w:sz="0" w:space="0" w:color="auto"/>
      </w:divBdr>
    </w:div>
    <w:div w:id="1043024680">
      <w:marLeft w:val="0"/>
      <w:marRight w:val="0"/>
      <w:marTop w:val="0"/>
      <w:marBottom w:val="0"/>
      <w:divBdr>
        <w:top w:val="none" w:sz="0" w:space="0" w:color="auto"/>
        <w:left w:val="none" w:sz="0" w:space="0" w:color="auto"/>
        <w:bottom w:val="none" w:sz="0" w:space="0" w:color="auto"/>
        <w:right w:val="none" w:sz="0" w:space="0" w:color="auto"/>
      </w:divBdr>
    </w:div>
    <w:div w:id="1043024681">
      <w:marLeft w:val="0"/>
      <w:marRight w:val="0"/>
      <w:marTop w:val="0"/>
      <w:marBottom w:val="0"/>
      <w:divBdr>
        <w:top w:val="none" w:sz="0" w:space="0" w:color="auto"/>
        <w:left w:val="none" w:sz="0" w:space="0" w:color="auto"/>
        <w:bottom w:val="none" w:sz="0" w:space="0" w:color="auto"/>
        <w:right w:val="none" w:sz="0" w:space="0" w:color="auto"/>
      </w:divBdr>
    </w:div>
    <w:div w:id="1043024682">
      <w:marLeft w:val="0"/>
      <w:marRight w:val="0"/>
      <w:marTop w:val="0"/>
      <w:marBottom w:val="0"/>
      <w:divBdr>
        <w:top w:val="none" w:sz="0" w:space="0" w:color="auto"/>
        <w:left w:val="none" w:sz="0" w:space="0" w:color="auto"/>
        <w:bottom w:val="none" w:sz="0" w:space="0" w:color="auto"/>
        <w:right w:val="none" w:sz="0" w:space="0" w:color="auto"/>
      </w:divBdr>
    </w:div>
    <w:div w:id="1043024683">
      <w:marLeft w:val="0"/>
      <w:marRight w:val="0"/>
      <w:marTop w:val="0"/>
      <w:marBottom w:val="0"/>
      <w:divBdr>
        <w:top w:val="none" w:sz="0" w:space="0" w:color="auto"/>
        <w:left w:val="none" w:sz="0" w:space="0" w:color="auto"/>
        <w:bottom w:val="none" w:sz="0" w:space="0" w:color="auto"/>
        <w:right w:val="none" w:sz="0" w:space="0" w:color="auto"/>
      </w:divBdr>
    </w:div>
    <w:div w:id="1166281046">
      <w:bodyDiv w:val="1"/>
      <w:marLeft w:val="0"/>
      <w:marRight w:val="0"/>
      <w:marTop w:val="0"/>
      <w:marBottom w:val="0"/>
      <w:divBdr>
        <w:top w:val="none" w:sz="0" w:space="0" w:color="auto"/>
        <w:left w:val="none" w:sz="0" w:space="0" w:color="auto"/>
        <w:bottom w:val="none" w:sz="0" w:space="0" w:color="auto"/>
        <w:right w:val="none" w:sz="0" w:space="0" w:color="auto"/>
      </w:divBdr>
    </w:div>
    <w:div w:id="1488784061">
      <w:bodyDiv w:val="1"/>
      <w:marLeft w:val="0"/>
      <w:marRight w:val="0"/>
      <w:marTop w:val="0"/>
      <w:marBottom w:val="0"/>
      <w:divBdr>
        <w:top w:val="none" w:sz="0" w:space="0" w:color="auto"/>
        <w:left w:val="none" w:sz="0" w:space="0" w:color="auto"/>
        <w:bottom w:val="none" w:sz="0" w:space="0" w:color="auto"/>
        <w:right w:val="none" w:sz="0" w:space="0" w:color="auto"/>
      </w:divBdr>
      <w:divsChild>
        <w:div w:id="1373774599">
          <w:marLeft w:val="0"/>
          <w:marRight w:val="0"/>
          <w:marTop w:val="0"/>
          <w:marBottom w:val="0"/>
          <w:divBdr>
            <w:top w:val="none" w:sz="0" w:space="0" w:color="auto"/>
            <w:left w:val="none" w:sz="0" w:space="0" w:color="auto"/>
            <w:bottom w:val="none" w:sz="0" w:space="0" w:color="auto"/>
            <w:right w:val="none" w:sz="0" w:space="0" w:color="auto"/>
          </w:divBdr>
          <w:divsChild>
            <w:div w:id="983269131">
              <w:marLeft w:val="0"/>
              <w:marRight w:val="0"/>
              <w:marTop w:val="0"/>
              <w:marBottom w:val="0"/>
              <w:divBdr>
                <w:top w:val="none" w:sz="0" w:space="0" w:color="auto"/>
                <w:left w:val="none" w:sz="0" w:space="0" w:color="auto"/>
                <w:bottom w:val="none" w:sz="0" w:space="0" w:color="auto"/>
                <w:right w:val="none" w:sz="0" w:space="0" w:color="auto"/>
              </w:divBdr>
            </w:div>
            <w:div w:id="1798599478">
              <w:marLeft w:val="0"/>
              <w:marRight w:val="0"/>
              <w:marTop w:val="0"/>
              <w:marBottom w:val="0"/>
              <w:divBdr>
                <w:top w:val="none" w:sz="0" w:space="0" w:color="auto"/>
                <w:left w:val="none" w:sz="0" w:space="0" w:color="auto"/>
                <w:bottom w:val="none" w:sz="0" w:space="0" w:color="auto"/>
                <w:right w:val="none" w:sz="0" w:space="0" w:color="auto"/>
              </w:divBdr>
            </w:div>
            <w:div w:id="59796698">
              <w:marLeft w:val="0"/>
              <w:marRight w:val="0"/>
              <w:marTop w:val="0"/>
              <w:marBottom w:val="0"/>
              <w:divBdr>
                <w:top w:val="none" w:sz="0" w:space="0" w:color="auto"/>
                <w:left w:val="none" w:sz="0" w:space="0" w:color="auto"/>
                <w:bottom w:val="none" w:sz="0" w:space="0" w:color="auto"/>
                <w:right w:val="none" w:sz="0" w:space="0" w:color="auto"/>
              </w:divBdr>
            </w:div>
            <w:div w:id="478765060">
              <w:marLeft w:val="0"/>
              <w:marRight w:val="0"/>
              <w:marTop w:val="0"/>
              <w:marBottom w:val="0"/>
              <w:divBdr>
                <w:top w:val="none" w:sz="0" w:space="0" w:color="auto"/>
                <w:left w:val="none" w:sz="0" w:space="0" w:color="auto"/>
                <w:bottom w:val="none" w:sz="0" w:space="0" w:color="auto"/>
                <w:right w:val="none" w:sz="0" w:space="0" w:color="auto"/>
              </w:divBdr>
            </w:div>
            <w:div w:id="193269630">
              <w:marLeft w:val="0"/>
              <w:marRight w:val="0"/>
              <w:marTop w:val="0"/>
              <w:marBottom w:val="0"/>
              <w:divBdr>
                <w:top w:val="none" w:sz="0" w:space="0" w:color="auto"/>
                <w:left w:val="none" w:sz="0" w:space="0" w:color="auto"/>
                <w:bottom w:val="none" w:sz="0" w:space="0" w:color="auto"/>
                <w:right w:val="none" w:sz="0" w:space="0" w:color="auto"/>
              </w:divBdr>
            </w:div>
            <w:div w:id="1687175887">
              <w:marLeft w:val="0"/>
              <w:marRight w:val="0"/>
              <w:marTop w:val="0"/>
              <w:marBottom w:val="0"/>
              <w:divBdr>
                <w:top w:val="none" w:sz="0" w:space="0" w:color="auto"/>
                <w:left w:val="none" w:sz="0" w:space="0" w:color="auto"/>
                <w:bottom w:val="none" w:sz="0" w:space="0" w:color="auto"/>
                <w:right w:val="none" w:sz="0" w:space="0" w:color="auto"/>
              </w:divBdr>
            </w:div>
            <w:div w:id="554858557">
              <w:marLeft w:val="0"/>
              <w:marRight w:val="0"/>
              <w:marTop w:val="0"/>
              <w:marBottom w:val="0"/>
              <w:divBdr>
                <w:top w:val="none" w:sz="0" w:space="0" w:color="auto"/>
                <w:left w:val="none" w:sz="0" w:space="0" w:color="auto"/>
                <w:bottom w:val="none" w:sz="0" w:space="0" w:color="auto"/>
                <w:right w:val="none" w:sz="0" w:space="0" w:color="auto"/>
              </w:divBdr>
            </w:div>
            <w:div w:id="1525089899">
              <w:marLeft w:val="0"/>
              <w:marRight w:val="0"/>
              <w:marTop w:val="0"/>
              <w:marBottom w:val="0"/>
              <w:divBdr>
                <w:top w:val="none" w:sz="0" w:space="0" w:color="auto"/>
                <w:left w:val="none" w:sz="0" w:space="0" w:color="auto"/>
                <w:bottom w:val="none" w:sz="0" w:space="0" w:color="auto"/>
                <w:right w:val="none" w:sz="0" w:space="0" w:color="auto"/>
              </w:divBdr>
            </w:div>
            <w:div w:id="851450859">
              <w:marLeft w:val="0"/>
              <w:marRight w:val="0"/>
              <w:marTop w:val="0"/>
              <w:marBottom w:val="0"/>
              <w:divBdr>
                <w:top w:val="none" w:sz="0" w:space="0" w:color="auto"/>
                <w:left w:val="none" w:sz="0" w:space="0" w:color="auto"/>
                <w:bottom w:val="none" w:sz="0" w:space="0" w:color="auto"/>
                <w:right w:val="none" w:sz="0" w:space="0" w:color="auto"/>
              </w:divBdr>
            </w:div>
            <w:div w:id="503017344">
              <w:marLeft w:val="0"/>
              <w:marRight w:val="0"/>
              <w:marTop w:val="0"/>
              <w:marBottom w:val="0"/>
              <w:divBdr>
                <w:top w:val="none" w:sz="0" w:space="0" w:color="auto"/>
                <w:left w:val="none" w:sz="0" w:space="0" w:color="auto"/>
                <w:bottom w:val="none" w:sz="0" w:space="0" w:color="auto"/>
                <w:right w:val="none" w:sz="0" w:space="0" w:color="auto"/>
              </w:divBdr>
            </w:div>
            <w:div w:id="806045195">
              <w:marLeft w:val="0"/>
              <w:marRight w:val="0"/>
              <w:marTop w:val="0"/>
              <w:marBottom w:val="0"/>
              <w:divBdr>
                <w:top w:val="none" w:sz="0" w:space="0" w:color="auto"/>
                <w:left w:val="none" w:sz="0" w:space="0" w:color="auto"/>
                <w:bottom w:val="none" w:sz="0" w:space="0" w:color="auto"/>
                <w:right w:val="none" w:sz="0" w:space="0" w:color="auto"/>
              </w:divBdr>
            </w:div>
            <w:div w:id="838614785">
              <w:marLeft w:val="0"/>
              <w:marRight w:val="0"/>
              <w:marTop w:val="0"/>
              <w:marBottom w:val="0"/>
              <w:divBdr>
                <w:top w:val="none" w:sz="0" w:space="0" w:color="auto"/>
                <w:left w:val="none" w:sz="0" w:space="0" w:color="auto"/>
                <w:bottom w:val="none" w:sz="0" w:space="0" w:color="auto"/>
                <w:right w:val="none" w:sz="0" w:space="0" w:color="auto"/>
              </w:divBdr>
            </w:div>
            <w:div w:id="396168735">
              <w:marLeft w:val="0"/>
              <w:marRight w:val="0"/>
              <w:marTop w:val="0"/>
              <w:marBottom w:val="0"/>
              <w:divBdr>
                <w:top w:val="none" w:sz="0" w:space="0" w:color="auto"/>
                <w:left w:val="none" w:sz="0" w:space="0" w:color="auto"/>
                <w:bottom w:val="none" w:sz="0" w:space="0" w:color="auto"/>
                <w:right w:val="none" w:sz="0" w:space="0" w:color="auto"/>
              </w:divBdr>
            </w:div>
            <w:div w:id="1163664930">
              <w:marLeft w:val="0"/>
              <w:marRight w:val="0"/>
              <w:marTop w:val="0"/>
              <w:marBottom w:val="0"/>
              <w:divBdr>
                <w:top w:val="none" w:sz="0" w:space="0" w:color="auto"/>
                <w:left w:val="none" w:sz="0" w:space="0" w:color="auto"/>
                <w:bottom w:val="none" w:sz="0" w:space="0" w:color="auto"/>
                <w:right w:val="none" w:sz="0" w:space="0" w:color="auto"/>
              </w:divBdr>
            </w:div>
            <w:div w:id="412162023">
              <w:marLeft w:val="0"/>
              <w:marRight w:val="0"/>
              <w:marTop w:val="0"/>
              <w:marBottom w:val="0"/>
              <w:divBdr>
                <w:top w:val="none" w:sz="0" w:space="0" w:color="auto"/>
                <w:left w:val="none" w:sz="0" w:space="0" w:color="auto"/>
                <w:bottom w:val="none" w:sz="0" w:space="0" w:color="auto"/>
                <w:right w:val="none" w:sz="0" w:space="0" w:color="auto"/>
              </w:divBdr>
            </w:div>
            <w:div w:id="105346779">
              <w:marLeft w:val="0"/>
              <w:marRight w:val="0"/>
              <w:marTop w:val="0"/>
              <w:marBottom w:val="0"/>
              <w:divBdr>
                <w:top w:val="none" w:sz="0" w:space="0" w:color="auto"/>
                <w:left w:val="none" w:sz="0" w:space="0" w:color="auto"/>
                <w:bottom w:val="none" w:sz="0" w:space="0" w:color="auto"/>
                <w:right w:val="none" w:sz="0" w:space="0" w:color="auto"/>
              </w:divBdr>
            </w:div>
            <w:div w:id="1670602010">
              <w:marLeft w:val="0"/>
              <w:marRight w:val="0"/>
              <w:marTop w:val="0"/>
              <w:marBottom w:val="0"/>
              <w:divBdr>
                <w:top w:val="none" w:sz="0" w:space="0" w:color="auto"/>
                <w:left w:val="none" w:sz="0" w:space="0" w:color="auto"/>
                <w:bottom w:val="none" w:sz="0" w:space="0" w:color="auto"/>
                <w:right w:val="none" w:sz="0" w:space="0" w:color="auto"/>
              </w:divBdr>
            </w:div>
            <w:div w:id="1463572631">
              <w:marLeft w:val="0"/>
              <w:marRight w:val="0"/>
              <w:marTop w:val="0"/>
              <w:marBottom w:val="0"/>
              <w:divBdr>
                <w:top w:val="none" w:sz="0" w:space="0" w:color="auto"/>
                <w:left w:val="none" w:sz="0" w:space="0" w:color="auto"/>
                <w:bottom w:val="none" w:sz="0" w:space="0" w:color="auto"/>
                <w:right w:val="none" w:sz="0" w:space="0" w:color="auto"/>
              </w:divBdr>
            </w:div>
            <w:div w:id="8767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6744">
      <w:bodyDiv w:val="1"/>
      <w:marLeft w:val="0"/>
      <w:marRight w:val="0"/>
      <w:marTop w:val="0"/>
      <w:marBottom w:val="0"/>
      <w:divBdr>
        <w:top w:val="none" w:sz="0" w:space="0" w:color="auto"/>
        <w:left w:val="none" w:sz="0" w:space="0" w:color="auto"/>
        <w:bottom w:val="none" w:sz="0" w:space="0" w:color="auto"/>
        <w:right w:val="none" w:sz="0" w:space="0" w:color="auto"/>
      </w:divBdr>
    </w:div>
    <w:div w:id="1858543559">
      <w:bodyDiv w:val="1"/>
      <w:marLeft w:val="0"/>
      <w:marRight w:val="0"/>
      <w:marTop w:val="0"/>
      <w:marBottom w:val="0"/>
      <w:divBdr>
        <w:top w:val="none" w:sz="0" w:space="0" w:color="auto"/>
        <w:left w:val="none" w:sz="0" w:space="0" w:color="auto"/>
        <w:bottom w:val="none" w:sz="0" w:space="0" w:color="auto"/>
        <w:right w:val="none" w:sz="0" w:space="0" w:color="auto"/>
      </w:divBdr>
    </w:div>
    <w:div w:id="19402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au/url?sa=i&amp;rct=j&amp;q=&amp;esrc=s&amp;frm=1&amp;source=images&amp;cd=&amp;cad=rja&amp;docid=mC7rV_RYv6c5hM&amp;tbnid=G9Xn7jf9nZVXUM:&amp;ved=0CAUQjRw&amp;url=http://www.yellowpages.com.au/find/child-care-centres/adelaide-cbd-sa&amp;ei=IlFwUoDiIcKxkAW14oHoCw&amp;bvm=bv.55123115,d.dGI&amp;psig=AFQjCNHYnG_la_Svpp63USBcvrqZTMu7BQ&amp;ust=1383178903550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9D953-D65F-4321-87B1-DCDE3DE1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7532</Characters>
  <Application>Microsoft Office Word</Application>
  <DocSecurity>0</DocSecurity>
  <Lines>111</Lines>
  <Paragraphs>26</Paragraphs>
  <ScaleCrop>false</ScaleCrop>
  <HeadingPairs>
    <vt:vector size="2" baseType="variant">
      <vt:variant>
        <vt:lpstr>Title</vt:lpstr>
      </vt:variant>
      <vt:variant>
        <vt:i4>1</vt:i4>
      </vt:variant>
    </vt:vector>
  </HeadingPairs>
  <TitlesOfParts>
    <vt:vector size="1" baseType="lpstr">
      <vt:lpstr>Submission DR501 - Community Children’s Centres SA - Childcare and Early Childhood Learning - Public inquiry</vt:lpstr>
    </vt:vector>
  </TitlesOfParts>
  <Company>Community Children’s Centres SA</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DR501 - Community Children’s Centres SA - Childcare and Early Childhood Learning - Public inquiry</dc:title>
  <dc:creator>Community Children’s Centres SA</dc:creator>
  <cp:lastModifiedBy>Productivity Commission</cp:lastModifiedBy>
  <cp:revision>2</cp:revision>
  <cp:lastPrinted>2014-08-21T06:04:00Z</cp:lastPrinted>
  <dcterms:created xsi:type="dcterms:W3CDTF">2014-08-27T04:08:00Z</dcterms:created>
  <dcterms:modified xsi:type="dcterms:W3CDTF">2014-08-27T04:08:00Z</dcterms:modified>
</cp:coreProperties>
</file>