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82" w:rsidRDefault="006D552B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SUBMISSION</w:t>
      </w:r>
    </w:p>
    <w:p w:rsidR="006D552B" w:rsidRDefault="006D552B">
      <w:pPr>
        <w:rPr>
          <w:rFonts w:ascii="Goudy Old Style" w:hAnsi="Goudy Old Style"/>
          <w:sz w:val="24"/>
        </w:rPr>
      </w:pPr>
    </w:p>
    <w:p w:rsidR="009C0082" w:rsidRDefault="006D552B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To the </w:t>
      </w:r>
      <w:r w:rsidR="009C0082">
        <w:rPr>
          <w:rFonts w:ascii="Goudy Old Style" w:hAnsi="Goudy Old Style"/>
          <w:sz w:val="24"/>
        </w:rPr>
        <w:t>Child Care and Early Learning Productivity Commission,</w:t>
      </w:r>
    </w:p>
    <w:p w:rsidR="009C0082" w:rsidRDefault="009C0082">
      <w:pPr>
        <w:rPr>
          <w:rFonts w:ascii="Goudy Old Style" w:hAnsi="Goudy Old Style"/>
          <w:sz w:val="24"/>
        </w:rPr>
      </w:pPr>
    </w:p>
    <w:p w:rsidR="006D552B" w:rsidRDefault="009C0082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 am writing in response to the public commission enquiry</w:t>
      </w:r>
      <w:r w:rsidR="006D552B">
        <w:rPr>
          <w:rFonts w:ascii="Goudy Old Style" w:hAnsi="Goudy Old Style"/>
          <w:sz w:val="24"/>
        </w:rPr>
        <w:t>.</w:t>
      </w:r>
    </w:p>
    <w:p w:rsidR="006D552B" w:rsidRDefault="006D552B">
      <w:pPr>
        <w:rPr>
          <w:rFonts w:ascii="Goudy Old Style" w:hAnsi="Goudy Old Style"/>
          <w:sz w:val="24"/>
        </w:rPr>
      </w:pPr>
    </w:p>
    <w:p w:rsidR="009C0082" w:rsidRDefault="006D552B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I feel </w:t>
      </w:r>
      <w:r w:rsidR="009C0082">
        <w:rPr>
          <w:rFonts w:ascii="Goudy Old Style" w:hAnsi="Goudy Old Style"/>
          <w:sz w:val="24"/>
        </w:rPr>
        <w:t xml:space="preserve">strongly that we must do more to make early quality learning and child care </w:t>
      </w:r>
      <w:r>
        <w:rPr>
          <w:rFonts w:ascii="Goudy Old Style" w:hAnsi="Goudy Old Style"/>
          <w:sz w:val="24"/>
        </w:rPr>
        <w:t>services more widely</w:t>
      </w:r>
      <w:r w:rsidR="009C0082">
        <w:rPr>
          <w:rFonts w:ascii="Goudy Old Style" w:hAnsi="Goudy Old Style"/>
          <w:sz w:val="24"/>
        </w:rPr>
        <w:t xml:space="preserve"> available</w:t>
      </w:r>
      <w:r>
        <w:rPr>
          <w:rFonts w:ascii="Goudy Old Style" w:hAnsi="Goudy Old Style"/>
          <w:sz w:val="24"/>
        </w:rPr>
        <w:t xml:space="preserve"> and more affordable to families</w:t>
      </w:r>
      <w:r w:rsidR="009C0082">
        <w:rPr>
          <w:rFonts w:ascii="Goudy Old Style" w:hAnsi="Goudy Old Style"/>
          <w:sz w:val="24"/>
        </w:rPr>
        <w:t xml:space="preserve"> than they are now.</w:t>
      </w:r>
    </w:p>
    <w:p w:rsidR="009C0082" w:rsidRDefault="009C0082">
      <w:pPr>
        <w:rPr>
          <w:rFonts w:ascii="Goudy Old Style" w:hAnsi="Goudy Old Style"/>
          <w:sz w:val="24"/>
        </w:rPr>
      </w:pPr>
    </w:p>
    <w:p w:rsidR="009C0082" w:rsidRDefault="009C0082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 am writing in my own name, as well as on behalf of my husband.</w:t>
      </w:r>
    </w:p>
    <w:p w:rsidR="006D552B" w:rsidRDefault="009C0082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br/>
        <w:t>Our famil</w:t>
      </w:r>
      <w:r w:rsidR="006D552B">
        <w:rPr>
          <w:rFonts w:ascii="Goudy Old Style" w:hAnsi="Goudy Old Style"/>
          <w:sz w:val="24"/>
        </w:rPr>
        <w:t xml:space="preserve">y consists of a Mum and Dad, </w:t>
      </w:r>
      <w:r>
        <w:rPr>
          <w:rFonts w:ascii="Goudy Old Style" w:hAnsi="Goudy Old Style"/>
          <w:sz w:val="24"/>
        </w:rPr>
        <w:t>both with undergraduate and postgraduate degre</w:t>
      </w:r>
      <w:r w:rsidR="006D552B">
        <w:rPr>
          <w:rFonts w:ascii="Goudy Old Style" w:hAnsi="Goudy Old Style"/>
          <w:sz w:val="24"/>
        </w:rPr>
        <w:t>es, and in full-time employment,</w:t>
      </w:r>
      <w:r>
        <w:rPr>
          <w:rFonts w:ascii="Goudy Old Style" w:hAnsi="Goudy Old Style"/>
          <w:sz w:val="24"/>
        </w:rPr>
        <w:t xml:space="preserve"> and two children aged 9 and 3. </w:t>
      </w:r>
    </w:p>
    <w:p w:rsidR="006D552B" w:rsidRDefault="006D552B">
      <w:pPr>
        <w:rPr>
          <w:rFonts w:ascii="Goudy Old Style" w:hAnsi="Goudy Old Style"/>
          <w:sz w:val="24"/>
        </w:rPr>
      </w:pPr>
    </w:p>
    <w:p w:rsidR="009C0082" w:rsidRDefault="009C0082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Both of our children have attended full time child care from about the age of one. Our younger son is</w:t>
      </w:r>
      <w:r w:rsidR="006D552B">
        <w:rPr>
          <w:rFonts w:ascii="Goudy Old Style" w:hAnsi="Goudy Old Style"/>
          <w:sz w:val="24"/>
        </w:rPr>
        <w:t xml:space="preserve"> currently</w:t>
      </w:r>
      <w:r>
        <w:rPr>
          <w:rFonts w:ascii="Goudy Old Style" w:hAnsi="Goudy Old Style"/>
          <w:sz w:val="24"/>
        </w:rPr>
        <w:t xml:space="preserve"> in full time child-care, and starts kindergarten next year. Our older daughter</w:t>
      </w:r>
      <w:r w:rsidR="004E2EDE">
        <w:rPr>
          <w:rFonts w:ascii="Goudy Old Style" w:hAnsi="Goudy Old Style"/>
          <w:sz w:val="24"/>
        </w:rPr>
        <w:t>, who is now in Year 4,</w:t>
      </w:r>
      <w:r>
        <w:rPr>
          <w:rFonts w:ascii="Goudy Old Style" w:hAnsi="Goudy Old Style"/>
          <w:sz w:val="24"/>
        </w:rPr>
        <w:t xml:space="preserve"> </w:t>
      </w:r>
      <w:r w:rsidR="004E2EDE">
        <w:rPr>
          <w:rFonts w:ascii="Goudy Old Style" w:hAnsi="Goudy Old Style"/>
          <w:sz w:val="24"/>
        </w:rPr>
        <w:t>has attended child-care from the age of 1,</w:t>
      </w:r>
      <w:r>
        <w:rPr>
          <w:rFonts w:ascii="Goudy Old Style" w:hAnsi="Goudy Old Style"/>
          <w:sz w:val="24"/>
        </w:rPr>
        <w:t xml:space="preserve"> a</w:t>
      </w:r>
      <w:r w:rsidR="004E2EDE">
        <w:rPr>
          <w:rFonts w:ascii="Goudy Old Style" w:hAnsi="Goudy Old Style"/>
          <w:sz w:val="24"/>
        </w:rPr>
        <w:t>nd now attends</w:t>
      </w:r>
      <w:r>
        <w:rPr>
          <w:rFonts w:ascii="Goudy Old Style" w:hAnsi="Goudy Old Style"/>
          <w:sz w:val="24"/>
        </w:rPr>
        <w:t xml:space="preserve"> after-school care</w:t>
      </w:r>
      <w:r w:rsidR="004E2EDE">
        <w:rPr>
          <w:rFonts w:ascii="Goudy Old Style" w:hAnsi="Goudy Old Style"/>
          <w:sz w:val="24"/>
        </w:rPr>
        <w:t xml:space="preserve">, which she has </w:t>
      </w:r>
      <w:proofErr w:type="spellStart"/>
      <w:r w:rsidR="004E2EDE">
        <w:rPr>
          <w:rFonts w:ascii="Goudy Old Style" w:hAnsi="Goudy Old Style"/>
          <w:sz w:val="24"/>
        </w:rPr>
        <w:t>atttended</w:t>
      </w:r>
      <w:proofErr w:type="spellEnd"/>
      <w:r>
        <w:rPr>
          <w:rFonts w:ascii="Goudy Old Style" w:hAnsi="Goudy Old Style"/>
          <w:sz w:val="24"/>
        </w:rPr>
        <w:t xml:space="preserve"> from the time </w:t>
      </w:r>
      <w:r w:rsidR="004E2EDE">
        <w:rPr>
          <w:rFonts w:ascii="Goudy Old Style" w:hAnsi="Goudy Old Style"/>
          <w:sz w:val="24"/>
        </w:rPr>
        <w:t>she started kindergarten at age 4.</w:t>
      </w:r>
    </w:p>
    <w:p w:rsidR="009C0082" w:rsidRDefault="009C0082">
      <w:pPr>
        <w:rPr>
          <w:rFonts w:ascii="Goudy Old Style" w:hAnsi="Goudy Old Style"/>
          <w:sz w:val="24"/>
        </w:rPr>
      </w:pPr>
    </w:p>
    <w:p w:rsidR="009C0082" w:rsidRDefault="009C0082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Based on our experience with the way child-care and refunds are organised in Australia at the moment (before and on 25/08/2014, the date of this letter), </w:t>
      </w:r>
      <w:r w:rsidR="004E2EDE">
        <w:rPr>
          <w:rFonts w:ascii="Goudy Old Style" w:hAnsi="Goudy Old Style"/>
          <w:sz w:val="24"/>
        </w:rPr>
        <w:t xml:space="preserve">and from our </w:t>
      </w:r>
      <w:r>
        <w:rPr>
          <w:rFonts w:ascii="Goudy Old Style" w:hAnsi="Goudy Old Style"/>
          <w:sz w:val="24"/>
        </w:rPr>
        <w:t>perspective</w:t>
      </w:r>
      <w:r w:rsidR="004E2EDE">
        <w:rPr>
          <w:rFonts w:ascii="Goudy Old Style" w:hAnsi="Goudy Old Style"/>
          <w:sz w:val="24"/>
        </w:rPr>
        <w:t>s as u</w:t>
      </w:r>
      <w:r>
        <w:rPr>
          <w:rFonts w:ascii="Goudy Old Style" w:hAnsi="Goudy Old Style"/>
          <w:sz w:val="24"/>
        </w:rPr>
        <w:t>sers  and payers of child-care, we believe that the following should be improved:</w:t>
      </w:r>
    </w:p>
    <w:p w:rsidR="009C0082" w:rsidRDefault="009C0082">
      <w:pPr>
        <w:rPr>
          <w:rFonts w:ascii="Goudy Old Style" w:hAnsi="Goudy Old Style"/>
          <w:sz w:val="24"/>
        </w:rPr>
      </w:pPr>
    </w:p>
    <w:p w:rsidR="004E2EDE" w:rsidRDefault="009C0082" w:rsidP="009C0082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Child care is too expensive. Our son’s childcare costs $104 per day. This is too expensive for us, even with </w:t>
      </w:r>
      <w:r w:rsidR="004E2EDE">
        <w:rPr>
          <w:rFonts w:ascii="Goudy Old Style" w:hAnsi="Goudy Old Style"/>
          <w:sz w:val="24"/>
        </w:rPr>
        <w:t xml:space="preserve">only </w:t>
      </w:r>
      <w:r>
        <w:rPr>
          <w:rFonts w:ascii="Goudy Old Style" w:hAnsi="Goudy Old Style"/>
          <w:sz w:val="24"/>
        </w:rPr>
        <w:t xml:space="preserve">one child in child-care, and even though we both work full time. </w:t>
      </w:r>
    </w:p>
    <w:p w:rsidR="004E2EDE" w:rsidRDefault="004E2EDE" w:rsidP="004E2EDE">
      <w:pPr>
        <w:pStyle w:val="ListParagraph"/>
        <w:rPr>
          <w:rFonts w:ascii="Goudy Old Style" w:hAnsi="Goudy Old Style"/>
          <w:sz w:val="24"/>
        </w:rPr>
      </w:pPr>
    </w:p>
    <w:p w:rsidR="004E2EDE" w:rsidRDefault="009C0082" w:rsidP="004E2EDE">
      <w:pPr>
        <w:pStyle w:val="ListParagraph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If we had two children who needed to go, it would not be worthwhile for one of us to work at all. </w:t>
      </w:r>
    </w:p>
    <w:p w:rsidR="004E2EDE" w:rsidRDefault="004E2EDE" w:rsidP="004E2EDE">
      <w:pPr>
        <w:pStyle w:val="ListParagraph"/>
        <w:rPr>
          <w:rFonts w:ascii="Goudy Old Style" w:hAnsi="Goudy Old Style"/>
          <w:sz w:val="24"/>
        </w:rPr>
      </w:pPr>
    </w:p>
    <w:p w:rsidR="004E2EDE" w:rsidRDefault="009C0082" w:rsidP="004E2EDE">
      <w:pPr>
        <w:pStyle w:val="ListParagraph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Given the importance of early learning, all children should be able to go to child-care, regardless of how many children a family has. A parent who decides not to work for a few years creates a gap in one’s work experience that is hard to remedy later, and has a real impact on their career. </w:t>
      </w:r>
    </w:p>
    <w:p w:rsidR="004E2EDE" w:rsidRDefault="004E2EDE" w:rsidP="004E2EDE">
      <w:pPr>
        <w:pStyle w:val="ListParagraph"/>
        <w:rPr>
          <w:rFonts w:ascii="Goudy Old Style" w:hAnsi="Goudy Old Style"/>
          <w:sz w:val="24"/>
        </w:rPr>
      </w:pPr>
    </w:p>
    <w:p w:rsidR="009C0082" w:rsidRPr="009C0082" w:rsidRDefault="009C0082" w:rsidP="004E2EDE">
      <w:pPr>
        <w:pStyle w:val="ListParagraph"/>
        <w:rPr>
          <w:rFonts w:ascii="Goudy Old Style" w:hAnsi="Goudy Old Style"/>
          <w:sz w:val="24"/>
        </w:rPr>
      </w:pPr>
      <w:r>
        <w:rPr>
          <w:rFonts w:ascii="Goudy Old Style" w:hAnsi="Goudy Old Style"/>
          <w:b/>
          <w:sz w:val="24"/>
        </w:rPr>
        <w:t xml:space="preserve">We recommend </w:t>
      </w:r>
      <w:r w:rsidR="004E2EDE">
        <w:rPr>
          <w:rFonts w:ascii="Goudy Old Style" w:hAnsi="Goudy Old Style"/>
          <w:b/>
          <w:sz w:val="24"/>
        </w:rPr>
        <w:t xml:space="preserve">a </w:t>
      </w:r>
      <w:r>
        <w:rPr>
          <w:rFonts w:ascii="Goudy Old Style" w:hAnsi="Goudy Old Style"/>
          <w:b/>
          <w:sz w:val="24"/>
        </w:rPr>
        <w:t xml:space="preserve">Government intervention that would make childcare cost lower for families. </w:t>
      </w:r>
    </w:p>
    <w:p w:rsidR="009C0082" w:rsidRDefault="009C0082" w:rsidP="009C0082">
      <w:pPr>
        <w:pStyle w:val="ListParagraph"/>
        <w:rPr>
          <w:rFonts w:ascii="Goudy Old Style" w:hAnsi="Goudy Old Style"/>
          <w:sz w:val="24"/>
        </w:rPr>
      </w:pPr>
    </w:p>
    <w:p w:rsidR="004E2EDE" w:rsidRDefault="009C0082" w:rsidP="00434E20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There is too much to pay </w:t>
      </w:r>
      <w:r>
        <w:rPr>
          <w:rFonts w:ascii="Goudy Old Style" w:hAnsi="Goudy Old Style"/>
          <w:b/>
          <w:sz w:val="24"/>
        </w:rPr>
        <w:t xml:space="preserve">upfront. </w:t>
      </w:r>
      <w:r>
        <w:rPr>
          <w:rFonts w:ascii="Goudy Old Style" w:hAnsi="Goudy Old Style"/>
          <w:sz w:val="24"/>
        </w:rPr>
        <w:t xml:space="preserve">Even when a portion of the funds is to be refunded later, this creates cash-flow problems in most families. </w:t>
      </w:r>
    </w:p>
    <w:p w:rsidR="004E2EDE" w:rsidRDefault="004E2EDE" w:rsidP="004E2EDE">
      <w:pPr>
        <w:pStyle w:val="ListParagraph"/>
        <w:rPr>
          <w:rFonts w:ascii="Goudy Old Style" w:hAnsi="Goudy Old Style"/>
          <w:sz w:val="24"/>
        </w:rPr>
      </w:pPr>
    </w:p>
    <w:p w:rsidR="009C0082" w:rsidRPr="00434E20" w:rsidRDefault="009C0082" w:rsidP="004E2EDE">
      <w:pPr>
        <w:pStyle w:val="ListParagraph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Government subsidies or interventions s</w:t>
      </w:r>
      <w:r w:rsidR="00434E20">
        <w:rPr>
          <w:rFonts w:ascii="Goudy Old Style" w:hAnsi="Goudy Old Style"/>
          <w:sz w:val="24"/>
        </w:rPr>
        <w:t>hould be geared directly at child-care centres</w:t>
      </w:r>
      <w:r w:rsidR="004E2EDE">
        <w:rPr>
          <w:rFonts w:ascii="Goudy Old Style" w:hAnsi="Goudy Old Style"/>
          <w:sz w:val="24"/>
        </w:rPr>
        <w:t xml:space="preserve"> first, resulting in </w:t>
      </w:r>
      <w:r w:rsidR="00434E20">
        <w:rPr>
          <w:rFonts w:ascii="Goudy Old Style" w:hAnsi="Goudy Old Style"/>
          <w:sz w:val="24"/>
        </w:rPr>
        <w:t xml:space="preserve">less for families to pay </w:t>
      </w:r>
      <w:r w:rsidRPr="00434E20">
        <w:rPr>
          <w:rFonts w:ascii="Goudy Old Style" w:hAnsi="Goudy Old Style"/>
          <w:b/>
          <w:sz w:val="24"/>
        </w:rPr>
        <w:t>upfront.</w:t>
      </w:r>
    </w:p>
    <w:p w:rsidR="009C0082" w:rsidRDefault="009C0082" w:rsidP="009C0082">
      <w:pPr>
        <w:pStyle w:val="ListParagraph"/>
        <w:rPr>
          <w:rFonts w:ascii="Goudy Old Style" w:hAnsi="Goudy Old Style"/>
          <w:sz w:val="24"/>
        </w:rPr>
      </w:pPr>
    </w:p>
    <w:p w:rsidR="004E2EDE" w:rsidRDefault="00434E20" w:rsidP="009C0082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The current system and forms are too difficult to understand. In our family, we have a running joke: “One must have a PhD to understand Centrelink forms…oops, we do have PhDs, but we still don’t understand them.” </w:t>
      </w:r>
    </w:p>
    <w:p w:rsidR="004E2EDE" w:rsidRDefault="004E2EDE" w:rsidP="004E2EDE">
      <w:pPr>
        <w:pStyle w:val="ListParagraph"/>
        <w:rPr>
          <w:rFonts w:ascii="Goudy Old Style" w:hAnsi="Goudy Old Style"/>
          <w:sz w:val="24"/>
        </w:rPr>
      </w:pPr>
    </w:p>
    <w:p w:rsidR="004E2EDE" w:rsidRDefault="00434E20" w:rsidP="004E2EDE">
      <w:pPr>
        <w:pStyle w:val="ListParagraph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 have opted to move my child to a child-care centre attached to my employer with availability of salary packaging not because I wanted my child to go to that centre—I did not – but because</w:t>
      </w:r>
      <w:r w:rsidR="004E2EDE">
        <w:rPr>
          <w:rFonts w:ascii="Goudy Old Style" w:hAnsi="Goudy Old Style"/>
          <w:sz w:val="24"/>
        </w:rPr>
        <w:t xml:space="preserve"> the Centrelink forms for claiming the money back were simply to difficult for my husband and I to complete, so we never got our money back. </w:t>
      </w:r>
    </w:p>
    <w:p w:rsidR="004E2EDE" w:rsidRDefault="004E2EDE" w:rsidP="004E2EDE">
      <w:pPr>
        <w:pStyle w:val="ListParagraph"/>
        <w:rPr>
          <w:rFonts w:ascii="Goudy Old Style" w:hAnsi="Goudy Old Style"/>
          <w:sz w:val="24"/>
        </w:rPr>
      </w:pPr>
    </w:p>
    <w:p w:rsidR="00434E20" w:rsidRDefault="00434E20" w:rsidP="004E2EDE">
      <w:pPr>
        <w:pStyle w:val="ListParagraph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lastRenderedPageBreak/>
        <w:t xml:space="preserve">Refund should be made simpler for families, either by making salary packaging for any centre of the family’s choice available through most employers, </w:t>
      </w:r>
      <w:r w:rsidR="004E2EDE">
        <w:rPr>
          <w:rFonts w:ascii="Goudy Old Style" w:hAnsi="Goudy Old Style"/>
          <w:sz w:val="24"/>
        </w:rPr>
        <w:t>and/</w:t>
      </w:r>
      <w:r>
        <w:rPr>
          <w:rFonts w:ascii="Goudy Old Style" w:hAnsi="Goudy Old Style"/>
          <w:sz w:val="24"/>
        </w:rPr>
        <w:t xml:space="preserve">or by funds being paid directly by the government to the child care centre, upfront, so that the time spent working out accounting issues by each family is minimised. </w:t>
      </w:r>
    </w:p>
    <w:p w:rsidR="00434E20" w:rsidRPr="00434E20" w:rsidRDefault="00434E20" w:rsidP="00434E20">
      <w:pPr>
        <w:pStyle w:val="ListParagraph"/>
        <w:rPr>
          <w:rFonts w:ascii="Goudy Old Style" w:hAnsi="Goudy Old Style"/>
          <w:sz w:val="24"/>
        </w:rPr>
      </w:pPr>
    </w:p>
    <w:p w:rsidR="00434E20" w:rsidRDefault="00434E20" w:rsidP="009C0082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There are times where it would be good for a child to be at home, cared by a nanny (for instance, when the child is sick). Please include the nanny option into refundable options.</w:t>
      </w:r>
    </w:p>
    <w:p w:rsidR="00434E20" w:rsidRPr="00434E20" w:rsidRDefault="00434E20" w:rsidP="00434E20">
      <w:pPr>
        <w:pStyle w:val="ListParagraph"/>
        <w:rPr>
          <w:rFonts w:ascii="Goudy Old Style" w:hAnsi="Goudy Old Style"/>
          <w:sz w:val="24"/>
        </w:rPr>
      </w:pPr>
    </w:p>
    <w:p w:rsidR="00434E20" w:rsidRDefault="00434E20" w:rsidP="00434E20">
      <w:pPr>
        <w:rPr>
          <w:rFonts w:ascii="Goudy Old Style" w:hAnsi="Goudy Old Style"/>
          <w:sz w:val="24"/>
        </w:rPr>
      </w:pPr>
      <w:r w:rsidRPr="00434E20">
        <w:rPr>
          <w:rFonts w:ascii="Goudy Old Style" w:hAnsi="Goudy Old Style"/>
          <w:sz w:val="24"/>
        </w:rPr>
        <w:t xml:space="preserve">In conclusion: </w:t>
      </w:r>
    </w:p>
    <w:p w:rsidR="00434E20" w:rsidRDefault="00434E20" w:rsidP="00434E20">
      <w:pPr>
        <w:rPr>
          <w:rFonts w:ascii="Goudy Old Style" w:hAnsi="Goudy Old Style"/>
          <w:sz w:val="24"/>
        </w:rPr>
      </w:pPr>
    </w:p>
    <w:p w:rsidR="00434E20" w:rsidRDefault="00434E20" w:rsidP="00434E20">
      <w:pPr>
        <w:pStyle w:val="ListParagraph"/>
        <w:numPr>
          <w:ilvl w:val="0"/>
          <w:numId w:val="26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Please reduce the cost of child care to families.</w:t>
      </w:r>
    </w:p>
    <w:p w:rsidR="00434E20" w:rsidRDefault="00434E20" w:rsidP="00434E20">
      <w:pPr>
        <w:pStyle w:val="ListParagraph"/>
        <w:numPr>
          <w:ilvl w:val="0"/>
          <w:numId w:val="26"/>
        </w:numPr>
        <w:rPr>
          <w:rFonts w:ascii="Goudy Old Style" w:hAnsi="Goudy Old Style"/>
          <w:sz w:val="24"/>
        </w:rPr>
      </w:pPr>
      <w:r w:rsidRPr="00434E20">
        <w:rPr>
          <w:rFonts w:ascii="Goudy Old Style" w:hAnsi="Goudy Old Style"/>
          <w:sz w:val="24"/>
        </w:rPr>
        <w:t xml:space="preserve">Please remove </w:t>
      </w:r>
      <w:r>
        <w:rPr>
          <w:rFonts w:ascii="Goudy Old Style" w:hAnsi="Goudy Old Style"/>
          <w:sz w:val="24"/>
        </w:rPr>
        <w:t>the need to fill out refund forms, or at least reduce two forms to one.</w:t>
      </w:r>
    </w:p>
    <w:p w:rsidR="00434E20" w:rsidRDefault="00434E20" w:rsidP="00434E20">
      <w:pPr>
        <w:pStyle w:val="ListParagraph"/>
        <w:numPr>
          <w:ilvl w:val="0"/>
          <w:numId w:val="26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If there are forms to fill, please make them user friendly (lower reading comprehension level);</w:t>
      </w:r>
    </w:p>
    <w:p w:rsidR="004E2EDE" w:rsidRDefault="004E2EDE" w:rsidP="00434E20">
      <w:pPr>
        <w:pStyle w:val="ListParagraph"/>
        <w:numPr>
          <w:ilvl w:val="0"/>
          <w:numId w:val="26"/>
        </w:num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Please include the nanny option in refundable options;</w:t>
      </w:r>
    </w:p>
    <w:p w:rsidR="00434E20" w:rsidRDefault="00434E20" w:rsidP="00434E20">
      <w:pPr>
        <w:pStyle w:val="ListParagraph"/>
        <w:numPr>
          <w:ilvl w:val="0"/>
          <w:numId w:val="26"/>
        </w:numPr>
        <w:rPr>
          <w:rFonts w:ascii="Goudy Old Style" w:hAnsi="Goudy Old Style"/>
          <w:sz w:val="24"/>
        </w:rPr>
      </w:pPr>
      <w:r w:rsidRPr="00434E20">
        <w:rPr>
          <w:rFonts w:ascii="Goudy Old Style" w:hAnsi="Goudy Old Style"/>
          <w:sz w:val="24"/>
        </w:rPr>
        <w:t>Please lobby for salary packaging to</w:t>
      </w:r>
      <w:r>
        <w:rPr>
          <w:rFonts w:ascii="Goudy Old Style" w:hAnsi="Goudy Old Style"/>
          <w:sz w:val="24"/>
        </w:rPr>
        <w:t xml:space="preserve"> be taken up by most employers, or </w:t>
      </w:r>
    </w:p>
    <w:p w:rsidR="009C0082" w:rsidRDefault="00434E20" w:rsidP="00434E20">
      <w:pPr>
        <w:pStyle w:val="ListParagraph"/>
        <w:numPr>
          <w:ilvl w:val="0"/>
          <w:numId w:val="26"/>
        </w:numPr>
        <w:rPr>
          <w:rFonts w:ascii="Goudy Old Style" w:hAnsi="Goudy Old Style"/>
          <w:sz w:val="24"/>
        </w:rPr>
      </w:pPr>
      <w:r w:rsidRPr="00434E20">
        <w:rPr>
          <w:rFonts w:ascii="Goudy Old Style" w:hAnsi="Goudy Old Style"/>
          <w:sz w:val="24"/>
        </w:rPr>
        <w:t xml:space="preserve">Please streamline the refund system and make funds payable by the Government upfront to the child care centre, minimising the out-of-pocket cost to families. </w:t>
      </w:r>
    </w:p>
    <w:p w:rsidR="004E2EDE" w:rsidRDefault="004E2EDE" w:rsidP="00434E20">
      <w:pPr>
        <w:rPr>
          <w:rFonts w:ascii="Goudy Old Style" w:hAnsi="Goudy Old Style"/>
          <w:sz w:val="24"/>
        </w:rPr>
      </w:pPr>
    </w:p>
    <w:p w:rsidR="00434E20" w:rsidRDefault="00434E20" w:rsidP="00434E20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Many thanks</w:t>
      </w:r>
    </w:p>
    <w:p w:rsidR="006D552B" w:rsidRDefault="006D552B" w:rsidP="00434E20">
      <w:pPr>
        <w:rPr>
          <w:rFonts w:ascii="Goudy Old Style" w:hAnsi="Goudy Old Style"/>
          <w:sz w:val="24"/>
        </w:rPr>
      </w:pPr>
    </w:p>
    <w:p w:rsidR="006D552B" w:rsidRDefault="006D552B" w:rsidP="006D552B"/>
    <w:p w:rsidR="006D552B" w:rsidRDefault="006D552B" w:rsidP="006D552B"/>
    <w:p w:rsidR="006D552B" w:rsidRDefault="006D552B" w:rsidP="006D552B">
      <w:pPr>
        <w:rPr>
          <w:rFonts w:ascii="Segoe UI" w:eastAsiaTheme="minorEastAsia" w:hAnsi="Segoe UI" w:cs="Segoe UI"/>
          <w:noProof/>
        </w:rPr>
      </w:pPr>
      <w:bookmarkStart w:id="0" w:name="_MailAutoSig"/>
      <w:r>
        <w:rPr>
          <w:rFonts w:ascii="Segoe UI" w:eastAsiaTheme="minorEastAsia" w:hAnsi="Segoe UI" w:cs="Segoe UI"/>
          <w:noProof/>
        </w:rPr>
        <w:t>Assistant Professor Danijela Kambaskovic</w:t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 xml:space="preserve">Research Associate </w:t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  <w:color w:val="000000"/>
        </w:rPr>
        <w:drawing>
          <wp:inline distT="0" distB="0" distL="0" distR="0" wp14:anchorId="5874BAF2" wp14:editId="1134BF57">
            <wp:extent cx="571500" cy="716280"/>
            <wp:effectExtent l="0" t="0" r="0" b="7620"/>
            <wp:docPr id="1" name="Picture 1" descr="Description: Description: cid:2ACBCADD-02C4-4189-BEE2-E87C0106B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2ACBCADD-02C4-4189-BEE2-E87C0106B8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 xml:space="preserve">Australian Research Council Centre of Excellence </w:t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 xml:space="preserve">for the History of Emotions 1100-1800 </w:t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>University of Western Australia</w:t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>35 Stirling Hwy</w:t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>Crawley WA 6009</w:t>
      </w:r>
    </w:p>
    <w:p w:rsidR="006D552B" w:rsidRDefault="006D552B" w:rsidP="006D552B">
      <w:pPr>
        <w:rPr>
          <w:rFonts w:ascii="Segoe UI" w:eastAsiaTheme="minorEastAsia" w:hAnsi="Segoe UI" w:cs="Segoe UI"/>
          <w:noProof/>
        </w:rPr>
      </w:pPr>
      <w:r>
        <w:rPr>
          <w:rFonts w:ascii="Segoe UI" w:eastAsiaTheme="minorEastAsia" w:hAnsi="Segoe UI" w:cs="Segoe UI"/>
          <w:noProof/>
        </w:rPr>
        <w:t>Australia</w:t>
      </w:r>
    </w:p>
    <w:p w:rsidR="006D552B" w:rsidRDefault="006D552B" w:rsidP="006D552B">
      <w:pPr>
        <w:rPr>
          <w:rFonts w:asciiTheme="minorHAnsi" w:eastAsiaTheme="minorEastAsia" w:hAnsiTheme="minorHAnsi" w:cstheme="minorBidi"/>
          <w:noProof/>
        </w:rPr>
      </w:pPr>
      <w:bookmarkStart w:id="1" w:name="_GoBack"/>
      <w:bookmarkEnd w:id="1"/>
      <w:r>
        <w:rPr>
          <w:rFonts w:ascii="Verdana" w:hAnsi="Verdana" w:cs="Calibri"/>
          <w:noProof/>
          <w:color w:val="0000FF"/>
        </w:rPr>
        <w:br/>
      </w:r>
    </w:p>
    <w:bookmarkEnd w:id="0"/>
    <w:p w:rsidR="006D552B" w:rsidRDefault="006D552B" w:rsidP="006D552B">
      <w:pPr>
        <w:rPr>
          <w:rFonts w:eastAsiaTheme="minorHAnsi"/>
          <w:sz w:val="22"/>
          <w:szCs w:val="22"/>
          <w:lang w:eastAsia="en-US"/>
        </w:rPr>
      </w:pPr>
    </w:p>
    <w:p w:rsidR="006D552B" w:rsidRPr="00434E20" w:rsidRDefault="006D552B" w:rsidP="00434E20">
      <w:pPr>
        <w:rPr>
          <w:rFonts w:ascii="Goudy Old Style" w:hAnsi="Goudy Old Style"/>
          <w:sz w:val="24"/>
        </w:rPr>
      </w:pPr>
    </w:p>
    <w:sectPr w:rsidR="006D552B" w:rsidRPr="00434E20">
      <w:pgSz w:w="11907" w:h="16840" w:code="9"/>
      <w:pgMar w:top="1352" w:right="1021" w:bottom="426" w:left="102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75" w:rsidRDefault="00A56775">
      <w:r>
        <w:separator/>
      </w:r>
    </w:p>
  </w:endnote>
  <w:endnote w:type="continuationSeparator" w:id="0">
    <w:p w:rsidR="00A56775" w:rsidRDefault="00A5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75" w:rsidRDefault="00A56775">
      <w:r>
        <w:separator/>
      </w:r>
    </w:p>
  </w:footnote>
  <w:footnote w:type="continuationSeparator" w:id="0">
    <w:p w:rsidR="00A56775" w:rsidRDefault="00A5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6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81216"/>
    <w:multiLevelType w:val="hybridMultilevel"/>
    <w:tmpl w:val="F53E1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934B23"/>
    <w:multiLevelType w:val="hybridMultilevel"/>
    <w:tmpl w:val="50A8A2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abstractNum w:abstractNumId="25">
    <w:nsid w:val="7F1D4B22"/>
    <w:multiLevelType w:val="hybridMultilevel"/>
    <w:tmpl w:val="3844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10"/>
  </w:num>
  <w:num w:numId="14">
    <w:abstractNumId w:val="18"/>
  </w:num>
  <w:num w:numId="15">
    <w:abstractNumId w:val="0"/>
  </w:num>
  <w:num w:numId="16">
    <w:abstractNumId w:val="15"/>
  </w:num>
  <w:num w:numId="17">
    <w:abstractNumId w:val="23"/>
  </w:num>
  <w:num w:numId="18">
    <w:abstractNumId w:val="9"/>
  </w:num>
  <w:num w:numId="19">
    <w:abstractNumId w:val="17"/>
  </w:num>
  <w:num w:numId="20">
    <w:abstractNumId w:val="5"/>
  </w:num>
  <w:num w:numId="21">
    <w:abstractNumId w:val="4"/>
  </w:num>
  <w:num w:numId="22">
    <w:abstractNumId w:val="22"/>
  </w:num>
  <w:num w:numId="23">
    <w:abstractNumId w:val="14"/>
  </w:num>
  <w:num w:numId="24">
    <w:abstractNumId w:val="13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D4"/>
    <w:rsid w:val="000013D9"/>
    <w:rsid w:val="00005F03"/>
    <w:rsid w:val="00056210"/>
    <w:rsid w:val="000814C9"/>
    <w:rsid w:val="000916DA"/>
    <w:rsid w:val="000A5013"/>
    <w:rsid w:val="0019530F"/>
    <w:rsid w:val="001B0A41"/>
    <w:rsid w:val="001C5C7C"/>
    <w:rsid w:val="00221C86"/>
    <w:rsid w:val="00231C06"/>
    <w:rsid w:val="002A6DCC"/>
    <w:rsid w:val="002D6079"/>
    <w:rsid w:val="0036733A"/>
    <w:rsid w:val="003C5524"/>
    <w:rsid w:val="004149E7"/>
    <w:rsid w:val="00423861"/>
    <w:rsid w:val="00423BFB"/>
    <w:rsid w:val="00434E20"/>
    <w:rsid w:val="00480079"/>
    <w:rsid w:val="0048038E"/>
    <w:rsid w:val="004B21E0"/>
    <w:rsid w:val="004B6E74"/>
    <w:rsid w:val="004E2EDE"/>
    <w:rsid w:val="00534A5B"/>
    <w:rsid w:val="00626C39"/>
    <w:rsid w:val="006349CF"/>
    <w:rsid w:val="0069078B"/>
    <w:rsid w:val="006D552B"/>
    <w:rsid w:val="007265D4"/>
    <w:rsid w:val="007C3E81"/>
    <w:rsid w:val="00810726"/>
    <w:rsid w:val="00820633"/>
    <w:rsid w:val="00843256"/>
    <w:rsid w:val="00885AF4"/>
    <w:rsid w:val="0094760B"/>
    <w:rsid w:val="00947B19"/>
    <w:rsid w:val="009C0082"/>
    <w:rsid w:val="00A17B13"/>
    <w:rsid w:val="00A56775"/>
    <w:rsid w:val="00B2649B"/>
    <w:rsid w:val="00C638DA"/>
    <w:rsid w:val="00C969D3"/>
    <w:rsid w:val="00D528F3"/>
    <w:rsid w:val="00DC03C7"/>
    <w:rsid w:val="00E0213B"/>
    <w:rsid w:val="00E33CD7"/>
    <w:rsid w:val="00E7598B"/>
    <w:rsid w:val="00E958E6"/>
    <w:rsid w:val="00EC4447"/>
    <w:rsid w:val="00EC75E2"/>
    <w:rsid w:val="00F51EC1"/>
    <w:rsid w:val="00F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9C0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9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7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5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4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95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submission-cover-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submission-cover-sheet.dotm</Template>
  <TotalTime>3</TotalTime>
  <Pages>2</Pages>
  <Words>675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DR511 - Danijela Kambaskovic - Childcare and Early Childhood Learning - Public inquiry</vt:lpstr>
    </vt:vector>
  </TitlesOfParts>
  <Company/>
  <LinksUpToDate>false</LinksUpToDate>
  <CharactersWithSpaces>3927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http://www.pc.gov.au/legal/copyright.html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DR511 - Danijela Kambaskovic - Childcare and Early Childhood Learning - Public inquiry</dc:title>
  <dc:creator>Danijela Kambaskovic</dc:creator>
  <cp:lastModifiedBy>Pimperl, Mark</cp:lastModifiedBy>
  <cp:revision>5</cp:revision>
  <cp:lastPrinted>2004-07-01T12:55:00Z</cp:lastPrinted>
  <dcterms:created xsi:type="dcterms:W3CDTF">2014-08-27T04:08:00Z</dcterms:created>
  <dcterms:modified xsi:type="dcterms:W3CDTF">2014-08-28T00:12:00Z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