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07C" w:rsidRPr="00437610" w:rsidRDefault="001D6BBA" w:rsidP="007C0B23">
      <w:pPr>
        <w:spacing w:line="240" w:lineRule="auto"/>
        <w:rPr>
          <w:sz w:val="24"/>
          <w:szCs w:val="24"/>
        </w:rPr>
      </w:pPr>
      <w:r w:rsidRPr="00437610">
        <w:rPr>
          <w:sz w:val="24"/>
          <w:szCs w:val="24"/>
        </w:rPr>
        <w:t>Australia is a signatory in the</w:t>
      </w:r>
      <w:r w:rsidR="00964022" w:rsidRPr="00437610">
        <w:rPr>
          <w:sz w:val="24"/>
          <w:szCs w:val="24"/>
        </w:rPr>
        <w:t xml:space="preserve"> UN</w:t>
      </w:r>
      <w:r w:rsidR="00A70BE4">
        <w:rPr>
          <w:sz w:val="24"/>
          <w:szCs w:val="24"/>
        </w:rPr>
        <w:t xml:space="preserve"> C</w:t>
      </w:r>
      <w:r w:rsidRPr="00437610">
        <w:rPr>
          <w:sz w:val="24"/>
          <w:szCs w:val="24"/>
        </w:rPr>
        <w:t xml:space="preserve">onvention </w:t>
      </w:r>
      <w:r w:rsidR="00A70BE4">
        <w:rPr>
          <w:sz w:val="24"/>
          <w:szCs w:val="24"/>
        </w:rPr>
        <w:t>for</w:t>
      </w:r>
      <w:r w:rsidR="00396C4E" w:rsidRPr="00437610">
        <w:rPr>
          <w:sz w:val="24"/>
          <w:szCs w:val="24"/>
        </w:rPr>
        <w:t xml:space="preserve"> the Rights of the C</w:t>
      </w:r>
      <w:r w:rsidRPr="00437610">
        <w:rPr>
          <w:sz w:val="24"/>
          <w:szCs w:val="24"/>
        </w:rPr>
        <w:t>hild</w:t>
      </w:r>
      <w:r w:rsidR="00A70BE4">
        <w:rPr>
          <w:sz w:val="24"/>
          <w:szCs w:val="24"/>
        </w:rPr>
        <w:t>,</w:t>
      </w:r>
      <w:r w:rsidRPr="00437610">
        <w:rPr>
          <w:sz w:val="24"/>
          <w:szCs w:val="24"/>
        </w:rPr>
        <w:t xml:space="preserve"> </w:t>
      </w:r>
      <w:r w:rsidR="00964022" w:rsidRPr="00437610">
        <w:rPr>
          <w:sz w:val="24"/>
          <w:szCs w:val="24"/>
        </w:rPr>
        <w:t xml:space="preserve">and as part of our commitment to uphold </w:t>
      </w:r>
      <w:r w:rsidR="007C0B23" w:rsidRPr="00437610">
        <w:rPr>
          <w:sz w:val="24"/>
          <w:szCs w:val="24"/>
        </w:rPr>
        <w:t>children’s</w:t>
      </w:r>
      <w:r w:rsidR="00964022" w:rsidRPr="00437610">
        <w:rPr>
          <w:sz w:val="24"/>
          <w:szCs w:val="24"/>
        </w:rPr>
        <w:t xml:space="preserve"> rights, we must ensure that every child participates in early childhood education prior to formal schooling (regardless of parental employment status)</w:t>
      </w:r>
      <w:r w:rsidR="007973FF">
        <w:rPr>
          <w:sz w:val="24"/>
          <w:szCs w:val="24"/>
        </w:rPr>
        <w:t>. I agree with your recommendations to redirect proposed funding for the paid parental leave sche</w:t>
      </w:r>
      <w:bookmarkStart w:id="0" w:name="_GoBack"/>
      <w:bookmarkEnd w:id="0"/>
      <w:r w:rsidR="007973FF">
        <w:rPr>
          <w:sz w:val="24"/>
          <w:szCs w:val="24"/>
        </w:rPr>
        <w:t>me and inject it into early childhood education and care.</w:t>
      </w:r>
    </w:p>
    <w:p w:rsidR="00EA34AF" w:rsidRPr="00437610" w:rsidRDefault="007973FF" w:rsidP="007C0B23">
      <w:pPr>
        <w:autoSpaceDE w:val="0"/>
        <w:autoSpaceDN w:val="0"/>
        <w:adjustRightInd w:val="0"/>
        <w:spacing w:after="0" w:line="240" w:lineRule="auto"/>
        <w:rPr>
          <w:rFonts w:cs="ZurichBT-Light"/>
          <w:sz w:val="24"/>
          <w:szCs w:val="24"/>
        </w:rPr>
      </w:pPr>
      <w:r>
        <w:rPr>
          <w:rFonts w:cs="ZurichBT-Light"/>
          <w:sz w:val="24"/>
          <w:szCs w:val="24"/>
        </w:rPr>
        <w:t>E</w:t>
      </w:r>
      <w:r w:rsidR="00EA34AF" w:rsidRPr="00437610">
        <w:rPr>
          <w:rFonts w:cs="ZurichBT-Light"/>
          <w:sz w:val="24"/>
          <w:szCs w:val="24"/>
        </w:rPr>
        <w:t xml:space="preserve">arly childhood education and care </w:t>
      </w:r>
      <w:r>
        <w:rPr>
          <w:rFonts w:cs="ZurichBT-Light"/>
          <w:sz w:val="24"/>
          <w:szCs w:val="24"/>
        </w:rPr>
        <w:t>is</w:t>
      </w:r>
      <w:r w:rsidR="00EA34AF" w:rsidRPr="00437610">
        <w:rPr>
          <w:rFonts w:cs="ZurichBT-Light"/>
          <w:sz w:val="24"/>
          <w:szCs w:val="24"/>
        </w:rPr>
        <w:t xml:space="preserve"> associated with an improvement in academic performance at the age of 13 </w:t>
      </w:r>
      <w:r w:rsidR="00EA34AF" w:rsidRPr="00437610">
        <w:rPr>
          <w:rFonts w:cs="ZurichBT-LightItalic"/>
          <w:iCs/>
          <w:sz w:val="24"/>
          <w:szCs w:val="24"/>
        </w:rPr>
        <w:t xml:space="preserve"> and found early entrance into early childhood education predicts a creative, socially confident, popular, open and</w:t>
      </w:r>
      <w:r w:rsidR="00EA34AF" w:rsidRPr="00437610">
        <w:rPr>
          <w:rFonts w:cs="ZurichBT-Light"/>
          <w:sz w:val="24"/>
          <w:szCs w:val="24"/>
        </w:rPr>
        <w:t xml:space="preserve"> </w:t>
      </w:r>
      <w:r w:rsidR="00EA34AF" w:rsidRPr="00437610">
        <w:rPr>
          <w:rFonts w:cs="ZurichBT-LightItalic"/>
          <w:iCs/>
          <w:sz w:val="24"/>
          <w:szCs w:val="24"/>
        </w:rPr>
        <w:t>independent adolescent</w:t>
      </w:r>
      <w:r w:rsidR="00EA34AF" w:rsidRPr="00437610">
        <w:rPr>
          <w:rFonts w:cs="ZurichBT-Light"/>
          <w:sz w:val="24"/>
          <w:szCs w:val="24"/>
        </w:rPr>
        <w:t xml:space="preserve"> (Adamson, 2008).</w:t>
      </w:r>
      <w:r w:rsidR="00A70BE4">
        <w:rPr>
          <w:rFonts w:cs="ZurichBT-Light"/>
          <w:sz w:val="24"/>
          <w:szCs w:val="24"/>
        </w:rPr>
        <w:t xml:space="preserve"> </w:t>
      </w:r>
      <w:r w:rsidR="00EA34AF" w:rsidRPr="00437610">
        <w:rPr>
          <w:rFonts w:cs="ZurichBT-Light"/>
          <w:sz w:val="24"/>
          <w:szCs w:val="24"/>
        </w:rPr>
        <w:t xml:space="preserve">Adamson also cites </w:t>
      </w:r>
      <w:r w:rsidR="00FE0D09">
        <w:rPr>
          <w:rFonts w:cs="ZurichBT-Light"/>
          <w:sz w:val="24"/>
          <w:szCs w:val="24"/>
        </w:rPr>
        <w:t>findings in</w:t>
      </w:r>
      <w:r w:rsidR="00EA34AF" w:rsidRPr="00437610">
        <w:rPr>
          <w:rFonts w:cs="ZurichBT-Light"/>
          <w:sz w:val="24"/>
          <w:szCs w:val="24"/>
        </w:rPr>
        <w:t xml:space="preserve"> </w:t>
      </w:r>
      <w:r w:rsidR="00EA34AF" w:rsidRPr="00437610">
        <w:rPr>
          <w:rFonts w:cs="ZurichBT-LightItalic"/>
          <w:i/>
          <w:iCs/>
          <w:sz w:val="24"/>
          <w:szCs w:val="24"/>
        </w:rPr>
        <w:t xml:space="preserve">The Economics of Investing in Universal Preschool Education in California </w:t>
      </w:r>
      <w:r w:rsidR="00FE0D09" w:rsidRPr="00FE0D09">
        <w:rPr>
          <w:rFonts w:cs="ZurichBT-LightItalic"/>
          <w:iCs/>
          <w:sz w:val="24"/>
          <w:szCs w:val="24"/>
        </w:rPr>
        <w:t>report 2005</w:t>
      </w:r>
      <w:r w:rsidR="00FE0D09">
        <w:rPr>
          <w:rFonts w:cs="ZurichBT-LightItalic"/>
          <w:i/>
          <w:iCs/>
          <w:sz w:val="24"/>
          <w:szCs w:val="24"/>
        </w:rPr>
        <w:t xml:space="preserve"> </w:t>
      </w:r>
      <w:r w:rsidR="00FE0D09" w:rsidRPr="00FE0D09">
        <w:rPr>
          <w:rFonts w:cs="ZurichBT-LightItalic"/>
          <w:iCs/>
          <w:sz w:val="24"/>
          <w:szCs w:val="24"/>
        </w:rPr>
        <w:t xml:space="preserve">which </w:t>
      </w:r>
      <w:r w:rsidR="00EA34AF" w:rsidRPr="00437610">
        <w:rPr>
          <w:rFonts w:cs="ZurichBT-Light"/>
          <w:sz w:val="24"/>
          <w:szCs w:val="24"/>
        </w:rPr>
        <w:t>found that children who</w:t>
      </w:r>
      <w:r w:rsidR="00EA34AF" w:rsidRPr="00437610">
        <w:rPr>
          <w:rFonts w:cs="ZurichBT-LightItalic"/>
          <w:i/>
          <w:iCs/>
          <w:sz w:val="24"/>
          <w:szCs w:val="24"/>
        </w:rPr>
        <w:t xml:space="preserve"> </w:t>
      </w:r>
      <w:r w:rsidR="00EA34AF" w:rsidRPr="00437610">
        <w:rPr>
          <w:rFonts w:cs="ZurichBT-Light"/>
          <w:sz w:val="24"/>
          <w:szCs w:val="24"/>
        </w:rPr>
        <w:t xml:space="preserve">attended </w:t>
      </w:r>
      <w:r w:rsidR="00FE0D09">
        <w:rPr>
          <w:rFonts w:cs="ZurichBT-Light"/>
          <w:sz w:val="24"/>
          <w:szCs w:val="24"/>
        </w:rPr>
        <w:t>early childhood education</w:t>
      </w:r>
      <w:r w:rsidR="00EA34AF" w:rsidRPr="00437610">
        <w:rPr>
          <w:rFonts w:cs="ZurichBT-Light"/>
          <w:sz w:val="24"/>
          <w:szCs w:val="24"/>
        </w:rPr>
        <w:t xml:space="preserve"> were more likely to graduate from</w:t>
      </w:r>
      <w:r w:rsidR="00EA34AF" w:rsidRPr="00437610">
        <w:rPr>
          <w:rFonts w:cs="ZurichBT-LightItalic"/>
          <w:i/>
          <w:iCs/>
          <w:sz w:val="24"/>
          <w:szCs w:val="24"/>
        </w:rPr>
        <w:t xml:space="preserve"> </w:t>
      </w:r>
      <w:r w:rsidR="00EA34AF" w:rsidRPr="00437610">
        <w:rPr>
          <w:rFonts w:cs="ZurichBT-Light"/>
          <w:sz w:val="24"/>
          <w:szCs w:val="24"/>
        </w:rPr>
        <w:t>high school, earned higher salaries as adults, and were</w:t>
      </w:r>
      <w:r w:rsidR="00EA34AF" w:rsidRPr="00437610">
        <w:rPr>
          <w:rFonts w:cs="ZurichBT-LightItalic"/>
          <w:i/>
          <w:iCs/>
          <w:sz w:val="24"/>
          <w:szCs w:val="24"/>
        </w:rPr>
        <w:t xml:space="preserve"> </w:t>
      </w:r>
      <w:r w:rsidR="00EA34AF" w:rsidRPr="00437610">
        <w:rPr>
          <w:rFonts w:cs="ZurichBT-Light"/>
          <w:sz w:val="24"/>
          <w:szCs w:val="24"/>
        </w:rPr>
        <w:t xml:space="preserve">less likely to become involved in crime. </w:t>
      </w:r>
    </w:p>
    <w:p w:rsidR="00EA34AF" w:rsidRPr="00437610" w:rsidRDefault="00EA34AF" w:rsidP="007C0B23">
      <w:pPr>
        <w:autoSpaceDE w:val="0"/>
        <w:autoSpaceDN w:val="0"/>
        <w:adjustRightInd w:val="0"/>
        <w:spacing w:after="0" w:line="240" w:lineRule="auto"/>
        <w:rPr>
          <w:rFonts w:cs="ZurichBT-Light"/>
          <w:sz w:val="24"/>
          <w:szCs w:val="24"/>
        </w:rPr>
      </w:pPr>
    </w:p>
    <w:p w:rsidR="007C0B23" w:rsidRPr="00437610" w:rsidRDefault="002F707C" w:rsidP="007C0B23">
      <w:pPr>
        <w:spacing w:line="240" w:lineRule="auto"/>
        <w:rPr>
          <w:sz w:val="24"/>
          <w:szCs w:val="24"/>
        </w:rPr>
      </w:pPr>
      <w:r w:rsidRPr="00437610">
        <w:rPr>
          <w:sz w:val="24"/>
          <w:szCs w:val="24"/>
        </w:rPr>
        <w:t>Early childhood education and care can be delivered in various modes from ‘</w:t>
      </w:r>
      <w:r w:rsidR="007C0B23" w:rsidRPr="00437610">
        <w:rPr>
          <w:sz w:val="24"/>
          <w:szCs w:val="24"/>
        </w:rPr>
        <w:t>l</w:t>
      </w:r>
      <w:r w:rsidRPr="00437610">
        <w:rPr>
          <w:sz w:val="24"/>
          <w:szCs w:val="24"/>
        </w:rPr>
        <w:t>ong day care’, short day (“</w:t>
      </w:r>
      <w:r w:rsidR="007973FF">
        <w:rPr>
          <w:sz w:val="24"/>
          <w:szCs w:val="24"/>
        </w:rPr>
        <w:t xml:space="preserve">or </w:t>
      </w:r>
      <w:r w:rsidRPr="00437610">
        <w:rPr>
          <w:sz w:val="24"/>
          <w:szCs w:val="24"/>
        </w:rPr>
        <w:t>preschool”)</w:t>
      </w:r>
      <w:r w:rsidR="007C0B23" w:rsidRPr="00437610">
        <w:rPr>
          <w:sz w:val="24"/>
          <w:szCs w:val="24"/>
        </w:rPr>
        <w:t>, f</w:t>
      </w:r>
      <w:r w:rsidRPr="00437610">
        <w:rPr>
          <w:sz w:val="24"/>
          <w:szCs w:val="24"/>
        </w:rPr>
        <w:t>amily day care</w:t>
      </w:r>
      <w:r w:rsidR="00471EF8" w:rsidRPr="00437610">
        <w:rPr>
          <w:sz w:val="24"/>
          <w:szCs w:val="24"/>
        </w:rPr>
        <w:t>. Formal early learning settings such as these offer chi</w:t>
      </w:r>
      <w:r w:rsidR="007C0B23" w:rsidRPr="00437610">
        <w:rPr>
          <w:sz w:val="24"/>
          <w:szCs w:val="24"/>
        </w:rPr>
        <w:t>l</w:t>
      </w:r>
      <w:r w:rsidR="00471EF8" w:rsidRPr="00437610">
        <w:rPr>
          <w:sz w:val="24"/>
          <w:szCs w:val="24"/>
        </w:rPr>
        <w:t xml:space="preserve">dren opportunities to interact with peers and develop essential interpersonal skills that lay the foundation for academic success later in school life (Katz, </w:t>
      </w:r>
      <w:r w:rsidR="00A70BE4">
        <w:rPr>
          <w:sz w:val="24"/>
          <w:szCs w:val="24"/>
        </w:rPr>
        <w:t>2003</w:t>
      </w:r>
      <w:r w:rsidR="00471EF8" w:rsidRPr="00437610">
        <w:rPr>
          <w:sz w:val="24"/>
          <w:szCs w:val="24"/>
        </w:rPr>
        <w:t>). Removing preschools from the NQS may incorrectly convey messages</w:t>
      </w:r>
      <w:r w:rsidR="007C0B23" w:rsidRPr="00437610">
        <w:rPr>
          <w:sz w:val="24"/>
          <w:szCs w:val="24"/>
        </w:rPr>
        <w:t xml:space="preserve"> to the community that ‘p</w:t>
      </w:r>
      <w:r w:rsidR="00471EF8" w:rsidRPr="00437610">
        <w:rPr>
          <w:sz w:val="24"/>
          <w:szCs w:val="24"/>
        </w:rPr>
        <w:t>reschools</w:t>
      </w:r>
      <w:r w:rsidR="007C0B23" w:rsidRPr="00437610">
        <w:rPr>
          <w:sz w:val="24"/>
          <w:szCs w:val="24"/>
        </w:rPr>
        <w:t>’</w:t>
      </w:r>
      <w:r w:rsidR="00471EF8" w:rsidRPr="00437610">
        <w:rPr>
          <w:sz w:val="24"/>
          <w:szCs w:val="24"/>
        </w:rPr>
        <w:t xml:space="preserve"> provide</w:t>
      </w:r>
      <w:r w:rsidR="007C0B23" w:rsidRPr="00437610">
        <w:rPr>
          <w:sz w:val="24"/>
          <w:szCs w:val="24"/>
        </w:rPr>
        <w:t xml:space="preserve"> better</w:t>
      </w:r>
      <w:r w:rsidR="00471EF8" w:rsidRPr="00437610">
        <w:rPr>
          <w:sz w:val="24"/>
          <w:szCs w:val="24"/>
        </w:rPr>
        <w:t xml:space="preserve"> early childhood </w:t>
      </w:r>
      <w:r w:rsidR="007C0B23" w:rsidRPr="00437610">
        <w:rPr>
          <w:sz w:val="24"/>
          <w:szCs w:val="24"/>
        </w:rPr>
        <w:t xml:space="preserve">programs, </w:t>
      </w:r>
      <w:r w:rsidR="00A70BE4">
        <w:rPr>
          <w:sz w:val="24"/>
          <w:szCs w:val="24"/>
        </w:rPr>
        <w:t>when instead we should be educating the community the children develop well in good quality early childhood environments.</w:t>
      </w:r>
    </w:p>
    <w:p w:rsidR="00396C4E" w:rsidRPr="00437610" w:rsidRDefault="007C0B23" w:rsidP="007C0B23">
      <w:pPr>
        <w:spacing w:line="240" w:lineRule="auto"/>
        <w:rPr>
          <w:sz w:val="24"/>
          <w:szCs w:val="24"/>
        </w:rPr>
      </w:pPr>
      <w:r w:rsidRPr="00437610">
        <w:rPr>
          <w:sz w:val="24"/>
          <w:szCs w:val="24"/>
        </w:rPr>
        <w:t>All formal e</w:t>
      </w:r>
      <w:r w:rsidR="00471EF8" w:rsidRPr="00437610">
        <w:rPr>
          <w:sz w:val="24"/>
          <w:szCs w:val="24"/>
        </w:rPr>
        <w:t>arly childhood programs offer children opportunities to learn pre-literacy and numeracy concepts through play and discussion</w:t>
      </w:r>
      <w:r w:rsidRPr="00437610">
        <w:rPr>
          <w:sz w:val="24"/>
          <w:szCs w:val="24"/>
        </w:rPr>
        <w:t xml:space="preserve"> because it is in these settings that</w:t>
      </w:r>
      <w:r w:rsidR="00471EF8" w:rsidRPr="00437610">
        <w:rPr>
          <w:sz w:val="24"/>
          <w:szCs w:val="24"/>
        </w:rPr>
        <w:t xml:space="preserve"> children engage in meaningful interactions with peers. </w:t>
      </w:r>
      <w:r w:rsidRPr="00437610">
        <w:rPr>
          <w:sz w:val="24"/>
          <w:szCs w:val="24"/>
        </w:rPr>
        <w:t>T</w:t>
      </w:r>
      <w:r w:rsidR="00471EF8" w:rsidRPr="00437610">
        <w:rPr>
          <w:sz w:val="24"/>
          <w:szCs w:val="24"/>
        </w:rPr>
        <w:t>raditional/structured prior to school activities such as colouring stencils or tracing shapes are developmentally inappropriate for children in early childhood. The interpersonal skills that children develop through</w:t>
      </w:r>
      <w:r w:rsidRPr="00437610">
        <w:rPr>
          <w:sz w:val="24"/>
          <w:szCs w:val="24"/>
        </w:rPr>
        <w:t>: group interaction;</w:t>
      </w:r>
      <w:r w:rsidR="00471EF8" w:rsidRPr="00437610">
        <w:rPr>
          <w:sz w:val="24"/>
          <w:szCs w:val="24"/>
        </w:rPr>
        <w:t xml:space="preserve"> self directed play</w:t>
      </w:r>
      <w:r w:rsidRPr="00437610">
        <w:rPr>
          <w:sz w:val="24"/>
          <w:szCs w:val="24"/>
        </w:rPr>
        <w:t>;</w:t>
      </w:r>
      <w:r w:rsidR="00471EF8" w:rsidRPr="00437610">
        <w:rPr>
          <w:sz w:val="24"/>
          <w:szCs w:val="24"/>
        </w:rPr>
        <w:t xml:space="preserve"> and group discussion</w:t>
      </w:r>
      <w:r w:rsidRPr="00437610">
        <w:rPr>
          <w:sz w:val="24"/>
          <w:szCs w:val="24"/>
        </w:rPr>
        <w:t>,</w:t>
      </w:r>
      <w:r w:rsidR="00471EF8" w:rsidRPr="00437610">
        <w:rPr>
          <w:sz w:val="24"/>
          <w:szCs w:val="24"/>
        </w:rPr>
        <w:t xml:space="preserve"> provide a greater platform for academic achievement later in life than </w:t>
      </w:r>
      <w:r w:rsidR="00EA34AF" w:rsidRPr="00437610">
        <w:rPr>
          <w:sz w:val="24"/>
          <w:szCs w:val="24"/>
        </w:rPr>
        <w:t xml:space="preserve">do rigid stencil tracing and other predominantly solitary </w:t>
      </w:r>
      <w:r w:rsidRPr="00437610">
        <w:rPr>
          <w:sz w:val="24"/>
          <w:szCs w:val="24"/>
        </w:rPr>
        <w:t xml:space="preserve">‘school readiness’ </w:t>
      </w:r>
      <w:r w:rsidR="00EA34AF" w:rsidRPr="00437610">
        <w:rPr>
          <w:sz w:val="24"/>
          <w:szCs w:val="24"/>
        </w:rPr>
        <w:t>activities.</w:t>
      </w:r>
      <w:r w:rsidR="00471EF8" w:rsidRPr="00437610">
        <w:rPr>
          <w:sz w:val="24"/>
          <w:szCs w:val="24"/>
        </w:rPr>
        <w:t xml:space="preserve"> </w:t>
      </w:r>
      <w:r w:rsidR="00A70BE4">
        <w:rPr>
          <w:sz w:val="24"/>
          <w:szCs w:val="24"/>
        </w:rPr>
        <w:t>“</w:t>
      </w:r>
      <w:r w:rsidR="00A70BE4" w:rsidRPr="00A70BE4">
        <w:rPr>
          <w:i/>
          <w:sz w:val="24"/>
          <w:szCs w:val="24"/>
        </w:rPr>
        <w:t>The most important intellectual dispositions are inborn and must be strengthened and supported rather than undermined by premature academic pressures</w:t>
      </w:r>
      <w:r w:rsidR="00A70BE4">
        <w:rPr>
          <w:sz w:val="24"/>
          <w:szCs w:val="24"/>
        </w:rPr>
        <w:t>” (Katz, 2003, p5).</w:t>
      </w:r>
    </w:p>
    <w:p w:rsidR="00396C4E" w:rsidRPr="00437610" w:rsidRDefault="007C0B23" w:rsidP="007C0B23">
      <w:pPr>
        <w:autoSpaceDE w:val="0"/>
        <w:autoSpaceDN w:val="0"/>
        <w:adjustRightInd w:val="0"/>
        <w:spacing w:after="0" w:line="240" w:lineRule="auto"/>
        <w:rPr>
          <w:sz w:val="24"/>
          <w:szCs w:val="24"/>
        </w:rPr>
      </w:pPr>
      <w:r w:rsidRPr="00437610">
        <w:rPr>
          <w:sz w:val="24"/>
          <w:szCs w:val="24"/>
        </w:rPr>
        <w:t>Furthermore, i</w:t>
      </w:r>
      <w:r w:rsidR="00EA34AF" w:rsidRPr="00437610">
        <w:rPr>
          <w:sz w:val="24"/>
          <w:szCs w:val="24"/>
        </w:rPr>
        <w:t xml:space="preserve">ncorporating nannies who </w:t>
      </w:r>
      <w:r w:rsidRPr="00437610">
        <w:rPr>
          <w:sz w:val="24"/>
          <w:szCs w:val="24"/>
        </w:rPr>
        <w:t xml:space="preserve">simply </w:t>
      </w:r>
      <w:r w:rsidR="00EA34AF" w:rsidRPr="00437610">
        <w:rPr>
          <w:sz w:val="24"/>
          <w:szCs w:val="24"/>
        </w:rPr>
        <w:t xml:space="preserve">hold a certificate 3 in children’s services into the NQS will not offer children the opportunity to attend early learning settings where they are able to interact with other children. Likening nannies or grandparents with a certificate 3 to </w:t>
      </w:r>
      <w:r w:rsidRPr="00437610">
        <w:rPr>
          <w:sz w:val="24"/>
          <w:szCs w:val="24"/>
        </w:rPr>
        <w:t>early childhood</w:t>
      </w:r>
      <w:r w:rsidR="00EA34AF" w:rsidRPr="00437610">
        <w:rPr>
          <w:sz w:val="24"/>
          <w:szCs w:val="24"/>
        </w:rPr>
        <w:t xml:space="preserve"> programs</w:t>
      </w:r>
      <w:r w:rsidRPr="00437610">
        <w:rPr>
          <w:sz w:val="24"/>
          <w:szCs w:val="24"/>
        </w:rPr>
        <w:t xml:space="preserve"> offered</w:t>
      </w:r>
      <w:r w:rsidR="00EA34AF" w:rsidRPr="00437610">
        <w:rPr>
          <w:sz w:val="24"/>
          <w:szCs w:val="24"/>
        </w:rPr>
        <w:t xml:space="preserve"> in children’s services is undermining the social and emotional benefits children gain when attending formal early childhood education services.</w:t>
      </w:r>
      <w:r w:rsidRPr="00437610">
        <w:rPr>
          <w:sz w:val="24"/>
          <w:szCs w:val="24"/>
        </w:rPr>
        <w:t xml:space="preserve"> Children gain 2.5 I.Q points for every year they attend formal prior to school settings as opposed to their peers who attend informal care prior to school (</w:t>
      </w:r>
      <w:r w:rsidR="00437610" w:rsidRPr="00437610">
        <w:rPr>
          <w:rFonts w:cs="Arial"/>
          <w:sz w:val="24"/>
          <w:szCs w:val="24"/>
        </w:rPr>
        <w:t>Bernal</w:t>
      </w:r>
      <w:r w:rsidR="00437610" w:rsidRPr="00437610">
        <w:rPr>
          <w:sz w:val="24"/>
          <w:szCs w:val="24"/>
        </w:rPr>
        <w:t xml:space="preserve"> </w:t>
      </w:r>
      <w:r w:rsidR="00437610">
        <w:rPr>
          <w:sz w:val="24"/>
          <w:szCs w:val="24"/>
        </w:rPr>
        <w:t xml:space="preserve">&amp; </w:t>
      </w:r>
      <w:r w:rsidRPr="00437610">
        <w:rPr>
          <w:sz w:val="24"/>
          <w:szCs w:val="24"/>
        </w:rPr>
        <w:t>Keane, 2010).</w:t>
      </w:r>
      <w:r w:rsidR="00EA34AF" w:rsidRPr="00437610">
        <w:rPr>
          <w:sz w:val="24"/>
          <w:szCs w:val="24"/>
        </w:rPr>
        <w:t xml:space="preserve"> I believe we need to look at other ways to address access issues of working </w:t>
      </w:r>
      <w:r w:rsidR="000F6D40" w:rsidRPr="00437610">
        <w:rPr>
          <w:sz w:val="24"/>
          <w:szCs w:val="24"/>
        </w:rPr>
        <w:t xml:space="preserve">families for example </w:t>
      </w:r>
      <w:r w:rsidR="00EA34AF" w:rsidRPr="00437610">
        <w:rPr>
          <w:sz w:val="24"/>
          <w:szCs w:val="24"/>
        </w:rPr>
        <w:t xml:space="preserve">short day preschools opening for longer hours and not </w:t>
      </w:r>
      <w:r w:rsidR="000F6D40" w:rsidRPr="00437610">
        <w:rPr>
          <w:sz w:val="24"/>
          <w:szCs w:val="24"/>
        </w:rPr>
        <w:t>closing over school holidays could be an option.</w:t>
      </w:r>
    </w:p>
    <w:p w:rsidR="002F707C" w:rsidRPr="00437610" w:rsidRDefault="002F707C" w:rsidP="007C0B23">
      <w:pPr>
        <w:autoSpaceDE w:val="0"/>
        <w:autoSpaceDN w:val="0"/>
        <w:adjustRightInd w:val="0"/>
        <w:spacing w:after="0" w:line="240" w:lineRule="auto"/>
        <w:rPr>
          <w:rFonts w:cs="ZurichBT-LightItalic"/>
          <w:iCs/>
          <w:sz w:val="24"/>
          <w:szCs w:val="24"/>
        </w:rPr>
      </w:pPr>
    </w:p>
    <w:p w:rsidR="007C0B23" w:rsidRPr="00437610" w:rsidRDefault="002F707C" w:rsidP="007C0B23">
      <w:pPr>
        <w:autoSpaceDE w:val="0"/>
        <w:autoSpaceDN w:val="0"/>
        <w:adjustRightInd w:val="0"/>
        <w:spacing w:after="0" w:line="240" w:lineRule="auto"/>
        <w:rPr>
          <w:rFonts w:cs="Bembo"/>
          <w:sz w:val="24"/>
          <w:szCs w:val="24"/>
        </w:rPr>
      </w:pPr>
      <w:r w:rsidRPr="00437610">
        <w:rPr>
          <w:rFonts w:cs="Bembo"/>
          <w:sz w:val="24"/>
          <w:szCs w:val="24"/>
        </w:rPr>
        <w:t>“</w:t>
      </w:r>
      <w:r w:rsidRPr="00437610">
        <w:rPr>
          <w:rFonts w:cs="Bembo"/>
          <w:i/>
          <w:sz w:val="24"/>
          <w:szCs w:val="24"/>
        </w:rPr>
        <w:t xml:space="preserve">It has become necessary to focus our concern on what happens in those early months and years. It is here that action can be taken that will enable all children to become all that they can be. And it is here, if at all, that the </w:t>
      </w:r>
      <w:proofErr w:type="spellStart"/>
      <w:r w:rsidRPr="00437610">
        <w:rPr>
          <w:rFonts w:cs="Bembo"/>
          <w:i/>
          <w:sz w:val="24"/>
          <w:szCs w:val="24"/>
        </w:rPr>
        <w:t>selfperpetuating</w:t>
      </w:r>
      <w:proofErr w:type="spellEnd"/>
      <w:r w:rsidRPr="00437610">
        <w:rPr>
          <w:rFonts w:cs="Bembo"/>
          <w:i/>
          <w:sz w:val="24"/>
          <w:szCs w:val="24"/>
        </w:rPr>
        <w:t xml:space="preserve"> cycle of disadvantage will be broken</w:t>
      </w:r>
      <w:r w:rsidRPr="00437610">
        <w:rPr>
          <w:rFonts w:cs="Bembo"/>
          <w:sz w:val="24"/>
          <w:szCs w:val="24"/>
        </w:rPr>
        <w:t xml:space="preserve"> (Adamson, 2008, p. 34).</w:t>
      </w:r>
    </w:p>
    <w:p w:rsidR="007C0B23" w:rsidRPr="00437610" w:rsidRDefault="007C0B23" w:rsidP="007C0B23">
      <w:pPr>
        <w:autoSpaceDE w:val="0"/>
        <w:autoSpaceDN w:val="0"/>
        <w:adjustRightInd w:val="0"/>
        <w:spacing w:after="0" w:line="240" w:lineRule="auto"/>
        <w:rPr>
          <w:rFonts w:cs="Bembo"/>
          <w:sz w:val="24"/>
          <w:szCs w:val="24"/>
        </w:rPr>
      </w:pPr>
      <w:r w:rsidRPr="00437610">
        <w:rPr>
          <w:rFonts w:cs="Bembo"/>
          <w:sz w:val="24"/>
          <w:szCs w:val="24"/>
        </w:rPr>
        <w:lastRenderedPageBreak/>
        <w:t>References</w:t>
      </w:r>
    </w:p>
    <w:p w:rsidR="00437610" w:rsidRPr="00437610" w:rsidRDefault="00437610" w:rsidP="007C0B23">
      <w:pPr>
        <w:autoSpaceDE w:val="0"/>
        <w:autoSpaceDN w:val="0"/>
        <w:adjustRightInd w:val="0"/>
        <w:spacing w:after="0" w:line="240" w:lineRule="auto"/>
        <w:rPr>
          <w:rFonts w:cs="Bembo"/>
          <w:sz w:val="24"/>
          <w:szCs w:val="24"/>
        </w:rPr>
      </w:pPr>
    </w:p>
    <w:p w:rsidR="00437610" w:rsidRPr="00437610" w:rsidRDefault="00437610" w:rsidP="00437610">
      <w:pPr>
        <w:ind w:left="426" w:hanging="426"/>
        <w:rPr>
          <w:sz w:val="24"/>
          <w:szCs w:val="24"/>
        </w:rPr>
      </w:pPr>
      <w:r w:rsidRPr="00437610">
        <w:rPr>
          <w:sz w:val="24"/>
          <w:szCs w:val="24"/>
        </w:rPr>
        <w:t xml:space="preserve">Adamson, P. (2008). The childcare Transition: a league table of early childhood education and care in economically advanced countries. </w:t>
      </w:r>
      <w:proofErr w:type="spellStart"/>
      <w:r w:rsidRPr="00437610">
        <w:rPr>
          <w:sz w:val="24"/>
          <w:szCs w:val="24"/>
        </w:rPr>
        <w:t>Innocenti</w:t>
      </w:r>
      <w:proofErr w:type="spellEnd"/>
      <w:r w:rsidRPr="00437610">
        <w:rPr>
          <w:sz w:val="24"/>
          <w:szCs w:val="24"/>
        </w:rPr>
        <w:t xml:space="preserve"> Report Card, 8. Paris: UNICEF</w:t>
      </w:r>
    </w:p>
    <w:p w:rsidR="00437610" w:rsidRDefault="00437610" w:rsidP="00437610">
      <w:pPr>
        <w:ind w:left="426" w:hanging="426"/>
        <w:rPr>
          <w:rFonts w:cs="Arial"/>
          <w:sz w:val="24"/>
          <w:szCs w:val="24"/>
        </w:rPr>
      </w:pPr>
      <w:r w:rsidRPr="00437610">
        <w:rPr>
          <w:rFonts w:cs="Arial"/>
          <w:sz w:val="24"/>
          <w:szCs w:val="24"/>
        </w:rPr>
        <w:t xml:space="preserve">Bernal, R. and M. Keane (2010). Quasi-Structural Estimation of a Model of Child Care Choices and Child Cognitive Ability Production, </w:t>
      </w:r>
      <w:r w:rsidRPr="00437610">
        <w:rPr>
          <w:rFonts w:cs="Arial"/>
          <w:i/>
          <w:sz w:val="24"/>
          <w:szCs w:val="24"/>
        </w:rPr>
        <w:t>Journal of Econometrics</w:t>
      </w:r>
      <w:r>
        <w:rPr>
          <w:rFonts w:cs="Arial"/>
          <w:sz w:val="24"/>
          <w:szCs w:val="24"/>
        </w:rPr>
        <w:t>, 156(2010) p.164-189.</w:t>
      </w:r>
    </w:p>
    <w:p w:rsidR="00A70BE4" w:rsidRDefault="00A70BE4" w:rsidP="00437610">
      <w:pPr>
        <w:ind w:left="426" w:hanging="426"/>
        <w:rPr>
          <w:rFonts w:cs="Arial"/>
          <w:sz w:val="24"/>
          <w:szCs w:val="24"/>
        </w:rPr>
      </w:pPr>
      <w:proofErr w:type="spellStart"/>
      <w:r>
        <w:rPr>
          <w:rFonts w:cs="Arial"/>
          <w:sz w:val="24"/>
          <w:szCs w:val="24"/>
        </w:rPr>
        <w:t>Latz</w:t>
      </w:r>
      <w:proofErr w:type="spellEnd"/>
      <w:r>
        <w:rPr>
          <w:rFonts w:cs="Arial"/>
          <w:sz w:val="24"/>
          <w:szCs w:val="24"/>
        </w:rPr>
        <w:t>, L. (2003). The right of the child to develop and learn in quality environments. International Journal of Early Childhood, 35(1&amp;2) p.13-22.</w:t>
      </w:r>
    </w:p>
    <w:p w:rsidR="00437610" w:rsidRDefault="00437610" w:rsidP="00437610">
      <w:pPr>
        <w:ind w:left="426" w:hanging="426"/>
        <w:rPr>
          <w:rFonts w:cs="Arial"/>
          <w:sz w:val="24"/>
          <w:szCs w:val="24"/>
        </w:rPr>
      </w:pPr>
    </w:p>
    <w:p w:rsidR="00437610" w:rsidRPr="00437610" w:rsidRDefault="00437610" w:rsidP="00437610">
      <w:pPr>
        <w:ind w:left="426" w:hanging="426"/>
        <w:rPr>
          <w:sz w:val="24"/>
          <w:szCs w:val="24"/>
        </w:rPr>
      </w:pPr>
    </w:p>
    <w:p w:rsidR="00437610" w:rsidRPr="00437610" w:rsidRDefault="00437610" w:rsidP="007C0B23">
      <w:pPr>
        <w:autoSpaceDE w:val="0"/>
        <w:autoSpaceDN w:val="0"/>
        <w:adjustRightInd w:val="0"/>
        <w:spacing w:after="0" w:line="240" w:lineRule="auto"/>
        <w:rPr>
          <w:rFonts w:cs="Bembo"/>
          <w:sz w:val="24"/>
          <w:szCs w:val="24"/>
        </w:rPr>
      </w:pPr>
    </w:p>
    <w:sectPr w:rsidR="00437610" w:rsidRPr="00437610" w:rsidSect="00C815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ZurichBT-Light">
    <w:panose1 w:val="00000000000000000000"/>
    <w:charset w:val="00"/>
    <w:family w:val="swiss"/>
    <w:notTrueType/>
    <w:pitch w:val="default"/>
    <w:sig w:usb0="00000003" w:usb1="00000000" w:usb2="00000000" w:usb3="00000000" w:csb0="00000001" w:csb1="00000000"/>
  </w:font>
  <w:font w:name="ZurichBT-Light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B35A08"/>
    <w:rsid w:val="000F6D40"/>
    <w:rsid w:val="001D6BBA"/>
    <w:rsid w:val="00291312"/>
    <w:rsid w:val="002F707C"/>
    <w:rsid w:val="00396C4E"/>
    <w:rsid w:val="00437610"/>
    <w:rsid w:val="00471EF8"/>
    <w:rsid w:val="007973FF"/>
    <w:rsid w:val="007C0B23"/>
    <w:rsid w:val="008116C9"/>
    <w:rsid w:val="00964022"/>
    <w:rsid w:val="009E13F5"/>
    <w:rsid w:val="00A70BE4"/>
    <w:rsid w:val="00B35A08"/>
    <w:rsid w:val="00B5240B"/>
    <w:rsid w:val="00C815C7"/>
    <w:rsid w:val="00EA34AF"/>
    <w:rsid w:val="00F42521"/>
    <w:rsid w:val="00FE0D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3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3445</Characters>
  <Application>Microsoft Office Word</Application>
  <DocSecurity>0</DocSecurity>
  <Lines>95</Lines>
  <Paragraphs>33</Paragraphs>
  <ScaleCrop>false</ScaleCrop>
  <HeadingPairs>
    <vt:vector size="2" baseType="variant">
      <vt:variant>
        <vt:lpstr>Title</vt:lpstr>
      </vt:variant>
      <vt:variant>
        <vt:i4>1</vt:i4>
      </vt:variant>
    </vt:vector>
  </HeadingPairs>
  <TitlesOfParts>
    <vt:vector size="1" baseType="lpstr">
      <vt:lpstr>Submission DR542 - Bottleforest Long Day Care Centre - Childcare and Early Childhood Learning - Public inquiry</vt:lpstr>
    </vt:vector>
  </TitlesOfParts>
  <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DR542 - Bottleforest Long Day Care Centre - Childcare and Early Childhood Learning - Public inquiry</dc:title>
  <dc:creator>Bottleforest Long Day Care Centre</dc:creator>
  <cp:lastModifiedBy>Pimperl, Mark</cp:lastModifiedBy>
  <cp:revision>3</cp:revision>
  <dcterms:created xsi:type="dcterms:W3CDTF">2014-08-30T12:10:00Z</dcterms:created>
  <dcterms:modified xsi:type="dcterms:W3CDTF">2014-09-04T01:57:00Z</dcterms:modified>
</cp:coreProperties>
</file>