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F51" w:rsidRDefault="00D44F51" w:rsidP="00C32B50">
      <w:pPr>
        <w:rPr>
          <w:szCs w:val="18"/>
        </w:rPr>
      </w:pPr>
      <w:r>
        <w:rPr>
          <w:szCs w:val="18"/>
        </w:rPr>
        <w:t>11/8/14</w:t>
      </w:r>
    </w:p>
    <w:p w:rsidR="008A7EEE" w:rsidRDefault="00D44F51" w:rsidP="00C32B50">
      <w:pPr>
        <w:rPr>
          <w:szCs w:val="18"/>
        </w:rPr>
      </w:pPr>
      <w:r>
        <w:rPr>
          <w:szCs w:val="18"/>
        </w:rPr>
        <w:t>Gowrie SA appreciates the opportunity to respond to the Productivity Inquiry Draft Report. We will focus on the following key areas:</w:t>
      </w:r>
    </w:p>
    <w:p w:rsidR="00D44F51" w:rsidRDefault="00D44F51" w:rsidP="00D44F51">
      <w:pPr>
        <w:pStyle w:val="ListParagraph"/>
        <w:numPr>
          <w:ilvl w:val="0"/>
          <w:numId w:val="28"/>
        </w:numPr>
        <w:rPr>
          <w:szCs w:val="18"/>
        </w:rPr>
      </w:pPr>
      <w:r>
        <w:rPr>
          <w:szCs w:val="18"/>
        </w:rPr>
        <w:t>Rebate eligibility criteria</w:t>
      </w:r>
    </w:p>
    <w:p w:rsidR="001535A2" w:rsidRDefault="001535A2" w:rsidP="00D44F51">
      <w:pPr>
        <w:pStyle w:val="ListParagraph"/>
        <w:numPr>
          <w:ilvl w:val="0"/>
          <w:numId w:val="28"/>
        </w:numPr>
        <w:rPr>
          <w:szCs w:val="18"/>
        </w:rPr>
      </w:pPr>
      <w:r>
        <w:rPr>
          <w:szCs w:val="18"/>
        </w:rPr>
        <w:t>Hourly deemed cost of care</w:t>
      </w:r>
    </w:p>
    <w:p w:rsidR="001535A2" w:rsidRPr="00D44F51" w:rsidRDefault="001535A2" w:rsidP="00D44F51">
      <w:pPr>
        <w:pStyle w:val="ListParagraph"/>
        <w:numPr>
          <w:ilvl w:val="0"/>
          <w:numId w:val="28"/>
        </w:numPr>
        <w:rPr>
          <w:szCs w:val="18"/>
        </w:rPr>
      </w:pPr>
      <w:r>
        <w:rPr>
          <w:szCs w:val="18"/>
        </w:rPr>
        <w:t>Children at risk</w:t>
      </w:r>
    </w:p>
    <w:p w:rsidR="00D44F51" w:rsidRDefault="00D44F51" w:rsidP="00D44F51">
      <w:pPr>
        <w:pStyle w:val="ListParagraph"/>
        <w:numPr>
          <w:ilvl w:val="0"/>
          <w:numId w:val="28"/>
        </w:numPr>
        <w:rPr>
          <w:szCs w:val="18"/>
        </w:rPr>
      </w:pPr>
      <w:r>
        <w:rPr>
          <w:szCs w:val="18"/>
        </w:rPr>
        <w:t>Qualifications of educators</w:t>
      </w:r>
    </w:p>
    <w:p w:rsidR="00D44F51" w:rsidRDefault="00D44F51" w:rsidP="00D44F51">
      <w:pPr>
        <w:pStyle w:val="ListParagraph"/>
        <w:numPr>
          <w:ilvl w:val="0"/>
          <w:numId w:val="28"/>
        </w:numPr>
        <w:rPr>
          <w:szCs w:val="18"/>
        </w:rPr>
      </w:pPr>
      <w:r>
        <w:rPr>
          <w:szCs w:val="18"/>
        </w:rPr>
        <w:t>The proposed separation of education and care</w:t>
      </w:r>
      <w:r w:rsidR="001535A2">
        <w:rPr>
          <w:szCs w:val="18"/>
        </w:rPr>
        <w:t xml:space="preserve"> and integration of preschool into the school system</w:t>
      </w:r>
    </w:p>
    <w:p w:rsidR="00D44F51" w:rsidRDefault="00D44F51" w:rsidP="00D44F51">
      <w:pPr>
        <w:pStyle w:val="ListParagraph"/>
        <w:numPr>
          <w:ilvl w:val="0"/>
          <w:numId w:val="28"/>
        </w:numPr>
        <w:rPr>
          <w:szCs w:val="18"/>
        </w:rPr>
      </w:pPr>
      <w:bookmarkStart w:id="0" w:name="_GoBack"/>
      <w:bookmarkEnd w:id="0"/>
      <w:r>
        <w:rPr>
          <w:szCs w:val="18"/>
        </w:rPr>
        <w:t>Payroll tax exemptions for not for profit education and care services</w:t>
      </w:r>
    </w:p>
    <w:p w:rsidR="001535A2" w:rsidRDefault="001535A2" w:rsidP="001535A2">
      <w:pPr>
        <w:rPr>
          <w:b/>
          <w:szCs w:val="18"/>
        </w:rPr>
      </w:pPr>
      <w:r w:rsidRPr="001535A2">
        <w:rPr>
          <w:b/>
          <w:szCs w:val="18"/>
        </w:rPr>
        <w:t>Draft Recommendation</w:t>
      </w:r>
      <w:r>
        <w:rPr>
          <w:b/>
          <w:szCs w:val="18"/>
        </w:rPr>
        <w:t>s</w:t>
      </w:r>
      <w:r w:rsidRPr="001535A2">
        <w:rPr>
          <w:b/>
          <w:szCs w:val="18"/>
        </w:rPr>
        <w:t xml:space="preserve"> 12.2, </w:t>
      </w:r>
      <w:r>
        <w:rPr>
          <w:b/>
          <w:szCs w:val="18"/>
        </w:rPr>
        <w:t xml:space="preserve">12.3, </w:t>
      </w:r>
      <w:r w:rsidRPr="001535A2">
        <w:rPr>
          <w:b/>
          <w:szCs w:val="18"/>
        </w:rPr>
        <w:t>12.4</w:t>
      </w:r>
      <w:r>
        <w:rPr>
          <w:b/>
          <w:szCs w:val="18"/>
        </w:rPr>
        <w:t xml:space="preserve">, and Information Requests 12.3, 12.4 </w:t>
      </w:r>
    </w:p>
    <w:p w:rsidR="001535A2" w:rsidRDefault="001535A2" w:rsidP="001535A2">
      <w:pPr>
        <w:rPr>
          <w:szCs w:val="18"/>
        </w:rPr>
      </w:pPr>
      <w:r>
        <w:rPr>
          <w:b/>
          <w:szCs w:val="18"/>
        </w:rPr>
        <w:t xml:space="preserve">Eligibility for the ECLS </w:t>
      </w:r>
      <w:r>
        <w:rPr>
          <w:szCs w:val="18"/>
        </w:rPr>
        <w:t xml:space="preserve">has been tied to a work activity test. This means there </w:t>
      </w:r>
      <w:r w:rsidR="0083491A">
        <w:rPr>
          <w:szCs w:val="18"/>
        </w:rPr>
        <w:t>may</w:t>
      </w:r>
      <w:r>
        <w:rPr>
          <w:szCs w:val="18"/>
        </w:rPr>
        <w:t xml:space="preserve"> be many families who are unable to access the subsidy. This goes against the right </w:t>
      </w:r>
      <w:r w:rsidR="008804D5">
        <w:rPr>
          <w:szCs w:val="18"/>
        </w:rPr>
        <w:t>of</w:t>
      </w:r>
      <w:r>
        <w:rPr>
          <w:szCs w:val="18"/>
        </w:rPr>
        <w:t xml:space="preserve"> all children to access high quality early education and care services during their most critical period of development</w:t>
      </w:r>
      <w:r w:rsidR="008804D5">
        <w:rPr>
          <w:szCs w:val="18"/>
        </w:rPr>
        <w:t xml:space="preserve">. </w:t>
      </w:r>
      <w:r>
        <w:rPr>
          <w:szCs w:val="18"/>
        </w:rPr>
        <w:t xml:space="preserve"> </w:t>
      </w:r>
      <w:r w:rsidR="008804D5">
        <w:rPr>
          <w:szCs w:val="18"/>
        </w:rPr>
        <w:t xml:space="preserve">We would argue that such restrictions are not in the national interest with research showing that quality early education affords long term benefits throughout an individual’s lifetime, improves children’s readiness for school and reduces the detrimental effects of family isolation. Access to early childhood services is a significant protective factor for children and families where there is chronic illness, mental health issues, poverty and family dysfunction </w:t>
      </w:r>
      <w:r>
        <w:rPr>
          <w:szCs w:val="18"/>
        </w:rPr>
        <w:t>(</w:t>
      </w:r>
      <w:r w:rsidR="003B50D5" w:rsidRPr="003B50D5">
        <w:rPr>
          <w:szCs w:val="18"/>
        </w:rPr>
        <w:t xml:space="preserve">Cleveland &amp; </w:t>
      </w:r>
      <w:proofErr w:type="spellStart"/>
      <w:r w:rsidR="003B50D5" w:rsidRPr="003B50D5">
        <w:rPr>
          <w:szCs w:val="18"/>
        </w:rPr>
        <w:t>Krashinsky</w:t>
      </w:r>
      <w:proofErr w:type="spellEnd"/>
      <w:r w:rsidR="003B50D5" w:rsidRPr="003B50D5">
        <w:rPr>
          <w:szCs w:val="18"/>
        </w:rPr>
        <w:t xml:space="preserve"> </w:t>
      </w:r>
      <w:proofErr w:type="spellStart"/>
      <w:r w:rsidR="003B50D5" w:rsidRPr="003B50D5">
        <w:rPr>
          <w:szCs w:val="18"/>
        </w:rPr>
        <w:t>n.d.</w:t>
      </w:r>
      <w:proofErr w:type="spellEnd"/>
      <w:r w:rsidR="003B50D5" w:rsidRPr="003B50D5">
        <w:rPr>
          <w:szCs w:val="18"/>
        </w:rPr>
        <w:t xml:space="preserve">; National Scientific Council on the Developing Child 2012; OECD 2014; </w:t>
      </w:r>
      <w:proofErr w:type="spellStart"/>
      <w:r w:rsidR="003B50D5" w:rsidRPr="003B50D5">
        <w:rPr>
          <w:szCs w:val="18"/>
        </w:rPr>
        <w:t>Shonkoff</w:t>
      </w:r>
      <w:proofErr w:type="spellEnd"/>
      <w:r w:rsidR="003B50D5" w:rsidRPr="003B50D5">
        <w:rPr>
          <w:szCs w:val="18"/>
        </w:rPr>
        <w:t xml:space="preserve"> 2010</w:t>
      </w:r>
      <w:r>
        <w:rPr>
          <w:szCs w:val="18"/>
        </w:rPr>
        <w:t>). Given the rising jobless rates, the complexity of family lives and contexts, and the research about early intervention, the activity test is an unrealistic and socially unjust measure</w:t>
      </w:r>
      <w:r w:rsidR="006E47B3">
        <w:rPr>
          <w:szCs w:val="18"/>
        </w:rPr>
        <w:t xml:space="preserve"> and the exemptions are too narrow</w:t>
      </w:r>
      <w:r>
        <w:rPr>
          <w:szCs w:val="18"/>
        </w:rPr>
        <w:t>.</w:t>
      </w:r>
    </w:p>
    <w:p w:rsidR="001535A2" w:rsidRDefault="001535A2" w:rsidP="001535A2">
      <w:pPr>
        <w:rPr>
          <w:szCs w:val="18"/>
        </w:rPr>
      </w:pPr>
      <w:r>
        <w:rPr>
          <w:b/>
          <w:szCs w:val="18"/>
        </w:rPr>
        <w:t xml:space="preserve">Deemed cost of care </w:t>
      </w:r>
      <w:r>
        <w:rPr>
          <w:szCs w:val="18"/>
        </w:rPr>
        <w:t xml:space="preserve">must consider the higher costs associated with the provision of high quality education and care services. This includes the provision of above minimum ratio staffing, services paying for educators to attend professional </w:t>
      </w:r>
      <w:r w:rsidR="0083491A">
        <w:rPr>
          <w:szCs w:val="18"/>
        </w:rPr>
        <w:t>l</w:t>
      </w:r>
      <w:r>
        <w:rPr>
          <w:szCs w:val="18"/>
        </w:rPr>
        <w:t>earning and development opportunities (the LDCPDP is only funded for three years), services</w:t>
      </w:r>
      <w:r w:rsidR="006E47B3">
        <w:rPr>
          <w:szCs w:val="18"/>
        </w:rPr>
        <w:t xml:space="preserve"> paying above minimum wages and conditions to attract and retain educators, service inclusions such as food, nappies, equipment, capital upgrades to ag</w:t>
      </w:r>
      <w:r w:rsidR="001641DB">
        <w:rPr>
          <w:szCs w:val="18"/>
        </w:rPr>
        <w:t>e</w:t>
      </w:r>
      <w:r w:rsidR="006E47B3">
        <w:rPr>
          <w:szCs w:val="18"/>
        </w:rPr>
        <w:t>ing buildings, etc. High quality early childhood education and care costs more.</w:t>
      </w:r>
    </w:p>
    <w:p w:rsidR="007B2A07" w:rsidRDefault="00AB6ECE" w:rsidP="007B2A07">
      <w:pPr>
        <w:spacing w:after="0"/>
        <w:rPr>
          <w:b/>
          <w:szCs w:val="18"/>
        </w:rPr>
      </w:pPr>
      <w:r>
        <w:rPr>
          <w:b/>
          <w:szCs w:val="18"/>
        </w:rPr>
        <w:t>Gowrie SA</w:t>
      </w:r>
      <w:r w:rsidR="006E47B3">
        <w:rPr>
          <w:b/>
          <w:szCs w:val="18"/>
        </w:rPr>
        <w:t xml:space="preserve"> Recommendations</w:t>
      </w:r>
      <w:r w:rsidR="007B2A07">
        <w:rPr>
          <w:b/>
          <w:szCs w:val="18"/>
        </w:rPr>
        <w:t>:</w:t>
      </w:r>
    </w:p>
    <w:p w:rsidR="007B2A07" w:rsidRDefault="007B2A07" w:rsidP="007B2A07">
      <w:pPr>
        <w:pStyle w:val="ListParagraph"/>
        <w:numPr>
          <w:ilvl w:val="0"/>
          <w:numId w:val="29"/>
        </w:numPr>
        <w:rPr>
          <w:szCs w:val="18"/>
        </w:rPr>
      </w:pPr>
      <w:r>
        <w:rPr>
          <w:szCs w:val="18"/>
        </w:rPr>
        <w:t xml:space="preserve">Continue to </w:t>
      </w:r>
      <w:r w:rsidR="006E47B3" w:rsidRPr="007B2A07">
        <w:rPr>
          <w:szCs w:val="18"/>
        </w:rPr>
        <w:t xml:space="preserve">ensure access to early childhood education and care services under the current Priority of Access system. </w:t>
      </w:r>
    </w:p>
    <w:p w:rsidR="007B2A07" w:rsidRDefault="006E47B3" w:rsidP="007B2A07">
      <w:pPr>
        <w:pStyle w:val="ListParagraph"/>
        <w:numPr>
          <w:ilvl w:val="0"/>
          <w:numId w:val="29"/>
        </w:numPr>
        <w:rPr>
          <w:szCs w:val="18"/>
        </w:rPr>
      </w:pPr>
      <w:r w:rsidRPr="007B2A07">
        <w:rPr>
          <w:szCs w:val="18"/>
        </w:rPr>
        <w:t>A means tested subsidy rate be introduced which particularly supports low income earners to access high quality education and care services</w:t>
      </w:r>
      <w:r w:rsidR="007B2A07" w:rsidRPr="007B2A07">
        <w:rPr>
          <w:szCs w:val="18"/>
        </w:rPr>
        <w:t xml:space="preserve">, </w:t>
      </w:r>
      <w:r w:rsidR="00666BF4">
        <w:rPr>
          <w:szCs w:val="18"/>
        </w:rPr>
        <w:t xml:space="preserve">tapering </w:t>
      </w:r>
      <w:r w:rsidR="007B2A07" w:rsidRPr="007B2A07">
        <w:rPr>
          <w:szCs w:val="18"/>
        </w:rPr>
        <w:t xml:space="preserve">off for higher income earners with </w:t>
      </w:r>
      <w:r w:rsidR="00B24758">
        <w:rPr>
          <w:szCs w:val="18"/>
        </w:rPr>
        <w:t xml:space="preserve">a </w:t>
      </w:r>
      <w:r w:rsidR="00666BF4">
        <w:rPr>
          <w:szCs w:val="18"/>
        </w:rPr>
        <w:t xml:space="preserve">minimum </w:t>
      </w:r>
      <w:r w:rsidR="007B2A07" w:rsidRPr="007B2A07">
        <w:rPr>
          <w:szCs w:val="18"/>
        </w:rPr>
        <w:t xml:space="preserve">rebate </w:t>
      </w:r>
      <w:r w:rsidR="00B24758">
        <w:rPr>
          <w:szCs w:val="18"/>
        </w:rPr>
        <w:t>available to</w:t>
      </w:r>
      <w:r w:rsidR="007B2A07" w:rsidRPr="007B2A07">
        <w:rPr>
          <w:szCs w:val="18"/>
        </w:rPr>
        <w:t xml:space="preserve"> </w:t>
      </w:r>
      <w:r w:rsidR="00666BF4">
        <w:rPr>
          <w:szCs w:val="18"/>
        </w:rPr>
        <w:t xml:space="preserve">high </w:t>
      </w:r>
      <w:r w:rsidR="007B2A07" w:rsidRPr="007B2A07">
        <w:rPr>
          <w:szCs w:val="18"/>
        </w:rPr>
        <w:t>income</w:t>
      </w:r>
      <w:r w:rsidR="00666BF4">
        <w:rPr>
          <w:szCs w:val="18"/>
        </w:rPr>
        <w:t xml:space="preserve"> earner</w:t>
      </w:r>
      <w:r w:rsidR="007B2A07" w:rsidRPr="007B2A07">
        <w:rPr>
          <w:szCs w:val="18"/>
        </w:rPr>
        <w:t>s</w:t>
      </w:r>
      <w:r w:rsidR="00666BF4">
        <w:rPr>
          <w:szCs w:val="18"/>
        </w:rPr>
        <w:t xml:space="preserve"> at</w:t>
      </w:r>
      <w:r w:rsidR="007B2A07" w:rsidRPr="007B2A07">
        <w:rPr>
          <w:szCs w:val="18"/>
        </w:rPr>
        <w:t xml:space="preserve"> $200,000 and over</w:t>
      </w:r>
      <w:r w:rsidRPr="007B2A07">
        <w:rPr>
          <w:szCs w:val="18"/>
        </w:rPr>
        <w:t xml:space="preserve">. </w:t>
      </w:r>
    </w:p>
    <w:p w:rsidR="006E47B3" w:rsidRDefault="007B2A07" w:rsidP="007B2A07">
      <w:pPr>
        <w:pStyle w:val="ListParagraph"/>
        <w:numPr>
          <w:ilvl w:val="0"/>
          <w:numId w:val="29"/>
        </w:numPr>
        <w:rPr>
          <w:szCs w:val="18"/>
        </w:rPr>
      </w:pPr>
      <w:r>
        <w:rPr>
          <w:szCs w:val="18"/>
        </w:rPr>
        <w:t>T</w:t>
      </w:r>
      <w:r w:rsidR="006E47B3" w:rsidRPr="007B2A07">
        <w:rPr>
          <w:szCs w:val="18"/>
        </w:rPr>
        <w:t>he deemed cost take into account the true costs of high quality early childhood education and care.</w:t>
      </w:r>
    </w:p>
    <w:p w:rsidR="00B24758" w:rsidRPr="007B2A07" w:rsidRDefault="00B24758" w:rsidP="007B2A07">
      <w:pPr>
        <w:pStyle w:val="ListParagraph"/>
        <w:numPr>
          <w:ilvl w:val="0"/>
          <w:numId w:val="29"/>
        </w:numPr>
        <w:rPr>
          <w:szCs w:val="18"/>
        </w:rPr>
      </w:pPr>
      <w:r>
        <w:rPr>
          <w:szCs w:val="18"/>
        </w:rPr>
        <w:t xml:space="preserve">That the </w:t>
      </w:r>
      <w:r w:rsidR="00EC36B5">
        <w:rPr>
          <w:szCs w:val="18"/>
        </w:rPr>
        <w:t>subsidy be paid directly to services with families only having to pay out of pocket costs.</w:t>
      </w:r>
    </w:p>
    <w:p w:rsidR="007B2A07" w:rsidRDefault="007B2A07" w:rsidP="007B2A07">
      <w:pPr>
        <w:rPr>
          <w:b/>
          <w:szCs w:val="18"/>
        </w:rPr>
      </w:pPr>
      <w:r w:rsidRPr="001535A2">
        <w:rPr>
          <w:b/>
          <w:szCs w:val="18"/>
        </w:rPr>
        <w:lastRenderedPageBreak/>
        <w:t>Draft Recommendation 12.</w:t>
      </w:r>
      <w:r>
        <w:rPr>
          <w:b/>
          <w:szCs w:val="18"/>
        </w:rPr>
        <w:t xml:space="preserve">7 </w:t>
      </w:r>
    </w:p>
    <w:p w:rsidR="001641DB" w:rsidRDefault="007B2A07" w:rsidP="00DC05CC">
      <w:pPr>
        <w:spacing w:after="120"/>
        <w:rPr>
          <w:szCs w:val="18"/>
        </w:rPr>
      </w:pPr>
      <w:r>
        <w:rPr>
          <w:b/>
          <w:szCs w:val="18"/>
        </w:rPr>
        <w:t xml:space="preserve">Children ‘at risk’ assessment </w:t>
      </w:r>
      <w:r>
        <w:rPr>
          <w:szCs w:val="18"/>
        </w:rPr>
        <w:t xml:space="preserve">has been associated with a child protection notification. This will increase the current burden on child protection systems and potentially mean that fewer ‘at risk’ families will engage with early childhood education and care. Under early intervention principles, supporting families to access an education and care service which then further supports families to access the assistance they need before entering the child protection system should be a key goal. Research shows that there are multiple risk factors for families but </w:t>
      </w:r>
      <w:r w:rsidR="003F7D5B">
        <w:rPr>
          <w:szCs w:val="18"/>
        </w:rPr>
        <w:t>it is unlikely that being</w:t>
      </w:r>
      <w:r w:rsidR="00776895">
        <w:rPr>
          <w:szCs w:val="18"/>
        </w:rPr>
        <w:t xml:space="preserve"> forced to be associated with</w:t>
      </w:r>
      <w:r w:rsidR="005375B5">
        <w:rPr>
          <w:szCs w:val="18"/>
        </w:rPr>
        <w:t xml:space="preserve"> the child protection system</w:t>
      </w:r>
      <w:r w:rsidR="003F7D5B">
        <w:rPr>
          <w:szCs w:val="18"/>
        </w:rPr>
        <w:t xml:space="preserve"> will be a useful strategy</w:t>
      </w:r>
      <w:r w:rsidR="005375B5">
        <w:rPr>
          <w:szCs w:val="18"/>
        </w:rPr>
        <w:t xml:space="preserve">. </w:t>
      </w:r>
    </w:p>
    <w:p w:rsidR="001641DB" w:rsidRDefault="005375B5" w:rsidP="003F7D5B">
      <w:pPr>
        <w:spacing w:after="120"/>
        <w:rPr>
          <w:szCs w:val="18"/>
        </w:rPr>
      </w:pPr>
      <w:r>
        <w:rPr>
          <w:szCs w:val="18"/>
        </w:rPr>
        <w:t xml:space="preserve">For example, a single Aboriginal mum (dad in jail) struggles with her child. She has experienced domestic violence and has had no strong parenting role models. She is unable to find and retain a job due to her own levels of anxiety and depression. Her engagement with an early childhood education and care service has helped her to learn about better parenting practices, has provided her with a supportive environment in which to learn to trust, and has helped connect her with counseling and family services as she needs them. The mother wants only the best for her child and has worked with the service to achieve this. It is likely that none of this work (undertaken over 5 years) could have taken place if a notification had been </w:t>
      </w:r>
      <w:r w:rsidR="00776895">
        <w:rPr>
          <w:szCs w:val="18"/>
        </w:rPr>
        <w:t>required</w:t>
      </w:r>
      <w:r>
        <w:rPr>
          <w:szCs w:val="18"/>
        </w:rPr>
        <w:t xml:space="preserve"> </w:t>
      </w:r>
    </w:p>
    <w:p w:rsidR="007B2A07" w:rsidRDefault="005375B5" w:rsidP="001641DB">
      <w:pPr>
        <w:rPr>
          <w:szCs w:val="18"/>
        </w:rPr>
      </w:pPr>
      <w:r>
        <w:rPr>
          <w:szCs w:val="18"/>
        </w:rPr>
        <w:t>Experience has shown that in many cases, with the most vulnerable families, when a notification to child protection authorities is made, the family leaves the service</w:t>
      </w:r>
      <w:r w:rsidR="00666BF4">
        <w:rPr>
          <w:szCs w:val="18"/>
        </w:rPr>
        <w:t xml:space="preserve"> resulting in the ongoing support from the service no longer being available</w:t>
      </w:r>
      <w:r w:rsidR="003F7D5B">
        <w:rPr>
          <w:szCs w:val="18"/>
        </w:rPr>
        <w:t xml:space="preserve"> or </w:t>
      </w:r>
      <w:r w:rsidR="00666BF4">
        <w:rPr>
          <w:szCs w:val="18"/>
        </w:rPr>
        <w:t>accessed</w:t>
      </w:r>
      <w:r>
        <w:rPr>
          <w:szCs w:val="18"/>
        </w:rPr>
        <w:t>.</w:t>
      </w:r>
    </w:p>
    <w:p w:rsidR="007B2A07" w:rsidRDefault="00AB6ECE" w:rsidP="007B2A07">
      <w:pPr>
        <w:spacing w:after="0"/>
        <w:rPr>
          <w:b/>
          <w:szCs w:val="18"/>
        </w:rPr>
      </w:pPr>
      <w:r>
        <w:rPr>
          <w:b/>
          <w:szCs w:val="18"/>
        </w:rPr>
        <w:t>Gowrie SA</w:t>
      </w:r>
      <w:r w:rsidR="007B2A07">
        <w:rPr>
          <w:b/>
          <w:szCs w:val="18"/>
        </w:rPr>
        <w:t xml:space="preserve"> Recommendations:</w:t>
      </w:r>
    </w:p>
    <w:p w:rsidR="005375B5" w:rsidRDefault="005375B5" w:rsidP="007B2A07">
      <w:pPr>
        <w:pStyle w:val="ListParagraph"/>
        <w:numPr>
          <w:ilvl w:val="0"/>
          <w:numId w:val="29"/>
        </w:numPr>
        <w:rPr>
          <w:szCs w:val="18"/>
        </w:rPr>
      </w:pPr>
      <w:r>
        <w:rPr>
          <w:szCs w:val="18"/>
        </w:rPr>
        <w:t xml:space="preserve">The service </w:t>
      </w:r>
      <w:r w:rsidR="003F7D5B">
        <w:rPr>
          <w:szCs w:val="18"/>
        </w:rPr>
        <w:t xml:space="preserve">gathers </w:t>
      </w:r>
      <w:r>
        <w:rPr>
          <w:szCs w:val="18"/>
        </w:rPr>
        <w:t xml:space="preserve">the necessary details for a determination </w:t>
      </w:r>
      <w:r w:rsidR="003F7D5B">
        <w:rPr>
          <w:szCs w:val="18"/>
        </w:rPr>
        <w:t>of</w:t>
      </w:r>
      <w:r>
        <w:rPr>
          <w:szCs w:val="18"/>
        </w:rPr>
        <w:t xml:space="preserve"> additional support to be made</w:t>
      </w:r>
      <w:r w:rsidR="007B2A07" w:rsidRPr="007B2A07">
        <w:rPr>
          <w:szCs w:val="18"/>
        </w:rPr>
        <w:t>.</w:t>
      </w:r>
    </w:p>
    <w:p w:rsidR="003F7D5B" w:rsidRDefault="003F7D5B" w:rsidP="007B2A07">
      <w:pPr>
        <w:pStyle w:val="ListParagraph"/>
        <w:numPr>
          <w:ilvl w:val="0"/>
          <w:numId w:val="29"/>
        </w:numPr>
        <w:rPr>
          <w:szCs w:val="18"/>
        </w:rPr>
      </w:pPr>
      <w:r>
        <w:rPr>
          <w:szCs w:val="18"/>
        </w:rPr>
        <w:t>The service makes the decision regarding a notification to the child protection system under current guidelines.</w:t>
      </w:r>
    </w:p>
    <w:p w:rsidR="007B2A07" w:rsidRDefault="005375B5" w:rsidP="007B2A07">
      <w:pPr>
        <w:pStyle w:val="ListParagraph"/>
        <w:numPr>
          <w:ilvl w:val="0"/>
          <w:numId w:val="29"/>
        </w:numPr>
        <w:rPr>
          <w:szCs w:val="18"/>
        </w:rPr>
      </w:pPr>
      <w:r>
        <w:rPr>
          <w:szCs w:val="18"/>
        </w:rPr>
        <w:t xml:space="preserve">The 100% subsidy under a child at risk determination </w:t>
      </w:r>
      <w:r w:rsidR="00D60598">
        <w:rPr>
          <w:szCs w:val="18"/>
        </w:rPr>
        <w:t>continue</w:t>
      </w:r>
      <w:r>
        <w:rPr>
          <w:szCs w:val="18"/>
        </w:rPr>
        <w:t xml:space="preserve"> for a minimum of six to twelve months – 13 to 26 weeks is an inadequate amount of time to build trust and </w:t>
      </w:r>
      <w:r w:rsidR="00D60598">
        <w:rPr>
          <w:szCs w:val="18"/>
        </w:rPr>
        <w:t>access</w:t>
      </w:r>
      <w:r>
        <w:rPr>
          <w:szCs w:val="18"/>
        </w:rPr>
        <w:t xml:space="preserve"> the right support</w:t>
      </w:r>
      <w:r w:rsidR="00D60598">
        <w:rPr>
          <w:szCs w:val="18"/>
        </w:rPr>
        <w:t xml:space="preserve"> for families</w:t>
      </w:r>
      <w:r>
        <w:rPr>
          <w:szCs w:val="18"/>
        </w:rPr>
        <w:t xml:space="preserve"> to address multiple complexities.</w:t>
      </w:r>
      <w:r w:rsidR="007B2A07" w:rsidRPr="007B2A07">
        <w:rPr>
          <w:szCs w:val="18"/>
        </w:rPr>
        <w:t xml:space="preserve"> </w:t>
      </w:r>
    </w:p>
    <w:p w:rsidR="006F302C" w:rsidRDefault="006F302C" w:rsidP="006F302C">
      <w:pPr>
        <w:rPr>
          <w:b/>
          <w:szCs w:val="18"/>
        </w:rPr>
      </w:pPr>
      <w:r w:rsidRPr="001535A2">
        <w:rPr>
          <w:b/>
          <w:szCs w:val="18"/>
        </w:rPr>
        <w:t xml:space="preserve">Draft Recommendation </w:t>
      </w:r>
      <w:r w:rsidR="00D60598">
        <w:rPr>
          <w:b/>
          <w:szCs w:val="18"/>
        </w:rPr>
        <w:t>7.2, 7.5, 7.9, 12.9, Draft Finding 5.2 and Information Request 7.1</w:t>
      </w:r>
    </w:p>
    <w:p w:rsidR="006E47B3" w:rsidRDefault="005375B5" w:rsidP="00CC64FF">
      <w:pPr>
        <w:rPr>
          <w:szCs w:val="18"/>
        </w:rPr>
      </w:pPr>
      <w:r>
        <w:rPr>
          <w:szCs w:val="18"/>
        </w:rPr>
        <w:t>The</w:t>
      </w:r>
      <w:r w:rsidR="00015D9D">
        <w:rPr>
          <w:szCs w:val="18"/>
        </w:rPr>
        <w:t xml:space="preserve"> suggested</w:t>
      </w:r>
      <w:r>
        <w:rPr>
          <w:szCs w:val="18"/>
        </w:rPr>
        <w:t xml:space="preserve"> </w:t>
      </w:r>
      <w:r>
        <w:rPr>
          <w:b/>
          <w:szCs w:val="18"/>
        </w:rPr>
        <w:t xml:space="preserve">separation of education and care </w:t>
      </w:r>
      <w:r>
        <w:rPr>
          <w:szCs w:val="18"/>
        </w:rPr>
        <w:t xml:space="preserve">is a backward step in </w:t>
      </w:r>
      <w:r w:rsidR="00776895">
        <w:rPr>
          <w:szCs w:val="18"/>
        </w:rPr>
        <w:t xml:space="preserve">Australia’s progress towards </w:t>
      </w:r>
      <w:r>
        <w:rPr>
          <w:szCs w:val="18"/>
        </w:rPr>
        <w:t xml:space="preserve"> high quality</w:t>
      </w:r>
      <w:r w:rsidR="006F302C">
        <w:rPr>
          <w:szCs w:val="18"/>
        </w:rPr>
        <w:t>, integrated services. For many years advocates have worked for the integration of education and care for young children</w:t>
      </w:r>
      <w:r w:rsidR="003B50D5">
        <w:rPr>
          <w:szCs w:val="18"/>
        </w:rPr>
        <w:t xml:space="preserve"> (</w:t>
      </w:r>
      <w:proofErr w:type="spellStart"/>
      <w:r w:rsidR="003B50D5" w:rsidRPr="003B50D5">
        <w:rPr>
          <w:szCs w:val="18"/>
        </w:rPr>
        <w:t>Bretherton</w:t>
      </w:r>
      <w:proofErr w:type="spellEnd"/>
      <w:r w:rsidR="003B50D5" w:rsidRPr="003B50D5">
        <w:rPr>
          <w:szCs w:val="18"/>
        </w:rPr>
        <w:t xml:space="preserve"> 2010; </w:t>
      </w:r>
      <w:proofErr w:type="spellStart"/>
      <w:r w:rsidR="00B37DF3">
        <w:rPr>
          <w:szCs w:val="18"/>
        </w:rPr>
        <w:t>COAG</w:t>
      </w:r>
      <w:proofErr w:type="spellEnd"/>
      <w:r w:rsidR="00B37DF3">
        <w:rPr>
          <w:szCs w:val="18"/>
        </w:rPr>
        <w:t xml:space="preserve"> 2009; </w:t>
      </w:r>
      <w:r w:rsidR="003B50D5" w:rsidRPr="003B50D5">
        <w:rPr>
          <w:szCs w:val="18"/>
        </w:rPr>
        <w:t>OECD 2014</w:t>
      </w:r>
      <w:r w:rsidR="003B50D5">
        <w:rPr>
          <w:szCs w:val="18"/>
        </w:rPr>
        <w:t>)</w:t>
      </w:r>
      <w:r w:rsidR="006F302C">
        <w:rPr>
          <w:szCs w:val="18"/>
        </w:rPr>
        <w:t xml:space="preserve">. The idea that preschools should be considered an extension of school education and that preschools should be removed from NQF requirements is detrimental and ignores the impact </w:t>
      </w:r>
      <w:r w:rsidR="00D60598">
        <w:rPr>
          <w:szCs w:val="18"/>
        </w:rPr>
        <w:t xml:space="preserve">on outcomes for children and families </w:t>
      </w:r>
      <w:r w:rsidR="006F302C">
        <w:rPr>
          <w:szCs w:val="18"/>
        </w:rPr>
        <w:t xml:space="preserve">of high quality </w:t>
      </w:r>
      <w:r w:rsidR="00D60598">
        <w:rPr>
          <w:szCs w:val="18"/>
        </w:rPr>
        <w:t xml:space="preserve">integrated </w:t>
      </w:r>
      <w:r w:rsidR="006F302C">
        <w:rPr>
          <w:szCs w:val="18"/>
        </w:rPr>
        <w:t>early childhood education and care services</w:t>
      </w:r>
      <w:r w:rsidR="00DC05CC">
        <w:rPr>
          <w:szCs w:val="18"/>
        </w:rPr>
        <w:t>, as well as the significant risks attached to low quality provision</w:t>
      </w:r>
      <w:r w:rsidR="003B50D5">
        <w:rPr>
          <w:szCs w:val="18"/>
        </w:rPr>
        <w:t xml:space="preserve"> (</w:t>
      </w:r>
      <w:r w:rsidR="00F243F6">
        <w:rPr>
          <w:szCs w:val="18"/>
        </w:rPr>
        <w:t xml:space="preserve">Harrison 2008; </w:t>
      </w:r>
      <w:r w:rsidR="003B50D5" w:rsidRPr="003B50D5">
        <w:rPr>
          <w:szCs w:val="18"/>
        </w:rPr>
        <w:t>ECA 2011; Elliott 2006</w:t>
      </w:r>
      <w:r w:rsidR="003B50D5">
        <w:rPr>
          <w:szCs w:val="18"/>
        </w:rPr>
        <w:t xml:space="preserve">; </w:t>
      </w:r>
      <w:r w:rsidR="003B50D5" w:rsidRPr="003B50D5">
        <w:rPr>
          <w:szCs w:val="18"/>
        </w:rPr>
        <w:t xml:space="preserve">OECD as cited in </w:t>
      </w:r>
      <w:proofErr w:type="spellStart"/>
      <w:r w:rsidR="003B50D5" w:rsidRPr="003B50D5">
        <w:rPr>
          <w:szCs w:val="18"/>
        </w:rPr>
        <w:t>Bretherton</w:t>
      </w:r>
      <w:proofErr w:type="spellEnd"/>
      <w:r w:rsidR="003B50D5" w:rsidRPr="003B50D5">
        <w:rPr>
          <w:szCs w:val="18"/>
        </w:rPr>
        <w:t xml:space="preserve"> 2010, </w:t>
      </w:r>
      <w:proofErr w:type="spellStart"/>
      <w:r w:rsidR="003B50D5" w:rsidRPr="003B50D5">
        <w:rPr>
          <w:szCs w:val="18"/>
        </w:rPr>
        <w:t>p.14</w:t>
      </w:r>
      <w:proofErr w:type="spellEnd"/>
      <w:r w:rsidR="003B50D5" w:rsidRPr="003B50D5">
        <w:rPr>
          <w:szCs w:val="18"/>
        </w:rPr>
        <w:t xml:space="preserve">; </w:t>
      </w:r>
      <w:proofErr w:type="spellStart"/>
      <w:r w:rsidR="003B50D5" w:rsidRPr="003B50D5">
        <w:rPr>
          <w:szCs w:val="18"/>
        </w:rPr>
        <w:t>Rinaldi</w:t>
      </w:r>
      <w:proofErr w:type="spellEnd"/>
      <w:r w:rsidR="003B50D5" w:rsidRPr="003B50D5">
        <w:rPr>
          <w:szCs w:val="18"/>
        </w:rPr>
        <w:t xml:space="preserve"> 2013</w:t>
      </w:r>
      <w:r w:rsidR="003B50D5">
        <w:rPr>
          <w:szCs w:val="18"/>
        </w:rPr>
        <w:t>)</w:t>
      </w:r>
      <w:r w:rsidR="00D60598">
        <w:rPr>
          <w:szCs w:val="18"/>
        </w:rPr>
        <w:t xml:space="preserve">. </w:t>
      </w:r>
      <w:r w:rsidR="00F243F6">
        <w:rPr>
          <w:szCs w:val="18"/>
        </w:rPr>
        <w:t xml:space="preserve">We have further concerns regarding </w:t>
      </w:r>
      <w:r w:rsidR="00D60598">
        <w:rPr>
          <w:szCs w:val="18"/>
        </w:rPr>
        <w:t>the recommendation</w:t>
      </w:r>
      <w:r w:rsidR="00015D9D">
        <w:rPr>
          <w:szCs w:val="18"/>
        </w:rPr>
        <w:t>s</w:t>
      </w:r>
      <w:r w:rsidR="00D60598">
        <w:rPr>
          <w:szCs w:val="18"/>
        </w:rPr>
        <w:t xml:space="preserve"> that </w:t>
      </w:r>
      <w:r w:rsidR="00015D9D">
        <w:rPr>
          <w:szCs w:val="18"/>
        </w:rPr>
        <w:t xml:space="preserve">degree qualified early childhood teachers should not be included in the ratios for under </w:t>
      </w:r>
      <w:r w:rsidR="00DE7966">
        <w:rPr>
          <w:szCs w:val="18"/>
        </w:rPr>
        <w:t>three</w:t>
      </w:r>
      <w:r w:rsidR="00015D9D">
        <w:rPr>
          <w:szCs w:val="18"/>
        </w:rPr>
        <w:t xml:space="preserve"> year olds and that practical experience with under two year olds be excluded </w:t>
      </w:r>
      <w:r w:rsidR="00381AC0">
        <w:rPr>
          <w:szCs w:val="18"/>
        </w:rPr>
        <w:t xml:space="preserve">from </w:t>
      </w:r>
      <w:r w:rsidR="00015D9D">
        <w:rPr>
          <w:szCs w:val="18"/>
        </w:rPr>
        <w:t>ACEC</w:t>
      </w:r>
      <w:r w:rsidR="00381AC0">
        <w:rPr>
          <w:szCs w:val="18"/>
        </w:rPr>
        <w:t>Q</w:t>
      </w:r>
      <w:r w:rsidR="00015D9D">
        <w:rPr>
          <w:szCs w:val="18"/>
        </w:rPr>
        <w:t>A requirements. These measures ignore research which advocates for more highly qualified educators and teachers to work with our youngest age groups (</w:t>
      </w:r>
      <w:proofErr w:type="spellStart"/>
      <w:r w:rsidR="00CC64FF" w:rsidRPr="00CC64FF">
        <w:rPr>
          <w:szCs w:val="18"/>
        </w:rPr>
        <w:t>Burchinal</w:t>
      </w:r>
      <w:proofErr w:type="spellEnd"/>
      <w:r w:rsidR="00CC64FF" w:rsidRPr="00CC64FF">
        <w:rPr>
          <w:szCs w:val="18"/>
        </w:rPr>
        <w:t xml:space="preserve">, </w:t>
      </w:r>
      <w:proofErr w:type="spellStart"/>
      <w:r w:rsidR="00CC64FF" w:rsidRPr="00CC64FF">
        <w:rPr>
          <w:szCs w:val="18"/>
        </w:rPr>
        <w:t>Cryer</w:t>
      </w:r>
      <w:proofErr w:type="spellEnd"/>
      <w:r w:rsidR="00CC64FF" w:rsidRPr="00CC64FF">
        <w:rPr>
          <w:szCs w:val="18"/>
        </w:rPr>
        <w:t>,</w:t>
      </w:r>
      <w:r w:rsidR="00CC64FF">
        <w:rPr>
          <w:szCs w:val="18"/>
        </w:rPr>
        <w:t xml:space="preserve"> </w:t>
      </w:r>
      <w:r w:rsidR="00CC64FF" w:rsidRPr="00CC64FF">
        <w:rPr>
          <w:szCs w:val="18"/>
        </w:rPr>
        <w:t xml:space="preserve">Clifford &amp; </w:t>
      </w:r>
      <w:proofErr w:type="spellStart"/>
      <w:r w:rsidR="00CC64FF" w:rsidRPr="00CC64FF">
        <w:rPr>
          <w:szCs w:val="18"/>
        </w:rPr>
        <w:t>Howes</w:t>
      </w:r>
      <w:proofErr w:type="spellEnd"/>
      <w:r w:rsidR="00CC64FF" w:rsidRPr="00CC64FF">
        <w:rPr>
          <w:szCs w:val="18"/>
        </w:rPr>
        <w:t xml:space="preserve">, 2002; </w:t>
      </w:r>
      <w:proofErr w:type="spellStart"/>
      <w:r w:rsidR="00B37DF3">
        <w:rPr>
          <w:szCs w:val="18"/>
        </w:rPr>
        <w:t>COAG</w:t>
      </w:r>
      <w:proofErr w:type="spellEnd"/>
      <w:r w:rsidR="00B37DF3">
        <w:rPr>
          <w:szCs w:val="18"/>
        </w:rPr>
        <w:t xml:space="preserve"> 2009; </w:t>
      </w:r>
      <w:proofErr w:type="spellStart"/>
      <w:r w:rsidR="00CC64FF" w:rsidRPr="00CC64FF">
        <w:rPr>
          <w:szCs w:val="18"/>
        </w:rPr>
        <w:t>Degotardi</w:t>
      </w:r>
      <w:proofErr w:type="spellEnd"/>
      <w:r w:rsidR="00CC64FF" w:rsidRPr="00CC64FF">
        <w:rPr>
          <w:szCs w:val="18"/>
        </w:rPr>
        <w:t xml:space="preserve">, 2010; </w:t>
      </w:r>
      <w:proofErr w:type="spellStart"/>
      <w:r w:rsidR="00CC64FF" w:rsidRPr="00CC64FF">
        <w:rPr>
          <w:szCs w:val="18"/>
        </w:rPr>
        <w:t>Goelman</w:t>
      </w:r>
      <w:proofErr w:type="spellEnd"/>
      <w:r w:rsidR="00CC64FF" w:rsidRPr="00CC64FF">
        <w:rPr>
          <w:szCs w:val="18"/>
        </w:rPr>
        <w:t>,</w:t>
      </w:r>
      <w:r w:rsidR="00CC64FF">
        <w:rPr>
          <w:szCs w:val="18"/>
        </w:rPr>
        <w:t xml:space="preserve"> </w:t>
      </w:r>
      <w:r w:rsidR="00CC64FF" w:rsidRPr="00CC64FF">
        <w:rPr>
          <w:szCs w:val="18"/>
        </w:rPr>
        <w:t xml:space="preserve">2006; </w:t>
      </w:r>
      <w:proofErr w:type="spellStart"/>
      <w:r w:rsidR="00CC64FF" w:rsidRPr="00CC64FF">
        <w:rPr>
          <w:szCs w:val="18"/>
        </w:rPr>
        <w:t>Siraj</w:t>
      </w:r>
      <w:proofErr w:type="spellEnd"/>
      <w:r w:rsidR="00CC64FF" w:rsidRPr="00CC64FF">
        <w:rPr>
          <w:szCs w:val="18"/>
        </w:rPr>
        <w:t xml:space="preserve">-Blatchford &amp; </w:t>
      </w:r>
      <w:proofErr w:type="spellStart"/>
      <w:r w:rsidR="00CC64FF" w:rsidRPr="00CC64FF">
        <w:rPr>
          <w:szCs w:val="18"/>
        </w:rPr>
        <w:t>Manni</w:t>
      </w:r>
      <w:proofErr w:type="spellEnd"/>
      <w:r w:rsidR="00CC64FF" w:rsidRPr="00CC64FF">
        <w:rPr>
          <w:szCs w:val="18"/>
        </w:rPr>
        <w:t>, 2006</w:t>
      </w:r>
      <w:r w:rsidR="00015D9D">
        <w:rPr>
          <w:szCs w:val="18"/>
        </w:rPr>
        <w:t>).</w:t>
      </w:r>
      <w:r w:rsidR="00DE7966">
        <w:rPr>
          <w:szCs w:val="18"/>
        </w:rPr>
        <w:t xml:space="preserve"> The added complexity is where services choose to integrate age groups</w:t>
      </w:r>
      <w:r w:rsidR="003F7D5B">
        <w:rPr>
          <w:szCs w:val="18"/>
        </w:rPr>
        <w:t>,</w:t>
      </w:r>
      <w:r w:rsidR="00DE7966">
        <w:rPr>
          <w:szCs w:val="18"/>
        </w:rPr>
        <w:t xml:space="preserve"> as well as the devaluing of educators who work with infants if Government determines that lower qualifications are required.</w:t>
      </w:r>
    </w:p>
    <w:p w:rsidR="003A7FE4" w:rsidRDefault="00AB6ECE" w:rsidP="003A7FE4">
      <w:pPr>
        <w:spacing w:after="0"/>
        <w:rPr>
          <w:b/>
          <w:szCs w:val="18"/>
        </w:rPr>
      </w:pPr>
      <w:r>
        <w:rPr>
          <w:b/>
          <w:szCs w:val="18"/>
        </w:rPr>
        <w:t>Gowrie SA</w:t>
      </w:r>
      <w:r w:rsidR="003A7FE4">
        <w:rPr>
          <w:b/>
          <w:szCs w:val="18"/>
        </w:rPr>
        <w:t xml:space="preserve"> Recommendations:</w:t>
      </w:r>
    </w:p>
    <w:p w:rsidR="003A7FE4" w:rsidRDefault="003A7FE4" w:rsidP="003A7FE4">
      <w:pPr>
        <w:pStyle w:val="ListParagraph"/>
        <w:numPr>
          <w:ilvl w:val="0"/>
          <w:numId w:val="29"/>
        </w:numPr>
        <w:rPr>
          <w:szCs w:val="18"/>
        </w:rPr>
      </w:pPr>
      <w:r>
        <w:rPr>
          <w:szCs w:val="18"/>
        </w:rPr>
        <w:lastRenderedPageBreak/>
        <w:t>Integrated education and care services are valued and supported</w:t>
      </w:r>
      <w:r w:rsidRPr="007B2A07">
        <w:rPr>
          <w:szCs w:val="18"/>
        </w:rPr>
        <w:t>.</w:t>
      </w:r>
    </w:p>
    <w:p w:rsidR="003A7FE4" w:rsidRDefault="003A7FE4" w:rsidP="003A7FE4">
      <w:pPr>
        <w:pStyle w:val="ListParagraph"/>
        <w:numPr>
          <w:ilvl w:val="0"/>
          <w:numId w:val="29"/>
        </w:numPr>
        <w:rPr>
          <w:szCs w:val="18"/>
        </w:rPr>
      </w:pPr>
      <w:r>
        <w:rPr>
          <w:szCs w:val="18"/>
        </w:rPr>
        <w:t>The early childhood teacher requirements remain and can be applied to any age group.</w:t>
      </w:r>
    </w:p>
    <w:p w:rsidR="003A7FE4" w:rsidRDefault="003A7FE4" w:rsidP="003A7FE4">
      <w:pPr>
        <w:pStyle w:val="ListParagraph"/>
        <w:numPr>
          <w:ilvl w:val="0"/>
          <w:numId w:val="29"/>
        </w:numPr>
        <w:rPr>
          <w:szCs w:val="18"/>
        </w:rPr>
      </w:pPr>
      <w:r>
        <w:rPr>
          <w:szCs w:val="18"/>
        </w:rPr>
        <w:t>The ACECQA requirements regarding practical experience with children under two years of age remain.</w:t>
      </w:r>
    </w:p>
    <w:p w:rsidR="003A7FE4" w:rsidRDefault="003A7FE4" w:rsidP="003A7FE4">
      <w:pPr>
        <w:pStyle w:val="ListParagraph"/>
        <w:numPr>
          <w:ilvl w:val="0"/>
          <w:numId w:val="29"/>
        </w:numPr>
        <w:rPr>
          <w:szCs w:val="18"/>
        </w:rPr>
      </w:pPr>
      <w:r>
        <w:rPr>
          <w:szCs w:val="18"/>
        </w:rPr>
        <w:t>Qualification requirements for educators be improved, including minimum entry level requirements of a Certificate III with 75% of educators required to have minimum early childhood Diploma or Degree qualification.</w:t>
      </w:r>
    </w:p>
    <w:p w:rsidR="003A7FE4" w:rsidRDefault="003A7FE4" w:rsidP="00CC64FF">
      <w:pPr>
        <w:rPr>
          <w:szCs w:val="18"/>
        </w:rPr>
      </w:pPr>
    </w:p>
    <w:p w:rsidR="003A7FE4" w:rsidRDefault="003A7FE4" w:rsidP="003A7FE4">
      <w:pPr>
        <w:rPr>
          <w:b/>
          <w:szCs w:val="18"/>
        </w:rPr>
      </w:pPr>
      <w:r w:rsidRPr="001535A2">
        <w:rPr>
          <w:b/>
          <w:szCs w:val="18"/>
        </w:rPr>
        <w:t>Draft Recommendation</w:t>
      </w:r>
      <w:r>
        <w:rPr>
          <w:b/>
          <w:szCs w:val="18"/>
        </w:rPr>
        <w:t>s</w:t>
      </w:r>
      <w:r w:rsidRPr="001535A2">
        <w:rPr>
          <w:b/>
          <w:szCs w:val="18"/>
        </w:rPr>
        <w:t xml:space="preserve"> </w:t>
      </w:r>
      <w:r>
        <w:rPr>
          <w:b/>
          <w:szCs w:val="18"/>
        </w:rPr>
        <w:t xml:space="preserve">10.1 </w:t>
      </w:r>
    </w:p>
    <w:p w:rsidR="003A7FE4" w:rsidRDefault="003A7FE4" w:rsidP="003A7FE4">
      <w:pPr>
        <w:rPr>
          <w:szCs w:val="18"/>
        </w:rPr>
      </w:pPr>
      <w:r>
        <w:rPr>
          <w:b/>
          <w:szCs w:val="18"/>
        </w:rPr>
        <w:t xml:space="preserve">Removal of eligibility of not-for-profit ECEC providers to payroll tax exemptions </w:t>
      </w:r>
      <w:r w:rsidR="00AB6ECE">
        <w:rPr>
          <w:szCs w:val="18"/>
        </w:rPr>
        <w:t xml:space="preserve">will significantly disadvantage these providers and will create a flow-on effect of much higher fees for families. </w:t>
      </w:r>
      <w:r w:rsidR="00AB6ECE" w:rsidRPr="00AB6ECE">
        <w:rPr>
          <w:szCs w:val="18"/>
        </w:rPr>
        <w:t xml:space="preserve">Although </w:t>
      </w:r>
      <w:r w:rsidR="00AB6ECE">
        <w:rPr>
          <w:szCs w:val="18"/>
        </w:rPr>
        <w:t>not-for-profit</w:t>
      </w:r>
      <w:r w:rsidR="00AB6ECE" w:rsidRPr="00AB6ECE">
        <w:rPr>
          <w:szCs w:val="18"/>
        </w:rPr>
        <w:t xml:space="preserve"> </w:t>
      </w:r>
      <w:r w:rsidR="00AB6ECE">
        <w:rPr>
          <w:szCs w:val="18"/>
        </w:rPr>
        <w:t>education and care services</w:t>
      </w:r>
      <w:r w:rsidR="00AB6ECE" w:rsidRPr="00AB6ECE">
        <w:rPr>
          <w:szCs w:val="18"/>
        </w:rPr>
        <w:t xml:space="preserve"> may benefit from not paying payroll tax, for-profit centres and their owners benefit from the complex income tax provisions applying to personal and company tax arrangements. </w:t>
      </w:r>
      <w:r w:rsidR="009C12C9">
        <w:rPr>
          <w:szCs w:val="18"/>
        </w:rPr>
        <w:t xml:space="preserve">There is currently no research or evidence to identify the level of </w:t>
      </w:r>
      <w:r w:rsidR="00AB6ECE" w:rsidRPr="00AB6ECE">
        <w:rPr>
          <w:szCs w:val="18"/>
        </w:rPr>
        <w:t xml:space="preserve">profitability and no regulation for the distribution of profits </w:t>
      </w:r>
      <w:r w:rsidR="009C12C9">
        <w:rPr>
          <w:szCs w:val="18"/>
        </w:rPr>
        <w:t xml:space="preserve">to go </w:t>
      </w:r>
      <w:r w:rsidR="00AB6ECE" w:rsidRPr="00AB6ECE">
        <w:rPr>
          <w:szCs w:val="18"/>
        </w:rPr>
        <w:t xml:space="preserve">back into </w:t>
      </w:r>
      <w:r w:rsidR="00AB6ECE">
        <w:rPr>
          <w:szCs w:val="18"/>
        </w:rPr>
        <w:t xml:space="preserve">education and care </w:t>
      </w:r>
      <w:r w:rsidR="00AB6ECE" w:rsidRPr="00AB6ECE">
        <w:rPr>
          <w:szCs w:val="18"/>
        </w:rPr>
        <w:t>service</w:t>
      </w:r>
      <w:r w:rsidR="00AB6ECE">
        <w:rPr>
          <w:szCs w:val="18"/>
        </w:rPr>
        <w:t xml:space="preserve"> by for-profit services</w:t>
      </w:r>
      <w:r w:rsidR="00AB6ECE" w:rsidRPr="00AB6ECE">
        <w:rPr>
          <w:szCs w:val="18"/>
        </w:rPr>
        <w:t xml:space="preserve">. </w:t>
      </w:r>
    </w:p>
    <w:p w:rsidR="003A7FE4" w:rsidRDefault="00AB6ECE" w:rsidP="003A7FE4">
      <w:pPr>
        <w:spacing w:after="0"/>
        <w:rPr>
          <w:b/>
          <w:szCs w:val="18"/>
        </w:rPr>
      </w:pPr>
      <w:r>
        <w:rPr>
          <w:b/>
          <w:szCs w:val="18"/>
        </w:rPr>
        <w:t>Gowrie SA</w:t>
      </w:r>
      <w:r w:rsidR="003A7FE4">
        <w:rPr>
          <w:b/>
          <w:szCs w:val="18"/>
        </w:rPr>
        <w:t xml:space="preserve"> Recommendations:</w:t>
      </w:r>
    </w:p>
    <w:p w:rsidR="003A7FE4" w:rsidRDefault="00AB6ECE" w:rsidP="003A7FE4">
      <w:pPr>
        <w:pStyle w:val="ListParagraph"/>
        <w:numPr>
          <w:ilvl w:val="0"/>
          <w:numId w:val="29"/>
        </w:numPr>
        <w:rPr>
          <w:szCs w:val="18"/>
        </w:rPr>
      </w:pPr>
      <w:r w:rsidRPr="00AB6ECE">
        <w:rPr>
          <w:szCs w:val="18"/>
        </w:rPr>
        <w:t xml:space="preserve">Regulations about reinvestment </w:t>
      </w:r>
      <w:r>
        <w:rPr>
          <w:szCs w:val="18"/>
        </w:rPr>
        <w:t xml:space="preserve">of profit </w:t>
      </w:r>
      <w:r w:rsidRPr="00AB6ECE">
        <w:rPr>
          <w:szCs w:val="18"/>
        </w:rPr>
        <w:t xml:space="preserve">should be developed </w:t>
      </w:r>
      <w:r>
        <w:rPr>
          <w:szCs w:val="18"/>
        </w:rPr>
        <w:t xml:space="preserve">for </w:t>
      </w:r>
      <w:r w:rsidR="009C12C9">
        <w:rPr>
          <w:szCs w:val="18"/>
        </w:rPr>
        <w:t xml:space="preserve">the </w:t>
      </w:r>
      <w:r>
        <w:rPr>
          <w:szCs w:val="18"/>
        </w:rPr>
        <w:t xml:space="preserve">for-profit providers </w:t>
      </w:r>
      <w:r w:rsidRPr="00AB6ECE">
        <w:rPr>
          <w:szCs w:val="18"/>
        </w:rPr>
        <w:t>as, ‘there is an inherent contradiction between quality and profit’ (</w:t>
      </w:r>
      <w:proofErr w:type="spellStart"/>
      <w:r w:rsidRPr="00AB6ECE">
        <w:rPr>
          <w:szCs w:val="18"/>
        </w:rPr>
        <w:t>Fenech</w:t>
      </w:r>
      <w:proofErr w:type="spellEnd"/>
      <w:r w:rsidRPr="00AB6ECE">
        <w:rPr>
          <w:szCs w:val="18"/>
        </w:rPr>
        <w:t xml:space="preserve">, </w:t>
      </w:r>
      <w:proofErr w:type="spellStart"/>
      <w:r w:rsidRPr="00AB6ECE">
        <w:rPr>
          <w:szCs w:val="18"/>
        </w:rPr>
        <w:t>Guigni</w:t>
      </w:r>
      <w:proofErr w:type="spellEnd"/>
      <w:r w:rsidRPr="00AB6ECE">
        <w:rPr>
          <w:szCs w:val="18"/>
        </w:rPr>
        <w:t xml:space="preserve"> &amp; Brown 2012, p. 10).</w:t>
      </w:r>
    </w:p>
    <w:p w:rsidR="00AB6ECE" w:rsidRDefault="00AB6ECE" w:rsidP="003A7FE4">
      <w:pPr>
        <w:pStyle w:val="ListParagraph"/>
        <w:numPr>
          <w:ilvl w:val="0"/>
          <w:numId w:val="29"/>
        </w:numPr>
        <w:rPr>
          <w:szCs w:val="18"/>
        </w:rPr>
      </w:pPr>
      <w:r>
        <w:rPr>
          <w:szCs w:val="18"/>
        </w:rPr>
        <w:t>Payroll tax exemption should remain in place for not-for-profit providers</w:t>
      </w:r>
      <w:r w:rsidR="009C12C9">
        <w:rPr>
          <w:szCs w:val="18"/>
        </w:rPr>
        <w:t xml:space="preserve"> who are not able to access the same tax benefits/off-sets that are available </w:t>
      </w:r>
      <w:r w:rsidR="003F7D5B">
        <w:rPr>
          <w:szCs w:val="18"/>
        </w:rPr>
        <w:t>to</w:t>
      </w:r>
      <w:r w:rsidR="009C12C9">
        <w:rPr>
          <w:szCs w:val="18"/>
        </w:rPr>
        <w:t xml:space="preserve"> for-profit providers</w:t>
      </w:r>
      <w:r>
        <w:rPr>
          <w:szCs w:val="18"/>
        </w:rPr>
        <w:t>.</w:t>
      </w:r>
    </w:p>
    <w:p w:rsidR="00015D9D" w:rsidRDefault="00015D9D" w:rsidP="001535A2">
      <w:pPr>
        <w:rPr>
          <w:szCs w:val="18"/>
        </w:rPr>
      </w:pPr>
    </w:p>
    <w:p w:rsidR="00015D9D" w:rsidRDefault="003B50D5" w:rsidP="003B50D5">
      <w:pPr>
        <w:rPr>
          <w:b/>
          <w:szCs w:val="18"/>
        </w:rPr>
      </w:pPr>
      <w:r w:rsidRPr="003B50D5">
        <w:rPr>
          <w:b/>
          <w:szCs w:val="18"/>
        </w:rPr>
        <w:t>References</w:t>
      </w:r>
    </w:p>
    <w:p w:rsidR="003B50D5" w:rsidRDefault="003B50D5" w:rsidP="003B50D5">
      <w:pPr>
        <w:tabs>
          <w:tab w:val="left" w:pos="1277"/>
        </w:tabs>
        <w:rPr>
          <w:rFonts w:ascii="Arial" w:hAnsi="Arial" w:cs="Arial"/>
          <w:sz w:val="20"/>
          <w:szCs w:val="20"/>
        </w:rPr>
      </w:pPr>
      <w:proofErr w:type="spellStart"/>
      <w:r>
        <w:rPr>
          <w:rFonts w:ascii="Arial" w:hAnsi="Arial" w:cs="Arial"/>
          <w:sz w:val="20"/>
          <w:szCs w:val="20"/>
        </w:rPr>
        <w:t>Bretherton</w:t>
      </w:r>
      <w:proofErr w:type="spellEnd"/>
      <w:r>
        <w:rPr>
          <w:rFonts w:ascii="Arial" w:hAnsi="Arial" w:cs="Arial"/>
          <w:sz w:val="20"/>
          <w:szCs w:val="20"/>
        </w:rPr>
        <w:t xml:space="preserve">, T. </w:t>
      </w:r>
      <w:r w:rsidR="00243310">
        <w:rPr>
          <w:rFonts w:ascii="Arial" w:hAnsi="Arial" w:cs="Arial"/>
          <w:sz w:val="20"/>
          <w:szCs w:val="20"/>
        </w:rPr>
        <w:t>(</w:t>
      </w:r>
      <w:r>
        <w:rPr>
          <w:rFonts w:ascii="Arial" w:hAnsi="Arial" w:cs="Arial"/>
          <w:sz w:val="20"/>
          <w:szCs w:val="20"/>
        </w:rPr>
        <w:t>2010</w:t>
      </w:r>
      <w:r w:rsidR="00243310">
        <w:rPr>
          <w:rFonts w:ascii="Arial" w:hAnsi="Arial" w:cs="Arial"/>
          <w:sz w:val="20"/>
          <w:szCs w:val="20"/>
        </w:rPr>
        <w:t>).</w:t>
      </w:r>
      <w:r>
        <w:rPr>
          <w:rFonts w:ascii="Arial" w:hAnsi="Arial" w:cs="Arial"/>
          <w:sz w:val="20"/>
          <w:szCs w:val="20"/>
        </w:rPr>
        <w:t xml:space="preserve"> ‘Developing the child care workforce: Understanding ‘figh</w:t>
      </w:r>
      <w:r w:rsidR="00243310">
        <w:rPr>
          <w:rFonts w:ascii="Arial" w:hAnsi="Arial" w:cs="Arial"/>
          <w:sz w:val="20"/>
          <w:szCs w:val="20"/>
        </w:rPr>
        <w:t>t’ or ‘flight’ amongst workers’.</w:t>
      </w:r>
      <w:r>
        <w:rPr>
          <w:rFonts w:ascii="Arial" w:hAnsi="Arial" w:cs="Arial"/>
          <w:sz w:val="20"/>
          <w:szCs w:val="20"/>
        </w:rPr>
        <w:t xml:space="preserve"> Research report, NCVER, retrieved 30 January 2014, </w:t>
      </w:r>
      <w:hyperlink r:id="rId9" w:history="1">
        <w:r w:rsidRPr="00C745E0">
          <w:rPr>
            <w:rStyle w:val="Hyperlink"/>
            <w:rFonts w:ascii="Arial" w:hAnsi="Arial" w:cs="Arial"/>
            <w:sz w:val="20"/>
            <w:szCs w:val="20"/>
          </w:rPr>
          <w:t>http://www.ncver.edu.au/publications/2261.html</w:t>
        </w:r>
      </w:hyperlink>
      <w:r>
        <w:t>.</w:t>
      </w:r>
      <w:r>
        <w:rPr>
          <w:rFonts w:ascii="Arial" w:hAnsi="Arial" w:cs="Arial"/>
          <w:sz w:val="20"/>
          <w:szCs w:val="20"/>
        </w:rPr>
        <w:t xml:space="preserve"> </w:t>
      </w:r>
    </w:p>
    <w:p w:rsidR="00CC64FF" w:rsidRDefault="00CC64FF" w:rsidP="00CC64FF">
      <w:pPr>
        <w:tabs>
          <w:tab w:val="left" w:pos="1277"/>
        </w:tabs>
        <w:rPr>
          <w:rFonts w:ascii="Arial" w:hAnsi="Arial" w:cs="Arial"/>
          <w:sz w:val="20"/>
          <w:szCs w:val="20"/>
        </w:rPr>
      </w:pPr>
      <w:proofErr w:type="spellStart"/>
      <w:r w:rsidRPr="00CC64FF">
        <w:rPr>
          <w:rFonts w:ascii="Arial" w:hAnsi="Arial" w:cs="Arial"/>
          <w:sz w:val="20"/>
          <w:szCs w:val="20"/>
        </w:rPr>
        <w:t>Burchinal</w:t>
      </w:r>
      <w:proofErr w:type="spellEnd"/>
      <w:r w:rsidRPr="00CC64FF">
        <w:rPr>
          <w:rFonts w:ascii="Arial" w:hAnsi="Arial" w:cs="Arial"/>
          <w:sz w:val="20"/>
          <w:szCs w:val="20"/>
        </w:rPr>
        <w:t xml:space="preserve">, M. R., </w:t>
      </w:r>
      <w:proofErr w:type="spellStart"/>
      <w:r w:rsidRPr="00CC64FF">
        <w:rPr>
          <w:rFonts w:ascii="Arial" w:hAnsi="Arial" w:cs="Arial"/>
          <w:sz w:val="20"/>
          <w:szCs w:val="20"/>
        </w:rPr>
        <w:t>Cryer</w:t>
      </w:r>
      <w:proofErr w:type="spellEnd"/>
      <w:r w:rsidRPr="00CC64FF">
        <w:rPr>
          <w:rFonts w:ascii="Arial" w:hAnsi="Arial" w:cs="Arial"/>
          <w:sz w:val="20"/>
          <w:szCs w:val="20"/>
        </w:rPr>
        <w:t>, D., Clifford, R. M., &amp; Howes, C. (2002).</w:t>
      </w:r>
      <w:r>
        <w:rPr>
          <w:rFonts w:ascii="Arial" w:hAnsi="Arial" w:cs="Arial"/>
          <w:sz w:val="20"/>
          <w:szCs w:val="20"/>
        </w:rPr>
        <w:t xml:space="preserve"> </w:t>
      </w:r>
      <w:r w:rsidRPr="00CC64FF">
        <w:rPr>
          <w:rFonts w:ascii="Arial" w:hAnsi="Arial" w:cs="Arial"/>
          <w:sz w:val="20"/>
          <w:szCs w:val="20"/>
        </w:rPr>
        <w:t>Caregiver training and classroom quality in child care centers.</w:t>
      </w:r>
      <w:r>
        <w:rPr>
          <w:rFonts w:ascii="Arial" w:hAnsi="Arial" w:cs="Arial"/>
          <w:sz w:val="20"/>
          <w:szCs w:val="20"/>
        </w:rPr>
        <w:t xml:space="preserve"> </w:t>
      </w:r>
      <w:r w:rsidRPr="00CC64FF">
        <w:rPr>
          <w:rFonts w:ascii="Arial" w:hAnsi="Arial" w:cs="Arial"/>
          <w:sz w:val="20"/>
          <w:szCs w:val="20"/>
        </w:rPr>
        <w:t>Applied Developmental Science, 6(1), 2–11.</w:t>
      </w:r>
    </w:p>
    <w:p w:rsidR="003B50D5" w:rsidRPr="00DA6CA4" w:rsidRDefault="003B50D5" w:rsidP="003B50D5">
      <w:pPr>
        <w:tabs>
          <w:tab w:val="left" w:pos="1277"/>
        </w:tabs>
        <w:rPr>
          <w:rFonts w:ascii="Arial" w:hAnsi="Arial" w:cs="Arial"/>
          <w:i/>
          <w:sz w:val="20"/>
          <w:szCs w:val="20"/>
        </w:rPr>
      </w:pPr>
      <w:r w:rsidRPr="00DA6CA4">
        <w:rPr>
          <w:rFonts w:ascii="Arial" w:hAnsi="Arial" w:cs="Arial"/>
          <w:sz w:val="20"/>
          <w:szCs w:val="20"/>
        </w:rPr>
        <w:t xml:space="preserve">Centre on the Developing Child </w:t>
      </w:r>
      <w:r w:rsidR="00243310">
        <w:rPr>
          <w:rFonts w:ascii="Arial" w:hAnsi="Arial" w:cs="Arial"/>
          <w:sz w:val="20"/>
          <w:szCs w:val="20"/>
        </w:rPr>
        <w:t>(</w:t>
      </w:r>
      <w:r w:rsidRPr="00DA6CA4">
        <w:rPr>
          <w:rFonts w:ascii="Arial" w:hAnsi="Arial" w:cs="Arial"/>
          <w:sz w:val="20"/>
          <w:szCs w:val="20"/>
        </w:rPr>
        <w:t>2007</w:t>
      </w:r>
      <w:r w:rsidR="00243310">
        <w:rPr>
          <w:rFonts w:ascii="Arial" w:hAnsi="Arial" w:cs="Arial"/>
          <w:sz w:val="20"/>
          <w:szCs w:val="20"/>
        </w:rPr>
        <w:t>).</w:t>
      </w:r>
      <w:r w:rsidRPr="00DA6CA4">
        <w:rPr>
          <w:rFonts w:ascii="Arial" w:hAnsi="Arial" w:cs="Arial"/>
          <w:sz w:val="20"/>
          <w:szCs w:val="20"/>
        </w:rPr>
        <w:t xml:space="preserve"> ‘A Science-Based Framework for Early Childhood Policy: Using Evidence to Improve Outcomes in Learning, Behaviour, and Health for Vulnerable Children’, Harvard University.</w:t>
      </w:r>
    </w:p>
    <w:p w:rsidR="00B37DF3" w:rsidRDefault="00B37DF3" w:rsidP="00CC64FF">
      <w:pPr>
        <w:widowControl w:val="0"/>
        <w:rPr>
          <w:rFonts w:ascii="Arial" w:hAnsi="Arial" w:cs="Arial"/>
          <w:sz w:val="20"/>
          <w:szCs w:val="20"/>
        </w:rPr>
      </w:pPr>
      <w:r w:rsidRPr="00B37DF3">
        <w:rPr>
          <w:rFonts w:ascii="Arial" w:hAnsi="Arial" w:cs="Arial"/>
          <w:sz w:val="20"/>
          <w:szCs w:val="20"/>
        </w:rPr>
        <w:t xml:space="preserve">Council of Australian Governments (COAG) </w:t>
      </w:r>
      <w:r>
        <w:rPr>
          <w:rFonts w:ascii="Arial" w:hAnsi="Arial" w:cs="Arial"/>
          <w:sz w:val="20"/>
          <w:szCs w:val="20"/>
        </w:rPr>
        <w:t>(</w:t>
      </w:r>
      <w:r w:rsidRPr="00B37DF3">
        <w:rPr>
          <w:rFonts w:ascii="Arial" w:hAnsi="Arial" w:cs="Arial"/>
          <w:sz w:val="20"/>
          <w:szCs w:val="20"/>
        </w:rPr>
        <w:t>2009</w:t>
      </w:r>
      <w:r>
        <w:rPr>
          <w:rFonts w:ascii="Arial" w:hAnsi="Arial" w:cs="Arial"/>
          <w:sz w:val="20"/>
          <w:szCs w:val="20"/>
        </w:rPr>
        <w:t>).</w:t>
      </w:r>
      <w:r w:rsidRPr="00B37DF3">
        <w:rPr>
          <w:rFonts w:ascii="Arial" w:hAnsi="Arial" w:cs="Arial"/>
          <w:sz w:val="20"/>
          <w:szCs w:val="20"/>
        </w:rPr>
        <w:t xml:space="preserve"> </w:t>
      </w:r>
      <w:r>
        <w:rPr>
          <w:rFonts w:ascii="Arial" w:hAnsi="Arial" w:cs="Arial"/>
          <w:sz w:val="20"/>
          <w:szCs w:val="20"/>
        </w:rPr>
        <w:t>‘</w:t>
      </w:r>
      <w:r w:rsidRPr="00B37DF3">
        <w:rPr>
          <w:rFonts w:ascii="Arial" w:hAnsi="Arial" w:cs="Arial"/>
          <w:sz w:val="20"/>
          <w:szCs w:val="20"/>
        </w:rPr>
        <w:t>Investing in the Early Years</w:t>
      </w:r>
      <w:r>
        <w:rPr>
          <w:rFonts w:ascii="Arial" w:hAnsi="Arial" w:cs="Arial"/>
          <w:sz w:val="20"/>
          <w:szCs w:val="20"/>
        </w:rPr>
        <w:t>’. Retrieved August 28, 2014 from</w:t>
      </w:r>
      <w:r w:rsidRPr="00B37DF3">
        <w:rPr>
          <w:rFonts w:ascii="Arial" w:hAnsi="Arial" w:cs="Arial"/>
          <w:sz w:val="20"/>
          <w:szCs w:val="20"/>
        </w:rPr>
        <w:t xml:space="preserve"> </w:t>
      </w:r>
      <w:hyperlink r:id="rId10" w:history="1">
        <w:r w:rsidRPr="00843BD7">
          <w:rPr>
            <w:rStyle w:val="Hyperlink"/>
            <w:rFonts w:ascii="Arial" w:hAnsi="Arial" w:cs="Arial"/>
            <w:sz w:val="20"/>
            <w:szCs w:val="20"/>
          </w:rPr>
          <w:t>http://www.coag.gov.au/early_childhood</w:t>
        </w:r>
      </w:hyperlink>
      <w:r>
        <w:rPr>
          <w:rFonts w:ascii="Arial" w:hAnsi="Arial" w:cs="Arial"/>
          <w:sz w:val="20"/>
          <w:szCs w:val="20"/>
        </w:rPr>
        <w:t xml:space="preserve"> </w:t>
      </w:r>
    </w:p>
    <w:p w:rsidR="00CC64FF" w:rsidRDefault="00CC64FF" w:rsidP="00CC64FF">
      <w:pPr>
        <w:widowControl w:val="0"/>
        <w:rPr>
          <w:rStyle w:val="HTMLCite"/>
          <w:rFonts w:ascii="Arial" w:hAnsi="Arial" w:cs="Arial"/>
          <w:sz w:val="20"/>
          <w:szCs w:val="20"/>
        </w:rPr>
      </w:pPr>
      <w:r w:rsidRPr="00DA6CA4">
        <w:rPr>
          <w:rFonts w:ascii="Arial" w:hAnsi="Arial" w:cs="Arial"/>
          <w:sz w:val="20"/>
          <w:szCs w:val="20"/>
        </w:rPr>
        <w:t>Cleveland</w:t>
      </w:r>
      <w:r>
        <w:rPr>
          <w:rFonts w:ascii="Arial" w:hAnsi="Arial" w:cs="Arial"/>
          <w:sz w:val="20"/>
          <w:szCs w:val="20"/>
        </w:rPr>
        <w:t>, G.</w:t>
      </w:r>
      <w:r w:rsidRPr="00DA6CA4">
        <w:rPr>
          <w:rFonts w:ascii="Arial" w:hAnsi="Arial" w:cs="Arial"/>
          <w:sz w:val="20"/>
          <w:szCs w:val="20"/>
        </w:rPr>
        <w:t xml:space="preserve"> &amp; </w:t>
      </w:r>
      <w:proofErr w:type="spellStart"/>
      <w:r w:rsidRPr="00DA6CA4">
        <w:rPr>
          <w:rFonts w:ascii="Arial" w:hAnsi="Arial" w:cs="Arial"/>
          <w:sz w:val="20"/>
          <w:szCs w:val="20"/>
        </w:rPr>
        <w:t>Krashinsky</w:t>
      </w:r>
      <w:proofErr w:type="spellEnd"/>
      <w:r>
        <w:rPr>
          <w:rFonts w:ascii="Arial" w:hAnsi="Arial" w:cs="Arial"/>
          <w:sz w:val="20"/>
          <w:szCs w:val="20"/>
        </w:rPr>
        <w:t>, M.</w:t>
      </w:r>
      <w:r w:rsidRPr="00DA6CA4">
        <w:rPr>
          <w:rFonts w:ascii="Arial" w:hAnsi="Arial" w:cs="Arial"/>
          <w:sz w:val="20"/>
          <w:szCs w:val="20"/>
        </w:rPr>
        <w:t xml:space="preserve"> (</w:t>
      </w:r>
      <w:proofErr w:type="spellStart"/>
      <w:r w:rsidRPr="00DA6CA4">
        <w:rPr>
          <w:rFonts w:ascii="Arial" w:hAnsi="Arial" w:cs="Arial"/>
          <w:sz w:val="20"/>
          <w:szCs w:val="20"/>
        </w:rPr>
        <w:t>n.d.</w:t>
      </w:r>
      <w:proofErr w:type="spellEnd"/>
      <w:r w:rsidRPr="00DA6CA4">
        <w:rPr>
          <w:rFonts w:ascii="Arial" w:hAnsi="Arial" w:cs="Arial"/>
          <w:sz w:val="20"/>
          <w:szCs w:val="20"/>
        </w:rPr>
        <w:t>), ‘Financing ECEC services in OECD Count</w:t>
      </w:r>
      <w:r w:rsidR="00243310">
        <w:rPr>
          <w:rFonts w:ascii="Arial" w:hAnsi="Arial" w:cs="Arial"/>
          <w:sz w:val="20"/>
          <w:szCs w:val="20"/>
        </w:rPr>
        <w:t>ries’.</w:t>
      </w:r>
      <w:r w:rsidRPr="00DA6CA4">
        <w:rPr>
          <w:rFonts w:ascii="Arial" w:hAnsi="Arial" w:cs="Arial"/>
          <w:sz w:val="20"/>
          <w:szCs w:val="20"/>
        </w:rPr>
        <w:t xml:space="preserve"> </w:t>
      </w:r>
      <w:r w:rsidR="00243310" w:rsidRPr="00DA6CA4">
        <w:rPr>
          <w:rFonts w:ascii="Arial" w:hAnsi="Arial" w:cs="Arial"/>
          <w:sz w:val="20"/>
          <w:szCs w:val="20"/>
        </w:rPr>
        <w:t>Scarborough</w:t>
      </w:r>
      <w:r w:rsidR="00243310">
        <w:rPr>
          <w:rFonts w:ascii="Arial" w:hAnsi="Arial" w:cs="Arial"/>
          <w:sz w:val="20"/>
          <w:szCs w:val="20"/>
        </w:rPr>
        <w:t>:</w:t>
      </w:r>
      <w:r w:rsidR="00243310" w:rsidRPr="00DA6CA4">
        <w:rPr>
          <w:rFonts w:ascii="Arial" w:hAnsi="Arial" w:cs="Arial"/>
          <w:sz w:val="20"/>
          <w:szCs w:val="20"/>
        </w:rPr>
        <w:t xml:space="preserve"> </w:t>
      </w:r>
      <w:r w:rsidRPr="00DA6CA4">
        <w:rPr>
          <w:rFonts w:ascii="Arial" w:hAnsi="Arial" w:cs="Arial"/>
          <w:sz w:val="20"/>
          <w:szCs w:val="20"/>
        </w:rPr>
        <w:t>University of Toronto</w:t>
      </w:r>
      <w:r w:rsidR="00243310">
        <w:rPr>
          <w:rFonts w:ascii="Arial" w:hAnsi="Arial" w:cs="Arial"/>
          <w:sz w:val="20"/>
          <w:szCs w:val="20"/>
        </w:rPr>
        <w:t>.</w:t>
      </w:r>
      <w:r w:rsidRPr="00DA6CA4">
        <w:rPr>
          <w:rFonts w:ascii="Arial" w:hAnsi="Arial" w:cs="Arial"/>
          <w:sz w:val="20"/>
          <w:szCs w:val="20"/>
        </w:rPr>
        <w:t xml:space="preserve"> </w:t>
      </w:r>
      <w:r w:rsidR="00243310">
        <w:rPr>
          <w:rFonts w:ascii="Arial" w:hAnsi="Arial" w:cs="Arial"/>
          <w:sz w:val="20"/>
          <w:szCs w:val="20"/>
        </w:rPr>
        <w:t>R</w:t>
      </w:r>
      <w:r w:rsidRPr="00DA6CA4">
        <w:rPr>
          <w:rFonts w:ascii="Arial" w:hAnsi="Arial" w:cs="Arial"/>
          <w:sz w:val="20"/>
          <w:szCs w:val="20"/>
        </w:rPr>
        <w:t xml:space="preserve">etrieved </w:t>
      </w:r>
      <w:r w:rsidR="00243310">
        <w:rPr>
          <w:rFonts w:ascii="Arial" w:hAnsi="Arial" w:cs="Arial"/>
          <w:sz w:val="20"/>
          <w:szCs w:val="20"/>
        </w:rPr>
        <w:t>November 20, 2013</w:t>
      </w:r>
      <w:r w:rsidRPr="00DA6CA4">
        <w:rPr>
          <w:rFonts w:ascii="Arial" w:hAnsi="Arial" w:cs="Arial"/>
          <w:sz w:val="20"/>
          <w:szCs w:val="20"/>
        </w:rPr>
        <w:t xml:space="preserve"> from </w:t>
      </w:r>
      <w:hyperlink r:id="rId11" w:history="1">
        <w:r w:rsidRPr="00D5435A">
          <w:rPr>
            <w:rStyle w:val="Hyperlink"/>
            <w:rFonts w:ascii="Arial" w:hAnsi="Arial" w:cs="Arial"/>
            <w:sz w:val="20"/>
            <w:szCs w:val="20"/>
          </w:rPr>
          <w:t>www.</w:t>
        </w:r>
        <w:r w:rsidRPr="00D5435A">
          <w:rPr>
            <w:rStyle w:val="Hyperlink"/>
            <w:rFonts w:ascii="Arial" w:hAnsi="Arial" w:cs="Arial"/>
            <w:b/>
            <w:bCs/>
            <w:sz w:val="20"/>
            <w:szCs w:val="20"/>
          </w:rPr>
          <w:t>oecd</w:t>
        </w:r>
        <w:r w:rsidRPr="00D5435A">
          <w:rPr>
            <w:rStyle w:val="Hyperlink"/>
            <w:rFonts w:ascii="Arial" w:hAnsi="Arial" w:cs="Arial"/>
            <w:sz w:val="20"/>
            <w:szCs w:val="20"/>
          </w:rPr>
          <w:t>.org/education/school/28123665.pdf</w:t>
        </w:r>
      </w:hyperlink>
      <w:r>
        <w:rPr>
          <w:rStyle w:val="HTMLCite"/>
          <w:rFonts w:ascii="Arial" w:hAnsi="Arial" w:cs="Arial"/>
          <w:sz w:val="20"/>
          <w:szCs w:val="20"/>
        </w:rPr>
        <w:t xml:space="preserve">. </w:t>
      </w:r>
    </w:p>
    <w:p w:rsidR="00CC64FF" w:rsidRDefault="00CC64FF" w:rsidP="00CC64FF">
      <w:pPr>
        <w:widowControl w:val="0"/>
        <w:rPr>
          <w:rFonts w:ascii="Arial" w:hAnsi="Arial" w:cs="Arial"/>
          <w:sz w:val="20"/>
          <w:szCs w:val="20"/>
        </w:rPr>
      </w:pPr>
      <w:proofErr w:type="spellStart"/>
      <w:r w:rsidRPr="00CC64FF">
        <w:rPr>
          <w:rFonts w:ascii="Arial" w:hAnsi="Arial" w:cs="Arial"/>
          <w:sz w:val="20"/>
          <w:szCs w:val="20"/>
        </w:rPr>
        <w:t>Degotardi</w:t>
      </w:r>
      <w:proofErr w:type="spellEnd"/>
      <w:r w:rsidRPr="00CC64FF">
        <w:rPr>
          <w:rFonts w:ascii="Arial" w:hAnsi="Arial" w:cs="Arial"/>
          <w:sz w:val="20"/>
          <w:szCs w:val="20"/>
        </w:rPr>
        <w:t>, S. (2010). High-quality interactions with infants:</w:t>
      </w:r>
      <w:r>
        <w:rPr>
          <w:rFonts w:ascii="Arial" w:hAnsi="Arial" w:cs="Arial"/>
          <w:sz w:val="20"/>
          <w:szCs w:val="20"/>
        </w:rPr>
        <w:t xml:space="preserve"> </w:t>
      </w:r>
      <w:r w:rsidRPr="00CC64FF">
        <w:rPr>
          <w:rFonts w:ascii="Arial" w:hAnsi="Arial" w:cs="Arial"/>
          <w:sz w:val="20"/>
          <w:szCs w:val="20"/>
        </w:rPr>
        <w:t>Relationships with early-childhood practitioners’ interpretations</w:t>
      </w:r>
      <w:r>
        <w:rPr>
          <w:rFonts w:ascii="Arial" w:hAnsi="Arial" w:cs="Arial"/>
          <w:sz w:val="20"/>
          <w:szCs w:val="20"/>
        </w:rPr>
        <w:t xml:space="preserve"> </w:t>
      </w:r>
      <w:r w:rsidRPr="00CC64FF">
        <w:rPr>
          <w:rFonts w:ascii="Arial" w:hAnsi="Arial" w:cs="Arial"/>
          <w:sz w:val="20"/>
          <w:szCs w:val="20"/>
        </w:rPr>
        <w:t>and qualification levels in play and routine contexts. International</w:t>
      </w:r>
      <w:r>
        <w:rPr>
          <w:rFonts w:ascii="Arial" w:hAnsi="Arial" w:cs="Arial"/>
          <w:sz w:val="20"/>
          <w:szCs w:val="20"/>
        </w:rPr>
        <w:t xml:space="preserve"> </w:t>
      </w:r>
      <w:r w:rsidRPr="00CC64FF">
        <w:rPr>
          <w:rFonts w:ascii="Arial" w:hAnsi="Arial" w:cs="Arial"/>
          <w:sz w:val="20"/>
          <w:szCs w:val="20"/>
        </w:rPr>
        <w:t>Journal of Early Years Education, 18(1), 27–41.</w:t>
      </w:r>
    </w:p>
    <w:p w:rsidR="003B50D5" w:rsidRDefault="003B50D5" w:rsidP="003B50D5">
      <w:pPr>
        <w:widowControl w:val="0"/>
        <w:rPr>
          <w:rFonts w:ascii="Arial" w:hAnsi="Arial" w:cs="Arial"/>
          <w:sz w:val="20"/>
          <w:szCs w:val="20"/>
        </w:rPr>
      </w:pPr>
      <w:r w:rsidRPr="00097E8C">
        <w:rPr>
          <w:rFonts w:ascii="Arial" w:hAnsi="Arial" w:cs="Arial"/>
          <w:sz w:val="20"/>
          <w:szCs w:val="20"/>
        </w:rPr>
        <w:t xml:space="preserve">Early Childhood Australia </w:t>
      </w:r>
      <w:r w:rsidR="00243310">
        <w:rPr>
          <w:rFonts w:ascii="Arial" w:hAnsi="Arial" w:cs="Arial"/>
          <w:sz w:val="20"/>
          <w:szCs w:val="20"/>
        </w:rPr>
        <w:t>(</w:t>
      </w:r>
      <w:r w:rsidRPr="00097E8C">
        <w:rPr>
          <w:rFonts w:ascii="Arial" w:hAnsi="Arial" w:cs="Arial"/>
          <w:sz w:val="20"/>
          <w:szCs w:val="20"/>
        </w:rPr>
        <w:t>2011</w:t>
      </w:r>
      <w:r w:rsidR="00243310">
        <w:rPr>
          <w:rFonts w:ascii="Arial" w:hAnsi="Arial" w:cs="Arial"/>
          <w:sz w:val="20"/>
          <w:szCs w:val="20"/>
        </w:rPr>
        <w:t>).</w:t>
      </w:r>
      <w:r w:rsidRPr="00097E8C">
        <w:rPr>
          <w:rFonts w:ascii="Arial" w:hAnsi="Arial" w:cs="Arial"/>
          <w:sz w:val="20"/>
          <w:szCs w:val="20"/>
        </w:rPr>
        <w:t xml:space="preserve"> Early childhood education and care in Australia</w:t>
      </w:r>
      <w:r w:rsidR="00243310">
        <w:rPr>
          <w:rFonts w:ascii="Arial" w:hAnsi="Arial" w:cs="Arial"/>
          <w:sz w:val="20"/>
          <w:szCs w:val="20"/>
        </w:rPr>
        <w:t>.</w:t>
      </w:r>
      <w:r w:rsidRPr="00DA6CA4">
        <w:rPr>
          <w:rFonts w:ascii="Arial" w:hAnsi="Arial" w:cs="Arial"/>
          <w:sz w:val="20"/>
          <w:szCs w:val="20"/>
        </w:rPr>
        <w:t xml:space="preserve"> </w:t>
      </w:r>
      <w:r w:rsidR="00243310" w:rsidRPr="00DA6CA4">
        <w:rPr>
          <w:rFonts w:ascii="Arial" w:hAnsi="Arial" w:cs="Arial"/>
          <w:sz w:val="20"/>
          <w:szCs w:val="20"/>
        </w:rPr>
        <w:t>Canberra</w:t>
      </w:r>
      <w:r w:rsidR="00243310">
        <w:rPr>
          <w:rFonts w:ascii="Arial" w:hAnsi="Arial" w:cs="Arial"/>
          <w:sz w:val="20"/>
          <w:szCs w:val="20"/>
        </w:rPr>
        <w:t>:</w:t>
      </w:r>
      <w:r w:rsidR="00243310" w:rsidRPr="00DA6CA4">
        <w:rPr>
          <w:rFonts w:ascii="Arial" w:hAnsi="Arial" w:cs="Arial"/>
          <w:sz w:val="20"/>
          <w:szCs w:val="20"/>
        </w:rPr>
        <w:t xml:space="preserve"> </w:t>
      </w:r>
      <w:r w:rsidRPr="00DA6CA4">
        <w:rPr>
          <w:rFonts w:ascii="Arial" w:hAnsi="Arial" w:cs="Arial"/>
          <w:sz w:val="20"/>
          <w:szCs w:val="20"/>
        </w:rPr>
        <w:t>Commonwealth of Australia.</w:t>
      </w:r>
    </w:p>
    <w:p w:rsidR="003B50D5" w:rsidRPr="00097E8C" w:rsidRDefault="003B50D5" w:rsidP="003B50D5">
      <w:pPr>
        <w:widowControl w:val="0"/>
        <w:rPr>
          <w:rFonts w:ascii="Arial" w:hAnsi="Arial" w:cs="Arial"/>
          <w:sz w:val="20"/>
          <w:szCs w:val="20"/>
        </w:rPr>
      </w:pPr>
      <w:r>
        <w:rPr>
          <w:rFonts w:ascii="Arial" w:hAnsi="Arial" w:cs="Arial"/>
          <w:sz w:val="20"/>
          <w:szCs w:val="20"/>
        </w:rPr>
        <w:t>Elliott, A.</w:t>
      </w:r>
      <w:r w:rsidR="00243310">
        <w:rPr>
          <w:rFonts w:ascii="Arial" w:hAnsi="Arial" w:cs="Arial"/>
          <w:sz w:val="20"/>
          <w:szCs w:val="20"/>
        </w:rPr>
        <w:t>(</w:t>
      </w:r>
      <w:r>
        <w:rPr>
          <w:rFonts w:ascii="Arial" w:hAnsi="Arial" w:cs="Arial"/>
          <w:sz w:val="20"/>
          <w:szCs w:val="20"/>
        </w:rPr>
        <w:t>2006</w:t>
      </w:r>
      <w:r w:rsidR="00243310">
        <w:rPr>
          <w:rFonts w:ascii="Arial" w:hAnsi="Arial" w:cs="Arial"/>
          <w:sz w:val="20"/>
          <w:szCs w:val="20"/>
        </w:rPr>
        <w:t>).</w:t>
      </w:r>
      <w:r>
        <w:rPr>
          <w:rFonts w:ascii="Arial" w:hAnsi="Arial" w:cs="Arial"/>
          <w:sz w:val="20"/>
          <w:szCs w:val="20"/>
        </w:rPr>
        <w:t xml:space="preserve"> ‘</w:t>
      </w:r>
      <w:r w:rsidR="00243310">
        <w:rPr>
          <w:rFonts w:ascii="Arial" w:hAnsi="Arial" w:cs="Arial"/>
          <w:i/>
          <w:sz w:val="20"/>
          <w:szCs w:val="20"/>
        </w:rPr>
        <w:t>Early childhood education’.</w:t>
      </w:r>
      <w:r>
        <w:rPr>
          <w:rFonts w:ascii="Arial" w:hAnsi="Arial" w:cs="Arial"/>
          <w:i/>
          <w:sz w:val="20"/>
          <w:szCs w:val="20"/>
        </w:rPr>
        <w:t xml:space="preserve"> </w:t>
      </w:r>
      <w:proofErr w:type="spellStart"/>
      <w:r w:rsidR="00243310">
        <w:rPr>
          <w:rFonts w:ascii="Arial" w:hAnsi="Arial" w:cs="Arial"/>
          <w:sz w:val="20"/>
          <w:szCs w:val="20"/>
        </w:rPr>
        <w:t>Camberwell</w:t>
      </w:r>
      <w:proofErr w:type="spellEnd"/>
      <w:r w:rsidR="00243310">
        <w:rPr>
          <w:rFonts w:ascii="Arial" w:hAnsi="Arial" w:cs="Arial"/>
          <w:sz w:val="20"/>
          <w:szCs w:val="20"/>
        </w:rPr>
        <w:t xml:space="preserve">, Victoria: </w:t>
      </w:r>
      <w:r>
        <w:rPr>
          <w:rFonts w:ascii="Arial" w:hAnsi="Arial" w:cs="Arial"/>
          <w:sz w:val="20"/>
          <w:szCs w:val="20"/>
        </w:rPr>
        <w:t>ACER Press</w:t>
      </w:r>
      <w:r w:rsidR="00243310">
        <w:rPr>
          <w:rFonts w:ascii="Arial" w:hAnsi="Arial" w:cs="Arial"/>
          <w:sz w:val="20"/>
          <w:szCs w:val="20"/>
        </w:rPr>
        <w:t>.</w:t>
      </w:r>
    </w:p>
    <w:p w:rsidR="00CC64FF" w:rsidRDefault="00CC64FF" w:rsidP="00CC64FF">
      <w:pPr>
        <w:pStyle w:val="Heading1"/>
        <w:rPr>
          <w:rFonts w:ascii="Arial" w:hAnsi="Arial" w:cs="Arial"/>
          <w:b w:val="0"/>
          <w:sz w:val="20"/>
          <w:szCs w:val="20"/>
        </w:rPr>
      </w:pPr>
      <w:proofErr w:type="spellStart"/>
      <w:r w:rsidRPr="00CC64FF">
        <w:rPr>
          <w:rFonts w:ascii="Arial" w:hAnsi="Arial" w:cs="Arial"/>
          <w:b w:val="0"/>
          <w:sz w:val="20"/>
          <w:szCs w:val="20"/>
        </w:rPr>
        <w:t>Fenech</w:t>
      </w:r>
      <w:proofErr w:type="spellEnd"/>
      <w:r w:rsidRPr="00CC64FF">
        <w:rPr>
          <w:rFonts w:ascii="Arial" w:hAnsi="Arial" w:cs="Arial"/>
          <w:b w:val="0"/>
          <w:sz w:val="20"/>
          <w:szCs w:val="20"/>
        </w:rPr>
        <w:t xml:space="preserve">, </w:t>
      </w:r>
      <w:proofErr w:type="spellStart"/>
      <w:r w:rsidRPr="00CC64FF">
        <w:rPr>
          <w:rFonts w:ascii="Arial" w:hAnsi="Arial" w:cs="Arial"/>
          <w:b w:val="0"/>
          <w:sz w:val="20"/>
          <w:szCs w:val="20"/>
        </w:rPr>
        <w:t>Guigni</w:t>
      </w:r>
      <w:proofErr w:type="spellEnd"/>
      <w:r w:rsidRPr="00CC64FF">
        <w:rPr>
          <w:rFonts w:ascii="Arial" w:hAnsi="Arial" w:cs="Arial"/>
          <w:b w:val="0"/>
          <w:sz w:val="20"/>
          <w:szCs w:val="20"/>
        </w:rPr>
        <w:t xml:space="preserve"> &amp; Brown </w:t>
      </w:r>
      <w:r w:rsidR="00243310">
        <w:rPr>
          <w:rFonts w:ascii="Arial" w:hAnsi="Arial" w:cs="Arial"/>
          <w:b w:val="0"/>
          <w:sz w:val="20"/>
          <w:szCs w:val="20"/>
        </w:rPr>
        <w:t>(</w:t>
      </w:r>
      <w:r w:rsidRPr="00CC64FF">
        <w:rPr>
          <w:rFonts w:ascii="Arial" w:hAnsi="Arial" w:cs="Arial"/>
          <w:b w:val="0"/>
          <w:sz w:val="20"/>
          <w:szCs w:val="20"/>
        </w:rPr>
        <w:t>2012</w:t>
      </w:r>
      <w:r w:rsidR="00243310">
        <w:rPr>
          <w:rFonts w:ascii="Arial" w:hAnsi="Arial" w:cs="Arial"/>
          <w:b w:val="0"/>
          <w:sz w:val="20"/>
          <w:szCs w:val="20"/>
        </w:rPr>
        <w:t>).</w:t>
      </w:r>
      <w:r w:rsidR="004677F4">
        <w:rPr>
          <w:rFonts w:ascii="Arial" w:hAnsi="Arial" w:cs="Arial"/>
          <w:b w:val="0"/>
          <w:sz w:val="20"/>
          <w:szCs w:val="20"/>
        </w:rPr>
        <w:t xml:space="preserve"> A critical analysis of the National Quality Framework: Mobilising for a vision for children beyond minimum standards</w:t>
      </w:r>
      <w:r w:rsidR="00243310">
        <w:rPr>
          <w:rFonts w:ascii="Arial" w:hAnsi="Arial" w:cs="Arial"/>
          <w:b w:val="0"/>
          <w:sz w:val="20"/>
          <w:szCs w:val="20"/>
        </w:rPr>
        <w:t>.</w:t>
      </w:r>
      <w:r w:rsidR="004677F4">
        <w:rPr>
          <w:rFonts w:ascii="Arial" w:hAnsi="Arial" w:cs="Arial"/>
          <w:b w:val="0"/>
          <w:sz w:val="20"/>
          <w:szCs w:val="20"/>
        </w:rPr>
        <w:t xml:space="preserve"> </w:t>
      </w:r>
      <w:r w:rsidR="004677F4" w:rsidRPr="004677F4">
        <w:rPr>
          <w:rFonts w:ascii="Arial" w:hAnsi="Arial" w:cs="Arial"/>
          <w:b w:val="0"/>
          <w:sz w:val="20"/>
          <w:szCs w:val="20"/>
        </w:rPr>
        <w:t xml:space="preserve">Australasian </w:t>
      </w:r>
      <w:r w:rsidR="00243310">
        <w:rPr>
          <w:rFonts w:ascii="Arial" w:hAnsi="Arial" w:cs="Arial"/>
          <w:b w:val="0"/>
          <w:sz w:val="20"/>
          <w:szCs w:val="20"/>
        </w:rPr>
        <w:t>Journal of Early Childhood.</w:t>
      </w:r>
      <w:r w:rsidR="004677F4" w:rsidRPr="004677F4">
        <w:rPr>
          <w:rFonts w:ascii="Arial" w:hAnsi="Arial" w:cs="Arial"/>
          <w:b w:val="0"/>
          <w:sz w:val="20"/>
          <w:szCs w:val="20"/>
        </w:rPr>
        <w:t xml:space="preserve"> </w:t>
      </w:r>
      <w:r w:rsidR="004677F4" w:rsidRPr="00243310">
        <w:rPr>
          <w:rFonts w:ascii="Arial" w:hAnsi="Arial" w:cs="Arial"/>
          <w:b w:val="0"/>
          <w:i/>
          <w:sz w:val="20"/>
          <w:szCs w:val="20"/>
        </w:rPr>
        <w:t>37</w:t>
      </w:r>
      <w:r w:rsidR="00243310">
        <w:rPr>
          <w:rFonts w:ascii="Arial" w:hAnsi="Arial" w:cs="Arial"/>
          <w:b w:val="0"/>
          <w:sz w:val="20"/>
          <w:szCs w:val="20"/>
        </w:rPr>
        <w:t>(</w:t>
      </w:r>
      <w:r w:rsidR="004677F4" w:rsidRPr="004677F4">
        <w:rPr>
          <w:rFonts w:ascii="Arial" w:hAnsi="Arial" w:cs="Arial"/>
          <w:b w:val="0"/>
          <w:sz w:val="20"/>
          <w:szCs w:val="20"/>
        </w:rPr>
        <w:t>4</w:t>
      </w:r>
      <w:r w:rsidR="00243310">
        <w:rPr>
          <w:rFonts w:ascii="Arial" w:hAnsi="Arial" w:cs="Arial"/>
          <w:b w:val="0"/>
          <w:sz w:val="20"/>
          <w:szCs w:val="20"/>
        </w:rPr>
        <w:t xml:space="preserve">), </w:t>
      </w:r>
      <w:r w:rsidR="004677F4" w:rsidRPr="004677F4">
        <w:rPr>
          <w:rFonts w:ascii="Arial" w:hAnsi="Arial" w:cs="Arial"/>
          <w:b w:val="0"/>
          <w:sz w:val="20"/>
          <w:szCs w:val="20"/>
        </w:rPr>
        <w:t>5-14</w:t>
      </w:r>
      <w:r w:rsidR="004677F4">
        <w:rPr>
          <w:rFonts w:ascii="Arial" w:hAnsi="Arial" w:cs="Arial"/>
          <w:b w:val="0"/>
          <w:sz w:val="20"/>
          <w:szCs w:val="20"/>
        </w:rPr>
        <w:t>.</w:t>
      </w:r>
    </w:p>
    <w:p w:rsidR="00CC64FF" w:rsidRDefault="00CC64FF" w:rsidP="00CC64FF">
      <w:pPr>
        <w:pStyle w:val="Heading1"/>
        <w:rPr>
          <w:rFonts w:ascii="Arial" w:hAnsi="Arial" w:cs="Arial"/>
          <w:b w:val="0"/>
          <w:sz w:val="20"/>
          <w:szCs w:val="20"/>
        </w:rPr>
      </w:pPr>
    </w:p>
    <w:p w:rsidR="00CC64FF" w:rsidRPr="00CC64FF" w:rsidRDefault="00CC64FF" w:rsidP="00CC64FF">
      <w:pPr>
        <w:pStyle w:val="Heading1"/>
        <w:rPr>
          <w:rFonts w:ascii="Arial" w:hAnsi="Arial" w:cs="Arial"/>
          <w:b w:val="0"/>
          <w:sz w:val="20"/>
          <w:szCs w:val="20"/>
        </w:rPr>
      </w:pPr>
      <w:proofErr w:type="spellStart"/>
      <w:r w:rsidRPr="00CC64FF">
        <w:rPr>
          <w:rFonts w:ascii="Arial" w:hAnsi="Arial" w:cs="Arial"/>
          <w:b w:val="0"/>
          <w:sz w:val="20"/>
          <w:szCs w:val="20"/>
        </w:rPr>
        <w:t>Goelman</w:t>
      </w:r>
      <w:proofErr w:type="spellEnd"/>
      <w:r w:rsidRPr="00CC64FF">
        <w:rPr>
          <w:rFonts w:ascii="Arial" w:hAnsi="Arial" w:cs="Arial"/>
          <w:b w:val="0"/>
          <w:sz w:val="20"/>
          <w:szCs w:val="20"/>
        </w:rPr>
        <w:t xml:space="preserve">, H., </w:t>
      </w:r>
      <w:proofErr w:type="spellStart"/>
      <w:r w:rsidRPr="00CC64FF">
        <w:rPr>
          <w:rFonts w:ascii="Arial" w:hAnsi="Arial" w:cs="Arial"/>
          <w:b w:val="0"/>
          <w:sz w:val="20"/>
          <w:szCs w:val="20"/>
        </w:rPr>
        <w:t>Forer</w:t>
      </w:r>
      <w:proofErr w:type="spellEnd"/>
      <w:r w:rsidRPr="00CC64FF">
        <w:rPr>
          <w:rFonts w:ascii="Arial" w:hAnsi="Arial" w:cs="Arial"/>
          <w:b w:val="0"/>
          <w:sz w:val="20"/>
          <w:szCs w:val="20"/>
        </w:rPr>
        <w:t xml:space="preserve">, B., </w:t>
      </w:r>
      <w:proofErr w:type="spellStart"/>
      <w:r w:rsidRPr="00CC64FF">
        <w:rPr>
          <w:rFonts w:ascii="Arial" w:hAnsi="Arial" w:cs="Arial"/>
          <w:b w:val="0"/>
          <w:sz w:val="20"/>
          <w:szCs w:val="20"/>
        </w:rPr>
        <w:t>Kershawa</w:t>
      </w:r>
      <w:proofErr w:type="spellEnd"/>
      <w:r w:rsidRPr="00CC64FF">
        <w:rPr>
          <w:rFonts w:ascii="Arial" w:hAnsi="Arial" w:cs="Arial"/>
          <w:b w:val="0"/>
          <w:sz w:val="20"/>
          <w:szCs w:val="20"/>
        </w:rPr>
        <w:t xml:space="preserve">, P., Doherty, G., </w:t>
      </w:r>
      <w:proofErr w:type="spellStart"/>
      <w:r w:rsidRPr="00CC64FF">
        <w:rPr>
          <w:rFonts w:ascii="Arial" w:hAnsi="Arial" w:cs="Arial"/>
          <w:b w:val="0"/>
          <w:sz w:val="20"/>
          <w:szCs w:val="20"/>
        </w:rPr>
        <w:t>Lero</w:t>
      </w:r>
      <w:proofErr w:type="spellEnd"/>
      <w:r w:rsidRPr="00CC64FF">
        <w:rPr>
          <w:rFonts w:ascii="Arial" w:hAnsi="Arial" w:cs="Arial"/>
          <w:b w:val="0"/>
          <w:sz w:val="20"/>
          <w:szCs w:val="20"/>
        </w:rPr>
        <w:t>, D., &amp;</w:t>
      </w:r>
      <w:r>
        <w:rPr>
          <w:rFonts w:ascii="Arial" w:hAnsi="Arial" w:cs="Arial"/>
          <w:b w:val="0"/>
          <w:sz w:val="20"/>
          <w:szCs w:val="20"/>
        </w:rPr>
        <w:t xml:space="preserve"> </w:t>
      </w:r>
      <w:r w:rsidRPr="00CC64FF">
        <w:rPr>
          <w:rFonts w:ascii="Arial" w:hAnsi="Arial" w:cs="Arial"/>
          <w:b w:val="0"/>
          <w:sz w:val="20"/>
          <w:szCs w:val="20"/>
        </w:rPr>
        <w:t>LaGrange, A. (2006). Towards a predictive model of quality in</w:t>
      </w:r>
      <w:r>
        <w:rPr>
          <w:rFonts w:ascii="Arial" w:hAnsi="Arial" w:cs="Arial"/>
          <w:b w:val="0"/>
          <w:sz w:val="20"/>
          <w:szCs w:val="20"/>
        </w:rPr>
        <w:t xml:space="preserve"> </w:t>
      </w:r>
      <w:r w:rsidRPr="00CC64FF">
        <w:rPr>
          <w:rFonts w:ascii="Arial" w:hAnsi="Arial" w:cs="Arial"/>
          <w:b w:val="0"/>
          <w:sz w:val="20"/>
          <w:szCs w:val="20"/>
        </w:rPr>
        <w:t xml:space="preserve">Canadian child care </w:t>
      </w:r>
      <w:proofErr w:type="spellStart"/>
      <w:r w:rsidRPr="00CC64FF">
        <w:rPr>
          <w:rFonts w:ascii="Arial" w:hAnsi="Arial" w:cs="Arial"/>
          <w:b w:val="0"/>
          <w:sz w:val="20"/>
          <w:szCs w:val="20"/>
        </w:rPr>
        <w:t>centers</w:t>
      </w:r>
      <w:proofErr w:type="spellEnd"/>
      <w:r w:rsidRPr="00CC64FF">
        <w:rPr>
          <w:rFonts w:ascii="Arial" w:hAnsi="Arial" w:cs="Arial"/>
          <w:b w:val="0"/>
          <w:sz w:val="20"/>
          <w:szCs w:val="20"/>
        </w:rPr>
        <w:t>. Early Childhood Research Quarterly,</w:t>
      </w:r>
    </w:p>
    <w:p w:rsidR="00CC64FF" w:rsidRDefault="00CC64FF" w:rsidP="00CC64FF">
      <w:pPr>
        <w:pStyle w:val="Heading1"/>
        <w:spacing w:after="200"/>
        <w:rPr>
          <w:rFonts w:ascii="Arial" w:hAnsi="Arial" w:cs="Arial"/>
          <w:b w:val="0"/>
          <w:sz w:val="20"/>
          <w:szCs w:val="20"/>
        </w:rPr>
      </w:pPr>
      <w:r w:rsidRPr="00CC64FF">
        <w:rPr>
          <w:rFonts w:ascii="Arial" w:hAnsi="Arial" w:cs="Arial"/>
          <w:b w:val="0"/>
          <w:sz w:val="20"/>
          <w:szCs w:val="20"/>
        </w:rPr>
        <w:t>(21), 280–295.</w:t>
      </w:r>
    </w:p>
    <w:p w:rsidR="00F243F6" w:rsidRDefault="00F243F6" w:rsidP="003B50D5">
      <w:pPr>
        <w:pStyle w:val="Heading1"/>
        <w:spacing w:after="200"/>
        <w:rPr>
          <w:rFonts w:ascii="Arial" w:hAnsi="Arial" w:cs="Arial"/>
          <w:b w:val="0"/>
          <w:sz w:val="20"/>
          <w:szCs w:val="20"/>
        </w:rPr>
      </w:pPr>
      <w:r w:rsidRPr="00F243F6">
        <w:rPr>
          <w:rFonts w:ascii="Arial" w:hAnsi="Arial" w:cs="Arial"/>
          <w:b w:val="0"/>
          <w:sz w:val="20"/>
          <w:szCs w:val="20"/>
        </w:rPr>
        <w:t>Harrison, L. (2008). Does child care quality matter? Associations between socio-emotional development and non-parental child care in a representative sample of Australian children. Family Matters, 79, 14-25.</w:t>
      </w:r>
    </w:p>
    <w:p w:rsidR="00AB6ECE" w:rsidRDefault="00AB6ECE" w:rsidP="003B50D5">
      <w:pPr>
        <w:pStyle w:val="Heading1"/>
        <w:spacing w:after="200"/>
        <w:rPr>
          <w:rFonts w:ascii="Arial" w:hAnsi="Arial" w:cs="Arial"/>
          <w:b w:val="0"/>
          <w:sz w:val="20"/>
          <w:szCs w:val="20"/>
        </w:rPr>
      </w:pPr>
      <w:r w:rsidRPr="00AB6ECE">
        <w:rPr>
          <w:rFonts w:ascii="Arial" w:hAnsi="Arial" w:cs="Arial"/>
          <w:b w:val="0"/>
          <w:sz w:val="20"/>
          <w:szCs w:val="20"/>
        </w:rPr>
        <w:t xml:space="preserve">National Scientific Council on the Developing Child </w:t>
      </w:r>
      <w:r w:rsidR="00243310">
        <w:rPr>
          <w:rFonts w:ascii="Arial" w:hAnsi="Arial" w:cs="Arial"/>
          <w:b w:val="0"/>
          <w:sz w:val="20"/>
          <w:szCs w:val="20"/>
        </w:rPr>
        <w:t>(</w:t>
      </w:r>
      <w:r w:rsidRPr="00AB6ECE">
        <w:rPr>
          <w:rFonts w:ascii="Arial" w:hAnsi="Arial" w:cs="Arial"/>
          <w:b w:val="0"/>
          <w:sz w:val="20"/>
          <w:szCs w:val="20"/>
        </w:rPr>
        <w:t>2012</w:t>
      </w:r>
      <w:r w:rsidR="00243310">
        <w:rPr>
          <w:rFonts w:ascii="Arial" w:hAnsi="Arial" w:cs="Arial"/>
          <w:b w:val="0"/>
          <w:sz w:val="20"/>
          <w:szCs w:val="20"/>
        </w:rPr>
        <w:t>).</w:t>
      </w:r>
      <w:r>
        <w:rPr>
          <w:rFonts w:ascii="Arial" w:hAnsi="Arial" w:cs="Arial"/>
          <w:b w:val="0"/>
          <w:sz w:val="20"/>
          <w:szCs w:val="20"/>
        </w:rPr>
        <w:t xml:space="preserve"> ‘The Science of Neglect: The persistent absence of responsive care</w:t>
      </w:r>
      <w:r w:rsidR="00243310">
        <w:rPr>
          <w:rFonts w:ascii="Arial" w:hAnsi="Arial" w:cs="Arial"/>
          <w:b w:val="0"/>
          <w:sz w:val="20"/>
          <w:szCs w:val="20"/>
        </w:rPr>
        <w:t xml:space="preserve"> disrupts the developing brain’.</w:t>
      </w:r>
      <w:r>
        <w:rPr>
          <w:rFonts w:ascii="Arial" w:hAnsi="Arial" w:cs="Arial"/>
          <w:b w:val="0"/>
          <w:sz w:val="20"/>
          <w:szCs w:val="20"/>
        </w:rPr>
        <w:t xml:space="preserve"> Working Paper 12, </w:t>
      </w:r>
      <w:r w:rsidR="00243310">
        <w:rPr>
          <w:rFonts w:ascii="Arial" w:hAnsi="Arial" w:cs="Arial"/>
          <w:b w:val="0"/>
          <w:sz w:val="20"/>
          <w:szCs w:val="20"/>
        </w:rPr>
        <w:t xml:space="preserve">Harvard University: </w:t>
      </w:r>
      <w:r>
        <w:rPr>
          <w:rFonts w:ascii="Arial" w:hAnsi="Arial" w:cs="Arial"/>
          <w:b w:val="0"/>
          <w:sz w:val="20"/>
          <w:szCs w:val="20"/>
        </w:rPr>
        <w:t>Center on the Developing Child.</w:t>
      </w:r>
    </w:p>
    <w:p w:rsidR="003B50D5" w:rsidRPr="00DA6CA4" w:rsidRDefault="003B50D5" w:rsidP="003B50D5">
      <w:pPr>
        <w:pStyle w:val="Heading1"/>
        <w:spacing w:after="200"/>
        <w:rPr>
          <w:rFonts w:ascii="Arial" w:hAnsi="Arial" w:cs="Arial"/>
          <w:b w:val="0"/>
          <w:sz w:val="20"/>
          <w:szCs w:val="20"/>
        </w:rPr>
      </w:pPr>
      <w:r w:rsidRPr="00DA6CA4">
        <w:rPr>
          <w:rFonts w:ascii="Arial" w:hAnsi="Arial" w:cs="Arial"/>
          <w:b w:val="0"/>
          <w:sz w:val="20"/>
          <w:szCs w:val="20"/>
        </w:rPr>
        <w:t xml:space="preserve">OECD, Starting Strong III: A Quality Toolbox for ECEC – Action area 1: Using research to inform policy and the public, retrieved 17 January, 2014 from </w:t>
      </w:r>
      <w:hyperlink r:id="rId12" w:history="1">
        <w:r w:rsidRPr="00DA6CA4">
          <w:rPr>
            <w:rStyle w:val="Hyperlink"/>
            <w:rFonts w:ascii="Arial" w:hAnsi="Arial" w:cs="Arial"/>
            <w:b w:val="0"/>
            <w:color w:val="auto"/>
            <w:sz w:val="20"/>
            <w:szCs w:val="20"/>
          </w:rPr>
          <w:t>http://www.oecd.org/edu/school/startingstrongiiiaqualitytoolboxforececactionarea1usingresearchtoinformpolicyandthepublic.htm</w:t>
        </w:r>
      </w:hyperlink>
      <w:r>
        <w:t xml:space="preserve">.  </w:t>
      </w:r>
      <w:r w:rsidRPr="00DA6CA4">
        <w:rPr>
          <w:rFonts w:ascii="Arial" w:hAnsi="Arial" w:cs="Arial"/>
          <w:b w:val="0"/>
          <w:sz w:val="20"/>
          <w:szCs w:val="20"/>
        </w:rPr>
        <w:t xml:space="preserve"> </w:t>
      </w:r>
    </w:p>
    <w:p w:rsidR="00CC64FF" w:rsidRDefault="00CC64FF" w:rsidP="00CC64FF">
      <w:pPr>
        <w:widowControl w:val="0"/>
        <w:rPr>
          <w:rFonts w:ascii="Arial" w:hAnsi="Arial" w:cs="Arial"/>
          <w:sz w:val="20"/>
          <w:szCs w:val="20"/>
          <w:lang w:val="en-AU"/>
        </w:rPr>
      </w:pPr>
      <w:r>
        <w:rPr>
          <w:rFonts w:ascii="Arial" w:hAnsi="Arial" w:cs="Arial"/>
          <w:sz w:val="20"/>
          <w:szCs w:val="20"/>
          <w:lang w:val="en-AU"/>
        </w:rPr>
        <w:t xml:space="preserve">Rinaldi, C. </w:t>
      </w:r>
      <w:r w:rsidR="00243310">
        <w:rPr>
          <w:rFonts w:ascii="Arial" w:hAnsi="Arial" w:cs="Arial"/>
          <w:sz w:val="20"/>
          <w:szCs w:val="20"/>
          <w:lang w:val="en-AU"/>
        </w:rPr>
        <w:t>(</w:t>
      </w:r>
      <w:r>
        <w:rPr>
          <w:rFonts w:ascii="Arial" w:hAnsi="Arial" w:cs="Arial"/>
          <w:sz w:val="20"/>
          <w:szCs w:val="20"/>
          <w:lang w:val="en-AU"/>
        </w:rPr>
        <w:t>2013</w:t>
      </w:r>
      <w:r w:rsidR="00243310">
        <w:rPr>
          <w:rFonts w:ascii="Arial" w:hAnsi="Arial" w:cs="Arial"/>
          <w:sz w:val="20"/>
          <w:szCs w:val="20"/>
          <w:lang w:val="en-AU"/>
        </w:rPr>
        <w:t>)</w:t>
      </w:r>
      <w:r>
        <w:rPr>
          <w:rFonts w:ascii="Arial" w:hAnsi="Arial" w:cs="Arial"/>
          <w:sz w:val="20"/>
          <w:szCs w:val="20"/>
          <w:lang w:val="en-AU"/>
        </w:rPr>
        <w:t xml:space="preserve">. Re-imagining Childhood The inspiration of Reggio Emilia education principles in </w:t>
      </w:r>
      <w:r w:rsidRPr="00097E8C">
        <w:rPr>
          <w:rFonts w:ascii="Arial" w:hAnsi="Arial" w:cs="Arial"/>
          <w:sz w:val="20"/>
          <w:szCs w:val="20"/>
          <w:lang w:val="en-AU"/>
        </w:rPr>
        <w:t>South Australia</w:t>
      </w:r>
      <w:r w:rsidR="00243310">
        <w:rPr>
          <w:rFonts w:ascii="Arial" w:hAnsi="Arial" w:cs="Arial"/>
          <w:sz w:val="20"/>
          <w:szCs w:val="20"/>
          <w:lang w:val="en-AU"/>
        </w:rPr>
        <w:t>:</w:t>
      </w:r>
      <w:r w:rsidRPr="00097E8C">
        <w:rPr>
          <w:rFonts w:ascii="Arial" w:hAnsi="Arial" w:cs="Arial"/>
          <w:sz w:val="20"/>
          <w:szCs w:val="20"/>
          <w:lang w:val="en-AU"/>
        </w:rPr>
        <w:t xml:space="preserve"> Adelaide Thinkers in Residence</w:t>
      </w:r>
      <w:r>
        <w:rPr>
          <w:rFonts w:ascii="Arial" w:hAnsi="Arial" w:cs="Arial"/>
          <w:sz w:val="20"/>
          <w:szCs w:val="20"/>
          <w:lang w:val="en-AU"/>
        </w:rPr>
        <w:t xml:space="preserve">. </w:t>
      </w:r>
    </w:p>
    <w:p w:rsidR="00CC64FF" w:rsidRDefault="00CC64FF" w:rsidP="00CC64FF">
      <w:pPr>
        <w:widowControl w:val="0"/>
        <w:rPr>
          <w:rFonts w:ascii="Arial" w:hAnsi="Arial" w:cs="Arial"/>
          <w:sz w:val="20"/>
          <w:szCs w:val="20"/>
          <w:lang w:val="en-AU"/>
        </w:rPr>
      </w:pPr>
      <w:proofErr w:type="spellStart"/>
      <w:r>
        <w:rPr>
          <w:rFonts w:ascii="Arial" w:hAnsi="Arial" w:cs="Arial"/>
          <w:sz w:val="20"/>
          <w:szCs w:val="20"/>
          <w:lang w:val="en-AU"/>
        </w:rPr>
        <w:t>Shonkoff</w:t>
      </w:r>
      <w:proofErr w:type="spellEnd"/>
      <w:r>
        <w:rPr>
          <w:rFonts w:ascii="Arial" w:hAnsi="Arial" w:cs="Arial"/>
          <w:sz w:val="20"/>
          <w:szCs w:val="20"/>
          <w:lang w:val="en-AU"/>
        </w:rPr>
        <w:t xml:space="preserve">, J. </w:t>
      </w:r>
      <w:r w:rsidR="00243310">
        <w:rPr>
          <w:rFonts w:ascii="Arial" w:hAnsi="Arial" w:cs="Arial"/>
          <w:sz w:val="20"/>
          <w:szCs w:val="20"/>
          <w:lang w:val="en-AU"/>
        </w:rPr>
        <w:t>(</w:t>
      </w:r>
      <w:r>
        <w:rPr>
          <w:rFonts w:ascii="Arial" w:hAnsi="Arial" w:cs="Arial"/>
          <w:sz w:val="20"/>
          <w:szCs w:val="20"/>
          <w:lang w:val="en-AU"/>
        </w:rPr>
        <w:t>2007</w:t>
      </w:r>
      <w:r w:rsidR="00243310">
        <w:rPr>
          <w:rFonts w:ascii="Arial" w:hAnsi="Arial" w:cs="Arial"/>
          <w:sz w:val="20"/>
          <w:szCs w:val="20"/>
          <w:lang w:val="en-AU"/>
        </w:rPr>
        <w:t>).</w:t>
      </w:r>
      <w:r>
        <w:rPr>
          <w:rFonts w:ascii="Arial" w:hAnsi="Arial" w:cs="Arial"/>
          <w:sz w:val="20"/>
          <w:szCs w:val="20"/>
          <w:lang w:val="en-AU"/>
        </w:rPr>
        <w:t xml:space="preserve"> The science of early childhood development: closing the gap between what we know and what we do</w:t>
      </w:r>
      <w:r w:rsidR="00243310">
        <w:rPr>
          <w:rFonts w:ascii="Arial" w:hAnsi="Arial" w:cs="Arial"/>
          <w:sz w:val="20"/>
          <w:szCs w:val="20"/>
          <w:lang w:val="en-AU"/>
        </w:rPr>
        <w:t>.</w:t>
      </w:r>
      <w:r>
        <w:rPr>
          <w:rFonts w:ascii="Arial" w:hAnsi="Arial" w:cs="Arial"/>
          <w:sz w:val="20"/>
          <w:szCs w:val="20"/>
          <w:lang w:val="en-AU"/>
        </w:rPr>
        <w:t xml:space="preserve"> </w:t>
      </w:r>
      <w:r w:rsidR="00243310">
        <w:rPr>
          <w:rFonts w:ascii="Arial" w:hAnsi="Arial" w:cs="Arial"/>
          <w:sz w:val="20"/>
          <w:szCs w:val="20"/>
          <w:lang w:val="en-AU"/>
        </w:rPr>
        <w:t>R</w:t>
      </w:r>
      <w:r>
        <w:rPr>
          <w:rFonts w:ascii="Arial" w:hAnsi="Arial" w:cs="Arial"/>
          <w:sz w:val="20"/>
          <w:szCs w:val="20"/>
          <w:lang w:val="en-AU"/>
        </w:rPr>
        <w:t>etrieved 18 January</w:t>
      </w:r>
      <w:r w:rsidR="00243310">
        <w:rPr>
          <w:rFonts w:ascii="Arial" w:hAnsi="Arial" w:cs="Arial"/>
          <w:sz w:val="20"/>
          <w:szCs w:val="20"/>
          <w:lang w:val="en-AU"/>
        </w:rPr>
        <w:t>, 2014</w:t>
      </w:r>
      <w:r>
        <w:rPr>
          <w:rFonts w:ascii="Arial" w:hAnsi="Arial" w:cs="Arial"/>
          <w:sz w:val="20"/>
          <w:szCs w:val="20"/>
          <w:lang w:val="en-AU"/>
        </w:rPr>
        <w:t xml:space="preserve"> from </w:t>
      </w:r>
      <w:hyperlink r:id="rId13" w:history="1">
        <w:r w:rsidRPr="00455146">
          <w:rPr>
            <w:rStyle w:val="Hyperlink"/>
            <w:rFonts w:ascii="Arial" w:hAnsi="Arial" w:cs="Arial"/>
            <w:sz w:val="20"/>
            <w:szCs w:val="20"/>
            <w:lang w:val="en-AU"/>
          </w:rPr>
          <w:t>http://www.childrennh.org/documents/NSFontheDevelopingChild.pdf</w:t>
        </w:r>
      </w:hyperlink>
      <w:r>
        <w:t>.</w:t>
      </w:r>
    </w:p>
    <w:p w:rsidR="003B50D5" w:rsidRPr="003B50D5" w:rsidRDefault="00CC64FF" w:rsidP="00CC64FF">
      <w:pPr>
        <w:rPr>
          <w:szCs w:val="18"/>
        </w:rPr>
      </w:pPr>
      <w:proofErr w:type="spellStart"/>
      <w:r w:rsidRPr="00CC64FF">
        <w:rPr>
          <w:szCs w:val="18"/>
        </w:rPr>
        <w:t>Siraj</w:t>
      </w:r>
      <w:proofErr w:type="spellEnd"/>
      <w:r w:rsidRPr="00CC64FF">
        <w:rPr>
          <w:szCs w:val="18"/>
        </w:rPr>
        <w:t xml:space="preserve">-Blatchford, I., &amp; </w:t>
      </w:r>
      <w:proofErr w:type="spellStart"/>
      <w:r w:rsidRPr="00CC64FF">
        <w:rPr>
          <w:szCs w:val="18"/>
        </w:rPr>
        <w:t>Manni</w:t>
      </w:r>
      <w:proofErr w:type="spellEnd"/>
      <w:r w:rsidRPr="00CC64FF">
        <w:rPr>
          <w:szCs w:val="18"/>
        </w:rPr>
        <w:t>, L. (2006). Effective leadership in the</w:t>
      </w:r>
      <w:r>
        <w:rPr>
          <w:szCs w:val="18"/>
        </w:rPr>
        <w:t xml:space="preserve"> </w:t>
      </w:r>
      <w:r w:rsidRPr="00CC64FF">
        <w:rPr>
          <w:szCs w:val="18"/>
        </w:rPr>
        <w:t xml:space="preserve">early years sector (ELEYS) study. </w:t>
      </w:r>
      <w:r>
        <w:rPr>
          <w:szCs w:val="18"/>
        </w:rPr>
        <w:t>L</w:t>
      </w:r>
      <w:r w:rsidRPr="00CC64FF">
        <w:rPr>
          <w:szCs w:val="18"/>
        </w:rPr>
        <w:t>ondon: Institute of Education,</w:t>
      </w:r>
      <w:r>
        <w:rPr>
          <w:szCs w:val="18"/>
        </w:rPr>
        <w:t xml:space="preserve"> </w:t>
      </w:r>
      <w:r w:rsidRPr="00CC64FF">
        <w:rPr>
          <w:szCs w:val="18"/>
        </w:rPr>
        <w:t>University of London.</w:t>
      </w:r>
    </w:p>
    <w:sectPr w:rsidR="003B50D5" w:rsidRPr="003B50D5" w:rsidSect="0066133A">
      <w:headerReference w:type="default" r:id="rId14"/>
      <w:footerReference w:type="default" r:id="rId15"/>
      <w:headerReference w:type="first" r:id="rId16"/>
      <w:footerReference w:type="first" r:id="rId17"/>
      <w:pgSz w:w="11907" w:h="16839" w:code="9"/>
      <w:pgMar w:top="1350" w:right="1440" w:bottom="567" w:left="1440" w:header="136"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6B5" w:rsidRDefault="00EC36B5" w:rsidP="00E111E8">
      <w:pPr>
        <w:spacing w:after="0" w:line="240" w:lineRule="auto"/>
      </w:pPr>
      <w:r>
        <w:separator/>
      </w:r>
    </w:p>
  </w:endnote>
  <w:endnote w:type="continuationSeparator" w:id="0">
    <w:p w:rsidR="00EC36B5" w:rsidRDefault="00EC36B5" w:rsidP="00E11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B5" w:rsidRPr="00210D1C" w:rsidRDefault="00EC36B5" w:rsidP="00210D1C">
    <w:pPr>
      <w:pStyle w:val="Footer"/>
      <w:ind w:left="-1260"/>
    </w:pPr>
    <w:r w:rsidRPr="00210D1C">
      <w:rPr>
        <w:noProof/>
        <w:lang w:val="en-AU" w:eastAsia="en-AU"/>
      </w:rPr>
      <w:drawing>
        <wp:inline distT="0" distB="0" distL="0" distR="0">
          <wp:extent cx="7258050" cy="734891"/>
          <wp:effectExtent l="19050" t="0" r="0" b="0"/>
          <wp:docPr id="15" name="Picture 2" descr="Letterhead Footer Child Cen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 Child Centre.jpg"/>
                  <pic:cNvPicPr/>
                </pic:nvPicPr>
                <pic:blipFill>
                  <a:blip r:embed="rId1"/>
                  <a:stretch>
                    <a:fillRect/>
                  </a:stretch>
                </pic:blipFill>
                <pic:spPr>
                  <a:xfrm>
                    <a:off x="0" y="0"/>
                    <a:ext cx="7258050" cy="73489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B5" w:rsidRDefault="00EC36B5" w:rsidP="00537C0E">
    <w:pPr>
      <w:pStyle w:val="Footer"/>
      <w:ind w:left="-1276" w:right="-1321"/>
    </w:pPr>
    <w:r>
      <w:rPr>
        <w:noProof/>
        <w:lang w:val="en-AU" w:eastAsia="en-AU"/>
      </w:rPr>
      <w:drawing>
        <wp:inline distT="0" distB="0" distL="0" distR="0">
          <wp:extent cx="7267575" cy="735855"/>
          <wp:effectExtent l="19050" t="0" r="9525" b="0"/>
          <wp:docPr id="3" name="Picture 2" descr="Letterhead Footer Child Cen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 Child Centre.jpg"/>
                  <pic:cNvPicPr/>
                </pic:nvPicPr>
                <pic:blipFill>
                  <a:blip r:embed="rId1"/>
                  <a:stretch>
                    <a:fillRect/>
                  </a:stretch>
                </pic:blipFill>
                <pic:spPr>
                  <a:xfrm>
                    <a:off x="0" y="0"/>
                    <a:ext cx="7267575" cy="7358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6B5" w:rsidRDefault="00EC36B5" w:rsidP="00E111E8">
      <w:pPr>
        <w:spacing w:after="0" w:line="240" w:lineRule="auto"/>
      </w:pPr>
      <w:r>
        <w:separator/>
      </w:r>
    </w:p>
  </w:footnote>
  <w:footnote w:type="continuationSeparator" w:id="0">
    <w:p w:rsidR="00EC36B5" w:rsidRDefault="00EC36B5" w:rsidP="00E11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B5" w:rsidRDefault="00EC36B5" w:rsidP="00210D1C">
    <w:pPr>
      <w:pStyle w:val="Header"/>
      <w:ind w:left="-1260" w:right="-1053"/>
    </w:pPr>
    <w:r w:rsidRPr="00210D1C">
      <w:rPr>
        <w:noProof/>
        <w:lang w:val="en-AU" w:eastAsia="en-AU"/>
      </w:rPr>
      <w:drawing>
        <wp:inline distT="0" distB="0" distL="0" distR="0">
          <wp:extent cx="7258050" cy="1493466"/>
          <wp:effectExtent l="19050" t="0" r="0" b="0"/>
          <wp:docPr id="14" name="Picture 1" descr="Letterhead Top Banner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Top Banner V2.png"/>
                  <pic:cNvPicPr>
                    <a:picLocks noChangeAspect="1" noChangeArrowheads="1"/>
                  </pic:cNvPicPr>
                </pic:nvPicPr>
                <pic:blipFill>
                  <a:blip r:embed="rId1"/>
                  <a:srcRect l="7370" t="36307" r="21281"/>
                  <a:stretch>
                    <a:fillRect/>
                  </a:stretch>
                </pic:blipFill>
                <pic:spPr bwMode="auto">
                  <a:xfrm>
                    <a:off x="0" y="0"/>
                    <a:ext cx="7272993" cy="1496541"/>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B5" w:rsidRDefault="00EC36B5" w:rsidP="00537C0E">
    <w:pPr>
      <w:pStyle w:val="Header"/>
      <w:ind w:left="-1276"/>
    </w:pPr>
    <w:r>
      <w:rPr>
        <w:noProof/>
        <w:lang w:val="en-AU" w:eastAsia="en-AU"/>
      </w:rPr>
      <w:drawing>
        <wp:inline distT="0" distB="0" distL="0" distR="0">
          <wp:extent cx="7267575" cy="1495425"/>
          <wp:effectExtent l="19050" t="0" r="9525" b="0"/>
          <wp:docPr id="1" name="Picture 1" descr="Letterhead Top Banner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Top Banner V2.png"/>
                  <pic:cNvPicPr>
                    <a:picLocks noChangeAspect="1" noChangeArrowheads="1"/>
                  </pic:cNvPicPr>
                </pic:nvPicPr>
                <pic:blipFill>
                  <a:blip r:embed="rId1"/>
                  <a:srcRect l="7370" t="36307" r="21281"/>
                  <a:stretch>
                    <a:fillRect/>
                  </a:stretch>
                </pic:blipFill>
                <pic:spPr bwMode="auto">
                  <a:xfrm>
                    <a:off x="0" y="0"/>
                    <a:ext cx="7267575" cy="1495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8C0"/>
    <w:multiLevelType w:val="hybridMultilevel"/>
    <w:tmpl w:val="916ECEB2"/>
    <w:lvl w:ilvl="0" w:tplc="E66A1494">
      <w:start w:val="1"/>
      <w:numFmt w:val="bullet"/>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1B62EF"/>
    <w:multiLevelType w:val="hybridMultilevel"/>
    <w:tmpl w:val="4AAE7CB6"/>
    <w:lvl w:ilvl="0" w:tplc="DC868C48">
      <w:start w:val="1"/>
      <w:numFmt w:val="bullet"/>
      <w:lvlText w:val="-"/>
      <w:lvlJc w:val="left"/>
      <w:pPr>
        <w:ind w:left="144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9878E6"/>
    <w:multiLevelType w:val="hybridMultilevel"/>
    <w:tmpl w:val="9DC0439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3">
    <w:nsid w:val="07B305EB"/>
    <w:multiLevelType w:val="hybridMultilevel"/>
    <w:tmpl w:val="6B62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4288B"/>
    <w:multiLevelType w:val="hybridMultilevel"/>
    <w:tmpl w:val="43E88AA2"/>
    <w:lvl w:ilvl="0" w:tplc="E66A1494">
      <w:start w:val="1"/>
      <w:numFmt w:val="bullet"/>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7F40EC2"/>
    <w:multiLevelType w:val="hybridMultilevel"/>
    <w:tmpl w:val="9A8C6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814671E"/>
    <w:multiLevelType w:val="hybridMultilevel"/>
    <w:tmpl w:val="7E367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2A0FF2"/>
    <w:multiLevelType w:val="hybridMultilevel"/>
    <w:tmpl w:val="D572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B4821"/>
    <w:multiLevelType w:val="hybridMultilevel"/>
    <w:tmpl w:val="3A6A5296"/>
    <w:lvl w:ilvl="0" w:tplc="C29A1A0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C82505"/>
    <w:multiLevelType w:val="hybridMultilevel"/>
    <w:tmpl w:val="DAC44364"/>
    <w:lvl w:ilvl="0" w:tplc="E66A1494">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2C60403"/>
    <w:multiLevelType w:val="hybridMultilevel"/>
    <w:tmpl w:val="F9141D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C11F17"/>
    <w:multiLevelType w:val="multilevel"/>
    <w:tmpl w:val="B96C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203AA2"/>
    <w:multiLevelType w:val="hybridMultilevel"/>
    <w:tmpl w:val="1E20F18A"/>
    <w:lvl w:ilvl="0" w:tplc="C29A1A0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9245E0"/>
    <w:multiLevelType w:val="hybridMultilevel"/>
    <w:tmpl w:val="DB18DE72"/>
    <w:lvl w:ilvl="0" w:tplc="B7CCB98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0F7634"/>
    <w:multiLevelType w:val="hybridMultilevel"/>
    <w:tmpl w:val="F8B86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6E4B6C"/>
    <w:multiLevelType w:val="hybridMultilevel"/>
    <w:tmpl w:val="F8F6B6C0"/>
    <w:lvl w:ilvl="0" w:tplc="43D2663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7501318"/>
    <w:multiLevelType w:val="hybridMultilevel"/>
    <w:tmpl w:val="7D34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2125B5"/>
    <w:multiLevelType w:val="hybridMultilevel"/>
    <w:tmpl w:val="B948A744"/>
    <w:lvl w:ilvl="0" w:tplc="69AA2F8E">
      <w:start w:val="1"/>
      <w:numFmt w:val="bullet"/>
      <w:lvlText w:val=""/>
      <w:lvlJc w:val="left"/>
      <w:pPr>
        <w:tabs>
          <w:tab w:val="num" w:pos="0"/>
        </w:tabs>
        <w:ind w:left="425" w:hanging="42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B00310"/>
    <w:multiLevelType w:val="hybridMultilevel"/>
    <w:tmpl w:val="5D4806F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F343C10"/>
    <w:multiLevelType w:val="hybridMultilevel"/>
    <w:tmpl w:val="42F4D4D8"/>
    <w:lvl w:ilvl="0" w:tplc="C29A1A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945288"/>
    <w:multiLevelType w:val="hybridMultilevel"/>
    <w:tmpl w:val="E744E372"/>
    <w:lvl w:ilvl="0" w:tplc="E66A1494">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0BC5C81"/>
    <w:multiLevelType w:val="hybridMultilevel"/>
    <w:tmpl w:val="30FC8022"/>
    <w:lvl w:ilvl="0" w:tplc="E66A1494">
      <w:start w:val="1"/>
      <w:numFmt w:val="bullet"/>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6E40B17"/>
    <w:multiLevelType w:val="hybridMultilevel"/>
    <w:tmpl w:val="25208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B0F7C78"/>
    <w:multiLevelType w:val="hybridMultilevel"/>
    <w:tmpl w:val="697C3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1255DBC"/>
    <w:multiLevelType w:val="hybridMultilevel"/>
    <w:tmpl w:val="8AA0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775875"/>
    <w:multiLevelType w:val="hybridMultilevel"/>
    <w:tmpl w:val="A79A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6443A4"/>
    <w:multiLevelType w:val="hybridMultilevel"/>
    <w:tmpl w:val="6F0818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ED17137"/>
    <w:multiLevelType w:val="hybridMultilevel"/>
    <w:tmpl w:val="52ACFA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EEB491F"/>
    <w:multiLevelType w:val="hybridMultilevel"/>
    <w:tmpl w:val="DCE60EEE"/>
    <w:lvl w:ilvl="0" w:tplc="DC868C48">
      <w:start w:val="1"/>
      <w:numFmt w:val="bullet"/>
      <w:lvlText w:val="-"/>
      <w:lvlJc w:val="left"/>
      <w:pPr>
        <w:ind w:left="1440" w:hanging="360"/>
      </w:pPr>
      <w:rPr>
        <w:rFonts w:ascii="Courier New" w:hAnsi="Courier New" w:hint="default"/>
      </w:rPr>
    </w:lvl>
    <w:lvl w:ilvl="1" w:tplc="B7CCB98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3"/>
  </w:num>
  <w:num w:numId="4">
    <w:abstractNumId w:val="1"/>
  </w:num>
  <w:num w:numId="5">
    <w:abstractNumId w:val="28"/>
  </w:num>
  <w:num w:numId="6">
    <w:abstractNumId w:val="23"/>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24"/>
  </w:num>
  <w:num w:numId="17">
    <w:abstractNumId w:val="17"/>
  </w:num>
  <w:num w:numId="18">
    <w:abstractNumId w:val="10"/>
  </w:num>
  <w:num w:numId="19">
    <w:abstractNumId w:val="3"/>
  </w:num>
  <w:num w:numId="20">
    <w:abstractNumId w:val="19"/>
  </w:num>
  <w:num w:numId="21">
    <w:abstractNumId w:val="12"/>
  </w:num>
  <w:num w:numId="22">
    <w:abstractNumId w:val="8"/>
  </w:num>
  <w:num w:numId="23">
    <w:abstractNumId w:val="27"/>
  </w:num>
  <w:num w:numId="24">
    <w:abstractNumId w:val="11"/>
  </w:num>
  <w:num w:numId="25">
    <w:abstractNumId w:val="25"/>
  </w:num>
  <w:num w:numId="26">
    <w:abstractNumId w:val="7"/>
  </w:num>
  <w:num w:numId="27">
    <w:abstractNumId w:val="16"/>
  </w:num>
  <w:num w:numId="28">
    <w:abstractNumId w:val="6"/>
  </w:num>
  <w:num w:numId="29">
    <w:abstractNumId w:val="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drawingGridHorizontalSpacing w:val="110"/>
  <w:displayHorizontalDrawingGridEvery w:val="2"/>
  <w:characterSpacingControl w:val="doNotCompress"/>
  <w:hdrShapeDefaults>
    <o:shapedefaults v:ext="edit" spidmax="163841">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CD646D"/>
    <w:rsid w:val="00001212"/>
    <w:rsid w:val="00015D9D"/>
    <w:rsid w:val="00050AEC"/>
    <w:rsid w:val="00065DAD"/>
    <w:rsid w:val="00065E94"/>
    <w:rsid w:val="00076796"/>
    <w:rsid w:val="000876A1"/>
    <w:rsid w:val="000953A9"/>
    <w:rsid w:val="000A2B9D"/>
    <w:rsid w:val="000A47B8"/>
    <w:rsid w:val="000A7B2B"/>
    <w:rsid w:val="000C2C80"/>
    <w:rsid w:val="000E1FE3"/>
    <w:rsid w:val="000E671B"/>
    <w:rsid w:val="000E7586"/>
    <w:rsid w:val="000F66A3"/>
    <w:rsid w:val="00106CEC"/>
    <w:rsid w:val="00117A1F"/>
    <w:rsid w:val="00120780"/>
    <w:rsid w:val="00132A17"/>
    <w:rsid w:val="001374A8"/>
    <w:rsid w:val="00141CE6"/>
    <w:rsid w:val="00145039"/>
    <w:rsid w:val="001535A2"/>
    <w:rsid w:val="001641DB"/>
    <w:rsid w:val="00175C99"/>
    <w:rsid w:val="00176DBC"/>
    <w:rsid w:val="00193253"/>
    <w:rsid w:val="001A6E6B"/>
    <w:rsid w:val="001B650F"/>
    <w:rsid w:val="001B6BE8"/>
    <w:rsid w:val="001B6C4A"/>
    <w:rsid w:val="001C078F"/>
    <w:rsid w:val="001F264E"/>
    <w:rsid w:val="001F5BC5"/>
    <w:rsid w:val="001F7B2C"/>
    <w:rsid w:val="00202BF2"/>
    <w:rsid w:val="00210D1C"/>
    <w:rsid w:val="00243310"/>
    <w:rsid w:val="002468A4"/>
    <w:rsid w:val="00255D25"/>
    <w:rsid w:val="00297903"/>
    <w:rsid w:val="002B42F8"/>
    <w:rsid w:val="002B600D"/>
    <w:rsid w:val="002C4988"/>
    <w:rsid w:val="002E5A31"/>
    <w:rsid w:val="002F161F"/>
    <w:rsid w:val="00354437"/>
    <w:rsid w:val="00381AC0"/>
    <w:rsid w:val="00394527"/>
    <w:rsid w:val="00395D91"/>
    <w:rsid w:val="003A7FE4"/>
    <w:rsid w:val="003B10B4"/>
    <w:rsid w:val="003B3AA2"/>
    <w:rsid w:val="003B50D5"/>
    <w:rsid w:val="003D628F"/>
    <w:rsid w:val="003D7D42"/>
    <w:rsid w:val="003F1745"/>
    <w:rsid w:val="003F53BC"/>
    <w:rsid w:val="003F7D5B"/>
    <w:rsid w:val="00403AD9"/>
    <w:rsid w:val="004119CD"/>
    <w:rsid w:val="004565E8"/>
    <w:rsid w:val="00463543"/>
    <w:rsid w:val="004677F4"/>
    <w:rsid w:val="00492DB7"/>
    <w:rsid w:val="004944C8"/>
    <w:rsid w:val="004A5357"/>
    <w:rsid w:val="004B32E0"/>
    <w:rsid w:val="004B45D3"/>
    <w:rsid w:val="004D694A"/>
    <w:rsid w:val="004E305E"/>
    <w:rsid w:val="00503945"/>
    <w:rsid w:val="005127AB"/>
    <w:rsid w:val="005304B6"/>
    <w:rsid w:val="005375B5"/>
    <w:rsid w:val="00537C0E"/>
    <w:rsid w:val="00550863"/>
    <w:rsid w:val="00565563"/>
    <w:rsid w:val="0057509D"/>
    <w:rsid w:val="00592265"/>
    <w:rsid w:val="005957CA"/>
    <w:rsid w:val="00597FB5"/>
    <w:rsid w:val="005B2EDB"/>
    <w:rsid w:val="005C5A3D"/>
    <w:rsid w:val="0060701E"/>
    <w:rsid w:val="00621875"/>
    <w:rsid w:val="006227FC"/>
    <w:rsid w:val="00624997"/>
    <w:rsid w:val="00625369"/>
    <w:rsid w:val="006468CD"/>
    <w:rsid w:val="00657E03"/>
    <w:rsid w:val="0066133A"/>
    <w:rsid w:val="00663B3F"/>
    <w:rsid w:val="00666BF4"/>
    <w:rsid w:val="0067406A"/>
    <w:rsid w:val="00677DF7"/>
    <w:rsid w:val="00683034"/>
    <w:rsid w:val="006872DA"/>
    <w:rsid w:val="006875D9"/>
    <w:rsid w:val="006960DD"/>
    <w:rsid w:val="006C0F03"/>
    <w:rsid w:val="006E1267"/>
    <w:rsid w:val="006E47B3"/>
    <w:rsid w:val="006F0918"/>
    <w:rsid w:val="006F302C"/>
    <w:rsid w:val="006F3D72"/>
    <w:rsid w:val="006F76BE"/>
    <w:rsid w:val="0070223F"/>
    <w:rsid w:val="00710002"/>
    <w:rsid w:val="00720194"/>
    <w:rsid w:val="00724D35"/>
    <w:rsid w:val="00726CB5"/>
    <w:rsid w:val="0072773A"/>
    <w:rsid w:val="00735A7D"/>
    <w:rsid w:val="007459AD"/>
    <w:rsid w:val="0075424F"/>
    <w:rsid w:val="00755613"/>
    <w:rsid w:val="00776895"/>
    <w:rsid w:val="00782BEF"/>
    <w:rsid w:val="00783027"/>
    <w:rsid w:val="007B2A07"/>
    <w:rsid w:val="007B3BFB"/>
    <w:rsid w:val="007B5452"/>
    <w:rsid w:val="007B6E42"/>
    <w:rsid w:val="007E0967"/>
    <w:rsid w:val="007F1108"/>
    <w:rsid w:val="008135C4"/>
    <w:rsid w:val="0083491A"/>
    <w:rsid w:val="00836FD3"/>
    <w:rsid w:val="00842D0C"/>
    <w:rsid w:val="00847DA6"/>
    <w:rsid w:val="00860908"/>
    <w:rsid w:val="008640FC"/>
    <w:rsid w:val="00877590"/>
    <w:rsid w:val="008804D5"/>
    <w:rsid w:val="008846DD"/>
    <w:rsid w:val="00890D7C"/>
    <w:rsid w:val="0089333E"/>
    <w:rsid w:val="008A62BF"/>
    <w:rsid w:val="008A7EEE"/>
    <w:rsid w:val="008F5417"/>
    <w:rsid w:val="008F67E9"/>
    <w:rsid w:val="00901F82"/>
    <w:rsid w:val="00905BAF"/>
    <w:rsid w:val="0091497C"/>
    <w:rsid w:val="0092050F"/>
    <w:rsid w:val="0092376E"/>
    <w:rsid w:val="00933571"/>
    <w:rsid w:val="00934ADF"/>
    <w:rsid w:val="00934DC8"/>
    <w:rsid w:val="00966324"/>
    <w:rsid w:val="00974E38"/>
    <w:rsid w:val="009752AE"/>
    <w:rsid w:val="00983BC4"/>
    <w:rsid w:val="00991ADF"/>
    <w:rsid w:val="009A698A"/>
    <w:rsid w:val="009A7E4C"/>
    <w:rsid w:val="009B019E"/>
    <w:rsid w:val="009C12C9"/>
    <w:rsid w:val="009C26A0"/>
    <w:rsid w:val="009D32DF"/>
    <w:rsid w:val="009E58D6"/>
    <w:rsid w:val="009E72E9"/>
    <w:rsid w:val="009F0D6E"/>
    <w:rsid w:val="009F1BD7"/>
    <w:rsid w:val="00A016EC"/>
    <w:rsid w:val="00A1334F"/>
    <w:rsid w:val="00A23DCB"/>
    <w:rsid w:val="00A31318"/>
    <w:rsid w:val="00A35547"/>
    <w:rsid w:val="00A51ECD"/>
    <w:rsid w:val="00A5547E"/>
    <w:rsid w:val="00A66B12"/>
    <w:rsid w:val="00A822A8"/>
    <w:rsid w:val="00A84B3C"/>
    <w:rsid w:val="00AA2F84"/>
    <w:rsid w:val="00AB0DF7"/>
    <w:rsid w:val="00AB6ECE"/>
    <w:rsid w:val="00AC15C2"/>
    <w:rsid w:val="00AC1C25"/>
    <w:rsid w:val="00AD6EF5"/>
    <w:rsid w:val="00AE25DA"/>
    <w:rsid w:val="00AF1284"/>
    <w:rsid w:val="00AF56B5"/>
    <w:rsid w:val="00B1789B"/>
    <w:rsid w:val="00B22CF1"/>
    <w:rsid w:val="00B24758"/>
    <w:rsid w:val="00B253E4"/>
    <w:rsid w:val="00B2564D"/>
    <w:rsid w:val="00B26A92"/>
    <w:rsid w:val="00B348C1"/>
    <w:rsid w:val="00B37DF3"/>
    <w:rsid w:val="00B5124D"/>
    <w:rsid w:val="00B57453"/>
    <w:rsid w:val="00B65F02"/>
    <w:rsid w:val="00B7150F"/>
    <w:rsid w:val="00B83E1B"/>
    <w:rsid w:val="00B8471C"/>
    <w:rsid w:val="00B870C3"/>
    <w:rsid w:val="00B926EE"/>
    <w:rsid w:val="00B96F2D"/>
    <w:rsid w:val="00BB5CEE"/>
    <w:rsid w:val="00BB7081"/>
    <w:rsid w:val="00BD0046"/>
    <w:rsid w:val="00BE5589"/>
    <w:rsid w:val="00BF1927"/>
    <w:rsid w:val="00C236D5"/>
    <w:rsid w:val="00C32B50"/>
    <w:rsid w:val="00C44AE0"/>
    <w:rsid w:val="00C94505"/>
    <w:rsid w:val="00CC64FF"/>
    <w:rsid w:val="00CD1BFF"/>
    <w:rsid w:val="00CD6397"/>
    <w:rsid w:val="00CD646D"/>
    <w:rsid w:val="00CE48CF"/>
    <w:rsid w:val="00D06AAA"/>
    <w:rsid w:val="00D141DE"/>
    <w:rsid w:val="00D40103"/>
    <w:rsid w:val="00D44F51"/>
    <w:rsid w:val="00D46F8C"/>
    <w:rsid w:val="00D60598"/>
    <w:rsid w:val="00D6508A"/>
    <w:rsid w:val="00D7257C"/>
    <w:rsid w:val="00D77060"/>
    <w:rsid w:val="00DC05CC"/>
    <w:rsid w:val="00DC7F26"/>
    <w:rsid w:val="00DD73AC"/>
    <w:rsid w:val="00DE6777"/>
    <w:rsid w:val="00DE7966"/>
    <w:rsid w:val="00E05DA9"/>
    <w:rsid w:val="00E111E8"/>
    <w:rsid w:val="00E36280"/>
    <w:rsid w:val="00EC0C03"/>
    <w:rsid w:val="00EC185E"/>
    <w:rsid w:val="00EC36B5"/>
    <w:rsid w:val="00F02B37"/>
    <w:rsid w:val="00F132B7"/>
    <w:rsid w:val="00F16F48"/>
    <w:rsid w:val="00F208BD"/>
    <w:rsid w:val="00F243F6"/>
    <w:rsid w:val="00F355BA"/>
    <w:rsid w:val="00F564C0"/>
    <w:rsid w:val="00F65FA3"/>
    <w:rsid w:val="00F90DDF"/>
    <w:rsid w:val="00FA1BC3"/>
    <w:rsid w:val="00FE1331"/>
    <w:rsid w:val="00FE4F7F"/>
    <w:rsid w:val="00FE5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C0E"/>
    <w:pPr>
      <w:spacing w:after="200" w:line="276" w:lineRule="auto"/>
    </w:pPr>
  </w:style>
  <w:style w:type="paragraph" w:styleId="Heading1">
    <w:name w:val="heading 1"/>
    <w:basedOn w:val="Normal"/>
    <w:next w:val="Normal"/>
    <w:link w:val="Heading1Char"/>
    <w:qFormat/>
    <w:locked/>
    <w:rsid w:val="00934ADF"/>
    <w:pPr>
      <w:keepNext/>
      <w:autoSpaceDE w:val="0"/>
      <w:autoSpaceDN w:val="0"/>
      <w:adjustRightInd w:val="0"/>
      <w:spacing w:after="0" w:line="240" w:lineRule="exact"/>
      <w:outlineLvl w:val="0"/>
    </w:pPr>
    <w:rPr>
      <w:rFonts w:ascii="Times New Roman" w:eastAsia="Times New Roman" w:hAnsi="Times New Roman"/>
      <w:b/>
      <w:bCs/>
      <w:sz w:val="16"/>
      <w:szCs w:val="16"/>
      <w:lang w:val="en-GB"/>
    </w:rPr>
  </w:style>
  <w:style w:type="paragraph" w:styleId="Heading2">
    <w:name w:val="heading 2"/>
    <w:basedOn w:val="Normal"/>
    <w:next w:val="Normal"/>
    <w:link w:val="Heading2Char"/>
    <w:unhideWhenUsed/>
    <w:qFormat/>
    <w:locked/>
    <w:rsid w:val="00934ADF"/>
    <w:pPr>
      <w:keepNext/>
      <w:autoSpaceDE w:val="0"/>
      <w:autoSpaceDN w:val="0"/>
      <w:adjustRightInd w:val="0"/>
      <w:spacing w:after="0" w:line="240" w:lineRule="auto"/>
      <w:outlineLvl w:val="1"/>
    </w:pPr>
    <w:rPr>
      <w:rFonts w:ascii="Arial" w:eastAsia="Times New Roman" w:hAnsi="Arial" w:cs="Arial"/>
      <w:b/>
      <w:bCs/>
      <w:i/>
      <w:iCs/>
      <w:sz w:val="20"/>
      <w:szCs w:val="24"/>
      <w:lang w:val="en-GB"/>
    </w:rPr>
  </w:style>
  <w:style w:type="paragraph" w:styleId="Heading3">
    <w:name w:val="heading 3"/>
    <w:basedOn w:val="Normal"/>
    <w:next w:val="Normal"/>
    <w:link w:val="Heading3Char"/>
    <w:unhideWhenUsed/>
    <w:qFormat/>
    <w:locked/>
    <w:rsid w:val="00934ADF"/>
    <w:pPr>
      <w:keepNext/>
      <w:autoSpaceDE w:val="0"/>
      <w:autoSpaceDN w:val="0"/>
      <w:adjustRightInd w:val="0"/>
      <w:spacing w:after="0" w:line="220" w:lineRule="exact"/>
      <w:outlineLvl w:val="2"/>
    </w:pPr>
    <w:rPr>
      <w:rFonts w:ascii="Times New Roman" w:eastAsia="Times New Roman" w:hAnsi="Times New Roman"/>
      <w:b/>
      <w:bCs/>
      <w:i/>
      <w:iCs/>
      <w:sz w:val="18"/>
      <w:szCs w:val="18"/>
      <w:lang w:val="en-GB"/>
    </w:rPr>
  </w:style>
  <w:style w:type="paragraph" w:styleId="Heading4">
    <w:name w:val="heading 4"/>
    <w:basedOn w:val="Normal"/>
    <w:next w:val="Normal"/>
    <w:link w:val="Heading4Char"/>
    <w:semiHidden/>
    <w:unhideWhenUsed/>
    <w:qFormat/>
    <w:locked/>
    <w:rsid w:val="00934ADF"/>
    <w:pPr>
      <w:keepNext/>
      <w:autoSpaceDE w:val="0"/>
      <w:autoSpaceDN w:val="0"/>
      <w:adjustRightInd w:val="0"/>
      <w:spacing w:after="0" w:line="220" w:lineRule="exact"/>
      <w:outlineLvl w:val="3"/>
    </w:pPr>
    <w:rPr>
      <w:rFonts w:ascii="Times New Roman" w:eastAsia="Times New Roman" w:hAnsi="Times New Roman"/>
      <w:b/>
      <w:bCs/>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11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11E8"/>
    <w:rPr>
      <w:rFonts w:ascii="Tahoma" w:hAnsi="Tahoma" w:cs="Tahoma"/>
      <w:sz w:val="16"/>
      <w:szCs w:val="16"/>
    </w:rPr>
  </w:style>
  <w:style w:type="paragraph" w:styleId="Header">
    <w:name w:val="header"/>
    <w:basedOn w:val="Normal"/>
    <w:link w:val="HeaderChar"/>
    <w:uiPriority w:val="99"/>
    <w:semiHidden/>
    <w:rsid w:val="00E111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111E8"/>
    <w:rPr>
      <w:rFonts w:cs="Times New Roman"/>
    </w:rPr>
  </w:style>
  <w:style w:type="paragraph" w:styleId="Footer">
    <w:name w:val="footer"/>
    <w:basedOn w:val="Normal"/>
    <w:link w:val="FooterChar"/>
    <w:uiPriority w:val="99"/>
    <w:semiHidden/>
    <w:rsid w:val="00E111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E111E8"/>
    <w:rPr>
      <w:rFonts w:cs="Times New Roman"/>
    </w:rPr>
  </w:style>
  <w:style w:type="paragraph" w:styleId="ListParagraph">
    <w:name w:val="List Paragraph"/>
    <w:basedOn w:val="Normal"/>
    <w:uiPriority w:val="34"/>
    <w:qFormat/>
    <w:rsid w:val="00537C0E"/>
    <w:pPr>
      <w:ind w:left="720"/>
      <w:contextualSpacing/>
    </w:pPr>
  </w:style>
  <w:style w:type="character" w:styleId="Hyperlink">
    <w:name w:val="Hyperlink"/>
    <w:basedOn w:val="DefaultParagraphFont"/>
    <w:uiPriority w:val="99"/>
    <w:rsid w:val="00537C0E"/>
    <w:rPr>
      <w:rFonts w:cs="Times New Roman"/>
      <w:color w:val="0000FF"/>
      <w:u w:val="single"/>
    </w:rPr>
  </w:style>
  <w:style w:type="table" w:styleId="TableGrid">
    <w:name w:val="Table Grid"/>
    <w:basedOn w:val="TableNormal"/>
    <w:uiPriority w:val="59"/>
    <w:locked/>
    <w:rsid w:val="00DD73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34ADF"/>
    <w:rPr>
      <w:rFonts w:ascii="Times New Roman" w:eastAsia="Times New Roman" w:hAnsi="Times New Roman"/>
      <w:b/>
      <w:bCs/>
      <w:sz w:val="16"/>
      <w:szCs w:val="16"/>
      <w:lang w:val="en-GB"/>
    </w:rPr>
  </w:style>
  <w:style w:type="character" w:customStyle="1" w:styleId="Heading2Char">
    <w:name w:val="Heading 2 Char"/>
    <w:basedOn w:val="DefaultParagraphFont"/>
    <w:link w:val="Heading2"/>
    <w:rsid w:val="00934ADF"/>
    <w:rPr>
      <w:rFonts w:ascii="Arial" w:eastAsia="Times New Roman" w:hAnsi="Arial" w:cs="Arial"/>
      <w:b/>
      <w:bCs/>
      <w:i/>
      <w:iCs/>
      <w:sz w:val="20"/>
      <w:szCs w:val="24"/>
      <w:lang w:val="en-GB"/>
    </w:rPr>
  </w:style>
  <w:style w:type="character" w:customStyle="1" w:styleId="Heading3Char">
    <w:name w:val="Heading 3 Char"/>
    <w:basedOn w:val="DefaultParagraphFont"/>
    <w:link w:val="Heading3"/>
    <w:rsid w:val="00934ADF"/>
    <w:rPr>
      <w:rFonts w:ascii="Times New Roman" w:eastAsia="Times New Roman" w:hAnsi="Times New Roman"/>
      <w:b/>
      <w:bCs/>
      <w:i/>
      <w:iCs/>
      <w:sz w:val="18"/>
      <w:szCs w:val="18"/>
      <w:lang w:val="en-GB"/>
    </w:rPr>
  </w:style>
  <w:style w:type="character" w:customStyle="1" w:styleId="Heading4Char">
    <w:name w:val="Heading 4 Char"/>
    <w:basedOn w:val="DefaultParagraphFont"/>
    <w:link w:val="Heading4"/>
    <w:semiHidden/>
    <w:rsid w:val="00934ADF"/>
    <w:rPr>
      <w:rFonts w:ascii="Times New Roman" w:eastAsia="Times New Roman" w:hAnsi="Times New Roman"/>
      <w:b/>
      <w:bCs/>
      <w:sz w:val="18"/>
      <w:szCs w:val="18"/>
      <w:lang w:val="en-GB"/>
    </w:rPr>
  </w:style>
  <w:style w:type="paragraph" w:styleId="Title">
    <w:name w:val="Title"/>
    <w:basedOn w:val="Normal"/>
    <w:link w:val="TitleChar"/>
    <w:qFormat/>
    <w:locked/>
    <w:rsid w:val="00934ADF"/>
    <w:pPr>
      <w:autoSpaceDE w:val="0"/>
      <w:autoSpaceDN w:val="0"/>
      <w:adjustRightInd w:val="0"/>
      <w:spacing w:after="0" w:line="240" w:lineRule="exact"/>
      <w:jc w:val="center"/>
    </w:pPr>
    <w:rPr>
      <w:rFonts w:ascii="Times New Roman" w:eastAsia="Times New Roman" w:hAnsi="Times New Roman"/>
      <w:b/>
      <w:bCs/>
      <w:sz w:val="28"/>
      <w:szCs w:val="16"/>
      <w:lang w:val="en-GB"/>
    </w:rPr>
  </w:style>
  <w:style w:type="character" w:customStyle="1" w:styleId="TitleChar">
    <w:name w:val="Title Char"/>
    <w:basedOn w:val="DefaultParagraphFont"/>
    <w:link w:val="Title"/>
    <w:rsid w:val="00934ADF"/>
    <w:rPr>
      <w:rFonts w:ascii="Times New Roman" w:eastAsia="Times New Roman" w:hAnsi="Times New Roman"/>
      <w:b/>
      <w:bCs/>
      <w:sz w:val="28"/>
      <w:szCs w:val="16"/>
      <w:lang w:val="en-GB"/>
    </w:rPr>
  </w:style>
  <w:style w:type="character" w:styleId="Emphasis">
    <w:name w:val="Emphasis"/>
    <w:basedOn w:val="DefaultParagraphFont"/>
    <w:uiPriority w:val="20"/>
    <w:qFormat/>
    <w:locked/>
    <w:rsid w:val="00AF1284"/>
    <w:rPr>
      <w:i/>
      <w:iCs/>
    </w:rPr>
  </w:style>
  <w:style w:type="paragraph" w:styleId="BodyText3">
    <w:name w:val="Body Text 3"/>
    <w:basedOn w:val="Normal"/>
    <w:link w:val="BodyText3Char"/>
    <w:semiHidden/>
    <w:rsid w:val="00B926EE"/>
    <w:pPr>
      <w:spacing w:after="0" w:line="240" w:lineRule="auto"/>
      <w:ind w:right="2093"/>
      <w:jc w:val="both"/>
    </w:pPr>
    <w:rPr>
      <w:rFonts w:ascii="Arial" w:eastAsia="Times New Roman" w:hAnsi="Arial" w:cs="Arial"/>
      <w:sz w:val="24"/>
      <w:szCs w:val="20"/>
      <w:lang w:val="en-AU"/>
    </w:rPr>
  </w:style>
  <w:style w:type="character" w:customStyle="1" w:styleId="BodyText3Char">
    <w:name w:val="Body Text 3 Char"/>
    <w:basedOn w:val="DefaultParagraphFont"/>
    <w:link w:val="BodyText3"/>
    <w:semiHidden/>
    <w:rsid w:val="00B926EE"/>
    <w:rPr>
      <w:rFonts w:ascii="Arial" w:eastAsia="Times New Roman" w:hAnsi="Arial" w:cs="Arial"/>
      <w:sz w:val="24"/>
      <w:szCs w:val="20"/>
      <w:lang w:val="en-AU"/>
    </w:rPr>
  </w:style>
  <w:style w:type="paragraph" w:styleId="BodyText">
    <w:name w:val="Body Text"/>
    <w:basedOn w:val="Normal"/>
    <w:link w:val="BodyTextChar"/>
    <w:uiPriority w:val="99"/>
    <w:unhideWhenUsed/>
    <w:rsid w:val="00AC15C2"/>
    <w:pPr>
      <w:spacing w:after="120"/>
    </w:pPr>
  </w:style>
  <w:style w:type="character" w:customStyle="1" w:styleId="BodyTextChar">
    <w:name w:val="Body Text Char"/>
    <w:basedOn w:val="DefaultParagraphFont"/>
    <w:link w:val="BodyText"/>
    <w:uiPriority w:val="99"/>
    <w:rsid w:val="00AC15C2"/>
  </w:style>
  <w:style w:type="paragraph" w:customStyle="1" w:styleId="Default">
    <w:name w:val="Default"/>
    <w:rsid w:val="00AC15C2"/>
    <w:pPr>
      <w:autoSpaceDE w:val="0"/>
      <w:autoSpaceDN w:val="0"/>
      <w:adjustRightInd w:val="0"/>
    </w:pPr>
    <w:rPr>
      <w:rFonts w:ascii="Times New Roman" w:eastAsiaTheme="minorHAnsi" w:hAnsi="Times New Roman"/>
      <w:color w:val="000000"/>
      <w:sz w:val="24"/>
      <w:szCs w:val="24"/>
    </w:rPr>
  </w:style>
  <w:style w:type="character" w:customStyle="1" w:styleId="Boldbodytextnospaceabove">
    <w:name w:val="Bold body text no space above"/>
    <w:basedOn w:val="DefaultParagraphFont"/>
    <w:rsid w:val="00710002"/>
    <w:rPr>
      <w:rFonts w:ascii="Arial" w:hAnsi="Arial" w:cs="Arial"/>
      <w:b/>
      <w:sz w:val="22"/>
      <w:szCs w:val="22"/>
    </w:rPr>
  </w:style>
  <w:style w:type="character" w:customStyle="1" w:styleId="RomanBodytextnospaceabove">
    <w:name w:val="Roman Body text no space above"/>
    <w:basedOn w:val="DefaultParagraphFont"/>
    <w:rsid w:val="00710002"/>
    <w:rPr>
      <w:rFonts w:ascii="Arial" w:hAnsi="Arial" w:cs="Arial"/>
      <w:sz w:val="22"/>
      <w:szCs w:val="22"/>
    </w:rPr>
  </w:style>
  <w:style w:type="character" w:styleId="Strong">
    <w:name w:val="Strong"/>
    <w:basedOn w:val="DefaultParagraphFont"/>
    <w:uiPriority w:val="22"/>
    <w:qFormat/>
    <w:locked/>
    <w:rsid w:val="00710002"/>
    <w:rPr>
      <w:b/>
      <w:bCs/>
    </w:rPr>
  </w:style>
  <w:style w:type="paragraph" w:styleId="NormalWeb">
    <w:name w:val="Normal (Web)"/>
    <w:basedOn w:val="Normal"/>
    <w:uiPriority w:val="99"/>
    <w:unhideWhenUsed/>
    <w:rsid w:val="00710002"/>
    <w:pPr>
      <w:spacing w:before="100" w:beforeAutospacing="1" w:after="204" w:line="240" w:lineRule="auto"/>
    </w:pPr>
    <w:rPr>
      <w:rFonts w:ascii="Times New Roman" w:eastAsia="Times New Roman" w:hAnsi="Times New Roman"/>
      <w:sz w:val="24"/>
      <w:szCs w:val="24"/>
      <w:lang w:val="en-AU" w:eastAsia="en-AU"/>
    </w:rPr>
  </w:style>
  <w:style w:type="character" w:styleId="HTMLCite">
    <w:name w:val="HTML Cite"/>
    <w:basedOn w:val="DefaultParagraphFont"/>
    <w:uiPriority w:val="99"/>
    <w:semiHidden/>
    <w:unhideWhenUsed/>
    <w:rsid w:val="00CC64FF"/>
    <w:rPr>
      <w:i/>
      <w:iCs/>
    </w:rPr>
  </w:style>
  <w:style w:type="character" w:styleId="CommentReference">
    <w:name w:val="annotation reference"/>
    <w:basedOn w:val="DefaultParagraphFont"/>
    <w:uiPriority w:val="99"/>
    <w:semiHidden/>
    <w:unhideWhenUsed/>
    <w:rsid w:val="002B42F8"/>
    <w:rPr>
      <w:sz w:val="16"/>
      <w:szCs w:val="16"/>
    </w:rPr>
  </w:style>
  <w:style w:type="paragraph" w:styleId="CommentText">
    <w:name w:val="annotation text"/>
    <w:basedOn w:val="Normal"/>
    <w:link w:val="CommentTextChar"/>
    <w:uiPriority w:val="99"/>
    <w:semiHidden/>
    <w:unhideWhenUsed/>
    <w:rsid w:val="002B42F8"/>
    <w:pPr>
      <w:spacing w:line="240" w:lineRule="auto"/>
    </w:pPr>
    <w:rPr>
      <w:sz w:val="20"/>
      <w:szCs w:val="20"/>
    </w:rPr>
  </w:style>
  <w:style w:type="character" w:customStyle="1" w:styleId="CommentTextChar">
    <w:name w:val="Comment Text Char"/>
    <w:basedOn w:val="DefaultParagraphFont"/>
    <w:link w:val="CommentText"/>
    <w:uiPriority w:val="99"/>
    <w:semiHidden/>
    <w:rsid w:val="002B42F8"/>
    <w:rPr>
      <w:sz w:val="20"/>
      <w:szCs w:val="20"/>
    </w:rPr>
  </w:style>
  <w:style w:type="paragraph" w:styleId="CommentSubject">
    <w:name w:val="annotation subject"/>
    <w:basedOn w:val="CommentText"/>
    <w:next w:val="CommentText"/>
    <w:link w:val="CommentSubjectChar"/>
    <w:uiPriority w:val="99"/>
    <w:semiHidden/>
    <w:unhideWhenUsed/>
    <w:rsid w:val="002B42F8"/>
    <w:rPr>
      <w:b/>
      <w:bCs/>
    </w:rPr>
  </w:style>
  <w:style w:type="character" w:customStyle="1" w:styleId="CommentSubjectChar">
    <w:name w:val="Comment Subject Char"/>
    <w:basedOn w:val="CommentTextChar"/>
    <w:link w:val="CommentSubject"/>
    <w:uiPriority w:val="99"/>
    <w:semiHidden/>
    <w:rsid w:val="002B42F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7167">
      <w:bodyDiv w:val="1"/>
      <w:marLeft w:val="0"/>
      <w:marRight w:val="0"/>
      <w:marTop w:val="0"/>
      <w:marBottom w:val="0"/>
      <w:divBdr>
        <w:top w:val="none" w:sz="0" w:space="0" w:color="auto"/>
        <w:left w:val="none" w:sz="0" w:space="0" w:color="auto"/>
        <w:bottom w:val="none" w:sz="0" w:space="0" w:color="auto"/>
        <w:right w:val="none" w:sz="0" w:space="0" w:color="auto"/>
      </w:divBdr>
    </w:div>
    <w:div w:id="500510596">
      <w:bodyDiv w:val="1"/>
      <w:marLeft w:val="0"/>
      <w:marRight w:val="0"/>
      <w:marTop w:val="0"/>
      <w:marBottom w:val="0"/>
      <w:divBdr>
        <w:top w:val="none" w:sz="0" w:space="0" w:color="auto"/>
        <w:left w:val="none" w:sz="0" w:space="0" w:color="auto"/>
        <w:bottom w:val="none" w:sz="0" w:space="0" w:color="auto"/>
        <w:right w:val="none" w:sz="0" w:space="0" w:color="auto"/>
      </w:divBdr>
      <w:divsChild>
        <w:div w:id="49102201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94253">
      <w:marLeft w:val="0"/>
      <w:marRight w:val="0"/>
      <w:marTop w:val="0"/>
      <w:marBottom w:val="0"/>
      <w:divBdr>
        <w:top w:val="none" w:sz="0" w:space="0" w:color="auto"/>
        <w:left w:val="none" w:sz="0" w:space="0" w:color="auto"/>
        <w:bottom w:val="none" w:sz="0" w:space="0" w:color="auto"/>
        <w:right w:val="none" w:sz="0" w:space="0" w:color="auto"/>
      </w:divBdr>
    </w:div>
    <w:div w:id="935357774">
      <w:bodyDiv w:val="1"/>
      <w:marLeft w:val="0"/>
      <w:marRight w:val="0"/>
      <w:marTop w:val="0"/>
      <w:marBottom w:val="0"/>
      <w:divBdr>
        <w:top w:val="none" w:sz="0" w:space="0" w:color="auto"/>
        <w:left w:val="none" w:sz="0" w:space="0" w:color="auto"/>
        <w:bottom w:val="none" w:sz="0" w:space="0" w:color="auto"/>
        <w:right w:val="none" w:sz="0" w:space="0" w:color="auto"/>
      </w:divBdr>
    </w:div>
    <w:div w:id="1578129338">
      <w:bodyDiv w:val="1"/>
      <w:marLeft w:val="0"/>
      <w:marRight w:val="0"/>
      <w:marTop w:val="0"/>
      <w:marBottom w:val="0"/>
      <w:divBdr>
        <w:top w:val="none" w:sz="0" w:space="0" w:color="auto"/>
        <w:left w:val="none" w:sz="0" w:space="0" w:color="auto"/>
        <w:bottom w:val="none" w:sz="0" w:space="0" w:color="auto"/>
        <w:right w:val="none" w:sz="0" w:space="0" w:color="auto"/>
      </w:divBdr>
    </w:div>
    <w:div w:id="1806655176">
      <w:bodyDiv w:val="1"/>
      <w:marLeft w:val="0"/>
      <w:marRight w:val="0"/>
      <w:marTop w:val="0"/>
      <w:marBottom w:val="0"/>
      <w:divBdr>
        <w:top w:val="none" w:sz="0" w:space="0" w:color="auto"/>
        <w:left w:val="none" w:sz="0" w:space="0" w:color="auto"/>
        <w:bottom w:val="none" w:sz="0" w:space="0" w:color="auto"/>
        <w:right w:val="none" w:sz="0" w:space="0" w:color="auto"/>
      </w:divBdr>
    </w:div>
    <w:div w:id="206309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ldrennh.org/documents/NSFontheDevelopingChild.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ecd.org/edu/school/startingstrongiiiaqualitytoolboxforececactionarea1usingresearchtoinformpolicyandthepublic.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ecd.org/education/school/28123665.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ag.gov.au/early_childhoo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cver.edu.au/publications/2261.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F8B17-B879-4F4C-8D58-620641CE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1601</Words>
  <Characters>9841</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Submission DR552 - Gowrie SA - Childcare and Early Childhood Learning - Public inquiry</vt:lpstr>
    </vt:vector>
  </TitlesOfParts>
  <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DR552 - Gowrie SA - Childcare and Early Childhood Learning - Public inquiry</dc:title>
  <dc:creator>Gowrie SA</dc:creator>
  <cp:lastModifiedBy>Pimperl, Mark</cp:lastModifiedBy>
  <cp:revision>4</cp:revision>
  <cp:lastPrinted>2014-07-31T03:04:00Z</cp:lastPrinted>
  <dcterms:created xsi:type="dcterms:W3CDTF">2014-08-28T06:34:00Z</dcterms:created>
  <dcterms:modified xsi:type="dcterms:W3CDTF">2014-09-04T02:08:00Z</dcterms:modified>
</cp:coreProperties>
</file>