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20FB7" w14:textId="77777777" w:rsidR="00D77823" w:rsidRDefault="00D77823" w:rsidP="001C5FC5">
      <w:bookmarkStart w:id="0" w:name="_GoBack"/>
      <w:bookmarkEnd w:id="0"/>
    </w:p>
    <w:p w14:paraId="58D20FB8" w14:textId="77777777" w:rsidR="00D77823" w:rsidRDefault="00D77823" w:rsidP="001C5FC5"/>
    <w:p w14:paraId="58D20FB9" w14:textId="77777777" w:rsidR="00D77823" w:rsidRDefault="00D77823" w:rsidP="001C5FC5"/>
    <w:p w14:paraId="58D20FBA" w14:textId="77777777" w:rsidR="00D77823" w:rsidRDefault="00D77823" w:rsidP="001C5FC5"/>
    <w:p w14:paraId="58D20FBB" w14:textId="77777777" w:rsidR="00D77823" w:rsidRDefault="00D77823" w:rsidP="001C5FC5"/>
    <w:p w14:paraId="58D20FBC" w14:textId="77777777" w:rsidR="00D77823" w:rsidRDefault="00D77823" w:rsidP="001C5FC5"/>
    <w:p w14:paraId="58D20FBD" w14:textId="77777777" w:rsidR="00D77823" w:rsidRDefault="00D77823" w:rsidP="001C5FC5"/>
    <w:p w14:paraId="58D20FBE" w14:textId="77777777" w:rsidR="00D77823" w:rsidRDefault="00D77823" w:rsidP="001C5FC5"/>
    <w:p w14:paraId="58D20FBF" w14:textId="77777777" w:rsidR="00D77823" w:rsidRDefault="00D77823" w:rsidP="001C5FC5"/>
    <w:p w14:paraId="58D20FC0" w14:textId="77777777" w:rsidR="00D77823" w:rsidRPr="00D77823" w:rsidRDefault="00D77823" w:rsidP="001C5FC5"/>
    <w:p w14:paraId="58D20FC1" w14:textId="7E3BE715" w:rsidR="00D77823" w:rsidRPr="00922B65" w:rsidRDefault="002E46C1" w:rsidP="002E46C1">
      <w:pPr>
        <w:pStyle w:val="HeaderTitle"/>
      </w:pPr>
      <w:r>
        <w:t>Response to</w:t>
      </w:r>
      <w:r w:rsidR="00B85842">
        <w:t xml:space="preserve"> the Productivity Commission’s draft report on </w:t>
      </w:r>
      <w:r w:rsidR="0071416F">
        <w:t>childcare and early childhood learning</w:t>
      </w:r>
    </w:p>
    <w:p w14:paraId="58D20FC3" w14:textId="77777777" w:rsidR="00D77823" w:rsidRPr="0079185A" w:rsidRDefault="00D77823" w:rsidP="001C5FC5"/>
    <w:p w14:paraId="58D20FC4" w14:textId="77777777" w:rsidR="00D77823" w:rsidRDefault="00D77823" w:rsidP="001C5FC5"/>
    <w:p w14:paraId="58D20FC5" w14:textId="77777777" w:rsidR="00C66ED7" w:rsidRDefault="00C66ED7" w:rsidP="001C5FC5"/>
    <w:p w14:paraId="58D20FC6" w14:textId="77777777" w:rsidR="00C66ED7" w:rsidRDefault="00C66ED7" w:rsidP="001C5FC5"/>
    <w:p w14:paraId="58D20FC7" w14:textId="77777777" w:rsidR="00C66ED7" w:rsidRPr="0079185A" w:rsidRDefault="00C66ED7" w:rsidP="001C5FC5"/>
    <w:p w14:paraId="58D20FC8" w14:textId="77777777" w:rsidR="00D77823" w:rsidRPr="0079185A" w:rsidRDefault="00D77823" w:rsidP="001C5FC5"/>
    <w:p w14:paraId="58D20FC9" w14:textId="71B766D5" w:rsidR="00D77823" w:rsidRPr="002E46C1" w:rsidRDefault="00D77823" w:rsidP="002E46C1">
      <w:pPr>
        <w:rPr>
          <w:b/>
          <w:i/>
        </w:rPr>
      </w:pPr>
      <w:r w:rsidRPr="002E46C1">
        <w:rPr>
          <w:b/>
          <w:i/>
        </w:rPr>
        <w:t xml:space="preserve">Version </w:t>
      </w:r>
      <w:r w:rsidR="0071416F" w:rsidRPr="002E46C1">
        <w:rPr>
          <w:b/>
          <w:i/>
        </w:rPr>
        <w:t>1</w:t>
      </w:r>
      <w:r w:rsidRPr="002E46C1">
        <w:rPr>
          <w:b/>
          <w:i/>
        </w:rPr>
        <w:t xml:space="preserve">.0 as at </w:t>
      </w:r>
      <w:r w:rsidR="00651F4A">
        <w:rPr>
          <w:b/>
          <w:i/>
        </w:rPr>
        <w:t>02/09/2014</w:t>
      </w:r>
    </w:p>
    <w:p w14:paraId="58D20FCA" w14:textId="77777777" w:rsidR="00793228" w:rsidRDefault="00793228" w:rsidP="002E46C1"/>
    <w:p w14:paraId="098AF73C" w14:textId="071DC429" w:rsidR="002E46C1" w:rsidRDefault="002E46C1" w:rsidP="002E46C1"/>
    <w:p w14:paraId="553C588C" w14:textId="77777777" w:rsidR="002E46C1" w:rsidRDefault="002E46C1" w:rsidP="002E46C1"/>
    <w:p w14:paraId="2D661F63" w14:textId="77777777" w:rsidR="002E46C1" w:rsidRDefault="002E46C1" w:rsidP="002E46C1"/>
    <w:p w14:paraId="1B94868F" w14:textId="77777777" w:rsidR="002E46C1" w:rsidRDefault="002E46C1" w:rsidP="002E46C1"/>
    <w:p w14:paraId="7B4D21AD" w14:textId="77777777" w:rsidR="002E46C1" w:rsidRDefault="002E46C1" w:rsidP="002E46C1"/>
    <w:p w14:paraId="2366A615" w14:textId="77777777" w:rsidR="002E46C1" w:rsidRDefault="002E46C1" w:rsidP="002E46C1"/>
    <w:p w14:paraId="058A6382" w14:textId="77777777" w:rsidR="002E46C1" w:rsidRDefault="002E46C1" w:rsidP="002E46C1"/>
    <w:p w14:paraId="58D20FCB" w14:textId="77777777" w:rsidR="00793228" w:rsidRDefault="00793228" w:rsidP="002E46C1"/>
    <w:tbl>
      <w:tblPr>
        <w:tblW w:w="0" w:type="auto"/>
        <w:tblBorders>
          <w:top w:val="single" w:sz="24" w:space="0" w:color="808080" w:themeColor="background1" w:themeShade="80"/>
          <w:bottom w:val="single" w:sz="24"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1951"/>
        <w:gridCol w:w="7903"/>
      </w:tblGrid>
      <w:tr w:rsidR="00793228" w14:paraId="58D20FCE" w14:textId="77777777" w:rsidTr="00793228">
        <w:tc>
          <w:tcPr>
            <w:tcW w:w="1951" w:type="dxa"/>
            <w:tcBorders>
              <w:top w:val="single" w:sz="24" w:space="0" w:color="808080" w:themeColor="background1" w:themeShade="80"/>
              <w:bottom w:val="single" w:sz="8" w:space="0" w:color="808080" w:themeColor="background1" w:themeShade="80"/>
            </w:tcBorders>
            <w:shd w:val="clear" w:color="auto" w:fill="F0F0F0"/>
          </w:tcPr>
          <w:p w14:paraId="58D20FCC" w14:textId="77777777" w:rsidR="00793228" w:rsidRPr="00B71679" w:rsidRDefault="00793228" w:rsidP="00B85842">
            <w:pPr>
              <w:rPr>
                <w:sz w:val="20"/>
                <w:szCs w:val="20"/>
              </w:rPr>
            </w:pPr>
          </w:p>
        </w:tc>
        <w:tc>
          <w:tcPr>
            <w:tcW w:w="7903" w:type="dxa"/>
          </w:tcPr>
          <w:p w14:paraId="58D20FCD" w14:textId="77777777" w:rsidR="00793228" w:rsidRPr="00B71679" w:rsidRDefault="00793228" w:rsidP="00B85842">
            <w:pPr>
              <w:rPr>
                <w:sz w:val="20"/>
                <w:szCs w:val="20"/>
              </w:rPr>
            </w:pPr>
          </w:p>
        </w:tc>
      </w:tr>
      <w:tr w:rsidR="00793228" w14:paraId="58D20FD1" w14:textId="77777777" w:rsidTr="00793228">
        <w:trPr>
          <w:trHeight w:val="376"/>
        </w:trPr>
        <w:tc>
          <w:tcPr>
            <w:tcW w:w="1951" w:type="dxa"/>
            <w:tcBorders>
              <w:top w:val="single" w:sz="8" w:space="0" w:color="808080" w:themeColor="background1" w:themeShade="80"/>
              <w:bottom w:val="single" w:sz="8" w:space="0" w:color="808080" w:themeColor="background1" w:themeShade="80"/>
            </w:tcBorders>
            <w:shd w:val="clear" w:color="auto" w:fill="F0F0F0"/>
          </w:tcPr>
          <w:p w14:paraId="58D20FCF" w14:textId="77777777" w:rsidR="00793228" w:rsidRPr="00B71679" w:rsidRDefault="00793228" w:rsidP="00B85842">
            <w:pPr>
              <w:rPr>
                <w:sz w:val="20"/>
                <w:szCs w:val="20"/>
              </w:rPr>
            </w:pPr>
          </w:p>
        </w:tc>
        <w:tc>
          <w:tcPr>
            <w:tcW w:w="7903" w:type="dxa"/>
          </w:tcPr>
          <w:p w14:paraId="58D20FD0" w14:textId="77777777" w:rsidR="00793228" w:rsidRPr="006A5B41" w:rsidRDefault="00793228" w:rsidP="00B85842">
            <w:pPr>
              <w:rPr>
                <w:sz w:val="20"/>
                <w:szCs w:val="20"/>
              </w:rPr>
            </w:pPr>
          </w:p>
        </w:tc>
      </w:tr>
      <w:tr w:rsidR="00793228" w14:paraId="58D20FD4" w14:textId="77777777" w:rsidTr="00793228">
        <w:tc>
          <w:tcPr>
            <w:tcW w:w="1951" w:type="dxa"/>
            <w:tcBorders>
              <w:top w:val="single" w:sz="8" w:space="0" w:color="808080" w:themeColor="background1" w:themeShade="80"/>
              <w:bottom w:val="single" w:sz="8" w:space="0" w:color="808080" w:themeColor="background1" w:themeShade="80"/>
            </w:tcBorders>
            <w:shd w:val="clear" w:color="auto" w:fill="F0F0F0"/>
          </w:tcPr>
          <w:p w14:paraId="58D20FD2" w14:textId="77777777" w:rsidR="00793228" w:rsidRPr="00B71679" w:rsidRDefault="00793228" w:rsidP="00B85842">
            <w:pPr>
              <w:rPr>
                <w:sz w:val="20"/>
                <w:szCs w:val="20"/>
              </w:rPr>
            </w:pPr>
          </w:p>
        </w:tc>
        <w:tc>
          <w:tcPr>
            <w:tcW w:w="7903" w:type="dxa"/>
          </w:tcPr>
          <w:p w14:paraId="58D20FD3" w14:textId="77777777" w:rsidR="00793228" w:rsidRPr="006A5B41" w:rsidRDefault="00793228" w:rsidP="00B85842">
            <w:pPr>
              <w:rPr>
                <w:sz w:val="20"/>
                <w:szCs w:val="20"/>
              </w:rPr>
            </w:pPr>
          </w:p>
        </w:tc>
      </w:tr>
      <w:tr w:rsidR="00793228" w14:paraId="58D20FD7" w14:textId="77777777" w:rsidTr="00793228">
        <w:tc>
          <w:tcPr>
            <w:tcW w:w="1951" w:type="dxa"/>
            <w:tcBorders>
              <w:top w:val="single" w:sz="8" w:space="0" w:color="808080" w:themeColor="background1" w:themeShade="80"/>
              <w:bottom w:val="single" w:sz="8" w:space="0" w:color="808080" w:themeColor="background1" w:themeShade="80"/>
            </w:tcBorders>
            <w:shd w:val="clear" w:color="auto" w:fill="F0F0F0"/>
          </w:tcPr>
          <w:p w14:paraId="58D20FD5" w14:textId="77777777" w:rsidR="00793228" w:rsidRPr="00B71679" w:rsidRDefault="00793228" w:rsidP="00B85842">
            <w:pPr>
              <w:rPr>
                <w:sz w:val="20"/>
                <w:szCs w:val="20"/>
              </w:rPr>
            </w:pPr>
          </w:p>
        </w:tc>
        <w:tc>
          <w:tcPr>
            <w:tcW w:w="7903" w:type="dxa"/>
          </w:tcPr>
          <w:p w14:paraId="58D20FD6" w14:textId="77777777" w:rsidR="00793228" w:rsidRPr="006A5B41" w:rsidRDefault="00793228" w:rsidP="00B85842">
            <w:pPr>
              <w:rPr>
                <w:sz w:val="20"/>
                <w:szCs w:val="20"/>
              </w:rPr>
            </w:pPr>
          </w:p>
        </w:tc>
      </w:tr>
      <w:tr w:rsidR="00793228" w14:paraId="58D20FDA" w14:textId="77777777" w:rsidTr="00793228">
        <w:tc>
          <w:tcPr>
            <w:tcW w:w="1951" w:type="dxa"/>
            <w:tcBorders>
              <w:top w:val="single" w:sz="8" w:space="0" w:color="808080" w:themeColor="background1" w:themeShade="80"/>
              <w:bottom w:val="single" w:sz="24" w:space="0" w:color="808080" w:themeColor="background1" w:themeShade="80"/>
            </w:tcBorders>
            <w:shd w:val="clear" w:color="auto" w:fill="F0F0F0"/>
          </w:tcPr>
          <w:p w14:paraId="58D20FD8" w14:textId="77777777" w:rsidR="00793228" w:rsidRPr="00B71679" w:rsidRDefault="00793228" w:rsidP="00B85842">
            <w:pPr>
              <w:rPr>
                <w:sz w:val="20"/>
                <w:szCs w:val="20"/>
              </w:rPr>
            </w:pPr>
            <w:r w:rsidRPr="00B71679">
              <w:rPr>
                <w:sz w:val="20"/>
                <w:szCs w:val="20"/>
              </w:rPr>
              <w:t>Document status:</w:t>
            </w:r>
          </w:p>
        </w:tc>
        <w:tc>
          <w:tcPr>
            <w:tcW w:w="7903" w:type="dxa"/>
          </w:tcPr>
          <w:p w14:paraId="58D20FD9" w14:textId="5A734B94" w:rsidR="00793228" w:rsidRPr="006A5B41" w:rsidRDefault="00651F4A" w:rsidP="0071416F">
            <w:pPr>
              <w:rPr>
                <w:sz w:val="20"/>
                <w:szCs w:val="20"/>
              </w:rPr>
            </w:pPr>
            <w:r>
              <w:rPr>
                <w:sz w:val="20"/>
                <w:szCs w:val="20"/>
              </w:rPr>
              <w:t>Final</w:t>
            </w:r>
          </w:p>
        </w:tc>
      </w:tr>
    </w:tbl>
    <w:p w14:paraId="58D20FDB" w14:textId="77777777" w:rsidR="00793228" w:rsidRPr="001C5FC5" w:rsidRDefault="00793228" w:rsidP="002E46C1"/>
    <w:p w14:paraId="58D20FDC" w14:textId="77777777" w:rsidR="00D77823" w:rsidRPr="00922B65" w:rsidRDefault="00D77823" w:rsidP="001C5FC5">
      <w:pPr>
        <w:rPr>
          <w:sz w:val="2"/>
          <w:szCs w:val="2"/>
        </w:rPr>
      </w:pPr>
      <w:r>
        <w:br w:type="page"/>
      </w:r>
    </w:p>
    <w:p w14:paraId="58D20FDD" w14:textId="77777777" w:rsidR="00D77823" w:rsidRPr="00C346B7" w:rsidRDefault="00D77823" w:rsidP="001C5FC5">
      <w:pPr>
        <w:pStyle w:val="TOCHeading"/>
      </w:pPr>
      <w:r w:rsidRPr="00C346B7">
        <w:lastRenderedPageBreak/>
        <w:t>Contents</w:t>
      </w:r>
    </w:p>
    <w:p w14:paraId="0B5805EC" w14:textId="77777777" w:rsidR="00651F4A" w:rsidRDefault="00997B50">
      <w:pPr>
        <w:pStyle w:val="TOC1"/>
        <w:rPr>
          <w:rFonts w:asciiTheme="minorHAnsi" w:eastAsiaTheme="minorEastAsia" w:hAnsiTheme="minorHAnsi" w:cstheme="minorBidi"/>
          <w:noProof/>
          <w:lang w:val="en-AU"/>
        </w:rPr>
      </w:pPr>
      <w:r>
        <w:rPr>
          <w:rStyle w:val="Hyperlink"/>
          <w:noProof/>
        </w:rPr>
        <w:fldChar w:fldCharType="begin"/>
      </w:r>
      <w:r>
        <w:rPr>
          <w:rStyle w:val="Hyperlink"/>
          <w:noProof/>
        </w:rPr>
        <w:instrText xml:space="preserve"> TOC \o "1-2" \h \z \u </w:instrText>
      </w:r>
      <w:r>
        <w:rPr>
          <w:rStyle w:val="Hyperlink"/>
          <w:noProof/>
        </w:rPr>
        <w:fldChar w:fldCharType="separate"/>
      </w:r>
      <w:hyperlink w:anchor="_Toc397430790" w:history="1">
        <w:r w:rsidR="00651F4A" w:rsidRPr="00331861">
          <w:rPr>
            <w:rStyle w:val="Hyperlink"/>
            <w:noProof/>
          </w:rPr>
          <w:t>Executive Summary</w:t>
        </w:r>
        <w:r w:rsidR="00651F4A">
          <w:rPr>
            <w:noProof/>
            <w:webHidden/>
          </w:rPr>
          <w:tab/>
        </w:r>
        <w:r w:rsidR="00651F4A">
          <w:rPr>
            <w:noProof/>
            <w:webHidden/>
          </w:rPr>
          <w:fldChar w:fldCharType="begin"/>
        </w:r>
        <w:r w:rsidR="00651F4A">
          <w:rPr>
            <w:noProof/>
            <w:webHidden/>
          </w:rPr>
          <w:instrText xml:space="preserve"> PAGEREF _Toc397430790 \h </w:instrText>
        </w:r>
        <w:r w:rsidR="00651F4A">
          <w:rPr>
            <w:noProof/>
            <w:webHidden/>
          </w:rPr>
        </w:r>
        <w:r w:rsidR="00651F4A">
          <w:rPr>
            <w:noProof/>
            <w:webHidden/>
          </w:rPr>
          <w:fldChar w:fldCharType="separate"/>
        </w:r>
        <w:r w:rsidR="000F351E">
          <w:rPr>
            <w:noProof/>
            <w:webHidden/>
          </w:rPr>
          <w:t>4</w:t>
        </w:r>
        <w:r w:rsidR="00651F4A">
          <w:rPr>
            <w:noProof/>
            <w:webHidden/>
          </w:rPr>
          <w:fldChar w:fldCharType="end"/>
        </w:r>
      </w:hyperlink>
    </w:p>
    <w:p w14:paraId="4AE7ECED" w14:textId="77777777" w:rsidR="00651F4A" w:rsidRDefault="00C73F59">
      <w:pPr>
        <w:pStyle w:val="TOC1"/>
        <w:rPr>
          <w:rFonts w:asciiTheme="minorHAnsi" w:eastAsiaTheme="minorEastAsia" w:hAnsiTheme="minorHAnsi" w:cstheme="minorBidi"/>
          <w:noProof/>
          <w:lang w:val="en-AU"/>
        </w:rPr>
      </w:pPr>
      <w:hyperlink w:anchor="_Toc397430791" w:history="1">
        <w:r w:rsidR="00651F4A" w:rsidRPr="00331861">
          <w:rPr>
            <w:rStyle w:val="Hyperlink"/>
            <w:noProof/>
          </w:rPr>
          <w:t>Introduction</w:t>
        </w:r>
        <w:r w:rsidR="00651F4A">
          <w:rPr>
            <w:noProof/>
            <w:webHidden/>
          </w:rPr>
          <w:tab/>
        </w:r>
        <w:r w:rsidR="00651F4A">
          <w:rPr>
            <w:noProof/>
            <w:webHidden/>
          </w:rPr>
          <w:fldChar w:fldCharType="begin"/>
        </w:r>
        <w:r w:rsidR="00651F4A">
          <w:rPr>
            <w:noProof/>
            <w:webHidden/>
          </w:rPr>
          <w:instrText xml:space="preserve"> PAGEREF _Toc397430791 \h </w:instrText>
        </w:r>
        <w:r w:rsidR="00651F4A">
          <w:rPr>
            <w:noProof/>
            <w:webHidden/>
          </w:rPr>
        </w:r>
        <w:r w:rsidR="00651F4A">
          <w:rPr>
            <w:noProof/>
            <w:webHidden/>
          </w:rPr>
          <w:fldChar w:fldCharType="separate"/>
        </w:r>
        <w:r w:rsidR="000F351E">
          <w:rPr>
            <w:noProof/>
            <w:webHidden/>
          </w:rPr>
          <w:t>4</w:t>
        </w:r>
        <w:r w:rsidR="00651F4A">
          <w:rPr>
            <w:noProof/>
            <w:webHidden/>
          </w:rPr>
          <w:fldChar w:fldCharType="end"/>
        </w:r>
      </w:hyperlink>
    </w:p>
    <w:p w14:paraId="3E7910CC" w14:textId="77777777" w:rsidR="00651F4A" w:rsidRDefault="00C73F59">
      <w:pPr>
        <w:pStyle w:val="TOC2"/>
        <w:rPr>
          <w:rFonts w:asciiTheme="minorHAnsi" w:eastAsiaTheme="minorEastAsia" w:hAnsiTheme="minorHAnsi" w:cstheme="minorBidi"/>
          <w:noProof/>
          <w:lang w:val="en-AU"/>
        </w:rPr>
      </w:pPr>
      <w:hyperlink w:anchor="_Toc397430792" w:history="1">
        <w:r w:rsidR="00651F4A" w:rsidRPr="00331861">
          <w:rPr>
            <w:rStyle w:val="Hyperlink"/>
            <w:noProof/>
          </w:rPr>
          <w:t>About Churches of Christ Care</w:t>
        </w:r>
        <w:r w:rsidR="00651F4A">
          <w:rPr>
            <w:noProof/>
            <w:webHidden/>
          </w:rPr>
          <w:tab/>
        </w:r>
        <w:r w:rsidR="00651F4A">
          <w:rPr>
            <w:noProof/>
            <w:webHidden/>
          </w:rPr>
          <w:fldChar w:fldCharType="begin"/>
        </w:r>
        <w:r w:rsidR="00651F4A">
          <w:rPr>
            <w:noProof/>
            <w:webHidden/>
          </w:rPr>
          <w:instrText xml:space="preserve"> PAGEREF _Toc397430792 \h </w:instrText>
        </w:r>
        <w:r w:rsidR="00651F4A">
          <w:rPr>
            <w:noProof/>
            <w:webHidden/>
          </w:rPr>
        </w:r>
        <w:r w:rsidR="00651F4A">
          <w:rPr>
            <w:noProof/>
            <w:webHidden/>
          </w:rPr>
          <w:fldChar w:fldCharType="separate"/>
        </w:r>
        <w:r w:rsidR="000F351E">
          <w:rPr>
            <w:noProof/>
            <w:webHidden/>
          </w:rPr>
          <w:t>4</w:t>
        </w:r>
        <w:r w:rsidR="00651F4A">
          <w:rPr>
            <w:noProof/>
            <w:webHidden/>
          </w:rPr>
          <w:fldChar w:fldCharType="end"/>
        </w:r>
      </w:hyperlink>
    </w:p>
    <w:p w14:paraId="45862DA3" w14:textId="77777777" w:rsidR="00651F4A" w:rsidRDefault="00C73F59">
      <w:pPr>
        <w:pStyle w:val="TOC1"/>
        <w:rPr>
          <w:rFonts w:asciiTheme="minorHAnsi" w:eastAsiaTheme="minorEastAsia" w:hAnsiTheme="minorHAnsi" w:cstheme="minorBidi"/>
          <w:noProof/>
          <w:lang w:val="en-AU"/>
        </w:rPr>
      </w:pPr>
      <w:hyperlink w:anchor="_Toc397430793" w:history="1">
        <w:r w:rsidR="00651F4A" w:rsidRPr="00331861">
          <w:rPr>
            <w:rStyle w:val="Hyperlink"/>
            <w:noProof/>
          </w:rPr>
          <w:t>Quality</w:t>
        </w:r>
        <w:r w:rsidR="00651F4A">
          <w:rPr>
            <w:noProof/>
            <w:webHidden/>
          </w:rPr>
          <w:tab/>
        </w:r>
        <w:r w:rsidR="00651F4A">
          <w:rPr>
            <w:noProof/>
            <w:webHidden/>
          </w:rPr>
          <w:fldChar w:fldCharType="begin"/>
        </w:r>
        <w:r w:rsidR="00651F4A">
          <w:rPr>
            <w:noProof/>
            <w:webHidden/>
          </w:rPr>
          <w:instrText xml:space="preserve"> PAGEREF _Toc397430793 \h </w:instrText>
        </w:r>
        <w:r w:rsidR="00651F4A">
          <w:rPr>
            <w:noProof/>
            <w:webHidden/>
          </w:rPr>
        </w:r>
        <w:r w:rsidR="00651F4A">
          <w:rPr>
            <w:noProof/>
            <w:webHidden/>
          </w:rPr>
          <w:fldChar w:fldCharType="separate"/>
        </w:r>
        <w:r w:rsidR="000F351E">
          <w:rPr>
            <w:noProof/>
            <w:webHidden/>
          </w:rPr>
          <w:t>5</w:t>
        </w:r>
        <w:r w:rsidR="00651F4A">
          <w:rPr>
            <w:noProof/>
            <w:webHidden/>
          </w:rPr>
          <w:fldChar w:fldCharType="end"/>
        </w:r>
      </w:hyperlink>
    </w:p>
    <w:p w14:paraId="4791A3A6" w14:textId="77777777" w:rsidR="00651F4A" w:rsidRDefault="00C73F59">
      <w:pPr>
        <w:pStyle w:val="TOC2"/>
        <w:rPr>
          <w:rFonts w:asciiTheme="minorHAnsi" w:eastAsiaTheme="minorEastAsia" w:hAnsiTheme="minorHAnsi" w:cstheme="minorBidi"/>
          <w:noProof/>
          <w:lang w:val="en-AU"/>
        </w:rPr>
      </w:pPr>
      <w:hyperlink w:anchor="_Toc397430794" w:history="1">
        <w:r w:rsidR="00651F4A" w:rsidRPr="00331861">
          <w:rPr>
            <w:rStyle w:val="Hyperlink"/>
            <w:noProof/>
          </w:rPr>
          <w:t>Qualifications of providers</w:t>
        </w:r>
        <w:r w:rsidR="00651F4A">
          <w:rPr>
            <w:noProof/>
            <w:webHidden/>
          </w:rPr>
          <w:tab/>
        </w:r>
        <w:r w:rsidR="00651F4A">
          <w:rPr>
            <w:noProof/>
            <w:webHidden/>
          </w:rPr>
          <w:fldChar w:fldCharType="begin"/>
        </w:r>
        <w:r w:rsidR="00651F4A">
          <w:rPr>
            <w:noProof/>
            <w:webHidden/>
          </w:rPr>
          <w:instrText xml:space="preserve"> PAGEREF _Toc397430794 \h </w:instrText>
        </w:r>
        <w:r w:rsidR="00651F4A">
          <w:rPr>
            <w:noProof/>
            <w:webHidden/>
          </w:rPr>
        </w:r>
        <w:r w:rsidR="00651F4A">
          <w:rPr>
            <w:noProof/>
            <w:webHidden/>
          </w:rPr>
          <w:fldChar w:fldCharType="separate"/>
        </w:r>
        <w:r w:rsidR="000F351E">
          <w:rPr>
            <w:noProof/>
            <w:webHidden/>
          </w:rPr>
          <w:t>5</w:t>
        </w:r>
        <w:r w:rsidR="00651F4A">
          <w:rPr>
            <w:noProof/>
            <w:webHidden/>
          </w:rPr>
          <w:fldChar w:fldCharType="end"/>
        </w:r>
      </w:hyperlink>
    </w:p>
    <w:p w14:paraId="3940048D" w14:textId="77777777" w:rsidR="00651F4A" w:rsidRDefault="00C73F59">
      <w:pPr>
        <w:pStyle w:val="TOC2"/>
        <w:rPr>
          <w:rFonts w:asciiTheme="minorHAnsi" w:eastAsiaTheme="minorEastAsia" w:hAnsiTheme="minorHAnsi" w:cstheme="minorBidi"/>
          <w:noProof/>
          <w:lang w:val="en-AU"/>
        </w:rPr>
      </w:pPr>
      <w:hyperlink w:anchor="_Toc397430795" w:history="1">
        <w:r w:rsidR="00651F4A" w:rsidRPr="00331861">
          <w:rPr>
            <w:rStyle w:val="Hyperlink"/>
            <w:noProof/>
          </w:rPr>
          <w:t>Expanding the scope of the National Quality Framework</w:t>
        </w:r>
        <w:r w:rsidR="00651F4A">
          <w:rPr>
            <w:noProof/>
            <w:webHidden/>
          </w:rPr>
          <w:tab/>
        </w:r>
        <w:r w:rsidR="00651F4A">
          <w:rPr>
            <w:noProof/>
            <w:webHidden/>
          </w:rPr>
          <w:fldChar w:fldCharType="begin"/>
        </w:r>
        <w:r w:rsidR="00651F4A">
          <w:rPr>
            <w:noProof/>
            <w:webHidden/>
          </w:rPr>
          <w:instrText xml:space="preserve"> PAGEREF _Toc397430795 \h </w:instrText>
        </w:r>
        <w:r w:rsidR="00651F4A">
          <w:rPr>
            <w:noProof/>
            <w:webHidden/>
          </w:rPr>
        </w:r>
        <w:r w:rsidR="00651F4A">
          <w:rPr>
            <w:noProof/>
            <w:webHidden/>
          </w:rPr>
          <w:fldChar w:fldCharType="separate"/>
        </w:r>
        <w:r w:rsidR="000F351E">
          <w:rPr>
            <w:noProof/>
            <w:webHidden/>
          </w:rPr>
          <w:t>6</w:t>
        </w:r>
        <w:r w:rsidR="00651F4A">
          <w:rPr>
            <w:noProof/>
            <w:webHidden/>
          </w:rPr>
          <w:fldChar w:fldCharType="end"/>
        </w:r>
      </w:hyperlink>
    </w:p>
    <w:p w14:paraId="67FB689E" w14:textId="77777777" w:rsidR="00651F4A" w:rsidRDefault="00C73F59">
      <w:pPr>
        <w:pStyle w:val="TOC2"/>
        <w:rPr>
          <w:rFonts w:asciiTheme="minorHAnsi" w:eastAsiaTheme="minorEastAsia" w:hAnsiTheme="minorHAnsi" w:cstheme="minorBidi"/>
          <w:noProof/>
          <w:lang w:val="en-AU"/>
        </w:rPr>
      </w:pPr>
      <w:hyperlink w:anchor="_Toc397430796" w:history="1">
        <w:r w:rsidR="00651F4A" w:rsidRPr="00331861">
          <w:rPr>
            <w:rStyle w:val="Hyperlink"/>
            <w:noProof/>
          </w:rPr>
          <w:t>Moving preschool services into schools</w:t>
        </w:r>
        <w:r w:rsidR="00651F4A">
          <w:rPr>
            <w:noProof/>
            <w:webHidden/>
          </w:rPr>
          <w:tab/>
        </w:r>
        <w:r w:rsidR="00651F4A">
          <w:rPr>
            <w:noProof/>
            <w:webHidden/>
          </w:rPr>
          <w:fldChar w:fldCharType="begin"/>
        </w:r>
        <w:r w:rsidR="00651F4A">
          <w:rPr>
            <w:noProof/>
            <w:webHidden/>
          </w:rPr>
          <w:instrText xml:space="preserve"> PAGEREF _Toc397430796 \h </w:instrText>
        </w:r>
        <w:r w:rsidR="00651F4A">
          <w:rPr>
            <w:noProof/>
            <w:webHidden/>
          </w:rPr>
        </w:r>
        <w:r w:rsidR="00651F4A">
          <w:rPr>
            <w:noProof/>
            <w:webHidden/>
          </w:rPr>
          <w:fldChar w:fldCharType="separate"/>
        </w:r>
        <w:r w:rsidR="000F351E">
          <w:rPr>
            <w:noProof/>
            <w:webHidden/>
          </w:rPr>
          <w:t>6</w:t>
        </w:r>
        <w:r w:rsidR="00651F4A">
          <w:rPr>
            <w:noProof/>
            <w:webHidden/>
          </w:rPr>
          <w:fldChar w:fldCharType="end"/>
        </w:r>
      </w:hyperlink>
    </w:p>
    <w:p w14:paraId="32E9559C" w14:textId="77777777" w:rsidR="00651F4A" w:rsidRDefault="00C73F59">
      <w:pPr>
        <w:pStyle w:val="TOC1"/>
        <w:rPr>
          <w:rFonts w:asciiTheme="minorHAnsi" w:eastAsiaTheme="minorEastAsia" w:hAnsiTheme="minorHAnsi" w:cstheme="minorBidi"/>
          <w:noProof/>
          <w:lang w:val="en-AU"/>
        </w:rPr>
      </w:pPr>
      <w:hyperlink w:anchor="_Toc397430797" w:history="1">
        <w:r w:rsidR="00651F4A" w:rsidRPr="00331861">
          <w:rPr>
            <w:rStyle w:val="Hyperlink"/>
            <w:noProof/>
          </w:rPr>
          <w:t>Access</w:t>
        </w:r>
        <w:r w:rsidR="00651F4A">
          <w:rPr>
            <w:noProof/>
            <w:webHidden/>
          </w:rPr>
          <w:tab/>
        </w:r>
        <w:r w:rsidR="00651F4A">
          <w:rPr>
            <w:noProof/>
            <w:webHidden/>
          </w:rPr>
          <w:fldChar w:fldCharType="begin"/>
        </w:r>
        <w:r w:rsidR="00651F4A">
          <w:rPr>
            <w:noProof/>
            <w:webHidden/>
          </w:rPr>
          <w:instrText xml:space="preserve"> PAGEREF _Toc397430797 \h </w:instrText>
        </w:r>
        <w:r w:rsidR="00651F4A">
          <w:rPr>
            <w:noProof/>
            <w:webHidden/>
          </w:rPr>
        </w:r>
        <w:r w:rsidR="00651F4A">
          <w:rPr>
            <w:noProof/>
            <w:webHidden/>
          </w:rPr>
          <w:fldChar w:fldCharType="separate"/>
        </w:r>
        <w:r w:rsidR="000F351E">
          <w:rPr>
            <w:noProof/>
            <w:webHidden/>
          </w:rPr>
          <w:t>7</w:t>
        </w:r>
        <w:r w:rsidR="00651F4A">
          <w:rPr>
            <w:noProof/>
            <w:webHidden/>
          </w:rPr>
          <w:fldChar w:fldCharType="end"/>
        </w:r>
      </w:hyperlink>
    </w:p>
    <w:p w14:paraId="3C85FDD7" w14:textId="77777777" w:rsidR="00651F4A" w:rsidRDefault="00C73F59">
      <w:pPr>
        <w:pStyle w:val="TOC2"/>
        <w:rPr>
          <w:rFonts w:asciiTheme="minorHAnsi" w:eastAsiaTheme="minorEastAsia" w:hAnsiTheme="minorHAnsi" w:cstheme="minorBidi"/>
          <w:noProof/>
          <w:lang w:val="en-AU"/>
        </w:rPr>
      </w:pPr>
      <w:hyperlink w:anchor="_Toc397430798" w:history="1">
        <w:r w:rsidR="00651F4A" w:rsidRPr="00331861">
          <w:rPr>
            <w:rStyle w:val="Hyperlink"/>
            <w:noProof/>
          </w:rPr>
          <w:t>Delivering services to children with additional needs</w:t>
        </w:r>
        <w:r w:rsidR="00651F4A">
          <w:rPr>
            <w:noProof/>
            <w:webHidden/>
          </w:rPr>
          <w:tab/>
        </w:r>
        <w:r w:rsidR="00651F4A">
          <w:rPr>
            <w:noProof/>
            <w:webHidden/>
          </w:rPr>
          <w:fldChar w:fldCharType="begin"/>
        </w:r>
        <w:r w:rsidR="00651F4A">
          <w:rPr>
            <w:noProof/>
            <w:webHidden/>
          </w:rPr>
          <w:instrText xml:space="preserve"> PAGEREF _Toc397430798 \h </w:instrText>
        </w:r>
        <w:r w:rsidR="00651F4A">
          <w:rPr>
            <w:noProof/>
            <w:webHidden/>
          </w:rPr>
        </w:r>
        <w:r w:rsidR="00651F4A">
          <w:rPr>
            <w:noProof/>
            <w:webHidden/>
          </w:rPr>
          <w:fldChar w:fldCharType="separate"/>
        </w:r>
        <w:r w:rsidR="000F351E">
          <w:rPr>
            <w:noProof/>
            <w:webHidden/>
          </w:rPr>
          <w:t>7</w:t>
        </w:r>
        <w:r w:rsidR="00651F4A">
          <w:rPr>
            <w:noProof/>
            <w:webHidden/>
          </w:rPr>
          <w:fldChar w:fldCharType="end"/>
        </w:r>
      </w:hyperlink>
    </w:p>
    <w:p w14:paraId="7B67F579" w14:textId="47D88C39" w:rsidR="00651F4A" w:rsidRDefault="00C73F59">
      <w:pPr>
        <w:pStyle w:val="TOC1"/>
        <w:rPr>
          <w:rFonts w:asciiTheme="minorHAnsi" w:eastAsiaTheme="minorEastAsia" w:hAnsiTheme="minorHAnsi" w:cstheme="minorBidi"/>
          <w:noProof/>
          <w:lang w:val="en-AU"/>
        </w:rPr>
      </w:pPr>
      <w:hyperlink w:anchor="_Toc397430799" w:history="1">
        <w:r w:rsidR="00651F4A" w:rsidRPr="00331861">
          <w:rPr>
            <w:rStyle w:val="Hyperlink"/>
            <w:noProof/>
          </w:rPr>
          <w:t>Cost</w:t>
        </w:r>
        <w:r w:rsidR="00651F4A">
          <w:rPr>
            <w:noProof/>
            <w:webHidden/>
          </w:rPr>
          <w:tab/>
        </w:r>
        <w:r w:rsidR="00651F4A">
          <w:rPr>
            <w:noProof/>
            <w:webHidden/>
          </w:rPr>
          <w:tab/>
        </w:r>
        <w:r w:rsidR="00651F4A">
          <w:rPr>
            <w:noProof/>
            <w:webHidden/>
          </w:rPr>
          <w:fldChar w:fldCharType="begin"/>
        </w:r>
        <w:r w:rsidR="00651F4A">
          <w:rPr>
            <w:noProof/>
            <w:webHidden/>
          </w:rPr>
          <w:instrText xml:space="preserve"> PAGEREF _Toc397430799 \h </w:instrText>
        </w:r>
        <w:r w:rsidR="00651F4A">
          <w:rPr>
            <w:noProof/>
            <w:webHidden/>
          </w:rPr>
        </w:r>
        <w:r w:rsidR="00651F4A">
          <w:rPr>
            <w:noProof/>
            <w:webHidden/>
          </w:rPr>
          <w:fldChar w:fldCharType="separate"/>
        </w:r>
        <w:r w:rsidR="000F351E">
          <w:rPr>
            <w:noProof/>
            <w:webHidden/>
          </w:rPr>
          <w:t>8</w:t>
        </w:r>
        <w:r w:rsidR="00651F4A">
          <w:rPr>
            <w:noProof/>
            <w:webHidden/>
          </w:rPr>
          <w:fldChar w:fldCharType="end"/>
        </w:r>
      </w:hyperlink>
    </w:p>
    <w:p w14:paraId="5E411106" w14:textId="77777777" w:rsidR="00651F4A" w:rsidRDefault="00C73F59">
      <w:pPr>
        <w:pStyle w:val="TOC2"/>
        <w:rPr>
          <w:rFonts w:asciiTheme="minorHAnsi" w:eastAsiaTheme="minorEastAsia" w:hAnsiTheme="minorHAnsi" w:cstheme="minorBidi"/>
          <w:noProof/>
          <w:lang w:val="en-AU"/>
        </w:rPr>
      </w:pPr>
      <w:hyperlink w:anchor="_Toc397430800" w:history="1">
        <w:r w:rsidR="00651F4A" w:rsidRPr="00331861">
          <w:rPr>
            <w:rStyle w:val="Hyperlink"/>
            <w:noProof/>
          </w:rPr>
          <w:t>Establishing a deemed cost of delivering ECEC services</w:t>
        </w:r>
        <w:r w:rsidR="00651F4A">
          <w:rPr>
            <w:noProof/>
            <w:webHidden/>
          </w:rPr>
          <w:tab/>
        </w:r>
        <w:r w:rsidR="00651F4A">
          <w:rPr>
            <w:noProof/>
            <w:webHidden/>
          </w:rPr>
          <w:fldChar w:fldCharType="begin"/>
        </w:r>
        <w:r w:rsidR="00651F4A">
          <w:rPr>
            <w:noProof/>
            <w:webHidden/>
          </w:rPr>
          <w:instrText xml:space="preserve"> PAGEREF _Toc397430800 \h </w:instrText>
        </w:r>
        <w:r w:rsidR="00651F4A">
          <w:rPr>
            <w:noProof/>
            <w:webHidden/>
          </w:rPr>
        </w:r>
        <w:r w:rsidR="00651F4A">
          <w:rPr>
            <w:noProof/>
            <w:webHidden/>
          </w:rPr>
          <w:fldChar w:fldCharType="separate"/>
        </w:r>
        <w:r w:rsidR="000F351E">
          <w:rPr>
            <w:noProof/>
            <w:webHidden/>
          </w:rPr>
          <w:t>8</w:t>
        </w:r>
        <w:r w:rsidR="00651F4A">
          <w:rPr>
            <w:noProof/>
            <w:webHidden/>
          </w:rPr>
          <w:fldChar w:fldCharType="end"/>
        </w:r>
      </w:hyperlink>
    </w:p>
    <w:p w14:paraId="01370CF1" w14:textId="77777777" w:rsidR="00651F4A" w:rsidRDefault="00C73F59">
      <w:pPr>
        <w:pStyle w:val="TOC2"/>
        <w:rPr>
          <w:rFonts w:asciiTheme="minorHAnsi" w:eastAsiaTheme="minorEastAsia" w:hAnsiTheme="minorHAnsi" w:cstheme="minorBidi"/>
          <w:noProof/>
          <w:lang w:val="en-AU"/>
        </w:rPr>
      </w:pPr>
      <w:hyperlink w:anchor="_Toc397430801" w:history="1">
        <w:r w:rsidR="00651F4A" w:rsidRPr="00331861">
          <w:rPr>
            <w:rStyle w:val="Hyperlink"/>
            <w:noProof/>
          </w:rPr>
          <w:t>Factors impacting the cost of ECEC services in regional and remote areas</w:t>
        </w:r>
        <w:r w:rsidR="00651F4A">
          <w:rPr>
            <w:noProof/>
            <w:webHidden/>
          </w:rPr>
          <w:tab/>
        </w:r>
        <w:r w:rsidR="00651F4A">
          <w:rPr>
            <w:noProof/>
            <w:webHidden/>
          </w:rPr>
          <w:fldChar w:fldCharType="begin"/>
        </w:r>
        <w:r w:rsidR="00651F4A">
          <w:rPr>
            <w:noProof/>
            <w:webHidden/>
          </w:rPr>
          <w:instrText xml:space="preserve"> PAGEREF _Toc397430801 \h </w:instrText>
        </w:r>
        <w:r w:rsidR="00651F4A">
          <w:rPr>
            <w:noProof/>
            <w:webHidden/>
          </w:rPr>
        </w:r>
        <w:r w:rsidR="00651F4A">
          <w:rPr>
            <w:noProof/>
            <w:webHidden/>
          </w:rPr>
          <w:fldChar w:fldCharType="separate"/>
        </w:r>
        <w:r w:rsidR="000F351E">
          <w:rPr>
            <w:noProof/>
            <w:webHidden/>
          </w:rPr>
          <w:t>8</w:t>
        </w:r>
        <w:r w:rsidR="00651F4A">
          <w:rPr>
            <w:noProof/>
            <w:webHidden/>
          </w:rPr>
          <w:fldChar w:fldCharType="end"/>
        </w:r>
      </w:hyperlink>
    </w:p>
    <w:p w14:paraId="37F83365" w14:textId="77777777" w:rsidR="00651F4A" w:rsidRDefault="00C73F59">
      <w:pPr>
        <w:pStyle w:val="TOC1"/>
        <w:rPr>
          <w:rFonts w:asciiTheme="minorHAnsi" w:eastAsiaTheme="minorEastAsia" w:hAnsiTheme="minorHAnsi" w:cstheme="minorBidi"/>
          <w:noProof/>
          <w:lang w:val="en-AU"/>
        </w:rPr>
      </w:pPr>
      <w:hyperlink w:anchor="_Toc397430802" w:history="1">
        <w:r w:rsidR="00651F4A" w:rsidRPr="00331861">
          <w:rPr>
            <w:rStyle w:val="Hyperlink"/>
            <w:noProof/>
          </w:rPr>
          <w:t>References</w:t>
        </w:r>
        <w:r w:rsidR="00651F4A">
          <w:rPr>
            <w:noProof/>
            <w:webHidden/>
          </w:rPr>
          <w:tab/>
        </w:r>
        <w:r w:rsidR="00651F4A">
          <w:rPr>
            <w:noProof/>
            <w:webHidden/>
          </w:rPr>
          <w:fldChar w:fldCharType="begin"/>
        </w:r>
        <w:r w:rsidR="00651F4A">
          <w:rPr>
            <w:noProof/>
            <w:webHidden/>
          </w:rPr>
          <w:instrText xml:space="preserve"> PAGEREF _Toc397430802 \h </w:instrText>
        </w:r>
        <w:r w:rsidR="00651F4A">
          <w:rPr>
            <w:noProof/>
            <w:webHidden/>
          </w:rPr>
        </w:r>
        <w:r w:rsidR="00651F4A">
          <w:rPr>
            <w:noProof/>
            <w:webHidden/>
          </w:rPr>
          <w:fldChar w:fldCharType="separate"/>
        </w:r>
        <w:r w:rsidR="000F351E">
          <w:rPr>
            <w:noProof/>
            <w:webHidden/>
          </w:rPr>
          <w:t>11</w:t>
        </w:r>
        <w:r w:rsidR="00651F4A">
          <w:rPr>
            <w:noProof/>
            <w:webHidden/>
          </w:rPr>
          <w:fldChar w:fldCharType="end"/>
        </w:r>
      </w:hyperlink>
    </w:p>
    <w:p w14:paraId="58D20FE0" w14:textId="77777777" w:rsidR="00D77823" w:rsidRPr="00B81F1E" w:rsidRDefault="00997B50" w:rsidP="00BC1E44">
      <w:pPr>
        <w:pStyle w:val="TOC2"/>
        <w:rPr>
          <w:sz w:val="2"/>
          <w:szCs w:val="2"/>
        </w:rPr>
      </w:pPr>
      <w:r>
        <w:rPr>
          <w:rStyle w:val="Hyperlink"/>
          <w:noProof/>
        </w:rPr>
        <w:fldChar w:fldCharType="end"/>
      </w:r>
      <w:r w:rsidR="00B81F1E">
        <w:br w:type="page"/>
      </w:r>
    </w:p>
    <w:p w14:paraId="4FB3D600" w14:textId="2B94FF60" w:rsidR="0071416F" w:rsidRDefault="0071416F" w:rsidP="0071416F">
      <w:pPr>
        <w:pStyle w:val="Heading1"/>
      </w:pPr>
      <w:bookmarkStart w:id="1" w:name="_Toc397430790"/>
      <w:r>
        <w:lastRenderedPageBreak/>
        <w:t>Executive Summary</w:t>
      </w:r>
      <w:bookmarkEnd w:id="1"/>
    </w:p>
    <w:p w14:paraId="4125996A" w14:textId="3DCC7462" w:rsidR="0071416F" w:rsidRDefault="00B1326E" w:rsidP="0071416F">
      <w:r>
        <w:t>Churches of Christ Care</w:t>
      </w:r>
      <w:r w:rsidR="00380326">
        <w:t>, a division of Churches of Christ in Queensland,</w:t>
      </w:r>
      <w:r>
        <w:t xml:space="preserve"> is a leading not-for-profit providers of high quality, approved child care services in Queensland, operating 22 services for children aged 0-16 years. The organisation’s early childhood services were developed with a focus on community needs, and include centre-based care, home-based care and community-based care, all with flexible support options.</w:t>
      </w:r>
    </w:p>
    <w:p w14:paraId="6497A827" w14:textId="77777777" w:rsidR="00B1326E" w:rsidRDefault="00B1326E" w:rsidP="0071416F"/>
    <w:p w14:paraId="3977F79E" w14:textId="1077DE7A" w:rsidR="00B1326E" w:rsidRDefault="00B1326E" w:rsidP="0071416F">
      <w:r>
        <w:t>The following response to the Productivity Commission’s draft report on childcare and early childhood learning examines information requests and raises some concerns around the areas of quality, access and cost. We have provided information and examples for consideration as the Commission finalises their report. We have also made the following recommendations:</w:t>
      </w:r>
    </w:p>
    <w:p w14:paraId="674656AB" w14:textId="77777777" w:rsidR="00B1326E" w:rsidRDefault="00B1326E" w:rsidP="0071416F"/>
    <w:p w14:paraId="619EA790" w14:textId="2EA2DB69" w:rsidR="00B1326E" w:rsidRDefault="00EF75CB" w:rsidP="002E036A">
      <w:pPr>
        <w:pStyle w:val="ListParagraph"/>
        <w:numPr>
          <w:ilvl w:val="0"/>
          <w:numId w:val="7"/>
        </w:numPr>
      </w:pPr>
      <w:r>
        <w:t>E</w:t>
      </w:r>
      <w:r w:rsidR="00AF4F71">
        <w:t xml:space="preserve">xisting qualification requirements for educators working with children aged </w:t>
      </w:r>
      <w:r w:rsidR="00EE50B0">
        <w:t>zero</w:t>
      </w:r>
      <w:r w:rsidR="00AF4F71">
        <w:t xml:space="preserve"> to three </w:t>
      </w:r>
      <w:r w:rsidR="00BB57D9">
        <w:t>are kept in place</w:t>
      </w:r>
      <w:r>
        <w:t>.</w:t>
      </w:r>
    </w:p>
    <w:p w14:paraId="67B6DDEB" w14:textId="177EF2A7" w:rsidR="00BB57D9" w:rsidRPr="00BB57D9" w:rsidRDefault="00EE50B0" w:rsidP="002E036A">
      <w:pPr>
        <w:pStyle w:val="ListParagraph"/>
        <w:numPr>
          <w:ilvl w:val="0"/>
          <w:numId w:val="7"/>
        </w:numPr>
      </w:pPr>
      <w:r>
        <w:rPr>
          <w:rFonts w:eastAsiaTheme="minorHAnsi"/>
          <w:lang w:val="en-AU"/>
        </w:rPr>
        <w:t>The m</w:t>
      </w:r>
      <w:r w:rsidR="00AF4F71">
        <w:rPr>
          <w:rFonts w:eastAsiaTheme="minorHAnsi"/>
          <w:lang w:val="en-AU"/>
        </w:rPr>
        <w:t xml:space="preserve">onitoring and compliance assessment requirements of in-home educators – including nannies – are flexible to those working in regional and remote areas. </w:t>
      </w:r>
    </w:p>
    <w:p w14:paraId="2DEF5363" w14:textId="2FB9C3CF" w:rsidR="00AF4F71" w:rsidRPr="00AF4F71" w:rsidRDefault="00EF75CB" w:rsidP="002E036A">
      <w:pPr>
        <w:pStyle w:val="ListParagraph"/>
        <w:numPr>
          <w:ilvl w:val="0"/>
          <w:numId w:val="7"/>
        </w:numPr>
      </w:pPr>
      <w:r>
        <w:rPr>
          <w:rFonts w:eastAsiaTheme="minorHAnsi"/>
          <w:lang w:val="en-AU"/>
        </w:rPr>
        <w:t>A</w:t>
      </w:r>
      <w:r w:rsidR="00AF4F71">
        <w:rPr>
          <w:rFonts w:eastAsiaTheme="minorHAnsi"/>
          <w:lang w:val="en-AU"/>
        </w:rPr>
        <w:t xml:space="preserve">ny changes to the </w:t>
      </w:r>
      <w:r w:rsidR="00BB57D9">
        <w:rPr>
          <w:rFonts w:eastAsiaTheme="minorHAnsi"/>
          <w:lang w:val="en-AU"/>
        </w:rPr>
        <w:t xml:space="preserve">National Quality Framework (NQF) </w:t>
      </w:r>
      <w:r w:rsidR="00AF4F71">
        <w:rPr>
          <w:rFonts w:eastAsiaTheme="minorHAnsi"/>
          <w:lang w:val="en-AU"/>
        </w:rPr>
        <w:t>are consistent with the recommendations arising from the 2014 review of the framework.</w:t>
      </w:r>
    </w:p>
    <w:p w14:paraId="1BACE95F" w14:textId="7C2FA6FA" w:rsidR="00AF4F71" w:rsidRDefault="00EF75CB" w:rsidP="002E036A">
      <w:pPr>
        <w:pStyle w:val="ListParagraph"/>
        <w:numPr>
          <w:ilvl w:val="0"/>
          <w:numId w:val="7"/>
        </w:numPr>
      </w:pPr>
      <w:r>
        <w:t>A</w:t>
      </w:r>
      <w:r w:rsidR="00AF4F71">
        <w:t xml:space="preserve">ll preschool services </w:t>
      </w:r>
      <w:r w:rsidR="00BB57D9">
        <w:t xml:space="preserve">are kept </w:t>
      </w:r>
      <w:r w:rsidR="00AF4F71">
        <w:t>in scope of the NQF and any schools delivering preschool services are monitored to ensure they are impl</w:t>
      </w:r>
      <w:r>
        <w:t>ementing play-based curriculums.</w:t>
      </w:r>
    </w:p>
    <w:p w14:paraId="018992DA" w14:textId="4D8FA12B" w:rsidR="00AF4F71" w:rsidRDefault="00EF75CB" w:rsidP="00AF4F71">
      <w:pPr>
        <w:pStyle w:val="ListParagraph"/>
        <w:numPr>
          <w:ilvl w:val="0"/>
          <w:numId w:val="7"/>
        </w:numPr>
      </w:pPr>
      <w:r>
        <w:t>C</w:t>
      </w:r>
      <w:r w:rsidR="00AF4F71">
        <w:t xml:space="preserve">onsideration </w:t>
      </w:r>
      <w:r>
        <w:t xml:space="preserve">is </w:t>
      </w:r>
      <w:r w:rsidR="00AF4F71">
        <w:t>given to how the deemed cost of care for children with additional needs is determined and how this interacts with the proposed Special Early Care and Learning Subsidy.</w:t>
      </w:r>
    </w:p>
    <w:p w14:paraId="422D4FC1" w14:textId="6221DB9A" w:rsidR="00B1326E" w:rsidRPr="00B1326E" w:rsidRDefault="00EF75CB" w:rsidP="0071416F">
      <w:pPr>
        <w:pStyle w:val="ListParagraph"/>
        <w:numPr>
          <w:ilvl w:val="0"/>
          <w:numId w:val="7"/>
        </w:numPr>
      </w:pPr>
      <w:r>
        <w:t xml:space="preserve">Any </w:t>
      </w:r>
      <w:r w:rsidR="00AF4F71">
        <w:t xml:space="preserve">deemed cost for delivering </w:t>
      </w:r>
      <w:r>
        <w:t>early childhood education and care (</w:t>
      </w:r>
      <w:r w:rsidR="00AF4F71">
        <w:t>ECEC</w:t>
      </w:r>
      <w:r>
        <w:t>)</w:t>
      </w:r>
      <w:r w:rsidR="00AF4F71">
        <w:t xml:space="preserve"> services</w:t>
      </w:r>
      <w:r w:rsidR="00E2547C">
        <w:t xml:space="preserve"> </w:t>
      </w:r>
      <w:r w:rsidR="00AF4F71">
        <w:t>incorporates a loading for service delivery by location. If this loading does not allow services to break even and the Temporary Sustainability Allowance is inappropriate</w:t>
      </w:r>
      <w:r w:rsidR="00EE50B0">
        <w:t>, a</w:t>
      </w:r>
      <w:r w:rsidR="00AF4F71">
        <w:t xml:space="preserve">n assessment </w:t>
      </w:r>
      <w:r w:rsidR="00EE50B0">
        <w:t>is</w:t>
      </w:r>
      <w:r w:rsidR="00AF4F71">
        <w:t xml:space="preserve"> made of </w:t>
      </w:r>
      <w:r w:rsidR="00EE50B0">
        <w:t xml:space="preserve">the </w:t>
      </w:r>
      <w:r w:rsidR="00AF4F71">
        <w:t>community</w:t>
      </w:r>
      <w:r w:rsidR="00EE50B0">
        <w:t>’s</w:t>
      </w:r>
      <w:r w:rsidR="00AF4F71">
        <w:t xml:space="preserve"> need for ECEC services. This assessment can then be used to grant ongoing operational support or the provision of start up capital for services in areas of need. </w:t>
      </w:r>
    </w:p>
    <w:p w14:paraId="5A7B420F" w14:textId="77777777" w:rsidR="0071416F" w:rsidRPr="0071416F" w:rsidRDefault="0071416F" w:rsidP="0071416F">
      <w:pPr>
        <w:rPr>
          <w:i/>
        </w:rPr>
      </w:pPr>
    </w:p>
    <w:p w14:paraId="58D20FE1" w14:textId="61DEF7DF" w:rsidR="00D77823" w:rsidRPr="000D71C0" w:rsidRDefault="006F661E" w:rsidP="001C5FC5">
      <w:pPr>
        <w:pStyle w:val="Heading1"/>
      </w:pPr>
      <w:bookmarkStart w:id="2" w:name="_Toc397430791"/>
      <w:r>
        <w:t>Introduction</w:t>
      </w:r>
      <w:bookmarkEnd w:id="2"/>
    </w:p>
    <w:p w14:paraId="41D816DB" w14:textId="77777777" w:rsidR="006F661E" w:rsidRDefault="006F661E" w:rsidP="006F661E"/>
    <w:p w14:paraId="14BF2BF6" w14:textId="28B7DDAC" w:rsidR="006F661E" w:rsidRDefault="00F114EA" w:rsidP="006F661E">
      <w:r w:rsidRPr="00F114EA">
        <w:t>The following</w:t>
      </w:r>
      <w:r>
        <w:t xml:space="preserve"> paper is responding to the Productivity Commission’s (the Commission) draft report on childcare and early childhood learning. The information provided here is in addition to our previous submission (s203)</w:t>
      </w:r>
      <w:r w:rsidR="005C77E1">
        <w:t xml:space="preserve"> responding to the Commission’s Issues Paper.</w:t>
      </w:r>
    </w:p>
    <w:p w14:paraId="6344DF54" w14:textId="77777777" w:rsidR="005C77E1" w:rsidRPr="00F114EA" w:rsidRDefault="005C77E1" w:rsidP="006F661E"/>
    <w:p w14:paraId="168E5786" w14:textId="08A2D23E" w:rsidR="004A3767" w:rsidRPr="006C4780" w:rsidRDefault="009E70A8" w:rsidP="004A3767">
      <w:pPr>
        <w:pStyle w:val="Heading2"/>
      </w:pPr>
      <w:bookmarkStart w:id="3" w:name="_Toc312068854"/>
      <w:bookmarkStart w:id="4" w:name="_Toc312069139"/>
      <w:bookmarkStart w:id="5" w:name="_Toc388513037"/>
      <w:bookmarkStart w:id="6" w:name="_Toc392157542"/>
      <w:bookmarkStart w:id="7" w:name="_Toc397430792"/>
      <w:bookmarkStart w:id="8" w:name="_Toc262582519"/>
      <w:bookmarkStart w:id="9" w:name="_Toc283832714"/>
      <w:bookmarkStart w:id="10" w:name="_Toc285138046"/>
      <w:bookmarkStart w:id="11" w:name="_Toc285138535"/>
      <w:bookmarkStart w:id="12" w:name="_Toc285138871"/>
      <w:bookmarkStart w:id="13" w:name="_Toc285139552"/>
      <w:bookmarkStart w:id="14" w:name="_Toc285139832"/>
      <w:bookmarkStart w:id="15" w:name="_Toc285140124"/>
      <w:bookmarkStart w:id="16" w:name="_Toc361662770"/>
      <w:r>
        <w:t xml:space="preserve">About </w:t>
      </w:r>
      <w:r w:rsidR="004A3767" w:rsidRPr="00AE2C78">
        <w:t>Churches of Christ Care</w:t>
      </w:r>
      <w:bookmarkEnd w:id="3"/>
      <w:bookmarkEnd w:id="4"/>
      <w:bookmarkEnd w:id="5"/>
      <w:bookmarkEnd w:id="6"/>
      <w:bookmarkEnd w:id="7"/>
    </w:p>
    <w:p w14:paraId="6DC05AC3" w14:textId="25A4362A" w:rsidR="004A3767" w:rsidRDefault="004A3767" w:rsidP="004A3767">
      <w:r w:rsidRPr="00C91F37">
        <w:t>Established in 1930, Churches of Christ Care</w:t>
      </w:r>
      <w:r w:rsidR="009E70A8">
        <w:t xml:space="preserve"> (CofCC)</w:t>
      </w:r>
      <w:r w:rsidRPr="00C91F37">
        <w:t xml:space="preserve"> is one of the largest, most diverse not-for-profit organisations in Queensland, operating more than 150 care services throughout Queensland and Melbourne, Victoria, with the support of approximately 3,000 staff and </w:t>
      </w:r>
      <w:r>
        <w:t>900</w:t>
      </w:r>
      <w:r w:rsidRPr="00C91F37">
        <w:t xml:space="preserve"> volunteers. </w:t>
      </w:r>
    </w:p>
    <w:p w14:paraId="53A6CBEA" w14:textId="77777777" w:rsidR="009E70A8" w:rsidRPr="00C91F37" w:rsidRDefault="009E70A8" w:rsidP="004A3767"/>
    <w:p w14:paraId="0766D5B1" w14:textId="60052AA5" w:rsidR="004A3767" w:rsidRDefault="004A3767" w:rsidP="004A3767">
      <w:r w:rsidRPr="00C91F37">
        <w:t>A division of Churches of Christ in Queensland and working with Churches of Christ in Vic/</w:t>
      </w:r>
      <w:proofErr w:type="spellStart"/>
      <w:r w:rsidRPr="00C91F37">
        <w:t>Tas</w:t>
      </w:r>
      <w:proofErr w:type="spellEnd"/>
      <w:r w:rsidRPr="00C91F37">
        <w:t xml:space="preserve">, </w:t>
      </w:r>
      <w:proofErr w:type="spellStart"/>
      <w:r w:rsidR="009E70A8">
        <w:t>CofCC</w:t>
      </w:r>
      <w:proofErr w:type="spellEnd"/>
      <w:r w:rsidRPr="00C91F37">
        <w:t xml:space="preserve"> is active in the areas of early childhood services, child protection, community housing, retirement living, community  care, residential aged care and dementia care, providing Christ-inspired care and compassion to vulnerable persons at different stages of their life journey. </w:t>
      </w:r>
    </w:p>
    <w:p w14:paraId="40E9A6ED" w14:textId="77777777" w:rsidR="009E70A8" w:rsidRPr="00C91F37" w:rsidRDefault="009E70A8" w:rsidP="004A3767"/>
    <w:p w14:paraId="0F209BAE" w14:textId="2CA92290" w:rsidR="004A3767" w:rsidRDefault="005C77E1" w:rsidP="004A3767">
      <w:r>
        <w:t xml:space="preserve">CofCC </w:t>
      </w:r>
      <w:r w:rsidR="004A3767" w:rsidRPr="00C91F37">
        <w:t xml:space="preserve">is built on a foundation of Christian values, commitment to quality care, trust, and respect for clients and the community. Services are offered to all those in need regardless of religious background. </w:t>
      </w:r>
    </w:p>
    <w:p w14:paraId="5EB5A08C" w14:textId="77777777" w:rsidR="009E70A8" w:rsidRPr="00C91F37" w:rsidRDefault="009E70A8" w:rsidP="004A3767"/>
    <w:bookmarkEnd w:id="8"/>
    <w:bookmarkEnd w:id="9"/>
    <w:bookmarkEnd w:id="10"/>
    <w:bookmarkEnd w:id="11"/>
    <w:bookmarkEnd w:id="12"/>
    <w:bookmarkEnd w:id="13"/>
    <w:bookmarkEnd w:id="14"/>
    <w:bookmarkEnd w:id="15"/>
    <w:bookmarkEnd w:id="16"/>
    <w:p w14:paraId="421A54D4" w14:textId="37372103" w:rsidR="004A3767" w:rsidRDefault="005C77E1" w:rsidP="004A3767">
      <w:r>
        <w:lastRenderedPageBreak/>
        <w:t xml:space="preserve">CofCC </w:t>
      </w:r>
      <w:r w:rsidR="004A3767">
        <w:t>is one of the leading not-for-profit providers of high quality, approved child care services in Queensland, operating 22 services for children aged 0-16 years. The organisation’s early childhood services were developed with a focus on community needs, and include centre-based care, home-based care and community-based care, all with flexible support options.</w:t>
      </w:r>
    </w:p>
    <w:p w14:paraId="11563D6C" w14:textId="77777777" w:rsidR="009E70A8" w:rsidRDefault="009E70A8" w:rsidP="004A3767"/>
    <w:p w14:paraId="07353391" w14:textId="77777777" w:rsidR="004A3767" w:rsidRDefault="004A3767" w:rsidP="004A3767">
      <w:r>
        <w:t xml:space="preserve">Home-based care options include family day care and in-home care. Centre-based care options include approved kindergartens operating in co-located early childhood centres, within school grounds and at stand alone sites; long day care; occasional care; and outside of school hours and vacation care. Other community-based services offered to families include a family support service in </w:t>
      </w:r>
      <w:proofErr w:type="spellStart"/>
      <w:r>
        <w:t>Maryborough</w:t>
      </w:r>
      <w:proofErr w:type="spellEnd"/>
      <w:r>
        <w:t xml:space="preserve"> and a rural mobile children’s service based at St George.</w:t>
      </w:r>
    </w:p>
    <w:p w14:paraId="347F124E" w14:textId="77777777" w:rsidR="009E70A8" w:rsidRDefault="009E70A8" w:rsidP="004A3767"/>
    <w:p w14:paraId="1F080065" w14:textId="601AC38F" w:rsidR="004A3767" w:rsidRDefault="005C77E1" w:rsidP="004A3767">
      <w:proofErr w:type="spellStart"/>
      <w:r>
        <w:t>CofCC’s</w:t>
      </w:r>
      <w:proofErr w:type="spellEnd"/>
      <w:r>
        <w:t xml:space="preserve"> </w:t>
      </w:r>
      <w:r w:rsidR="004A3767">
        <w:t xml:space="preserve">early childhood services are both in-scope and out-of-scope </w:t>
      </w:r>
      <w:r>
        <w:t>of</w:t>
      </w:r>
      <w:r w:rsidR="004A3767">
        <w:t xml:space="preserve"> the National Quality Framework. </w:t>
      </w:r>
    </w:p>
    <w:p w14:paraId="58D20FE6" w14:textId="77777777" w:rsidR="00BC1E44" w:rsidRDefault="00BC1E44" w:rsidP="00BC1E44"/>
    <w:p w14:paraId="5BF50638" w14:textId="07703C7A" w:rsidR="00347812" w:rsidRDefault="00831B9D" w:rsidP="006F661E">
      <w:pPr>
        <w:pStyle w:val="Heading1"/>
      </w:pPr>
      <w:bookmarkStart w:id="17" w:name="_Toc397430793"/>
      <w:r>
        <w:t>Quality</w:t>
      </w:r>
      <w:bookmarkEnd w:id="17"/>
    </w:p>
    <w:p w14:paraId="16ED8B73" w14:textId="77777777" w:rsidR="00347812" w:rsidRDefault="00347812" w:rsidP="00BC1E44"/>
    <w:p w14:paraId="77CCCCBD" w14:textId="39E9FB91" w:rsidR="00831B9D" w:rsidRDefault="00831B9D" w:rsidP="00BC1E44">
      <w:r>
        <w:t>The following section relates to</w:t>
      </w:r>
      <w:r w:rsidR="005C77E1">
        <w:t xml:space="preserve"> information request number 7.1.</w:t>
      </w:r>
    </w:p>
    <w:p w14:paraId="3CACE332" w14:textId="77777777" w:rsidR="00347812" w:rsidRDefault="00347812" w:rsidP="00BC1E44"/>
    <w:p w14:paraId="24AFEB3A" w14:textId="280DDD50" w:rsidR="00831B9D" w:rsidRDefault="00831B9D" w:rsidP="00831B9D">
      <w:pPr>
        <w:pStyle w:val="Heading2"/>
      </w:pPr>
      <w:bookmarkStart w:id="18" w:name="_Toc397430794"/>
      <w:r>
        <w:t>Qualifications of providers</w:t>
      </w:r>
      <w:bookmarkEnd w:id="18"/>
    </w:p>
    <w:p w14:paraId="23550716" w14:textId="3FF2D62C" w:rsidR="004F1F7D" w:rsidRDefault="00416B69" w:rsidP="00416B69">
      <w:r>
        <w:t>The</w:t>
      </w:r>
      <w:r w:rsidR="00110ED7">
        <w:t xml:space="preserve"> introduction of minimum qualifications </w:t>
      </w:r>
      <w:r w:rsidR="005C77E1">
        <w:t>for</w:t>
      </w:r>
      <w:r w:rsidR="00110ED7">
        <w:t xml:space="preserve"> providers in the ECEC industry has played an important role in ensuring the quality of ECEC services across the industry.</w:t>
      </w:r>
      <w:r w:rsidR="004F1F7D">
        <w:t xml:space="preserve"> While CofCC has experienced a number of challenges implementing the qualification requirements across our services, we are committed to this to ensure children receive the best possible care. </w:t>
      </w:r>
    </w:p>
    <w:p w14:paraId="30BFCCB4" w14:textId="77777777" w:rsidR="00164251" w:rsidRDefault="00164251" w:rsidP="00416B69"/>
    <w:p w14:paraId="3E9C119C" w14:textId="43B98AA3" w:rsidR="00C251F7" w:rsidRDefault="006E04CC" w:rsidP="00416B69">
      <w:r w:rsidRPr="00EC2D5E">
        <w:t>We are concerned by t</w:t>
      </w:r>
      <w:r w:rsidR="004F1F7D" w:rsidRPr="00EC2D5E">
        <w:t xml:space="preserve">he Commission’s recommendation to reduce the </w:t>
      </w:r>
      <w:r w:rsidRPr="00EC2D5E">
        <w:t>level of qualifications</w:t>
      </w:r>
      <w:r w:rsidR="004F1F7D" w:rsidRPr="00EC2D5E">
        <w:t xml:space="preserve"> </w:t>
      </w:r>
      <w:r w:rsidR="00E45B00" w:rsidRPr="00EC2D5E">
        <w:t>required for educators working with</w:t>
      </w:r>
      <w:r w:rsidRPr="00EC2D5E">
        <w:t xml:space="preserve"> children aged </w:t>
      </w:r>
      <w:r w:rsidR="00EC2D5E" w:rsidRPr="00EC2D5E">
        <w:t>zero</w:t>
      </w:r>
      <w:r w:rsidRPr="00EC2D5E">
        <w:t xml:space="preserve"> to </w:t>
      </w:r>
      <w:r w:rsidR="006751F3" w:rsidRPr="00EC2D5E">
        <w:t>three</w:t>
      </w:r>
      <w:r w:rsidRPr="00EC2D5E">
        <w:t>.</w:t>
      </w:r>
      <w:r w:rsidR="00B342B1" w:rsidRPr="00EC2D5E">
        <w:t xml:space="preserve"> </w:t>
      </w:r>
      <w:r w:rsidR="006A3BAA" w:rsidRPr="00EC2D5E">
        <w:t>T</w:t>
      </w:r>
      <w:r w:rsidR="00B342B1" w:rsidRPr="00EC2D5E">
        <w:t xml:space="preserve">he first </w:t>
      </w:r>
      <w:r w:rsidR="00105EE0" w:rsidRPr="00EC2D5E">
        <w:t>three</w:t>
      </w:r>
      <w:r w:rsidR="00B342B1" w:rsidRPr="00EC2D5E">
        <w:t xml:space="preserve"> years of life are the most important time for </w:t>
      </w:r>
      <w:r w:rsidR="006A3BAA" w:rsidRPr="00EC2D5E">
        <w:t>a child’s brain development.</w:t>
      </w:r>
      <w:r w:rsidR="002C1FD4" w:rsidRPr="00EC2D5E">
        <w:t xml:space="preserve"> Research </w:t>
      </w:r>
      <w:r w:rsidR="00D4785E" w:rsidRPr="00EC2D5E">
        <w:t xml:space="preserve">shows </w:t>
      </w:r>
      <w:r w:rsidR="002C1FD4" w:rsidRPr="00EC2D5E">
        <w:t>that during this time sensory pathways (hearing and vision), social and emotional</w:t>
      </w:r>
      <w:r w:rsidR="00D4785E" w:rsidRPr="00EC2D5E">
        <w:t xml:space="preserve"> skills and the basic pathways for reading and mathematics are at a critical </w:t>
      </w:r>
      <w:r w:rsidR="00EC2D5E" w:rsidRPr="00EC2D5E">
        <w:t>point</w:t>
      </w:r>
      <w:r w:rsidR="00EC2D5E">
        <w:rPr>
          <w:rStyle w:val="EndnoteReference"/>
        </w:rPr>
        <w:endnoteReference w:id="1"/>
      </w:r>
      <w:r w:rsidR="00D4785E" w:rsidRPr="00EC2D5E">
        <w:t>. These areas of the brain lay down the pathways for how well a child will d</w:t>
      </w:r>
      <w:r w:rsidR="007D0983" w:rsidRPr="00EC2D5E">
        <w:t xml:space="preserve">o at school and into adulthood. </w:t>
      </w:r>
    </w:p>
    <w:p w14:paraId="7FBEF4C3" w14:textId="77777777" w:rsidR="00164251" w:rsidRDefault="00164251" w:rsidP="00416B69"/>
    <w:p w14:paraId="4F7A0F3D" w14:textId="045C57DB" w:rsidR="00416B69" w:rsidRDefault="007D0983" w:rsidP="00416B69">
      <w:r w:rsidRPr="00EC2D5E">
        <w:t xml:space="preserve">The experiences of children aged </w:t>
      </w:r>
      <w:r w:rsidR="00EC2D5E" w:rsidRPr="00EC2D5E">
        <w:t xml:space="preserve">zero to three matters, </w:t>
      </w:r>
      <w:r w:rsidR="00FE7298">
        <w:t xml:space="preserve">and </w:t>
      </w:r>
      <w:r w:rsidR="00EC2D5E" w:rsidRPr="00EC2D5E">
        <w:t>exposure to stress and trauma or unnoticed delays can have short and long</w:t>
      </w:r>
      <w:r w:rsidR="00FE7298">
        <w:t xml:space="preserve"> </w:t>
      </w:r>
      <w:r w:rsidR="00EC2D5E" w:rsidRPr="00EC2D5E">
        <w:t>term consequences.</w:t>
      </w:r>
      <w:r w:rsidRPr="00EC2D5E">
        <w:t xml:space="preserve"> </w:t>
      </w:r>
      <w:r w:rsidR="00FE7298">
        <w:t>In the short term, inadequate attention to children may result in failure to reach academic, socio-emotional and health potential</w:t>
      </w:r>
      <w:r w:rsidR="00581D47">
        <w:t xml:space="preserve"> leading</w:t>
      </w:r>
      <w:r w:rsidR="00FE7298">
        <w:t xml:space="preserve"> to issues later in life</w:t>
      </w:r>
      <w:r w:rsidR="00020669">
        <w:rPr>
          <w:rStyle w:val="EndnoteReference"/>
        </w:rPr>
        <w:endnoteReference w:id="2"/>
      </w:r>
      <w:r w:rsidR="00FE7298">
        <w:t xml:space="preserve">. </w:t>
      </w:r>
      <w:r w:rsidR="001662EB">
        <w:t xml:space="preserve">Addressing these issues in older children and adults requires significant human and financial resources. </w:t>
      </w:r>
      <w:r w:rsidR="00020669">
        <w:t>The</w:t>
      </w:r>
      <w:r w:rsidR="001662EB">
        <w:t xml:space="preserve"> role of early educators in the lives of children aged zero to three is</w:t>
      </w:r>
      <w:r w:rsidR="00020669">
        <w:t xml:space="preserve"> an important part of creating healthy adults and having the right skill level to care for children during this time is vital. </w:t>
      </w:r>
    </w:p>
    <w:p w14:paraId="50272685" w14:textId="06C6480E" w:rsidR="00831B9D" w:rsidRDefault="00831B9D" w:rsidP="00831B9D"/>
    <w:p w14:paraId="0DF1919C" w14:textId="400877E4" w:rsidR="006751F3" w:rsidRPr="006751F3" w:rsidRDefault="006751F3" w:rsidP="00831B9D">
      <w:r>
        <w:rPr>
          <w:b/>
        </w:rPr>
        <w:t>CofC</w:t>
      </w:r>
      <w:r w:rsidR="00C251F7">
        <w:rPr>
          <w:b/>
        </w:rPr>
        <w:t>C</w:t>
      </w:r>
      <w:r>
        <w:rPr>
          <w:b/>
        </w:rPr>
        <w:t xml:space="preserve"> recommends</w:t>
      </w:r>
      <w:r>
        <w:t xml:space="preserve"> that existing qualification requirements for educators working with children aged </w:t>
      </w:r>
      <w:r w:rsidR="00EC2D5E">
        <w:t xml:space="preserve">zero </w:t>
      </w:r>
      <w:r>
        <w:t>to three remain</w:t>
      </w:r>
      <w:r w:rsidR="00FE7298">
        <w:t xml:space="preserve"> in place</w:t>
      </w:r>
      <w:r>
        <w:t xml:space="preserve">. </w:t>
      </w:r>
    </w:p>
    <w:p w14:paraId="50D93F50" w14:textId="77777777" w:rsidR="006751F3" w:rsidRDefault="006751F3" w:rsidP="00831B9D"/>
    <w:p w14:paraId="1058D633" w14:textId="034F94F3" w:rsidR="00831B9D" w:rsidRPr="00831B9D" w:rsidRDefault="00544F81" w:rsidP="00831B9D">
      <w:pPr>
        <w:pStyle w:val="Heading2"/>
      </w:pPr>
      <w:bookmarkStart w:id="19" w:name="_Toc397430795"/>
      <w:r>
        <w:t>Expanding the scope of</w:t>
      </w:r>
      <w:r w:rsidR="0071416F">
        <w:t xml:space="preserve"> the National Quality Framework</w:t>
      </w:r>
      <w:bookmarkEnd w:id="19"/>
    </w:p>
    <w:p w14:paraId="2D6294FC" w14:textId="3A343AA6" w:rsidR="00544F81" w:rsidRDefault="00544F81" w:rsidP="00F91013">
      <w:pPr>
        <w:rPr>
          <w:rFonts w:eastAsiaTheme="minorHAnsi"/>
          <w:lang w:val="en-AU" w:eastAsia="en-US"/>
        </w:rPr>
      </w:pPr>
      <w:r>
        <w:rPr>
          <w:rFonts w:eastAsiaTheme="minorHAnsi"/>
          <w:lang w:val="en-AU" w:eastAsia="en-US"/>
        </w:rPr>
        <w:t>CofCC</w:t>
      </w:r>
      <w:r w:rsidR="001E00E3">
        <w:rPr>
          <w:rFonts w:eastAsiaTheme="minorHAnsi"/>
          <w:lang w:val="en-AU" w:eastAsia="en-US"/>
        </w:rPr>
        <w:t xml:space="preserve"> supports the Commission’s recommendations to include all centre and home-based services that receive government subsidies under the NQF. While all of our services are not required to meet the NQF, we have chosen to </w:t>
      </w:r>
      <w:r w:rsidR="00151F96">
        <w:rPr>
          <w:rFonts w:eastAsiaTheme="minorHAnsi"/>
          <w:lang w:val="en-AU" w:eastAsia="en-US"/>
        </w:rPr>
        <w:t>have</w:t>
      </w:r>
      <w:r w:rsidR="00C251F7">
        <w:rPr>
          <w:rFonts w:eastAsiaTheme="minorHAnsi"/>
          <w:lang w:val="en-AU" w:eastAsia="en-US"/>
        </w:rPr>
        <w:t xml:space="preserve"> </w:t>
      </w:r>
      <w:r w:rsidR="00E2547C">
        <w:rPr>
          <w:rFonts w:eastAsiaTheme="minorHAnsi"/>
          <w:lang w:val="en-AU" w:eastAsia="en-US"/>
        </w:rPr>
        <w:t xml:space="preserve">our </w:t>
      </w:r>
      <w:r w:rsidR="00933274">
        <w:rPr>
          <w:rFonts w:eastAsiaTheme="minorHAnsi"/>
          <w:lang w:val="en-AU" w:eastAsia="en-US"/>
        </w:rPr>
        <w:t xml:space="preserve">in-home care </w:t>
      </w:r>
      <w:r w:rsidR="005145B6">
        <w:rPr>
          <w:rFonts w:eastAsiaTheme="minorHAnsi"/>
          <w:lang w:val="en-AU" w:eastAsia="en-US"/>
        </w:rPr>
        <w:t xml:space="preserve">and mobile </w:t>
      </w:r>
      <w:r w:rsidR="00933274">
        <w:rPr>
          <w:rFonts w:eastAsiaTheme="minorHAnsi"/>
          <w:lang w:val="en-AU" w:eastAsia="en-US"/>
        </w:rPr>
        <w:t xml:space="preserve">providers implement the </w:t>
      </w:r>
      <w:r w:rsidR="003E3C40">
        <w:rPr>
          <w:rFonts w:eastAsiaTheme="minorHAnsi"/>
          <w:lang w:val="en-AU" w:eastAsia="en-US"/>
        </w:rPr>
        <w:t>framework</w:t>
      </w:r>
      <w:r w:rsidR="00E2547C">
        <w:rPr>
          <w:rFonts w:eastAsiaTheme="minorHAnsi"/>
          <w:lang w:val="en-AU" w:eastAsia="en-US"/>
        </w:rPr>
        <w:t>.</w:t>
      </w:r>
      <w:r w:rsidR="00933274">
        <w:rPr>
          <w:rFonts w:eastAsiaTheme="minorHAnsi"/>
          <w:lang w:val="en-AU" w:eastAsia="en-US"/>
        </w:rPr>
        <w:t xml:space="preserve"> Through doing this work </w:t>
      </w:r>
      <w:r>
        <w:rPr>
          <w:rFonts w:eastAsiaTheme="minorHAnsi"/>
          <w:lang w:val="en-AU" w:eastAsia="en-US"/>
        </w:rPr>
        <w:t xml:space="preserve">we have experienced a number of challenges, particularly in rural and remote areas, </w:t>
      </w:r>
      <w:r w:rsidR="00151F96">
        <w:rPr>
          <w:rFonts w:eastAsiaTheme="minorHAnsi"/>
          <w:lang w:val="en-AU" w:eastAsia="en-US"/>
        </w:rPr>
        <w:t>around</w:t>
      </w:r>
      <w:r w:rsidR="00F91013">
        <w:rPr>
          <w:rFonts w:eastAsiaTheme="minorHAnsi"/>
          <w:lang w:val="en-AU" w:eastAsia="en-US"/>
        </w:rPr>
        <w:t xml:space="preserve"> ensuring</w:t>
      </w:r>
      <w:r>
        <w:rPr>
          <w:rFonts w:eastAsiaTheme="minorHAnsi"/>
          <w:lang w:val="en-AU" w:eastAsia="en-US"/>
        </w:rPr>
        <w:t xml:space="preserve"> our educators meet the minimum </w:t>
      </w:r>
      <w:r w:rsidR="00F91013">
        <w:rPr>
          <w:rFonts w:eastAsiaTheme="minorHAnsi"/>
          <w:lang w:val="en-AU" w:eastAsia="en-US"/>
        </w:rPr>
        <w:t>requirements of the National Quality Framework. These include:</w:t>
      </w:r>
    </w:p>
    <w:p w14:paraId="6B11BBF7" w14:textId="77777777" w:rsidR="00BA226B" w:rsidRDefault="00BA226B" w:rsidP="00F91013">
      <w:pPr>
        <w:rPr>
          <w:rFonts w:eastAsiaTheme="minorHAnsi"/>
          <w:lang w:val="en-AU" w:eastAsia="en-US"/>
        </w:rPr>
      </w:pPr>
    </w:p>
    <w:p w14:paraId="0B95F318" w14:textId="7262B6D1" w:rsidR="00F91013" w:rsidRPr="00F91013" w:rsidRDefault="00C251F7" w:rsidP="002E036A">
      <w:pPr>
        <w:pStyle w:val="ListParagraph"/>
        <w:numPr>
          <w:ilvl w:val="0"/>
          <w:numId w:val="5"/>
        </w:numPr>
        <w:rPr>
          <w:rFonts w:eastAsiaTheme="minorHAnsi"/>
          <w:lang w:val="en-AU"/>
        </w:rPr>
      </w:pPr>
      <w:r>
        <w:rPr>
          <w:rFonts w:eastAsiaTheme="minorHAnsi"/>
          <w:lang w:val="en-AU"/>
        </w:rPr>
        <w:t>l</w:t>
      </w:r>
      <w:r w:rsidR="00B755F7">
        <w:rPr>
          <w:rFonts w:eastAsiaTheme="minorHAnsi"/>
          <w:lang w:val="en-AU"/>
        </w:rPr>
        <w:t>imited</w:t>
      </w:r>
      <w:r w:rsidR="00F91013" w:rsidRPr="00F91013">
        <w:rPr>
          <w:rFonts w:eastAsiaTheme="minorHAnsi"/>
          <w:lang w:val="en-AU"/>
        </w:rPr>
        <w:t xml:space="preserve"> access to </w:t>
      </w:r>
      <w:r w:rsidR="00B755F7">
        <w:rPr>
          <w:rFonts w:eastAsiaTheme="minorHAnsi"/>
          <w:lang w:val="en-AU"/>
        </w:rPr>
        <w:t>Registered Training Organisations (RTO</w:t>
      </w:r>
      <w:r w:rsidR="00D02408">
        <w:rPr>
          <w:rFonts w:eastAsiaTheme="minorHAnsi"/>
          <w:lang w:val="en-AU"/>
        </w:rPr>
        <w:t>s</w:t>
      </w:r>
      <w:r w:rsidR="00B755F7">
        <w:rPr>
          <w:rFonts w:eastAsiaTheme="minorHAnsi"/>
          <w:lang w:val="en-AU"/>
        </w:rPr>
        <w:t xml:space="preserve">) in rural and remote areas </w:t>
      </w:r>
    </w:p>
    <w:p w14:paraId="746AE258" w14:textId="69B8D09B" w:rsidR="00F91013" w:rsidRPr="00F91013" w:rsidRDefault="00F91013" w:rsidP="002E036A">
      <w:pPr>
        <w:pStyle w:val="ListParagraph"/>
        <w:numPr>
          <w:ilvl w:val="0"/>
          <w:numId w:val="5"/>
        </w:numPr>
        <w:rPr>
          <w:rFonts w:eastAsiaTheme="minorHAnsi"/>
          <w:lang w:val="en-AU"/>
        </w:rPr>
      </w:pPr>
      <w:r w:rsidRPr="00F91013">
        <w:rPr>
          <w:rFonts w:eastAsiaTheme="minorHAnsi"/>
          <w:lang w:val="en-AU"/>
        </w:rPr>
        <w:lastRenderedPageBreak/>
        <w:t xml:space="preserve">RTO’s </w:t>
      </w:r>
      <w:r w:rsidR="00B755F7">
        <w:rPr>
          <w:rFonts w:eastAsiaTheme="minorHAnsi"/>
          <w:lang w:val="en-AU"/>
        </w:rPr>
        <w:t>being more focused on centre-based modes of care reducing their relevance to those providing home-based services</w:t>
      </w:r>
      <w:r w:rsidRPr="00F91013">
        <w:rPr>
          <w:rFonts w:eastAsiaTheme="minorHAnsi"/>
          <w:lang w:val="en-AU"/>
        </w:rPr>
        <w:t xml:space="preserve"> </w:t>
      </w:r>
    </w:p>
    <w:p w14:paraId="60565FA7" w14:textId="51D9585D" w:rsidR="006B1B1A" w:rsidRPr="00F91013" w:rsidRDefault="00C251F7" w:rsidP="002E036A">
      <w:pPr>
        <w:pStyle w:val="ListParagraph"/>
        <w:numPr>
          <w:ilvl w:val="0"/>
          <w:numId w:val="5"/>
        </w:numPr>
        <w:rPr>
          <w:rFonts w:eastAsiaTheme="minorHAnsi"/>
          <w:lang w:val="en-AU"/>
        </w:rPr>
      </w:pPr>
      <w:r>
        <w:rPr>
          <w:rFonts w:eastAsiaTheme="minorHAnsi"/>
          <w:lang w:val="en-AU"/>
        </w:rPr>
        <w:t>i</w:t>
      </w:r>
      <w:r w:rsidR="006B1B1A">
        <w:rPr>
          <w:rFonts w:eastAsiaTheme="minorHAnsi"/>
          <w:lang w:val="en-AU"/>
        </w:rPr>
        <w:t>nconsistent support and guidance being provided across different RTOs</w:t>
      </w:r>
    </w:p>
    <w:p w14:paraId="42E44988" w14:textId="524DA6A5" w:rsidR="00F91013" w:rsidRPr="00F91013" w:rsidRDefault="00C251F7" w:rsidP="002E036A">
      <w:pPr>
        <w:pStyle w:val="ListParagraph"/>
        <w:numPr>
          <w:ilvl w:val="0"/>
          <w:numId w:val="5"/>
        </w:numPr>
        <w:rPr>
          <w:rFonts w:eastAsiaTheme="minorHAnsi"/>
          <w:lang w:val="en-AU"/>
        </w:rPr>
      </w:pPr>
      <w:r>
        <w:rPr>
          <w:rFonts w:eastAsiaTheme="minorHAnsi"/>
          <w:lang w:val="en-AU"/>
        </w:rPr>
        <w:t>f</w:t>
      </w:r>
      <w:r w:rsidR="00B755F7">
        <w:rPr>
          <w:rFonts w:eastAsiaTheme="minorHAnsi"/>
          <w:lang w:val="en-AU"/>
        </w:rPr>
        <w:t xml:space="preserve">unding to complete </w:t>
      </w:r>
      <w:r w:rsidR="00671E57">
        <w:rPr>
          <w:rFonts w:eastAsiaTheme="minorHAnsi"/>
          <w:lang w:val="en-AU"/>
        </w:rPr>
        <w:t>C</w:t>
      </w:r>
      <w:r w:rsidR="00B755F7">
        <w:rPr>
          <w:rFonts w:eastAsiaTheme="minorHAnsi"/>
          <w:lang w:val="en-AU"/>
        </w:rPr>
        <w:t xml:space="preserve">ertificate III level qualifications is no longer available. These </w:t>
      </w:r>
      <w:r w:rsidR="006B1B1A">
        <w:rPr>
          <w:rFonts w:eastAsiaTheme="minorHAnsi"/>
          <w:lang w:val="en-AU"/>
        </w:rPr>
        <w:t xml:space="preserve">training costs act as a barrier of entry to educators starting in the field of child care, particularly in home-based settings </w:t>
      </w:r>
    </w:p>
    <w:p w14:paraId="4B83D104" w14:textId="334BD476" w:rsidR="00D02408" w:rsidRPr="00F91013" w:rsidRDefault="00671E57" w:rsidP="002E036A">
      <w:pPr>
        <w:pStyle w:val="ListParagraph"/>
        <w:numPr>
          <w:ilvl w:val="0"/>
          <w:numId w:val="5"/>
        </w:numPr>
        <w:rPr>
          <w:rFonts w:eastAsiaTheme="minorHAnsi"/>
          <w:lang w:val="en-AU"/>
        </w:rPr>
      </w:pPr>
      <w:r>
        <w:rPr>
          <w:rFonts w:eastAsiaTheme="minorHAnsi"/>
          <w:lang w:val="en-AU"/>
        </w:rPr>
        <w:t>i</w:t>
      </w:r>
      <w:r w:rsidR="00D02408">
        <w:rPr>
          <w:rFonts w:eastAsiaTheme="minorHAnsi"/>
          <w:lang w:val="en-AU"/>
        </w:rPr>
        <w:t>nability to recognise the qualifications and experience of those providing services while on working holiday visas under the NQF</w:t>
      </w:r>
    </w:p>
    <w:p w14:paraId="60F05CD9" w14:textId="2039F1AA" w:rsidR="00BA226B" w:rsidRPr="006751F3" w:rsidRDefault="00671E57" w:rsidP="002E036A">
      <w:pPr>
        <w:pStyle w:val="ListParagraph"/>
        <w:numPr>
          <w:ilvl w:val="0"/>
          <w:numId w:val="5"/>
        </w:numPr>
        <w:rPr>
          <w:rFonts w:eastAsiaTheme="minorHAnsi"/>
          <w:lang w:val="en-AU"/>
        </w:rPr>
      </w:pPr>
      <w:r>
        <w:rPr>
          <w:rFonts w:eastAsiaTheme="minorHAnsi"/>
          <w:lang w:val="en-AU"/>
        </w:rPr>
        <w:t>q</w:t>
      </w:r>
      <w:r w:rsidR="006B1B1A" w:rsidRPr="006B1B1A">
        <w:rPr>
          <w:rFonts w:eastAsiaTheme="minorHAnsi"/>
          <w:lang w:val="en-AU"/>
        </w:rPr>
        <w:t>ualifications may not provid</w:t>
      </w:r>
      <w:r>
        <w:rPr>
          <w:rFonts w:eastAsiaTheme="minorHAnsi"/>
          <w:lang w:val="en-AU"/>
        </w:rPr>
        <w:t>e</w:t>
      </w:r>
      <w:r w:rsidR="006B1B1A" w:rsidRPr="006B1B1A">
        <w:rPr>
          <w:rFonts w:eastAsiaTheme="minorHAnsi"/>
          <w:lang w:val="en-AU"/>
        </w:rPr>
        <w:t xml:space="preserve"> skills to work with families and children with special needs</w:t>
      </w:r>
      <w:r>
        <w:rPr>
          <w:rFonts w:eastAsiaTheme="minorHAnsi"/>
          <w:lang w:val="en-AU"/>
        </w:rPr>
        <w:t>.</w:t>
      </w:r>
      <w:r w:rsidR="006B1B1A" w:rsidRPr="006B1B1A">
        <w:rPr>
          <w:rFonts w:eastAsiaTheme="minorHAnsi"/>
          <w:lang w:val="en-AU"/>
        </w:rPr>
        <w:t xml:space="preserve"> </w:t>
      </w:r>
    </w:p>
    <w:p w14:paraId="5F57707E" w14:textId="248C4B3F" w:rsidR="008A62E0" w:rsidRDefault="00EA3C32" w:rsidP="00750C84">
      <w:pPr>
        <w:rPr>
          <w:rFonts w:eastAsiaTheme="minorHAnsi"/>
          <w:lang w:val="en-AU" w:eastAsia="en-US"/>
        </w:rPr>
      </w:pPr>
      <w:r>
        <w:rPr>
          <w:rFonts w:eastAsiaTheme="minorHAnsi"/>
          <w:lang w:val="en-AU" w:eastAsia="en-US"/>
        </w:rPr>
        <w:t xml:space="preserve">In </w:t>
      </w:r>
      <w:r w:rsidR="00933274">
        <w:rPr>
          <w:rFonts w:eastAsiaTheme="minorHAnsi"/>
          <w:lang w:val="en-AU" w:eastAsia="en-US"/>
        </w:rPr>
        <w:t>regional</w:t>
      </w:r>
      <w:r>
        <w:rPr>
          <w:rFonts w:eastAsiaTheme="minorHAnsi"/>
          <w:lang w:val="en-AU" w:eastAsia="en-US"/>
        </w:rPr>
        <w:t xml:space="preserve"> and remote areas, </w:t>
      </w:r>
      <w:r w:rsidR="00933274">
        <w:rPr>
          <w:rFonts w:eastAsiaTheme="minorHAnsi"/>
          <w:lang w:val="en-AU" w:eastAsia="en-US"/>
        </w:rPr>
        <w:t xml:space="preserve">home-based care is often provided to </w:t>
      </w:r>
      <w:r>
        <w:rPr>
          <w:rFonts w:eastAsiaTheme="minorHAnsi"/>
          <w:lang w:val="en-AU" w:eastAsia="en-US"/>
        </w:rPr>
        <w:t xml:space="preserve">families that </w:t>
      </w:r>
      <w:r w:rsidR="006751F3">
        <w:rPr>
          <w:rFonts w:eastAsiaTheme="minorHAnsi"/>
          <w:lang w:val="en-AU" w:eastAsia="en-US"/>
        </w:rPr>
        <w:t>are</w:t>
      </w:r>
      <w:r w:rsidR="00750C84">
        <w:rPr>
          <w:rFonts w:eastAsiaTheme="minorHAnsi"/>
          <w:lang w:val="en-AU" w:eastAsia="en-US"/>
        </w:rPr>
        <w:t xml:space="preserve"> </w:t>
      </w:r>
      <w:r>
        <w:rPr>
          <w:rFonts w:eastAsiaTheme="minorHAnsi"/>
          <w:lang w:val="en-AU" w:eastAsia="en-US"/>
        </w:rPr>
        <w:t xml:space="preserve">geographically isolated. In Queensland, </w:t>
      </w:r>
      <w:r w:rsidR="00750C84">
        <w:rPr>
          <w:rFonts w:eastAsiaTheme="minorHAnsi"/>
          <w:lang w:val="en-AU" w:eastAsia="en-US"/>
        </w:rPr>
        <w:t xml:space="preserve">educators can be operating in homes </w:t>
      </w:r>
      <w:r w:rsidR="00750C84" w:rsidRPr="00C21002">
        <w:rPr>
          <w:rFonts w:eastAsiaTheme="minorHAnsi"/>
          <w:lang w:val="en-AU" w:eastAsia="en-US"/>
        </w:rPr>
        <w:t>within a 1,000 to 2,000 kilometre</w:t>
      </w:r>
      <w:r w:rsidR="00750C84">
        <w:rPr>
          <w:rFonts w:eastAsiaTheme="minorHAnsi"/>
          <w:lang w:val="en-AU" w:eastAsia="en-US"/>
        </w:rPr>
        <w:t xml:space="preserve"> radius from </w:t>
      </w:r>
      <w:r>
        <w:rPr>
          <w:rFonts w:eastAsiaTheme="minorHAnsi"/>
          <w:lang w:val="en-AU" w:eastAsia="en-US"/>
        </w:rPr>
        <w:t>su</w:t>
      </w:r>
      <w:r w:rsidR="00750C84">
        <w:rPr>
          <w:rFonts w:eastAsiaTheme="minorHAnsi"/>
          <w:lang w:val="en-AU" w:eastAsia="en-US"/>
        </w:rPr>
        <w:t>pport and coordination services</w:t>
      </w:r>
      <w:r w:rsidR="003932A3">
        <w:rPr>
          <w:rStyle w:val="EndnoteReference"/>
          <w:rFonts w:eastAsiaTheme="minorHAnsi"/>
          <w:lang w:val="en-AU" w:eastAsia="en-US"/>
        </w:rPr>
        <w:endnoteReference w:id="3"/>
      </w:r>
      <w:r w:rsidR="00750C84">
        <w:rPr>
          <w:rFonts w:eastAsiaTheme="minorHAnsi"/>
          <w:lang w:val="en-AU" w:eastAsia="en-US"/>
        </w:rPr>
        <w:t>. This distance inhibits educator’s access to support, education and ongoing development. This distance also creates a problem when it comes to the monitoring</w:t>
      </w:r>
      <w:r w:rsidR="006751F3">
        <w:rPr>
          <w:rFonts w:eastAsiaTheme="minorHAnsi"/>
          <w:lang w:val="en-AU" w:eastAsia="en-US"/>
        </w:rPr>
        <w:t xml:space="preserve"> and assessment</w:t>
      </w:r>
      <w:r w:rsidR="00750C84">
        <w:rPr>
          <w:rFonts w:eastAsiaTheme="minorHAnsi"/>
          <w:lang w:val="en-AU" w:eastAsia="en-US"/>
        </w:rPr>
        <w:t xml:space="preserve"> elements of the NQF. </w:t>
      </w:r>
      <w:r w:rsidR="006959D7">
        <w:rPr>
          <w:rFonts w:eastAsiaTheme="minorHAnsi"/>
          <w:lang w:val="en-AU" w:eastAsia="en-US"/>
        </w:rPr>
        <w:t xml:space="preserve">Under the proposed scheme, families in remote locations currently accessing in-home care </w:t>
      </w:r>
      <w:r w:rsidR="008A62E0">
        <w:rPr>
          <w:rFonts w:eastAsiaTheme="minorHAnsi"/>
          <w:lang w:val="en-AU" w:eastAsia="en-US"/>
        </w:rPr>
        <w:t>c</w:t>
      </w:r>
      <w:r w:rsidR="006959D7">
        <w:rPr>
          <w:rFonts w:eastAsiaTheme="minorHAnsi"/>
          <w:lang w:val="en-AU" w:eastAsia="en-US"/>
        </w:rPr>
        <w:t xml:space="preserve">ould transition to an arrangement with a nanny approved under the NQF. In these remote locations, </w:t>
      </w:r>
      <w:r w:rsidR="008A62E0">
        <w:rPr>
          <w:rFonts w:eastAsiaTheme="minorHAnsi"/>
          <w:lang w:val="en-AU" w:eastAsia="en-US"/>
        </w:rPr>
        <w:t xml:space="preserve">accessing courses to be qualified and </w:t>
      </w:r>
      <w:r w:rsidR="006751F3">
        <w:rPr>
          <w:rFonts w:eastAsiaTheme="minorHAnsi"/>
          <w:lang w:val="en-AU" w:eastAsia="en-US"/>
        </w:rPr>
        <w:t>to meet</w:t>
      </w:r>
      <w:r w:rsidR="008A62E0">
        <w:rPr>
          <w:rFonts w:eastAsiaTheme="minorHAnsi"/>
          <w:lang w:val="en-AU" w:eastAsia="en-US"/>
        </w:rPr>
        <w:t xml:space="preserve"> appropriate monitoring and compliance</w:t>
      </w:r>
      <w:r w:rsidR="00290160">
        <w:rPr>
          <w:rFonts w:eastAsiaTheme="minorHAnsi"/>
          <w:lang w:val="en-AU" w:eastAsia="en-US"/>
        </w:rPr>
        <w:t xml:space="preserve"> assessments </w:t>
      </w:r>
      <w:r w:rsidR="008A62E0">
        <w:rPr>
          <w:rFonts w:eastAsiaTheme="minorHAnsi"/>
          <w:lang w:val="en-AU" w:eastAsia="en-US"/>
        </w:rPr>
        <w:t xml:space="preserve">would be expensive and difficult. If educators are unable to meet these NQF requirements due to their geographical location, families will not be able to obtain a subsidy for care. This </w:t>
      </w:r>
      <w:r w:rsidR="00290160">
        <w:rPr>
          <w:rFonts w:eastAsiaTheme="minorHAnsi"/>
          <w:lang w:val="en-AU" w:eastAsia="en-US"/>
        </w:rPr>
        <w:t xml:space="preserve">would reduce access to quality ECEC services for </w:t>
      </w:r>
      <w:r w:rsidR="008A62E0">
        <w:rPr>
          <w:rFonts w:eastAsiaTheme="minorHAnsi"/>
          <w:lang w:val="en-AU" w:eastAsia="en-US"/>
        </w:rPr>
        <w:t>families in regional and remote communities.</w:t>
      </w:r>
    </w:p>
    <w:p w14:paraId="019AFA51" w14:textId="77777777" w:rsidR="00290160" w:rsidRDefault="00290160" w:rsidP="00750C84">
      <w:pPr>
        <w:rPr>
          <w:rFonts w:eastAsiaTheme="minorHAnsi"/>
          <w:lang w:val="en-AU" w:eastAsia="en-US"/>
        </w:rPr>
      </w:pPr>
    </w:p>
    <w:p w14:paraId="69EAAF9E" w14:textId="0AA661D0" w:rsidR="00F91013" w:rsidRPr="008A62E0" w:rsidRDefault="008A62E0" w:rsidP="00750C84">
      <w:pPr>
        <w:rPr>
          <w:rFonts w:eastAsiaTheme="minorHAnsi"/>
          <w:lang w:val="en-AU" w:eastAsia="en-US"/>
        </w:rPr>
      </w:pPr>
      <w:r w:rsidRPr="008A62E0">
        <w:rPr>
          <w:rFonts w:eastAsiaTheme="minorHAnsi"/>
          <w:b/>
          <w:lang w:val="en-AU" w:eastAsia="en-US"/>
        </w:rPr>
        <w:t>CofC</w:t>
      </w:r>
      <w:r w:rsidR="00671E57">
        <w:rPr>
          <w:rFonts w:eastAsiaTheme="minorHAnsi"/>
          <w:b/>
          <w:lang w:val="en-AU" w:eastAsia="en-US"/>
        </w:rPr>
        <w:t>C</w:t>
      </w:r>
      <w:r w:rsidRPr="008A62E0">
        <w:rPr>
          <w:rFonts w:eastAsiaTheme="minorHAnsi"/>
          <w:b/>
          <w:lang w:val="en-AU" w:eastAsia="en-US"/>
        </w:rPr>
        <w:t xml:space="preserve"> recommends</w:t>
      </w:r>
      <w:r>
        <w:rPr>
          <w:rFonts w:eastAsiaTheme="minorHAnsi"/>
          <w:b/>
          <w:lang w:val="en-AU" w:eastAsia="en-US"/>
        </w:rPr>
        <w:t xml:space="preserve"> </w:t>
      </w:r>
      <w:r>
        <w:rPr>
          <w:rFonts w:eastAsiaTheme="minorHAnsi"/>
          <w:lang w:val="en-AU" w:eastAsia="en-US"/>
        </w:rPr>
        <w:t>that the monitoring and compliance</w:t>
      </w:r>
      <w:r w:rsidR="00290160">
        <w:rPr>
          <w:rFonts w:eastAsiaTheme="minorHAnsi"/>
          <w:lang w:val="en-AU" w:eastAsia="en-US"/>
        </w:rPr>
        <w:t xml:space="preserve"> assessment</w:t>
      </w:r>
      <w:r>
        <w:rPr>
          <w:rFonts w:eastAsiaTheme="minorHAnsi"/>
          <w:lang w:val="en-AU" w:eastAsia="en-US"/>
        </w:rPr>
        <w:t xml:space="preserve"> requirements of in-home educators – including nannies – are flexible to those working in regional and remote areas. We also recommend that any changes to the NQF are consistent with the </w:t>
      </w:r>
      <w:r w:rsidR="006751F3">
        <w:rPr>
          <w:rFonts w:eastAsiaTheme="minorHAnsi"/>
          <w:lang w:val="en-AU" w:eastAsia="en-US"/>
        </w:rPr>
        <w:t xml:space="preserve">recommendations arising from </w:t>
      </w:r>
      <w:r>
        <w:rPr>
          <w:rFonts w:eastAsiaTheme="minorHAnsi"/>
          <w:lang w:val="en-AU" w:eastAsia="en-US"/>
        </w:rPr>
        <w:t xml:space="preserve">the </w:t>
      </w:r>
      <w:r w:rsidR="006751F3">
        <w:rPr>
          <w:rFonts w:eastAsiaTheme="minorHAnsi"/>
          <w:lang w:val="en-AU" w:eastAsia="en-US"/>
        </w:rPr>
        <w:t>2014</w:t>
      </w:r>
      <w:r>
        <w:rPr>
          <w:rFonts w:eastAsiaTheme="minorHAnsi"/>
          <w:lang w:val="en-AU" w:eastAsia="en-US"/>
        </w:rPr>
        <w:t xml:space="preserve"> review of </w:t>
      </w:r>
      <w:r w:rsidR="006751F3">
        <w:rPr>
          <w:rFonts w:eastAsiaTheme="minorHAnsi"/>
          <w:lang w:val="en-AU" w:eastAsia="en-US"/>
        </w:rPr>
        <w:t>the</w:t>
      </w:r>
      <w:r>
        <w:rPr>
          <w:rFonts w:eastAsiaTheme="minorHAnsi"/>
          <w:lang w:val="en-AU" w:eastAsia="en-US"/>
        </w:rPr>
        <w:t xml:space="preserve"> framework.</w:t>
      </w:r>
    </w:p>
    <w:p w14:paraId="6AAFB183" w14:textId="4479B03B" w:rsidR="004A3767" w:rsidRDefault="004A3767" w:rsidP="00BC1E44"/>
    <w:p w14:paraId="0F6F514F" w14:textId="4AEF61A3" w:rsidR="00831B9D" w:rsidRDefault="00831B9D" w:rsidP="00831B9D">
      <w:pPr>
        <w:pStyle w:val="Heading2"/>
      </w:pPr>
      <w:bookmarkStart w:id="20" w:name="_Toc397430796"/>
      <w:r>
        <w:t>Moving preschool services into schools</w:t>
      </w:r>
      <w:bookmarkEnd w:id="20"/>
    </w:p>
    <w:p w14:paraId="11D2E372" w14:textId="5E6CCF8E" w:rsidR="00E64E3C" w:rsidRDefault="007B11C2" w:rsidP="001D7758">
      <w:r>
        <w:t xml:space="preserve">CofCC is </w:t>
      </w:r>
      <w:r w:rsidR="00F92A1B">
        <w:t>concerned</w:t>
      </w:r>
      <w:r>
        <w:t xml:space="preserve"> by a </w:t>
      </w:r>
      <w:r w:rsidR="00D45A0D">
        <w:t>number of the Commission’s recommendations</w:t>
      </w:r>
      <w:r w:rsidR="00833683">
        <w:t xml:space="preserve">, which </w:t>
      </w:r>
      <w:r w:rsidR="00D45A0D">
        <w:t xml:space="preserve">indicate </w:t>
      </w:r>
      <w:r w:rsidR="00833683">
        <w:t xml:space="preserve">an </w:t>
      </w:r>
      <w:r w:rsidR="00D45A0D">
        <w:t xml:space="preserve">intention to move preschool </w:t>
      </w:r>
      <w:r w:rsidR="003A0000">
        <w:t>into</w:t>
      </w:r>
      <w:r w:rsidR="00D45A0D">
        <w:t xml:space="preserve"> schools wherever possible.</w:t>
      </w:r>
      <w:r w:rsidR="00F34B3D">
        <w:t xml:space="preserve"> </w:t>
      </w:r>
      <w:r w:rsidR="00650464">
        <w:t>Formal school systems are structured around</w:t>
      </w:r>
      <w:r w:rsidR="00D528AD">
        <w:t xml:space="preserve"> a set of frameworks, practices and performance requirements that are at odds with early education frameworks based on play. </w:t>
      </w:r>
      <w:r w:rsidR="00F92A1B">
        <w:t>A strong evidence base exists for the use of play-based curriculums in early childhood</w:t>
      </w:r>
      <w:r w:rsidR="008A6DEE">
        <w:t xml:space="preserve"> education</w:t>
      </w:r>
      <w:r w:rsidR="00F92A1B">
        <w:t xml:space="preserve">, </w:t>
      </w:r>
      <w:r w:rsidR="00D528AD">
        <w:t>which is why</w:t>
      </w:r>
      <w:r w:rsidR="008A6DEE">
        <w:t xml:space="preserve"> it has been incorporated</w:t>
      </w:r>
      <w:r w:rsidR="00F92A1B">
        <w:t xml:space="preserve"> into</w:t>
      </w:r>
      <w:r w:rsidR="00650464">
        <w:t xml:space="preserve"> the</w:t>
      </w:r>
      <w:r w:rsidR="00F92A1B">
        <w:t xml:space="preserve"> Australia</w:t>
      </w:r>
      <w:r w:rsidR="00650464">
        <w:t>n</w:t>
      </w:r>
      <w:r w:rsidR="00F92A1B">
        <w:t xml:space="preserve"> Early Years Framework</w:t>
      </w:r>
      <w:r w:rsidR="00F92A1B">
        <w:rPr>
          <w:rStyle w:val="EndnoteReference"/>
        </w:rPr>
        <w:endnoteReference w:id="4"/>
      </w:r>
      <w:r w:rsidR="00F92A1B">
        <w:t xml:space="preserve">. </w:t>
      </w:r>
      <w:r w:rsidR="00191391">
        <w:t>Unfortunately t</w:t>
      </w:r>
      <w:r w:rsidR="00650464">
        <w:t xml:space="preserve">he structure of formal school systems </w:t>
      </w:r>
      <w:r w:rsidR="00191391">
        <w:t xml:space="preserve">is </w:t>
      </w:r>
      <w:r w:rsidR="00650464">
        <w:t>not conducive to implementing play-based curriculums</w:t>
      </w:r>
      <w:r w:rsidR="00191391">
        <w:t>. This</w:t>
      </w:r>
      <w:r w:rsidR="00650464">
        <w:t xml:space="preserve"> has been highlighted following </w:t>
      </w:r>
      <w:r>
        <w:t>Queensland</w:t>
      </w:r>
      <w:r w:rsidR="008A6DEE">
        <w:t>’s relatively recent integration of</w:t>
      </w:r>
      <w:r>
        <w:t xml:space="preserve"> children aged five years </w:t>
      </w:r>
      <w:r w:rsidR="00D103E8">
        <w:t>into</w:t>
      </w:r>
      <w:r w:rsidR="00191391">
        <w:t xml:space="preserve"> schools</w:t>
      </w:r>
      <w:r w:rsidR="00D103E8">
        <w:t xml:space="preserve">. </w:t>
      </w:r>
      <w:r w:rsidR="00191391">
        <w:t>A</w:t>
      </w:r>
      <w:r w:rsidR="00D103E8">
        <w:t xml:space="preserve"> more formalised curriculum </w:t>
      </w:r>
      <w:r w:rsidR="00191391">
        <w:t xml:space="preserve">now exists </w:t>
      </w:r>
      <w:r w:rsidR="00D103E8">
        <w:t xml:space="preserve">for five year olds </w:t>
      </w:r>
      <w:r w:rsidR="00EA53F4">
        <w:t xml:space="preserve">that is </w:t>
      </w:r>
      <w:r w:rsidR="00084B21">
        <w:t>centred around</w:t>
      </w:r>
      <w:r w:rsidR="00D103E8">
        <w:t xml:space="preserve"> activities and outcomes that leave little time for play</w:t>
      </w:r>
      <w:r w:rsidR="007412A1">
        <w:t>-based learning</w:t>
      </w:r>
      <w:r w:rsidR="00D103E8">
        <w:t>.</w:t>
      </w:r>
      <w:r w:rsidR="00084B21">
        <w:t xml:space="preserve"> In light of this, delivering</w:t>
      </w:r>
      <w:r w:rsidR="00D103E8">
        <w:t xml:space="preserve"> preschool services in schools and removing them from the </w:t>
      </w:r>
      <w:r w:rsidR="007412A1">
        <w:t xml:space="preserve">scope of the </w:t>
      </w:r>
      <w:r w:rsidR="00D103E8">
        <w:t xml:space="preserve">NQF carries a significant risk that children will be </w:t>
      </w:r>
      <w:r w:rsidR="007412A1">
        <w:t>subject</w:t>
      </w:r>
      <w:r w:rsidR="00D103E8">
        <w:t xml:space="preserve"> to formal </w:t>
      </w:r>
      <w:r w:rsidR="007412A1">
        <w:t>curriculums</w:t>
      </w:r>
      <w:r w:rsidR="00D103E8">
        <w:t xml:space="preserve"> that are not </w:t>
      </w:r>
      <w:r w:rsidR="00084B21">
        <w:t>tailored</w:t>
      </w:r>
      <w:r w:rsidR="00D103E8">
        <w:t xml:space="preserve"> </w:t>
      </w:r>
      <w:r w:rsidR="00EA53F4">
        <w:t>to</w:t>
      </w:r>
      <w:r w:rsidR="00D103E8">
        <w:t xml:space="preserve"> their development. </w:t>
      </w:r>
    </w:p>
    <w:p w14:paraId="6D072911" w14:textId="77777777" w:rsidR="00E64E3C" w:rsidRDefault="00E64E3C" w:rsidP="001D7758"/>
    <w:p w14:paraId="4B67157A" w14:textId="1303188F" w:rsidR="00626416" w:rsidRDefault="00900AE5" w:rsidP="001D7758">
      <w:r>
        <w:t>Shifting more preschool services into schools</w:t>
      </w:r>
      <w:r w:rsidR="0077732D">
        <w:t>,</w:t>
      </w:r>
      <w:r>
        <w:t xml:space="preserve"> removing</w:t>
      </w:r>
      <w:r w:rsidR="00D45A0D">
        <w:t xml:space="preserve"> d</w:t>
      </w:r>
      <w:r w:rsidR="001D7758">
        <w:t xml:space="preserve">edicated </w:t>
      </w:r>
      <w:r w:rsidR="00F34B3D">
        <w:t>p</w:t>
      </w:r>
      <w:r w:rsidR="001D7758">
        <w:t xml:space="preserve">reschools from the scope of the </w:t>
      </w:r>
      <w:r>
        <w:t xml:space="preserve">NQF </w:t>
      </w:r>
      <w:r w:rsidR="0077732D">
        <w:t>and</w:t>
      </w:r>
      <w:r w:rsidR="003A0000">
        <w:t xml:space="preserve"> keeping </w:t>
      </w:r>
      <w:r w:rsidR="00D45A0D">
        <w:t xml:space="preserve">Long Day Care (LDC) services </w:t>
      </w:r>
      <w:r w:rsidR="003A0000">
        <w:t>in scope</w:t>
      </w:r>
      <w:r w:rsidR="003964AD">
        <w:t xml:space="preserve"> </w:t>
      </w:r>
      <w:r w:rsidR="00084B21">
        <w:t xml:space="preserve">also </w:t>
      </w:r>
      <w:r w:rsidR="003964AD">
        <w:t xml:space="preserve">raises concern. This move </w:t>
      </w:r>
      <w:r w:rsidR="00EA53F4">
        <w:t>will</w:t>
      </w:r>
      <w:r w:rsidR="003964AD">
        <w:t xml:space="preserve"> lead to</w:t>
      </w:r>
      <w:r>
        <w:t xml:space="preserve"> </w:t>
      </w:r>
      <w:r w:rsidR="003A0000">
        <w:t>inconsiste</w:t>
      </w:r>
      <w:r w:rsidR="005145B6">
        <w:t>nt curriculums across preschool</w:t>
      </w:r>
      <w:r w:rsidR="003A0000">
        <w:t xml:space="preserve"> </w:t>
      </w:r>
      <w:r>
        <w:t>cohorts</w:t>
      </w:r>
      <w:r w:rsidR="003A0000">
        <w:t>.</w:t>
      </w:r>
      <w:r w:rsidR="00D53313">
        <w:t xml:space="preserve"> This </w:t>
      </w:r>
      <w:r w:rsidR="00626416">
        <w:t xml:space="preserve">inconsistency could have the following </w:t>
      </w:r>
      <w:r w:rsidR="00CB5D53">
        <w:t>impacts</w:t>
      </w:r>
      <w:r w:rsidR="00626416">
        <w:t>:</w:t>
      </w:r>
    </w:p>
    <w:p w14:paraId="0F6353C1" w14:textId="77777777" w:rsidR="00833683" w:rsidRDefault="00833683" w:rsidP="001D7758"/>
    <w:p w14:paraId="3C122F82" w14:textId="26DFF397" w:rsidR="00D45A0D" w:rsidRDefault="00B64373" w:rsidP="002E036A">
      <w:pPr>
        <w:pStyle w:val="ListParagraph"/>
        <w:numPr>
          <w:ilvl w:val="0"/>
          <w:numId w:val="4"/>
        </w:numPr>
        <w:rPr>
          <w:rFonts w:eastAsia="Times New Roman" w:cs="Arial"/>
          <w:lang w:val="en-GB" w:eastAsia="en-AU"/>
        </w:rPr>
      </w:pPr>
      <w:r>
        <w:rPr>
          <w:rFonts w:eastAsia="Times New Roman" w:cs="Arial"/>
          <w:lang w:val="en-GB" w:eastAsia="en-AU"/>
        </w:rPr>
        <w:t>c</w:t>
      </w:r>
      <w:r w:rsidR="00626416" w:rsidRPr="00626416">
        <w:rPr>
          <w:rFonts w:eastAsia="Times New Roman" w:cs="Arial"/>
          <w:lang w:val="en-GB" w:eastAsia="en-AU"/>
        </w:rPr>
        <w:t xml:space="preserve">onfusion </w:t>
      </w:r>
      <w:r w:rsidR="00CB5D53">
        <w:rPr>
          <w:rFonts w:eastAsia="Times New Roman" w:cs="Arial"/>
          <w:lang w:val="en-GB" w:eastAsia="en-AU"/>
        </w:rPr>
        <w:t xml:space="preserve">among families as they make decisions about their child’s education </w:t>
      </w:r>
    </w:p>
    <w:p w14:paraId="6A176081" w14:textId="37CAC72C" w:rsidR="00CB5D53" w:rsidRDefault="00B64373" w:rsidP="002E036A">
      <w:pPr>
        <w:pStyle w:val="ListParagraph"/>
        <w:numPr>
          <w:ilvl w:val="0"/>
          <w:numId w:val="4"/>
        </w:numPr>
        <w:rPr>
          <w:rFonts w:eastAsia="Times New Roman" w:cs="Arial"/>
          <w:lang w:val="en-GB" w:eastAsia="en-AU"/>
        </w:rPr>
      </w:pPr>
      <w:r>
        <w:rPr>
          <w:rFonts w:eastAsia="Times New Roman" w:cs="Arial"/>
          <w:lang w:val="en-GB" w:eastAsia="en-AU"/>
        </w:rPr>
        <w:t>p</w:t>
      </w:r>
      <w:r w:rsidR="00CB5D53">
        <w:rPr>
          <w:rFonts w:eastAsia="Times New Roman" w:cs="Arial"/>
          <w:lang w:val="en-GB" w:eastAsia="en-AU"/>
        </w:rPr>
        <w:t xml:space="preserve">erceptions </w:t>
      </w:r>
      <w:r w:rsidR="00D24BBB">
        <w:rPr>
          <w:rFonts w:eastAsia="Times New Roman" w:cs="Arial"/>
          <w:lang w:val="en-GB" w:eastAsia="en-AU"/>
        </w:rPr>
        <w:t xml:space="preserve">over quality </w:t>
      </w:r>
      <w:r w:rsidR="00D528AD">
        <w:rPr>
          <w:rFonts w:eastAsia="Times New Roman" w:cs="Arial"/>
          <w:lang w:val="en-GB" w:eastAsia="en-AU"/>
        </w:rPr>
        <w:t>of education provided that can lead to inequity</w:t>
      </w:r>
    </w:p>
    <w:p w14:paraId="1ABECA66" w14:textId="5A9081D2" w:rsidR="005145B6" w:rsidRDefault="00B64373" w:rsidP="002E036A">
      <w:pPr>
        <w:pStyle w:val="ListParagraph"/>
        <w:numPr>
          <w:ilvl w:val="0"/>
          <w:numId w:val="4"/>
        </w:numPr>
        <w:rPr>
          <w:rFonts w:eastAsia="Times New Roman" w:cs="Arial"/>
          <w:lang w:val="en-GB" w:eastAsia="en-AU"/>
        </w:rPr>
      </w:pPr>
      <w:r>
        <w:rPr>
          <w:rFonts w:eastAsia="Times New Roman" w:cs="Arial"/>
          <w:lang w:val="en-GB" w:eastAsia="en-AU"/>
        </w:rPr>
        <w:t>d</w:t>
      </w:r>
      <w:r w:rsidR="005145B6">
        <w:rPr>
          <w:rFonts w:eastAsia="Times New Roman" w:cs="Arial"/>
          <w:lang w:val="en-GB" w:eastAsia="en-AU"/>
        </w:rPr>
        <w:t>ifficulty recruiting early childhood teachers who consider teaching in schools more valuable than in LDC and stand alone services</w:t>
      </w:r>
      <w:r>
        <w:rPr>
          <w:rFonts w:eastAsia="Times New Roman" w:cs="Arial"/>
          <w:lang w:val="en-GB" w:eastAsia="en-AU"/>
        </w:rPr>
        <w:t>.</w:t>
      </w:r>
    </w:p>
    <w:p w14:paraId="693C5297" w14:textId="05D7C014" w:rsidR="00084B21" w:rsidRPr="00084B21" w:rsidRDefault="00084B21" w:rsidP="00084B21">
      <w:r w:rsidRPr="006B33E4">
        <w:rPr>
          <w:b/>
        </w:rPr>
        <w:t>CofCC recommends</w:t>
      </w:r>
      <w:r>
        <w:t xml:space="preserve"> that the Commission</w:t>
      </w:r>
      <w:r w:rsidR="006B33E4">
        <w:t xml:space="preserve"> keeps all preschool services in scope of the NQF and that </w:t>
      </w:r>
      <w:r w:rsidR="00540D5C">
        <w:t xml:space="preserve">any </w:t>
      </w:r>
      <w:r w:rsidR="006B33E4">
        <w:t xml:space="preserve">schools delivering preschool services are monitored to ensure they are implementing play-based curriculums. </w:t>
      </w:r>
    </w:p>
    <w:p w14:paraId="22D09E5C" w14:textId="77777777" w:rsidR="00831B9D" w:rsidRDefault="00831B9D" w:rsidP="00BC1E44"/>
    <w:p w14:paraId="2D90B506" w14:textId="68A3EEA6" w:rsidR="00347812" w:rsidRDefault="00831B9D" w:rsidP="00831B9D">
      <w:pPr>
        <w:pStyle w:val="Heading1"/>
      </w:pPr>
      <w:bookmarkStart w:id="21" w:name="_Toc397430797"/>
      <w:r>
        <w:t>Access</w:t>
      </w:r>
      <w:bookmarkEnd w:id="21"/>
    </w:p>
    <w:p w14:paraId="2D027D88" w14:textId="388BB4AC" w:rsidR="00347812" w:rsidRDefault="00347812" w:rsidP="00BC1E44"/>
    <w:p w14:paraId="5090A7F6" w14:textId="309E7F65" w:rsidR="00831B9D" w:rsidRDefault="00831B9D" w:rsidP="00831B9D">
      <w:r>
        <w:t xml:space="preserve">The following section relates to information request numbers </w:t>
      </w:r>
      <w:r w:rsidR="00447D1E">
        <w:t>8.1</w:t>
      </w:r>
      <w:r w:rsidR="0027777C">
        <w:t xml:space="preserve"> and</w:t>
      </w:r>
      <w:r w:rsidR="00447D1E">
        <w:t xml:space="preserve"> 12.9</w:t>
      </w:r>
      <w:r w:rsidR="0027777C">
        <w:t xml:space="preserve">. </w:t>
      </w:r>
    </w:p>
    <w:p w14:paraId="6F6EE1DC" w14:textId="77777777" w:rsidR="00831B9D" w:rsidRDefault="00831B9D" w:rsidP="00BC1E44"/>
    <w:p w14:paraId="0BDBA47E" w14:textId="78EDAF25" w:rsidR="00831B9D" w:rsidRDefault="007B6BBE" w:rsidP="007B6BBE">
      <w:pPr>
        <w:pStyle w:val="Heading2"/>
      </w:pPr>
      <w:bookmarkStart w:id="22" w:name="_Toc397430798"/>
      <w:r>
        <w:t xml:space="preserve">Delivering services to children </w:t>
      </w:r>
      <w:r w:rsidR="00081225">
        <w:t>with additional needs</w:t>
      </w:r>
      <w:bookmarkEnd w:id="22"/>
    </w:p>
    <w:p w14:paraId="1BB8CA46" w14:textId="70AA886F" w:rsidR="00084AAE" w:rsidRDefault="00081225" w:rsidP="004330A1">
      <w:r>
        <w:t>CofCC aims to provide inclusive ECEC services that are able to cater for children with additional needs</w:t>
      </w:r>
      <w:r w:rsidR="00A9636B">
        <w:t xml:space="preserve"> within mainstream settings</w:t>
      </w:r>
      <w:r>
        <w:t xml:space="preserve">. </w:t>
      </w:r>
      <w:r w:rsidR="00084AAE">
        <w:t>While specialist units for</w:t>
      </w:r>
      <w:r w:rsidR="008A6C7F">
        <w:t xml:space="preserve"> this group of</w:t>
      </w:r>
      <w:r w:rsidR="00084AAE">
        <w:t xml:space="preserve"> children do exist in schools, the experience of our educators and professionals is that children should access mainstream services</w:t>
      </w:r>
      <w:r w:rsidR="008A6C7F">
        <w:t xml:space="preserve"> wherever possible</w:t>
      </w:r>
      <w:r w:rsidR="00084AAE">
        <w:t xml:space="preserve">. By participating in these services children with additional needs are challenged to improve their skills in many areas, in particular their social and language skills. </w:t>
      </w:r>
    </w:p>
    <w:p w14:paraId="640137CF" w14:textId="77777777" w:rsidR="00084AAE" w:rsidRDefault="00084AAE" w:rsidP="004330A1"/>
    <w:p w14:paraId="6B0E8F2B" w14:textId="77777777" w:rsidR="00CE7589" w:rsidRDefault="00081225" w:rsidP="004330A1">
      <w:r>
        <w:t xml:space="preserve">Our experience </w:t>
      </w:r>
      <w:r w:rsidR="00084AAE">
        <w:t xml:space="preserve">has been that </w:t>
      </w:r>
      <w:r>
        <w:t xml:space="preserve">providing support </w:t>
      </w:r>
      <w:r w:rsidR="00084AAE">
        <w:t>for children with additional needs in mainstream LDC services</w:t>
      </w:r>
      <w:r>
        <w:t xml:space="preserve"> </w:t>
      </w:r>
      <w:r w:rsidR="00084AAE">
        <w:t xml:space="preserve">usually </w:t>
      </w:r>
      <w:r>
        <w:t>require</w:t>
      </w:r>
      <w:r w:rsidR="00084AAE">
        <w:t>s</w:t>
      </w:r>
      <w:r>
        <w:t xml:space="preserve"> an additional staff member</w:t>
      </w:r>
      <w:r w:rsidR="00084AAE">
        <w:t xml:space="preserve">, </w:t>
      </w:r>
      <w:r w:rsidR="005A5012">
        <w:t>as well as ad</w:t>
      </w:r>
      <w:r w:rsidR="008A6C7F">
        <w:t>ditional training for educators</w:t>
      </w:r>
      <w:r w:rsidR="005A5012">
        <w:t xml:space="preserve">. </w:t>
      </w:r>
      <w:r w:rsidR="008447C0">
        <w:t xml:space="preserve">This training adds additional benefit as early years educators are often the first to notice when children are showing signs of developmental delays. </w:t>
      </w:r>
      <w:r w:rsidR="005A5012">
        <w:t xml:space="preserve">These requirements carry an additional cost </w:t>
      </w:r>
      <w:r w:rsidR="00833683">
        <w:t xml:space="preserve">to provide </w:t>
      </w:r>
      <w:r w:rsidR="005A5012">
        <w:t>ECEC for children with special needs</w:t>
      </w:r>
      <w:r w:rsidR="00A9636B">
        <w:t xml:space="preserve">. For many organisations, these additional costs are not supported by their business models and children </w:t>
      </w:r>
      <w:r w:rsidR="000B3E47">
        <w:t xml:space="preserve">consequently </w:t>
      </w:r>
      <w:r w:rsidR="00A9636B">
        <w:t>have difficulty finding suitable and affordable care.</w:t>
      </w:r>
      <w:r w:rsidR="005A5012">
        <w:t xml:space="preserve"> </w:t>
      </w:r>
    </w:p>
    <w:p w14:paraId="5940F9BE" w14:textId="77777777" w:rsidR="00D65343" w:rsidRDefault="00D65343" w:rsidP="004330A1"/>
    <w:p w14:paraId="1271A21B" w14:textId="289765B9" w:rsidR="00831B9D" w:rsidRDefault="00833683" w:rsidP="004330A1">
      <w:r>
        <w:t>When we</w:t>
      </w:r>
      <w:r w:rsidR="00A9636B">
        <w:t xml:space="preserve"> have provided support for children with </w:t>
      </w:r>
      <w:r w:rsidR="004330A1">
        <w:t xml:space="preserve">additional needs, we have subsidised </w:t>
      </w:r>
      <w:r w:rsidR="000B3E47">
        <w:t>the</w:t>
      </w:r>
      <w:r w:rsidR="004330A1">
        <w:t>se</w:t>
      </w:r>
      <w:r w:rsidR="000B3E47">
        <w:t xml:space="preserve"> additional costs </w:t>
      </w:r>
      <w:r w:rsidR="004330A1">
        <w:t xml:space="preserve">from </w:t>
      </w:r>
      <w:r w:rsidR="000B3E47">
        <w:t>within our organisation. This decision</w:t>
      </w:r>
      <w:r w:rsidR="004330A1">
        <w:t xml:space="preserve"> reflects</w:t>
      </w:r>
      <w:r w:rsidR="000B3E47">
        <w:t xml:space="preserve"> our mission and values as a</w:t>
      </w:r>
      <w:r w:rsidR="004330A1">
        <w:t xml:space="preserve"> not-for-profit Christian</w:t>
      </w:r>
      <w:r w:rsidR="000B3E47">
        <w:t xml:space="preserve"> organisation</w:t>
      </w:r>
      <w:r w:rsidR="004330A1">
        <w:t xml:space="preserve">, however </w:t>
      </w:r>
      <w:r>
        <w:t>this</w:t>
      </w:r>
      <w:r w:rsidR="004330A1">
        <w:t xml:space="preserve"> is not sustainable over the long-term. </w:t>
      </w:r>
      <w:r w:rsidR="006578B4">
        <w:t>CofCC supports the Commission’s recommendation to ‘top-up’ the deemed cost of delivering services to groups of children identified as having additional needs.</w:t>
      </w:r>
    </w:p>
    <w:p w14:paraId="1E6C9B26" w14:textId="604E4ECB" w:rsidR="004330A1" w:rsidRDefault="004330A1" w:rsidP="004330A1"/>
    <w:p w14:paraId="21AF61F9" w14:textId="5159DBF8" w:rsidR="004330A1" w:rsidRDefault="004330A1" w:rsidP="004330A1">
      <w:r>
        <w:t xml:space="preserve">Identifying and targeting developmentally vulnerable children to receive ECEC </w:t>
      </w:r>
      <w:r w:rsidR="006063D7">
        <w:t xml:space="preserve">services </w:t>
      </w:r>
      <w:r w:rsidR="00754730">
        <w:t>would</w:t>
      </w:r>
      <w:r>
        <w:t xml:space="preserve"> be best achieved through a combination of</w:t>
      </w:r>
      <w:r w:rsidR="005E6058">
        <w:t xml:space="preserve"> demographic analysis and </w:t>
      </w:r>
      <w:r w:rsidR="00754730">
        <w:t>local knowledge obtained by</w:t>
      </w:r>
      <w:r w:rsidR="005E6058">
        <w:t xml:space="preserve"> working with state-based family support services. </w:t>
      </w:r>
    </w:p>
    <w:p w14:paraId="43A2A327" w14:textId="77777777" w:rsidR="00754730" w:rsidRDefault="00754730" w:rsidP="004330A1"/>
    <w:p w14:paraId="6DB9FD4D" w14:textId="4FC2923C" w:rsidR="00B12877" w:rsidRDefault="00754730" w:rsidP="00B12877">
      <w:r>
        <w:rPr>
          <w:b/>
        </w:rPr>
        <w:t>CofCC recommends</w:t>
      </w:r>
      <w:r>
        <w:t xml:space="preserve"> that consideration be</w:t>
      </w:r>
      <w:r w:rsidR="00E454B5">
        <w:t xml:space="preserve"> given to how the deemed cost of care for children with additional needs is determined and how this interacts with the proposed Special Early Care and Learning Subsidy.</w:t>
      </w:r>
      <w:r w:rsidR="00B12877">
        <w:t xml:space="preserve"> </w:t>
      </w:r>
      <w:r w:rsidR="00B12877">
        <w:br w:type="page"/>
      </w:r>
    </w:p>
    <w:p w14:paraId="7407517C" w14:textId="58886521" w:rsidR="00831B9D" w:rsidRDefault="00831B9D" w:rsidP="00831B9D">
      <w:pPr>
        <w:pStyle w:val="Heading1"/>
      </w:pPr>
      <w:bookmarkStart w:id="23" w:name="_Toc397430799"/>
      <w:r>
        <w:lastRenderedPageBreak/>
        <w:t>Cost</w:t>
      </w:r>
      <w:bookmarkEnd w:id="23"/>
    </w:p>
    <w:p w14:paraId="1305BC59" w14:textId="77777777" w:rsidR="00831B9D" w:rsidRDefault="00831B9D" w:rsidP="00BC1E44"/>
    <w:p w14:paraId="039C77E3" w14:textId="53363B64" w:rsidR="00831B9D" w:rsidRDefault="00831B9D" w:rsidP="00831B9D">
      <w:r>
        <w:t>The following section relates to information request number</w:t>
      </w:r>
      <w:r w:rsidR="006B2DCB">
        <w:t xml:space="preserve"> 12.4</w:t>
      </w:r>
      <w:r w:rsidR="00DD0514">
        <w:t xml:space="preserve"> and 12.6</w:t>
      </w:r>
      <w:r w:rsidR="006B2DCB">
        <w:t>.</w:t>
      </w:r>
    </w:p>
    <w:p w14:paraId="5E175E6C" w14:textId="77777777" w:rsidR="00831B9D" w:rsidRDefault="00831B9D" w:rsidP="00BC1E44"/>
    <w:p w14:paraId="303151A5" w14:textId="4194A806" w:rsidR="00DC0B1E" w:rsidRDefault="00DC0B1E" w:rsidP="00DC0B1E">
      <w:pPr>
        <w:pStyle w:val="Heading2"/>
      </w:pPr>
      <w:bookmarkStart w:id="24" w:name="_Toc397430800"/>
      <w:r>
        <w:t>Establishing a deemed cost of delivering ECEC services</w:t>
      </w:r>
      <w:bookmarkEnd w:id="24"/>
    </w:p>
    <w:p w14:paraId="3901B814" w14:textId="70F378EA" w:rsidR="00660F25" w:rsidRDefault="001E205F" w:rsidP="00BC1E44">
      <w:r>
        <w:t>CofC</w:t>
      </w:r>
      <w:r w:rsidR="00480BB5">
        <w:t>C</w:t>
      </w:r>
      <w:r>
        <w:t xml:space="preserve"> supports the Commission’s recommendation to establish</w:t>
      </w:r>
      <w:r w:rsidR="00480DEF">
        <w:t xml:space="preserve"> a </w:t>
      </w:r>
      <w:r>
        <w:t xml:space="preserve">deemed </w:t>
      </w:r>
      <w:r w:rsidR="00480DEF">
        <w:t xml:space="preserve">cost of </w:t>
      </w:r>
      <w:r>
        <w:t xml:space="preserve">delivering a reasonable standard of ECEC that includes a profit margin. This is a </w:t>
      </w:r>
      <w:r w:rsidR="00A8655C">
        <w:t>significant</w:t>
      </w:r>
      <w:r>
        <w:t xml:space="preserve"> and important task </w:t>
      </w:r>
      <w:r w:rsidR="00B12877">
        <w:t>requiring</w:t>
      </w:r>
      <w:r>
        <w:t xml:space="preserve"> </w:t>
      </w:r>
      <w:r w:rsidR="006B2DCB">
        <w:t xml:space="preserve">a thorough benchmarking activity </w:t>
      </w:r>
      <w:r w:rsidR="00480BB5">
        <w:t xml:space="preserve">across </w:t>
      </w:r>
      <w:r w:rsidR="006B2DCB">
        <w:t xml:space="preserve">a range of </w:t>
      </w:r>
      <w:r w:rsidR="00480BB5">
        <w:t xml:space="preserve">service </w:t>
      </w:r>
      <w:r w:rsidR="006B2DCB">
        <w:t xml:space="preserve">locations and population groups. </w:t>
      </w:r>
      <w:r w:rsidR="00480BB5">
        <w:t>CofCC consider</w:t>
      </w:r>
      <w:r w:rsidR="006578B4">
        <w:t>s</w:t>
      </w:r>
      <w:r w:rsidR="00480BB5">
        <w:t xml:space="preserve"> it</w:t>
      </w:r>
      <w:r w:rsidR="006B2DCB">
        <w:t xml:space="preserve"> vital that</w:t>
      </w:r>
      <w:r w:rsidR="00463548">
        <w:t xml:space="preserve"> any</w:t>
      </w:r>
      <w:r w:rsidR="006B2DCB">
        <w:t xml:space="preserve"> </w:t>
      </w:r>
      <w:r>
        <w:t xml:space="preserve">sampling of organisations to determine </w:t>
      </w:r>
      <w:r w:rsidR="00A8655C">
        <w:t>this cost include</w:t>
      </w:r>
      <w:r w:rsidR="00480BB5">
        <w:t>s</w:t>
      </w:r>
      <w:r w:rsidR="00A8655C">
        <w:t xml:space="preserve"> ECEC services operating in regional and remote areas</w:t>
      </w:r>
      <w:r w:rsidR="00480BB5">
        <w:t xml:space="preserve"> and incorporates </w:t>
      </w:r>
      <w:r w:rsidR="00A8655C">
        <w:t xml:space="preserve">a comparison of costs in </w:t>
      </w:r>
      <w:r w:rsidR="000F033C">
        <w:t xml:space="preserve">communities </w:t>
      </w:r>
      <w:r w:rsidR="00A8655C">
        <w:t>impacted by nearby mining operations.</w:t>
      </w:r>
    </w:p>
    <w:p w14:paraId="4CE99629" w14:textId="77777777" w:rsidR="00AF2568" w:rsidRDefault="00AF2568" w:rsidP="00BC1E44"/>
    <w:p w14:paraId="6A6F09F8" w14:textId="6E0F1ABF" w:rsidR="00A8655C" w:rsidRDefault="001E0A45" w:rsidP="006578B4">
      <w:pPr>
        <w:pStyle w:val="Heading2"/>
      </w:pPr>
      <w:bookmarkStart w:id="25" w:name="_Toc397430801"/>
      <w:r>
        <w:t>Factors impacting the cost</w:t>
      </w:r>
      <w:r w:rsidR="00AB74C6">
        <w:t xml:space="preserve"> of ECEC services in regional and remote areas</w:t>
      </w:r>
      <w:bookmarkEnd w:id="25"/>
    </w:p>
    <w:p w14:paraId="3CF0CD29" w14:textId="67A7E24D" w:rsidR="00AB74C6" w:rsidRDefault="00AB74C6" w:rsidP="00AB74C6">
      <w:r>
        <w:t>The Commission has already identified that there are regional and remote areas where there is limited or no market viability yet a high community need for ECEC services.</w:t>
      </w:r>
      <w:r w:rsidR="000F033C">
        <w:t xml:space="preserve"> This high level of need is connected </w:t>
      </w:r>
      <w:r w:rsidR="000F033C" w:rsidRPr="007B4109">
        <w:t>to higher levels of developmentally vulnerable children and incidence of poverty in regional and remote areas</w:t>
      </w:r>
      <w:r w:rsidR="000F033C">
        <w:t>.</w:t>
      </w:r>
      <w:r>
        <w:t xml:space="preserve"> CofCC supports the Commission’s recommendation that services in </w:t>
      </w:r>
      <w:r w:rsidR="00D077A2">
        <w:t>remote</w:t>
      </w:r>
      <w:r>
        <w:t xml:space="preserve"> areas should continue to receive block funding through the Disadvantaged Communities Program. However, there are likely to be localities not </w:t>
      </w:r>
      <w:r w:rsidR="00D077A2">
        <w:t xml:space="preserve">considered </w:t>
      </w:r>
      <w:r>
        <w:t>remote enough to receive block funding</w:t>
      </w:r>
      <w:r w:rsidR="00D077A2">
        <w:t xml:space="preserve"> </w:t>
      </w:r>
      <w:r w:rsidR="00463548">
        <w:t>where</w:t>
      </w:r>
      <w:r w:rsidR="00D077A2">
        <w:t xml:space="preserve"> a high level of need for ECEC services </w:t>
      </w:r>
      <w:r w:rsidR="00463548">
        <w:t>remains</w:t>
      </w:r>
      <w:r w:rsidR="00D077A2">
        <w:t xml:space="preserve">. </w:t>
      </w:r>
      <w:r>
        <w:t xml:space="preserve">In these </w:t>
      </w:r>
      <w:r w:rsidR="001E0A45">
        <w:t>areas</w:t>
      </w:r>
      <w:r>
        <w:t xml:space="preserve"> there is limited opportunity for organisations to generate profit due to a combination of:</w:t>
      </w:r>
    </w:p>
    <w:p w14:paraId="34E63EFF" w14:textId="42907488" w:rsidR="00463548" w:rsidRDefault="00463548" w:rsidP="002E036A">
      <w:pPr>
        <w:pStyle w:val="ListParagraph"/>
        <w:numPr>
          <w:ilvl w:val="0"/>
          <w:numId w:val="3"/>
        </w:numPr>
        <w:rPr>
          <w:rFonts w:eastAsia="Times New Roman" w:cs="Arial"/>
          <w:lang w:val="en-GB" w:eastAsia="en-AU"/>
        </w:rPr>
      </w:pPr>
      <w:r>
        <w:rPr>
          <w:rFonts w:eastAsia="Times New Roman" w:cs="Arial"/>
          <w:lang w:val="en-GB" w:eastAsia="en-AU"/>
        </w:rPr>
        <w:t>lower utilisation rates and an inability to reduce staffing levels due to quality requirements</w:t>
      </w:r>
    </w:p>
    <w:p w14:paraId="7CFB7E53" w14:textId="52170D75" w:rsidR="00AB74C6" w:rsidRPr="005B7F06" w:rsidRDefault="00AB74C6" w:rsidP="002E036A">
      <w:pPr>
        <w:pStyle w:val="ListParagraph"/>
        <w:numPr>
          <w:ilvl w:val="0"/>
          <w:numId w:val="3"/>
        </w:numPr>
        <w:rPr>
          <w:rFonts w:eastAsia="Times New Roman" w:cs="Arial"/>
          <w:lang w:val="en-GB" w:eastAsia="en-AU"/>
        </w:rPr>
      </w:pPr>
      <w:r w:rsidRPr="005B7F06">
        <w:rPr>
          <w:rFonts w:eastAsia="Times New Roman" w:cs="Arial"/>
          <w:lang w:val="en-GB" w:eastAsia="en-AU"/>
        </w:rPr>
        <w:t>high</w:t>
      </w:r>
      <w:r w:rsidR="00FD77E0">
        <w:rPr>
          <w:rFonts w:eastAsia="Times New Roman" w:cs="Arial"/>
          <w:lang w:val="en-GB" w:eastAsia="en-AU"/>
        </w:rPr>
        <w:t>er</w:t>
      </w:r>
      <w:r w:rsidRPr="005B7F06">
        <w:rPr>
          <w:rFonts w:eastAsia="Times New Roman" w:cs="Arial"/>
          <w:lang w:val="en-GB" w:eastAsia="en-AU"/>
        </w:rPr>
        <w:t xml:space="preserve"> operating costs</w:t>
      </w:r>
    </w:p>
    <w:p w14:paraId="572A2D96" w14:textId="77777777" w:rsidR="00AB74C6" w:rsidRPr="005B7F06" w:rsidRDefault="00AB74C6" w:rsidP="002E036A">
      <w:pPr>
        <w:pStyle w:val="ListParagraph"/>
        <w:numPr>
          <w:ilvl w:val="0"/>
          <w:numId w:val="3"/>
        </w:numPr>
        <w:rPr>
          <w:rFonts w:eastAsia="Times New Roman" w:cs="Arial"/>
          <w:lang w:val="en-GB" w:eastAsia="en-AU"/>
        </w:rPr>
      </w:pPr>
      <w:r w:rsidRPr="005B7F06">
        <w:rPr>
          <w:rFonts w:eastAsia="Times New Roman" w:cs="Arial"/>
          <w:lang w:val="en-GB" w:eastAsia="en-AU"/>
        </w:rPr>
        <w:t xml:space="preserve">smaller populations of families and young children </w:t>
      </w:r>
    </w:p>
    <w:p w14:paraId="0823C204" w14:textId="77777777" w:rsidR="00AB74C6" w:rsidRDefault="00AB74C6" w:rsidP="002E036A">
      <w:pPr>
        <w:pStyle w:val="ListParagraph"/>
        <w:numPr>
          <w:ilvl w:val="0"/>
          <w:numId w:val="3"/>
        </w:numPr>
        <w:rPr>
          <w:rFonts w:eastAsia="Times New Roman" w:cs="Arial"/>
          <w:lang w:val="en-GB" w:eastAsia="en-AU"/>
        </w:rPr>
      </w:pPr>
      <w:r w:rsidRPr="005B7F06">
        <w:rPr>
          <w:rFonts w:eastAsia="Times New Roman" w:cs="Arial"/>
          <w:lang w:val="en-GB" w:eastAsia="en-AU"/>
        </w:rPr>
        <w:t xml:space="preserve">lower </w:t>
      </w:r>
      <w:r>
        <w:rPr>
          <w:rFonts w:eastAsia="Times New Roman" w:cs="Arial"/>
          <w:lang w:val="en-GB" w:eastAsia="en-AU"/>
        </w:rPr>
        <w:t xml:space="preserve">levels of family </w:t>
      </w:r>
      <w:r w:rsidRPr="005B7F06">
        <w:rPr>
          <w:rFonts w:eastAsia="Times New Roman" w:cs="Arial"/>
          <w:lang w:val="en-GB" w:eastAsia="en-AU"/>
        </w:rPr>
        <w:t xml:space="preserve">income </w:t>
      </w:r>
    </w:p>
    <w:p w14:paraId="5ED6C3DB" w14:textId="7BAA380B" w:rsidR="00AB74C6" w:rsidRDefault="00AB74C6" w:rsidP="002E036A">
      <w:pPr>
        <w:pStyle w:val="ListParagraph"/>
        <w:numPr>
          <w:ilvl w:val="0"/>
          <w:numId w:val="3"/>
        </w:numPr>
        <w:rPr>
          <w:rFonts w:eastAsia="Times New Roman" w:cs="Arial"/>
          <w:lang w:val="en-GB" w:eastAsia="en-AU"/>
        </w:rPr>
      </w:pPr>
      <w:r>
        <w:rPr>
          <w:rFonts w:eastAsia="Times New Roman" w:cs="Arial"/>
          <w:lang w:val="en-GB" w:eastAsia="en-AU"/>
        </w:rPr>
        <w:t>high unemployment</w:t>
      </w:r>
      <w:r w:rsidR="00CE7589">
        <w:rPr>
          <w:rFonts w:eastAsia="Times New Roman" w:cs="Arial"/>
          <w:lang w:val="en-GB" w:eastAsia="en-AU"/>
        </w:rPr>
        <w:t>.</w:t>
      </w:r>
    </w:p>
    <w:p w14:paraId="6E3ADE17" w14:textId="545BC648" w:rsidR="00FD77E0" w:rsidRDefault="00E862F2" w:rsidP="001E0A45">
      <w:r>
        <w:t>As the Commission has already found, profit margins in the early childcare industry are low, and are often acquired through volume of service delivery. In regional and remote communities</w:t>
      </w:r>
      <w:r w:rsidR="00FD77E0">
        <w:t xml:space="preserve"> large services are not sustainable and</w:t>
      </w:r>
      <w:r>
        <w:t xml:space="preserve"> smaller</w:t>
      </w:r>
      <w:r w:rsidR="001E0A45">
        <w:t xml:space="preserve"> 20 to 40 place </w:t>
      </w:r>
      <w:r w:rsidR="00B12877">
        <w:t>LDC</w:t>
      </w:r>
      <w:r w:rsidR="001E0A45">
        <w:t xml:space="preserve"> services, in-home care or mobile services are required. </w:t>
      </w:r>
      <w:r w:rsidR="00E1454C">
        <w:t xml:space="preserve">As </w:t>
      </w:r>
      <w:r w:rsidR="00FD77E0">
        <w:t xml:space="preserve">the opportunity for profit in these areas is so limited, the </w:t>
      </w:r>
      <w:r w:rsidR="00E1454C">
        <w:t>d</w:t>
      </w:r>
      <w:r w:rsidR="00AB74C6">
        <w:t xml:space="preserve">elivery of ECEC services </w:t>
      </w:r>
      <w:r w:rsidR="00E1454C">
        <w:t xml:space="preserve">is </w:t>
      </w:r>
      <w:r w:rsidR="00AB74C6">
        <w:t xml:space="preserve">often picked up by not-for-profit providers, </w:t>
      </w:r>
      <w:r w:rsidR="00FD77E0">
        <w:t xml:space="preserve">some </w:t>
      </w:r>
      <w:r w:rsidR="00AB74C6">
        <w:t>local government</w:t>
      </w:r>
      <w:r w:rsidR="00FD77E0">
        <w:t>s</w:t>
      </w:r>
      <w:r w:rsidR="00AB74C6">
        <w:t xml:space="preserve"> or other local community groups. These services are smaller in scale and are more likely to run at break even or at a loss. </w:t>
      </w:r>
    </w:p>
    <w:p w14:paraId="02E71191" w14:textId="77777777" w:rsidR="00FD77E0" w:rsidRDefault="00FD77E0" w:rsidP="001E0A45"/>
    <w:p w14:paraId="459F7E39" w14:textId="16C7448D" w:rsidR="00AB74C6" w:rsidRPr="005B7F06" w:rsidRDefault="00AB74C6" w:rsidP="001E0A45">
      <w:r>
        <w:t>The Commission has indicated that services receiving block funding should transition to child-based funding wherever possible.</w:t>
      </w:r>
      <w:r w:rsidR="00C1365A">
        <w:t xml:space="preserve"> CofCC believes that e</w:t>
      </w:r>
      <w:r>
        <w:t xml:space="preserve">stablishing a deemed cost structure that limits losses in regional and remote areas will support sustainability and increase equity of access to quality ECEC services. </w:t>
      </w:r>
    </w:p>
    <w:p w14:paraId="3ACE2B4D" w14:textId="77777777" w:rsidR="001E0A45" w:rsidRDefault="001E0A45" w:rsidP="00AB74C6"/>
    <w:p w14:paraId="70ECB6B1" w14:textId="263B04FD" w:rsidR="00AB74C6" w:rsidRDefault="00AB74C6" w:rsidP="00AB74C6">
      <w:pPr>
        <w:pStyle w:val="Heading3"/>
      </w:pPr>
      <w:r>
        <w:t>Salary costs and utilisation rates</w:t>
      </w:r>
    </w:p>
    <w:p w14:paraId="09F377E2" w14:textId="4B2A2C85" w:rsidR="0078322C" w:rsidRDefault="00351073" w:rsidP="00BC1E44">
      <w:r>
        <w:t>When delivering ECEC services, staff salaries are both fixed and variable. As a minimum number of qualified staff are required at all time</w:t>
      </w:r>
      <w:r w:rsidR="00DD62AE">
        <w:t xml:space="preserve">s under the NQF, </w:t>
      </w:r>
      <w:r w:rsidR="00663C07">
        <w:t xml:space="preserve">the </w:t>
      </w:r>
      <w:r w:rsidR="00DD62AE">
        <w:t xml:space="preserve">proportion of salary costs to income </w:t>
      </w:r>
      <w:r w:rsidR="00663C07">
        <w:t xml:space="preserve">can </w:t>
      </w:r>
      <w:r w:rsidR="00DD62AE">
        <w:t>become high. This is often experienced in regional and remote areas where utilisation rates, the proportion of available places filled per day, can be low or quite variable.</w:t>
      </w:r>
      <w:r w:rsidR="00AF2568">
        <w:t xml:space="preserve"> Our internal</w:t>
      </w:r>
      <w:r w:rsidR="0078322C">
        <w:t xml:space="preserve"> data </w:t>
      </w:r>
      <w:r w:rsidR="00AF2568">
        <w:t xml:space="preserve">also </w:t>
      </w:r>
      <w:r w:rsidR="0078322C">
        <w:t xml:space="preserve">shows that for our </w:t>
      </w:r>
      <w:r w:rsidR="00FE433D">
        <w:t xml:space="preserve">regional and </w:t>
      </w:r>
      <w:r w:rsidR="0078322C">
        <w:t xml:space="preserve">remote ECEC services the average proportion of salary costs to income can be as high as 85 per cent </w:t>
      </w:r>
      <w:r w:rsidR="00FE433D">
        <w:t>per</w:t>
      </w:r>
      <w:r w:rsidR="0078322C">
        <w:t xml:space="preserve"> year. Yet</w:t>
      </w:r>
      <w:r w:rsidR="00D07F76">
        <w:t xml:space="preserve"> salary expenses account for an average of 74 percent of </w:t>
      </w:r>
      <w:r w:rsidR="00FE433D">
        <w:t xml:space="preserve">the full cost of delivering </w:t>
      </w:r>
      <w:r w:rsidR="00D07F76">
        <w:t>our LDC service</w:t>
      </w:r>
      <w:r w:rsidR="00FE433D">
        <w:t>s</w:t>
      </w:r>
      <w:r w:rsidR="00D07F76">
        <w:t xml:space="preserve"> per year. This illustrates the viability difficulties experienced by regional and remote services </w:t>
      </w:r>
      <w:r w:rsidR="00FC7CA2">
        <w:t>as they often experience a higher level of non-salary expenses.</w:t>
      </w:r>
    </w:p>
    <w:p w14:paraId="5B36F0A7" w14:textId="77777777" w:rsidR="00FD033D" w:rsidRDefault="00FD033D" w:rsidP="00BC1E44"/>
    <w:p w14:paraId="5D0FFA62" w14:textId="74FB8A11" w:rsidR="00AB74C6" w:rsidRDefault="00AB74C6" w:rsidP="00AB74C6">
      <w:pPr>
        <w:pStyle w:val="Heading3"/>
      </w:pPr>
      <w:r>
        <w:lastRenderedPageBreak/>
        <w:t>Non-salary service costs</w:t>
      </w:r>
    </w:p>
    <w:p w14:paraId="66023F58" w14:textId="1398193E" w:rsidR="00AB74C6" w:rsidRDefault="00E82348" w:rsidP="00AB74C6">
      <w:proofErr w:type="spellStart"/>
      <w:r>
        <w:t>CofC</w:t>
      </w:r>
      <w:r w:rsidR="00791B48">
        <w:t>C</w:t>
      </w:r>
      <w:r>
        <w:t>’s</w:t>
      </w:r>
      <w:proofErr w:type="spellEnd"/>
      <w:r>
        <w:t xml:space="preserve"> experience operating </w:t>
      </w:r>
      <w:proofErr w:type="spellStart"/>
      <w:r>
        <w:t>ECEC</w:t>
      </w:r>
      <w:proofErr w:type="spellEnd"/>
      <w:r>
        <w:t xml:space="preserve"> and other community services across Queensland </w:t>
      </w:r>
      <w:r w:rsidR="00965228">
        <w:t xml:space="preserve">is </w:t>
      </w:r>
      <w:r>
        <w:t>that there is a</w:t>
      </w:r>
      <w:r w:rsidR="00965228">
        <w:t xml:space="preserve"> </w:t>
      </w:r>
      <w:r>
        <w:t xml:space="preserve">dispersion </w:t>
      </w:r>
      <w:r w:rsidR="00791B48">
        <w:t xml:space="preserve">of service </w:t>
      </w:r>
      <w:r>
        <w:t>costs between major cities and remote areas</w:t>
      </w:r>
      <w:r w:rsidR="00965228">
        <w:t xml:space="preserve">. This dispersion impacts on the quality of services that can be provided. </w:t>
      </w:r>
      <w:r w:rsidR="00AB74C6">
        <w:t>Our previous submission (s203) described the difficulties we have had attracting and re</w:t>
      </w:r>
      <w:r w:rsidR="00C1365A">
        <w:t>taining staff in regional areas, which</w:t>
      </w:r>
      <w:r w:rsidR="00AB74C6">
        <w:t xml:space="preserve"> are shared by other providers in ECEC and more broadly across the community services industry. Difficulties recruiting and retaining qualified staff alongside higher operating costs in regional areas</w:t>
      </w:r>
      <w:r w:rsidR="00AB74C6">
        <w:rPr>
          <w:rStyle w:val="EndnoteReference"/>
        </w:rPr>
        <w:endnoteReference w:id="5"/>
      </w:r>
      <w:r w:rsidR="00AB74C6">
        <w:rPr>
          <w:rStyle w:val="EndnoteReference"/>
        </w:rPr>
        <w:endnoteReference w:id="6"/>
      </w:r>
      <w:r w:rsidR="00AB74C6">
        <w:t xml:space="preserve"> has an impact on the cost and price of services. </w:t>
      </w:r>
      <w:r w:rsidR="007E1656" w:rsidRPr="00FC7CA2">
        <w:t>Figure</w:t>
      </w:r>
      <w:r w:rsidR="00FC7CA2" w:rsidRPr="00FC7CA2">
        <w:t xml:space="preserve"> </w:t>
      </w:r>
      <w:r w:rsidR="007B4109">
        <w:t>1</w:t>
      </w:r>
      <w:r w:rsidR="00FC7CA2" w:rsidRPr="00FC7CA2">
        <w:t xml:space="preserve"> </w:t>
      </w:r>
      <w:r w:rsidR="00AB74C6">
        <w:t xml:space="preserve">provides a comparison of </w:t>
      </w:r>
      <w:r w:rsidR="00FC7CA2">
        <w:t>the</w:t>
      </w:r>
      <w:r w:rsidR="00AB74C6">
        <w:t xml:space="preserve"> cost elements across our services operating across a number of locations in Queensland.</w:t>
      </w:r>
    </w:p>
    <w:p w14:paraId="01F2BD0B" w14:textId="77777777" w:rsidR="00AB74C6" w:rsidRDefault="00AB74C6" w:rsidP="00AB74C6"/>
    <w:p w14:paraId="4571D162" w14:textId="468DFECF" w:rsidR="00965228" w:rsidRDefault="00965228" w:rsidP="00BC1E44">
      <w:r w:rsidRPr="00C1365A">
        <w:rPr>
          <w:b/>
        </w:rPr>
        <w:t>CofC</w:t>
      </w:r>
      <w:r w:rsidR="004C2448" w:rsidRPr="00C1365A">
        <w:rPr>
          <w:b/>
        </w:rPr>
        <w:t>C</w:t>
      </w:r>
      <w:r w:rsidRPr="00C1365A">
        <w:rPr>
          <w:b/>
        </w:rPr>
        <w:t xml:space="preserve"> recommends</w:t>
      </w:r>
      <w:r>
        <w:t xml:space="preserve"> that a deemed cost for delivering ECEC services incorporates a loading for service delivery by location. </w:t>
      </w:r>
      <w:r w:rsidR="004C2448">
        <w:t>If this loading does not allow services to break even</w:t>
      </w:r>
      <w:r w:rsidR="00F8637D">
        <w:t xml:space="preserve"> and </w:t>
      </w:r>
      <w:r w:rsidR="008F6331">
        <w:t xml:space="preserve">the </w:t>
      </w:r>
      <w:r w:rsidR="00F8637D">
        <w:t xml:space="preserve">Temporary Sustainability Allowance is </w:t>
      </w:r>
      <w:r w:rsidR="008F6331">
        <w:t>inappropriate</w:t>
      </w:r>
      <w:r w:rsidR="004C2448">
        <w:t xml:space="preserve">, an assessment </w:t>
      </w:r>
      <w:r w:rsidR="002B35E2">
        <w:t>should</w:t>
      </w:r>
      <w:r w:rsidR="004C2448">
        <w:t xml:space="preserve"> be made of community need</w:t>
      </w:r>
      <w:r w:rsidR="00FC7CA2">
        <w:t xml:space="preserve"> for ECEC services</w:t>
      </w:r>
      <w:r w:rsidR="008F6331">
        <w:t xml:space="preserve">. </w:t>
      </w:r>
      <w:r w:rsidR="00C1365A">
        <w:t>This</w:t>
      </w:r>
      <w:r w:rsidR="00EA32AF">
        <w:t xml:space="preserve"> </w:t>
      </w:r>
      <w:r w:rsidR="008F6331">
        <w:t xml:space="preserve">assessment should include </w:t>
      </w:r>
      <w:r w:rsidR="004C2448">
        <w:t>the</w:t>
      </w:r>
      <w:r w:rsidR="00EA32AF">
        <w:t xml:space="preserve"> demographics and the</w:t>
      </w:r>
      <w:r w:rsidR="004C2448">
        <w:t xml:space="preserve"> incidence of developmentally vulnerable children </w:t>
      </w:r>
      <w:r w:rsidR="00F47B61">
        <w:t xml:space="preserve">and vulnerable families </w:t>
      </w:r>
      <w:r w:rsidR="004C2448">
        <w:t>in the area</w:t>
      </w:r>
      <w:r w:rsidR="00EA32AF">
        <w:t xml:space="preserve">. </w:t>
      </w:r>
      <w:r w:rsidR="00C1365A">
        <w:t>Th</w:t>
      </w:r>
      <w:r w:rsidR="00AD78D8">
        <w:t>is</w:t>
      </w:r>
      <w:r w:rsidR="00EA32AF">
        <w:t xml:space="preserve"> assessment can </w:t>
      </w:r>
      <w:r w:rsidR="00C1365A">
        <w:t xml:space="preserve">then </w:t>
      </w:r>
      <w:r w:rsidR="00EA32AF">
        <w:t xml:space="preserve">be used to </w:t>
      </w:r>
      <w:r w:rsidR="008F6331">
        <w:t xml:space="preserve">grant </w:t>
      </w:r>
      <w:r w:rsidR="004C2448">
        <w:t>ongoing operational support or the provision of start up capital</w:t>
      </w:r>
      <w:r w:rsidR="00F47B61">
        <w:t xml:space="preserve"> </w:t>
      </w:r>
      <w:r w:rsidR="008F6331">
        <w:t xml:space="preserve">for </w:t>
      </w:r>
      <w:r w:rsidR="00F47B61">
        <w:t>services</w:t>
      </w:r>
      <w:r w:rsidR="00EA32AF">
        <w:t xml:space="preserve"> in areas of need</w:t>
      </w:r>
      <w:r w:rsidR="00F47B61">
        <w:t>.</w:t>
      </w:r>
      <w:r w:rsidR="00EA32AF">
        <w:t xml:space="preserve"> </w:t>
      </w:r>
    </w:p>
    <w:p w14:paraId="2F3F2FE5" w14:textId="6071797A" w:rsidR="00964E4D" w:rsidRDefault="00964E4D" w:rsidP="00964E4D">
      <w:pPr>
        <w:spacing w:before="0" w:after="0"/>
      </w:pPr>
    </w:p>
    <w:p w14:paraId="46A5DB55" w14:textId="63DC3860" w:rsidR="00964E4D" w:rsidRDefault="00964E4D" w:rsidP="00964E4D"/>
    <w:p w14:paraId="126B9551" w14:textId="77777777" w:rsidR="00964E4D" w:rsidRPr="00964E4D" w:rsidRDefault="00964E4D" w:rsidP="00964E4D">
      <w:pPr>
        <w:sectPr w:rsidR="00964E4D" w:rsidRPr="00964E4D" w:rsidSect="00D77823">
          <w:headerReference w:type="first" r:id="rId13"/>
          <w:footerReference w:type="first" r:id="rId14"/>
          <w:pgSz w:w="11906" w:h="16838" w:code="9"/>
          <w:pgMar w:top="964" w:right="851" w:bottom="964" w:left="1134" w:header="284" w:footer="227" w:gutter="0"/>
          <w:cols w:space="708"/>
          <w:titlePg/>
          <w:docGrid w:linePitch="360"/>
        </w:sectPr>
      </w:pPr>
    </w:p>
    <w:p w14:paraId="7E9A6151" w14:textId="0245B186" w:rsidR="00964E4D" w:rsidRDefault="00964E4D">
      <w:pPr>
        <w:spacing w:before="0" w:after="0"/>
      </w:pPr>
      <w:r>
        <w:rPr>
          <w:noProof/>
          <w:lang w:val="en-AU"/>
        </w:rPr>
        <w:lastRenderedPageBreak/>
        <w:drawing>
          <wp:anchor distT="0" distB="0" distL="114300" distR="114300" simplePos="0" relativeHeight="251657216" behindDoc="0" locked="0" layoutInCell="1" allowOverlap="1" wp14:anchorId="0719BEBF" wp14:editId="6D64EA0B">
            <wp:simplePos x="0" y="0"/>
            <wp:positionH relativeFrom="column">
              <wp:posOffset>-182770</wp:posOffset>
            </wp:positionH>
            <wp:positionV relativeFrom="paragraph">
              <wp:posOffset>-146188</wp:posOffset>
            </wp:positionV>
            <wp:extent cx="9883472" cy="5645426"/>
            <wp:effectExtent l="0" t="0" r="22860" b="1270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9BC6CBE" w14:textId="77777777" w:rsidR="00964E4D" w:rsidRDefault="00964E4D">
      <w:pPr>
        <w:spacing w:before="0" w:after="0"/>
        <w:sectPr w:rsidR="00964E4D" w:rsidSect="00047367">
          <w:headerReference w:type="default" r:id="rId16"/>
          <w:footerReference w:type="default" r:id="rId17"/>
          <w:headerReference w:type="first" r:id="rId18"/>
          <w:pgSz w:w="16838" w:h="11906" w:orient="landscape" w:code="9"/>
          <w:pgMar w:top="1006" w:right="964" w:bottom="851" w:left="964" w:header="284" w:footer="97" w:gutter="0"/>
          <w:cols w:space="708"/>
          <w:docGrid w:linePitch="360"/>
        </w:sectPr>
      </w:pPr>
    </w:p>
    <w:p w14:paraId="4EDCB62C" w14:textId="77777777" w:rsidR="0063359B" w:rsidRDefault="0063359B">
      <w:pPr>
        <w:spacing w:before="0" w:after="0"/>
        <w:rPr>
          <w:b/>
          <w:i/>
        </w:rPr>
      </w:pPr>
    </w:p>
    <w:p w14:paraId="5C0759DD" w14:textId="33F87DA9" w:rsidR="00D66F43" w:rsidRPr="00866109" w:rsidRDefault="00BF445B">
      <w:pPr>
        <w:spacing w:before="0" w:after="0"/>
        <w:rPr>
          <w:b/>
          <w:i/>
        </w:rPr>
      </w:pPr>
      <w:r w:rsidRPr="00866109">
        <w:rPr>
          <w:b/>
          <w:i/>
        </w:rPr>
        <w:t>Figure 1</w:t>
      </w:r>
      <w:r w:rsidR="00047367" w:rsidRPr="00866109">
        <w:rPr>
          <w:b/>
          <w:i/>
        </w:rPr>
        <w:t>: Notes</w:t>
      </w:r>
    </w:p>
    <w:p w14:paraId="6DEBE638" w14:textId="77777777" w:rsidR="00BF445B" w:rsidRPr="00BF445B" w:rsidRDefault="00BF445B">
      <w:pPr>
        <w:spacing w:before="0" w:after="0"/>
      </w:pPr>
    </w:p>
    <w:p w14:paraId="1D110932" w14:textId="45C220C8" w:rsidR="00BF445B" w:rsidRPr="000D0BF7" w:rsidRDefault="00BF445B" w:rsidP="002E036A">
      <w:pPr>
        <w:pStyle w:val="ListParagraph"/>
        <w:numPr>
          <w:ilvl w:val="0"/>
          <w:numId w:val="6"/>
        </w:numPr>
        <w:spacing w:after="0"/>
      </w:pPr>
      <w:r w:rsidRPr="000D0BF7">
        <w:t xml:space="preserve">Location categories used are consistent with the </w:t>
      </w:r>
      <w:r w:rsidR="00581F2C" w:rsidRPr="000D0BF7">
        <w:t xml:space="preserve">Australian </w:t>
      </w:r>
      <w:r w:rsidR="00A3153A">
        <w:t>g</w:t>
      </w:r>
      <w:r w:rsidR="00581F2C" w:rsidRPr="000D0BF7">
        <w:t xml:space="preserve">eographical </w:t>
      </w:r>
      <w:r w:rsidR="00A3153A">
        <w:t xml:space="preserve">standard </w:t>
      </w:r>
      <w:r w:rsidR="00581F2C" w:rsidRPr="000D0BF7">
        <w:t>for remoteness</w:t>
      </w:r>
      <w:r w:rsidR="00581F2C" w:rsidRPr="000D0BF7">
        <w:rPr>
          <w:rStyle w:val="EndnoteReference"/>
        </w:rPr>
        <w:endnoteReference w:id="7"/>
      </w:r>
      <w:r w:rsidR="00581F2C" w:rsidRPr="000D0BF7">
        <w:t>.</w:t>
      </w:r>
    </w:p>
    <w:p w14:paraId="64596076" w14:textId="0CE2F708" w:rsidR="00047367" w:rsidRPr="00BF445B" w:rsidRDefault="00BE262C" w:rsidP="002E036A">
      <w:pPr>
        <w:pStyle w:val="ListParagraph"/>
        <w:numPr>
          <w:ilvl w:val="0"/>
          <w:numId w:val="6"/>
        </w:numPr>
        <w:spacing w:after="0"/>
      </w:pPr>
      <w:r w:rsidRPr="00BF445B">
        <w:t>To give a picture of full-cost, f</w:t>
      </w:r>
      <w:r w:rsidR="00814870" w:rsidRPr="00BF445B">
        <w:t>igures have been adjusted to include the va</w:t>
      </w:r>
      <w:r w:rsidRPr="00BF445B">
        <w:t xml:space="preserve">lue of in-kind contributions to support delivery of ECEC services. These include free use of building facilities and accommodation provided to staff in our very remote services. </w:t>
      </w:r>
      <w:r w:rsidR="00BF445B" w:rsidRPr="00BF445B">
        <w:t>These in-kind contributions are necessary for these services to be viable.</w:t>
      </w:r>
    </w:p>
    <w:p w14:paraId="343B14F4" w14:textId="7B5E383E" w:rsidR="00BF445B" w:rsidRPr="00BF445B" w:rsidRDefault="00BF445B" w:rsidP="002E036A">
      <w:pPr>
        <w:pStyle w:val="ListParagraph"/>
        <w:numPr>
          <w:ilvl w:val="0"/>
          <w:numId w:val="6"/>
        </w:numPr>
        <w:spacing w:after="0"/>
      </w:pPr>
      <w:r w:rsidRPr="00BF445B">
        <w:t xml:space="preserve">Where CofCC owns the building the service is operated </w:t>
      </w:r>
      <w:r w:rsidR="00CE0C5C">
        <w:t>from</w:t>
      </w:r>
      <w:r w:rsidRPr="00BF445B">
        <w:t>, depreciation costs are allocated as an expense to services</w:t>
      </w:r>
      <w:r w:rsidR="00C21002">
        <w:t>.</w:t>
      </w:r>
      <w:r w:rsidR="003415A3">
        <w:t xml:space="preserve"> The large figure for rent/depreciation in our major city service is due to recent construction and expansion of the service.</w:t>
      </w:r>
    </w:p>
    <w:p w14:paraId="14B517C6" w14:textId="77777777" w:rsidR="002712CD" w:rsidRDefault="00BE262C" w:rsidP="002712CD">
      <w:pPr>
        <w:pStyle w:val="ListParagraph"/>
        <w:numPr>
          <w:ilvl w:val="0"/>
          <w:numId w:val="6"/>
        </w:numPr>
        <w:spacing w:after="0"/>
      </w:pPr>
      <w:r w:rsidRPr="00BF445B">
        <w:t>Costs of client services, activities and programs are greater in our</w:t>
      </w:r>
      <w:r w:rsidR="00C21002">
        <w:t xml:space="preserve"> inner regional and major city services as these centres have a greater number of children attending</w:t>
      </w:r>
    </w:p>
    <w:p w14:paraId="418E4900" w14:textId="74592B8A" w:rsidR="00831B9D" w:rsidRPr="003C6686" w:rsidRDefault="00831B9D" w:rsidP="003C6686">
      <w:pPr>
        <w:spacing w:before="0" w:after="0"/>
        <w:rPr>
          <w:rFonts w:eastAsia="Calibri" w:cs="Times New Roman"/>
          <w:lang w:val="en-US" w:eastAsia="en-US"/>
        </w:rPr>
      </w:pPr>
    </w:p>
    <w:p w14:paraId="3C0581D8" w14:textId="47E4AEBD" w:rsidR="00347812" w:rsidRPr="002712CD" w:rsidRDefault="00335A3B" w:rsidP="00713FE0">
      <w:pPr>
        <w:pStyle w:val="Heading1"/>
        <w:ind w:left="0" w:firstLine="0"/>
      </w:pPr>
      <w:bookmarkStart w:id="26" w:name="_Toc397430802"/>
      <w:r>
        <w:t>References</w:t>
      </w:r>
      <w:bookmarkEnd w:id="26"/>
    </w:p>
    <w:sectPr w:rsidR="00347812" w:rsidRPr="002712CD" w:rsidSect="002712CD">
      <w:headerReference w:type="default" r:id="rId19"/>
      <w:footerReference w:type="default" r:id="rId20"/>
      <w:headerReference w:type="first" r:id="rId21"/>
      <w:footerReference w:type="first" r:id="rId22"/>
      <w:pgSz w:w="11906" w:h="16838" w:code="9"/>
      <w:pgMar w:top="964" w:right="851" w:bottom="964" w:left="1134"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20FE9" w14:textId="6D412DDC" w:rsidR="00F60513" w:rsidRPr="00FE60F2" w:rsidRDefault="00F60513" w:rsidP="00FE60F2">
      <w:pPr>
        <w:pStyle w:val="Footer"/>
      </w:pPr>
    </w:p>
  </w:endnote>
  <w:endnote w:type="continuationSeparator" w:id="0">
    <w:p w14:paraId="58D20FEA" w14:textId="77777777" w:rsidR="00F60513" w:rsidRDefault="00F60513" w:rsidP="001C5FC5">
      <w:r>
        <w:continuationSeparator/>
      </w:r>
    </w:p>
  </w:endnote>
  <w:endnote w:id="1">
    <w:p w14:paraId="35BBEA3E" w14:textId="2F9EA628" w:rsidR="00F60513" w:rsidRPr="000F351E" w:rsidRDefault="00F60513" w:rsidP="000A05C4">
      <w:pPr>
        <w:pStyle w:val="EndnoteText"/>
        <w:tabs>
          <w:tab w:val="left" w:pos="2127"/>
        </w:tabs>
        <w:rPr>
          <w:lang w:val="en-AU"/>
        </w:rPr>
      </w:pPr>
      <w:r>
        <w:rPr>
          <w:rStyle w:val="EndnoteReference"/>
        </w:rPr>
        <w:endnoteRef/>
      </w:r>
      <w:r w:rsidR="000A05C4">
        <w:t xml:space="preserve"> </w:t>
      </w:r>
      <w:proofErr w:type="spellStart"/>
      <w:r w:rsidRPr="000F351E">
        <w:rPr>
          <w:sz w:val="22"/>
          <w:lang w:val="en-AU"/>
        </w:rPr>
        <w:t>Samms</w:t>
      </w:r>
      <w:proofErr w:type="spellEnd"/>
      <w:r w:rsidRPr="000F351E">
        <w:rPr>
          <w:sz w:val="22"/>
          <w:lang w:val="en-AU"/>
        </w:rPr>
        <w:t xml:space="preserve">-Vaughan, M., (2011). Scientific evidence for the importance of supporting development of children 0-3 years, In </w:t>
      </w:r>
      <w:r w:rsidRPr="000F351E">
        <w:rPr>
          <w:i/>
          <w:sz w:val="22"/>
          <w:lang w:val="en-AU"/>
        </w:rPr>
        <w:t>Regional Forum on Supporting the Development of Children Zero to Three, Particularly The Most Vulnerable</w:t>
      </w:r>
      <w:r w:rsidR="000F351E" w:rsidRPr="000F351E">
        <w:rPr>
          <w:sz w:val="22"/>
          <w:lang w:val="en-AU"/>
        </w:rPr>
        <w:t xml:space="preserve">. Kingstown, St Vincent and the Grenadines. Retrieved from: </w:t>
      </w:r>
      <w:hyperlink r:id="rId1" w:history="1">
        <w:r w:rsidR="000F351E" w:rsidRPr="000F351E">
          <w:rPr>
            <w:rStyle w:val="Hyperlink"/>
            <w:sz w:val="22"/>
            <w:lang w:val="en-AU"/>
          </w:rPr>
          <w:t>http://www.open.uwi.edu/sites/default/files/Prof%20Maureen%20Samms-Vaughan%20presentation%20June2011.pdf</w:t>
        </w:r>
      </w:hyperlink>
      <w:r w:rsidR="000F351E" w:rsidRPr="000F351E">
        <w:rPr>
          <w:sz w:val="22"/>
          <w:lang w:val="en-AU"/>
        </w:rPr>
        <w:t xml:space="preserve"> </w:t>
      </w:r>
    </w:p>
    <w:p w14:paraId="36A4F0D8" w14:textId="77777777" w:rsidR="000F351E" w:rsidRPr="000A05C4" w:rsidRDefault="000F351E" w:rsidP="000A05C4">
      <w:pPr>
        <w:pStyle w:val="EndnoteText"/>
        <w:tabs>
          <w:tab w:val="left" w:pos="2127"/>
        </w:tabs>
      </w:pPr>
    </w:p>
  </w:endnote>
  <w:endnote w:id="2">
    <w:p w14:paraId="06E0FB0D" w14:textId="5E391353" w:rsidR="00F60513" w:rsidRPr="000F351E" w:rsidRDefault="00F60513">
      <w:pPr>
        <w:pStyle w:val="EndnoteText"/>
        <w:rPr>
          <w:sz w:val="22"/>
        </w:rPr>
      </w:pPr>
      <w:r>
        <w:rPr>
          <w:rStyle w:val="EndnoteReference"/>
        </w:rPr>
        <w:endnoteRef/>
      </w:r>
      <w:r>
        <w:t xml:space="preserve"> </w:t>
      </w:r>
      <w:proofErr w:type="spellStart"/>
      <w:r w:rsidRPr="000F351E">
        <w:rPr>
          <w:sz w:val="22"/>
        </w:rPr>
        <w:t>Samms</w:t>
      </w:r>
      <w:proofErr w:type="spellEnd"/>
      <w:r w:rsidRPr="000F351E">
        <w:rPr>
          <w:sz w:val="22"/>
        </w:rPr>
        <w:t>-Vaughan, M. (2011).</w:t>
      </w:r>
    </w:p>
    <w:p w14:paraId="70B85978" w14:textId="77777777" w:rsidR="000F351E" w:rsidRPr="00020669" w:rsidRDefault="000F351E">
      <w:pPr>
        <w:pStyle w:val="EndnoteText"/>
        <w:rPr>
          <w:lang w:val="en-AU"/>
        </w:rPr>
      </w:pPr>
    </w:p>
  </w:endnote>
  <w:endnote w:id="3">
    <w:p w14:paraId="45EC94E3" w14:textId="5490C1F3" w:rsidR="00F60513" w:rsidRPr="00581F2C" w:rsidRDefault="00F60513" w:rsidP="00581F2C">
      <w:pPr>
        <w:pStyle w:val="EndnoteText"/>
        <w:spacing w:after="240"/>
        <w:rPr>
          <w:sz w:val="22"/>
          <w:lang w:val="en-AU"/>
        </w:rPr>
      </w:pPr>
      <w:r w:rsidRPr="00581F2C">
        <w:rPr>
          <w:rStyle w:val="EndnoteReference"/>
          <w:sz w:val="22"/>
        </w:rPr>
        <w:endnoteRef/>
      </w:r>
      <w:r w:rsidRPr="00581F2C">
        <w:rPr>
          <w:sz w:val="22"/>
        </w:rPr>
        <w:t xml:space="preserve"> Statistics </w:t>
      </w:r>
      <w:r>
        <w:rPr>
          <w:sz w:val="22"/>
        </w:rPr>
        <w:t>taken from</w:t>
      </w:r>
      <w:r w:rsidRPr="00581F2C">
        <w:rPr>
          <w:sz w:val="22"/>
        </w:rPr>
        <w:t xml:space="preserve"> a network of regional and remote in-home care services in Queensland.</w:t>
      </w:r>
    </w:p>
  </w:endnote>
  <w:endnote w:id="4">
    <w:p w14:paraId="31143DCF" w14:textId="1289A24B" w:rsidR="00F60513" w:rsidRPr="00581F2C" w:rsidRDefault="00F60513" w:rsidP="00581F2C">
      <w:pPr>
        <w:pStyle w:val="EndnoteText"/>
        <w:spacing w:after="240"/>
        <w:rPr>
          <w:sz w:val="24"/>
          <w:lang w:val="en-AU"/>
        </w:rPr>
      </w:pPr>
      <w:r w:rsidRPr="00581F2C">
        <w:rPr>
          <w:rStyle w:val="EndnoteReference"/>
          <w:sz w:val="22"/>
        </w:rPr>
        <w:endnoteRef/>
      </w:r>
      <w:r w:rsidRPr="00581F2C">
        <w:rPr>
          <w:sz w:val="22"/>
        </w:rPr>
        <w:t xml:space="preserve"> Australian Government (2009). </w:t>
      </w:r>
      <w:r w:rsidRPr="00581F2C">
        <w:rPr>
          <w:i/>
          <w:sz w:val="22"/>
        </w:rPr>
        <w:t xml:space="preserve">Belonging, Being &amp; Becoming: </w:t>
      </w:r>
      <w:r w:rsidRPr="00581F2C">
        <w:rPr>
          <w:i/>
          <w:sz w:val="22"/>
          <w:lang w:val="en-AU"/>
        </w:rPr>
        <w:t>Early Years Framework</w:t>
      </w:r>
      <w:r>
        <w:rPr>
          <w:i/>
          <w:sz w:val="22"/>
          <w:lang w:val="en-AU"/>
        </w:rPr>
        <w:t xml:space="preserve">. </w:t>
      </w:r>
      <w:r>
        <w:rPr>
          <w:sz w:val="22"/>
          <w:lang w:val="en-AU"/>
        </w:rPr>
        <w:t xml:space="preserve">Retrieved from: </w:t>
      </w:r>
      <w:hyperlink r:id="rId2" w:history="1">
        <w:r w:rsidRPr="00735DE7">
          <w:rPr>
            <w:rStyle w:val="Hyperlink"/>
            <w:sz w:val="22"/>
            <w:lang w:val="en-AU"/>
          </w:rPr>
          <w:t>http://docs.education.gov.au/node/2632</w:t>
        </w:r>
      </w:hyperlink>
      <w:r>
        <w:rPr>
          <w:sz w:val="22"/>
          <w:lang w:val="en-AU"/>
        </w:rPr>
        <w:t xml:space="preserve"> </w:t>
      </w:r>
    </w:p>
  </w:endnote>
  <w:endnote w:id="5">
    <w:p w14:paraId="1293CEFF" w14:textId="48BCAED3" w:rsidR="00F60513" w:rsidRPr="00317AC6" w:rsidRDefault="00F60513" w:rsidP="00581F2C">
      <w:pPr>
        <w:spacing w:before="0" w:after="240"/>
        <w:rPr>
          <w:lang w:val="en-AU"/>
        </w:rPr>
      </w:pPr>
      <w:r>
        <w:rPr>
          <w:rStyle w:val="EndnoteReference"/>
          <w:sz w:val="20"/>
          <w:szCs w:val="20"/>
        </w:rPr>
        <w:endnoteRef/>
      </w:r>
      <w:r>
        <w:rPr>
          <w:rStyle w:val="EndnoteReference"/>
        </w:rPr>
        <w:endnoteRef/>
      </w:r>
      <w:r>
        <w:t xml:space="preserve"> </w:t>
      </w:r>
      <w:r>
        <w:rPr>
          <w:lang w:val="en-AU"/>
        </w:rPr>
        <w:t xml:space="preserve">Fisher, K.R., Maynard, D., </w:t>
      </w:r>
      <w:proofErr w:type="spellStart"/>
      <w:r>
        <w:rPr>
          <w:lang w:val="en-AU"/>
        </w:rPr>
        <w:t>Rajkovic</w:t>
      </w:r>
      <w:proofErr w:type="spellEnd"/>
      <w:r>
        <w:rPr>
          <w:lang w:val="en-AU"/>
        </w:rPr>
        <w:t xml:space="preserve"> M. &amp; Abelson, P. (2009). </w:t>
      </w:r>
      <w:r w:rsidRPr="00317AC6">
        <w:rPr>
          <w:i/>
          <w:lang w:val="en-AU"/>
        </w:rPr>
        <w:t xml:space="preserve">Cost of providing specialist disability services and communities services in Queensland. </w:t>
      </w:r>
      <w:r>
        <w:rPr>
          <w:lang w:val="en-AU"/>
        </w:rPr>
        <w:t>New South Wales: Social Policy Research Centre.</w:t>
      </w:r>
    </w:p>
  </w:endnote>
  <w:endnote w:id="6">
    <w:p w14:paraId="4BDAF3BF" w14:textId="5E9AB5C2" w:rsidR="00F60513" w:rsidRPr="00713FE0" w:rsidRDefault="00F60513" w:rsidP="00581F2C">
      <w:pPr>
        <w:spacing w:before="0" w:after="240"/>
        <w:rPr>
          <w:lang w:val="en-AU"/>
        </w:rPr>
      </w:pPr>
      <w:r>
        <w:rPr>
          <w:rStyle w:val="EndnoteReference"/>
        </w:rPr>
        <w:endnoteRef/>
      </w:r>
      <w:r>
        <w:t xml:space="preserve"> </w:t>
      </w:r>
      <w:r>
        <w:rPr>
          <w:lang w:val="en-AU"/>
        </w:rPr>
        <w:t xml:space="preserve">Queensland Council of Social Service. (2013). </w:t>
      </w:r>
      <w:r>
        <w:rPr>
          <w:i/>
          <w:lang w:val="en-AU"/>
        </w:rPr>
        <w:t>The recommissioning of youth services in Queensland</w:t>
      </w:r>
      <w:r>
        <w:rPr>
          <w:lang w:val="en-AU"/>
        </w:rPr>
        <w:t xml:space="preserve">. p. 14. Retrieved from: </w:t>
      </w:r>
      <w:hyperlink r:id="rId3" w:history="1">
        <w:r w:rsidRPr="00147CAD">
          <w:rPr>
            <w:rStyle w:val="Hyperlink"/>
            <w:lang w:val="en-AU"/>
          </w:rPr>
          <w:t>https://www.qcoss.org.au/sites/default/files/QCOSS%20LGAQ%20Recommissioning%20Report%20Dec%202013%20FINAL.pdf</w:t>
        </w:r>
      </w:hyperlink>
      <w:r w:rsidR="00713FE0">
        <w:rPr>
          <w:lang w:val="en-AU"/>
        </w:rPr>
        <w:t xml:space="preserve">  </w:t>
      </w:r>
    </w:p>
  </w:endnote>
  <w:endnote w:id="7">
    <w:p w14:paraId="6452CE13" w14:textId="759DDB26" w:rsidR="00F60513" w:rsidRPr="003E755B" w:rsidRDefault="00F60513">
      <w:pPr>
        <w:pStyle w:val="EndnoteText"/>
      </w:pPr>
      <w:r w:rsidRPr="003E755B">
        <w:rPr>
          <w:rStyle w:val="EndnoteReference"/>
        </w:rPr>
        <w:endnoteRef/>
      </w:r>
      <w:r w:rsidRPr="003E755B">
        <w:t xml:space="preserve"> </w:t>
      </w:r>
      <w:r w:rsidRPr="000F351E">
        <w:rPr>
          <w:sz w:val="22"/>
        </w:rPr>
        <w:t>Austra</w:t>
      </w:r>
      <w:r w:rsidR="003E755B" w:rsidRPr="000F351E">
        <w:rPr>
          <w:sz w:val="22"/>
        </w:rPr>
        <w:t>lian Bureau of Statistics. (2011</w:t>
      </w:r>
      <w:r w:rsidRPr="000F351E">
        <w:rPr>
          <w:sz w:val="22"/>
        </w:rPr>
        <w:t>)</w:t>
      </w:r>
      <w:r w:rsidR="003E755B" w:rsidRPr="000F351E">
        <w:rPr>
          <w:sz w:val="22"/>
        </w:rPr>
        <w:t xml:space="preserve">. </w:t>
      </w:r>
      <w:r w:rsidR="003E755B" w:rsidRPr="000F351E">
        <w:rPr>
          <w:i/>
          <w:sz w:val="22"/>
        </w:rPr>
        <w:t>Australian Statistical Geography Standard (ASGS): Volume 5 – Remoteness Structure</w:t>
      </w:r>
      <w:r w:rsidR="003E755B" w:rsidRPr="000F351E">
        <w:rPr>
          <w:sz w:val="22"/>
        </w:rPr>
        <w:t xml:space="preserve">. Retrieved from: </w:t>
      </w:r>
      <w:hyperlink r:id="rId4" w:history="1">
        <w:r w:rsidR="003E755B" w:rsidRPr="000F351E">
          <w:rPr>
            <w:rStyle w:val="Hyperlink"/>
            <w:sz w:val="22"/>
          </w:rPr>
          <w:t>http://www.abs.gov.au/AUSSTATS/abs@.nsf/Lookup/1270.0.55.005Main+Features1July%202011?OpenDocument</w:t>
        </w:r>
      </w:hyperlink>
      <w:r w:rsidR="003E755B" w:rsidRPr="000F351E">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D9C4" w14:textId="77777777" w:rsidR="00F60513" w:rsidRPr="008F4219" w:rsidRDefault="00F60513" w:rsidP="008F4219">
    <w:pPr>
      <w:pStyle w:val="Footer"/>
      <w:tabs>
        <w:tab w:val="clear" w:pos="4513"/>
        <w:tab w:val="clear" w:pos="9026"/>
        <w:tab w:val="left" w:pos="2865"/>
      </w:tabs>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34" w:type="dxa"/>
      <w:tblBorders>
        <w:top w:val="single" w:sz="8" w:space="0" w:color="808080"/>
      </w:tblBorders>
      <w:tblLayout w:type="fixed"/>
      <w:tblLook w:val="0000" w:firstRow="0" w:lastRow="0" w:firstColumn="0" w:lastColumn="0" w:noHBand="0" w:noVBand="0"/>
    </w:tblPr>
    <w:tblGrid>
      <w:gridCol w:w="2229"/>
      <w:gridCol w:w="10954"/>
      <w:gridCol w:w="1985"/>
    </w:tblGrid>
    <w:tr w:rsidR="00F60513" w:rsidRPr="00BE68CD" w14:paraId="094048F5" w14:textId="77777777" w:rsidTr="00866109">
      <w:tc>
        <w:tcPr>
          <w:tcW w:w="2229" w:type="dxa"/>
        </w:tcPr>
        <w:p w14:paraId="415DCFF9" w14:textId="77777777" w:rsidR="00F60513" w:rsidRPr="0013664E" w:rsidRDefault="00F60513" w:rsidP="00347812">
          <w:pPr>
            <w:pStyle w:val="FormFooter"/>
            <w:spacing w:before="60"/>
            <w:rPr>
              <w:b/>
            </w:rPr>
          </w:pPr>
        </w:p>
      </w:tc>
      <w:tc>
        <w:tcPr>
          <w:tcW w:w="10954" w:type="dxa"/>
        </w:tcPr>
        <w:p w14:paraId="47006071" w14:textId="77777777" w:rsidR="00F60513" w:rsidRPr="0013664E" w:rsidRDefault="00F60513" w:rsidP="00CD2ED3">
          <w:pPr>
            <w:pStyle w:val="FormFooter"/>
            <w:spacing w:before="60"/>
            <w:jc w:val="center"/>
          </w:pPr>
          <w:r w:rsidRPr="0013664E">
            <w:t xml:space="preserve">Page </w:t>
          </w:r>
          <w:r>
            <w:fldChar w:fldCharType="begin"/>
          </w:r>
          <w:r>
            <w:instrText xml:space="preserve"> PAGE </w:instrText>
          </w:r>
          <w:r>
            <w:fldChar w:fldCharType="separate"/>
          </w:r>
          <w:r w:rsidR="00C73F59">
            <w:rPr>
              <w:noProof/>
            </w:rPr>
            <w:t>9</w:t>
          </w:r>
          <w:r>
            <w:rPr>
              <w:noProof/>
            </w:rPr>
            <w:fldChar w:fldCharType="end"/>
          </w:r>
          <w:r w:rsidRPr="0013664E">
            <w:t xml:space="preserve"> of </w:t>
          </w:r>
          <w:fldSimple w:instr=" NUMPAGES ">
            <w:r w:rsidR="00C73F59">
              <w:rPr>
                <w:noProof/>
              </w:rPr>
              <w:t>9</w:t>
            </w:r>
          </w:fldSimple>
        </w:p>
      </w:tc>
      <w:tc>
        <w:tcPr>
          <w:tcW w:w="1985" w:type="dxa"/>
        </w:tcPr>
        <w:p w14:paraId="7480B8D9" w14:textId="77777777" w:rsidR="00F60513" w:rsidRPr="0013664E" w:rsidRDefault="00F60513" w:rsidP="00CD2ED3">
          <w:pPr>
            <w:pStyle w:val="FormFooter"/>
            <w:spacing w:before="60"/>
            <w:jc w:val="right"/>
          </w:pPr>
        </w:p>
      </w:tc>
    </w:tr>
    <w:tr w:rsidR="00F60513" w:rsidRPr="00BE68CD" w14:paraId="23D9D25D" w14:textId="77777777" w:rsidTr="00866109">
      <w:tc>
        <w:tcPr>
          <w:tcW w:w="2229" w:type="dxa"/>
          <w:vMerge w:val="restart"/>
          <w:vAlign w:val="bottom"/>
        </w:tcPr>
        <w:p w14:paraId="023B96AE" w14:textId="77777777" w:rsidR="00F60513" w:rsidRPr="0013664E" w:rsidRDefault="00F60513" w:rsidP="00CD2ED3">
          <w:pPr>
            <w:pStyle w:val="FormFooter"/>
            <w:spacing w:before="60"/>
          </w:pPr>
          <w:r>
            <w:rPr>
              <w:noProof/>
            </w:rPr>
            <w:drawing>
              <wp:inline distT="0" distB="0" distL="0" distR="0" wp14:anchorId="23FA5CFB" wp14:editId="56CDCF64">
                <wp:extent cx="777875" cy="395605"/>
                <wp:effectExtent l="0" t="0" r="3175"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1211" b="-6061"/>
                        <a:stretch>
                          <a:fillRect/>
                        </a:stretch>
                      </pic:blipFill>
                      <pic:spPr bwMode="auto">
                        <a:xfrm>
                          <a:off x="0" y="0"/>
                          <a:ext cx="777875" cy="395605"/>
                        </a:xfrm>
                        <a:prstGeom prst="rect">
                          <a:avLst/>
                        </a:prstGeom>
                        <a:noFill/>
                        <a:ln>
                          <a:noFill/>
                        </a:ln>
                      </pic:spPr>
                    </pic:pic>
                  </a:graphicData>
                </a:graphic>
              </wp:inline>
            </w:drawing>
          </w:r>
        </w:p>
      </w:tc>
      <w:tc>
        <w:tcPr>
          <w:tcW w:w="10954" w:type="dxa"/>
          <w:vAlign w:val="center"/>
        </w:tcPr>
        <w:p w14:paraId="4310431D" w14:textId="77777777" w:rsidR="00F60513" w:rsidRPr="0013664E" w:rsidRDefault="00F60513" w:rsidP="00CD2ED3">
          <w:pPr>
            <w:pStyle w:val="FormFooter"/>
            <w:spacing w:before="60"/>
            <w:jc w:val="center"/>
          </w:pPr>
          <w:r w:rsidRPr="0013664E">
            <w:t>© Churc</w:t>
          </w:r>
          <w:r>
            <w:t>hes of Christ in Queensland 2012</w:t>
          </w:r>
        </w:p>
      </w:tc>
      <w:tc>
        <w:tcPr>
          <w:tcW w:w="1985" w:type="dxa"/>
          <w:vMerge w:val="restart"/>
          <w:vAlign w:val="bottom"/>
        </w:tcPr>
        <w:p w14:paraId="61EB8853" w14:textId="77777777" w:rsidR="00F60513" w:rsidRPr="0013664E" w:rsidRDefault="00F60513" w:rsidP="00CD2ED3">
          <w:pPr>
            <w:pStyle w:val="FormFooter"/>
            <w:spacing w:before="60"/>
            <w:ind w:right="-57"/>
            <w:jc w:val="right"/>
          </w:pPr>
          <w:r>
            <w:rPr>
              <w:noProof/>
            </w:rPr>
            <w:drawing>
              <wp:inline distT="0" distB="0" distL="0" distR="0" wp14:anchorId="309A1E60" wp14:editId="238C03B2">
                <wp:extent cx="1214755" cy="340995"/>
                <wp:effectExtent l="0" t="0" r="4445" b="1905"/>
                <wp:docPr id="10" name="Picture 5" descr="CC_Ad_Backgroun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_Ad_Background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755" cy="340995"/>
                        </a:xfrm>
                        <a:prstGeom prst="rect">
                          <a:avLst/>
                        </a:prstGeom>
                        <a:noFill/>
                        <a:ln>
                          <a:noFill/>
                        </a:ln>
                      </pic:spPr>
                    </pic:pic>
                  </a:graphicData>
                </a:graphic>
              </wp:inline>
            </w:drawing>
          </w:r>
        </w:p>
      </w:tc>
    </w:tr>
    <w:tr w:rsidR="00F60513" w:rsidRPr="00BE68CD" w14:paraId="39DA2058" w14:textId="77777777" w:rsidTr="00866109">
      <w:tc>
        <w:tcPr>
          <w:tcW w:w="2229" w:type="dxa"/>
          <w:vMerge/>
        </w:tcPr>
        <w:p w14:paraId="7667F713" w14:textId="77777777" w:rsidR="00F60513" w:rsidRDefault="00F60513" w:rsidP="00CD2ED3">
          <w:pPr>
            <w:pStyle w:val="Footer"/>
          </w:pPr>
        </w:p>
      </w:tc>
      <w:tc>
        <w:tcPr>
          <w:tcW w:w="10954" w:type="dxa"/>
          <w:vAlign w:val="bottom"/>
        </w:tcPr>
        <w:p w14:paraId="0D7E8413" w14:textId="77777777" w:rsidR="00F60513" w:rsidRPr="0013664E" w:rsidRDefault="00F60513" w:rsidP="00344252">
          <w:pPr>
            <w:pStyle w:val="Footer"/>
            <w:ind w:right="459"/>
            <w:jc w:val="center"/>
            <w:rPr>
              <w:sz w:val="16"/>
              <w:szCs w:val="16"/>
            </w:rPr>
          </w:pPr>
        </w:p>
      </w:tc>
      <w:tc>
        <w:tcPr>
          <w:tcW w:w="1985" w:type="dxa"/>
          <w:vMerge/>
          <w:vAlign w:val="center"/>
        </w:tcPr>
        <w:p w14:paraId="499D7D3B" w14:textId="77777777" w:rsidR="00F60513" w:rsidRDefault="00F60513" w:rsidP="00CD2ED3">
          <w:pPr>
            <w:pStyle w:val="Footer"/>
            <w:ind w:right="-85"/>
            <w:jc w:val="right"/>
          </w:pPr>
        </w:p>
      </w:tc>
    </w:tr>
  </w:tbl>
  <w:p w14:paraId="001796A1" w14:textId="77777777" w:rsidR="00F60513" w:rsidRDefault="00F60513" w:rsidP="001B1877">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34" w:type="dxa"/>
      <w:tblBorders>
        <w:top w:val="single" w:sz="8" w:space="0" w:color="808080"/>
      </w:tblBorders>
      <w:tblLayout w:type="fixed"/>
      <w:tblLook w:val="0000" w:firstRow="0" w:lastRow="0" w:firstColumn="0" w:lastColumn="0" w:noHBand="0" w:noVBand="0"/>
    </w:tblPr>
    <w:tblGrid>
      <w:gridCol w:w="2229"/>
      <w:gridCol w:w="5568"/>
      <w:gridCol w:w="2126"/>
    </w:tblGrid>
    <w:tr w:rsidR="00F60513" w:rsidRPr="00BE68CD" w14:paraId="159A32F2" w14:textId="77777777" w:rsidTr="00344252">
      <w:tc>
        <w:tcPr>
          <w:tcW w:w="2229" w:type="dxa"/>
        </w:tcPr>
        <w:p w14:paraId="661F918E" w14:textId="77777777" w:rsidR="00F60513" w:rsidRPr="0013664E" w:rsidRDefault="00F60513" w:rsidP="00347812">
          <w:pPr>
            <w:pStyle w:val="FormFooter"/>
            <w:spacing w:before="60"/>
            <w:rPr>
              <w:b/>
            </w:rPr>
          </w:pPr>
        </w:p>
      </w:tc>
      <w:tc>
        <w:tcPr>
          <w:tcW w:w="5568" w:type="dxa"/>
        </w:tcPr>
        <w:p w14:paraId="641FF10A" w14:textId="77777777" w:rsidR="00F60513" w:rsidRPr="0013664E" w:rsidRDefault="00F60513" w:rsidP="00CD2ED3">
          <w:pPr>
            <w:pStyle w:val="FormFooter"/>
            <w:spacing w:before="60"/>
            <w:jc w:val="center"/>
          </w:pPr>
          <w:r w:rsidRPr="0013664E">
            <w:t xml:space="preserve">Page </w:t>
          </w:r>
          <w:r>
            <w:fldChar w:fldCharType="begin"/>
          </w:r>
          <w:r>
            <w:instrText xml:space="preserve"> PAGE </w:instrText>
          </w:r>
          <w:r>
            <w:fldChar w:fldCharType="separate"/>
          </w:r>
          <w:r w:rsidR="000F351E">
            <w:rPr>
              <w:noProof/>
            </w:rPr>
            <w:t>12</w:t>
          </w:r>
          <w:r>
            <w:rPr>
              <w:noProof/>
            </w:rPr>
            <w:fldChar w:fldCharType="end"/>
          </w:r>
          <w:r w:rsidRPr="0013664E">
            <w:t xml:space="preserve"> of </w:t>
          </w:r>
          <w:fldSimple w:instr=" NUMPAGES ">
            <w:r w:rsidR="000F351E">
              <w:rPr>
                <w:noProof/>
              </w:rPr>
              <w:t>12</w:t>
            </w:r>
          </w:fldSimple>
        </w:p>
      </w:tc>
      <w:tc>
        <w:tcPr>
          <w:tcW w:w="2126" w:type="dxa"/>
        </w:tcPr>
        <w:p w14:paraId="386F0186" w14:textId="77777777" w:rsidR="00F60513" w:rsidRPr="0013664E" w:rsidRDefault="00F60513" w:rsidP="00CD2ED3">
          <w:pPr>
            <w:pStyle w:val="FormFooter"/>
            <w:spacing w:before="60"/>
            <w:jc w:val="right"/>
          </w:pPr>
        </w:p>
      </w:tc>
    </w:tr>
    <w:tr w:rsidR="00F60513" w:rsidRPr="00BE68CD" w14:paraId="04BA8841" w14:textId="77777777" w:rsidTr="00344252">
      <w:tc>
        <w:tcPr>
          <w:tcW w:w="2229" w:type="dxa"/>
          <w:vMerge w:val="restart"/>
          <w:vAlign w:val="bottom"/>
        </w:tcPr>
        <w:p w14:paraId="57A12968" w14:textId="77777777" w:rsidR="00F60513" w:rsidRPr="0013664E" w:rsidRDefault="00F60513" w:rsidP="00CD2ED3">
          <w:pPr>
            <w:pStyle w:val="FormFooter"/>
            <w:spacing w:before="60"/>
          </w:pPr>
          <w:r>
            <w:rPr>
              <w:noProof/>
            </w:rPr>
            <w:drawing>
              <wp:inline distT="0" distB="0" distL="0" distR="0" wp14:anchorId="1D3A75CF" wp14:editId="66C64AC2">
                <wp:extent cx="777875" cy="395605"/>
                <wp:effectExtent l="0" t="0" r="3175" b="444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1211" b="-6061"/>
                        <a:stretch>
                          <a:fillRect/>
                        </a:stretch>
                      </pic:blipFill>
                      <pic:spPr bwMode="auto">
                        <a:xfrm>
                          <a:off x="0" y="0"/>
                          <a:ext cx="777875" cy="395605"/>
                        </a:xfrm>
                        <a:prstGeom prst="rect">
                          <a:avLst/>
                        </a:prstGeom>
                        <a:noFill/>
                        <a:ln>
                          <a:noFill/>
                        </a:ln>
                      </pic:spPr>
                    </pic:pic>
                  </a:graphicData>
                </a:graphic>
              </wp:inline>
            </w:drawing>
          </w:r>
        </w:p>
      </w:tc>
      <w:tc>
        <w:tcPr>
          <w:tcW w:w="5568" w:type="dxa"/>
          <w:vAlign w:val="center"/>
        </w:tcPr>
        <w:p w14:paraId="5CBE5D29" w14:textId="77777777" w:rsidR="00F60513" w:rsidRPr="0013664E" w:rsidRDefault="00F60513" w:rsidP="00CD2ED3">
          <w:pPr>
            <w:pStyle w:val="FormFooter"/>
            <w:spacing w:before="60"/>
            <w:jc w:val="center"/>
          </w:pPr>
          <w:r w:rsidRPr="0013664E">
            <w:t>© Churc</w:t>
          </w:r>
          <w:r>
            <w:t>hes of Christ in Queensland 2012</w:t>
          </w:r>
        </w:p>
      </w:tc>
      <w:tc>
        <w:tcPr>
          <w:tcW w:w="2126" w:type="dxa"/>
          <w:vMerge w:val="restart"/>
          <w:vAlign w:val="bottom"/>
        </w:tcPr>
        <w:p w14:paraId="0E08DAB2" w14:textId="77777777" w:rsidR="00F60513" w:rsidRPr="0013664E" w:rsidRDefault="00F60513" w:rsidP="00CD2ED3">
          <w:pPr>
            <w:pStyle w:val="FormFooter"/>
            <w:spacing w:before="60"/>
            <w:ind w:right="-57"/>
            <w:jc w:val="right"/>
          </w:pPr>
          <w:r>
            <w:rPr>
              <w:noProof/>
            </w:rPr>
            <w:drawing>
              <wp:inline distT="0" distB="0" distL="0" distR="0" wp14:anchorId="602ED608" wp14:editId="7FD5DDC6">
                <wp:extent cx="1214755" cy="340995"/>
                <wp:effectExtent l="0" t="0" r="4445" b="1905"/>
                <wp:docPr id="17" name="Picture 5" descr="CC_Ad_Backgroun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_Ad_Background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755" cy="340995"/>
                        </a:xfrm>
                        <a:prstGeom prst="rect">
                          <a:avLst/>
                        </a:prstGeom>
                        <a:noFill/>
                        <a:ln>
                          <a:noFill/>
                        </a:ln>
                      </pic:spPr>
                    </pic:pic>
                  </a:graphicData>
                </a:graphic>
              </wp:inline>
            </w:drawing>
          </w:r>
        </w:p>
      </w:tc>
    </w:tr>
    <w:tr w:rsidR="00F60513" w:rsidRPr="00BE68CD" w14:paraId="59032462" w14:textId="77777777" w:rsidTr="00344252">
      <w:tc>
        <w:tcPr>
          <w:tcW w:w="2229" w:type="dxa"/>
          <w:vMerge/>
        </w:tcPr>
        <w:p w14:paraId="0309D1D3" w14:textId="77777777" w:rsidR="00F60513" w:rsidRDefault="00F60513" w:rsidP="00CD2ED3">
          <w:pPr>
            <w:pStyle w:val="Footer"/>
          </w:pPr>
        </w:p>
      </w:tc>
      <w:tc>
        <w:tcPr>
          <w:tcW w:w="5568" w:type="dxa"/>
          <w:vAlign w:val="bottom"/>
        </w:tcPr>
        <w:p w14:paraId="2AC34593" w14:textId="77777777" w:rsidR="00F60513" w:rsidRPr="0013664E" w:rsidRDefault="00F60513" w:rsidP="00344252">
          <w:pPr>
            <w:pStyle w:val="Footer"/>
            <w:ind w:right="459"/>
            <w:jc w:val="center"/>
            <w:rPr>
              <w:sz w:val="16"/>
              <w:szCs w:val="16"/>
            </w:rPr>
          </w:pPr>
        </w:p>
      </w:tc>
      <w:tc>
        <w:tcPr>
          <w:tcW w:w="2126" w:type="dxa"/>
          <w:vMerge/>
          <w:vAlign w:val="center"/>
        </w:tcPr>
        <w:p w14:paraId="2050DB8B" w14:textId="77777777" w:rsidR="00F60513" w:rsidRDefault="00F60513" w:rsidP="00CD2ED3">
          <w:pPr>
            <w:pStyle w:val="Footer"/>
            <w:ind w:right="-85"/>
            <w:jc w:val="right"/>
          </w:pPr>
        </w:p>
      </w:tc>
    </w:tr>
  </w:tbl>
  <w:p w14:paraId="6897A8FA" w14:textId="77777777" w:rsidR="00F60513" w:rsidRDefault="00F60513" w:rsidP="001B1877">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34" w:type="dxa"/>
      <w:tblBorders>
        <w:top w:val="single" w:sz="8" w:space="0" w:color="808080"/>
      </w:tblBorders>
      <w:tblLayout w:type="fixed"/>
      <w:tblLook w:val="0000" w:firstRow="0" w:lastRow="0" w:firstColumn="0" w:lastColumn="0" w:noHBand="0" w:noVBand="0"/>
    </w:tblPr>
    <w:tblGrid>
      <w:gridCol w:w="2229"/>
      <w:gridCol w:w="5568"/>
      <w:gridCol w:w="2126"/>
    </w:tblGrid>
    <w:tr w:rsidR="000F351E" w:rsidRPr="00BE68CD" w14:paraId="32F69C8A" w14:textId="77777777" w:rsidTr="009A1312">
      <w:tc>
        <w:tcPr>
          <w:tcW w:w="2229" w:type="dxa"/>
        </w:tcPr>
        <w:p w14:paraId="6B111842" w14:textId="77777777" w:rsidR="000F351E" w:rsidRPr="0013664E" w:rsidRDefault="000F351E" w:rsidP="009A1312">
          <w:pPr>
            <w:pStyle w:val="FormFooter"/>
            <w:spacing w:before="60"/>
            <w:rPr>
              <w:b/>
            </w:rPr>
          </w:pPr>
        </w:p>
      </w:tc>
      <w:tc>
        <w:tcPr>
          <w:tcW w:w="5568" w:type="dxa"/>
        </w:tcPr>
        <w:p w14:paraId="09DC851B" w14:textId="77777777" w:rsidR="000F351E" w:rsidRPr="0013664E" w:rsidRDefault="000F351E" w:rsidP="009A1312">
          <w:pPr>
            <w:pStyle w:val="FormFooter"/>
            <w:spacing w:before="60"/>
            <w:jc w:val="center"/>
          </w:pPr>
          <w:r w:rsidRPr="0013664E">
            <w:t xml:space="preserve">Page </w:t>
          </w:r>
          <w:r>
            <w:fldChar w:fldCharType="begin"/>
          </w:r>
          <w:r>
            <w:instrText xml:space="preserve"> PAGE </w:instrText>
          </w:r>
          <w:r>
            <w:fldChar w:fldCharType="separate"/>
          </w:r>
          <w:r w:rsidR="00C73F59">
            <w:rPr>
              <w:noProof/>
            </w:rPr>
            <w:t>10</w:t>
          </w:r>
          <w:r>
            <w:rPr>
              <w:noProof/>
            </w:rPr>
            <w:fldChar w:fldCharType="end"/>
          </w:r>
          <w:r w:rsidRPr="0013664E">
            <w:t xml:space="preserve"> of </w:t>
          </w:r>
          <w:fldSimple w:instr=" NUMPAGES ">
            <w:r w:rsidR="00C73F59">
              <w:rPr>
                <w:noProof/>
              </w:rPr>
              <w:t>10</w:t>
            </w:r>
          </w:fldSimple>
        </w:p>
      </w:tc>
      <w:tc>
        <w:tcPr>
          <w:tcW w:w="2126" w:type="dxa"/>
        </w:tcPr>
        <w:p w14:paraId="6BEB0A4A" w14:textId="77777777" w:rsidR="000F351E" w:rsidRPr="0013664E" w:rsidRDefault="000F351E" w:rsidP="009A1312">
          <w:pPr>
            <w:pStyle w:val="FormFooter"/>
            <w:spacing w:before="60"/>
            <w:jc w:val="right"/>
          </w:pPr>
        </w:p>
      </w:tc>
    </w:tr>
    <w:tr w:rsidR="000F351E" w:rsidRPr="00BE68CD" w14:paraId="6098BC12" w14:textId="77777777" w:rsidTr="009A1312">
      <w:tc>
        <w:tcPr>
          <w:tcW w:w="2229" w:type="dxa"/>
          <w:vMerge w:val="restart"/>
          <w:vAlign w:val="bottom"/>
        </w:tcPr>
        <w:p w14:paraId="39E023F0" w14:textId="77777777" w:rsidR="000F351E" w:rsidRPr="0013664E" w:rsidRDefault="000F351E" w:rsidP="009A1312">
          <w:pPr>
            <w:pStyle w:val="FormFooter"/>
            <w:spacing w:before="60"/>
          </w:pPr>
          <w:r>
            <w:rPr>
              <w:noProof/>
            </w:rPr>
            <w:drawing>
              <wp:inline distT="0" distB="0" distL="0" distR="0" wp14:anchorId="5ACE7349" wp14:editId="3D299F85">
                <wp:extent cx="777875" cy="395605"/>
                <wp:effectExtent l="0" t="0" r="317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1211" b="-6061"/>
                        <a:stretch>
                          <a:fillRect/>
                        </a:stretch>
                      </pic:blipFill>
                      <pic:spPr bwMode="auto">
                        <a:xfrm>
                          <a:off x="0" y="0"/>
                          <a:ext cx="777875" cy="395605"/>
                        </a:xfrm>
                        <a:prstGeom prst="rect">
                          <a:avLst/>
                        </a:prstGeom>
                        <a:noFill/>
                        <a:ln>
                          <a:noFill/>
                        </a:ln>
                      </pic:spPr>
                    </pic:pic>
                  </a:graphicData>
                </a:graphic>
              </wp:inline>
            </w:drawing>
          </w:r>
        </w:p>
      </w:tc>
      <w:tc>
        <w:tcPr>
          <w:tcW w:w="5568" w:type="dxa"/>
          <w:vAlign w:val="center"/>
        </w:tcPr>
        <w:p w14:paraId="66CF84CD" w14:textId="77777777" w:rsidR="000F351E" w:rsidRPr="0013664E" w:rsidRDefault="000F351E" w:rsidP="009A1312">
          <w:pPr>
            <w:pStyle w:val="FormFooter"/>
            <w:spacing w:before="60"/>
            <w:jc w:val="center"/>
          </w:pPr>
          <w:r w:rsidRPr="0013664E">
            <w:t>© Churc</w:t>
          </w:r>
          <w:r>
            <w:t>hes of Christ in Queensland 2012</w:t>
          </w:r>
        </w:p>
      </w:tc>
      <w:tc>
        <w:tcPr>
          <w:tcW w:w="2126" w:type="dxa"/>
          <w:vMerge w:val="restart"/>
          <w:vAlign w:val="bottom"/>
        </w:tcPr>
        <w:p w14:paraId="4226ABC7" w14:textId="77777777" w:rsidR="000F351E" w:rsidRPr="0013664E" w:rsidRDefault="000F351E" w:rsidP="009A1312">
          <w:pPr>
            <w:pStyle w:val="FormFooter"/>
            <w:spacing w:before="60"/>
            <w:ind w:right="-57"/>
            <w:jc w:val="right"/>
          </w:pPr>
          <w:r>
            <w:rPr>
              <w:noProof/>
            </w:rPr>
            <w:drawing>
              <wp:inline distT="0" distB="0" distL="0" distR="0" wp14:anchorId="00D98FA8" wp14:editId="3568C772">
                <wp:extent cx="1214755" cy="340995"/>
                <wp:effectExtent l="0" t="0" r="4445" b="1905"/>
                <wp:docPr id="6" name="Picture 5" descr="CC_Ad_Backgroun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_Ad_Background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755" cy="340995"/>
                        </a:xfrm>
                        <a:prstGeom prst="rect">
                          <a:avLst/>
                        </a:prstGeom>
                        <a:noFill/>
                        <a:ln>
                          <a:noFill/>
                        </a:ln>
                      </pic:spPr>
                    </pic:pic>
                  </a:graphicData>
                </a:graphic>
              </wp:inline>
            </w:drawing>
          </w:r>
        </w:p>
      </w:tc>
    </w:tr>
    <w:tr w:rsidR="000F351E" w:rsidRPr="00BE68CD" w14:paraId="67C3BA49" w14:textId="77777777" w:rsidTr="009A1312">
      <w:tc>
        <w:tcPr>
          <w:tcW w:w="2229" w:type="dxa"/>
          <w:vMerge/>
        </w:tcPr>
        <w:p w14:paraId="5E73E304" w14:textId="77777777" w:rsidR="000F351E" w:rsidRDefault="000F351E" w:rsidP="009A1312">
          <w:pPr>
            <w:pStyle w:val="Footer"/>
          </w:pPr>
        </w:p>
      </w:tc>
      <w:tc>
        <w:tcPr>
          <w:tcW w:w="5568" w:type="dxa"/>
          <w:vAlign w:val="bottom"/>
        </w:tcPr>
        <w:p w14:paraId="1ED9008C" w14:textId="77777777" w:rsidR="000F351E" w:rsidRPr="0013664E" w:rsidRDefault="000F351E" w:rsidP="009A1312">
          <w:pPr>
            <w:pStyle w:val="Footer"/>
            <w:ind w:right="459"/>
            <w:jc w:val="center"/>
            <w:rPr>
              <w:sz w:val="16"/>
              <w:szCs w:val="16"/>
            </w:rPr>
          </w:pPr>
        </w:p>
      </w:tc>
      <w:tc>
        <w:tcPr>
          <w:tcW w:w="2126" w:type="dxa"/>
          <w:vMerge/>
          <w:vAlign w:val="center"/>
        </w:tcPr>
        <w:p w14:paraId="05F6CA83" w14:textId="77777777" w:rsidR="000F351E" w:rsidRDefault="000F351E" w:rsidP="009A1312">
          <w:pPr>
            <w:pStyle w:val="Footer"/>
            <w:ind w:right="-85"/>
            <w:jc w:val="right"/>
          </w:pPr>
        </w:p>
      </w:tc>
    </w:tr>
  </w:tbl>
  <w:p w14:paraId="4944AF97" w14:textId="77777777" w:rsidR="000F351E" w:rsidRPr="008F4219" w:rsidRDefault="000F351E" w:rsidP="008F4219">
    <w:pPr>
      <w:pStyle w:val="Footer"/>
      <w:tabs>
        <w:tab w:val="clear" w:pos="4513"/>
        <w:tab w:val="clear" w:pos="9026"/>
        <w:tab w:val="left" w:pos="2865"/>
      </w:tabs>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20FE7" w14:textId="77777777" w:rsidR="00F60513" w:rsidRDefault="00F60513" w:rsidP="001C5FC5">
      <w:r>
        <w:separator/>
      </w:r>
    </w:p>
  </w:footnote>
  <w:footnote w:type="continuationSeparator" w:id="0">
    <w:p w14:paraId="58D20FE8" w14:textId="77777777" w:rsidR="00F60513" w:rsidRDefault="00F60513" w:rsidP="001C5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02DD" w14:textId="77777777" w:rsidR="00F60513" w:rsidRDefault="00F60513" w:rsidP="001C5FC5">
    <w:pPr>
      <w:pStyle w:val="Header"/>
    </w:pPr>
    <w:r>
      <w:rPr>
        <w:noProof/>
        <w:lang w:val="en-AU"/>
      </w:rPr>
      <w:drawing>
        <wp:anchor distT="0" distB="0" distL="114300" distR="114300" simplePos="0" relativeHeight="251672064" behindDoc="0" locked="0" layoutInCell="1" allowOverlap="1" wp14:anchorId="2FE9BA98" wp14:editId="34A82FB0">
          <wp:simplePos x="0" y="0"/>
          <wp:positionH relativeFrom="column">
            <wp:posOffset>4594860</wp:posOffset>
          </wp:positionH>
          <wp:positionV relativeFrom="paragraph">
            <wp:posOffset>476885</wp:posOffset>
          </wp:positionV>
          <wp:extent cx="1524000" cy="1323975"/>
          <wp:effectExtent l="0" t="0" r="0" b="9525"/>
          <wp:wrapNone/>
          <wp:docPr id="1" name="Picture 2" descr="Cof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C-logo.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10" w:type="dxa"/>
      <w:tblInd w:w="-34" w:type="dxa"/>
      <w:tblBorders>
        <w:bottom w:val="single" w:sz="8" w:space="0" w:color="A6A6A6"/>
      </w:tblBorders>
      <w:tblLook w:val="04A0" w:firstRow="1" w:lastRow="0" w:firstColumn="1" w:lastColumn="0" w:noHBand="0" w:noVBand="1"/>
    </w:tblPr>
    <w:tblGrid>
      <w:gridCol w:w="15310"/>
    </w:tblGrid>
    <w:tr w:rsidR="00F60513" w:rsidRPr="000B3F9E" w14:paraId="0974FE27" w14:textId="77777777" w:rsidTr="00964E4D">
      <w:trPr>
        <w:trHeight w:val="1020"/>
      </w:trPr>
      <w:tc>
        <w:tcPr>
          <w:tcW w:w="15310" w:type="dxa"/>
          <w:vAlign w:val="center"/>
        </w:tcPr>
        <w:p w14:paraId="31EDC395" w14:textId="77777777" w:rsidR="00F60513" w:rsidRPr="009377AB" w:rsidRDefault="00F60513" w:rsidP="002E46C1">
          <w:pPr>
            <w:pStyle w:val="HeaderTitle"/>
          </w:pPr>
          <w:r>
            <w:rPr>
              <w:lang w:eastAsia="en-AU"/>
            </w:rPr>
            <w:drawing>
              <wp:anchor distT="0" distB="0" distL="114300" distR="114300" simplePos="0" relativeHeight="251667968" behindDoc="1" locked="0" layoutInCell="1" allowOverlap="1" wp14:anchorId="0160E78C" wp14:editId="7D9F91FD">
                <wp:simplePos x="0" y="0"/>
                <wp:positionH relativeFrom="column">
                  <wp:posOffset>9017635</wp:posOffset>
                </wp:positionH>
                <wp:positionV relativeFrom="paragraph">
                  <wp:posOffset>-3175</wp:posOffset>
                </wp:positionV>
                <wp:extent cx="733425" cy="628650"/>
                <wp:effectExtent l="0" t="0" r="9525" b="0"/>
                <wp:wrapTight wrapText="bothSides">
                  <wp:wrapPolygon edited="0">
                    <wp:start x="0" y="0"/>
                    <wp:lineTo x="0" y="20945"/>
                    <wp:lineTo x="21319" y="20945"/>
                    <wp:lineTo x="21319" y="0"/>
                    <wp:lineTo x="0" y="0"/>
                  </wp:wrapPolygon>
                </wp:wrapTight>
                <wp:docPr id="8" name="Picture 11" descr="cid:image001.png@01CBC454.B02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CBC454.B02877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6C1">
            <w:rPr>
              <w:sz w:val="32"/>
            </w:rPr>
            <w:fldChar w:fldCharType="begin"/>
          </w:r>
          <w:r w:rsidRPr="002E46C1">
            <w:rPr>
              <w:sz w:val="32"/>
            </w:rPr>
            <w:instrText xml:space="preserve"> STYLEREF  "Header Title" </w:instrText>
          </w:r>
          <w:r w:rsidRPr="002E46C1">
            <w:rPr>
              <w:sz w:val="32"/>
            </w:rPr>
            <w:fldChar w:fldCharType="separate"/>
          </w:r>
          <w:r w:rsidR="00C73F59">
            <w:rPr>
              <w:sz w:val="32"/>
            </w:rPr>
            <w:t>Response to the Productivity Commission’s draft report on childcare and early childhood learning</w:t>
          </w:r>
          <w:r w:rsidRPr="002E46C1">
            <w:rPr>
              <w:sz w:val="32"/>
            </w:rPr>
            <w:fldChar w:fldCharType="end"/>
          </w:r>
          <w:r w:rsidRPr="002E46C1">
            <w:rPr>
              <w:sz w:val="32"/>
            </w:rPr>
            <w:t xml:space="preserve"> </w:t>
          </w:r>
        </w:p>
      </w:tc>
    </w:tr>
  </w:tbl>
  <w:p w14:paraId="6846DB88" w14:textId="77777777" w:rsidR="00F60513" w:rsidRPr="00D77823" w:rsidRDefault="00F60513" w:rsidP="001C5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EE40" w14:textId="185F9241" w:rsidR="00F60513" w:rsidRDefault="00F60513" w:rsidP="00964E4D">
    <w:pPr>
      <w:pStyle w:val="HeaderTitle"/>
    </w:pPr>
    <w:r>
      <w:rPr>
        <w:lang w:eastAsia="en-AU"/>
      </w:rPr>
      <w:drawing>
        <wp:anchor distT="0" distB="0" distL="114300" distR="114300" simplePos="0" relativeHeight="251665920" behindDoc="1" locked="0" layoutInCell="1" allowOverlap="1" wp14:anchorId="3E4A9B04" wp14:editId="1B0F441A">
          <wp:simplePos x="0" y="0"/>
          <wp:positionH relativeFrom="column">
            <wp:posOffset>8964295</wp:posOffset>
          </wp:positionH>
          <wp:positionV relativeFrom="paragraph">
            <wp:posOffset>114300</wp:posOffset>
          </wp:positionV>
          <wp:extent cx="733425" cy="628650"/>
          <wp:effectExtent l="0" t="0" r="9525" b="0"/>
          <wp:wrapTight wrapText="bothSides">
            <wp:wrapPolygon edited="0">
              <wp:start x="0" y="0"/>
              <wp:lineTo x="0" y="20945"/>
              <wp:lineTo x="21319" y="20945"/>
              <wp:lineTo x="21319" y="0"/>
              <wp:lineTo x="0" y="0"/>
            </wp:wrapPolygon>
          </wp:wrapTight>
          <wp:docPr id="4" name="Picture 11" descr="cid:image001.png@01CBC454.B02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CBC454.B02877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6C1">
      <w:rPr>
        <w:sz w:val="32"/>
      </w:rPr>
      <w:fldChar w:fldCharType="begin"/>
    </w:r>
    <w:r w:rsidRPr="002E46C1">
      <w:rPr>
        <w:sz w:val="32"/>
      </w:rPr>
      <w:instrText xml:space="preserve"> STYLEREF  "Header Title" </w:instrText>
    </w:r>
    <w:r w:rsidRPr="002E46C1">
      <w:rPr>
        <w:sz w:val="32"/>
      </w:rPr>
      <w:fldChar w:fldCharType="separate"/>
    </w:r>
    <w:r>
      <w:rPr>
        <w:sz w:val="32"/>
      </w:rPr>
      <w:t>Response to the Productivity Commission’s draft report on childcare and early childhood learning</w:t>
    </w:r>
    <w:r w:rsidRPr="002E46C1">
      <w:rPr>
        <w:sz w:val="32"/>
      </w:rPr>
      <w:fldChar w:fldCharType="end"/>
    </w:r>
    <w:r w:rsidRPr="002E46C1">
      <w:rPr>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34" w:type="dxa"/>
      <w:tblBorders>
        <w:bottom w:val="single" w:sz="8" w:space="0" w:color="A6A6A6"/>
      </w:tblBorders>
      <w:tblLook w:val="04A0" w:firstRow="1" w:lastRow="0" w:firstColumn="1" w:lastColumn="0" w:noHBand="0" w:noVBand="1"/>
    </w:tblPr>
    <w:tblGrid>
      <w:gridCol w:w="9640"/>
    </w:tblGrid>
    <w:tr w:rsidR="007F5A26" w:rsidRPr="000B3F9E" w14:paraId="0B7B873A" w14:textId="77777777" w:rsidTr="003C6686">
      <w:trPr>
        <w:trHeight w:val="1020"/>
      </w:trPr>
      <w:tc>
        <w:tcPr>
          <w:tcW w:w="9640" w:type="dxa"/>
          <w:vAlign w:val="center"/>
        </w:tcPr>
        <w:p w14:paraId="639CA53A" w14:textId="77777777" w:rsidR="007F5A26" w:rsidRPr="009377AB" w:rsidRDefault="007F5A26" w:rsidP="002E46C1">
          <w:pPr>
            <w:pStyle w:val="HeaderTitle"/>
          </w:pPr>
          <w:r>
            <w:rPr>
              <w:lang w:eastAsia="en-AU"/>
            </w:rPr>
            <w:drawing>
              <wp:anchor distT="0" distB="0" distL="114300" distR="114300" simplePos="0" relativeHeight="251676160" behindDoc="1" locked="0" layoutInCell="1" allowOverlap="1" wp14:anchorId="0FA3514F" wp14:editId="0772FDC6">
                <wp:simplePos x="0" y="0"/>
                <wp:positionH relativeFrom="column">
                  <wp:posOffset>9017635</wp:posOffset>
                </wp:positionH>
                <wp:positionV relativeFrom="paragraph">
                  <wp:posOffset>-3175</wp:posOffset>
                </wp:positionV>
                <wp:extent cx="733425" cy="628650"/>
                <wp:effectExtent l="0" t="0" r="9525" b="0"/>
                <wp:wrapTight wrapText="bothSides">
                  <wp:wrapPolygon edited="0">
                    <wp:start x="0" y="0"/>
                    <wp:lineTo x="0" y="20945"/>
                    <wp:lineTo x="21319" y="20945"/>
                    <wp:lineTo x="21319" y="0"/>
                    <wp:lineTo x="0" y="0"/>
                  </wp:wrapPolygon>
                </wp:wrapTight>
                <wp:docPr id="21" name="Picture 11" descr="cid:image001.png@01CBC454.B02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CBC454.B02877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6C1">
            <w:rPr>
              <w:sz w:val="32"/>
            </w:rPr>
            <w:fldChar w:fldCharType="begin"/>
          </w:r>
          <w:r w:rsidRPr="002E46C1">
            <w:rPr>
              <w:sz w:val="32"/>
            </w:rPr>
            <w:instrText xml:space="preserve"> STYLEREF  "Header Title" </w:instrText>
          </w:r>
          <w:r w:rsidRPr="002E46C1">
            <w:rPr>
              <w:sz w:val="32"/>
            </w:rPr>
            <w:fldChar w:fldCharType="separate"/>
          </w:r>
          <w:r w:rsidR="000F351E">
            <w:rPr>
              <w:sz w:val="32"/>
            </w:rPr>
            <w:t>Response to the Productivity Commission’s draft report on childcare and early childhood learning</w:t>
          </w:r>
          <w:r w:rsidRPr="002E46C1">
            <w:rPr>
              <w:sz w:val="32"/>
            </w:rPr>
            <w:fldChar w:fldCharType="end"/>
          </w:r>
          <w:r w:rsidRPr="002E46C1">
            <w:rPr>
              <w:sz w:val="32"/>
            </w:rPr>
            <w:t xml:space="preserve"> </w:t>
          </w:r>
        </w:p>
      </w:tc>
    </w:tr>
  </w:tbl>
  <w:p w14:paraId="1CFF77CA" w14:textId="77777777" w:rsidR="007F5A26" w:rsidRPr="00D77823" w:rsidRDefault="007F5A26" w:rsidP="001C5F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Borders>
        <w:bottom w:val="single" w:sz="8" w:space="0" w:color="A6A6A6"/>
      </w:tblBorders>
      <w:tblLook w:val="04A0" w:firstRow="1" w:lastRow="0" w:firstColumn="1" w:lastColumn="0" w:noHBand="0" w:noVBand="1"/>
    </w:tblPr>
    <w:tblGrid>
      <w:gridCol w:w="9781"/>
    </w:tblGrid>
    <w:tr w:rsidR="00F60513" w:rsidRPr="000B3F9E" w14:paraId="45ECEA86" w14:textId="77777777" w:rsidTr="003C6686">
      <w:trPr>
        <w:trHeight w:val="1020"/>
      </w:trPr>
      <w:tc>
        <w:tcPr>
          <w:tcW w:w="9781" w:type="dxa"/>
          <w:vAlign w:val="center"/>
        </w:tcPr>
        <w:p w14:paraId="6E5ECD0A" w14:textId="77777777" w:rsidR="00F60513" w:rsidRPr="009377AB" w:rsidRDefault="00F60513" w:rsidP="003C6686">
          <w:pPr>
            <w:pStyle w:val="HeaderTitle"/>
          </w:pPr>
          <w:r>
            <w:rPr>
              <w:lang w:eastAsia="en-AU"/>
            </w:rPr>
            <w:drawing>
              <wp:anchor distT="0" distB="0" distL="114300" distR="114300" simplePos="0" relativeHeight="251674112" behindDoc="1" locked="0" layoutInCell="1" allowOverlap="1" wp14:anchorId="2CEDF41E" wp14:editId="3FBAE9C8">
                <wp:simplePos x="0" y="0"/>
                <wp:positionH relativeFrom="column">
                  <wp:posOffset>9017635</wp:posOffset>
                </wp:positionH>
                <wp:positionV relativeFrom="paragraph">
                  <wp:posOffset>-3175</wp:posOffset>
                </wp:positionV>
                <wp:extent cx="733425" cy="628650"/>
                <wp:effectExtent l="0" t="0" r="9525" b="0"/>
                <wp:wrapTight wrapText="bothSides">
                  <wp:wrapPolygon edited="0">
                    <wp:start x="0" y="0"/>
                    <wp:lineTo x="0" y="20945"/>
                    <wp:lineTo x="21319" y="20945"/>
                    <wp:lineTo x="21319" y="0"/>
                    <wp:lineTo x="0" y="0"/>
                  </wp:wrapPolygon>
                </wp:wrapTight>
                <wp:docPr id="19" name="Picture 11" descr="cid:image001.png@01CBC454.B02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CBC454.B02877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6C1">
            <w:rPr>
              <w:sz w:val="32"/>
            </w:rPr>
            <w:fldChar w:fldCharType="begin"/>
          </w:r>
          <w:r w:rsidRPr="002E46C1">
            <w:rPr>
              <w:sz w:val="32"/>
            </w:rPr>
            <w:instrText xml:space="preserve"> STYLEREF  "Header Title" </w:instrText>
          </w:r>
          <w:r w:rsidRPr="002E46C1">
            <w:rPr>
              <w:sz w:val="32"/>
            </w:rPr>
            <w:fldChar w:fldCharType="separate"/>
          </w:r>
          <w:r w:rsidR="00C73F59">
            <w:rPr>
              <w:sz w:val="32"/>
            </w:rPr>
            <w:t>Response to the Productivity Commission’s draft report on childcare and early childhood learning</w:t>
          </w:r>
          <w:r w:rsidRPr="002E46C1">
            <w:rPr>
              <w:sz w:val="32"/>
            </w:rPr>
            <w:fldChar w:fldCharType="end"/>
          </w:r>
          <w:r w:rsidRPr="002E46C1">
            <w:rPr>
              <w:sz w:val="32"/>
            </w:rPr>
            <w:t xml:space="preserve"> </w:t>
          </w:r>
        </w:p>
      </w:tc>
    </w:tr>
  </w:tbl>
  <w:p w14:paraId="632AC465" w14:textId="64383216" w:rsidR="00F60513" w:rsidRPr="003C6686" w:rsidRDefault="00F60513" w:rsidP="003C6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ACF"/>
    <w:multiLevelType w:val="hybridMultilevel"/>
    <w:tmpl w:val="6776AF9E"/>
    <w:lvl w:ilvl="0" w:tplc="3C3A00F0">
      <w:start w:val="1"/>
      <w:numFmt w:val="bullet"/>
      <w:pStyle w:val="Bullets"/>
      <w:lvlText w:val=""/>
      <w:lvlJc w:val="left"/>
      <w:pPr>
        <w:ind w:left="720" w:hanging="363"/>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nsid w:val="1D1F5DB2"/>
    <w:multiLevelType w:val="hybridMultilevel"/>
    <w:tmpl w:val="90F20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1C0279"/>
    <w:multiLevelType w:val="hybridMultilevel"/>
    <w:tmpl w:val="BF629642"/>
    <w:lvl w:ilvl="0" w:tplc="7F1CFD3A">
      <w:start w:val="1"/>
      <w:numFmt w:val="bullet"/>
      <w:lvlText w:val=""/>
      <w:lvlJc w:val="left"/>
      <w:pPr>
        <w:ind w:left="2880" w:hanging="360"/>
      </w:pPr>
      <w:rPr>
        <w:rFonts w:ascii="Symbol" w:hAnsi="Symbol" w:hint="default"/>
      </w:rPr>
    </w:lvl>
    <w:lvl w:ilvl="1" w:tplc="E6D2CD10">
      <w:numFmt w:val="bullet"/>
      <w:pStyle w:val="Bullets2"/>
      <w:lvlText w:val="—"/>
      <w:lvlJc w:val="left"/>
      <w:pPr>
        <w:ind w:left="3600" w:hanging="360"/>
      </w:pPr>
      <w:rPr>
        <w:rFonts w:ascii="Times New Roman" w:eastAsia="Times New Roman" w:hAnsi="Times New Roman" w:cs="Times New Roman"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nsid w:val="35746A58"/>
    <w:multiLevelType w:val="hybridMultilevel"/>
    <w:tmpl w:val="207A37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6D534D3C"/>
    <w:multiLevelType w:val="hybridMultilevel"/>
    <w:tmpl w:val="75442EA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4D55707"/>
    <w:multiLevelType w:val="hybridMultilevel"/>
    <w:tmpl w:val="BD56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5935240"/>
    <w:multiLevelType w:val="hybridMultilevel"/>
    <w:tmpl w:val="3800E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7"/>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displayBackgroundShape/>
  <w:proofState w:spelling="clean"/>
  <w:defaultTabStop w:val="720"/>
  <w:characterSpacingControl w:val="doNotCompress"/>
  <w:hdrShapeDefaults>
    <o:shapedefaults v:ext="edit" spidmax="39937">
      <o:colormru v:ext="edit" colors="#dbe5f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23"/>
    <w:rsid w:val="00020669"/>
    <w:rsid w:val="00024DE7"/>
    <w:rsid w:val="000324C5"/>
    <w:rsid w:val="00033E7F"/>
    <w:rsid w:val="000376E3"/>
    <w:rsid w:val="000409DF"/>
    <w:rsid w:val="00047367"/>
    <w:rsid w:val="00081225"/>
    <w:rsid w:val="00084AAE"/>
    <w:rsid w:val="00084B21"/>
    <w:rsid w:val="000A05C4"/>
    <w:rsid w:val="000A23FE"/>
    <w:rsid w:val="000B3E47"/>
    <w:rsid w:val="000B5301"/>
    <w:rsid w:val="000D0BF7"/>
    <w:rsid w:val="000D7F18"/>
    <w:rsid w:val="000E3044"/>
    <w:rsid w:val="000F033C"/>
    <w:rsid w:val="000F351E"/>
    <w:rsid w:val="00105EE0"/>
    <w:rsid w:val="00110ED7"/>
    <w:rsid w:val="00151F96"/>
    <w:rsid w:val="001635CF"/>
    <w:rsid w:val="00164251"/>
    <w:rsid w:val="001662EB"/>
    <w:rsid w:val="00183C69"/>
    <w:rsid w:val="00191391"/>
    <w:rsid w:val="001B1877"/>
    <w:rsid w:val="001C5FC5"/>
    <w:rsid w:val="001D3CBB"/>
    <w:rsid w:val="001D7758"/>
    <w:rsid w:val="001E00E3"/>
    <w:rsid w:val="001E0A45"/>
    <w:rsid w:val="001E1CCB"/>
    <w:rsid w:val="001E205F"/>
    <w:rsid w:val="00243DB3"/>
    <w:rsid w:val="002712CD"/>
    <w:rsid w:val="0027777C"/>
    <w:rsid w:val="00290160"/>
    <w:rsid w:val="002977F6"/>
    <w:rsid w:val="002B35E2"/>
    <w:rsid w:val="002C1FD4"/>
    <w:rsid w:val="002C541A"/>
    <w:rsid w:val="002C5B53"/>
    <w:rsid w:val="002E036A"/>
    <w:rsid w:val="002E46C1"/>
    <w:rsid w:val="00317AC6"/>
    <w:rsid w:val="00335A3B"/>
    <w:rsid w:val="003415A3"/>
    <w:rsid w:val="00344252"/>
    <w:rsid w:val="0034717D"/>
    <w:rsid w:val="00347812"/>
    <w:rsid w:val="00351073"/>
    <w:rsid w:val="00380326"/>
    <w:rsid w:val="003932A3"/>
    <w:rsid w:val="003964AD"/>
    <w:rsid w:val="003A0000"/>
    <w:rsid w:val="003B7050"/>
    <w:rsid w:val="003C6686"/>
    <w:rsid w:val="003E3C40"/>
    <w:rsid w:val="003E478E"/>
    <w:rsid w:val="003E755B"/>
    <w:rsid w:val="00410048"/>
    <w:rsid w:val="00416B69"/>
    <w:rsid w:val="0043094C"/>
    <w:rsid w:val="004330A1"/>
    <w:rsid w:val="00447D1E"/>
    <w:rsid w:val="00463548"/>
    <w:rsid w:val="00480BB5"/>
    <w:rsid w:val="00480DEF"/>
    <w:rsid w:val="004861BD"/>
    <w:rsid w:val="004A3767"/>
    <w:rsid w:val="004C0061"/>
    <w:rsid w:val="004C2448"/>
    <w:rsid w:val="004F1F7D"/>
    <w:rsid w:val="005145B6"/>
    <w:rsid w:val="005221D1"/>
    <w:rsid w:val="00540D5C"/>
    <w:rsid w:val="00544F81"/>
    <w:rsid w:val="00581D47"/>
    <w:rsid w:val="00581F2C"/>
    <w:rsid w:val="005A5012"/>
    <w:rsid w:val="005B1003"/>
    <w:rsid w:val="005B7F06"/>
    <w:rsid w:val="005C77E1"/>
    <w:rsid w:val="005E1B98"/>
    <w:rsid w:val="005E6058"/>
    <w:rsid w:val="005F06E4"/>
    <w:rsid w:val="005F5438"/>
    <w:rsid w:val="005F75AB"/>
    <w:rsid w:val="006063D7"/>
    <w:rsid w:val="00625C2D"/>
    <w:rsid w:val="00626416"/>
    <w:rsid w:val="0063359B"/>
    <w:rsid w:val="00647A2F"/>
    <w:rsid w:val="00650464"/>
    <w:rsid w:val="00651F4A"/>
    <w:rsid w:val="006578B4"/>
    <w:rsid w:val="00660F25"/>
    <w:rsid w:val="00663C07"/>
    <w:rsid w:val="00671E57"/>
    <w:rsid w:val="006751F3"/>
    <w:rsid w:val="006959D7"/>
    <w:rsid w:val="006A0FA2"/>
    <w:rsid w:val="006A3BAA"/>
    <w:rsid w:val="006A5B32"/>
    <w:rsid w:val="006B1B1A"/>
    <w:rsid w:val="006B2DCB"/>
    <w:rsid w:val="006B33E4"/>
    <w:rsid w:val="006C2D82"/>
    <w:rsid w:val="006D1C2F"/>
    <w:rsid w:val="006E04CC"/>
    <w:rsid w:val="006F661E"/>
    <w:rsid w:val="007010EC"/>
    <w:rsid w:val="00713FE0"/>
    <w:rsid w:val="0071416F"/>
    <w:rsid w:val="007329F7"/>
    <w:rsid w:val="007403C2"/>
    <w:rsid w:val="007412A1"/>
    <w:rsid w:val="00750C84"/>
    <w:rsid w:val="00754730"/>
    <w:rsid w:val="0077732D"/>
    <w:rsid w:val="0078248B"/>
    <w:rsid w:val="0078322C"/>
    <w:rsid w:val="00791B48"/>
    <w:rsid w:val="00793228"/>
    <w:rsid w:val="007B11C2"/>
    <w:rsid w:val="007B4109"/>
    <w:rsid w:val="007B6BBE"/>
    <w:rsid w:val="007D0983"/>
    <w:rsid w:val="007E1656"/>
    <w:rsid w:val="007F5A26"/>
    <w:rsid w:val="00812337"/>
    <w:rsid w:val="00814870"/>
    <w:rsid w:val="00825A8F"/>
    <w:rsid w:val="00831B9D"/>
    <w:rsid w:val="00833683"/>
    <w:rsid w:val="008447C0"/>
    <w:rsid w:val="00862ACB"/>
    <w:rsid w:val="00866109"/>
    <w:rsid w:val="00873E14"/>
    <w:rsid w:val="008905D4"/>
    <w:rsid w:val="008928D6"/>
    <w:rsid w:val="00894674"/>
    <w:rsid w:val="008A62E0"/>
    <w:rsid w:val="008A6C7F"/>
    <w:rsid w:val="008A6DEE"/>
    <w:rsid w:val="008F4219"/>
    <w:rsid w:val="008F6331"/>
    <w:rsid w:val="00900AE5"/>
    <w:rsid w:val="009113E3"/>
    <w:rsid w:val="00922B65"/>
    <w:rsid w:val="00933274"/>
    <w:rsid w:val="00964E4D"/>
    <w:rsid w:val="00965228"/>
    <w:rsid w:val="00980C49"/>
    <w:rsid w:val="0098122B"/>
    <w:rsid w:val="00997B50"/>
    <w:rsid w:val="009C2FBF"/>
    <w:rsid w:val="009E70A8"/>
    <w:rsid w:val="00A07CA3"/>
    <w:rsid w:val="00A3153A"/>
    <w:rsid w:val="00A654C7"/>
    <w:rsid w:val="00A85614"/>
    <w:rsid w:val="00A8655C"/>
    <w:rsid w:val="00A9636B"/>
    <w:rsid w:val="00AA2E34"/>
    <w:rsid w:val="00AB404D"/>
    <w:rsid w:val="00AB74C6"/>
    <w:rsid w:val="00AD78D8"/>
    <w:rsid w:val="00AF2568"/>
    <w:rsid w:val="00AF3D24"/>
    <w:rsid w:val="00AF4F71"/>
    <w:rsid w:val="00B00F33"/>
    <w:rsid w:val="00B12877"/>
    <w:rsid w:val="00B1326E"/>
    <w:rsid w:val="00B342B1"/>
    <w:rsid w:val="00B3737B"/>
    <w:rsid w:val="00B64373"/>
    <w:rsid w:val="00B7113B"/>
    <w:rsid w:val="00B7264C"/>
    <w:rsid w:val="00B755F7"/>
    <w:rsid w:val="00B81F1E"/>
    <w:rsid w:val="00B85842"/>
    <w:rsid w:val="00B86612"/>
    <w:rsid w:val="00B965C9"/>
    <w:rsid w:val="00B96CEA"/>
    <w:rsid w:val="00BA226B"/>
    <w:rsid w:val="00BB35EB"/>
    <w:rsid w:val="00BB57D9"/>
    <w:rsid w:val="00BC1E44"/>
    <w:rsid w:val="00BD22E8"/>
    <w:rsid w:val="00BE262C"/>
    <w:rsid w:val="00BF445B"/>
    <w:rsid w:val="00C1365A"/>
    <w:rsid w:val="00C21002"/>
    <w:rsid w:val="00C251F7"/>
    <w:rsid w:val="00C5225A"/>
    <w:rsid w:val="00C56C6A"/>
    <w:rsid w:val="00C6633E"/>
    <w:rsid w:val="00C66ED7"/>
    <w:rsid w:val="00C73F59"/>
    <w:rsid w:val="00CB5D53"/>
    <w:rsid w:val="00CD2ED3"/>
    <w:rsid w:val="00CE0C5C"/>
    <w:rsid w:val="00CE5C5C"/>
    <w:rsid w:val="00CE7589"/>
    <w:rsid w:val="00D02408"/>
    <w:rsid w:val="00D077A2"/>
    <w:rsid w:val="00D07F76"/>
    <w:rsid w:val="00D103E8"/>
    <w:rsid w:val="00D24BBB"/>
    <w:rsid w:val="00D45A0D"/>
    <w:rsid w:val="00D4785E"/>
    <w:rsid w:val="00D528AD"/>
    <w:rsid w:val="00D53313"/>
    <w:rsid w:val="00D65343"/>
    <w:rsid w:val="00D66F43"/>
    <w:rsid w:val="00D77823"/>
    <w:rsid w:val="00D80DFB"/>
    <w:rsid w:val="00D81BC4"/>
    <w:rsid w:val="00DC0B1E"/>
    <w:rsid w:val="00DD0514"/>
    <w:rsid w:val="00DD62AE"/>
    <w:rsid w:val="00E1454C"/>
    <w:rsid w:val="00E2547C"/>
    <w:rsid w:val="00E454B5"/>
    <w:rsid w:val="00E45B00"/>
    <w:rsid w:val="00E47324"/>
    <w:rsid w:val="00E64E3C"/>
    <w:rsid w:val="00E82348"/>
    <w:rsid w:val="00E862F2"/>
    <w:rsid w:val="00EA32AF"/>
    <w:rsid w:val="00EA3C32"/>
    <w:rsid w:val="00EA53F4"/>
    <w:rsid w:val="00EB188B"/>
    <w:rsid w:val="00EC2D5E"/>
    <w:rsid w:val="00EE50B0"/>
    <w:rsid w:val="00EF75CB"/>
    <w:rsid w:val="00F114EA"/>
    <w:rsid w:val="00F23C6E"/>
    <w:rsid w:val="00F34B3D"/>
    <w:rsid w:val="00F47B61"/>
    <w:rsid w:val="00F60513"/>
    <w:rsid w:val="00F645A8"/>
    <w:rsid w:val="00F8637D"/>
    <w:rsid w:val="00F91013"/>
    <w:rsid w:val="00F92A1B"/>
    <w:rsid w:val="00FC1869"/>
    <w:rsid w:val="00FC23AC"/>
    <w:rsid w:val="00FC7CA2"/>
    <w:rsid w:val="00FD033D"/>
    <w:rsid w:val="00FD77E0"/>
    <w:rsid w:val="00FE433D"/>
    <w:rsid w:val="00FE60F2"/>
    <w:rsid w:val="00FE7298"/>
    <w:rsid w:val="00FF1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dbe5f1"/>
    </o:shapedefaults>
    <o:shapelayout v:ext="edit">
      <o:idmap v:ext="edit" data="1"/>
    </o:shapelayout>
  </w:shapeDefaults>
  <w:decimalSymbol w:val="."/>
  <w:listSeparator w:val=","/>
  <w14:docId w14:val="58D2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C5"/>
    <w:pPr>
      <w:spacing w:before="60" w:after="60"/>
    </w:pPr>
    <w:rPr>
      <w:rFonts w:ascii="Arial" w:hAnsi="Arial" w:cs="Arial"/>
      <w:sz w:val="22"/>
      <w:szCs w:val="22"/>
      <w:lang w:val="en-GB"/>
    </w:rPr>
  </w:style>
  <w:style w:type="paragraph" w:styleId="Heading1">
    <w:name w:val="heading 1"/>
    <w:basedOn w:val="Normal"/>
    <w:next w:val="Normal"/>
    <w:link w:val="Heading1Char"/>
    <w:qFormat/>
    <w:rsid w:val="00D77823"/>
    <w:pPr>
      <w:keepNext/>
      <w:keepLines/>
      <w:shd w:val="clear" w:color="auto" w:fill="365F91"/>
      <w:spacing w:before="0" w:after="120"/>
      <w:ind w:left="720" w:hanging="720"/>
      <w:outlineLvl w:val="0"/>
    </w:pPr>
    <w:rPr>
      <w:b/>
      <w:bCs/>
      <w:color w:val="FFFFFF"/>
      <w:sz w:val="28"/>
      <w:szCs w:val="28"/>
      <w:lang w:val="en-AU"/>
    </w:rPr>
  </w:style>
  <w:style w:type="paragraph" w:styleId="Heading2">
    <w:name w:val="heading 2"/>
    <w:basedOn w:val="Normal"/>
    <w:next w:val="Normal"/>
    <w:link w:val="Heading2Char"/>
    <w:uiPriority w:val="9"/>
    <w:unhideWhenUsed/>
    <w:qFormat/>
    <w:rsid w:val="000E3044"/>
    <w:pPr>
      <w:keepNext/>
      <w:spacing w:before="120" w:after="120"/>
      <w:outlineLvl w:val="1"/>
    </w:pPr>
    <w:rPr>
      <w:b/>
      <w:bCs/>
      <w:iCs/>
      <w:sz w:val="26"/>
      <w:szCs w:val="26"/>
    </w:rPr>
  </w:style>
  <w:style w:type="paragraph" w:styleId="Heading3">
    <w:name w:val="heading 3"/>
    <w:basedOn w:val="Normal"/>
    <w:next w:val="Normal"/>
    <w:link w:val="Heading3Char"/>
    <w:uiPriority w:val="9"/>
    <w:unhideWhenUsed/>
    <w:qFormat/>
    <w:rsid w:val="001C5FC5"/>
    <w:pPr>
      <w:keepNext/>
      <w:spacing w:before="120" w:after="120"/>
      <w:outlineLvl w:val="2"/>
    </w:pPr>
    <w:rPr>
      <w:bCs/>
      <w:u w:val="single"/>
    </w:rPr>
  </w:style>
  <w:style w:type="paragraph" w:styleId="Heading8">
    <w:name w:val="heading 8"/>
    <w:basedOn w:val="Normal"/>
    <w:next w:val="Normal"/>
    <w:link w:val="Heading8Char"/>
    <w:uiPriority w:val="9"/>
    <w:semiHidden/>
    <w:unhideWhenUsed/>
    <w:qFormat/>
    <w:rsid w:val="00D77823"/>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nhideWhenUsed/>
    <w:qFormat/>
    <w:rsid w:val="00922B65"/>
    <w:pPr>
      <w:spacing w:before="240"/>
      <w:jc w:val="center"/>
      <w:outlineLvl w:val="8"/>
    </w:pPr>
    <w:rPr>
      <w:rFonts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23"/>
    <w:pPr>
      <w:tabs>
        <w:tab w:val="center" w:pos="4513"/>
        <w:tab w:val="right" w:pos="9026"/>
      </w:tabs>
      <w:spacing w:after="0"/>
    </w:pPr>
  </w:style>
  <w:style w:type="character" w:customStyle="1" w:styleId="HeaderChar">
    <w:name w:val="Header Char"/>
    <w:basedOn w:val="DefaultParagraphFont"/>
    <w:link w:val="Header"/>
    <w:uiPriority w:val="99"/>
    <w:rsid w:val="00D77823"/>
  </w:style>
  <w:style w:type="paragraph" w:styleId="Footer">
    <w:name w:val="footer"/>
    <w:basedOn w:val="Normal"/>
    <w:link w:val="FooterChar"/>
    <w:unhideWhenUsed/>
    <w:rsid w:val="00D77823"/>
    <w:pPr>
      <w:tabs>
        <w:tab w:val="center" w:pos="4513"/>
        <w:tab w:val="right" w:pos="9026"/>
      </w:tabs>
      <w:spacing w:after="0"/>
    </w:pPr>
  </w:style>
  <w:style w:type="character" w:customStyle="1" w:styleId="FooterChar">
    <w:name w:val="Footer Char"/>
    <w:basedOn w:val="DefaultParagraphFont"/>
    <w:link w:val="Footer"/>
    <w:uiPriority w:val="99"/>
    <w:rsid w:val="00D77823"/>
  </w:style>
  <w:style w:type="character" w:customStyle="1" w:styleId="Heading9Char">
    <w:name w:val="Heading 9 Char"/>
    <w:link w:val="Heading9"/>
    <w:rsid w:val="00922B65"/>
    <w:rPr>
      <w:rFonts w:ascii="Arial" w:hAnsi="Arial"/>
      <w:b/>
      <w:sz w:val="72"/>
      <w:szCs w:val="72"/>
      <w:lang w:val="en-GB"/>
    </w:rPr>
  </w:style>
  <w:style w:type="paragraph" w:customStyle="1" w:styleId="Style1">
    <w:name w:val="Style1"/>
    <w:basedOn w:val="Heading8"/>
    <w:link w:val="Style1Char"/>
    <w:qFormat/>
    <w:rsid w:val="00D77823"/>
    <w:pPr>
      <w:keepNext w:val="0"/>
      <w:keepLines w:val="0"/>
      <w:autoSpaceDE w:val="0"/>
      <w:autoSpaceDN w:val="0"/>
      <w:adjustRightInd w:val="0"/>
      <w:spacing w:before="240" w:after="60"/>
      <w:ind w:left="592"/>
      <w:jc w:val="center"/>
    </w:pPr>
    <w:rPr>
      <w:rFonts w:ascii="Arial" w:hAnsi="Arial"/>
      <w:b/>
      <w:bCs/>
      <w:i/>
      <w:iCs/>
      <w:color w:val="auto"/>
      <w:sz w:val="24"/>
      <w:szCs w:val="32"/>
    </w:rPr>
  </w:style>
  <w:style w:type="character" w:customStyle="1" w:styleId="Heading8Char">
    <w:name w:val="Heading 8 Char"/>
    <w:link w:val="Heading8"/>
    <w:uiPriority w:val="9"/>
    <w:semiHidden/>
    <w:rsid w:val="00D77823"/>
    <w:rPr>
      <w:rFonts w:ascii="Cambria" w:eastAsia="Times New Roman" w:hAnsi="Cambria" w:cs="Times New Roman"/>
      <w:color w:val="404040"/>
      <w:sz w:val="20"/>
      <w:szCs w:val="20"/>
      <w:lang w:val="en-GB"/>
    </w:rPr>
  </w:style>
  <w:style w:type="table" w:styleId="TableGrid">
    <w:name w:val="Table Grid"/>
    <w:basedOn w:val="TableNormal"/>
    <w:uiPriority w:val="59"/>
    <w:rsid w:val="00D77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D77823"/>
    <w:rPr>
      <w:rFonts w:ascii="Arial" w:eastAsia="Times New Roman" w:hAnsi="Arial" w:cs="Arial"/>
      <w:b/>
      <w:bCs/>
      <w:color w:val="FFFFFF"/>
      <w:sz w:val="28"/>
      <w:szCs w:val="28"/>
      <w:shd w:val="clear" w:color="auto" w:fill="365F91"/>
    </w:rPr>
  </w:style>
  <w:style w:type="paragraph" w:styleId="TOCHeading">
    <w:name w:val="TOC Heading"/>
    <w:basedOn w:val="Heading1"/>
    <w:next w:val="Normal"/>
    <w:uiPriority w:val="39"/>
    <w:unhideWhenUsed/>
    <w:qFormat/>
    <w:rsid w:val="00D77823"/>
    <w:pPr>
      <w:spacing w:line="276" w:lineRule="auto"/>
      <w:outlineLvl w:val="9"/>
    </w:pPr>
    <w:rPr>
      <w:lang w:val="en-US" w:eastAsia="en-US"/>
    </w:rPr>
  </w:style>
  <w:style w:type="paragraph" w:styleId="TOC1">
    <w:name w:val="toc 1"/>
    <w:basedOn w:val="Normal"/>
    <w:next w:val="Normal"/>
    <w:autoRedefine/>
    <w:uiPriority w:val="39"/>
    <w:rsid w:val="00D77823"/>
    <w:pPr>
      <w:tabs>
        <w:tab w:val="left" w:pos="454"/>
        <w:tab w:val="right" w:leader="dot" w:pos="9923"/>
      </w:tabs>
      <w:spacing w:before="120" w:after="120"/>
    </w:pPr>
  </w:style>
  <w:style w:type="character" w:styleId="Hyperlink">
    <w:name w:val="Hyperlink"/>
    <w:uiPriority w:val="99"/>
    <w:unhideWhenUsed/>
    <w:rsid w:val="00D77823"/>
    <w:rPr>
      <w:color w:val="0000FF"/>
      <w:u w:val="single"/>
    </w:rPr>
  </w:style>
  <w:style w:type="paragraph" w:styleId="TOC2">
    <w:name w:val="toc 2"/>
    <w:basedOn w:val="Normal"/>
    <w:next w:val="Normal"/>
    <w:autoRedefine/>
    <w:uiPriority w:val="39"/>
    <w:rsid w:val="00997B50"/>
    <w:pPr>
      <w:tabs>
        <w:tab w:val="right" w:leader="dot" w:pos="9923"/>
      </w:tabs>
      <w:spacing w:before="120" w:after="120"/>
      <w:ind w:left="170"/>
    </w:pPr>
  </w:style>
  <w:style w:type="paragraph" w:customStyle="1" w:styleId="Bullets">
    <w:name w:val="Bullets"/>
    <w:basedOn w:val="Normal"/>
    <w:link w:val="BulletsChar"/>
    <w:qFormat/>
    <w:rsid w:val="000E3044"/>
    <w:pPr>
      <w:numPr>
        <w:numId w:val="1"/>
      </w:numPr>
    </w:pPr>
  </w:style>
  <w:style w:type="character" w:customStyle="1" w:styleId="Heading2Char">
    <w:name w:val="Heading 2 Char"/>
    <w:link w:val="Heading2"/>
    <w:uiPriority w:val="9"/>
    <w:rsid w:val="000E3044"/>
    <w:rPr>
      <w:rFonts w:ascii="Arial" w:eastAsia="Times New Roman" w:hAnsi="Arial" w:cs="Arial"/>
      <w:b/>
      <w:bCs/>
      <w:iCs/>
      <w:sz w:val="26"/>
      <w:szCs w:val="26"/>
      <w:lang w:val="en-GB"/>
    </w:rPr>
  </w:style>
  <w:style w:type="character" w:customStyle="1" w:styleId="BulletsChar">
    <w:name w:val="Bullets Char"/>
    <w:link w:val="Bullets"/>
    <w:rsid w:val="000E3044"/>
    <w:rPr>
      <w:rFonts w:ascii="Arial" w:hAnsi="Arial" w:cs="Arial"/>
      <w:sz w:val="22"/>
      <w:szCs w:val="22"/>
      <w:lang w:val="en-GB"/>
    </w:rPr>
  </w:style>
  <w:style w:type="character" w:customStyle="1" w:styleId="Heading3Char">
    <w:name w:val="Heading 3 Char"/>
    <w:link w:val="Heading3"/>
    <w:uiPriority w:val="9"/>
    <w:rsid w:val="001C5FC5"/>
    <w:rPr>
      <w:rFonts w:ascii="Arial" w:eastAsia="Times New Roman" w:hAnsi="Arial" w:cs="Arial"/>
      <w:bCs/>
      <w:sz w:val="24"/>
      <w:szCs w:val="24"/>
      <w:u w:val="single"/>
      <w:lang w:val="en-GB"/>
    </w:rPr>
  </w:style>
  <w:style w:type="paragraph" w:customStyle="1" w:styleId="HeaderTitle">
    <w:name w:val="Header Title"/>
    <w:basedOn w:val="Normal"/>
    <w:link w:val="HeaderTitleChar"/>
    <w:qFormat/>
    <w:rsid w:val="002E46C1"/>
    <w:pPr>
      <w:spacing w:before="360" w:after="120"/>
      <w:ind w:left="34"/>
    </w:pPr>
    <w:rPr>
      <w:b/>
      <w:noProof/>
      <w:sz w:val="72"/>
      <w:szCs w:val="24"/>
      <w:lang w:val="en-AU" w:eastAsia="en-US"/>
    </w:rPr>
  </w:style>
  <w:style w:type="paragraph" w:customStyle="1" w:styleId="ManualHeading">
    <w:name w:val="Manual Heading"/>
    <w:basedOn w:val="Heading9"/>
    <w:link w:val="ManualHeadingChar"/>
    <w:qFormat/>
    <w:rsid w:val="00922B65"/>
  </w:style>
  <w:style w:type="character" w:customStyle="1" w:styleId="HeaderTitleChar">
    <w:name w:val="Header Title Char"/>
    <w:link w:val="HeaderTitle"/>
    <w:rsid w:val="002E46C1"/>
    <w:rPr>
      <w:rFonts w:ascii="Arial" w:hAnsi="Arial" w:cs="Arial"/>
      <w:b/>
      <w:noProof/>
      <w:sz w:val="72"/>
      <w:szCs w:val="24"/>
      <w:lang w:eastAsia="en-US"/>
    </w:rPr>
  </w:style>
  <w:style w:type="paragraph" w:customStyle="1" w:styleId="ManualHeading2">
    <w:name w:val="Manual Heading2"/>
    <w:basedOn w:val="Normal"/>
    <w:link w:val="ManualHeading2Char"/>
    <w:qFormat/>
    <w:rsid w:val="00922B65"/>
    <w:pPr>
      <w:autoSpaceDE w:val="0"/>
      <w:autoSpaceDN w:val="0"/>
      <w:adjustRightInd w:val="0"/>
      <w:spacing w:before="600"/>
      <w:ind w:left="592"/>
      <w:jc w:val="center"/>
    </w:pPr>
    <w:rPr>
      <w:b/>
      <w:bCs/>
      <w:sz w:val="44"/>
      <w:szCs w:val="44"/>
    </w:rPr>
  </w:style>
  <w:style w:type="character" w:customStyle="1" w:styleId="ManualHeadingChar">
    <w:name w:val="Manual Heading Char"/>
    <w:link w:val="ManualHeading"/>
    <w:rsid w:val="00922B65"/>
    <w:rPr>
      <w:rFonts w:ascii="Arial" w:hAnsi="Arial"/>
      <w:b/>
      <w:sz w:val="72"/>
      <w:szCs w:val="72"/>
      <w:lang w:val="en-GB"/>
    </w:rPr>
  </w:style>
  <w:style w:type="paragraph" w:customStyle="1" w:styleId="Version">
    <w:name w:val="Version"/>
    <w:basedOn w:val="Style1"/>
    <w:link w:val="VersionChar"/>
    <w:qFormat/>
    <w:rsid w:val="00922B65"/>
  </w:style>
  <w:style w:type="character" w:customStyle="1" w:styleId="ManualHeading2Char">
    <w:name w:val="Manual Heading2 Char"/>
    <w:link w:val="ManualHeading2"/>
    <w:rsid w:val="00922B65"/>
    <w:rPr>
      <w:rFonts w:ascii="Arial" w:hAnsi="Arial" w:cs="Arial"/>
      <w:b/>
      <w:bCs/>
      <w:sz w:val="44"/>
      <w:szCs w:val="44"/>
      <w:lang w:val="en-GB"/>
    </w:rPr>
  </w:style>
  <w:style w:type="paragraph" w:customStyle="1" w:styleId="Space">
    <w:name w:val="Space"/>
    <w:basedOn w:val="Footer"/>
    <w:link w:val="SpaceChar"/>
    <w:qFormat/>
    <w:rsid w:val="00922B65"/>
    <w:pPr>
      <w:spacing w:before="0"/>
    </w:pPr>
    <w:rPr>
      <w:sz w:val="10"/>
      <w:szCs w:val="10"/>
    </w:rPr>
  </w:style>
  <w:style w:type="character" w:customStyle="1" w:styleId="Style1Char">
    <w:name w:val="Style1 Char"/>
    <w:link w:val="Style1"/>
    <w:rsid w:val="00922B65"/>
    <w:rPr>
      <w:rFonts w:ascii="Arial" w:eastAsia="Times New Roman" w:hAnsi="Arial" w:cs="Times New Roman"/>
      <w:b/>
      <w:bCs/>
      <w:i/>
      <w:iCs/>
      <w:color w:val="404040"/>
      <w:sz w:val="24"/>
      <w:szCs w:val="32"/>
      <w:lang w:val="en-GB"/>
    </w:rPr>
  </w:style>
  <w:style w:type="character" w:customStyle="1" w:styleId="VersionChar">
    <w:name w:val="Version Char"/>
    <w:basedOn w:val="Style1Char"/>
    <w:link w:val="Version"/>
    <w:rsid w:val="00922B65"/>
    <w:rPr>
      <w:rFonts w:ascii="Arial" w:eastAsia="Times New Roman" w:hAnsi="Arial" w:cs="Times New Roman"/>
      <w:b/>
      <w:bCs/>
      <w:i/>
      <w:iCs/>
      <w:color w:val="404040"/>
      <w:sz w:val="24"/>
      <w:szCs w:val="32"/>
      <w:lang w:val="en-GB"/>
    </w:rPr>
  </w:style>
  <w:style w:type="paragraph" w:customStyle="1" w:styleId="Footer2">
    <w:name w:val="Footer2"/>
    <w:basedOn w:val="Normal"/>
    <w:link w:val="Footer2Char"/>
    <w:qFormat/>
    <w:rsid w:val="00922B65"/>
    <w:pPr>
      <w:spacing w:before="0" w:after="0"/>
    </w:pPr>
    <w:rPr>
      <w:sz w:val="16"/>
      <w:szCs w:val="16"/>
      <w:lang w:val="en-AU" w:eastAsia="en-US"/>
    </w:rPr>
  </w:style>
  <w:style w:type="character" w:customStyle="1" w:styleId="SpaceChar">
    <w:name w:val="Space Char"/>
    <w:link w:val="Space"/>
    <w:rsid w:val="00922B65"/>
    <w:rPr>
      <w:rFonts w:ascii="Arial" w:hAnsi="Arial" w:cs="Arial"/>
      <w:sz w:val="10"/>
      <w:szCs w:val="10"/>
      <w:lang w:val="en-GB"/>
    </w:rPr>
  </w:style>
  <w:style w:type="paragraph" w:styleId="TOC3">
    <w:name w:val="toc 3"/>
    <w:basedOn w:val="Normal"/>
    <w:next w:val="Normal"/>
    <w:autoRedefine/>
    <w:uiPriority w:val="39"/>
    <w:unhideWhenUsed/>
    <w:rsid w:val="00C66ED7"/>
    <w:pPr>
      <w:ind w:left="397"/>
    </w:pPr>
  </w:style>
  <w:style w:type="character" w:customStyle="1" w:styleId="Footer2Char">
    <w:name w:val="Footer2 Char"/>
    <w:link w:val="Footer2"/>
    <w:rsid w:val="00922B65"/>
    <w:rPr>
      <w:rFonts w:ascii="Arial" w:hAnsi="Arial" w:cs="Arial"/>
      <w:sz w:val="16"/>
      <w:szCs w:val="16"/>
      <w:lang w:eastAsia="en-US"/>
    </w:rPr>
  </w:style>
  <w:style w:type="paragraph" w:customStyle="1" w:styleId="Bullets2">
    <w:name w:val="Bullets2"/>
    <w:basedOn w:val="Normal"/>
    <w:link w:val="Bullets2Char"/>
    <w:qFormat/>
    <w:rsid w:val="001D3CBB"/>
    <w:pPr>
      <w:numPr>
        <w:ilvl w:val="1"/>
        <w:numId w:val="2"/>
      </w:numPr>
      <w:tabs>
        <w:tab w:val="left" w:pos="748"/>
      </w:tabs>
      <w:ind w:left="1134" w:hanging="425"/>
    </w:pPr>
  </w:style>
  <w:style w:type="character" w:customStyle="1" w:styleId="Bullets2Char">
    <w:name w:val="Bullets2 Char"/>
    <w:link w:val="Bullets2"/>
    <w:rsid w:val="001D3CBB"/>
    <w:rPr>
      <w:rFonts w:ascii="Arial" w:hAnsi="Arial" w:cs="Arial"/>
      <w:sz w:val="22"/>
      <w:szCs w:val="22"/>
      <w:lang w:val="en-GB"/>
    </w:rPr>
  </w:style>
  <w:style w:type="paragraph" w:styleId="ListParagraph">
    <w:name w:val="List Paragraph"/>
    <w:basedOn w:val="Normal"/>
    <w:uiPriority w:val="34"/>
    <w:qFormat/>
    <w:rsid w:val="00F91013"/>
    <w:pPr>
      <w:spacing w:before="0" w:after="200" w:line="276" w:lineRule="auto"/>
      <w:ind w:left="720"/>
      <w:contextualSpacing/>
    </w:pPr>
    <w:rPr>
      <w:rFonts w:eastAsia="Calibri" w:cs="Times New Roman"/>
      <w:lang w:val="en-US" w:eastAsia="en-US"/>
    </w:rPr>
  </w:style>
  <w:style w:type="paragraph" w:customStyle="1" w:styleId="FormFooter">
    <w:name w:val="Form Footer"/>
    <w:basedOn w:val="Footer"/>
    <w:link w:val="FormFooterChar"/>
    <w:qFormat/>
    <w:rsid w:val="001B1877"/>
    <w:pPr>
      <w:spacing w:before="0"/>
    </w:pPr>
    <w:rPr>
      <w:sz w:val="16"/>
      <w:szCs w:val="16"/>
      <w:lang w:val="en-AU"/>
    </w:rPr>
  </w:style>
  <w:style w:type="character" w:customStyle="1" w:styleId="FormFooterChar">
    <w:name w:val="Form Footer Char"/>
    <w:link w:val="FormFooter"/>
    <w:rsid w:val="001B1877"/>
    <w:rPr>
      <w:rFonts w:ascii="Arial" w:hAnsi="Arial" w:cs="Arial"/>
      <w:sz w:val="16"/>
      <w:szCs w:val="16"/>
    </w:rPr>
  </w:style>
  <w:style w:type="paragraph" w:customStyle="1" w:styleId="Default">
    <w:name w:val="Default"/>
    <w:rsid w:val="004C006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BC1E4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44"/>
    <w:rPr>
      <w:rFonts w:ascii="Tahoma" w:hAnsi="Tahoma" w:cs="Tahoma"/>
      <w:sz w:val="16"/>
      <w:szCs w:val="16"/>
      <w:lang w:val="en-GB"/>
    </w:rPr>
  </w:style>
  <w:style w:type="paragraph" w:styleId="EndnoteText">
    <w:name w:val="endnote text"/>
    <w:basedOn w:val="Normal"/>
    <w:link w:val="EndnoteTextChar"/>
    <w:uiPriority w:val="99"/>
    <w:semiHidden/>
    <w:unhideWhenUsed/>
    <w:rsid w:val="00317AC6"/>
    <w:pPr>
      <w:spacing w:before="0" w:after="0"/>
    </w:pPr>
    <w:rPr>
      <w:sz w:val="20"/>
      <w:szCs w:val="20"/>
    </w:rPr>
  </w:style>
  <w:style w:type="character" w:customStyle="1" w:styleId="EndnoteTextChar">
    <w:name w:val="Endnote Text Char"/>
    <w:basedOn w:val="DefaultParagraphFont"/>
    <w:link w:val="EndnoteText"/>
    <w:uiPriority w:val="99"/>
    <w:semiHidden/>
    <w:rsid w:val="00317AC6"/>
    <w:rPr>
      <w:rFonts w:ascii="Arial" w:hAnsi="Arial" w:cs="Arial"/>
      <w:lang w:val="en-GB"/>
    </w:rPr>
  </w:style>
  <w:style w:type="character" w:styleId="EndnoteReference">
    <w:name w:val="endnote reference"/>
    <w:basedOn w:val="DefaultParagraphFont"/>
    <w:uiPriority w:val="99"/>
    <w:semiHidden/>
    <w:unhideWhenUsed/>
    <w:rsid w:val="00317AC6"/>
    <w:rPr>
      <w:vertAlign w:val="superscript"/>
    </w:rPr>
  </w:style>
  <w:style w:type="character" w:styleId="CommentReference">
    <w:name w:val="annotation reference"/>
    <w:basedOn w:val="DefaultParagraphFont"/>
    <w:uiPriority w:val="99"/>
    <w:semiHidden/>
    <w:unhideWhenUsed/>
    <w:rsid w:val="00F645A8"/>
    <w:rPr>
      <w:sz w:val="16"/>
      <w:szCs w:val="16"/>
    </w:rPr>
  </w:style>
  <w:style w:type="paragraph" w:styleId="CommentText">
    <w:name w:val="annotation text"/>
    <w:basedOn w:val="Normal"/>
    <w:link w:val="CommentTextChar"/>
    <w:uiPriority w:val="99"/>
    <w:semiHidden/>
    <w:unhideWhenUsed/>
    <w:rsid w:val="00F645A8"/>
    <w:rPr>
      <w:sz w:val="20"/>
      <w:szCs w:val="20"/>
    </w:rPr>
  </w:style>
  <w:style w:type="character" w:customStyle="1" w:styleId="CommentTextChar">
    <w:name w:val="Comment Text Char"/>
    <w:basedOn w:val="DefaultParagraphFont"/>
    <w:link w:val="CommentText"/>
    <w:uiPriority w:val="99"/>
    <w:semiHidden/>
    <w:rsid w:val="00F645A8"/>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F645A8"/>
    <w:rPr>
      <w:b/>
      <w:bCs/>
    </w:rPr>
  </w:style>
  <w:style w:type="character" w:customStyle="1" w:styleId="CommentSubjectChar">
    <w:name w:val="Comment Subject Char"/>
    <w:basedOn w:val="CommentTextChar"/>
    <w:link w:val="CommentSubject"/>
    <w:uiPriority w:val="99"/>
    <w:semiHidden/>
    <w:rsid w:val="00F645A8"/>
    <w:rPr>
      <w:rFonts w:ascii="Arial" w:hAnsi="Arial" w:cs="Arial"/>
      <w:b/>
      <w:bCs/>
      <w:lang w:val="en-GB"/>
    </w:rPr>
  </w:style>
  <w:style w:type="character" w:styleId="FollowedHyperlink">
    <w:name w:val="FollowedHyperlink"/>
    <w:basedOn w:val="DefaultParagraphFont"/>
    <w:uiPriority w:val="99"/>
    <w:semiHidden/>
    <w:unhideWhenUsed/>
    <w:rsid w:val="00581F2C"/>
    <w:rPr>
      <w:color w:val="800080" w:themeColor="followedHyperlink"/>
      <w:u w:val="single"/>
    </w:rPr>
  </w:style>
  <w:style w:type="paragraph" w:customStyle="1" w:styleId="Bulletform">
    <w:name w:val="Bullet form"/>
    <w:basedOn w:val="Normal"/>
    <w:rsid w:val="00AB404D"/>
    <w:pPr>
      <w:numPr>
        <w:numId w:val="8"/>
      </w:numPr>
      <w:spacing w:before="120" w:after="0"/>
      <w:ind w:left="714" w:hanging="357"/>
      <w:jc w:val="both"/>
    </w:pPr>
    <w:rPr>
      <w:rFonts w:ascii="GoudyOlSt BT" w:hAnsi="GoudyOlSt BT"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C5"/>
    <w:pPr>
      <w:spacing w:before="60" w:after="60"/>
    </w:pPr>
    <w:rPr>
      <w:rFonts w:ascii="Arial" w:hAnsi="Arial" w:cs="Arial"/>
      <w:sz w:val="22"/>
      <w:szCs w:val="22"/>
      <w:lang w:val="en-GB"/>
    </w:rPr>
  </w:style>
  <w:style w:type="paragraph" w:styleId="Heading1">
    <w:name w:val="heading 1"/>
    <w:basedOn w:val="Normal"/>
    <w:next w:val="Normal"/>
    <w:link w:val="Heading1Char"/>
    <w:qFormat/>
    <w:rsid w:val="00D77823"/>
    <w:pPr>
      <w:keepNext/>
      <w:keepLines/>
      <w:shd w:val="clear" w:color="auto" w:fill="365F91"/>
      <w:spacing w:before="0" w:after="120"/>
      <w:ind w:left="720" w:hanging="720"/>
      <w:outlineLvl w:val="0"/>
    </w:pPr>
    <w:rPr>
      <w:b/>
      <w:bCs/>
      <w:color w:val="FFFFFF"/>
      <w:sz w:val="28"/>
      <w:szCs w:val="28"/>
      <w:lang w:val="en-AU"/>
    </w:rPr>
  </w:style>
  <w:style w:type="paragraph" w:styleId="Heading2">
    <w:name w:val="heading 2"/>
    <w:basedOn w:val="Normal"/>
    <w:next w:val="Normal"/>
    <w:link w:val="Heading2Char"/>
    <w:uiPriority w:val="9"/>
    <w:unhideWhenUsed/>
    <w:qFormat/>
    <w:rsid w:val="000E3044"/>
    <w:pPr>
      <w:keepNext/>
      <w:spacing w:before="120" w:after="120"/>
      <w:outlineLvl w:val="1"/>
    </w:pPr>
    <w:rPr>
      <w:b/>
      <w:bCs/>
      <w:iCs/>
      <w:sz w:val="26"/>
      <w:szCs w:val="26"/>
    </w:rPr>
  </w:style>
  <w:style w:type="paragraph" w:styleId="Heading3">
    <w:name w:val="heading 3"/>
    <w:basedOn w:val="Normal"/>
    <w:next w:val="Normal"/>
    <w:link w:val="Heading3Char"/>
    <w:uiPriority w:val="9"/>
    <w:unhideWhenUsed/>
    <w:qFormat/>
    <w:rsid w:val="001C5FC5"/>
    <w:pPr>
      <w:keepNext/>
      <w:spacing w:before="120" w:after="120"/>
      <w:outlineLvl w:val="2"/>
    </w:pPr>
    <w:rPr>
      <w:bCs/>
      <w:u w:val="single"/>
    </w:rPr>
  </w:style>
  <w:style w:type="paragraph" w:styleId="Heading8">
    <w:name w:val="heading 8"/>
    <w:basedOn w:val="Normal"/>
    <w:next w:val="Normal"/>
    <w:link w:val="Heading8Char"/>
    <w:uiPriority w:val="9"/>
    <w:semiHidden/>
    <w:unhideWhenUsed/>
    <w:qFormat/>
    <w:rsid w:val="00D77823"/>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nhideWhenUsed/>
    <w:qFormat/>
    <w:rsid w:val="00922B65"/>
    <w:pPr>
      <w:spacing w:before="240"/>
      <w:jc w:val="center"/>
      <w:outlineLvl w:val="8"/>
    </w:pPr>
    <w:rPr>
      <w:rFonts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23"/>
    <w:pPr>
      <w:tabs>
        <w:tab w:val="center" w:pos="4513"/>
        <w:tab w:val="right" w:pos="9026"/>
      </w:tabs>
      <w:spacing w:after="0"/>
    </w:pPr>
  </w:style>
  <w:style w:type="character" w:customStyle="1" w:styleId="HeaderChar">
    <w:name w:val="Header Char"/>
    <w:basedOn w:val="DefaultParagraphFont"/>
    <w:link w:val="Header"/>
    <w:uiPriority w:val="99"/>
    <w:rsid w:val="00D77823"/>
  </w:style>
  <w:style w:type="paragraph" w:styleId="Footer">
    <w:name w:val="footer"/>
    <w:basedOn w:val="Normal"/>
    <w:link w:val="FooterChar"/>
    <w:unhideWhenUsed/>
    <w:rsid w:val="00D77823"/>
    <w:pPr>
      <w:tabs>
        <w:tab w:val="center" w:pos="4513"/>
        <w:tab w:val="right" w:pos="9026"/>
      </w:tabs>
      <w:spacing w:after="0"/>
    </w:pPr>
  </w:style>
  <w:style w:type="character" w:customStyle="1" w:styleId="FooterChar">
    <w:name w:val="Footer Char"/>
    <w:basedOn w:val="DefaultParagraphFont"/>
    <w:link w:val="Footer"/>
    <w:uiPriority w:val="99"/>
    <w:rsid w:val="00D77823"/>
  </w:style>
  <w:style w:type="character" w:customStyle="1" w:styleId="Heading9Char">
    <w:name w:val="Heading 9 Char"/>
    <w:link w:val="Heading9"/>
    <w:rsid w:val="00922B65"/>
    <w:rPr>
      <w:rFonts w:ascii="Arial" w:hAnsi="Arial"/>
      <w:b/>
      <w:sz w:val="72"/>
      <w:szCs w:val="72"/>
      <w:lang w:val="en-GB"/>
    </w:rPr>
  </w:style>
  <w:style w:type="paragraph" w:customStyle="1" w:styleId="Style1">
    <w:name w:val="Style1"/>
    <w:basedOn w:val="Heading8"/>
    <w:link w:val="Style1Char"/>
    <w:qFormat/>
    <w:rsid w:val="00D77823"/>
    <w:pPr>
      <w:keepNext w:val="0"/>
      <w:keepLines w:val="0"/>
      <w:autoSpaceDE w:val="0"/>
      <w:autoSpaceDN w:val="0"/>
      <w:adjustRightInd w:val="0"/>
      <w:spacing w:before="240" w:after="60"/>
      <w:ind w:left="592"/>
      <w:jc w:val="center"/>
    </w:pPr>
    <w:rPr>
      <w:rFonts w:ascii="Arial" w:hAnsi="Arial"/>
      <w:b/>
      <w:bCs/>
      <w:i/>
      <w:iCs/>
      <w:color w:val="auto"/>
      <w:sz w:val="24"/>
      <w:szCs w:val="32"/>
    </w:rPr>
  </w:style>
  <w:style w:type="character" w:customStyle="1" w:styleId="Heading8Char">
    <w:name w:val="Heading 8 Char"/>
    <w:link w:val="Heading8"/>
    <w:uiPriority w:val="9"/>
    <w:semiHidden/>
    <w:rsid w:val="00D77823"/>
    <w:rPr>
      <w:rFonts w:ascii="Cambria" w:eastAsia="Times New Roman" w:hAnsi="Cambria" w:cs="Times New Roman"/>
      <w:color w:val="404040"/>
      <w:sz w:val="20"/>
      <w:szCs w:val="20"/>
      <w:lang w:val="en-GB"/>
    </w:rPr>
  </w:style>
  <w:style w:type="table" w:styleId="TableGrid">
    <w:name w:val="Table Grid"/>
    <w:basedOn w:val="TableNormal"/>
    <w:uiPriority w:val="59"/>
    <w:rsid w:val="00D77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D77823"/>
    <w:rPr>
      <w:rFonts w:ascii="Arial" w:eastAsia="Times New Roman" w:hAnsi="Arial" w:cs="Arial"/>
      <w:b/>
      <w:bCs/>
      <w:color w:val="FFFFFF"/>
      <w:sz w:val="28"/>
      <w:szCs w:val="28"/>
      <w:shd w:val="clear" w:color="auto" w:fill="365F91"/>
    </w:rPr>
  </w:style>
  <w:style w:type="paragraph" w:styleId="TOCHeading">
    <w:name w:val="TOC Heading"/>
    <w:basedOn w:val="Heading1"/>
    <w:next w:val="Normal"/>
    <w:uiPriority w:val="39"/>
    <w:unhideWhenUsed/>
    <w:qFormat/>
    <w:rsid w:val="00D77823"/>
    <w:pPr>
      <w:spacing w:line="276" w:lineRule="auto"/>
      <w:outlineLvl w:val="9"/>
    </w:pPr>
    <w:rPr>
      <w:lang w:val="en-US" w:eastAsia="en-US"/>
    </w:rPr>
  </w:style>
  <w:style w:type="paragraph" w:styleId="TOC1">
    <w:name w:val="toc 1"/>
    <w:basedOn w:val="Normal"/>
    <w:next w:val="Normal"/>
    <w:autoRedefine/>
    <w:uiPriority w:val="39"/>
    <w:rsid w:val="00D77823"/>
    <w:pPr>
      <w:tabs>
        <w:tab w:val="left" w:pos="454"/>
        <w:tab w:val="right" w:leader="dot" w:pos="9923"/>
      </w:tabs>
      <w:spacing w:before="120" w:after="120"/>
    </w:pPr>
  </w:style>
  <w:style w:type="character" w:styleId="Hyperlink">
    <w:name w:val="Hyperlink"/>
    <w:uiPriority w:val="99"/>
    <w:unhideWhenUsed/>
    <w:rsid w:val="00D77823"/>
    <w:rPr>
      <w:color w:val="0000FF"/>
      <w:u w:val="single"/>
    </w:rPr>
  </w:style>
  <w:style w:type="paragraph" w:styleId="TOC2">
    <w:name w:val="toc 2"/>
    <w:basedOn w:val="Normal"/>
    <w:next w:val="Normal"/>
    <w:autoRedefine/>
    <w:uiPriority w:val="39"/>
    <w:rsid w:val="00997B50"/>
    <w:pPr>
      <w:tabs>
        <w:tab w:val="right" w:leader="dot" w:pos="9923"/>
      </w:tabs>
      <w:spacing w:before="120" w:after="120"/>
      <w:ind w:left="170"/>
    </w:pPr>
  </w:style>
  <w:style w:type="paragraph" w:customStyle="1" w:styleId="Bullets">
    <w:name w:val="Bullets"/>
    <w:basedOn w:val="Normal"/>
    <w:link w:val="BulletsChar"/>
    <w:qFormat/>
    <w:rsid w:val="000E3044"/>
    <w:pPr>
      <w:numPr>
        <w:numId w:val="1"/>
      </w:numPr>
    </w:pPr>
  </w:style>
  <w:style w:type="character" w:customStyle="1" w:styleId="Heading2Char">
    <w:name w:val="Heading 2 Char"/>
    <w:link w:val="Heading2"/>
    <w:uiPriority w:val="9"/>
    <w:rsid w:val="000E3044"/>
    <w:rPr>
      <w:rFonts w:ascii="Arial" w:eastAsia="Times New Roman" w:hAnsi="Arial" w:cs="Arial"/>
      <w:b/>
      <w:bCs/>
      <w:iCs/>
      <w:sz w:val="26"/>
      <w:szCs w:val="26"/>
      <w:lang w:val="en-GB"/>
    </w:rPr>
  </w:style>
  <w:style w:type="character" w:customStyle="1" w:styleId="BulletsChar">
    <w:name w:val="Bullets Char"/>
    <w:link w:val="Bullets"/>
    <w:rsid w:val="000E3044"/>
    <w:rPr>
      <w:rFonts w:ascii="Arial" w:hAnsi="Arial" w:cs="Arial"/>
      <w:sz w:val="22"/>
      <w:szCs w:val="22"/>
      <w:lang w:val="en-GB"/>
    </w:rPr>
  </w:style>
  <w:style w:type="character" w:customStyle="1" w:styleId="Heading3Char">
    <w:name w:val="Heading 3 Char"/>
    <w:link w:val="Heading3"/>
    <w:uiPriority w:val="9"/>
    <w:rsid w:val="001C5FC5"/>
    <w:rPr>
      <w:rFonts w:ascii="Arial" w:eastAsia="Times New Roman" w:hAnsi="Arial" w:cs="Arial"/>
      <w:bCs/>
      <w:sz w:val="24"/>
      <w:szCs w:val="24"/>
      <w:u w:val="single"/>
      <w:lang w:val="en-GB"/>
    </w:rPr>
  </w:style>
  <w:style w:type="paragraph" w:customStyle="1" w:styleId="HeaderTitle">
    <w:name w:val="Header Title"/>
    <w:basedOn w:val="Normal"/>
    <w:link w:val="HeaderTitleChar"/>
    <w:qFormat/>
    <w:rsid w:val="002E46C1"/>
    <w:pPr>
      <w:spacing w:before="360" w:after="120"/>
      <w:ind w:left="34"/>
    </w:pPr>
    <w:rPr>
      <w:b/>
      <w:noProof/>
      <w:sz w:val="72"/>
      <w:szCs w:val="24"/>
      <w:lang w:val="en-AU" w:eastAsia="en-US"/>
    </w:rPr>
  </w:style>
  <w:style w:type="paragraph" w:customStyle="1" w:styleId="ManualHeading">
    <w:name w:val="Manual Heading"/>
    <w:basedOn w:val="Heading9"/>
    <w:link w:val="ManualHeadingChar"/>
    <w:qFormat/>
    <w:rsid w:val="00922B65"/>
  </w:style>
  <w:style w:type="character" w:customStyle="1" w:styleId="HeaderTitleChar">
    <w:name w:val="Header Title Char"/>
    <w:link w:val="HeaderTitle"/>
    <w:rsid w:val="002E46C1"/>
    <w:rPr>
      <w:rFonts w:ascii="Arial" w:hAnsi="Arial" w:cs="Arial"/>
      <w:b/>
      <w:noProof/>
      <w:sz w:val="72"/>
      <w:szCs w:val="24"/>
      <w:lang w:eastAsia="en-US"/>
    </w:rPr>
  </w:style>
  <w:style w:type="paragraph" w:customStyle="1" w:styleId="ManualHeading2">
    <w:name w:val="Manual Heading2"/>
    <w:basedOn w:val="Normal"/>
    <w:link w:val="ManualHeading2Char"/>
    <w:qFormat/>
    <w:rsid w:val="00922B65"/>
    <w:pPr>
      <w:autoSpaceDE w:val="0"/>
      <w:autoSpaceDN w:val="0"/>
      <w:adjustRightInd w:val="0"/>
      <w:spacing w:before="600"/>
      <w:ind w:left="592"/>
      <w:jc w:val="center"/>
    </w:pPr>
    <w:rPr>
      <w:b/>
      <w:bCs/>
      <w:sz w:val="44"/>
      <w:szCs w:val="44"/>
    </w:rPr>
  </w:style>
  <w:style w:type="character" w:customStyle="1" w:styleId="ManualHeadingChar">
    <w:name w:val="Manual Heading Char"/>
    <w:link w:val="ManualHeading"/>
    <w:rsid w:val="00922B65"/>
    <w:rPr>
      <w:rFonts w:ascii="Arial" w:hAnsi="Arial"/>
      <w:b/>
      <w:sz w:val="72"/>
      <w:szCs w:val="72"/>
      <w:lang w:val="en-GB"/>
    </w:rPr>
  </w:style>
  <w:style w:type="paragraph" w:customStyle="1" w:styleId="Version">
    <w:name w:val="Version"/>
    <w:basedOn w:val="Style1"/>
    <w:link w:val="VersionChar"/>
    <w:qFormat/>
    <w:rsid w:val="00922B65"/>
  </w:style>
  <w:style w:type="character" w:customStyle="1" w:styleId="ManualHeading2Char">
    <w:name w:val="Manual Heading2 Char"/>
    <w:link w:val="ManualHeading2"/>
    <w:rsid w:val="00922B65"/>
    <w:rPr>
      <w:rFonts w:ascii="Arial" w:hAnsi="Arial" w:cs="Arial"/>
      <w:b/>
      <w:bCs/>
      <w:sz w:val="44"/>
      <w:szCs w:val="44"/>
      <w:lang w:val="en-GB"/>
    </w:rPr>
  </w:style>
  <w:style w:type="paragraph" w:customStyle="1" w:styleId="Space">
    <w:name w:val="Space"/>
    <w:basedOn w:val="Footer"/>
    <w:link w:val="SpaceChar"/>
    <w:qFormat/>
    <w:rsid w:val="00922B65"/>
    <w:pPr>
      <w:spacing w:before="0"/>
    </w:pPr>
    <w:rPr>
      <w:sz w:val="10"/>
      <w:szCs w:val="10"/>
    </w:rPr>
  </w:style>
  <w:style w:type="character" w:customStyle="1" w:styleId="Style1Char">
    <w:name w:val="Style1 Char"/>
    <w:link w:val="Style1"/>
    <w:rsid w:val="00922B65"/>
    <w:rPr>
      <w:rFonts w:ascii="Arial" w:eastAsia="Times New Roman" w:hAnsi="Arial" w:cs="Times New Roman"/>
      <w:b/>
      <w:bCs/>
      <w:i/>
      <w:iCs/>
      <w:color w:val="404040"/>
      <w:sz w:val="24"/>
      <w:szCs w:val="32"/>
      <w:lang w:val="en-GB"/>
    </w:rPr>
  </w:style>
  <w:style w:type="character" w:customStyle="1" w:styleId="VersionChar">
    <w:name w:val="Version Char"/>
    <w:basedOn w:val="Style1Char"/>
    <w:link w:val="Version"/>
    <w:rsid w:val="00922B65"/>
    <w:rPr>
      <w:rFonts w:ascii="Arial" w:eastAsia="Times New Roman" w:hAnsi="Arial" w:cs="Times New Roman"/>
      <w:b/>
      <w:bCs/>
      <w:i/>
      <w:iCs/>
      <w:color w:val="404040"/>
      <w:sz w:val="24"/>
      <w:szCs w:val="32"/>
      <w:lang w:val="en-GB"/>
    </w:rPr>
  </w:style>
  <w:style w:type="paragraph" w:customStyle="1" w:styleId="Footer2">
    <w:name w:val="Footer2"/>
    <w:basedOn w:val="Normal"/>
    <w:link w:val="Footer2Char"/>
    <w:qFormat/>
    <w:rsid w:val="00922B65"/>
    <w:pPr>
      <w:spacing w:before="0" w:after="0"/>
    </w:pPr>
    <w:rPr>
      <w:sz w:val="16"/>
      <w:szCs w:val="16"/>
      <w:lang w:val="en-AU" w:eastAsia="en-US"/>
    </w:rPr>
  </w:style>
  <w:style w:type="character" w:customStyle="1" w:styleId="SpaceChar">
    <w:name w:val="Space Char"/>
    <w:link w:val="Space"/>
    <w:rsid w:val="00922B65"/>
    <w:rPr>
      <w:rFonts w:ascii="Arial" w:hAnsi="Arial" w:cs="Arial"/>
      <w:sz w:val="10"/>
      <w:szCs w:val="10"/>
      <w:lang w:val="en-GB"/>
    </w:rPr>
  </w:style>
  <w:style w:type="paragraph" w:styleId="TOC3">
    <w:name w:val="toc 3"/>
    <w:basedOn w:val="Normal"/>
    <w:next w:val="Normal"/>
    <w:autoRedefine/>
    <w:uiPriority w:val="39"/>
    <w:unhideWhenUsed/>
    <w:rsid w:val="00C66ED7"/>
    <w:pPr>
      <w:ind w:left="397"/>
    </w:pPr>
  </w:style>
  <w:style w:type="character" w:customStyle="1" w:styleId="Footer2Char">
    <w:name w:val="Footer2 Char"/>
    <w:link w:val="Footer2"/>
    <w:rsid w:val="00922B65"/>
    <w:rPr>
      <w:rFonts w:ascii="Arial" w:hAnsi="Arial" w:cs="Arial"/>
      <w:sz w:val="16"/>
      <w:szCs w:val="16"/>
      <w:lang w:eastAsia="en-US"/>
    </w:rPr>
  </w:style>
  <w:style w:type="paragraph" w:customStyle="1" w:styleId="Bullets2">
    <w:name w:val="Bullets2"/>
    <w:basedOn w:val="Normal"/>
    <w:link w:val="Bullets2Char"/>
    <w:qFormat/>
    <w:rsid w:val="001D3CBB"/>
    <w:pPr>
      <w:numPr>
        <w:ilvl w:val="1"/>
        <w:numId w:val="2"/>
      </w:numPr>
      <w:tabs>
        <w:tab w:val="left" w:pos="748"/>
      </w:tabs>
      <w:ind w:left="1134" w:hanging="425"/>
    </w:pPr>
  </w:style>
  <w:style w:type="character" w:customStyle="1" w:styleId="Bullets2Char">
    <w:name w:val="Bullets2 Char"/>
    <w:link w:val="Bullets2"/>
    <w:rsid w:val="001D3CBB"/>
    <w:rPr>
      <w:rFonts w:ascii="Arial" w:hAnsi="Arial" w:cs="Arial"/>
      <w:sz w:val="22"/>
      <w:szCs w:val="22"/>
      <w:lang w:val="en-GB"/>
    </w:rPr>
  </w:style>
  <w:style w:type="paragraph" w:styleId="ListParagraph">
    <w:name w:val="List Paragraph"/>
    <w:basedOn w:val="Normal"/>
    <w:uiPriority w:val="34"/>
    <w:qFormat/>
    <w:rsid w:val="00F91013"/>
    <w:pPr>
      <w:spacing w:before="0" w:after="200" w:line="276" w:lineRule="auto"/>
      <w:ind w:left="720"/>
      <w:contextualSpacing/>
    </w:pPr>
    <w:rPr>
      <w:rFonts w:eastAsia="Calibri" w:cs="Times New Roman"/>
      <w:lang w:val="en-US" w:eastAsia="en-US"/>
    </w:rPr>
  </w:style>
  <w:style w:type="paragraph" w:customStyle="1" w:styleId="FormFooter">
    <w:name w:val="Form Footer"/>
    <w:basedOn w:val="Footer"/>
    <w:link w:val="FormFooterChar"/>
    <w:qFormat/>
    <w:rsid w:val="001B1877"/>
    <w:pPr>
      <w:spacing w:before="0"/>
    </w:pPr>
    <w:rPr>
      <w:sz w:val="16"/>
      <w:szCs w:val="16"/>
      <w:lang w:val="en-AU"/>
    </w:rPr>
  </w:style>
  <w:style w:type="character" w:customStyle="1" w:styleId="FormFooterChar">
    <w:name w:val="Form Footer Char"/>
    <w:link w:val="FormFooter"/>
    <w:rsid w:val="001B1877"/>
    <w:rPr>
      <w:rFonts w:ascii="Arial" w:hAnsi="Arial" w:cs="Arial"/>
      <w:sz w:val="16"/>
      <w:szCs w:val="16"/>
    </w:rPr>
  </w:style>
  <w:style w:type="paragraph" w:customStyle="1" w:styleId="Default">
    <w:name w:val="Default"/>
    <w:rsid w:val="004C006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BC1E4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44"/>
    <w:rPr>
      <w:rFonts w:ascii="Tahoma" w:hAnsi="Tahoma" w:cs="Tahoma"/>
      <w:sz w:val="16"/>
      <w:szCs w:val="16"/>
      <w:lang w:val="en-GB"/>
    </w:rPr>
  </w:style>
  <w:style w:type="paragraph" w:styleId="EndnoteText">
    <w:name w:val="endnote text"/>
    <w:basedOn w:val="Normal"/>
    <w:link w:val="EndnoteTextChar"/>
    <w:uiPriority w:val="99"/>
    <w:semiHidden/>
    <w:unhideWhenUsed/>
    <w:rsid w:val="00317AC6"/>
    <w:pPr>
      <w:spacing w:before="0" w:after="0"/>
    </w:pPr>
    <w:rPr>
      <w:sz w:val="20"/>
      <w:szCs w:val="20"/>
    </w:rPr>
  </w:style>
  <w:style w:type="character" w:customStyle="1" w:styleId="EndnoteTextChar">
    <w:name w:val="Endnote Text Char"/>
    <w:basedOn w:val="DefaultParagraphFont"/>
    <w:link w:val="EndnoteText"/>
    <w:uiPriority w:val="99"/>
    <w:semiHidden/>
    <w:rsid w:val="00317AC6"/>
    <w:rPr>
      <w:rFonts w:ascii="Arial" w:hAnsi="Arial" w:cs="Arial"/>
      <w:lang w:val="en-GB"/>
    </w:rPr>
  </w:style>
  <w:style w:type="character" w:styleId="EndnoteReference">
    <w:name w:val="endnote reference"/>
    <w:basedOn w:val="DefaultParagraphFont"/>
    <w:uiPriority w:val="99"/>
    <w:semiHidden/>
    <w:unhideWhenUsed/>
    <w:rsid w:val="00317AC6"/>
    <w:rPr>
      <w:vertAlign w:val="superscript"/>
    </w:rPr>
  </w:style>
  <w:style w:type="character" w:styleId="CommentReference">
    <w:name w:val="annotation reference"/>
    <w:basedOn w:val="DefaultParagraphFont"/>
    <w:uiPriority w:val="99"/>
    <w:semiHidden/>
    <w:unhideWhenUsed/>
    <w:rsid w:val="00F645A8"/>
    <w:rPr>
      <w:sz w:val="16"/>
      <w:szCs w:val="16"/>
    </w:rPr>
  </w:style>
  <w:style w:type="paragraph" w:styleId="CommentText">
    <w:name w:val="annotation text"/>
    <w:basedOn w:val="Normal"/>
    <w:link w:val="CommentTextChar"/>
    <w:uiPriority w:val="99"/>
    <w:semiHidden/>
    <w:unhideWhenUsed/>
    <w:rsid w:val="00F645A8"/>
    <w:rPr>
      <w:sz w:val="20"/>
      <w:szCs w:val="20"/>
    </w:rPr>
  </w:style>
  <w:style w:type="character" w:customStyle="1" w:styleId="CommentTextChar">
    <w:name w:val="Comment Text Char"/>
    <w:basedOn w:val="DefaultParagraphFont"/>
    <w:link w:val="CommentText"/>
    <w:uiPriority w:val="99"/>
    <w:semiHidden/>
    <w:rsid w:val="00F645A8"/>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F645A8"/>
    <w:rPr>
      <w:b/>
      <w:bCs/>
    </w:rPr>
  </w:style>
  <w:style w:type="character" w:customStyle="1" w:styleId="CommentSubjectChar">
    <w:name w:val="Comment Subject Char"/>
    <w:basedOn w:val="CommentTextChar"/>
    <w:link w:val="CommentSubject"/>
    <w:uiPriority w:val="99"/>
    <w:semiHidden/>
    <w:rsid w:val="00F645A8"/>
    <w:rPr>
      <w:rFonts w:ascii="Arial" w:hAnsi="Arial" w:cs="Arial"/>
      <w:b/>
      <w:bCs/>
      <w:lang w:val="en-GB"/>
    </w:rPr>
  </w:style>
  <w:style w:type="character" w:styleId="FollowedHyperlink">
    <w:name w:val="FollowedHyperlink"/>
    <w:basedOn w:val="DefaultParagraphFont"/>
    <w:uiPriority w:val="99"/>
    <w:semiHidden/>
    <w:unhideWhenUsed/>
    <w:rsid w:val="00581F2C"/>
    <w:rPr>
      <w:color w:val="800080" w:themeColor="followedHyperlink"/>
      <w:u w:val="single"/>
    </w:rPr>
  </w:style>
  <w:style w:type="paragraph" w:customStyle="1" w:styleId="Bulletform">
    <w:name w:val="Bullet form"/>
    <w:basedOn w:val="Normal"/>
    <w:rsid w:val="00AB404D"/>
    <w:pPr>
      <w:numPr>
        <w:numId w:val="8"/>
      </w:numPr>
      <w:spacing w:before="120" w:after="0"/>
      <w:ind w:left="714" w:hanging="357"/>
      <w:jc w:val="both"/>
    </w:pPr>
    <w:rPr>
      <w:rFonts w:ascii="GoudyOlSt BT" w:hAnsi="GoudyOlSt BT"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6981">
      <w:bodyDiv w:val="1"/>
      <w:marLeft w:val="0"/>
      <w:marRight w:val="0"/>
      <w:marTop w:val="0"/>
      <w:marBottom w:val="0"/>
      <w:divBdr>
        <w:top w:val="none" w:sz="0" w:space="0" w:color="auto"/>
        <w:left w:val="none" w:sz="0" w:space="0" w:color="auto"/>
        <w:bottom w:val="none" w:sz="0" w:space="0" w:color="auto"/>
        <w:right w:val="none" w:sz="0" w:space="0" w:color="auto"/>
      </w:divBdr>
      <w:divsChild>
        <w:div w:id="549609779">
          <w:marLeft w:val="547"/>
          <w:marRight w:val="0"/>
          <w:marTop w:val="0"/>
          <w:marBottom w:val="0"/>
          <w:divBdr>
            <w:top w:val="none" w:sz="0" w:space="0" w:color="auto"/>
            <w:left w:val="none" w:sz="0" w:space="0" w:color="auto"/>
            <w:bottom w:val="none" w:sz="0" w:space="0" w:color="auto"/>
            <w:right w:val="none" w:sz="0" w:space="0" w:color="auto"/>
          </w:divBdr>
        </w:div>
      </w:divsChild>
    </w:div>
    <w:div w:id="683165957">
      <w:bodyDiv w:val="1"/>
      <w:marLeft w:val="0"/>
      <w:marRight w:val="0"/>
      <w:marTop w:val="0"/>
      <w:marBottom w:val="0"/>
      <w:divBdr>
        <w:top w:val="none" w:sz="0" w:space="0" w:color="auto"/>
        <w:left w:val="none" w:sz="0" w:space="0" w:color="auto"/>
        <w:bottom w:val="none" w:sz="0" w:space="0" w:color="auto"/>
        <w:right w:val="none" w:sz="0" w:space="0" w:color="auto"/>
      </w:divBdr>
    </w:div>
    <w:div w:id="1397975670">
      <w:bodyDiv w:val="1"/>
      <w:marLeft w:val="0"/>
      <w:marRight w:val="0"/>
      <w:marTop w:val="0"/>
      <w:marBottom w:val="0"/>
      <w:divBdr>
        <w:top w:val="none" w:sz="0" w:space="0" w:color="auto"/>
        <w:left w:val="none" w:sz="0" w:space="0" w:color="auto"/>
        <w:bottom w:val="none" w:sz="0" w:space="0" w:color="auto"/>
        <w:right w:val="none" w:sz="0" w:space="0" w:color="auto"/>
      </w:divBdr>
    </w:div>
    <w:div w:id="1890534336">
      <w:bodyDiv w:val="1"/>
      <w:marLeft w:val="0"/>
      <w:marRight w:val="0"/>
      <w:marTop w:val="0"/>
      <w:marBottom w:val="0"/>
      <w:divBdr>
        <w:top w:val="none" w:sz="0" w:space="0" w:color="auto"/>
        <w:left w:val="none" w:sz="0" w:space="0" w:color="auto"/>
        <w:bottom w:val="none" w:sz="0" w:space="0" w:color="auto"/>
        <w:right w:val="none" w:sz="0" w:space="0" w:color="auto"/>
      </w:divBdr>
      <w:divsChild>
        <w:div w:id="10718069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s://www.qcoss.org.au/sites/default/files/QCOSS%20LGAQ%20Recommissioning%20Report%20Dec%202013%20FINAL.pdf" TargetMode="External"/><Relationship Id="rId2" Type="http://schemas.openxmlformats.org/officeDocument/2006/relationships/hyperlink" Target="http://docs.education.gov.au/node/2632" TargetMode="External"/><Relationship Id="rId1" Type="http://schemas.openxmlformats.org/officeDocument/2006/relationships/hyperlink" Target="http://www.open.uwi.edu/sites/default/files/Prof%20Maureen%20Samms-Vaughan%20presentation%20June2011.pdf" TargetMode="External"/><Relationship Id="rId4" Type="http://schemas.openxmlformats.org/officeDocument/2006/relationships/hyperlink" Target="http://www.abs.gov.au/AUSSTATS/abs@.nsf/Lookup/1270.0.55.005Main+Features1July%202011?OpenDocu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png@01CBC454.B02877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CBC454.B0287710"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cid:image001.png@01CBC454.B0287710"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cid:image001.png@01CBC454.B0287710"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HODATA\RMS%20State%20Office\Management\Governance\G-11_Project%20Management\Policies\Early%20Childhood\Productivity%20Commission%20Enquiry%202014\Copy%20of%20Copy%20of%20Copy%20of%202014-08-27_C_Early%20Childhood%20GL%20Tranx%20FY12-14_k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Figure 1:</a:t>
            </a:r>
            <a:r>
              <a:rPr lang="en-AU" sz="1400" baseline="0"/>
              <a:t> Non-salary </a:t>
            </a:r>
            <a:r>
              <a:rPr lang="en-AU" sz="1400"/>
              <a:t>expenses as a proportion of all expenses for Long Day Care Services </a:t>
            </a:r>
            <a:r>
              <a:rPr lang="en-AU" sz="1400" baseline="0"/>
              <a:t>by region</a:t>
            </a:r>
            <a:endParaRPr lang="en-AU" sz="1400"/>
          </a:p>
        </c:rich>
      </c:tx>
      <c:overlay val="0"/>
      <c:spPr>
        <a:noFill/>
      </c:spPr>
    </c:title>
    <c:autoTitleDeleted val="0"/>
    <c:plotArea>
      <c:layout/>
      <c:barChart>
        <c:barDir val="col"/>
        <c:grouping val="percentStacked"/>
        <c:varyColors val="0"/>
        <c:ser>
          <c:idx val="3"/>
          <c:order val="0"/>
          <c:tx>
            <c:strRef>
              <c:f>Sheet3!$N$27</c:f>
              <c:strCache>
                <c:ptCount val="1"/>
                <c:pt idx="0">
                  <c:v>Management and overhead fees</c:v>
                </c:pt>
              </c:strCache>
            </c:strRef>
          </c:tx>
          <c:invertIfNegative val="0"/>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Sheet3!$O$27:$W$27</c:f>
              <c:numCache>
                <c:formatCode>0.00%</c:formatCode>
                <c:ptCount val="9"/>
                <c:pt idx="0">
                  <c:v>0.1109651800548685</c:v>
                </c:pt>
                <c:pt idx="1">
                  <c:v>8.9095365925479078E-2</c:v>
                </c:pt>
                <c:pt idx="2">
                  <c:v>9.3290840656492277E-2</c:v>
                </c:pt>
                <c:pt idx="3">
                  <c:v>0.10276525821715658</c:v>
                </c:pt>
                <c:pt idx="4">
                  <c:v>0.10212801035568039</c:v>
                </c:pt>
                <c:pt idx="5">
                  <c:v>9.9511590958925325E-2</c:v>
                </c:pt>
                <c:pt idx="6">
                  <c:v>0.10280937007280501</c:v>
                </c:pt>
                <c:pt idx="7">
                  <c:v>8.88121751893554E-2</c:v>
                </c:pt>
                <c:pt idx="8">
                  <c:v>9.8672223928845323E-2</c:v>
                </c:pt>
              </c:numCache>
            </c:numRef>
          </c:val>
        </c:ser>
        <c:ser>
          <c:idx val="8"/>
          <c:order val="1"/>
          <c:tx>
            <c:strRef>
              <c:f>Sheet3!$N$32</c:f>
              <c:strCache>
                <c:ptCount val="1"/>
                <c:pt idx="0">
                  <c:v>Other</c:v>
                </c:pt>
              </c:strCache>
            </c:strRef>
          </c:tx>
          <c:invertIfNegative val="0"/>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Sheet3!$O$32:$W$32</c:f>
              <c:numCache>
                <c:formatCode>0.00%</c:formatCode>
                <c:ptCount val="9"/>
                <c:pt idx="0">
                  <c:v>0</c:v>
                </c:pt>
                <c:pt idx="1">
                  <c:v>0.1056</c:v>
                </c:pt>
                <c:pt idx="2">
                  <c:v>0</c:v>
                </c:pt>
                <c:pt idx="3">
                  <c:v>2.1436420542478746E-5</c:v>
                </c:pt>
                <c:pt idx="4">
                  <c:v>0</c:v>
                </c:pt>
                <c:pt idx="5">
                  <c:v>0</c:v>
                </c:pt>
                <c:pt idx="6">
                  <c:v>0</c:v>
                </c:pt>
                <c:pt idx="7">
                  <c:v>1.3059130287601233E-4</c:v>
                </c:pt>
                <c:pt idx="8">
                  <c:v>1.3219003465427311E-2</c:v>
                </c:pt>
              </c:numCache>
            </c:numRef>
          </c:val>
        </c:ser>
        <c:ser>
          <c:idx val="0"/>
          <c:order val="2"/>
          <c:tx>
            <c:strRef>
              <c:f>Sheet3!$N$24</c:f>
              <c:strCache>
                <c:ptCount val="1"/>
                <c:pt idx="0">
                  <c:v>Recruitment and training</c:v>
                </c:pt>
              </c:strCache>
            </c:strRef>
          </c:tx>
          <c:invertIfNegative val="0"/>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Sheet3!$O$24:$W$24</c:f>
              <c:numCache>
                <c:formatCode>0.00%</c:formatCode>
                <c:ptCount val="9"/>
                <c:pt idx="0">
                  <c:v>8.206987162598595E-3</c:v>
                </c:pt>
                <c:pt idx="1">
                  <c:v>1.4022481862365261E-2</c:v>
                </c:pt>
                <c:pt idx="2">
                  <c:v>1.1370691876462479E-2</c:v>
                </c:pt>
                <c:pt idx="3">
                  <c:v>8.7167356625766166E-3</c:v>
                </c:pt>
                <c:pt idx="4">
                  <c:v>9.7888395195305372E-3</c:v>
                </c:pt>
                <c:pt idx="5">
                  <c:v>8.5262024420295294E-3</c:v>
                </c:pt>
                <c:pt idx="6">
                  <c:v>1.0882654827472268E-2</c:v>
                </c:pt>
                <c:pt idx="7">
                  <c:v>7.1119549545580751E-3</c:v>
                </c:pt>
                <c:pt idx="8">
                  <c:v>9.8283185384491698E-3</c:v>
                </c:pt>
              </c:numCache>
            </c:numRef>
          </c:val>
        </c:ser>
        <c:ser>
          <c:idx val="5"/>
          <c:order val="3"/>
          <c:tx>
            <c:strRef>
              <c:f>Sheet3!$N$29</c:f>
              <c:strCache>
                <c:ptCount val="1"/>
                <c:pt idx="0">
                  <c:v>Kitchen/laundry/cleaning</c:v>
                </c:pt>
              </c:strCache>
            </c:strRef>
          </c:tx>
          <c:invertIfNegative val="0"/>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Sheet3!$O$29:$W$29</c:f>
              <c:numCache>
                <c:formatCode>0.00%</c:formatCode>
                <c:ptCount val="9"/>
                <c:pt idx="0">
                  <c:v>7.4503694336334123E-3</c:v>
                </c:pt>
                <c:pt idx="1">
                  <c:v>5.1724695455984022E-3</c:v>
                </c:pt>
                <c:pt idx="2">
                  <c:v>1.0620732224580001E-2</c:v>
                </c:pt>
                <c:pt idx="3">
                  <c:v>9.7320920176815883E-3</c:v>
                </c:pt>
                <c:pt idx="4">
                  <c:v>9.0355508291067067E-3</c:v>
                </c:pt>
                <c:pt idx="5">
                  <c:v>1.5728457120792554E-2</c:v>
                </c:pt>
                <c:pt idx="6">
                  <c:v>7.2283499993763406E-3</c:v>
                </c:pt>
                <c:pt idx="7">
                  <c:v>2.1408127905059072E-2</c:v>
                </c:pt>
                <c:pt idx="8">
                  <c:v>1.079701863447851E-2</c:v>
                </c:pt>
              </c:numCache>
            </c:numRef>
          </c:val>
        </c:ser>
        <c:ser>
          <c:idx val="4"/>
          <c:order val="4"/>
          <c:tx>
            <c:strRef>
              <c:f>Sheet3!$N$28</c:f>
              <c:strCache>
                <c:ptCount val="1"/>
                <c:pt idx="0">
                  <c:v>Motor vehicles and transport</c:v>
                </c:pt>
              </c:strCache>
            </c:strRef>
          </c:tx>
          <c:invertIfNegative val="0"/>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Sheet3!$O$28:$W$28</c:f>
              <c:numCache>
                <c:formatCode>0.00%</c:formatCode>
                <c:ptCount val="9"/>
                <c:pt idx="0">
                  <c:v>1.1225559693022866E-3</c:v>
                </c:pt>
                <c:pt idx="1">
                  <c:v>2.4463789880215798E-3</c:v>
                </c:pt>
                <c:pt idx="2">
                  <c:v>4.2808237035617718E-3</c:v>
                </c:pt>
                <c:pt idx="3">
                  <c:v>0</c:v>
                </c:pt>
                <c:pt idx="4">
                  <c:v>2.7016898364320293E-3</c:v>
                </c:pt>
                <c:pt idx="5">
                  <c:v>0</c:v>
                </c:pt>
                <c:pt idx="6">
                  <c:v>1.2842476529098458E-4</c:v>
                </c:pt>
                <c:pt idx="7">
                  <c:v>3.9684176129280907E-5</c:v>
                </c:pt>
                <c:pt idx="8">
                  <c:v>1.3399446798422418E-3</c:v>
                </c:pt>
              </c:numCache>
            </c:numRef>
          </c:val>
        </c:ser>
        <c:ser>
          <c:idx val="1"/>
          <c:order val="5"/>
          <c:tx>
            <c:strRef>
              <c:f>Sheet3!$N$25</c:f>
              <c:strCache>
                <c:ptCount val="1"/>
                <c:pt idx="0">
                  <c:v>Client services, activities and programs</c:v>
                </c:pt>
              </c:strCache>
            </c:strRef>
          </c:tx>
          <c:invertIfNegative val="0"/>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Sheet3!$O$25:$W$25</c:f>
              <c:numCache>
                <c:formatCode>0.00%</c:formatCode>
                <c:ptCount val="9"/>
                <c:pt idx="0">
                  <c:v>6.8552134978614593E-3</c:v>
                </c:pt>
                <c:pt idx="1">
                  <c:v>1.4629600710417218E-2</c:v>
                </c:pt>
                <c:pt idx="2">
                  <c:v>1.0929683073476521E-2</c:v>
                </c:pt>
                <c:pt idx="3">
                  <c:v>5.0137726039239964E-3</c:v>
                </c:pt>
                <c:pt idx="4">
                  <c:v>8.8924482856689892E-3</c:v>
                </c:pt>
                <c:pt idx="5">
                  <c:v>2.6400781352291691E-2</c:v>
                </c:pt>
                <c:pt idx="6">
                  <c:v>4.8668654162117575E-2</c:v>
                </c:pt>
                <c:pt idx="7">
                  <c:v>2.3767524705901488E-2</c:v>
                </c:pt>
                <c:pt idx="8">
                  <c:v>1.8144709798957367E-2</c:v>
                </c:pt>
              </c:numCache>
            </c:numRef>
          </c:val>
        </c:ser>
        <c:ser>
          <c:idx val="2"/>
          <c:order val="6"/>
          <c:tx>
            <c:strRef>
              <c:f>Sheet3!$N$26</c:f>
              <c:strCache>
                <c:ptCount val="1"/>
                <c:pt idx="0">
                  <c:v>Administration inluding IT and communication</c:v>
                </c:pt>
              </c:strCache>
            </c:strRef>
          </c:tx>
          <c:invertIfNegative val="0"/>
          <c:dLbls>
            <c:dLblPos val="ctr"/>
            <c:showLegendKey val="0"/>
            <c:showVal val="1"/>
            <c:showCatName val="0"/>
            <c:showSerName val="0"/>
            <c:showPercent val="0"/>
            <c:showBubbleSize val="0"/>
            <c:showLeaderLines val="0"/>
          </c:dLbls>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Sheet3!$O$26:$W$26</c:f>
              <c:numCache>
                <c:formatCode>0.00%</c:formatCode>
                <c:ptCount val="9"/>
                <c:pt idx="0">
                  <c:v>3.1742277940356577E-2</c:v>
                </c:pt>
                <c:pt idx="1">
                  <c:v>3.7002382925877854E-2</c:v>
                </c:pt>
                <c:pt idx="2">
                  <c:v>4.4216719155388835E-2</c:v>
                </c:pt>
                <c:pt idx="3">
                  <c:v>2.0708716180923709E-2</c:v>
                </c:pt>
                <c:pt idx="4">
                  <c:v>3.7979498547872706E-2</c:v>
                </c:pt>
                <c:pt idx="5">
                  <c:v>2.7422861532606896E-2</c:v>
                </c:pt>
                <c:pt idx="6">
                  <c:v>2.3939031904900748E-2</c:v>
                </c:pt>
                <c:pt idx="7">
                  <c:v>2.2544726947972174E-2</c:v>
                </c:pt>
                <c:pt idx="8">
                  <c:v>3.0694526891987435E-2</c:v>
                </c:pt>
              </c:numCache>
            </c:numRef>
          </c:val>
        </c:ser>
        <c:ser>
          <c:idx val="6"/>
          <c:order val="7"/>
          <c:tx>
            <c:strRef>
              <c:f>Sheet3!$N$30</c:f>
              <c:strCache>
                <c:ptCount val="1"/>
                <c:pt idx="0">
                  <c:v>Maintenance and utilities</c:v>
                </c:pt>
              </c:strCache>
            </c:strRef>
          </c:tx>
          <c:invertIfNegative val="0"/>
          <c:dLbls>
            <c:dLblPos val="ctr"/>
            <c:showLegendKey val="0"/>
            <c:showVal val="1"/>
            <c:showCatName val="0"/>
            <c:showSerName val="0"/>
            <c:showPercent val="0"/>
            <c:showBubbleSize val="0"/>
            <c:showLeaderLines val="0"/>
          </c:dLbls>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Sheet3!$O$30:$W$30</c:f>
              <c:numCache>
                <c:formatCode>0.00%</c:formatCode>
                <c:ptCount val="9"/>
                <c:pt idx="0">
                  <c:v>6.3107050285759428E-2</c:v>
                </c:pt>
                <c:pt idx="1">
                  <c:v>5.3045239406273058E-2</c:v>
                </c:pt>
                <c:pt idx="2">
                  <c:v>3.7404766262508979E-2</c:v>
                </c:pt>
                <c:pt idx="3">
                  <c:v>3.6071929464856066E-2</c:v>
                </c:pt>
                <c:pt idx="4">
                  <c:v>5.0255908274134203E-2</c:v>
                </c:pt>
                <c:pt idx="5">
                  <c:v>4.768847433352455E-2</c:v>
                </c:pt>
                <c:pt idx="6">
                  <c:v>4.5847769360942953E-2</c:v>
                </c:pt>
                <c:pt idx="7">
                  <c:v>3.762431109761407E-2</c:v>
                </c:pt>
                <c:pt idx="8">
                  <c:v>4.6380681060701652E-2</c:v>
                </c:pt>
              </c:numCache>
            </c:numRef>
          </c:val>
        </c:ser>
        <c:ser>
          <c:idx val="7"/>
          <c:order val="8"/>
          <c:tx>
            <c:strRef>
              <c:f>Sheet3!$N$31</c:f>
              <c:strCache>
                <c:ptCount val="1"/>
                <c:pt idx="0">
                  <c:v>Rent/building depreciation (see notes)</c:v>
                </c:pt>
              </c:strCache>
            </c:strRef>
          </c:tx>
          <c:invertIfNegative val="0"/>
          <c:dLbls>
            <c:dLblPos val="ctr"/>
            <c:showLegendKey val="0"/>
            <c:showVal val="1"/>
            <c:showCatName val="0"/>
            <c:showSerName val="0"/>
            <c:showPercent val="0"/>
            <c:showBubbleSize val="0"/>
            <c:showLeaderLines val="0"/>
          </c:dLbls>
          <c:cat>
            <c:strRef>
              <c:f>Sheet3!$O$22:$W$22</c:f>
              <c:strCache>
                <c:ptCount val="9"/>
                <c:pt idx="0">
                  <c:v>Very Remote Service A</c:v>
                </c:pt>
                <c:pt idx="1">
                  <c:v>Very Remote Service B</c:v>
                </c:pt>
                <c:pt idx="2">
                  <c:v>Remote</c:v>
                </c:pt>
                <c:pt idx="3">
                  <c:v>Inner Regional Service A</c:v>
                </c:pt>
                <c:pt idx="4">
                  <c:v>Inner Regional Service B</c:v>
                </c:pt>
                <c:pt idx="5">
                  <c:v>Inner Regional Service C</c:v>
                </c:pt>
                <c:pt idx="6">
                  <c:v>Inner Regional Service D</c:v>
                </c:pt>
                <c:pt idx="7">
                  <c:v>Major City Service</c:v>
                </c:pt>
                <c:pt idx="8">
                  <c:v>Average</c:v>
                </c:pt>
              </c:strCache>
            </c:strRef>
          </c:cat>
          <c:val>
            <c:numRef>
              <c:f>Sheet3!$O$31:$W$31</c:f>
              <c:numCache>
                <c:formatCode>0.00%</c:formatCode>
                <c:ptCount val="9"/>
                <c:pt idx="0">
                  <c:v>3.5348919167984182E-2</c:v>
                </c:pt>
                <c:pt idx="1">
                  <c:v>7.5283771713120451E-2</c:v>
                </c:pt>
                <c:pt idx="2">
                  <c:v>5.2559064791327027E-2</c:v>
                </c:pt>
                <c:pt idx="3">
                  <c:v>3.9826278802445846E-2</c:v>
                </c:pt>
                <c:pt idx="4">
                  <c:v>4.3953991979655604E-2</c:v>
                </c:pt>
                <c:pt idx="5">
                  <c:v>3.3303055557390049E-2</c:v>
                </c:pt>
                <c:pt idx="6">
                  <c:v>1.2330020477162548E-2</c:v>
                </c:pt>
                <c:pt idx="7">
                  <c:v>6.3895942365522915E-2</c:v>
                </c:pt>
                <c:pt idx="8">
                  <c:v>4.4562630606826081E-2</c:v>
                </c:pt>
              </c:numCache>
            </c:numRef>
          </c:val>
        </c:ser>
        <c:dLbls>
          <c:showLegendKey val="0"/>
          <c:showVal val="0"/>
          <c:showCatName val="0"/>
          <c:showSerName val="0"/>
          <c:showPercent val="0"/>
          <c:showBubbleSize val="0"/>
        </c:dLbls>
        <c:gapWidth val="95"/>
        <c:overlap val="100"/>
        <c:axId val="65636992"/>
        <c:axId val="65642880"/>
      </c:barChart>
      <c:catAx>
        <c:axId val="65636992"/>
        <c:scaling>
          <c:orientation val="minMax"/>
        </c:scaling>
        <c:delete val="0"/>
        <c:axPos val="b"/>
        <c:majorTickMark val="none"/>
        <c:minorTickMark val="none"/>
        <c:tickLblPos val="nextTo"/>
        <c:crossAx val="65642880"/>
        <c:crosses val="autoZero"/>
        <c:auto val="1"/>
        <c:lblAlgn val="ctr"/>
        <c:lblOffset val="100"/>
        <c:noMultiLvlLbl val="0"/>
      </c:catAx>
      <c:valAx>
        <c:axId val="65642880"/>
        <c:scaling>
          <c:orientation val="minMax"/>
        </c:scaling>
        <c:delete val="1"/>
        <c:axPos val="l"/>
        <c:majorGridlines/>
        <c:numFmt formatCode="0%" sourceLinked="1"/>
        <c:majorTickMark val="none"/>
        <c:minorTickMark val="none"/>
        <c:tickLblPos val="nextTo"/>
        <c:crossAx val="656369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9a833da-4459-4cf7-bf62-29003136993d">COFCQ-1047-1</_dlc_DocId>
    <_dlc_DocIdUrl xmlns="19a833da-4459-4cf7-bf62-29003136993d">
      <Url>http://intranet/Divisional Pages/smt/_layouts/DocIdRedir.aspx?ID=COFCQ-1047-1</Url>
      <Description>COFCQ-1047-1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6E14292E7A34EAD69A46A721AC9D3" ma:contentTypeVersion="0" ma:contentTypeDescription="Create a new document." ma:contentTypeScope="" ma:versionID="f787c0979ccb996c58e18684d9a42c5e">
  <xsd:schema xmlns:xsd="http://www.w3.org/2001/XMLSchema" xmlns:xs="http://www.w3.org/2001/XMLSchema" xmlns:p="http://schemas.microsoft.com/office/2006/metadata/properties" xmlns:ns2="19a833da-4459-4cf7-bf62-29003136993d" targetNamespace="http://schemas.microsoft.com/office/2006/metadata/properties" ma:root="true" ma:fieldsID="4ad8f461caf91cadab6fcc1932b34617" ns2:_="">
    <xsd:import namespace="19a833da-4459-4cf7-bf62-29003136993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33da-4459-4cf7-bf62-2900313699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4C4A-0868-4C96-A0AF-9DD65AD6FED3}">
  <ds:schemaRefs>
    <ds:schemaRef ds:uri="http://purl.org/dc/elements/1.1/"/>
    <ds:schemaRef ds:uri="http://schemas.microsoft.com/office/2006/documentManagement/types"/>
    <ds:schemaRef ds:uri="19a833da-4459-4cf7-bf62-29003136993d"/>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20E4A2A-21CD-46CD-9C88-8C8B937C0BBE}">
  <ds:schemaRefs>
    <ds:schemaRef ds:uri="http://schemas.microsoft.com/sharepoint/v3/contenttype/forms"/>
  </ds:schemaRefs>
</ds:datastoreItem>
</file>

<file path=customXml/itemProps3.xml><?xml version="1.0" encoding="utf-8"?>
<ds:datastoreItem xmlns:ds="http://schemas.openxmlformats.org/officeDocument/2006/customXml" ds:itemID="{A718C146-E34A-468F-8861-5A413B652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33da-4459-4cf7-bf62-290031369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B99DC-F19E-41E3-8056-2E85D2E5466D}">
  <ds:schemaRefs>
    <ds:schemaRef ds:uri="http://schemas.microsoft.com/sharepoint/events"/>
  </ds:schemaRefs>
</ds:datastoreItem>
</file>

<file path=customXml/itemProps5.xml><?xml version="1.0" encoding="utf-8"?>
<ds:datastoreItem xmlns:ds="http://schemas.openxmlformats.org/officeDocument/2006/customXml" ds:itemID="{90AE1700-35D2-4563-AABA-1CF0EE63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DR574 - Churches of Christ Care - Childcare and Early Childhood Learning - Public inquiry</vt:lpstr>
    </vt:vector>
  </TitlesOfParts>
  <Company/>
  <LinksUpToDate>false</LinksUpToDate>
  <CharactersWithSpaces>19684</CharactersWithSpaces>
  <SharedDoc>false</SharedDoc>
  <HLinks>
    <vt:vector size="24" baseType="variant">
      <vt:variant>
        <vt:i4>8060970</vt:i4>
      </vt:variant>
      <vt:variant>
        <vt:i4>15</vt:i4>
      </vt:variant>
      <vt:variant>
        <vt:i4>0</vt:i4>
      </vt:variant>
      <vt:variant>
        <vt:i4>5</vt:i4>
      </vt:variant>
      <vt:variant>
        <vt:lpwstr>http://www.cofcqld.com.au/</vt:lpwstr>
      </vt:variant>
      <vt:variant>
        <vt:lpwstr/>
      </vt:variant>
      <vt:variant>
        <vt:i4>1048638</vt:i4>
      </vt:variant>
      <vt:variant>
        <vt:i4>8</vt:i4>
      </vt:variant>
      <vt:variant>
        <vt:i4>0</vt:i4>
      </vt:variant>
      <vt:variant>
        <vt:i4>5</vt:i4>
      </vt:variant>
      <vt:variant>
        <vt:lpwstr/>
      </vt:variant>
      <vt:variant>
        <vt:lpwstr>_Toc303693726</vt:lpwstr>
      </vt:variant>
      <vt:variant>
        <vt:i4>1048638</vt:i4>
      </vt:variant>
      <vt:variant>
        <vt:i4>2</vt:i4>
      </vt:variant>
      <vt:variant>
        <vt:i4>0</vt:i4>
      </vt:variant>
      <vt:variant>
        <vt:i4>5</vt:i4>
      </vt:variant>
      <vt:variant>
        <vt:lpwstr/>
      </vt:variant>
      <vt:variant>
        <vt:lpwstr>_Toc303693725</vt:lpwstr>
      </vt:variant>
      <vt:variant>
        <vt:i4>7012447</vt:i4>
      </vt:variant>
      <vt:variant>
        <vt:i4>-1</vt:i4>
      </vt:variant>
      <vt:variant>
        <vt:i4>2055</vt:i4>
      </vt:variant>
      <vt:variant>
        <vt:i4>1</vt:i4>
      </vt:variant>
      <vt:variant>
        <vt:lpwstr>cid:image001.png@01CBC454.B0287710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DR574 - Churches of Christ Care - Childcare and Early Childhood Learning - Public inquiry</dc:title>
  <dc:creator>Churches of Christ Care</dc:creator>
  <cp:lastModifiedBy>Pimperl, Mark</cp:lastModifiedBy>
  <cp:revision>6</cp:revision>
  <cp:lastPrinted>2014-09-01T07:21:00Z</cp:lastPrinted>
  <dcterms:created xsi:type="dcterms:W3CDTF">2014-09-02T04:19:00Z</dcterms:created>
  <dcterms:modified xsi:type="dcterms:W3CDTF">2014-09-04T06:02:00Z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0x010100CAA6E14292E7A34EAD69A46A721AC9D3</vt:lpwstr>
  </property>
  <property fmtid="{D5CDD505-2E9C-101B-9397-08002B2CF9AE}" pid="3" name="TaxKeyword">
    <vt:lpwstr/>
  </property>
  <property fmtid="{D5CDD505-2E9C-101B-9397-08002B2CF9AE}" pid="4" name="_dlc_DocIdItemGuid">
    <vt:lpwstr>29cbbb31-ceee-4e3f-a200-7d23ebe043f2</vt:lpwstr>
  </property>
</Properties>
</file>