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B8" w:rsidRPr="00BD6110" w:rsidRDefault="004974B1" w:rsidP="00BD6110">
      <w:pPr>
        <w:jc w:val="center"/>
        <w:rPr>
          <w:rFonts w:cs="Times New Roman"/>
          <w:b/>
          <w:sz w:val="32"/>
          <w:szCs w:val="32"/>
        </w:rPr>
      </w:pPr>
      <w:bookmarkStart w:id="0" w:name="_GoBack"/>
      <w:bookmarkEnd w:id="0"/>
      <w:r>
        <w:rPr>
          <w:rFonts w:cs="Times New Roman"/>
          <w:b/>
          <w:sz w:val="32"/>
          <w:szCs w:val="32"/>
        </w:rPr>
        <w:t>The</w:t>
      </w:r>
      <w:r w:rsidR="00D655B8" w:rsidRPr="00D01A3B">
        <w:rPr>
          <w:rFonts w:cs="Times New Roman"/>
          <w:b/>
          <w:sz w:val="32"/>
          <w:szCs w:val="32"/>
        </w:rPr>
        <w:t xml:space="preserve"> </w:t>
      </w:r>
      <w:r w:rsidR="00171389">
        <w:rPr>
          <w:rFonts w:cs="Times New Roman"/>
          <w:b/>
          <w:sz w:val="32"/>
          <w:szCs w:val="32"/>
        </w:rPr>
        <w:t xml:space="preserve">investment we can’t afford not to make: ensuring the </w:t>
      </w:r>
      <w:r>
        <w:rPr>
          <w:rFonts w:cs="Times New Roman"/>
          <w:b/>
          <w:sz w:val="32"/>
          <w:szCs w:val="32"/>
        </w:rPr>
        <w:t>most</w:t>
      </w:r>
      <w:r w:rsidR="00D655B8" w:rsidRPr="00D01A3B">
        <w:rPr>
          <w:rFonts w:cs="Times New Roman"/>
          <w:b/>
          <w:sz w:val="32"/>
          <w:szCs w:val="32"/>
        </w:rPr>
        <w:t xml:space="preserve"> vulnerable children and families</w:t>
      </w:r>
      <w:r>
        <w:rPr>
          <w:rFonts w:cs="Times New Roman"/>
          <w:b/>
          <w:sz w:val="32"/>
          <w:szCs w:val="32"/>
        </w:rPr>
        <w:t xml:space="preserve"> </w:t>
      </w:r>
      <w:r w:rsidR="00171389">
        <w:rPr>
          <w:rFonts w:cs="Times New Roman"/>
          <w:b/>
          <w:sz w:val="32"/>
          <w:szCs w:val="32"/>
        </w:rPr>
        <w:t>have</w:t>
      </w:r>
      <w:r>
        <w:rPr>
          <w:rFonts w:cs="Times New Roman"/>
          <w:b/>
          <w:sz w:val="32"/>
          <w:szCs w:val="32"/>
        </w:rPr>
        <w:t xml:space="preserve"> acce</w:t>
      </w:r>
      <w:r w:rsidR="00AE6A33">
        <w:rPr>
          <w:rFonts w:cs="Times New Roman"/>
          <w:b/>
          <w:sz w:val="32"/>
          <w:szCs w:val="32"/>
        </w:rPr>
        <w:t xml:space="preserve">ss to Australia’s </w:t>
      </w:r>
      <w:r>
        <w:rPr>
          <w:rFonts w:cs="Times New Roman"/>
          <w:b/>
          <w:sz w:val="32"/>
          <w:szCs w:val="32"/>
        </w:rPr>
        <w:t xml:space="preserve">early childhood education </w:t>
      </w:r>
      <w:r w:rsidR="00AE6A33">
        <w:rPr>
          <w:rFonts w:cs="Times New Roman"/>
          <w:b/>
          <w:sz w:val="32"/>
          <w:szCs w:val="32"/>
        </w:rPr>
        <w:t xml:space="preserve">and care </w:t>
      </w:r>
      <w:r>
        <w:rPr>
          <w:rFonts w:cs="Times New Roman"/>
          <w:b/>
          <w:sz w:val="32"/>
          <w:szCs w:val="32"/>
        </w:rPr>
        <w:t>systems</w:t>
      </w:r>
    </w:p>
    <w:p w:rsidR="00D655B8" w:rsidRDefault="00D655B8" w:rsidP="00D655B8">
      <w:pPr>
        <w:autoSpaceDE w:val="0"/>
        <w:autoSpaceDN w:val="0"/>
        <w:adjustRightInd w:val="0"/>
        <w:spacing w:after="0" w:line="240" w:lineRule="auto"/>
        <w:rPr>
          <w:rFonts w:cs="Times New Roman"/>
        </w:rPr>
      </w:pPr>
    </w:p>
    <w:p w:rsidR="00416FB0" w:rsidRPr="00C70D3E" w:rsidRDefault="00416FB0" w:rsidP="00416FB0">
      <w:pPr>
        <w:autoSpaceDE w:val="0"/>
        <w:autoSpaceDN w:val="0"/>
        <w:adjustRightInd w:val="0"/>
        <w:spacing w:after="0" w:line="240" w:lineRule="auto"/>
        <w:ind w:left="720"/>
        <w:rPr>
          <w:rFonts w:cs="Times New Roman"/>
          <w:i/>
        </w:rPr>
      </w:pPr>
      <w:r w:rsidRPr="00C70D3E">
        <w:rPr>
          <w:rFonts w:cs="Times New Roman"/>
          <w:i/>
        </w:rPr>
        <w:t>Investing in disadvantaged young children is a rare public policy with no equity-efficiency tradeoff. It reduces the inequality associated with the accident of birth and at the same time raises the productivity of society at large</w:t>
      </w:r>
      <w:r w:rsidR="009C0F3F" w:rsidRPr="00C70D3E">
        <w:rPr>
          <w:rFonts w:cs="Times New Roman"/>
          <w:i/>
        </w:rPr>
        <w:t xml:space="preserve"> (Heckman and </w:t>
      </w:r>
      <w:proofErr w:type="spellStart"/>
      <w:r w:rsidR="009C0F3F" w:rsidRPr="00C70D3E">
        <w:rPr>
          <w:rFonts w:cs="Times New Roman"/>
          <w:i/>
        </w:rPr>
        <w:t>Masterov</w:t>
      </w:r>
      <w:proofErr w:type="spellEnd"/>
      <w:r w:rsidR="009C0F3F" w:rsidRPr="00C70D3E">
        <w:rPr>
          <w:rFonts w:cs="Times New Roman"/>
          <w:i/>
        </w:rPr>
        <w:t>, 2007)</w:t>
      </w:r>
      <w:r w:rsidRPr="00C70D3E">
        <w:rPr>
          <w:rFonts w:cs="Times New Roman"/>
          <w:i/>
        </w:rPr>
        <w:t>.</w:t>
      </w:r>
    </w:p>
    <w:p w:rsidR="00416FB0" w:rsidRDefault="00416FB0"/>
    <w:p w:rsidR="005A4C6A" w:rsidRDefault="005A4C6A" w:rsidP="00B94967">
      <w:pPr>
        <w:jc w:val="both"/>
      </w:pPr>
      <w:r>
        <w:t>Australia’s childcare and early childhood learning systems are failing its most vulnerable children, those in an</w:t>
      </w:r>
      <w:r w:rsidR="004974B1">
        <w:t>d</w:t>
      </w:r>
      <w:r>
        <w:t xml:space="preserve"> on the edges of child protection. These children do not have consistent access to enough </w:t>
      </w:r>
      <w:r w:rsidR="00AE6A33">
        <w:t>quality early childhood education and care (</w:t>
      </w:r>
      <w:proofErr w:type="spellStart"/>
      <w:r w:rsidR="00AE6A33">
        <w:t>ECEC</w:t>
      </w:r>
      <w:proofErr w:type="spellEnd"/>
      <w:r w:rsidR="00AE6A33">
        <w:t>)</w:t>
      </w:r>
      <w:r>
        <w:t xml:space="preserve"> to protect and nurture their growing brains and bodies. </w:t>
      </w:r>
      <w:r w:rsidR="00AE6A33">
        <w:t>Less</w:t>
      </w:r>
      <w:r w:rsidR="00627859">
        <w:t xml:space="preserve"> than 1 in </w:t>
      </w:r>
      <w:r w:rsidR="00217D09">
        <w:t>6</w:t>
      </w:r>
      <w:r w:rsidR="00627859">
        <w:t xml:space="preserve"> </w:t>
      </w:r>
      <w:r w:rsidR="00AE6A33">
        <w:t xml:space="preserve">children who are </w:t>
      </w:r>
      <w:r w:rsidR="00627859">
        <w:t xml:space="preserve">‘at risk’ </w:t>
      </w:r>
      <w:r w:rsidR="00AE6A33">
        <w:t>because of abuse and neglect</w:t>
      </w:r>
      <w:r w:rsidR="00627859">
        <w:t xml:space="preserve"> are accessing early childhood education and care</w:t>
      </w:r>
      <w:r w:rsidR="00D278C8">
        <w:t xml:space="preserve"> and for those children their funding is intermittent</w:t>
      </w:r>
      <w:r w:rsidR="00627859">
        <w:t xml:space="preserve">. </w:t>
      </w:r>
      <w:r>
        <w:t xml:space="preserve">As a result they are at heightened risk of irreversible harm that imposes avoidable suffering and </w:t>
      </w:r>
      <w:r w:rsidR="002758A2">
        <w:t>loss</w:t>
      </w:r>
      <w:r>
        <w:t xml:space="preserve"> on them and </w:t>
      </w:r>
      <w:r w:rsidR="005E5758">
        <w:t xml:space="preserve">significant costs </w:t>
      </w:r>
      <w:r>
        <w:t>on the wider community.</w:t>
      </w:r>
    </w:p>
    <w:p w:rsidR="005A4C6A" w:rsidRDefault="009E675D" w:rsidP="00B94967">
      <w:pPr>
        <w:jc w:val="both"/>
      </w:pPr>
      <w:r>
        <w:t>The Commonwealth’s</w:t>
      </w:r>
      <w:r w:rsidR="005A4C6A">
        <w:t xml:space="preserve"> family assistance legislation provides for the needs of </w:t>
      </w:r>
      <w:r w:rsidR="00C70D3E">
        <w:t>‘</w:t>
      </w:r>
      <w:r w:rsidR="005A4C6A">
        <w:t>at risk</w:t>
      </w:r>
      <w:r w:rsidR="00C70D3E">
        <w:t>’</w:t>
      </w:r>
      <w:r w:rsidR="005A4C6A">
        <w:t xml:space="preserve"> children, but </w:t>
      </w:r>
      <w:r w:rsidR="004974B1">
        <w:t xml:space="preserve">poor </w:t>
      </w:r>
      <w:r>
        <w:t xml:space="preserve">implementation by </w:t>
      </w:r>
      <w:r w:rsidR="005A4C6A">
        <w:t xml:space="preserve">successive governments </w:t>
      </w:r>
      <w:r w:rsidR="004974B1">
        <w:t>has resulted in erratic case-by-case decisions on access for vulnerable children and a global lack of funding.</w:t>
      </w:r>
    </w:p>
    <w:p w:rsidR="004974B1" w:rsidRDefault="004974B1" w:rsidP="00B94967">
      <w:pPr>
        <w:jc w:val="both"/>
      </w:pPr>
      <w:r>
        <w:t xml:space="preserve">However, </w:t>
      </w:r>
      <w:r w:rsidR="00265C3A">
        <w:t>with some small changes in process and funding of the Commonwealth’s Special Child</w:t>
      </w:r>
      <w:r w:rsidR="006311A7">
        <w:t xml:space="preserve"> C</w:t>
      </w:r>
      <w:r w:rsidR="00265C3A">
        <w:t>are Benefit</w:t>
      </w:r>
      <w:r w:rsidR="006311A7">
        <w:t xml:space="preserve"> (</w:t>
      </w:r>
      <w:proofErr w:type="spellStart"/>
      <w:r w:rsidR="006311A7">
        <w:t>SCCB</w:t>
      </w:r>
      <w:proofErr w:type="spellEnd"/>
      <w:r w:rsidR="006311A7">
        <w:t>)</w:t>
      </w:r>
      <w:r w:rsidR="00265C3A">
        <w:t xml:space="preserve">, vulnerable children could begin to access childcare and early childhood education for the </w:t>
      </w:r>
      <w:r w:rsidR="000B2D9A">
        <w:t>3+</w:t>
      </w:r>
      <w:r w:rsidR="00265C3A">
        <w:t xml:space="preserve"> years needed to ensure their safe </w:t>
      </w:r>
      <w:r w:rsidR="00AE6A33">
        <w:t xml:space="preserve">and full </w:t>
      </w:r>
      <w:r w:rsidR="00265C3A">
        <w:t xml:space="preserve">development, </w:t>
      </w:r>
      <w:r w:rsidR="00627859">
        <w:t xml:space="preserve">to </w:t>
      </w:r>
      <w:r w:rsidR="00265C3A">
        <w:t>prepare them to participate in school</w:t>
      </w:r>
      <w:r w:rsidR="002758A2">
        <w:t>,</w:t>
      </w:r>
      <w:r w:rsidR="00265C3A">
        <w:t xml:space="preserve"> and </w:t>
      </w:r>
      <w:r w:rsidR="00627859">
        <w:t xml:space="preserve">to </w:t>
      </w:r>
      <w:r w:rsidR="004A35D0">
        <w:t xml:space="preserve">ultimately </w:t>
      </w:r>
      <w:r w:rsidR="00265C3A">
        <w:t xml:space="preserve">change the trajectories of their lives. </w:t>
      </w:r>
    </w:p>
    <w:p w:rsidR="00B94967" w:rsidRDefault="00B94967" w:rsidP="00B94967">
      <w:pPr>
        <w:jc w:val="both"/>
      </w:pPr>
      <w:r>
        <w:t xml:space="preserve">While the most of changes to the </w:t>
      </w:r>
      <w:proofErr w:type="spellStart"/>
      <w:r w:rsidR="00AE6A33">
        <w:t>ECEC</w:t>
      </w:r>
      <w:proofErr w:type="spellEnd"/>
      <w:r>
        <w:t xml:space="preserve"> system proposed in the Productivity Commission’s draft report are complex and have significant fiscal implications, reform to </w:t>
      </w:r>
      <w:proofErr w:type="spellStart"/>
      <w:r>
        <w:t>SCCB</w:t>
      </w:r>
      <w:proofErr w:type="spellEnd"/>
      <w:r>
        <w:t xml:space="preserve"> is relatively simple and inexpensive.  </w:t>
      </w:r>
      <w:r w:rsidR="00AE6A33">
        <w:t>T</w:t>
      </w:r>
      <w:r>
        <w:t>he impact</w:t>
      </w:r>
      <w:r w:rsidR="00AE6A33">
        <w:t>, however,</w:t>
      </w:r>
      <w:r>
        <w:t xml:space="preserve"> will be enormous. These changes are critical to protect Australia’s most vulnerable children and the resulting savings and increased productivity will flow on to the wider community. It is an investment Australia can’t afford not to make.</w:t>
      </w:r>
    </w:p>
    <w:p w:rsidR="00126216" w:rsidRPr="00EB7EA5" w:rsidRDefault="00126216" w:rsidP="00B94967">
      <w:pPr>
        <w:jc w:val="both"/>
        <w:rPr>
          <w:b/>
          <w:i/>
        </w:rPr>
      </w:pPr>
      <w:r w:rsidRPr="00EB7EA5">
        <w:rPr>
          <w:b/>
          <w:i/>
        </w:rPr>
        <w:t xml:space="preserve">Most urgently, the consistency of </w:t>
      </w:r>
      <w:proofErr w:type="spellStart"/>
      <w:r w:rsidRPr="00EB7EA5">
        <w:rPr>
          <w:b/>
          <w:i/>
        </w:rPr>
        <w:t>SCCB</w:t>
      </w:r>
      <w:proofErr w:type="spellEnd"/>
      <w:r w:rsidRPr="00EB7EA5">
        <w:rPr>
          <w:b/>
          <w:i/>
        </w:rPr>
        <w:t xml:space="preserve"> renewal decisions by Centrelink needs to be improved. A simple checklist/score card would ensure that the neediest children are prioritised for renewals. It would also clarify what evidence of </w:t>
      </w:r>
      <w:r w:rsidR="007B2B49" w:rsidRPr="00EB7EA5">
        <w:rPr>
          <w:b/>
          <w:i/>
        </w:rPr>
        <w:t>‘</w:t>
      </w:r>
      <w:r w:rsidRPr="00EB7EA5">
        <w:rPr>
          <w:b/>
          <w:i/>
        </w:rPr>
        <w:t>risk</w:t>
      </w:r>
      <w:r w:rsidR="007B2B49" w:rsidRPr="00EB7EA5">
        <w:rPr>
          <w:b/>
          <w:i/>
        </w:rPr>
        <w:t>’</w:t>
      </w:r>
      <w:r w:rsidRPr="00EB7EA5">
        <w:rPr>
          <w:b/>
          <w:i/>
        </w:rPr>
        <w:t xml:space="preserve"> </w:t>
      </w:r>
      <w:r w:rsidR="004A35D0">
        <w:rPr>
          <w:b/>
          <w:i/>
        </w:rPr>
        <w:t>Early Childhood Education and Care (</w:t>
      </w:r>
      <w:proofErr w:type="spellStart"/>
      <w:r w:rsidR="004A35D0">
        <w:rPr>
          <w:b/>
          <w:i/>
        </w:rPr>
        <w:t>ECEC</w:t>
      </w:r>
      <w:proofErr w:type="spellEnd"/>
      <w:r w:rsidR="004A35D0">
        <w:rPr>
          <w:b/>
          <w:i/>
        </w:rPr>
        <w:t>)</w:t>
      </w:r>
      <w:r w:rsidRPr="00EB7EA5">
        <w:rPr>
          <w:b/>
          <w:i/>
        </w:rPr>
        <w:t xml:space="preserve"> services need to provide to Centrelink.</w:t>
      </w:r>
    </w:p>
    <w:p w:rsidR="00126216" w:rsidRDefault="00126216" w:rsidP="00B94967">
      <w:pPr>
        <w:jc w:val="both"/>
      </w:pPr>
    </w:p>
    <w:p w:rsidR="009D5CD9" w:rsidRDefault="009D5CD9">
      <w:pPr>
        <w:rPr>
          <w:sz w:val="28"/>
          <w:szCs w:val="28"/>
        </w:rPr>
      </w:pPr>
      <w:r>
        <w:rPr>
          <w:sz w:val="28"/>
          <w:szCs w:val="28"/>
        </w:rPr>
        <w:br w:type="page"/>
      </w:r>
    </w:p>
    <w:p w:rsidR="006311A7" w:rsidRPr="004A35D0" w:rsidRDefault="00E756F6" w:rsidP="004A35D0">
      <w:pPr>
        <w:jc w:val="center"/>
        <w:rPr>
          <w:sz w:val="28"/>
          <w:szCs w:val="28"/>
        </w:rPr>
      </w:pPr>
      <w:r w:rsidRPr="00E756F6">
        <w:rPr>
          <w:sz w:val="28"/>
          <w:szCs w:val="28"/>
        </w:rPr>
        <w:lastRenderedPageBreak/>
        <w:t xml:space="preserve">The children who most need </w:t>
      </w:r>
      <w:r w:rsidR="006311A7">
        <w:rPr>
          <w:sz w:val="28"/>
          <w:szCs w:val="28"/>
        </w:rPr>
        <w:t xml:space="preserve">access to </w:t>
      </w:r>
      <w:r w:rsidRPr="00E756F6">
        <w:rPr>
          <w:sz w:val="28"/>
          <w:szCs w:val="28"/>
        </w:rPr>
        <w:t xml:space="preserve">early childhood </w:t>
      </w:r>
      <w:r w:rsidR="00AE6A33">
        <w:rPr>
          <w:sz w:val="28"/>
          <w:szCs w:val="28"/>
        </w:rPr>
        <w:br/>
      </w:r>
      <w:r w:rsidRPr="00E756F6">
        <w:rPr>
          <w:sz w:val="28"/>
          <w:szCs w:val="28"/>
        </w:rPr>
        <w:t xml:space="preserve">education </w:t>
      </w:r>
      <w:r w:rsidR="00AE6A33">
        <w:rPr>
          <w:sz w:val="28"/>
          <w:szCs w:val="28"/>
        </w:rPr>
        <w:t xml:space="preserve">and care </w:t>
      </w:r>
      <w:r w:rsidRPr="00E756F6">
        <w:rPr>
          <w:sz w:val="28"/>
          <w:szCs w:val="28"/>
        </w:rPr>
        <w:t>are not getting it</w:t>
      </w:r>
    </w:p>
    <w:p w:rsidR="00126216" w:rsidRDefault="00A20C80" w:rsidP="009D5CD9">
      <w:pPr>
        <w:jc w:val="both"/>
      </w:pPr>
      <w:r>
        <w:t xml:space="preserve">Estimating the number of ‘at risk’ children in Australia is challenging. Limiting the estimate to children who are experiencing or have experienced harm – from physical, emotional or sexual abuse </w:t>
      </w:r>
      <w:r w:rsidR="00F22D85">
        <w:t xml:space="preserve">or from neglect </w:t>
      </w:r>
      <w:r>
        <w:t xml:space="preserve">-- narrows down the population. </w:t>
      </w:r>
      <w:r w:rsidR="00F22D85">
        <w:t>The Commonwealth’s Australian Institute of Health and Welfare publishes an annual summary</w:t>
      </w:r>
      <w:r w:rsidR="00F22D85" w:rsidRPr="00F22D85">
        <w:t xml:space="preserve"> </w:t>
      </w:r>
      <w:r w:rsidR="00F22D85">
        <w:t xml:space="preserve">of child protection data extracted from the administrative systems of the state and territory departments responsible for child protection. This provides </w:t>
      </w:r>
      <w:r w:rsidR="001849B4">
        <w:t xml:space="preserve">an estimate of the number of children receiving child protection services. In 2012-13, there were 46,170 children aged 0-4 receiving child protection services. In addition, at least 9,568 children 0-4 </w:t>
      </w:r>
      <w:r w:rsidR="00126216">
        <w:t xml:space="preserve">are reported to have </w:t>
      </w:r>
      <w:r w:rsidR="001849B4">
        <w:t xml:space="preserve">commenced intensive family services intended to prevent imminent separations of children from their primary caregivers because of child protection concerns and reunify families where separation has already occurred. </w:t>
      </w:r>
      <w:r w:rsidR="004A35D0">
        <w:t>These</w:t>
      </w:r>
      <w:r w:rsidR="00F22D85">
        <w:t xml:space="preserve"> environmental </w:t>
      </w:r>
      <w:r w:rsidR="005E6498">
        <w:t xml:space="preserve">risk </w:t>
      </w:r>
      <w:r w:rsidR="00F22D85">
        <w:t xml:space="preserve">factors </w:t>
      </w:r>
      <w:r w:rsidR="001849B4">
        <w:t xml:space="preserve">that trigger intensive family services </w:t>
      </w:r>
      <w:r w:rsidR="004A35D0">
        <w:t xml:space="preserve">in order </w:t>
      </w:r>
      <w:r w:rsidR="0084427A">
        <w:t xml:space="preserve">to divert children and their families from the child protection system </w:t>
      </w:r>
      <w:r w:rsidR="005E6498">
        <w:t>are long term risks</w:t>
      </w:r>
      <w:r w:rsidR="0084427A">
        <w:t>.  In</w:t>
      </w:r>
      <w:r w:rsidR="005E6498">
        <w:t xml:space="preserve"> most cases </w:t>
      </w:r>
      <w:r w:rsidR="0084427A">
        <w:t xml:space="preserve">these risks </w:t>
      </w:r>
      <w:r w:rsidR="005E6498">
        <w:t>persist throughout childhood</w:t>
      </w:r>
      <w:r w:rsidR="0084427A">
        <w:t xml:space="preserve">, implying that at any time at least </w:t>
      </w:r>
      <w:r w:rsidR="00126216">
        <w:t>3</w:t>
      </w:r>
      <w:r w:rsidR="007D4DFC">
        <w:t>8</w:t>
      </w:r>
      <w:r w:rsidR="00126216">
        <w:t>,000</w:t>
      </w:r>
      <w:r w:rsidR="0084427A">
        <w:t xml:space="preserve"> children aged 0-4 are in this category on the edge of child protection.</w:t>
      </w:r>
      <w:r w:rsidR="007B2B49">
        <w:t xml:space="preserve"> </w:t>
      </w:r>
      <w:r w:rsidR="00126216">
        <w:t xml:space="preserve">Taken together, </w:t>
      </w:r>
      <w:r w:rsidR="00053550">
        <w:t xml:space="preserve">the state and territory governments </w:t>
      </w:r>
      <w:r w:rsidR="00856C33">
        <w:t>have identified</w:t>
      </w:r>
      <w:r w:rsidR="00053550">
        <w:t xml:space="preserve"> </w:t>
      </w:r>
      <w:r w:rsidR="007D4DFC">
        <w:t>roughly 84</w:t>
      </w:r>
      <w:r w:rsidR="00126216">
        <w:t xml:space="preserve">,000 children under four years old </w:t>
      </w:r>
      <w:r w:rsidR="00053550">
        <w:t xml:space="preserve">who are </w:t>
      </w:r>
      <w:r w:rsidR="004A35D0">
        <w:t>‘at risk’ (</w:t>
      </w:r>
      <w:proofErr w:type="spellStart"/>
      <w:r w:rsidR="004A35D0">
        <w:t>AIHW</w:t>
      </w:r>
      <w:proofErr w:type="spellEnd"/>
      <w:r w:rsidR="004A35D0">
        <w:t xml:space="preserve"> (2014) </w:t>
      </w:r>
      <w:r w:rsidR="00126216">
        <w:t>p</w:t>
      </w:r>
      <w:r w:rsidR="004A35D0">
        <w:t>p 67-68, 62-63).</w:t>
      </w:r>
    </w:p>
    <w:p w:rsidR="00126216" w:rsidRDefault="00126216" w:rsidP="009D5CD9">
      <w:pPr>
        <w:spacing w:before="240"/>
        <w:jc w:val="both"/>
      </w:pPr>
      <w:r>
        <w:t xml:space="preserve">In 2012-13, the Commonwealth expenditure on </w:t>
      </w:r>
      <w:proofErr w:type="spellStart"/>
      <w:r>
        <w:t>SCCB</w:t>
      </w:r>
      <w:proofErr w:type="spellEnd"/>
      <w:r>
        <w:t xml:space="preserve"> for ‘at risk’ children was $86.2 </w:t>
      </w:r>
      <w:r w:rsidR="00224291">
        <w:t>million dollars (Productivity Commission (2014) pp. 350-1).</w:t>
      </w:r>
      <w:r>
        <w:t xml:space="preserve">   In 2011-12, the year for which the Commission has </w:t>
      </w:r>
      <w:proofErr w:type="spellStart"/>
      <w:r>
        <w:t>SCCB</w:t>
      </w:r>
      <w:proofErr w:type="spellEnd"/>
      <w:r>
        <w:t xml:space="preserve"> use data</w:t>
      </w:r>
      <w:r w:rsidR="00DE52F5">
        <w:t>,</w:t>
      </w:r>
      <w:r>
        <w:t xml:space="preserve"> </w:t>
      </w:r>
      <w:r w:rsidR="00376C0F">
        <w:t>11,81</w:t>
      </w:r>
      <w:r w:rsidR="00DE52F5">
        <w:t xml:space="preserve">2 </w:t>
      </w:r>
      <w:r w:rsidR="00376C0F">
        <w:t xml:space="preserve">children deemed to be </w:t>
      </w:r>
      <w:r>
        <w:t xml:space="preserve">‘at risk’ </w:t>
      </w:r>
      <w:r w:rsidR="00376C0F">
        <w:t>by child care services and Centrelink</w:t>
      </w:r>
      <w:r>
        <w:t xml:space="preserve"> </w:t>
      </w:r>
      <w:r w:rsidR="00110857">
        <w:t xml:space="preserve">and received </w:t>
      </w:r>
      <w:proofErr w:type="spellStart"/>
      <w:r w:rsidR="00110857">
        <w:t>SCCB</w:t>
      </w:r>
      <w:proofErr w:type="spellEnd"/>
      <w:r w:rsidR="00110857">
        <w:t>. A</w:t>
      </w:r>
      <w:r>
        <w:t>n additional 1,329 received it for both risk and economic hardship</w:t>
      </w:r>
      <w:r w:rsidR="00110857">
        <w:t xml:space="preserve">, resulting in a total </w:t>
      </w:r>
      <w:r>
        <w:t>of 13,141 children</w:t>
      </w:r>
      <w:r w:rsidR="00110857">
        <w:t xml:space="preserve"> accessing </w:t>
      </w:r>
      <w:proofErr w:type="spellStart"/>
      <w:r w:rsidR="00110857">
        <w:t>SCCB</w:t>
      </w:r>
      <w:proofErr w:type="spellEnd"/>
      <w:r>
        <w:t xml:space="preserve">. On average, these ‘at risk’ children only received </w:t>
      </w:r>
      <w:proofErr w:type="spellStart"/>
      <w:r>
        <w:t>SCCB</w:t>
      </w:r>
      <w:proofErr w:type="spellEnd"/>
      <w:r>
        <w:t xml:space="preserve"> for 17 weeks, roughly four months of the year</w:t>
      </w:r>
      <w:r w:rsidR="00224291">
        <w:t xml:space="preserve"> (PC (2014), </w:t>
      </w:r>
      <w:proofErr w:type="spellStart"/>
      <w:r w:rsidR="00224291">
        <w:t>p352</w:t>
      </w:r>
      <w:proofErr w:type="spellEnd"/>
      <w:r w:rsidR="00224291">
        <w:t xml:space="preserve">). </w:t>
      </w:r>
      <w:r>
        <w:t xml:space="preserve">So, at best, </w:t>
      </w:r>
      <w:r w:rsidR="007D4DFC" w:rsidRPr="00AE6A33">
        <w:rPr>
          <w:b/>
        </w:rPr>
        <w:t>16 per cent</w:t>
      </w:r>
      <w:r w:rsidRPr="00AE6A33">
        <w:rPr>
          <w:b/>
        </w:rPr>
        <w:t xml:space="preserve"> of the children who </w:t>
      </w:r>
      <w:r w:rsidR="00110857" w:rsidRPr="00AE6A33">
        <w:rPr>
          <w:b/>
        </w:rPr>
        <w:t xml:space="preserve">clearly </w:t>
      </w:r>
      <w:r w:rsidRPr="00AE6A33">
        <w:rPr>
          <w:b/>
        </w:rPr>
        <w:t xml:space="preserve">need </w:t>
      </w:r>
      <w:proofErr w:type="spellStart"/>
      <w:r w:rsidRPr="00AE6A33">
        <w:rPr>
          <w:b/>
        </w:rPr>
        <w:t>ECEC</w:t>
      </w:r>
      <w:proofErr w:type="spellEnd"/>
      <w:r w:rsidRPr="00AE6A33">
        <w:rPr>
          <w:b/>
        </w:rPr>
        <w:t xml:space="preserve"> to ensure their safe development and school readiness receive</w:t>
      </w:r>
      <w:r w:rsidR="00DE52F5" w:rsidRPr="00AE6A33">
        <w:rPr>
          <w:b/>
        </w:rPr>
        <w:t>d</w:t>
      </w:r>
      <w:r w:rsidRPr="00AE6A33">
        <w:rPr>
          <w:b/>
        </w:rPr>
        <w:t xml:space="preserve"> </w:t>
      </w:r>
      <w:proofErr w:type="spellStart"/>
      <w:r w:rsidR="00110857" w:rsidRPr="00AE6A33">
        <w:rPr>
          <w:b/>
        </w:rPr>
        <w:t>SCCB</w:t>
      </w:r>
      <w:proofErr w:type="spellEnd"/>
      <w:r w:rsidR="00110857" w:rsidRPr="00AE6A33">
        <w:rPr>
          <w:b/>
        </w:rPr>
        <w:t xml:space="preserve"> and most of them received </w:t>
      </w:r>
      <w:r w:rsidRPr="00AE6A33">
        <w:rPr>
          <w:b/>
        </w:rPr>
        <w:t xml:space="preserve">a fraction </w:t>
      </w:r>
      <w:r w:rsidR="00DE52F5" w:rsidRPr="00AE6A33">
        <w:rPr>
          <w:b/>
        </w:rPr>
        <w:t xml:space="preserve">– </w:t>
      </w:r>
      <w:r w:rsidR="00110857" w:rsidRPr="00AE6A33">
        <w:rPr>
          <w:b/>
        </w:rPr>
        <w:t xml:space="preserve">on average </w:t>
      </w:r>
      <w:r w:rsidR="00DE52F5" w:rsidRPr="00AE6A33">
        <w:rPr>
          <w:b/>
        </w:rPr>
        <w:t xml:space="preserve">one third -- </w:t>
      </w:r>
      <w:r w:rsidRPr="00AE6A33">
        <w:rPr>
          <w:b/>
        </w:rPr>
        <w:t>of the care they need</w:t>
      </w:r>
      <w:r w:rsidR="00224291" w:rsidRPr="00AE6A33">
        <w:rPr>
          <w:b/>
        </w:rPr>
        <w:t>.</w:t>
      </w:r>
    </w:p>
    <w:p w:rsidR="00126216" w:rsidRDefault="00224291" w:rsidP="009D5CD9">
      <w:pPr>
        <w:jc w:val="both"/>
      </w:pPr>
      <w:r>
        <w:t>For context, a</w:t>
      </w:r>
      <w:r w:rsidR="00126216">
        <w:t>ccording to the P</w:t>
      </w:r>
      <w:r>
        <w:t>roductivity Commission</w:t>
      </w:r>
      <w:r w:rsidR="00126216">
        <w:t xml:space="preserve">, in 2013-14 some 748,500 children and their families benefited from Commonwealth assistance for </w:t>
      </w:r>
      <w:proofErr w:type="spellStart"/>
      <w:r w:rsidR="00126216">
        <w:t>ECEC</w:t>
      </w:r>
      <w:proofErr w:type="spellEnd"/>
      <w:r w:rsidR="00126216">
        <w:t xml:space="preserve"> for a to</w:t>
      </w:r>
      <w:r>
        <w:t>tal expenditure of $6.7 billion (PC (2014), p</w:t>
      </w:r>
      <w:r w:rsidR="00A04D39">
        <w:t>. 5).</w:t>
      </w:r>
    </w:p>
    <w:p w:rsidR="00BE016F" w:rsidRDefault="00BE016F" w:rsidP="00BE016F">
      <w:pPr>
        <w:autoSpaceDE w:val="0"/>
        <w:autoSpaceDN w:val="0"/>
        <w:adjustRightInd w:val="0"/>
        <w:spacing w:after="0" w:line="240" w:lineRule="auto"/>
        <w:rPr>
          <w:rFonts w:cs="Times New Roman"/>
        </w:rPr>
      </w:pPr>
    </w:p>
    <w:p w:rsidR="00A04D39" w:rsidRDefault="00A04D39" w:rsidP="00BE016F">
      <w:pPr>
        <w:autoSpaceDE w:val="0"/>
        <w:autoSpaceDN w:val="0"/>
        <w:adjustRightInd w:val="0"/>
        <w:spacing w:after="0" w:line="240" w:lineRule="auto"/>
        <w:rPr>
          <w:rFonts w:cs="Times New Roman"/>
        </w:rPr>
      </w:pPr>
    </w:p>
    <w:p w:rsidR="00CE4BB6" w:rsidRPr="00A04D39" w:rsidRDefault="00AE6A33" w:rsidP="00A04D39">
      <w:pPr>
        <w:jc w:val="center"/>
        <w:rPr>
          <w:sz w:val="28"/>
          <w:szCs w:val="28"/>
        </w:rPr>
      </w:pPr>
      <w:r>
        <w:rPr>
          <w:sz w:val="28"/>
          <w:szCs w:val="28"/>
        </w:rPr>
        <w:t>Access to</w:t>
      </w:r>
      <w:r w:rsidR="00A230ED">
        <w:rPr>
          <w:sz w:val="28"/>
          <w:szCs w:val="28"/>
        </w:rPr>
        <w:t xml:space="preserve"> Early </w:t>
      </w:r>
      <w:r w:rsidR="00E02635">
        <w:rPr>
          <w:sz w:val="28"/>
          <w:szCs w:val="28"/>
        </w:rPr>
        <w:t xml:space="preserve">Childhood </w:t>
      </w:r>
      <w:r>
        <w:rPr>
          <w:sz w:val="28"/>
          <w:szCs w:val="28"/>
        </w:rPr>
        <w:t>Education</w:t>
      </w:r>
      <w:r w:rsidR="00A230ED">
        <w:rPr>
          <w:sz w:val="28"/>
          <w:szCs w:val="28"/>
        </w:rPr>
        <w:t xml:space="preserve"> </w:t>
      </w:r>
      <w:r>
        <w:rPr>
          <w:sz w:val="28"/>
          <w:szCs w:val="28"/>
        </w:rPr>
        <w:t xml:space="preserve">and Care </w:t>
      </w:r>
      <w:r w:rsidR="00A230ED">
        <w:rPr>
          <w:sz w:val="28"/>
          <w:szCs w:val="28"/>
        </w:rPr>
        <w:t>Prevents Irreversible H</w:t>
      </w:r>
      <w:r w:rsidR="005748D0" w:rsidRPr="000E7EAB">
        <w:rPr>
          <w:sz w:val="28"/>
          <w:szCs w:val="28"/>
        </w:rPr>
        <w:t xml:space="preserve">arm </w:t>
      </w:r>
      <w:r w:rsidR="004C784A">
        <w:rPr>
          <w:sz w:val="28"/>
          <w:szCs w:val="28"/>
        </w:rPr>
        <w:t xml:space="preserve">to </w:t>
      </w:r>
      <w:r w:rsidR="00154E0C">
        <w:rPr>
          <w:sz w:val="28"/>
          <w:szCs w:val="28"/>
        </w:rPr>
        <w:t xml:space="preserve">Vulnerable </w:t>
      </w:r>
      <w:r w:rsidR="004C784A">
        <w:rPr>
          <w:sz w:val="28"/>
          <w:szCs w:val="28"/>
        </w:rPr>
        <w:t xml:space="preserve">Children </w:t>
      </w:r>
      <w:r w:rsidR="005748D0" w:rsidRPr="000E7EAB">
        <w:rPr>
          <w:sz w:val="28"/>
          <w:szCs w:val="28"/>
        </w:rPr>
        <w:t xml:space="preserve">and </w:t>
      </w:r>
      <w:r w:rsidR="00A230ED">
        <w:rPr>
          <w:sz w:val="28"/>
          <w:szCs w:val="28"/>
        </w:rPr>
        <w:t>Benefits the C</w:t>
      </w:r>
      <w:r w:rsidR="005748D0" w:rsidRPr="000E7EAB">
        <w:rPr>
          <w:sz w:val="28"/>
          <w:szCs w:val="28"/>
        </w:rPr>
        <w:t>ommunity</w:t>
      </w:r>
    </w:p>
    <w:p w:rsidR="007A0D9F" w:rsidRDefault="005748D0" w:rsidP="009D5CD9">
      <w:pPr>
        <w:jc w:val="both"/>
      </w:pPr>
      <w:r>
        <w:t xml:space="preserve">When denied access to safe and nurturing learning environments, vulnerable children are at risk of irreversible harm.  </w:t>
      </w:r>
      <w:r w:rsidR="00F4299E">
        <w:t xml:space="preserve">Development </w:t>
      </w:r>
      <w:r w:rsidR="00AE6A33">
        <w:t xml:space="preserve">and learning </w:t>
      </w:r>
      <w:r w:rsidR="00F4299E">
        <w:t>in infancy and early childhood occurs at a more rapid pace than any other time of life. Stable, predictable, nurturing care that includes a stimulating environment is necessary throughout infancy and early childhood to enable healthy physical, cognitive, language, social and emotional development.  Abuse and entrenched neglect can impair all aspects of young children’s growth and</w:t>
      </w:r>
      <w:r w:rsidR="009D5CD9">
        <w:t xml:space="preserve"> development. Parent-child</w:t>
      </w:r>
      <w:r w:rsidR="00F4299E">
        <w:t xml:space="preserve"> attachment relationships characterised by abuse, neglect and traumatic interactions are a source of toxic stress for children, causing physiological stress responses (e.g. cortisol levels) to remain activated at high levels over </w:t>
      </w:r>
      <w:r w:rsidR="00F4299E">
        <w:lastRenderedPageBreak/>
        <w:t>prolonged time periods. This can damage developing brain architecture thereby impairing the child’s capacity to regulate their emotions and develop healthy and adaptive responses to stress. This in turn leads to lifelong problems in learning, behaviour</w:t>
      </w:r>
      <w:r w:rsidR="001368B2">
        <w:t>,</w:t>
      </w:r>
      <w:r w:rsidR="00F4299E">
        <w:t xml:space="preserve"> and physical and mental health and increases the risk of parenting problems, disturbed paren</w:t>
      </w:r>
      <w:r w:rsidR="001368B2">
        <w:t xml:space="preserve">t-child relationships, and abuse </w:t>
      </w:r>
      <w:r w:rsidR="00F4299E">
        <w:t>and</w:t>
      </w:r>
      <w:r w:rsidR="007A0D9F">
        <w:t xml:space="preserve"> neglect in the next generation</w:t>
      </w:r>
      <w:r w:rsidR="00664A1E">
        <w:t xml:space="preserve"> (</w:t>
      </w:r>
      <w:r w:rsidR="00A230ED">
        <w:t xml:space="preserve">Perry 20002, </w:t>
      </w:r>
      <w:proofErr w:type="spellStart"/>
      <w:r w:rsidR="00A230ED">
        <w:t>CODC</w:t>
      </w:r>
      <w:proofErr w:type="spellEnd"/>
      <w:r w:rsidR="00A230ED">
        <w:t xml:space="preserve"> 2010, AAP 2012, and </w:t>
      </w:r>
      <w:proofErr w:type="spellStart"/>
      <w:r w:rsidR="00A230ED">
        <w:t>NSCDC</w:t>
      </w:r>
      <w:proofErr w:type="spellEnd"/>
      <w:r w:rsidR="00A230ED">
        <w:t xml:space="preserve"> 2012</w:t>
      </w:r>
      <w:r w:rsidR="00664A1E">
        <w:t>)</w:t>
      </w:r>
      <w:r w:rsidR="00A230ED">
        <w:t>.</w:t>
      </w:r>
    </w:p>
    <w:p w:rsidR="00F4299E" w:rsidRDefault="009D5CD9" w:rsidP="009D5CD9">
      <w:pPr>
        <w:jc w:val="both"/>
      </w:pPr>
      <w:r w:rsidRPr="000E7EAB">
        <w:rPr>
          <w:noProof/>
          <w:sz w:val="28"/>
          <w:szCs w:val="28"/>
          <w:lang w:eastAsia="en-AU"/>
        </w:rPr>
        <mc:AlternateContent>
          <mc:Choice Requires="wps">
            <w:drawing>
              <wp:anchor distT="0" distB="0" distL="114300" distR="114300" simplePos="0" relativeHeight="251663872" behindDoc="0" locked="0" layoutInCell="1" allowOverlap="1" wp14:anchorId="091335EB" wp14:editId="41083A3C">
                <wp:simplePos x="0" y="0"/>
                <wp:positionH relativeFrom="margin">
                  <wp:posOffset>2937510</wp:posOffset>
                </wp:positionH>
                <wp:positionV relativeFrom="paragraph">
                  <wp:posOffset>5080</wp:posOffset>
                </wp:positionV>
                <wp:extent cx="2887980" cy="2849880"/>
                <wp:effectExtent l="0" t="0" r="2667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8498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50C7F" w:rsidRPr="007A0D9F" w:rsidRDefault="00D50C7F" w:rsidP="007A0D9F">
                            <w:pPr>
                              <w:pStyle w:val="Default"/>
                              <w:rPr>
                                <w:rFonts w:cstheme="minorHAnsi"/>
                                <w:b/>
                                <w:sz w:val="20"/>
                                <w:szCs w:val="20"/>
                              </w:rPr>
                            </w:pPr>
                            <w:r w:rsidRPr="006C235D">
                              <w:rPr>
                                <w:b/>
                                <w:noProof/>
                                <w:sz w:val="22"/>
                                <w:szCs w:val="22"/>
                                <w:lang w:eastAsia="en-AU"/>
                              </w:rPr>
                              <w:drawing>
                                <wp:inline distT="0" distB="0" distL="0" distR="0" wp14:anchorId="72914F6B" wp14:editId="4BA0C211">
                                  <wp:extent cx="2705100" cy="177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775460"/>
                                          </a:xfrm>
                                          <a:prstGeom prst="rect">
                                            <a:avLst/>
                                          </a:prstGeom>
                                          <a:noFill/>
                                          <a:ln>
                                            <a:noFill/>
                                          </a:ln>
                                        </pic:spPr>
                                      </pic:pic>
                                    </a:graphicData>
                                  </a:graphic>
                                </wp:inline>
                              </w:drawing>
                            </w:r>
                            <w:r w:rsidRPr="007A0D9F">
                              <w:rPr>
                                <w:rFonts w:cstheme="minorHAnsi"/>
                                <w:b/>
                                <w:sz w:val="20"/>
                                <w:szCs w:val="20"/>
                              </w:rPr>
                              <w:t>Abnormal brain development following ext</w:t>
                            </w:r>
                            <w:r>
                              <w:rPr>
                                <w:rFonts w:cstheme="minorHAnsi"/>
                                <w:b/>
                                <w:sz w:val="20"/>
                                <w:szCs w:val="20"/>
                              </w:rPr>
                              <w:t>reme neglect in early childhood</w:t>
                            </w:r>
                            <w:r w:rsidRPr="007A0D9F">
                              <w:rPr>
                                <w:rFonts w:cstheme="minorHAnsi"/>
                                <w:b/>
                                <w:sz w:val="20"/>
                                <w:szCs w:val="20"/>
                              </w:rPr>
                              <w:t xml:space="preserve"> </w:t>
                            </w:r>
                            <w:r>
                              <w:rPr>
                                <w:rFonts w:cstheme="minorHAnsi"/>
                                <w:b/>
                                <w:sz w:val="20"/>
                                <w:szCs w:val="20"/>
                              </w:rPr>
                              <w:t>(</w:t>
                            </w:r>
                            <w:r>
                              <w:rPr>
                                <w:rFonts w:cstheme="minorHAnsi"/>
                                <w:sz w:val="20"/>
                                <w:szCs w:val="20"/>
                              </w:rPr>
                              <w:t xml:space="preserve">Perry </w:t>
                            </w:r>
                            <w:r w:rsidRPr="007A0D9F">
                              <w:rPr>
                                <w:rFonts w:cstheme="minorHAnsi"/>
                                <w:sz w:val="20"/>
                                <w:szCs w:val="20"/>
                              </w:rPr>
                              <w:t>2002). The dark areas in these scans are holes where neural connections have failed to be created. While children retain some brain plasticity into adulthood, it is almost impossible to recoup these losses.</w:t>
                            </w:r>
                          </w:p>
                          <w:p w:rsidR="00D50C7F" w:rsidRDefault="00D50C7F"/>
                          <w:p w:rsidR="00D50C7F" w:rsidRDefault="00D50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1335EB" id="_x0000_t202" coordsize="21600,21600" o:spt="202" path="m,l,21600r21600,l21600,xe">
                <v:stroke joinstyle="miter"/>
                <v:path gradientshapeok="t" o:connecttype="rect"/>
              </v:shapetype>
              <v:shape id="Text Box 2" o:spid="_x0000_s1026" type="#_x0000_t202" style="position:absolute;left:0;text-align:left;margin-left:231.3pt;margin-top:.4pt;width:227.4pt;height:224.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" fillcolor="white [3201]" strokecolor="black [3200]" strokeweight="2pt">
                <v:textbox>
                  <w:txbxContent>
                    <w:p w:rsidR="00D50C7F" w:rsidRPr="007A0D9F" w:rsidRDefault="00D50C7F" w:rsidP="007A0D9F">
                      <w:pPr>
                        <w:pStyle w:val="Default"/>
                        <w:rPr>
                          <w:rFonts w:cstheme="minorHAnsi"/>
                          <w:b/>
                          <w:sz w:val="20"/>
                          <w:szCs w:val="20"/>
                        </w:rPr>
                      </w:pPr>
                      <w:r w:rsidRPr="006C235D">
                        <w:rPr>
                          <w:b/>
                          <w:noProof/>
                          <w:sz w:val="22"/>
                          <w:szCs w:val="22"/>
                          <w:lang w:eastAsia="en-AU"/>
                        </w:rPr>
                        <w:drawing>
                          <wp:inline distT="0" distB="0" distL="0" distR="0" wp14:anchorId="72914F6B" wp14:editId="4BA0C211">
                            <wp:extent cx="2705100" cy="177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775460"/>
                                    </a:xfrm>
                                    <a:prstGeom prst="rect">
                                      <a:avLst/>
                                    </a:prstGeom>
                                    <a:noFill/>
                                    <a:ln>
                                      <a:noFill/>
                                    </a:ln>
                                  </pic:spPr>
                                </pic:pic>
                              </a:graphicData>
                            </a:graphic>
                          </wp:inline>
                        </w:drawing>
                      </w:r>
                      <w:r w:rsidRPr="007A0D9F">
                        <w:rPr>
                          <w:rFonts w:cstheme="minorHAnsi"/>
                          <w:b/>
                          <w:sz w:val="20"/>
                          <w:szCs w:val="20"/>
                        </w:rPr>
                        <w:t>Abnormal brain development following ext</w:t>
                      </w:r>
                      <w:r>
                        <w:rPr>
                          <w:rFonts w:cstheme="minorHAnsi"/>
                          <w:b/>
                          <w:sz w:val="20"/>
                          <w:szCs w:val="20"/>
                        </w:rPr>
                        <w:t>reme neglect in early childhood</w:t>
                      </w:r>
                      <w:r w:rsidRPr="007A0D9F">
                        <w:rPr>
                          <w:rFonts w:cstheme="minorHAnsi"/>
                          <w:b/>
                          <w:sz w:val="20"/>
                          <w:szCs w:val="20"/>
                        </w:rPr>
                        <w:t xml:space="preserve"> </w:t>
                      </w:r>
                      <w:r>
                        <w:rPr>
                          <w:rFonts w:cstheme="minorHAnsi"/>
                          <w:b/>
                          <w:sz w:val="20"/>
                          <w:szCs w:val="20"/>
                        </w:rPr>
                        <w:t>(</w:t>
                      </w:r>
                      <w:r>
                        <w:rPr>
                          <w:rFonts w:cstheme="minorHAnsi"/>
                          <w:sz w:val="20"/>
                          <w:szCs w:val="20"/>
                        </w:rPr>
                        <w:t xml:space="preserve">Perry </w:t>
                      </w:r>
                      <w:r w:rsidRPr="007A0D9F">
                        <w:rPr>
                          <w:rFonts w:cstheme="minorHAnsi"/>
                          <w:sz w:val="20"/>
                          <w:szCs w:val="20"/>
                        </w:rPr>
                        <w:t>2002). The dark areas in these scans are holes where neural connections have failed to be created. While children retain some brain plasticity into adulthood, it is almost impossible to recoup these losses.</w:t>
                      </w:r>
                    </w:p>
                    <w:p w:rsidR="00D50C7F" w:rsidRDefault="00D50C7F"/>
                    <w:p w:rsidR="00D50C7F" w:rsidRDefault="00D50C7F"/>
                  </w:txbxContent>
                </v:textbox>
                <w10:wrap type="square" anchorx="margin"/>
              </v:shape>
            </w:pict>
          </mc:Fallback>
        </mc:AlternateContent>
      </w:r>
      <w:r w:rsidR="00F4299E">
        <w:t xml:space="preserve">Gaps in cognitive and social skills that develop between children early in life become entrenched in later years. This happens because skill development is dynamic and hierarchical – children who miss out at an early age lack the necessary building blocks and foundation for subsequent learning. Children with deficits in their cognitive and social skills before the age of five therefore are likely to have these deficits persist into later life, and these deficits then become the basis of problems such as low education attainment, unemployment, teenage pregnancy, and involvement in crime. From </w:t>
      </w:r>
      <w:r w:rsidR="00F4299E" w:rsidRPr="0016143D">
        <w:rPr>
          <w:i/>
        </w:rPr>
        <w:t>Neurons to Neighbourhoods</w:t>
      </w:r>
      <w:r w:rsidR="00F4299E">
        <w:t xml:space="preserve">, a review of research on early childhood development by the National Research Council and Institute of Medicine in the United States concluded that: </w:t>
      </w:r>
      <w:r w:rsidR="00F4299E" w:rsidRPr="001C7F06">
        <w:rPr>
          <w:b/>
        </w:rPr>
        <w:t>‘Virtually every aspect of early human development, from the brain’s evolving circuitry to the child’s capacity for empathy, is affected by the environment and experiences that are encountered in a cumulative fashion, beginning in the pre-natal period and extending throughou</w:t>
      </w:r>
      <w:r w:rsidR="000B115F" w:rsidRPr="001C7F06">
        <w:rPr>
          <w:b/>
        </w:rPr>
        <w:t xml:space="preserve">t the early childhood years (p </w:t>
      </w:r>
      <w:r w:rsidR="00F4299E" w:rsidRPr="001C7F06">
        <w:rPr>
          <w:b/>
        </w:rPr>
        <w:t>6).</w:t>
      </w:r>
      <w:r w:rsidR="000B115F" w:rsidRPr="001C7F06">
        <w:rPr>
          <w:b/>
        </w:rPr>
        <w:t>’</w:t>
      </w:r>
    </w:p>
    <w:p w:rsidR="00F4299E" w:rsidRDefault="00A04D39" w:rsidP="009D5CD9">
      <w:pPr>
        <w:jc w:val="both"/>
      </w:pPr>
      <w:r>
        <w:t xml:space="preserve">A variety of early years </w:t>
      </w:r>
      <w:r w:rsidR="00F4299E">
        <w:t xml:space="preserve">care and education programs targeting disadvantaged children have been implemented in the United States and United Kingdom. In the US, the Perry Preschool program randomly assigned 123 three and four year olds from a low income African American neighbourhood to an intensive early intervention program. The outcomes for the intervention group were superior to the control group in terms of educational attainment, income, and behavioural risk factors. Participants performed better on literacy tests, high school graduation rates were 20 percentage points higher compared to the control group, and a higher proportion went on to university. Another example is the Abecedarian Project which began in North Carolina in the </w:t>
      </w:r>
      <w:proofErr w:type="spellStart"/>
      <w:r w:rsidR="00F4299E">
        <w:t>1970s</w:t>
      </w:r>
      <w:proofErr w:type="spellEnd"/>
      <w:r w:rsidR="00F4299E">
        <w:t xml:space="preserve">, with 111 infants randomly assigned to either an intervention group or a control group. There were substantial academic benefits for those children assigned to the high quality early intervention program. These children scored significantly higher on tests of reading and maths from the primary grades through to middle adolescence and had higher high school graduation rates and higher participation rates in tertiary education. There were also significant health benefits with program participants less likely to smoke. More generally, reviews of early years education programs in the United States find consistently positive outcomes using measures of the benefit-cost to society. </w:t>
      </w:r>
      <w:proofErr w:type="spellStart"/>
      <w:r w:rsidR="00F4299E">
        <w:t>Karoly</w:t>
      </w:r>
      <w:proofErr w:type="spellEnd"/>
      <w:r w:rsidR="00F4299E">
        <w:t xml:space="preserve"> et al. and Cunha and Heckman calculate that the return on investments at least 8:1 for early childhood development programs</w:t>
      </w:r>
      <w:r w:rsidR="00A95542">
        <w:t xml:space="preserve"> </w:t>
      </w:r>
      <w:r w:rsidR="000F5DDF">
        <w:t>(as opposed to only about 3:1 in primary and secondary education)</w:t>
      </w:r>
      <w:r w:rsidR="00F4299E">
        <w:t xml:space="preserve">. Similarly, Van der </w:t>
      </w:r>
      <w:proofErr w:type="spellStart"/>
      <w:r w:rsidR="00F4299E">
        <w:lastRenderedPageBreak/>
        <w:t>Gaag</w:t>
      </w:r>
      <w:proofErr w:type="spellEnd"/>
      <w:r w:rsidR="00F4299E">
        <w:t xml:space="preserve"> estimated that every $1 invested in early childhood programs provides a minimum return to society of $3.</w:t>
      </w:r>
    </w:p>
    <w:p w:rsidR="00C67A92" w:rsidRDefault="009C0F3F" w:rsidP="009D5CD9">
      <w:pPr>
        <w:jc w:val="both"/>
      </w:pPr>
      <w:r>
        <w:t>W</w:t>
      </w:r>
      <w:r w:rsidR="00F4299E">
        <w:t>hen famil</w:t>
      </w:r>
      <w:r>
        <w:t>i</w:t>
      </w:r>
      <w:r w:rsidR="00F4299E">
        <w:t>es are struggling to provide safe and nurturing environments for their children</w:t>
      </w:r>
      <w:r>
        <w:t>,</w:t>
      </w:r>
      <w:r w:rsidR="00F4299E">
        <w:t xml:space="preserve"> a</w:t>
      </w:r>
      <w:r w:rsidR="001368B2">
        <w:t>c</w:t>
      </w:r>
      <w:r w:rsidR="00F4299E">
        <w:t xml:space="preserve">cess to quality </w:t>
      </w:r>
      <w:r w:rsidR="001C7F06">
        <w:t>early childhood education and care</w:t>
      </w:r>
      <w:r w:rsidR="00F4299E">
        <w:t xml:space="preserve"> is critical to en</w:t>
      </w:r>
      <w:r>
        <w:t>s</w:t>
      </w:r>
      <w:r w:rsidR="00F4299E">
        <w:t>ure that their children’s development is not compromised. Access to</w:t>
      </w:r>
      <w:r>
        <w:t xml:space="preserve"> care</w:t>
      </w:r>
      <w:r w:rsidR="00F4299E">
        <w:t xml:space="preserve"> can help families stay together and where this is not possible, en</w:t>
      </w:r>
      <w:r w:rsidR="002A7293">
        <w:t>rolment can provide stability</w:t>
      </w:r>
      <w:r w:rsidR="00F4299E">
        <w:t xml:space="preserve"> when children are relocated (and frequently r</w:t>
      </w:r>
      <w:r w:rsidR="002A7293">
        <w:t>e-</w:t>
      </w:r>
      <w:r w:rsidR="00F4299E">
        <w:t>relocated) to safer environments</w:t>
      </w:r>
      <w:r>
        <w:t>.</w:t>
      </w:r>
    </w:p>
    <w:p w:rsidR="003D53E8" w:rsidRDefault="003D53E8"/>
    <w:p w:rsidR="003D53E8" w:rsidRDefault="003D53E8" w:rsidP="003D53E8">
      <w:pPr>
        <w:jc w:val="center"/>
        <w:rPr>
          <w:sz w:val="28"/>
          <w:szCs w:val="28"/>
        </w:rPr>
      </w:pPr>
      <w:r w:rsidRPr="003D53E8">
        <w:rPr>
          <w:sz w:val="28"/>
          <w:szCs w:val="28"/>
        </w:rPr>
        <w:t xml:space="preserve">Duration is critical: Three </w:t>
      </w:r>
      <w:r w:rsidR="005B7E1C">
        <w:rPr>
          <w:sz w:val="28"/>
          <w:szCs w:val="28"/>
        </w:rPr>
        <w:t xml:space="preserve">or </w:t>
      </w:r>
      <w:r w:rsidR="006F22CE">
        <w:rPr>
          <w:sz w:val="28"/>
          <w:szCs w:val="28"/>
        </w:rPr>
        <w:t xml:space="preserve">More </w:t>
      </w:r>
      <w:r w:rsidRPr="003D53E8">
        <w:rPr>
          <w:sz w:val="28"/>
          <w:szCs w:val="28"/>
        </w:rPr>
        <w:t>Years</w:t>
      </w:r>
      <w:r w:rsidR="00DA29DD">
        <w:rPr>
          <w:sz w:val="28"/>
          <w:szCs w:val="28"/>
        </w:rPr>
        <w:t xml:space="preserve"> is Best and </w:t>
      </w:r>
      <w:r w:rsidR="00DA29DD">
        <w:rPr>
          <w:sz w:val="28"/>
          <w:szCs w:val="28"/>
        </w:rPr>
        <w:br/>
        <w:t>Less than a Year has Minimal Impact</w:t>
      </w:r>
    </w:p>
    <w:p w:rsidR="00EA4996" w:rsidRPr="00DA29DD" w:rsidRDefault="00DA29DD" w:rsidP="009D5CD9">
      <w:pPr>
        <w:jc w:val="both"/>
      </w:pPr>
      <w:r>
        <w:t xml:space="preserve">The Benevolent Society’s 2013 </w:t>
      </w:r>
      <w:r w:rsidR="0016143D">
        <w:t>report</w:t>
      </w:r>
      <w:r w:rsidR="006F22CE">
        <w:t xml:space="preserve"> prepared by the Ce</w:t>
      </w:r>
      <w:r w:rsidR="0016143D">
        <w:t>ntre for Child Community Health,</w:t>
      </w:r>
      <w:r w:rsidR="006F22CE">
        <w:t xml:space="preserve"> </w:t>
      </w:r>
      <w:r w:rsidRPr="0016143D">
        <w:rPr>
          <w:i/>
        </w:rPr>
        <w:t>Acting Early, Changing Lives: How Prevention and Early Action Saves Money and Improves Wellbeing</w:t>
      </w:r>
      <w:r>
        <w:t>, cites meta analyses of early childhood interventions for at risk children which conclude “that programs that last longer than three years – in comparison to those that are between 1-3 years in duration – have greater effects” and that “programs of less than one year have</w:t>
      </w:r>
      <w:r w:rsidR="00A04D39">
        <w:t xml:space="preserve"> ’minimal impacts’ on children” (Moore and McDonald, pp 24-25).</w:t>
      </w:r>
      <w:r w:rsidR="0016143D">
        <w:t xml:space="preserve"> However, on average, the ‘at risk’ children who receive Special Child Care Benefit receive it for 17 weeks.</w:t>
      </w:r>
      <w:r w:rsidR="00283A9E">
        <w:t xml:space="preserve"> This does not begin to meet their development needs.</w:t>
      </w:r>
    </w:p>
    <w:p w:rsidR="00A230ED" w:rsidRDefault="00A230ED"/>
    <w:p w:rsidR="00FB396D" w:rsidRPr="000E7EAB" w:rsidRDefault="00A062E1" w:rsidP="000E7EAB">
      <w:pPr>
        <w:jc w:val="center"/>
        <w:rPr>
          <w:sz w:val="28"/>
          <w:szCs w:val="28"/>
        </w:rPr>
      </w:pPr>
      <w:r w:rsidRPr="000E7EAB">
        <w:rPr>
          <w:sz w:val="28"/>
          <w:szCs w:val="28"/>
        </w:rPr>
        <w:t>The Special Child</w:t>
      </w:r>
      <w:r w:rsidR="007C3F6C" w:rsidRPr="000E7EAB">
        <w:rPr>
          <w:sz w:val="28"/>
          <w:szCs w:val="28"/>
        </w:rPr>
        <w:t xml:space="preserve"> C</w:t>
      </w:r>
      <w:r w:rsidRPr="000E7EAB">
        <w:rPr>
          <w:sz w:val="28"/>
          <w:szCs w:val="28"/>
        </w:rPr>
        <w:t>are Benefit</w:t>
      </w:r>
      <w:r w:rsidR="000E7EAB">
        <w:rPr>
          <w:sz w:val="28"/>
          <w:szCs w:val="28"/>
        </w:rPr>
        <w:t xml:space="preserve"> for at Risk C</w:t>
      </w:r>
      <w:r w:rsidR="00977F4F" w:rsidRPr="000E7EAB">
        <w:rPr>
          <w:sz w:val="28"/>
          <w:szCs w:val="28"/>
        </w:rPr>
        <w:t>hildren</w:t>
      </w:r>
      <w:r w:rsidR="000E7EAB">
        <w:rPr>
          <w:sz w:val="28"/>
          <w:szCs w:val="28"/>
        </w:rPr>
        <w:t xml:space="preserve">: </w:t>
      </w:r>
      <w:r w:rsidR="000E7EAB">
        <w:rPr>
          <w:sz w:val="28"/>
          <w:szCs w:val="28"/>
        </w:rPr>
        <w:br/>
        <w:t>Good I</w:t>
      </w:r>
      <w:r w:rsidR="00BD3249">
        <w:rPr>
          <w:sz w:val="28"/>
          <w:szCs w:val="28"/>
        </w:rPr>
        <w:t xml:space="preserve">ntent, Better </w:t>
      </w:r>
      <w:r w:rsidR="000C5E4A">
        <w:rPr>
          <w:sz w:val="28"/>
          <w:szCs w:val="28"/>
        </w:rPr>
        <w:t>Implementation Needed</w:t>
      </w:r>
    </w:p>
    <w:p w:rsidR="00A062E1" w:rsidRDefault="00785704" w:rsidP="009D5CD9">
      <w:pPr>
        <w:jc w:val="both"/>
      </w:pPr>
      <w:r>
        <w:t xml:space="preserve">Section 47 of </w:t>
      </w:r>
      <w:r w:rsidR="00A062E1">
        <w:t xml:space="preserve"> </w:t>
      </w:r>
      <w:r>
        <w:t>A New Tax System (</w:t>
      </w:r>
      <w:r w:rsidR="00A062E1" w:rsidRPr="009D5CD9">
        <w:rPr>
          <w:i/>
        </w:rPr>
        <w:t>Family Assistance Act 1999</w:t>
      </w:r>
      <w:r w:rsidR="009D5CD9">
        <w:t>)</w:t>
      </w:r>
      <w:r w:rsidR="00A062E1">
        <w:t xml:space="preserve"> recognises the needs of vulnerable children and their families by </w:t>
      </w:r>
      <w:r w:rsidRPr="00785704">
        <w:t xml:space="preserve">allowing </w:t>
      </w:r>
      <w:r>
        <w:t xml:space="preserve">for </w:t>
      </w:r>
      <w:r w:rsidRPr="00785704">
        <w:rPr>
          <w:rStyle w:val="CharSubdText"/>
        </w:rPr>
        <w:t xml:space="preserve">child care benefit by fee reduction for care provided by the service to a child </w:t>
      </w:r>
      <w:r w:rsidR="005B7E1C">
        <w:rPr>
          <w:rStyle w:val="CharSubdText"/>
        </w:rPr>
        <w:t>‘</w:t>
      </w:r>
      <w:r w:rsidRPr="00785704">
        <w:rPr>
          <w:rStyle w:val="CharSubdText"/>
        </w:rPr>
        <w:t>at risk</w:t>
      </w:r>
      <w:r w:rsidR="005B7E1C">
        <w:rPr>
          <w:rStyle w:val="CharSubdText"/>
        </w:rPr>
        <w:t>’</w:t>
      </w:r>
      <w:r>
        <w:t xml:space="preserve"> for a period of up to 13 weeks once </w:t>
      </w:r>
      <w:r w:rsidR="00027305">
        <w:t>each financial</w:t>
      </w:r>
      <w:r>
        <w:t xml:space="preserve"> year. This is </w:t>
      </w:r>
      <w:r w:rsidR="00BC17B8">
        <w:t xml:space="preserve">one of the two categories of </w:t>
      </w:r>
      <w:r w:rsidR="00A062E1">
        <w:t>Special Childcare Benefit</w:t>
      </w:r>
      <w:r w:rsidR="00110773">
        <w:t xml:space="preserve"> (</w:t>
      </w:r>
      <w:proofErr w:type="spellStart"/>
      <w:r w:rsidR="00110773">
        <w:t>SCCB</w:t>
      </w:r>
      <w:proofErr w:type="spellEnd"/>
      <w:r w:rsidR="00110773">
        <w:t>); t</w:t>
      </w:r>
      <w:r w:rsidR="00BC17B8">
        <w:t xml:space="preserve">he second category </w:t>
      </w:r>
      <w:r w:rsidR="00110773">
        <w:t>addresses temporary economic hardship.</w:t>
      </w:r>
    </w:p>
    <w:p w:rsidR="00977F4F" w:rsidRPr="00977F4F" w:rsidRDefault="00BC17B8" w:rsidP="009D5CD9">
      <w:pPr>
        <w:pStyle w:val="paragraph"/>
        <w:jc w:val="both"/>
        <w:rPr>
          <w:rFonts w:asciiTheme="minorHAnsi" w:hAnsiTheme="minorHAnsi"/>
        </w:rPr>
      </w:pPr>
      <w:r w:rsidRPr="00977F4F">
        <w:rPr>
          <w:rFonts w:asciiTheme="minorHAnsi" w:hAnsiTheme="minorHAnsi"/>
        </w:rPr>
        <w:t>In the first instance</w:t>
      </w:r>
      <w:r w:rsidR="00977F4F" w:rsidRPr="00977F4F">
        <w:rPr>
          <w:rFonts w:asciiTheme="minorHAnsi" w:hAnsiTheme="minorHAnsi"/>
        </w:rPr>
        <w:t>,</w:t>
      </w:r>
      <w:r w:rsidRPr="00977F4F">
        <w:rPr>
          <w:rFonts w:asciiTheme="minorHAnsi" w:hAnsiTheme="minorHAnsi"/>
        </w:rPr>
        <w:t xml:space="preserve"> eligibility is determined by the </w:t>
      </w:r>
      <w:proofErr w:type="spellStart"/>
      <w:r w:rsidR="005B7E1C">
        <w:rPr>
          <w:rFonts w:asciiTheme="minorHAnsi" w:hAnsiTheme="minorHAnsi"/>
        </w:rPr>
        <w:t>ECEC</w:t>
      </w:r>
      <w:proofErr w:type="spellEnd"/>
      <w:r w:rsidRPr="00977F4F">
        <w:rPr>
          <w:rFonts w:asciiTheme="minorHAnsi" w:hAnsiTheme="minorHAnsi"/>
        </w:rPr>
        <w:t xml:space="preserve"> service</w:t>
      </w:r>
      <w:r w:rsidR="00977F4F" w:rsidRPr="00977F4F">
        <w:rPr>
          <w:rFonts w:asciiTheme="minorHAnsi" w:hAnsiTheme="minorHAnsi"/>
        </w:rPr>
        <w:t xml:space="preserve"> itself. All that is required is that: </w:t>
      </w:r>
    </w:p>
    <w:p w:rsidR="00977F4F" w:rsidRPr="00977F4F" w:rsidRDefault="00977F4F" w:rsidP="009D5CD9">
      <w:pPr>
        <w:pStyle w:val="paragraph"/>
        <w:jc w:val="both"/>
        <w:rPr>
          <w:rFonts w:asciiTheme="minorHAnsi" w:hAnsiTheme="minorHAnsi"/>
        </w:rPr>
      </w:pPr>
    </w:p>
    <w:p w:rsidR="00977F4F" w:rsidRPr="00977F4F" w:rsidRDefault="00977F4F" w:rsidP="009D5CD9">
      <w:pPr>
        <w:pStyle w:val="paragraph"/>
        <w:tabs>
          <w:tab w:val="clear" w:pos="1531"/>
          <w:tab w:val="right" w:pos="1134"/>
        </w:tabs>
        <w:ind w:left="1134" w:firstLine="0"/>
        <w:jc w:val="both"/>
        <w:rPr>
          <w:rFonts w:asciiTheme="minorHAnsi" w:hAnsiTheme="minorHAnsi"/>
        </w:rPr>
      </w:pPr>
      <w:r w:rsidRPr="00977F4F">
        <w:rPr>
          <w:rFonts w:asciiTheme="minorHAnsi" w:hAnsiTheme="minorHAnsi"/>
        </w:rPr>
        <w:t>(a)</w:t>
      </w:r>
      <w:r w:rsidRPr="00977F4F">
        <w:rPr>
          <w:rFonts w:asciiTheme="minorHAnsi" w:hAnsiTheme="minorHAnsi"/>
        </w:rPr>
        <w:tab/>
        <w:t>at the time the care is provided, the service believes the child is at risk of serious abuse or neglect; and</w:t>
      </w:r>
    </w:p>
    <w:p w:rsidR="00977F4F" w:rsidRPr="00977F4F" w:rsidRDefault="00977F4F" w:rsidP="009D5CD9">
      <w:pPr>
        <w:pStyle w:val="paragraph"/>
        <w:tabs>
          <w:tab w:val="clear" w:pos="1531"/>
          <w:tab w:val="right" w:pos="1134"/>
        </w:tabs>
        <w:ind w:left="1134" w:firstLine="0"/>
        <w:jc w:val="both"/>
        <w:rPr>
          <w:rFonts w:asciiTheme="minorHAnsi" w:hAnsiTheme="minorHAnsi"/>
        </w:rPr>
      </w:pPr>
      <w:r w:rsidRPr="00977F4F">
        <w:rPr>
          <w:rFonts w:asciiTheme="minorHAnsi" w:hAnsiTheme="minorHAnsi"/>
        </w:rPr>
        <w:t>(b) th</w:t>
      </w:r>
      <w:r w:rsidR="007C3F6C">
        <w:rPr>
          <w:rFonts w:asciiTheme="minorHAnsi" w:hAnsiTheme="minorHAnsi"/>
        </w:rPr>
        <w:t>e care is provided in Australia</w:t>
      </w:r>
      <w:r>
        <w:rPr>
          <w:rFonts w:asciiTheme="minorHAnsi" w:hAnsiTheme="minorHAnsi"/>
        </w:rPr>
        <w:t xml:space="preserve"> </w:t>
      </w:r>
      <w:r w:rsidR="007C3F6C">
        <w:rPr>
          <w:rFonts w:asciiTheme="minorHAnsi" w:hAnsiTheme="minorHAnsi"/>
        </w:rPr>
        <w:t>(</w:t>
      </w:r>
      <w:r>
        <w:rPr>
          <w:rFonts w:asciiTheme="minorHAnsi" w:hAnsiTheme="minorHAnsi"/>
        </w:rPr>
        <w:t>47(1)</w:t>
      </w:r>
      <w:r w:rsidR="004D5314">
        <w:rPr>
          <w:rFonts w:asciiTheme="minorHAnsi" w:hAnsiTheme="minorHAnsi"/>
        </w:rPr>
        <w:t>)</w:t>
      </w:r>
      <w:r w:rsidR="007C3F6C">
        <w:rPr>
          <w:rFonts w:asciiTheme="minorHAnsi" w:hAnsiTheme="minorHAnsi"/>
        </w:rPr>
        <w:t>.</w:t>
      </w:r>
    </w:p>
    <w:p w:rsidR="00977F4F" w:rsidRPr="0084060E" w:rsidRDefault="00977F4F" w:rsidP="009D5CD9">
      <w:pPr>
        <w:pStyle w:val="paragraph"/>
        <w:tabs>
          <w:tab w:val="clear" w:pos="1531"/>
          <w:tab w:val="right" w:pos="1134"/>
        </w:tabs>
        <w:ind w:left="1134" w:firstLine="0"/>
        <w:jc w:val="both"/>
        <w:rPr>
          <w:highlight w:val="yellow"/>
        </w:rPr>
      </w:pPr>
    </w:p>
    <w:p w:rsidR="00977F4F" w:rsidRDefault="00027305" w:rsidP="009D5CD9">
      <w:pPr>
        <w:jc w:val="both"/>
      </w:pPr>
      <w:r>
        <w:t>Services</w:t>
      </w:r>
      <w:r w:rsidR="00BC17B8">
        <w:t xml:space="preserve"> </w:t>
      </w:r>
      <w:r w:rsidR="001C79BB">
        <w:t>determine the initial number of weeks of fee reduction, the weekly limit of hours the child can attend, and the amount of fee reduction, which can be up to 100% of the service’s usual fee.</w:t>
      </w:r>
      <w:r w:rsidR="004A427B">
        <w:t xml:space="preserve"> The </w:t>
      </w:r>
      <w:proofErr w:type="spellStart"/>
      <w:r w:rsidR="005B7E1C">
        <w:t>ECEC</w:t>
      </w:r>
      <w:proofErr w:type="spellEnd"/>
      <w:r w:rsidR="004A427B">
        <w:t xml:space="preserve"> s</w:t>
      </w:r>
      <w:r w:rsidR="001C79BB">
        <w:t xml:space="preserve">ervice is supposed to complete a claim form and retain the form for its own records for 36 months </w:t>
      </w:r>
      <w:r w:rsidR="002A72C4">
        <w:t>(</w:t>
      </w:r>
      <w:proofErr w:type="spellStart"/>
      <w:r w:rsidR="004101E6">
        <w:t>DEEWR</w:t>
      </w:r>
      <w:proofErr w:type="spellEnd"/>
      <w:r w:rsidR="004101E6">
        <w:t xml:space="preserve"> </w:t>
      </w:r>
      <w:r w:rsidR="00F0287D">
        <w:t>(</w:t>
      </w:r>
      <w:r w:rsidR="004101E6">
        <w:t>2012</w:t>
      </w:r>
      <w:r w:rsidR="00F0287D">
        <w:t>)</w:t>
      </w:r>
      <w:r w:rsidR="004101E6">
        <w:t xml:space="preserve">, </w:t>
      </w:r>
      <w:r w:rsidR="002A72C4">
        <w:t>p</w:t>
      </w:r>
      <w:r w:rsidR="004101E6">
        <w:t xml:space="preserve"> </w:t>
      </w:r>
      <w:r w:rsidR="002A72C4">
        <w:t>213). While services are encouraged to seek it out, t</w:t>
      </w:r>
      <w:r w:rsidR="001C79BB">
        <w:t xml:space="preserve">here is no requirement to </w:t>
      </w:r>
      <w:r w:rsidR="002A72C4">
        <w:t>include</w:t>
      </w:r>
      <w:r w:rsidR="001C79BB">
        <w:t xml:space="preserve"> independent </w:t>
      </w:r>
      <w:r w:rsidR="004101E6">
        <w:t>support</w:t>
      </w:r>
      <w:r w:rsidR="00F70FB1">
        <w:t>ing documentation</w:t>
      </w:r>
      <w:r w:rsidR="004101E6">
        <w:t xml:space="preserve"> in the initial </w:t>
      </w:r>
      <w:r w:rsidR="00F70FB1">
        <w:t>paperwork</w:t>
      </w:r>
      <w:r w:rsidR="001C79BB">
        <w:t xml:space="preserve">. </w:t>
      </w:r>
      <w:r w:rsidR="004A427B">
        <w:t xml:space="preserve">The service’s </w:t>
      </w:r>
      <w:r w:rsidR="0020060B">
        <w:t xml:space="preserve">initial </w:t>
      </w:r>
      <w:r w:rsidR="004A427B">
        <w:t xml:space="preserve">decision to approve </w:t>
      </w:r>
      <w:proofErr w:type="spellStart"/>
      <w:r w:rsidR="004A427B">
        <w:t>SCCB</w:t>
      </w:r>
      <w:proofErr w:type="spellEnd"/>
      <w:r w:rsidR="004A427B">
        <w:t xml:space="preserve"> </w:t>
      </w:r>
      <w:r w:rsidR="001370D0">
        <w:t>(or not approve) is not reviewable</w:t>
      </w:r>
      <w:r w:rsidR="004101E6">
        <w:t xml:space="preserve"> by the Commonwealth</w:t>
      </w:r>
      <w:r w:rsidR="004A427B">
        <w:t xml:space="preserve"> (</w:t>
      </w:r>
      <w:r w:rsidR="004101E6">
        <w:t xml:space="preserve">p </w:t>
      </w:r>
      <w:r w:rsidR="004A427B">
        <w:t>210)</w:t>
      </w:r>
      <w:r w:rsidR="004101E6">
        <w:t>.</w:t>
      </w:r>
      <w:r w:rsidR="004A427B">
        <w:t xml:space="preserve"> </w:t>
      </w:r>
      <w:r w:rsidR="008E369D">
        <w:t xml:space="preserve">The total amount of the </w:t>
      </w:r>
      <w:proofErr w:type="spellStart"/>
      <w:r w:rsidR="008E369D">
        <w:t>SCCB</w:t>
      </w:r>
      <w:proofErr w:type="spellEnd"/>
      <w:r w:rsidR="008E369D">
        <w:t xml:space="preserve">, both for children at risk of serious abuse or neglect and </w:t>
      </w:r>
      <w:r w:rsidR="008E369D">
        <w:lastRenderedPageBreak/>
        <w:t>families experienci</w:t>
      </w:r>
      <w:r w:rsidR="008762D4">
        <w:t>ng temporary economic hardship, which</w:t>
      </w:r>
      <w:r w:rsidR="008E369D">
        <w:t xml:space="preserve"> a service can approve in one </w:t>
      </w:r>
      <w:r w:rsidR="008762D4">
        <w:t>quarter</w:t>
      </w:r>
      <w:r w:rsidR="008E369D">
        <w:t xml:space="preserve"> is limited to 18 per cent of the total </w:t>
      </w:r>
      <w:proofErr w:type="spellStart"/>
      <w:r w:rsidR="008E369D">
        <w:t>CCB</w:t>
      </w:r>
      <w:proofErr w:type="spellEnd"/>
      <w:r w:rsidR="008E369D">
        <w:t xml:space="preserve"> paid to the ser</w:t>
      </w:r>
      <w:r w:rsidR="00F70FB1">
        <w:t>vice in the quarter before last</w:t>
      </w:r>
      <w:r w:rsidR="008E369D">
        <w:t xml:space="preserve"> (pp 203-228</w:t>
      </w:r>
      <w:r w:rsidR="00110773">
        <w:t>)</w:t>
      </w:r>
      <w:r w:rsidR="00F70FB1">
        <w:t>.</w:t>
      </w:r>
      <w:r w:rsidR="00CB009E">
        <w:t xml:space="preserve"> </w:t>
      </w:r>
      <w:r w:rsidR="00110773">
        <w:t xml:space="preserve">This </w:t>
      </w:r>
      <w:r w:rsidR="00BF449A">
        <w:t>ceiling</w:t>
      </w:r>
      <w:r w:rsidR="00110773">
        <w:t xml:space="preserve"> can be raised </w:t>
      </w:r>
      <w:r w:rsidR="00CB009E">
        <w:t>by the Commonwealth Department of Early Childhood and Education</w:t>
      </w:r>
      <w:r w:rsidR="00BF449A">
        <w:t>.</w:t>
      </w:r>
    </w:p>
    <w:p w:rsidR="004A427B" w:rsidRDefault="0020060B" w:rsidP="009D5CD9">
      <w:pPr>
        <w:jc w:val="both"/>
      </w:pPr>
      <w:r>
        <w:t>After a child care service has made an initial determination of eligibility, f</w:t>
      </w:r>
      <w:r w:rsidR="004A427B">
        <w:t xml:space="preserve">urther periods of up to 13 weeks can be approved by the Commonwealth on application. </w:t>
      </w:r>
      <w:r w:rsidR="003F49DD">
        <w:t xml:space="preserve">There is no limit to the number of times this </w:t>
      </w:r>
      <w:proofErr w:type="spellStart"/>
      <w:r w:rsidR="003F49DD">
        <w:t>SCCB</w:t>
      </w:r>
      <w:proofErr w:type="spellEnd"/>
      <w:r w:rsidR="003F49DD">
        <w:t xml:space="preserve"> can be renewed, nor is there an upper limit of funding as a percentage of a service’s total </w:t>
      </w:r>
      <w:proofErr w:type="spellStart"/>
      <w:r w:rsidR="003F49DD">
        <w:t>CCB</w:t>
      </w:r>
      <w:proofErr w:type="spellEnd"/>
      <w:r w:rsidR="003F49DD">
        <w:t xml:space="preserve"> funding.  </w:t>
      </w:r>
      <w:r w:rsidR="001370D0">
        <w:t xml:space="preserve">These applications are </w:t>
      </w:r>
      <w:r w:rsidR="005B7E1C">
        <w:t>processed by Centrelink on behalf of</w:t>
      </w:r>
      <w:r w:rsidR="001370D0">
        <w:t xml:space="preserve"> the Special Child Care Assessment Team (</w:t>
      </w:r>
      <w:proofErr w:type="spellStart"/>
      <w:r w:rsidR="001370D0">
        <w:t>SC</w:t>
      </w:r>
      <w:r w:rsidR="00FF76BF">
        <w:t>C</w:t>
      </w:r>
      <w:r w:rsidR="001370D0">
        <w:t>AT</w:t>
      </w:r>
      <w:proofErr w:type="spellEnd"/>
      <w:r w:rsidR="001370D0">
        <w:t xml:space="preserve">) in the Department of </w:t>
      </w:r>
      <w:r w:rsidR="00627859">
        <w:t>Social</w:t>
      </w:r>
      <w:r w:rsidR="001370D0">
        <w:t xml:space="preserve"> Serv</w:t>
      </w:r>
      <w:r w:rsidR="00627859">
        <w:t>ices (</w:t>
      </w:r>
      <w:proofErr w:type="spellStart"/>
      <w:r w:rsidR="00627859">
        <w:t>DS</w:t>
      </w:r>
      <w:r w:rsidR="001370D0">
        <w:t>S</w:t>
      </w:r>
      <w:proofErr w:type="spellEnd"/>
      <w:r w:rsidR="001370D0">
        <w:t>). A</w:t>
      </w:r>
      <w:r w:rsidR="004A427B">
        <w:t xml:space="preserve">pprovals are made </w:t>
      </w:r>
      <w:r w:rsidR="00757CBE">
        <w:t xml:space="preserve">Centrelink staff </w:t>
      </w:r>
      <w:r w:rsidR="004A427B">
        <w:t>on a case-by-case ba</w:t>
      </w:r>
      <w:r w:rsidR="008E369D">
        <w:t>s</w:t>
      </w:r>
      <w:r w:rsidR="004A427B">
        <w:t xml:space="preserve">is and </w:t>
      </w:r>
      <w:r w:rsidR="00757CBE">
        <w:t>they rely</w:t>
      </w:r>
      <w:r w:rsidR="00253623">
        <w:t xml:space="preserve"> on the child care service</w:t>
      </w:r>
      <w:r w:rsidR="004A427B">
        <w:t xml:space="preserve"> </w:t>
      </w:r>
      <w:r w:rsidR="00253623">
        <w:t>to assemble sufficient evidence of ab</w:t>
      </w:r>
      <w:r w:rsidR="00F70FB1">
        <w:t xml:space="preserve">use and neglect. While the </w:t>
      </w:r>
      <w:proofErr w:type="spellStart"/>
      <w:r w:rsidR="00F70FB1">
        <w:t>DEEWR</w:t>
      </w:r>
      <w:proofErr w:type="spellEnd"/>
      <w:r w:rsidR="00F70FB1">
        <w:t xml:space="preserve"> </w:t>
      </w:r>
      <w:r w:rsidR="00F70FB1" w:rsidRPr="00F70FB1">
        <w:rPr>
          <w:i/>
        </w:rPr>
        <w:t>Child Care Service Hand</w:t>
      </w:r>
      <w:r w:rsidR="00253623" w:rsidRPr="00F70FB1">
        <w:rPr>
          <w:i/>
        </w:rPr>
        <w:t>book</w:t>
      </w:r>
      <w:r w:rsidR="00253623">
        <w:t xml:space="preserve"> and the </w:t>
      </w:r>
      <w:proofErr w:type="spellStart"/>
      <w:r w:rsidR="00F70FB1">
        <w:t>DEEWR</w:t>
      </w:r>
      <w:proofErr w:type="spellEnd"/>
      <w:r w:rsidR="00F70FB1">
        <w:t xml:space="preserve"> and </w:t>
      </w:r>
      <w:proofErr w:type="spellStart"/>
      <w:r w:rsidR="00F70FB1">
        <w:t>DHS</w:t>
      </w:r>
      <w:proofErr w:type="spellEnd"/>
      <w:r w:rsidR="00F70FB1">
        <w:t xml:space="preserve"> </w:t>
      </w:r>
      <w:r w:rsidR="00F70FB1" w:rsidRPr="00F70FB1">
        <w:rPr>
          <w:i/>
        </w:rPr>
        <w:t>A</w:t>
      </w:r>
      <w:r w:rsidR="00F70FB1">
        <w:rPr>
          <w:i/>
        </w:rPr>
        <w:t xml:space="preserve"> </w:t>
      </w:r>
      <w:r w:rsidR="00253623" w:rsidRPr="00F70FB1">
        <w:rPr>
          <w:i/>
        </w:rPr>
        <w:t xml:space="preserve">Guide </w:t>
      </w:r>
      <w:r w:rsidR="00F70FB1" w:rsidRPr="00F70FB1">
        <w:rPr>
          <w:i/>
        </w:rPr>
        <w:t>to Special Child Care Benefit</w:t>
      </w:r>
      <w:r w:rsidR="00F70FB1">
        <w:t xml:space="preserve"> </w:t>
      </w:r>
      <w:r w:rsidR="00253623">
        <w:t xml:space="preserve">provide some direction on the kind of evidence </w:t>
      </w:r>
      <w:r w:rsidR="00AC181A">
        <w:t xml:space="preserve">that would be accepted, </w:t>
      </w:r>
      <w:r w:rsidR="00253623">
        <w:t xml:space="preserve">it is </w:t>
      </w:r>
      <w:r w:rsidR="00AC181A">
        <w:t>very open-ended.</w:t>
      </w:r>
      <w:r w:rsidR="00253623">
        <w:t xml:space="preserve"> Rather than defining a</w:t>
      </w:r>
      <w:r w:rsidR="00C80A0B">
        <w:t xml:space="preserve"> </w:t>
      </w:r>
      <w:r w:rsidR="00253623">
        <w:t xml:space="preserve">clear standard </w:t>
      </w:r>
      <w:r w:rsidR="00AC181A">
        <w:t>for documentary</w:t>
      </w:r>
      <w:r w:rsidR="00253623">
        <w:t xml:space="preserve"> evidence</w:t>
      </w:r>
      <w:r w:rsidR="00AC181A">
        <w:t>,</w:t>
      </w:r>
      <w:r w:rsidR="00253623">
        <w:t xml:space="preserve"> service</w:t>
      </w:r>
      <w:r w:rsidR="00AC181A">
        <w:t>s</w:t>
      </w:r>
      <w:r w:rsidR="00253623">
        <w:t xml:space="preserve"> are urged to provide as much as possible</w:t>
      </w:r>
      <w:r w:rsidR="00AC181A">
        <w:t>.</w:t>
      </w:r>
    </w:p>
    <w:p w:rsidR="00B74FE3" w:rsidRPr="00B74FE3" w:rsidRDefault="00B74FE3" w:rsidP="009D5CD9">
      <w:pPr>
        <w:pStyle w:val="Brief-BULLET"/>
        <w:numPr>
          <w:ilvl w:val="0"/>
          <w:numId w:val="0"/>
        </w:numPr>
        <w:ind w:left="720"/>
        <w:jc w:val="both"/>
        <w:rPr>
          <w:sz w:val="22"/>
          <w:szCs w:val="22"/>
        </w:rPr>
      </w:pPr>
      <w:r w:rsidRPr="00B74FE3">
        <w:rPr>
          <w:sz w:val="22"/>
          <w:szCs w:val="22"/>
        </w:rPr>
        <w:t xml:space="preserve">Child care services are responsible for providing sufficient information to allow </w:t>
      </w:r>
      <w:proofErr w:type="spellStart"/>
      <w:r w:rsidRPr="00B74FE3">
        <w:rPr>
          <w:sz w:val="22"/>
          <w:szCs w:val="22"/>
        </w:rPr>
        <w:t>DHS</w:t>
      </w:r>
      <w:proofErr w:type="spellEnd"/>
      <w:r w:rsidRPr="00B74FE3">
        <w:rPr>
          <w:sz w:val="22"/>
          <w:szCs w:val="22"/>
        </w:rPr>
        <w:t xml:space="preserve"> to make a reasonable assessment of the application. It is expected that as much documentary evidence as possible is provided to support a </w:t>
      </w:r>
      <w:proofErr w:type="spellStart"/>
      <w:r w:rsidRPr="00B74FE3">
        <w:rPr>
          <w:sz w:val="22"/>
          <w:szCs w:val="22"/>
        </w:rPr>
        <w:t>SCCB</w:t>
      </w:r>
      <w:proofErr w:type="spellEnd"/>
      <w:r>
        <w:rPr>
          <w:sz w:val="22"/>
          <w:szCs w:val="22"/>
        </w:rPr>
        <w:t xml:space="preserve"> </w:t>
      </w:r>
      <w:r w:rsidRPr="00D741C2">
        <w:rPr>
          <w:sz w:val="22"/>
          <w:szCs w:val="22"/>
        </w:rPr>
        <w:t>application</w:t>
      </w:r>
      <w:r w:rsidR="00F70FB1">
        <w:rPr>
          <w:sz w:val="22"/>
          <w:szCs w:val="22"/>
        </w:rPr>
        <w:t xml:space="preserve"> (</w:t>
      </w:r>
      <w:proofErr w:type="spellStart"/>
      <w:r w:rsidR="00F70FB1">
        <w:rPr>
          <w:sz w:val="22"/>
          <w:szCs w:val="22"/>
        </w:rPr>
        <w:t>DEEWR</w:t>
      </w:r>
      <w:proofErr w:type="spellEnd"/>
      <w:r w:rsidR="00F70FB1">
        <w:rPr>
          <w:sz w:val="22"/>
          <w:szCs w:val="22"/>
        </w:rPr>
        <w:t xml:space="preserve"> and </w:t>
      </w:r>
      <w:proofErr w:type="spellStart"/>
      <w:r w:rsidR="00F70FB1">
        <w:rPr>
          <w:sz w:val="22"/>
          <w:szCs w:val="22"/>
        </w:rPr>
        <w:t>DHS</w:t>
      </w:r>
      <w:proofErr w:type="spellEnd"/>
      <w:r w:rsidR="00F70FB1">
        <w:rPr>
          <w:sz w:val="22"/>
          <w:szCs w:val="22"/>
        </w:rPr>
        <w:t xml:space="preserve"> (</w:t>
      </w:r>
      <w:r w:rsidR="00D741C2" w:rsidRPr="00D741C2">
        <w:rPr>
          <w:sz w:val="22"/>
          <w:szCs w:val="22"/>
        </w:rPr>
        <w:t>2012)</w:t>
      </w:r>
      <w:r w:rsidR="00F70FB1">
        <w:rPr>
          <w:sz w:val="22"/>
          <w:szCs w:val="22"/>
        </w:rPr>
        <w:t>, p 11)</w:t>
      </w:r>
      <w:r w:rsidRPr="00D741C2">
        <w:rPr>
          <w:sz w:val="22"/>
          <w:szCs w:val="22"/>
        </w:rPr>
        <w:t>.</w:t>
      </w:r>
    </w:p>
    <w:p w:rsidR="00AC181A" w:rsidRDefault="00AC181A" w:rsidP="009D5CD9">
      <w:pPr>
        <w:ind w:left="720"/>
        <w:jc w:val="both"/>
      </w:pPr>
    </w:p>
    <w:p w:rsidR="00C80D32" w:rsidRDefault="00313B64" w:rsidP="009D5CD9">
      <w:pPr>
        <w:jc w:val="both"/>
      </w:pPr>
      <w:r>
        <w:t xml:space="preserve">Renewal of </w:t>
      </w:r>
      <w:proofErr w:type="spellStart"/>
      <w:r>
        <w:t>SCCB</w:t>
      </w:r>
      <w:proofErr w:type="spellEnd"/>
      <w:r>
        <w:t xml:space="preserve"> is unpredictable, even for children with very high levels of risk. </w:t>
      </w:r>
      <w:r w:rsidR="00FF76BF">
        <w:t xml:space="preserve"> </w:t>
      </w:r>
      <w:r>
        <w:t>As a result, these children bounce in and out of childcare services, exposing them to harm and increasing the instability in their lives.</w:t>
      </w:r>
    </w:p>
    <w:p w:rsidR="00656FE3" w:rsidRDefault="00656FE3" w:rsidP="009D5CD9">
      <w:pPr>
        <w:jc w:val="both"/>
      </w:pPr>
      <w:r>
        <w:t xml:space="preserve">The </w:t>
      </w:r>
      <w:r w:rsidR="00F639C8">
        <w:t>flaw in</w:t>
      </w:r>
      <w:r>
        <w:t xml:space="preserve"> this </w:t>
      </w:r>
      <w:r w:rsidR="00F639C8">
        <w:t>process</w:t>
      </w:r>
      <w:r>
        <w:t xml:space="preserve"> is </w:t>
      </w:r>
      <w:r w:rsidR="00F639C8">
        <w:t xml:space="preserve">the mismatch between </w:t>
      </w:r>
      <w:proofErr w:type="spellStart"/>
      <w:r w:rsidR="00F639C8">
        <w:t>SCCB</w:t>
      </w:r>
      <w:proofErr w:type="spellEnd"/>
      <w:r w:rsidR="00F639C8">
        <w:t xml:space="preserve">, which </w:t>
      </w:r>
      <w:r w:rsidR="00313B64">
        <w:t>is being implemented</w:t>
      </w:r>
      <w:r w:rsidR="00F639C8">
        <w:t xml:space="preserve"> as a short term intervention, and the long term needs of vulnerable children. This generates a cycle of </w:t>
      </w:r>
      <w:r w:rsidR="00313B64">
        <w:t xml:space="preserve">uncertainty and </w:t>
      </w:r>
      <w:r w:rsidR="00F639C8">
        <w:t>red tape</w:t>
      </w:r>
      <w:r w:rsidR="00313B64">
        <w:t>. It does not meet the needs of vulnerable children</w:t>
      </w:r>
      <w:r w:rsidR="00F639C8">
        <w:t xml:space="preserve"> and</w:t>
      </w:r>
      <w:r w:rsidR="00313B64">
        <w:t xml:space="preserve"> it </w:t>
      </w:r>
      <w:r w:rsidR="00F639C8">
        <w:t xml:space="preserve">imposes high costs on any </w:t>
      </w:r>
      <w:proofErr w:type="spellStart"/>
      <w:r w:rsidR="005B7E1C">
        <w:t>ECEC</w:t>
      </w:r>
      <w:proofErr w:type="spellEnd"/>
      <w:r w:rsidR="00F639C8">
        <w:t xml:space="preserve"> service that wishes to support vulnerable children </w:t>
      </w:r>
      <w:r w:rsidR="00FF76BF">
        <w:t>throughout</w:t>
      </w:r>
      <w:r w:rsidR="00F639C8">
        <w:t xml:space="preserve"> their critical formative years. </w:t>
      </w:r>
    </w:p>
    <w:p w:rsidR="00F0287D" w:rsidRDefault="005B7E1C" w:rsidP="009D5CD9">
      <w:pPr>
        <w:jc w:val="both"/>
      </w:pPr>
      <w:proofErr w:type="spellStart"/>
      <w:r>
        <w:t>ECEC</w:t>
      </w:r>
      <w:proofErr w:type="spellEnd"/>
      <w:r w:rsidR="00FF76BF">
        <w:t xml:space="preserve"> services are </w:t>
      </w:r>
      <w:r w:rsidR="001910D9">
        <w:t>presu</w:t>
      </w:r>
      <w:r w:rsidR="003501A7">
        <w:t>med to have the expertise to ass</w:t>
      </w:r>
      <w:r w:rsidR="001910D9">
        <w:t xml:space="preserve">ess risk and are </w:t>
      </w:r>
      <w:r w:rsidR="00FF76BF">
        <w:t xml:space="preserve">expected to bear the costs of making the case for each renewal of </w:t>
      </w:r>
      <w:proofErr w:type="spellStart"/>
      <w:r w:rsidR="00FF76BF">
        <w:t>SCCB</w:t>
      </w:r>
      <w:proofErr w:type="spellEnd"/>
      <w:r w:rsidR="00FF76BF">
        <w:t xml:space="preserve">. </w:t>
      </w:r>
      <w:r w:rsidR="001910D9">
        <w:t xml:space="preserve">This includes </w:t>
      </w:r>
      <w:r w:rsidR="00D05612">
        <w:t xml:space="preserve">assembling </w:t>
      </w:r>
      <w:r w:rsidR="001910D9">
        <w:t xml:space="preserve">documentary evidence from </w:t>
      </w:r>
      <w:r w:rsidR="00D05612">
        <w:t xml:space="preserve">independent </w:t>
      </w:r>
      <w:r w:rsidR="001910D9">
        <w:t>agencies</w:t>
      </w:r>
      <w:r w:rsidR="00D05612">
        <w:t>, including child protection agencies, child and family welfare agencies, agencies specialising in mental health, family violence, family law, homelessness, drug and alcohol rehabilitation and indigenous services as well as professionals including medical practitioners, police, psychologists, teachers and principals, members of the clergy and counsellors</w:t>
      </w:r>
      <w:r w:rsidR="00F0287D">
        <w:t xml:space="preserve"> </w:t>
      </w:r>
      <w:r w:rsidR="00D22D7B">
        <w:t>(</w:t>
      </w:r>
      <w:proofErr w:type="spellStart"/>
      <w:r w:rsidR="00D22D7B">
        <w:t>DEEWR</w:t>
      </w:r>
      <w:proofErr w:type="spellEnd"/>
      <w:r w:rsidR="00D22D7B">
        <w:t xml:space="preserve"> (2012), pp 24-216; </w:t>
      </w:r>
      <w:proofErr w:type="spellStart"/>
      <w:r w:rsidR="00D22D7B">
        <w:t>DEEWR</w:t>
      </w:r>
      <w:proofErr w:type="spellEnd"/>
      <w:r w:rsidR="00D22D7B">
        <w:t xml:space="preserve"> and </w:t>
      </w:r>
      <w:proofErr w:type="spellStart"/>
      <w:r w:rsidR="00D22D7B">
        <w:t>DHS</w:t>
      </w:r>
      <w:proofErr w:type="spellEnd"/>
      <w:r w:rsidR="00D22D7B">
        <w:t xml:space="preserve"> (2012), p 35)</w:t>
      </w:r>
      <w:r w:rsidR="00D05612">
        <w:t>.</w:t>
      </w:r>
      <w:r w:rsidR="001910D9">
        <w:t xml:space="preserve"> </w:t>
      </w:r>
      <w:r w:rsidR="00F0287D">
        <w:t xml:space="preserve">Anecdotal evidence indicates that the preparation and assembly of each application takes at least three hours per child every 13 weeks. This time is spread out over many days as the child care services collect evidence from independent providers. If </w:t>
      </w:r>
      <w:proofErr w:type="spellStart"/>
      <w:r w:rsidR="00F0287D">
        <w:t>SCATT</w:t>
      </w:r>
      <w:proofErr w:type="spellEnd"/>
      <w:r w:rsidR="00F0287D">
        <w:t xml:space="preserve"> then requests additional information, as they seem to in a majority of cases, it can take an additional 2 or more hours per case. The overall process general</w:t>
      </w:r>
      <w:r w:rsidR="00F70FB1">
        <w:t>ly</w:t>
      </w:r>
      <w:r w:rsidR="00F0287D">
        <w:t xml:space="preserve"> takes three weeks or more from application to approval.</w:t>
      </w:r>
    </w:p>
    <w:p w:rsidR="00F639C8" w:rsidRDefault="00F0287D" w:rsidP="009D5CD9">
      <w:pPr>
        <w:jc w:val="both"/>
      </w:pPr>
      <w:r>
        <w:t xml:space="preserve">Child care services bear the </w:t>
      </w:r>
      <w:r w:rsidR="00D05612">
        <w:t xml:space="preserve">cost of establishing and maintaining relationships with independent agencies and professionals and renewing the supporting documentation </w:t>
      </w:r>
      <w:r w:rsidR="00C97D4B">
        <w:t>every 13 weeks. Meanwhile</w:t>
      </w:r>
      <w:r w:rsidR="00D05612">
        <w:t xml:space="preserve">, the </w:t>
      </w:r>
      <w:r w:rsidR="00C97D4B">
        <w:t xml:space="preserve">risk factors </w:t>
      </w:r>
      <w:r w:rsidR="003F49DD">
        <w:t xml:space="preserve">for abuse and neglect are long term risks that in </w:t>
      </w:r>
      <w:r w:rsidR="00D05612">
        <w:t>almost all</w:t>
      </w:r>
      <w:r w:rsidR="003F49DD">
        <w:t xml:space="preserve"> cases persist </w:t>
      </w:r>
      <w:r w:rsidR="003F49DD">
        <w:lastRenderedPageBreak/>
        <w:t xml:space="preserve">throughout childhood. These risks are documented in </w:t>
      </w:r>
      <w:r w:rsidR="003F49DD" w:rsidRPr="00DA630E">
        <w:rPr>
          <w:i/>
        </w:rPr>
        <w:t>A Guide to Special Child Care Benefit</w:t>
      </w:r>
      <w:r w:rsidR="00DA630E">
        <w:t xml:space="preserve"> (</w:t>
      </w:r>
      <w:proofErr w:type="spellStart"/>
      <w:r w:rsidR="00DA630E">
        <w:t>DEEWR</w:t>
      </w:r>
      <w:proofErr w:type="spellEnd"/>
      <w:r w:rsidR="00DA630E">
        <w:t xml:space="preserve"> and </w:t>
      </w:r>
      <w:proofErr w:type="spellStart"/>
      <w:r w:rsidR="00DA630E">
        <w:t>DHS</w:t>
      </w:r>
      <w:proofErr w:type="spellEnd"/>
      <w:r w:rsidR="00DA630E">
        <w:t>,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89"/>
      </w:tblGrid>
      <w:tr w:rsidR="003F49DD" w:rsidRPr="007415DD" w:rsidTr="008C279E">
        <w:tc>
          <w:tcPr>
            <w:tcW w:w="1908" w:type="dxa"/>
          </w:tcPr>
          <w:p w:rsidR="003F49DD" w:rsidRPr="007415DD" w:rsidRDefault="003F49DD" w:rsidP="008C279E">
            <w:pPr>
              <w:rPr>
                <w:rFonts w:cs="Arial"/>
                <w:b/>
              </w:rPr>
            </w:pPr>
          </w:p>
        </w:tc>
        <w:tc>
          <w:tcPr>
            <w:tcW w:w="6989" w:type="dxa"/>
          </w:tcPr>
          <w:p w:rsidR="003F49DD" w:rsidRPr="007415DD" w:rsidRDefault="003F49DD" w:rsidP="008C279E">
            <w:pPr>
              <w:rPr>
                <w:rFonts w:cs="Arial"/>
                <w:b/>
              </w:rPr>
            </w:pPr>
            <w:r w:rsidRPr="007415DD">
              <w:rPr>
                <w:rFonts w:cs="Arial"/>
                <w:b/>
              </w:rPr>
              <w:t>Risk Factors</w:t>
            </w:r>
          </w:p>
        </w:tc>
      </w:tr>
      <w:tr w:rsidR="003F49DD" w:rsidRPr="007415DD" w:rsidTr="008C279E">
        <w:tc>
          <w:tcPr>
            <w:tcW w:w="1908" w:type="dxa"/>
          </w:tcPr>
          <w:p w:rsidR="003F49DD" w:rsidRPr="007415DD" w:rsidRDefault="003F49DD" w:rsidP="006C3134">
            <w:pPr>
              <w:spacing w:after="0" w:line="240" w:lineRule="auto"/>
              <w:rPr>
                <w:rFonts w:cs="Arial"/>
                <w:b/>
              </w:rPr>
            </w:pPr>
            <w:r w:rsidRPr="007415DD">
              <w:rPr>
                <w:rFonts w:cs="Arial"/>
                <w:b/>
              </w:rPr>
              <w:t xml:space="preserve">Child </w:t>
            </w:r>
          </w:p>
        </w:tc>
        <w:tc>
          <w:tcPr>
            <w:tcW w:w="6989" w:type="dxa"/>
          </w:tcPr>
          <w:p w:rsidR="003F49DD" w:rsidRPr="00FF76BF" w:rsidRDefault="003F49DD" w:rsidP="006C3134">
            <w:pPr>
              <w:pStyle w:val="Brief-BULLET"/>
              <w:numPr>
                <w:ilvl w:val="0"/>
                <w:numId w:val="0"/>
              </w:numPr>
              <w:tabs>
                <w:tab w:val="num" w:pos="987"/>
              </w:tabs>
              <w:rPr>
                <w:rFonts w:cs="Arial"/>
                <w:sz w:val="22"/>
                <w:szCs w:val="22"/>
              </w:rPr>
            </w:pPr>
            <w:r w:rsidRPr="00FF76BF">
              <w:rPr>
                <w:rFonts w:cs="Arial"/>
                <w:sz w:val="22"/>
                <w:szCs w:val="22"/>
              </w:rPr>
              <w:t xml:space="preserve">Very young age (infants and toddlers) </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Physical, intellectual or sensory disability</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Indigenous ethnicity</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 xml:space="preserve">Child aggression, behaviour problems or attention deficits </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Female gender (</w:t>
            </w:r>
            <w:proofErr w:type="spellStart"/>
            <w:r w:rsidRPr="007415DD">
              <w:rPr>
                <w:rFonts w:cs="Arial"/>
              </w:rPr>
              <w:t>partic</w:t>
            </w:r>
            <w:proofErr w:type="spellEnd"/>
            <w:r w:rsidRPr="007415DD">
              <w:rPr>
                <w:rFonts w:cs="Arial"/>
              </w:rPr>
              <w:t>. for sexual abuse)</w:t>
            </w:r>
          </w:p>
        </w:tc>
      </w:tr>
      <w:tr w:rsidR="003F49DD" w:rsidRPr="007415DD" w:rsidTr="008C279E">
        <w:tc>
          <w:tcPr>
            <w:tcW w:w="1908" w:type="dxa"/>
          </w:tcPr>
          <w:p w:rsidR="003F49DD" w:rsidRPr="007415DD" w:rsidRDefault="003F49DD" w:rsidP="006C3134">
            <w:pPr>
              <w:spacing w:after="0" w:line="240" w:lineRule="auto"/>
              <w:rPr>
                <w:rFonts w:cs="Arial"/>
                <w:b/>
              </w:rPr>
            </w:pPr>
            <w:r w:rsidRPr="007415DD">
              <w:rPr>
                <w:rFonts w:cs="Arial"/>
                <w:b/>
              </w:rPr>
              <w:t>Parental</w:t>
            </w:r>
          </w:p>
        </w:tc>
        <w:tc>
          <w:tcPr>
            <w:tcW w:w="6989" w:type="dxa"/>
          </w:tcPr>
          <w:p w:rsidR="003F49DD" w:rsidRPr="007415DD" w:rsidRDefault="003F49DD" w:rsidP="006C3134">
            <w:pPr>
              <w:spacing w:after="0" w:line="240" w:lineRule="auto"/>
              <w:rPr>
                <w:rFonts w:cs="Arial"/>
              </w:rPr>
            </w:pPr>
            <w:r w:rsidRPr="007415DD">
              <w:rPr>
                <w:rFonts w:cs="Arial"/>
              </w:rPr>
              <w:t xml:space="preserve">Substance misuse, particularly alcohol and </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Mental health problems such as depression, low self-esteem, poor control of impulses, or antisocial behaviour</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Intellectual disability</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Young maternal age</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bCs/>
              </w:rPr>
              <w:t>Stress</w:t>
            </w:r>
            <w:r w:rsidRPr="007415DD">
              <w:rPr>
                <w:rFonts w:cs="Arial"/>
              </w:rPr>
              <w:t>, such as financial pressures, job worries, medical problems or taking care of a family member with a disability</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Significant lack of parenting skills, including unrealistic expectations that show a lack of understanding of a child’s developmental stages and behaviour</w:t>
            </w:r>
          </w:p>
        </w:tc>
      </w:tr>
      <w:tr w:rsidR="003F49DD" w:rsidRPr="007415DD" w:rsidTr="008C279E">
        <w:tc>
          <w:tcPr>
            <w:tcW w:w="1908" w:type="dxa"/>
          </w:tcPr>
          <w:p w:rsidR="003F49DD" w:rsidRDefault="003F49DD" w:rsidP="006C3134">
            <w:pPr>
              <w:spacing w:after="0" w:line="240" w:lineRule="auto"/>
            </w:pPr>
          </w:p>
        </w:tc>
        <w:tc>
          <w:tcPr>
            <w:tcW w:w="6989" w:type="dxa"/>
          </w:tcPr>
          <w:p w:rsidR="003F49DD" w:rsidRDefault="003F49DD" w:rsidP="006C3134">
            <w:pPr>
              <w:spacing w:after="0" w:line="240" w:lineRule="auto"/>
            </w:pPr>
            <w:r w:rsidRPr="007415DD">
              <w:rPr>
                <w:rFonts w:cs="Arial"/>
              </w:rPr>
              <w:t>Low educational attainment</w:t>
            </w:r>
          </w:p>
        </w:tc>
      </w:tr>
      <w:tr w:rsidR="003F49DD" w:rsidRPr="007415DD" w:rsidTr="008C279E">
        <w:tc>
          <w:tcPr>
            <w:tcW w:w="1908" w:type="dxa"/>
          </w:tcPr>
          <w:p w:rsidR="003F49DD" w:rsidRPr="007415DD" w:rsidRDefault="003F49DD" w:rsidP="006C3134">
            <w:pPr>
              <w:spacing w:after="0" w:line="240" w:lineRule="auto"/>
              <w:rPr>
                <w:rFonts w:cs="Arial"/>
                <w:b/>
              </w:rPr>
            </w:pPr>
            <w:r w:rsidRPr="007415DD">
              <w:rPr>
                <w:rFonts w:cs="Arial"/>
                <w:b/>
              </w:rPr>
              <w:t>Family</w:t>
            </w:r>
          </w:p>
        </w:tc>
        <w:tc>
          <w:tcPr>
            <w:tcW w:w="6989" w:type="dxa"/>
          </w:tcPr>
          <w:p w:rsidR="003F49DD" w:rsidRPr="007415DD" w:rsidRDefault="003F49DD" w:rsidP="006C3134">
            <w:pPr>
              <w:spacing w:after="0" w:line="240" w:lineRule="auto"/>
              <w:rPr>
                <w:rFonts w:cs="Arial"/>
              </w:rPr>
            </w:pPr>
            <w:r w:rsidRPr="007415DD">
              <w:rPr>
                <w:rFonts w:cs="Arial"/>
              </w:rPr>
              <w:t>Domestic violence and conflict between parents</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Single parent families (are over-represented in investigations of child abuse or neglect)</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Family instability, where the composition of the household frequently changes as family members and others move in and out</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Overcrowded households</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Homelessness</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Death of either parent before a child is</w:t>
            </w:r>
            <w:r>
              <w:rPr>
                <w:rFonts w:cs="Arial"/>
              </w:rPr>
              <w:t xml:space="preserve"> </w:t>
            </w:r>
            <w:r w:rsidRPr="007415DD">
              <w:rPr>
                <w:rFonts w:cs="Arial"/>
              </w:rPr>
              <w:t>15 years old</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Large numbers of children being cared for by a young single mother</w:t>
            </w:r>
          </w:p>
        </w:tc>
      </w:tr>
      <w:tr w:rsidR="003F49DD" w:rsidRPr="007415DD" w:rsidTr="008C279E">
        <w:tc>
          <w:tcPr>
            <w:tcW w:w="1908" w:type="dxa"/>
          </w:tcPr>
          <w:p w:rsidR="003F49DD" w:rsidRPr="007415DD" w:rsidRDefault="003F49DD" w:rsidP="006C3134">
            <w:pPr>
              <w:spacing w:after="0" w:line="240" w:lineRule="auto"/>
              <w:rPr>
                <w:rFonts w:cs="Arial"/>
                <w:b/>
              </w:rPr>
            </w:pPr>
            <w:r w:rsidRPr="007415DD">
              <w:rPr>
                <w:rFonts w:cs="Arial"/>
                <w:b/>
              </w:rPr>
              <w:t>Social</w:t>
            </w:r>
          </w:p>
        </w:tc>
        <w:tc>
          <w:tcPr>
            <w:tcW w:w="6989" w:type="dxa"/>
          </w:tcPr>
          <w:p w:rsidR="003F49DD" w:rsidRPr="007415DD" w:rsidRDefault="003F49DD" w:rsidP="006C3134">
            <w:pPr>
              <w:spacing w:after="0" w:line="240" w:lineRule="auto"/>
              <w:rPr>
                <w:rFonts w:cs="Arial"/>
              </w:rPr>
            </w:pPr>
            <w:r w:rsidRPr="007415DD">
              <w:rPr>
                <w:rFonts w:cs="Arial"/>
              </w:rPr>
              <w:t>Social isolation and limited access to support networks can increase the risk, as can geographical isolation and a lac</w:t>
            </w:r>
            <w:r>
              <w:rPr>
                <w:rFonts w:cs="Arial"/>
              </w:rPr>
              <w:t>k of access to extended family</w:t>
            </w:r>
          </w:p>
        </w:tc>
      </w:tr>
      <w:tr w:rsidR="003F49DD" w:rsidRPr="007415DD" w:rsidTr="008C279E">
        <w:tc>
          <w:tcPr>
            <w:tcW w:w="1908" w:type="dxa"/>
          </w:tcPr>
          <w:p w:rsidR="003F49DD" w:rsidRPr="007415DD" w:rsidRDefault="003F49DD" w:rsidP="006C3134">
            <w:pPr>
              <w:spacing w:after="0" w:line="240" w:lineRule="auto"/>
              <w:rPr>
                <w:rFonts w:cs="Arial"/>
              </w:rPr>
            </w:pPr>
          </w:p>
        </w:tc>
        <w:tc>
          <w:tcPr>
            <w:tcW w:w="6989" w:type="dxa"/>
          </w:tcPr>
          <w:p w:rsidR="003F49DD" w:rsidRPr="007415DD" w:rsidRDefault="003F49DD" w:rsidP="006C3134">
            <w:pPr>
              <w:spacing w:after="0" w:line="240" w:lineRule="auto"/>
              <w:rPr>
                <w:rFonts w:cs="Arial"/>
              </w:rPr>
            </w:pPr>
            <w:r w:rsidRPr="007415DD">
              <w:rPr>
                <w:rFonts w:cs="Arial"/>
              </w:rPr>
              <w:t>Poverty and low socioeconomic status can heighten the risk of maltreatment. These factors alone are not considered to be risk factors for abuse or neglect, but may influence the level of risk and th</w:t>
            </w:r>
            <w:r>
              <w:rPr>
                <w:rFonts w:cs="Arial"/>
              </w:rPr>
              <w:t>e degree of harm that may occur</w:t>
            </w:r>
          </w:p>
        </w:tc>
      </w:tr>
    </w:tbl>
    <w:p w:rsidR="003F49DD" w:rsidRDefault="001442A3">
      <w:r>
        <w:t xml:space="preserve">A </w:t>
      </w:r>
      <w:r w:rsidR="003F49DD">
        <w:t>Guide</w:t>
      </w:r>
      <w:r>
        <w:t xml:space="preserve"> to Special Child Care Benefit (2012)</w:t>
      </w:r>
      <w:r w:rsidR="003F49DD">
        <w:t>, p 31</w:t>
      </w:r>
      <w:r>
        <w:t>.</w:t>
      </w:r>
    </w:p>
    <w:p w:rsidR="00C97D4B" w:rsidRDefault="00C97D4B"/>
    <w:p w:rsidR="002A72C4" w:rsidRDefault="0019507C">
      <w:r>
        <w:t xml:space="preserve">Furthermore, this mismatch is </w:t>
      </w:r>
      <w:r w:rsidR="002005CB">
        <w:t>made worse</w:t>
      </w:r>
      <w:r>
        <w:t xml:space="preserve"> by the ad</w:t>
      </w:r>
      <w:r w:rsidR="00D878D2">
        <w:t>optio</w:t>
      </w:r>
      <w:r w:rsidR="00D83505">
        <w:t xml:space="preserve">n of in the guidelines for </w:t>
      </w:r>
      <w:proofErr w:type="spellStart"/>
      <w:r w:rsidR="00D83505">
        <w:t>SCCA</w:t>
      </w:r>
      <w:r w:rsidR="00D878D2">
        <w:t>T</w:t>
      </w:r>
      <w:proofErr w:type="spellEnd"/>
      <w:r w:rsidR="00D878D2">
        <w:t xml:space="preserve"> of an interpretation of the meaning of </w:t>
      </w:r>
      <w:r>
        <w:t>“at risk of serious abuse or neglect” to mean “current”</w:t>
      </w:r>
      <w:r w:rsidR="00D878D2">
        <w:t xml:space="preserve"> risk of abuse and n</w:t>
      </w:r>
      <w:r>
        <w:t xml:space="preserve">eglect, although there is </w:t>
      </w:r>
      <w:r w:rsidR="00D878D2">
        <w:t>no actual</w:t>
      </w:r>
      <w:r w:rsidR="00D22D7B">
        <w:t xml:space="preserve"> definition in the Act</w:t>
      </w:r>
      <w:r>
        <w:t xml:space="preserve"> </w:t>
      </w:r>
      <w:r w:rsidR="00D878D2">
        <w:t>(</w:t>
      </w:r>
      <w:proofErr w:type="spellStart"/>
      <w:r w:rsidR="00DA630E">
        <w:t>DEEWR</w:t>
      </w:r>
      <w:proofErr w:type="spellEnd"/>
      <w:r w:rsidR="00DA630E">
        <w:t xml:space="preserve"> and </w:t>
      </w:r>
      <w:proofErr w:type="spellStart"/>
      <w:r w:rsidR="00DA630E">
        <w:t>DHS</w:t>
      </w:r>
      <w:proofErr w:type="spellEnd"/>
      <w:r w:rsidR="00DA630E">
        <w:t xml:space="preserve"> (2012)</w:t>
      </w:r>
      <w:r w:rsidR="00D22D7B">
        <w:t>,</w:t>
      </w:r>
      <w:r w:rsidR="00DA630E">
        <w:t xml:space="preserve"> p 7</w:t>
      </w:r>
      <w:r w:rsidR="00D878D2">
        <w:t xml:space="preserve">). </w:t>
      </w:r>
      <w:r w:rsidR="007D5058">
        <w:t xml:space="preserve">However, recovery from exposure to </w:t>
      </w:r>
      <w:r w:rsidR="00AC181A">
        <w:t>abuse and neglect</w:t>
      </w:r>
      <w:r w:rsidR="007D5058">
        <w:t xml:space="preserve"> can take years</w:t>
      </w:r>
      <w:r w:rsidR="00AC181A">
        <w:t xml:space="preserve"> and it would be </w:t>
      </w:r>
      <w:r w:rsidR="00DA630E">
        <w:t>exceptional</w:t>
      </w:r>
      <w:r w:rsidR="00AC181A">
        <w:t xml:space="preserve"> for a child’s issues to be resolved in a 13 week period. </w:t>
      </w:r>
      <w:r w:rsidR="00D878D2">
        <w:t>C</w:t>
      </w:r>
      <w:r w:rsidR="007D5058">
        <w:t xml:space="preserve">ontinuity and consistency of care </w:t>
      </w:r>
      <w:r w:rsidR="00AC181A">
        <w:t xml:space="preserve">over time is </w:t>
      </w:r>
      <w:r w:rsidR="00D878D2">
        <w:t xml:space="preserve">an important underpinning of child development and it is </w:t>
      </w:r>
      <w:r w:rsidR="00AC181A">
        <w:t xml:space="preserve">especially important to vulnerable children. Changes in care after a few months can set back a child’s recovery and development. For </w:t>
      </w:r>
      <w:r w:rsidR="005B7E1C">
        <w:t>‘</w:t>
      </w:r>
      <w:r w:rsidR="00AC181A">
        <w:t>at risk</w:t>
      </w:r>
      <w:r w:rsidR="005B7E1C">
        <w:t>’</w:t>
      </w:r>
      <w:r w:rsidR="00AC181A">
        <w:t xml:space="preserve"> children and families, child care is often the most reliable </w:t>
      </w:r>
      <w:r w:rsidR="001C7F06">
        <w:t xml:space="preserve">and supportive </w:t>
      </w:r>
      <w:r w:rsidR="00AC181A">
        <w:t>part of otherwise chaotic lives and gives children extra resilience when their home environment is in flux.</w:t>
      </w:r>
    </w:p>
    <w:p w:rsidR="00253623" w:rsidRDefault="008D4CCE">
      <w:r>
        <w:lastRenderedPageBreak/>
        <w:t xml:space="preserve">Continuity of care is also undermined by the provisions in Section 49 of the Act that allow the responsible Minister to exempt children in state care or other specified classes of children from </w:t>
      </w:r>
      <w:proofErr w:type="spellStart"/>
      <w:r>
        <w:t>SCCB</w:t>
      </w:r>
      <w:proofErr w:type="spellEnd"/>
      <w:r>
        <w:t xml:space="preserve">. Children in state care are the most vulnerable children in Australia and participation in quality child care and early learning is critical to their health and </w:t>
      </w:r>
      <w:proofErr w:type="spellStart"/>
      <w:r>
        <w:t>well-being</w:t>
      </w:r>
      <w:proofErr w:type="spellEnd"/>
      <w:r>
        <w:t xml:space="preserve"> as children </w:t>
      </w:r>
      <w:r w:rsidRPr="008D4CCE">
        <w:rPr>
          <w:b/>
        </w:rPr>
        <w:t>and</w:t>
      </w:r>
      <w:r>
        <w:t xml:space="preserve"> as adults.</w:t>
      </w:r>
    </w:p>
    <w:p w:rsidR="00906905" w:rsidRDefault="00172B7D">
      <w:r>
        <w:t xml:space="preserve">The </w:t>
      </w:r>
      <w:proofErr w:type="spellStart"/>
      <w:r>
        <w:t>SCCB</w:t>
      </w:r>
      <w:proofErr w:type="spellEnd"/>
      <w:r>
        <w:t xml:space="preserve"> </w:t>
      </w:r>
      <w:r w:rsidR="00906905">
        <w:t>app</w:t>
      </w:r>
      <w:r>
        <w:t xml:space="preserve">roval process </w:t>
      </w:r>
      <w:r w:rsidR="00906905">
        <w:t>also affect</w:t>
      </w:r>
      <w:r>
        <w:t>s</w:t>
      </w:r>
      <w:r w:rsidR="00906905">
        <w:t xml:space="preserve"> the continuity of care when children have to leave a service because of delays in the approval of renewal of funding. This has been known to happen to children who have had already multiple renewals and then </w:t>
      </w:r>
      <w:r w:rsidR="00A1553E">
        <w:t>Centrelink</w:t>
      </w:r>
      <w:r w:rsidR="00906905">
        <w:t xml:space="preserve"> unexpectedly makes requests for additional information to support their application. For example, it appears that </w:t>
      </w:r>
      <w:r>
        <w:t xml:space="preserve">Centrelink and </w:t>
      </w:r>
      <w:proofErr w:type="spellStart"/>
      <w:r w:rsidR="001C7F06">
        <w:t>SCC</w:t>
      </w:r>
      <w:r w:rsidR="00906905">
        <w:t>AT’s</w:t>
      </w:r>
      <w:proofErr w:type="spellEnd"/>
      <w:r w:rsidR="00906905">
        <w:t xml:space="preserve"> change in appro</w:t>
      </w:r>
      <w:r w:rsidR="00D83505">
        <w:t>ach at the beginning of the 2013-14</w:t>
      </w:r>
      <w:r w:rsidR="00906905">
        <w:t xml:space="preserve"> financial year meant that many vulnerable children </w:t>
      </w:r>
      <w:r w:rsidR="00D83505">
        <w:t xml:space="preserve">unexpectedly </w:t>
      </w:r>
      <w:r w:rsidR="00906905">
        <w:t xml:space="preserve">lost </w:t>
      </w:r>
      <w:proofErr w:type="spellStart"/>
      <w:r w:rsidR="00B21130">
        <w:t>SCCB</w:t>
      </w:r>
      <w:proofErr w:type="spellEnd"/>
      <w:r w:rsidR="00906905">
        <w:t xml:space="preserve">. While many of these </w:t>
      </w:r>
      <w:r w:rsidR="00D83505">
        <w:t>decisions</w:t>
      </w:r>
      <w:r w:rsidR="00906905">
        <w:t xml:space="preserve"> were eventually </w:t>
      </w:r>
      <w:r w:rsidR="00D83505">
        <w:t>reversed</w:t>
      </w:r>
      <w:r w:rsidR="00B21130">
        <w:t xml:space="preserve">, a significant number of </w:t>
      </w:r>
      <w:r w:rsidR="00AC305B">
        <w:t>‘at risk’</w:t>
      </w:r>
      <w:r>
        <w:t xml:space="preserve"> </w:t>
      </w:r>
      <w:r w:rsidR="00B21130">
        <w:t xml:space="preserve">children </w:t>
      </w:r>
      <w:r w:rsidR="00AC305B">
        <w:t xml:space="preserve">previously deemed eligible </w:t>
      </w:r>
      <w:r w:rsidR="00B21130">
        <w:t xml:space="preserve">lost access to services -- temporarily or permanently </w:t>
      </w:r>
      <w:r w:rsidR="00AC305B">
        <w:t>-- placing them at greater risk</w:t>
      </w:r>
      <w:r w:rsidR="00D83505">
        <w:t xml:space="preserve">. For example, in July 2013 in a children’s centre run by Frankston City Council, 31 applications for </w:t>
      </w:r>
      <w:proofErr w:type="spellStart"/>
      <w:r w:rsidR="00D83505">
        <w:t>SCCB</w:t>
      </w:r>
      <w:proofErr w:type="spellEnd"/>
      <w:r w:rsidR="00D83505">
        <w:t xml:space="preserve"> for children who were on child protection orders and who had been receiving </w:t>
      </w:r>
      <w:proofErr w:type="spellStart"/>
      <w:r w:rsidR="00D83505">
        <w:t>SCCB</w:t>
      </w:r>
      <w:proofErr w:type="spellEnd"/>
      <w:r w:rsidR="00D83505">
        <w:t xml:space="preserve"> for the previous eighteen months were rejected</w:t>
      </w:r>
      <w:r w:rsidR="00AC305B">
        <w:t xml:space="preserve"> (Frankston Council (2014) pp-5-6.)</w:t>
      </w:r>
      <w:r>
        <w:t>.</w:t>
      </w:r>
    </w:p>
    <w:p w:rsidR="00B21130" w:rsidRDefault="00B21130"/>
    <w:p w:rsidR="005B7E1C" w:rsidRDefault="005B7E1C">
      <w:pPr>
        <w:rPr>
          <w:sz w:val="28"/>
          <w:szCs w:val="28"/>
        </w:rPr>
      </w:pPr>
      <w:r>
        <w:rPr>
          <w:sz w:val="28"/>
          <w:szCs w:val="28"/>
        </w:rPr>
        <w:br w:type="page"/>
      </w:r>
    </w:p>
    <w:p w:rsidR="00FB396D" w:rsidRDefault="00A230ED" w:rsidP="00E756F6">
      <w:pPr>
        <w:jc w:val="center"/>
        <w:rPr>
          <w:sz w:val="28"/>
          <w:szCs w:val="28"/>
        </w:rPr>
      </w:pPr>
      <w:r>
        <w:rPr>
          <w:sz w:val="28"/>
          <w:szCs w:val="28"/>
        </w:rPr>
        <w:lastRenderedPageBreak/>
        <w:t>How to Make</w:t>
      </w:r>
      <w:r w:rsidR="0078283F">
        <w:rPr>
          <w:sz w:val="28"/>
          <w:szCs w:val="28"/>
        </w:rPr>
        <w:t xml:space="preserve"> </w:t>
      </w:r>
      <w:r w:rsidR="00E756F6">
        <w:rPr>
          <w:sz w:val="28"/>
          <w:szCs w:val="28"/>
        </w:rPr>
        <w:t>Commonwealth Funding</w:t>
      </w:r>
      <w:r>
        <w:rPr>
          <w:sz w:val="28"/>
          <w:szCs w:val="28"/>
        </w:rPr>
        <w:t xml:space="preserve"> Work B</w:t>
      </w:r>
      <w:r w:rsidR="000E7EAB" w:rsidRPr="000E7EAB">
        <w:rPr>
          <w:sz w:val="28"/>
          <w:szCs w:val="28"/>
        </w:rPr>
        <w:t xml:space="preserve">etter for </w:t>
      </w:r>
      <w:r>
        <w:rPr>
          <w:sz w:val="28"/>
          <w:szCs w:val="28"/>
        </w:rPr>
        <w:t>V</w:t>
      </w:r>
      <w:r w:rsidR="000E7EAB">
        <w:rPr>
          <w:sz w:val="28"/>
          <w:szCs w:val="28"/>
        </w:rPr>
        <w:t xml:space="preserve">ulnerable </w:t>
      </w:r>
      <w:r>
        <w:rPr>
          <w:sz w:val="28"/>
          <w:szCs w:val="28"/>
        </w:rPr>
        <w:t>C</w:t>
      </w:r>
      <w:r w:rsidR="000E7EAB" w:rsidRPr="000E7EAB">
        <w:rPr>
          <w:sz w:val="28"/>
          <w:szCs w:val="28"/>
        </w:rPr>
        <w:t>hild</w:t>
      </w:r>
      <w:r w:rsidR="000E7EAB">
        <w:rPr>
          <w:sz w:val="28"/>
          <w:szCs w:val="28"/>
        </w:rPr>
        <w:t>ren</w:t>
      </w:r>
      <w:r>
        <w:rPr>
          <w:sz w:val="28"/>
          <w:szCs w:val="28"/>
        </w:rPr>
        <w:t xml:space="preserve"> and Their Families and for the Child Care S</w:t>
      </w:r>
      <w:r w:rsidR="000E7EAB" w:rsidRPr="000E7EAB">
        <w:rPr>
          <w:sz w:val="28"/>
          <w:szCs w:val="28"/>
        </w:rPr>
        <w:t xml:space="preserve">ervices that </w:t>
      </w:r>
      <w:r>
        <w:rPr>
          <w:sz w:val="28"/>
          <w:szCs w:val="28"/>
        </w:rPr>
        <w:t>S</w:t>
      </w:r>
      <w:r w:rsidR="000E7EAB" w:rsidRPr="000E7EAB">
        <w:rPr>
          <w:sz w:val="28"/>
          <w:szCs w:val="28"/>
        </w:rPr>
        <w:t xml:space="preserve">upport </w:t>
      </w:r>
      <w:r>
        <w:rPr>
          <w:sz w:val="28"/>
          <w:szCs w:val="28"/>
        </w:rPr>
        <w:t>T</w:t>
      </w:r>
      <w:r w:rsidR="000E7EAB" w:rsidRPr="000E7EAB">
        <w:rPr>
          <w:sz w:val="28"/>
          <w:szCs w:val="28"/>
        </w:rPr>
        <w:t>hem</w:t>
      </w:r>
      <w:r w:rsidR="00E756F6">
        <w:rPr>
          <w:sz w:val="28"/>
          <w:szCs w:val="28"/>
        </w:rPr>
        <w:t xml:space="preserve"> </w:t>
      </w:r>
      <w:r w:rsidR="00E756F6">
        <w:rPr>
          <w:sz w:val="28"/>
          <w:szCs w:val="28"/>
        </w:rPr>
        <w:br/>
      </w:r>
    </w:p>
    <w:p w:rsidR="00E756F6" w:rsidRDefault="004553EB" w:rsidP="008F3B5D">
      <w:pPr>
        <w:jc w:val="both"/>
      </w:pPr>
      <w:r>
        <w:t xml:space="preserve">While the need of </w:t>
      </w:r>
      <w:r w:rsidR="00627859">
        <w:t>‘</w:t>
      </w:r>
      <w:r>
        <w:t>at risk</w:t>
      </w:r>
      <w:r w:rsidR="00627859">
        <w:t>’</w:t>
      </w:r>
      <w:r>
        <w:t xml:space="preserve"> children is great, their actual numbers are relatively few and addressing the administrative barrier</w:t>
      </w:r>
      <w:r w:rsidR="001C7F06">
        <w:t xml:space="preserve">s that deny them access to </w:t>
      </w:r>
      <w:r>
        <w:t xml:space="preserve">early childhood </w:t>
      </w:r>
      <w:r w:rsidR="001C7F06">
        <w:t>education and care</w:t>
      </w:r>
      <w:r>
        <w:t xml:space="preserve"> is relatively straightforward. Unlike </w:t>
      </w:r>
      <w:r w:rsidR="006977D1">
        <w:t>many</w:t>
      </w:r>
      <w:r>
        <w:t xml:space="preserve"> of the </w:t>
      </w:r>
      <w:r w:rsidR="00627859">
        <w:t xml:space="preserve">complex </w:t>
      </w:r>
      <w:r w:rsidR="001C7F06">
        <w:t xml:space="preserve">issues facing the </w:t>
      </w:r>
      <w:r>
        <w:t>early childhood</w:t>
      </w:r>
      <w:r w:rsidR="001C7F06">
        <w:t xml:space="preserve"> education and care</w:t>
      </w:r>
      <w:r>
        <w:t xml:space="preserve"> system, these issues are tractable, the required expenditure is limited, and the economic gains to society are </w:t>
      </w:r>
      <w:r w:rsidR="006977D1">
        <w:t xml:space="preserve">well documented and </w:t>
      </w:r>
      <w:r>
        <w:t>substantial.</w:t>
      </w:r>
    </w:p>
    <w:p w:rsidR="00F10558" w:rsidRDefault="00A24B75" w:rsidP="008F3B5D">
      <w:pPr>
        <w:jc w:val="both"/>
      </w:pPr>
      <w:r>
        <w:rPr>
          <w:noProof/>
          <w:lang w:eastAsia="en-AU"/>
        </w:rPr>
        <mc:AlternateContent>
          <mc:Choice Requires="wps">
            <w:drawing>
              <wp:anchor distT="45720" distB="45720" distL="114300" distR="114300" simplePos="0" relativeHeight="251665920" behindDoc="0" locked="0" layoutInCell="1" allowOverlap="1" wp14:anchorId="404D68D5" wp14:editId="74BB8160">
                <wp:simplePos x="0" y="0"/>
                <wp:positionH relativeFrom="column">
                  <wp:posOffset>0</wp:posOffset>
                </wp:positionH>
                <wp:positionV relativeFrom="paragraph">
                  <wp:posOffset>631190</wp:posOffset>
                </wp:positionV>
                <wp:extent cx="6324600" cy="3848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848100"/>
                        </a:xfrm>
                        <a:prstGeom prst="rect">
                          <a:avLst/>
                        </a:prstGeom>
                        <a:solidFill>
                          <a:srgbClr val="FFFFFF"/>
                        </a:solidFill>
                        <a:ln w="9525">
                          <a:solidFill>
                            <a:srgbClr val="000000"/>
                          </a:solidFill>
                          <a:miter lim="800000"/>
                          <a:headEnd/>
                          <a:tailEnd/>
                        </a:ln>
                      </wps:spPr>
                      <wps:txbx>
                        <w:txbxContent>
                          <w:p w:rsidR="00A24B75" w:rsidRPr="00A24B75" w:rsidRDefault="00A24B75" w:rsidP="00A24B75">
                            <w:pPr>
                              <w:pStyle w:val="RecTitle"/>
                              <w:rPr>
                                <w:b/>
                                <w:sz w:val="22"/>
                                <w:szCs w:val="22"/>
                              </w:rPr>
                            </w:pPr>
                            <w:r w:rsidRPr="00A24B75">
                              <w:rPr>
                                <w:b/>
                                <w:sz w:val="22"/>
                                <w:szCs w:val="22"/>
                              </w:rPr>
                              <w:t xml:space="preserve">draft recommendation 12.7 </w:t>
                            </w:r>
                          </w:p>
                          <w:p w:rsidR="00A24B75" w:rsidRPr="00A24B75" w:rsidRDefault="00A24B75" w:rsidP="00A24B75">
                            <w:pPr>
                              <w:pStyle w:val="Finding"/>
                              <w:rPr>
                                <w:b/>
                                <w:sz w:val="22"/>
                                <w:szCs w:val="22"/>
                              </w:rPr>
                            </w:pPr>
                            <w:r w:rsidRPr="00A24B75">
                              <w:rPr>
                                <w:b/>
                                <w:sz w:val="22"/>
                                <w:szCs w:val="22"/>
                              </w:rPr>
                              <w:t xml:space="preserve">The Australian Government should continue to provide support for children who are assessed as ‘at risk’ to access </w:t>
                            </w:r>
                            <w:proofErr w:type="spellStart"/>
                            <w:r w:rsidRPr="00A24B75">
                              <w:rPr>
                                <w:b/>
                                <w:sz w:val="22"/>
                                <w:szCs w:val="22"/>
                              </w:rPr>
                              <w:t>ECEC</w:t>
                            </w:r>
                            <w:proofErr w:type="spellEnd"/>
                            <w:r w:rsidRPr="00A24B75">
                              <w:rPr>
                                <w:b/>
                                <w:sz w:val="22"/>
                                <w:szCs w:val="22"/>
                              </w:rPr>
                              <w:t xml:space="preserve"> services, providing:</w:t>
                            </w:r>
                          </w:p>
                          <w:p w:rsidR="00A24B75" w:rsidRPr="00A24B75" w:rsidRDefault="00A24B75" w:rsidP="00A24B75">
                            <w:pPr>
                              <w:pStyle w:val="Finding"/>
                              <w:numPr>
                                <w:ilvl w:val="0"/>
                                <w:numId w:val="3"/>
                              </w:numPr>
                              <w:rPr>
                                <w:b/>
                                <w:sz w:val="22"/>
                                <w:szCs w:val="22"/>
                              </w:rPr>
                            </w:pPr>
                            <w:r w:rsidRPr="00A24B75">
                              <w:rPr>
                                <w:b/>
                                <w:sz w:val="22"/>
                                <w:szCs w:val="22"/>
                              </w:rPr>
                              <w:t xml:space="preserve">a 100 per cent subsidy for the deemed cost of </w:t>
                            </w:r>
                            <w:proofErr w:type="spellStart"/>
                            <w:r w:rsidRPr="00A24B75">
                              <w:rPr>
                                <w:b/>
                                <w:sz w:val="22"/>
                                <w:szCs w:val="22"/>
                              </w:rPr>
                              <w:t>ECEC</w:t>
                            </w:r>
                            <w:proofErr w:type="spellEnd"/>
                            <w:r w:rsidRPr="00A24B75">
                              <w:rPr>
                                <w:b/>
                                <w:sz w:val="22"/>
                                <w:szCs w:val="22"/>
                              </w:rPr>
                              <w:t xml:space="preserve"> services, which includes any additional ‘special’ services at their deemed cost, funded from the Special Early Care and Learning Subsidy program</w:t>
                            </w:r>
                          </w:p>
                          <w:p w:rsidR="00A24B75" w:rsidRPr="00A24B75" w:rsidRDefault="00A24B75" w:rsidP="00A24B75">
                            <w:pPr>
                              <w:pStyle w:val="Finding"/>
                              <w:numPr>
                                <w:ilvl w:val="0"/>
                                <w:numId w:val="3"/>
                              </w:numPr>
                              <w:rPr>
                                <w:b/>
                                <w:sz w:val="22"/>
                                <w:szCs w:val="22"/>
                              </w:rPr>
                            </w:pPr>
                            <w:r w:rsidRPr="00A24B75">
                              <w:rPr>
                                <w:b/>
                                <w:sz w:val="22"/>
                                <w:szCs w:val="22"/>
                              </w:rPr>
                              <w:t>up to 100 hours a fortnight, regardless of whether the families meet an activity test</w:t>
                            </w:r>
                          </w:p>
                          <w:p w:rsidR="00A24B75" w:rsidRPr="00A24B75" w:rsidRDefault="00A24B75" w:rsidP="00A24B75">
                            <w:pPr>
                              <w:pStyle w:val="Finding"/>
                              <w:numPr>
                                <w:ilvl w:val="0"/>
                                <w:numId w:val="3"/>
                              </w:numPr>
                              <w:rPr>
                                <w:b/>
                                <w:sz w:val="22"/>
                                <w:szCs w:val="22"/>
                              </w:rPr>
                            </w:pPr>
                            <w:r w:rsidRPr="00A24B75">
                              <w:rPr>
                                <w:b/>
                                <w:sz w:val="22"/>
                                <w:szCs w:val="22"/>
                              </w:rPr>
                              <w:t>support for initially 13 weeks then, after assessment by the relevant state or territory department and approval by the Department of Human Services, for up to 26 weeks.</w:t>
                            </w:r>
                          </w:p>
                          <w:p w:rsidR="00A24B75" w:rsidRPr="00A24B75" w:rsidRDefault="00A24B75" w:rsidP="00A24B75">
                            <w:pPr>
                              <w:pStyle w:val="Finding"/>
                              <w:rPr>
                                <w:b/>
                                <w:sz w:val="22"/>
                                <w:szCs w:val="22"/>
                              </w:rPr>
                            </w:pPr>
                            <w:proofErr w:type="spellStart"/>
                            <w:r w:rsidRPr="00A24B75">
                              <w:rPr>
                                <w:b/>
                                <w:sz w:val="22"/>
                                <w:szCs w:val="22"/>
                              </w:rPr>
                              <w:t>ECEC</w:t>
                            </w:r>
                            <w:proofErr w:type="spellEnd"/>
                            <w:r w:rsidRPr="00A24B75">
                              <w:rPr>
                                <w:b/>
                                <w:sz w:val="22"/>
                                <w:szCs w:val="22"/>
                              </w:rPr>
                              <w:t xml:space="preserve"> providers must contact the state or territory department with responsibility for child protection within one week of providing a service to any child on whose behalf they apply for the ‘at risk’ Special Early Care and Learning Subsidy. Continuation of access to the subsidy is to be based on assessment by this department, assignment of a case worker, and approval by the Department of Human Services. The Australian Government should review the adequacy of the program budget to meet reasonable need annually.</w:t>
                            </w:r>
                          </w:p>
                          <w:p w:rsidR="00A24B75" w:rsidRDefault="00A24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4D68D5" id="_x0000_s1027" type="#_x0000_t202" style="position:absolute;left:0;text-align:left;margin-left:0;margin-top:49.7pt;width:498pt;height:30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">
                <v:textbox>
                  <w:txbxContent>
                    <w:p w:rsidR="00A24B75" w:rsidRPr="00A24B75" w:rsidRDefault="00A24B75" w:rsidP="00A24B75">
                      <w:pPr>
                        <w:pStyle w:val="RecTitle"/>
                        <w:rPr>
                          <w:b/>
                          <w:sz w:val="22"/>
                          <w:szCs w:val="22"/>
                        </w:rPr>
                      </w:pPr>
                      <w:r w:rsidRPr="00A24B75">
                        <w:rPr>
                          <w:b/>
                          <w:sz w:val="22"/>
                          <w:szCs w:val="22"/>
                        </w:rPr>
                        <w:t xml:space="preserve">draft recommendation 12.7 </w:t>
                      </w:r>
                    </w:p>
                    <w:p w:rsidR="00A24B75" w:rsidRPr="00A24B75" w:rsidRDefault="00A24B75" w:rsidP="00A24B75">
                      <w:pPr>
                        <w:pStyle w:val="Finding"/>
                        <w:rPr>
                          <w:b/>
                          <w:sz w:val="22"/>
                          <w:szCs w:val="22"/>
                        </w:rPr>
                      </w:pPr>
                      <w:r w:rsidRPr="00A24B75">
                        <w:rPr>
                          <w:b/>
                          <w:sz w:val="22"/>
                          <w:szCs w:val="22"/>
                        </w:rPr>
                        <w:t>The Australian Government should continue to provide support for children who are assessed as ‘at risk’ to access ECEC services, providing:</w:t>
                      </w:r>
                    </w:p>
                    <w:p w:rsidR="00A24B75" w:rsidRPr="00A24B75" w:rsidRDefault="00A24B75" w:rsidP="00A24B75">
                      <w:pPr>
                        <w:pStyle w:val="Finding"/>
                        <w:numPr>
                          <w:ilvl w:val="0"/>
                          <w:numId w:val="3"/>
                        </w:numPr>
                        <w:rPr>
                          <w:b/>
                          <w:sz w:val="22"/>
                          <w:szCs w:val="22"/>
                        </w:rPr>
                      </w:pPr>
                      <w:r w:rsidRPr="00A24B75">
                        <w:rPr>
                          <w:b/>
                          <w:sz w:val="22"/>
                          <w:szCs w:val="22"/>
                        </w:rPr>
                        <w:t>a 100 per cent subsidy for the deemed cost of ECEC services, which includes any additional ‘special’ services at their deemed cost, funded from the Special Early Care and Learning Subsidy program</w:t>
                      </w:r>
                    </w:p>
                    <w:p w:rsidR="00A24B75" w:rsidRPr="00A24B75" w:rsidRDefault="00A24B75" w:rsidP="00A24B75">
                      <w:pPr>
                        <w:pStyle w:val="Finding"/>
                        <w:numPr>
                          <w:ilvl w:val="0"/>
                          <w:numId w:val="3"/>
                        </w:numPr>
                        <w:rPr>
                          <w:b/>
                          <w:sz w:val="22"/>
                          <w:szCs w:val="22"/>
                        </w:rPr>
                      </w:pPr>
                      <w:r w:rsidRPr="00A24B75">
                        <w:rPr>
                          <w:b/>
                          <w:sz w:val="22"/>
                          <w:szCs w:val="22"/>
                        </w:rPr>
                        <w:t>up to 100 hours a fortnight, regardless of whether the families meet an activity test</w:t>
                      </w:r>
                    </w:p>
                    <w:p w:rsidR="00A24B75" w:rsidRPr="00A24B75" w:rsidRDefault="00A24B75" w:rsidP="00A24B75">
                      <w:pPr>
                        <w:pStyle w:val="Finding"/>
                        <w:numPr>
                          <w:ilvl w:val="0"/>
                          <w:numId w:val="3"/>
                        </w:numPr>
                        <w:rPr>
                          <w:b/>
                          <w:sz w:val="22"/>
                          <w:szCs w:val="22"/>
                        </w:rPr>
                      </w:pPr>
                      <w:r w:rsidRPr="00A24B75">
                        <w:rPr>
                          <w:b/>
                          <w:sz w:val="22"/>
                          <w:szCs w:val="22"/>
                        </w:rPr>
                        <w:t>support for initially 13 weeks then, after assessment by the relevant state or territory department and approval by the Department of Human Services, for up to 26 weeks.</w:t>
                      </w:r>
                    </w:p>
                    <w:p w:rsidR="00A24B75" w:rsidRPr="00A24B75" w:rsidRDefault="00A24B75" w:rsidP="00A24B75">
                      <w:pPr>
                        <w:pStyle w:val="Finding"/>
                        <w:rPr>
                          <w:b/>
                          <w:sz w:val="22"/>
                          <w:szCs w:val="22"/>
                        </w:rPr>
                      </w:pPr>
                      <w:r w:rsidRPr="00A24B75">
                        <w:rPr>
                          <w:b/>
                          <w:sz w:val="22"/>
                          <w:szCs w:val="22"/>
                        </w:rPr>
                        <w:t>ECEC providers must contact the state or territory department with responsibility for child protection within one week of providing a service to any child on whose behalf they apply for the ‘at risk’ Special Early Care and Learning Subsidy. Continuation of access to the subsidy is to be based on assessment by this department, assignment of a case worker, and approval by the Department of Human Services. The Australian Government should review the adequacy of the program budget to meet reasonable need annually.</w:t>
                      </w:r>
                    </w:p>
                    <w:p w:rsidR="00A24B75" w:rsidRDefault="00A24B75"/>
                  </w:txbxContent>
                </v:textbox>
                <w10:wrap type="square"/>
              </v:shape>
            </w:pict>
          </mc:Fallback>
        </mc:AlternateContent>
      </w:r>
      <w:r>
        <w:t>The Productivity Commissions Draft Recommendation 12.7 recognises this, but there are other changes that will need to be made to ensure that Commonwealth funding is effective.</w:t>
      </w:r>
    </w:p>
    <w:p w:rsidR="005B7E1C" w:rsidRDefault="005B7E1C" w:rsidP="00E756F6">
      <w:pPr>
        <w:rPr>
          <w:b/>
        </w:rPr>
      </w:pPr>
    </w:p>
    <w:p w:rsidR="00E756F6" w:rsidRPr="00F10558" w:rsidRDefault="00E756F6" w:rsidP="00E756F6">
      <w:r w:rsidRPr="00F242A9">
        <w:rPr>
          <w:b/>
        </w:rPr>
        <w:t xml:space="preserve">Develop a </w:t>
      </w:r>
      <w:r>
        <w:rPr>
          <w:b/>
        </w:rPr>
        <w:t>checklist/scorecard</w:t>
      </w:r>
      <w:r w:rsidRPr="00F242A9">
        <w:rPr>
          <w:b/>
        </w:rPr>
        <w:t xml:space="preserve"> for assessment of eligibility </w:t>
      </w:r>
      <w:r>
        <w:rPr>
          <w:b/>
        </w:rPr>
        <w:t xml:space="preserve">for </w:t>
      </w:r>
      <w:proofErr w:type="spellStart"/>
      <w:r>
        <w:rPr>
          <w:b/>
        </w:rPr>
        <w:t>SCCB</w:t>
      </w:r>
      <w:proofErr w:type="spellEnd"/>
      <w:r w:rsidR="00DC0144">
        <w:rPr>
          <w:b/>
        </w:rPr>
        <w:t>/</w:t>
      </w:r>
      <w:proofErr w:type="spellStart"/>
      <w:r w:rsidR="00A24B75">
        <w:rPr>
          <w:b/>
        </w:rPr>
        <w:t>SECLS</w:t>
      </w:r>
      <w:proofErr w:type="spellEnd"/>
      <w:r>
        <w:rPr>
          <w:b/>
        </w:rPr>
        <w:t xml:space="preserve"> </w:t>
      </w:r>
      <w:r w:rsidRPr="00F242A9">
        <w:rPr>
          <w:b/>
        </w:rPr>
        <w:t>with clear definitions and requirements for evidence</w:t>
      </w:r>
    </w:p>
    <w:p w:rsidR="00E756F6" w:rsidRDefault="00E756F6" w:rsidP="008F3B5D">
      <w:pPr>
        <w:jc w:val="both"/>
      </w:pPr>
      <w:r>
        <w:t xml:space="preserve">The decisions to renew </w:t>
      </w:r>
      <w:proofErr w:type="spellStart"/>
      <w:r>
        <w:t>SCCB</w:t>
      </w:r>
      <w:proofErr w:type="spellEnd"/>
      <w:r>
        <w:t xml:space="preserve"> for at-risk children are made by Centrelink staff whose interpretation of eligibility can be highly variable. While the development of </w:t>
      </w:r>
      <w:r w:rsidRPr="00F242A9">
        <w:rPr>
          <w:i/>
        </w:rPr>
        <w:t>A Guide to Special Child Care Benefit</w:t>
      </w:r>
      <w:r w:rsidR="003103D7">
        <w:t xml:space="preserve"> by </w:t>
      </w:r>
      <w:proofErr w:type="spellStart"/>
      <w:r w:rsidR="003103D7">
        <w:t>DEEWR</w:t>
      </w:r>
      <w:proofErr w:type="spellEnd"/>
      <w:r w:rsidR="003103D7">
        <w:t xml:space="preserve"> and </w:t>
      </w:r>
      <w:proofErr w:type="spellStart"/>
      <w:r w:rsidR="003103D7">
        <w:t>DS</w:t>
      </w:r>
      <w:r>
        <w:t>S</w:t>
      </w:r>
      <w:proofErr w:type="spellEnd"/>
      <w:r>
        <w:t xml:space="preserve"> provides guidelines for the processing of </w:t>
      </w:r>
      <w:proofErr w:type="spellStart"/>
      <w:r>
        <w:t>SCCB</w:t>
      </w:r>
      <w:proofErr w:type="spellEnd"/>
      <w:r>
        <w:t xml:space="preserve"> renewals, a user-friendly checklist/scorecard </w:t>
      </w:r>
      <w:r w:rsidR="00D735DD">
        <w:t xml:space="preserve">for Centrelink staff and </w:t>
      </w:r>
      <w:proofErr w:type="spellStart"/>
      <w:r w:rsidR="005B7E1C">
        <w:t>ECEC</w:t>
      </w:r>
      <w:proofErr w:type="spellEnd"/>
      <w:r w:rsidR="00D735DD">
        <w:t xml:space="preserve"> services </w:t>
      </w:r>
      <w:r>
        <w:t xml:space="preserve">with clear definitions, requirements for evidence, and thresholds for eligibility would improve consistency. It would also reduce administrative costs and provide </w:t>
      </w:r>
      <w:proofErr w:type="spellStart"/>
      <w:r w:rsidR="005B7E1C">
        <w:t>ECEC</w:t>
      </w:r>
      <w:proofErr w:type="spellEnd"/>
      <w:r>
        <w:t xml:space="preserve"> services with more certainty around eligibility. </w:t>
      </w:r>
    </w:p>
    <w:p w:rsidR="00E756F6" w:rsidRDefault="00E756F6" w:rsidP="00E756F6">
      <w:r w:rsidRPr="00593489">
        <w:rPr>
          <w:b/>
        </w:rPr>
        <w:lastRenderedPageBreak/>
        <w:t>Reduce red tape by streamlining renewals</w:t>
      </w:r>
      <w:r>
        <w:rPr>
          <w:b/>
        </w:rPr>
        <w:t xml:space="preserve"> for twelve months at a time</w:t>
      </w:r>
    </w:p>
    <w:p w:rsidR="00E756F6" w:rsidRDefault="00E756F6" w:rsidP="008F3B5D">
      <w:pPr>
        <w:jc w:val="both"/>
      </w:pPr>
      <w:r>
        <w:t xml:space="preserve">Because children’s risk factors generally do not change over time, the administrative costs of renewing </w:t>
      </w:r>
      <w:proofErr w:type="spellStart"/>
      <w:r>
        <w:t>SCCB</w:t>
      </w:r>
      <w:proofErr w:type="spellEnd"/>
      <w:r>
        <w:t xml:space="preserve"> via </w:t>
      </w:r>
      <w:r w:rsidR="00392F4F">
        <w:t>Centrelink</w:t>
      </w:r>
      <w:r>
        <w:t xml:space="preserve"> could be significantly reduced by allowing child care services to resubmit the same documentation with each application for renewal for up to twelve months. </w:t>
      </w:r>
      <w:r w:rsidR="00392F4F">
        <w:t>Centrelink</w:t>
      </w:r>
      <w:r>
        <w:t xml:space="preserve"> could further reduce administrative costs by automatically approving requests from renewal for up to twelve months (three renewals) from child care services who are rated as meeting or exceeding the National Quality Standard (</w:t>
      </w:r>
      <w:proofErr w:type="spellStart"/>
      <w:r>
        <w:t>NQS</w:t>
      </w:r>
      <w:proofErr w:type="spellEnd"/>
      <w:r>
        <w:t>) by the Australian Children’s Education &amp; Care Quality Authority (</w:t>
      </w:r>
      <w:proofErr w:type="spellStart"/>
      <w:r>
        <w:t>ACECQA</w:t>
      </w:r>
      <w:proofErr w:type="spellEnd"/>
      <w:r>
        <w:t xml:space="preserve">). Before renewing </w:t>
      </w:r>
      <w:proofErr w:type="spellStart"/>
      <w:r>
        <w:t>SCCB</w:t>
      </w:r>
      <w:proofErr w:type="spellEnd"/>
      <w:r>
        <w:t xml:space="preserve"> for services that do not meet the </w:t>
      </w:r>
      <w:proofErr w:type="spellStart"/>
      <w:r>
        <w:t>NQS</w:t>
      </w:r>
      <w:proofErr w:type="spellEnd"/>
      <w:r>
        <w:t xml:space="preserve">, </w:t>
      </w:r>
      <w:r w:rsidR="00392F4F">
        <w:t xml:space="preserve">Centrelink and </w:t>
      </w:r>
      <w:proofErr w:type="spellStart"/>
      <w:r>
        <w:t>SC</w:t>
      </w:r>
      <w:r w:rsidR="001C7F06">
        <w:t>CA</w:t>
      </w:r>
      <w:r>
        <w:t>T</w:t>
      </w:r>
      <w:proofErr w:type="spellEnd"/>
      <w:r>
        <w:t xml:space="preserve"> should assure that the services are able to meet the needs of vulnerable children.</w:t>
      </w:r>
    </w:p>
    <w:p w:rsidR="00E756F6" w:rsidRDefault="00E756F6" w:rsidP="00E756F6">
      <w:pPr>
        <w:rPr>
          <w:b/>
        </w:rPr>
      </w:pPr>
      <w:r w:rsidRPr="00E756F6">
        <w:rPr>
          <w:b/>
        </w:rPr>
        <w:t xml:space="preserve">Recognise that </w:t>
      </w:r>
      <w:r w:rsidR="00384EFE">
        <w:rPr>
          <w:b/>
        </w:rPr>
        <w:t>‘</w:t>
      </w:r>
      <w:r w:rsidR="002D2A7A">
        <w:rPr>
          <w:b/>
        </w:rPr>
        <w:t>at risk</w:t>
      </w:r>
      <w:r w:rsidR="00384EFE">
        <w:rPr>
          <w:b/>
        </w:rPr>
        <w:t>’</w:t>
      </w:r>
      <w:r>
        <w:rPr>
          <w:b/>
        </w:rPr>
        <w:t xml:space="preserve"> children need at</w:t>
      </w:r>
      <w:r w:rsidRPr="00E756F6">
        <w:rPr>
          <w:b/>
        </w:rPr>
        <w:t xml:space="preserve"> least three years of access to </w:t>
      </w:r>
      <w:proofErr w:type="spellStart"/>
      <w:r w:rsidR="00F10558">
        <w:rPr>
          <w:b/>
        </w:rPr>
        <w:t>ECEC</w:t>
      </w:r>
      <w:proofErr w:type="spellEnd"/>
    </w:p>
    <w:p w:rsidR="00A41D51" w:rsidRDefault="00A41D51" w:rsidP="008F3B5D">
      <w:pPr>
        <w:jc w:val="both"/>
      </w:pPr>
      <w:r w:rsidRPr="00A41D51">
        <w:t>Once a child has</w:t>
      </w:r>
      <w:r>
        <w:t xml:space="preserve"> been </w:t>
      </w:r>
      <w:r w:rsidR="002D2A7A">
        <w:t>ruled</w:t>
      </w:r>
      <w:r>
        <w:t xml:space="preserve"> </w:t>
      </w:r>
      <w:r w:rsidR="002D2A7A">
        <w:t>eligible</w:t>
      </w:r>
      <w:r>
        <w:t xml:space="preserve"> for </w:t>
      </w:r>
      <w:proofErr w:type="spellStart"/>
      <w:r>
        <w:t>SCCB</w:t>
      </w:r>
      <w:proofErr w:type="spellEnd"/>
      <w:r>
        <w:t>, the presumption should be that they will remain eligible until they start school, unless there are significant changes in their circumstances</w:t>
      </w:r>
      <w:r w:rsidR="002D2A7A">
        <w:t>.</w:t>
      </w:r>
    </w:p>
    <w:p w:rsidR="002D2A7A" w:rsidRDefault="002D2A7A" w:rsidP="002D2A7A">
      <w:pPr>
        <w:rPr>
          <w:b/>
        </w:rPr>
      </w:pPr>
      <w:r w:rsidRPr="002D2A7A">
        <w:rPr>
          <w:b/>
        </w:rPr>
        <w:t>Change the rules for the initial determination of eligibility</w:t>
      </w:r>
    </w:p>
    <w:p w:rsidR="00C2478A" w:rsidRDefault="00C2478A" w:rsidP="008F3B5D">
      <w:pPr>
        <w:jc w:val="both"/>
      </w:pPr>
      <w:r>
        <w:t xml:space="preserve">The initial screening criteria for </w:t>
      </w:r>
      <w:proofErr w:type="spellStart"/>
      <w:r>
        <w:t>SCCB</w:t>
      </w:r>
      <w:proofErr w:type="spellEnd"/>
      <w:r>
        <w:t xml:space="preserve"> need to be improved. Rather than expecting childcare services to carry the responsibility for identifying risk in the early years population, </w:t>
      </w:r>
      <w:r w:rsidR="00F34D67">
        <w:t>that responsibility should be the part of the role of the existing child protection and intensive family services personnel, who are already making these assessments.</w:t>
      </w:r>
    </w:p>
    <w:p w:rsidR="00F34D67" w:rsidRDefault="00F34D67" w:rsidP="008F3B5D">
      <w:pPr>
        <w:jc w:val="both"/>
      </w:pPr>
      <w:r>
        <w:t xml:space="preserve">To gain access to </w:t>
      </w:r>
      <w:proofErr w:type="spellStart"/>
      <w:r>
        <w:t>SCCB</w:t>
      </w:r>
      <w:proofErr w:type="spellEnd"/>
      <w:r w:rsidR="008D2709" w:rsidRPr="008D2709">
        <w:t xml:space="preserve"> </w:t>
      </w:r>
      <w:r w:rsidR="008D2709">
        <w:t>for the initial 13 weeks of funding</w:t>
      </w:r>
      <w:r>
        <w:t xml:space="preserve">, a child should be </w:t>
      </w:r>
      <w:r w:rsidR="008D2709">
        <w:t>receiving</w:t>
      </w:r>
      <w:r>
        <w:t xml:space="preserve"> child protection or intensive family services</w:t>
      </w:r>
      <w:r w:rsidR="008D2709">
        <w:t xml:space="preserve"> and have a case</w:t>
      </w:r>
      <w:r>
        <w:t>worker</w:t>
      </w:r>
      <w:r w:rsidR="008D2709">
        <w:t>. That case</w:t>
      </w:r>
      <w:r>
        <w:t xml:space="preserve">worker should then work with the </w:t>
      </w:r>
      <w:proofErr w:type="spellStart"/>
      <w:r w:rsidR="00384EFE">
        <w:t>ECEC</w:t>
      </w:r>
      <w:proofErr w:type="spellEnd"/>
      <w:r>
        <w:t xml:space="preserve"> service to make the application for ongoing funding</w:t>
      </w:r>
      <w:r w:rsidR="001C7F06">
        <w:t xml:space="preserve"> from </w:t>
      </w:r>
      <w:proofErr w:type="spellStart"/>
      <w:r w:rsidR="001C7F06">
        <w:t>DS</w:t>
      </w:r>
      <w:r w:rsidR="004553EB">
        <w:t>S</w:t>
      </w:r>
      <w:proofErr w:type="spellEnd"/>
      <w:r>
        <w:t>. This would ensure that the children receiving funding have already met the criteria for child protection or for intensive family services and that the</w:t>
      </w:r>
      <w:r w:rsidR="00F61FEE">
        <w:t xml:space="preserve"> </w:t>
      </w:r>
      <w:proofErr w:type="spellStart"/>
      <w:r w:rsidR="00F61FEE">
        <w:t>ECEC</w:t>
      </w:r>
      <w:proofErr w:type="spellEnd"/>
      <w:r>
        <w:t xml:space="preserve"> services’ applications for ongoing funding are supported.</w:t>
      </w:r>
      <w:r w:rsidR="008D2709">
        <w:t xml:space="preserve"> If an </w:t>
      </w:r>
      <w:proofErr w:type="spellStart"/>
      <w:r w:rsidR="008D2709">
        <w:t>ECEC</w:t>
      </w:r>
      <w:proofErr w:type="spellEnd"/>
      <w:r w:rsidR="008D2709">
        <w:t xml:space="preserve"> services has a welfare concern about a child and the child does not have a caseworker, the service should </w:t>
      </w:r>
      <w:r w:rsidR="00384EFE">
        <w:t>notify</w:t>
      </w:r>
      <w:r w:rsidR="008D2709">
        <w:t xml:space="preserve"> child protection or an intensive family support service referral system like </w:t>
      </w:r>
      <w:proofErr w:type="spellStart"/>
      <w:r w:rsidR="008D2709">
        <w:t>ChildFirst</w:t>
      </w:r>
      <w:proofErr w:type="spellEnd"/>
      <w:r w:rsidR="008D2709">
        <w:t xml:space="preserve"> in Victoria. (Because child protection and intensive family services are stretched, an ‘</w:t>
      </w:r>
      <w:r w:rsidR="00384EFE">
        <w:t>at ris</w:t>
      </w:r>
      <w:r w:rsidR="008D2709">
        <w:t xml:space="preserve">k’ child may not have a caseworker continuously, so a caseworker should </w:t>
      </w:r>
      <w:r w:rsidR="008D2709" w:rsidRPr="008D2709">
        <w:rPr>
          <w:b/>
        </w:rPr>
        <w:t>not</w:t>
      </w:r>
      <w:r w:rsidR="008D2709">
        <w:t xml:space="preserve"> be a prerequisite for further renewals of </w:t>
      </w:r>
      <w:proofErr w:type="spellStart"/>
      <w:r w:rsidR="008D2709">
        <w:t>SCCB</w:t>
      </w:r>
      <w:proofErr w:type="spellEnd"/>
      <w:r w:rsidR="008D2709">
        <w:t>.)</w:t>
      </w:r>
    </w:p>
    <w:p w:rsidR="002D2A7A" w:rsidRDefault="002D2A7A" w:rsidP="008F3B5D">
      <w:pPr>
        <w:jc w:val="both"/>
      </w:pPr>
      <w:r>
        <w:t xml:space="preserve">Under the current regime, it is the </w:t>
      </w:r>
      <w:proofErr w:type="spellStart"/>
      <w:r w:rsidR="00384EFE">
        <w:t>ECEC</w:t>
      </w:r>
      <w:proofErr w:type="spellEnd"/>
      <w:r>
        <w:t xml:space="preserve"> service that makes the initial determination of eligibility for the first 13 weeks of </w:t>
      </w:r>
      <w:proofErr w:type="spellStart"/>
      <w:r>
        <w:t>SCCB</w:t>
      </w:r>
      <w:proofErr w:type="spellEnd"/>
      <w:r>
        <w:t>. This means that a child must already to be in a</w:t>
      </w:r>
      <w:r w:rsidR="00384EFE">
        <w:t>n</w:t>
      </w:r>
      <w:r w:rsidR="00C53F46">
        <w:t xml:space="preserve"> </w:t>
      </w:r>
      <w:proofErr w:type="spellStart"/>
      <w:r w:rsidR="00384EFE">
        <w:t>ECEC</w:t>
      </w:r>
      <w:proofErr w:type="spellEnd"/>
      <w:r>
        <w:t xml:space="preserve"> service</w:t>
      </w:r>
      <w:r w:rsidR="00C2478A">
        <w:t xml:space="preserve"> and most at risk children are not. </w:t>
      </w:r>
      <w:r w:rsidR="00F34D67">
        <w:t>The current approach also assumes that childcare services will have the skills and resources to assess risk.</w:t>
      </w:r>
      <w:r w:rsidR="00C2478A">
        <w:t xml:space="preserve"> This combination of factors means that the </w:t>
      </w:r>
      <w:proofErr w:type="spellStart"/>
      <w:r w:rsidR="00384EFE">
        <w:t>ECEC</w:t>
      </w:r>
      <w:proofErr w:type="spellEnd"/>
      <w:r w:rsidR="00C2478A">
        <w:t xml:space="preserve"> services may not be identifying the children most at need and may in part explain the low</w:t>
      </w:r>
      <w:r w:rsidR="001C7F06">
        <w:t xml:space="preserve"> level of renewals of </w:t>
      </w:r>
      <w:proofErr w:type="spellStart"/>
      <w:r w:rsidR="001C7F06">
        <w:t>SCCB</w:t>
      </w:r>
      <w:proofErr w:type="spellEnd"/>
      <w:r w:rsidR="001C7F06">
        <w:t xml:space="preserve"> by </w:t>
      </w:r>
      <w:proofErr w:type="spellStart"/>
      <w:r w:rsidR="001C7F06">
        <w:t>DS</w:t>
      </w:r>
      <w:r w:rsidR="00C2478A">
        <w:t>S</w:t>
      </w:r>
      <w:proofErr w:type="spellEnd"/>
      <w:r w:rsidR="00C2478A">
        <w:t>.</w:t>
      </w:r>
    </w:p>
    <w:p w:rsidR="00F64A2A" w:rsidRPr="00F64A2A" w:rsidRDefault="00F64A2A" w:rsidP="002D2A7A">
      <w:pPr>
        <w:rPr>
          <w:b/>
        </w:rPr>
      </w:pPr>
      <w:r w:rsidRPr="00F64A2A">
        <w:rPr>
          <w:b/>
        </w:rPr>
        <w:t>Ensure there is adequate funding</w:t>
      </w:r>
    </w:p>
    <w:p w:rsidR="00C53F46" w:rsidRDefault="00F64A2A" w:rsidP="008F3B5D">
      <w:pPr>
        <w:jc w:val="both"/>
      </w:pPr>
      <w:r>
        <w:t>The Commission’</w:t>
      </w:r>
      <w:r w:rsidR="00F61FEE">
        <w:t>s Draft Recommendation 12.</w:t>
      </w:r>
      <w:r>
        <w:t>7 acknowledges that services will need additional funding</w:t>
      </w:r>
      <w:r w:rsidRPr="00F64A2A">
        <w:t xml:space="preserve"> </w:t>
      </w:r>
      <w:r>
        <w:t xml:space="preserve">to provide for needs of children who have experienced trauma and profound neglect and that this should be reflected in the deemed cost of these </w:t>
      </w:r>
      <w:proofErr w:type="spellStart"/>
      <w:r>
        <w:t>ECEC</w:t>
      </w:r>
      <w:proofErr w:type="spellEnd"/>
      <w:r>
        <w:t xml:space="preserve"> services. It will be important n</w:t>
      </w:r>
      <w:r w:rsidR="001E43C4">
        <w:t xml:space="preserve">ot to </w:t>
      </w:r>
      <w:r w:rsidR="001E43C4">
        <w:lastRenderedPageBreak/>
        <w:t xml:space="preserve">underestimate these costs and create additional disincentives for services to admit needy children. This is particularly important as there is little ongoing accountability for services to provide priority of access. </w:t>
      </w:r>
    </w:p>
    <w:p w:rsidR="00F61FEE" w:rsidRDefault="00F61FEE" w:rsidP="008F3B5D">
      <w:pPr>
        <w:jc w:val="both"/>
      </w:pPr>
      <w:r>
        <w:t xml:space="preserve">At the same time, </w:t>
      </w:r>
      <w:r w:rsidR="001E64B5">
        <w:t xml:space="preserve">global </w:t>
      </w:r>
      <w:proofErr w:type="spellStart"/>
      <w:r>
        <w:t>SCCB</w:t>
      </w:r>
      <w:proofErr w:type="spellEnd"/>
      <w:r>
        <w:t>/</w:t>
      </w:r>
      <w:proofErr w:type="spellStart"/>
      <w:r>
        <w:t>SECLS</w:t>
      </w:r>
      <w:proofErr w:type="spellEnd"/>
      <w:r>
        <w:t xml:space="preserve"> funding must begin to increase to provide the consistent access to </w:t>
      </w:r>
      <w:proofErr w:type="spellStart"/>
      <w:r>
        <w:t>ECEC</w:t>
      </w:r>
      <w:proofErr w:type="spellEnd"/>
      <w:r>
        <w:t xml:space="preserve"> that will make a difference to ‘at risk’ children and save government expenditure in the long run. An immediate increase in funding of $180 million dollars would ensure that the ‘at risk’ children currently accessing </w:t>
      </w:r>
      <w:proofErr w:type="spellStart"/>
      <w:r>
        <w:t>ECEC</w:t>
      </w:r>
      <w:proofErr w:type="spellEnd"/>
      <w:r>
        <w:t xml:space="preserve"> would be able to do so year round. This estimate is based on the $86.2 million of </w:t>
      </w:r>
      <w:proofErr w:type="spellStart"/>
      <w:r>
        <w:t>SCCB</w:t>
      </w:r>
      <w:proofErr w:type="spellEnd"/>
      <w:r>
        <w:t xml:space="preserve"> funding in 2012-13 for ‘at risk’ children and the 2011-12 figures that indicate these children are funded for 17 weeks a year on average</w:t>
      </w:r>
      <w:r w:rsidR="003A6E47">
        <w:t xml:space="preserve"> (Productivity Commission (2014) pp. 350-2).   </w:t>
      </w:r>
    </w:p>
    <w:p w:rsidR="00B21130" w:rsidRDefault="00F61FEE" w:rsidP="008F3B5D">
      <w:pPr>
        <w:jc w:val="both"/>
      </w:pPr>
      <w:r>
        <w:t xml:space="preserve">Over the next ten years the Commonwealth should set </w:t>
      </w:r>
      <w:r w:rsidR="00780E9C">
        <w:t>a</w:t>
      </w:r>
      <w:r>
        <w:t xml:space="preserve"> goal </w:t>
      </w:r>
      <w:r w:rsidR="00DC0144">
        <w:t xml:space="preserve">of 100 % inclusion </w:t>
      </w:r>
      <w:r>
        <w:t xml:space="preserve">of at risk children. Based on the current numbers of ‘at risk’ children, this would mean bringing an addition 71,000 vulnerable children into the </w:t>
      </w:r>
      <w:proofErr w:type="spellStart"/>
      <w:r>
        <w:t>ECEC</w:t>
      </w:r>
      <w:proofErr w:type="spellEnd"/>
      <w:r>
        <w:t xml:space="preserve"> system.</w:t>
      </w:r>
      <w:r w:rsidR="00943887">
        <w:t xml:space="preserve"> This will generate savings in health care, education, social services, and law enforcement that will exceed the cost of funding access to </w:t>
      </w:r>
      <w:proofErr w:type="spellStart"/>
      <w:r w:rsidR="00943887">
        <w:t>ECEC</w:t>
      </w:r>
      <w:proofErr w:type="spellEnd"/>
      <w:r w:rsidR="00943887">
        <w:t xml:space="preserve"> for ‘at risk’ children.</w:t>
      </w:r>
    </w:p>
    <w:p w:rsidR="00B21130" w:rsidRPr="00B21130" w:rsidRDefault="00B21130" w:rsidP="00A275F9">
      <w:pPr>
        <w:autoSpaceDE w:val="0"/>
        <w:autoSpaceDN w:val="0"/>
        <w:adjustRightInd w:val="0"/>
        <w:spacing w:after="0" w:line="240" w:lineRule="auto"/>
        <w:rPr>
          <w:b/>
        </w:rPr>
      </w:pPr>
      <w:r w:rsidRPr="00B21130">
        <w:rPr>
          <w:b/>
        </w:rPr>
        <w:t xml:space="preserve">Create a baseline for the performance of the </w:t>
      </w:r>
      <w:r w:rsidR="00A24B75">
        <w:rPr>
          <w:b/>
        </w:rPr>
        <w:t xml:space="preserve">Centrelink processing of </w:t>
      </w:r>
      <w:proofErr w:type="spellStart"/>
      <w:r w:rsidR="00A24B75">
        <w:rPr>
          <w:b/>
        </w:rPr>
        <w:t>SCCB</w:t>
      </w:r>
      <w:proofErr w:type="spellEnd"/>
      <w:r w:rsidR="00A24B75">
        <w:rPr>
          <w:b/>
        </w:rPr>
        <w:t>/</w:t>
      </w:r>
      <w:proofErr w:type="spellStart"/>
      <w:r w:rsidR="00A24B75">
        <w:rPr>
          <w:b/>
        </w:rPr>
        <w:t>SECLS</w:t>
      </w:r>
      <w:proofErr w:type="spellEnd"/>
    </w:p>
    <w:p w:rsidR="00A275F9" w:rsidRDefault="00A275F9" w:rsidP="00D036E6">
      <w:pPr>
        <w:autoSpaceDE w:val="0"/>
        <w:autoSpaceDN w:val="0"/>
        <w:adjustRightInd w:val="0"/>
        <w:spacing w:after="0" w:line="240" w:lineRule="auto"/>
      </w:pPr>
    </w:p>
    <w:p w:rsidR="006B47A4" w:rsidRDefault="000C2AD2" w:rsidP="008F3B5D">
      <w:pPr>
        <w:jc w:val="both"/>
      </w:pPr>
      <w:r>
        <w:t xml:space="preserve">While the processing of applications has improved since 1999, there are still issues around the administration of </w:t>
      </w:r>
      <w:proofErr w:type="spellStart"/>
      <w:r>
        <w:t>SCC</w:t>
      </w:r>
      <w:r w:rsidR="003C5908">
        <w:t>B</w:t>
      </w:r>
      <w:proofErr w:type="spellEnd"/>
      <w:r w:rsidR="003C5908">
        <w:t xml:space="preserve"> renewal that</w:t>
      </w:r>
      <w:r>
        <w:t xml:space="preserve"> put vulnerable children at </w:t>
      </w:r>
      <w:r w:rsidR="00202467">
        <w:t xml:space="preserve">additional </w:t>
      </w:r>
      <w:r>
        <w:t>risk and compromise their development</w:t>
      </w:r>
      <w:r w:rsidR="001C7F06">
        <w:t>, wellbeing and education</w:t>
      </w:r>
      <w:r>
        <w:t>.</w:t>
      </w:r>
      <w:r w:rsidR="003C5908">
        <w:t xml:space="preserve"> Establishing a baseline for </w:t>
      </w:r>
      <w:r w:rsidR="00A24B75">
        <w:t>Centrelink</w:t>
      </w:r>
      <w:r w:rsidR="003C5908">
        <w:t xml:space="preserve"> performance would allow measurement of future improvement. This should include the number of applications received</w:t>
      </w:r>
      <w:r w:rsidR="002623CD">
        <w:t xml:space="preserve"> on behalf of children at risk</w:t>
      </w:r>
      <w:r w:rsidR="003C5908">
        <w:t xml:space="preserve">; what proportion of the applications are for children who have already had earlier applications approved by </w:t>
      </w:r>
      <w:proofErr w:type="spellStart"/>
      <w:r w:rsidR="003C5908">
        <w:t>SCCAT</w:t>
      </w:r>
      <w:proofErr w:type="spellEnd"/>
      <w:r w:rsidR="003C5908">
        <w:t xml:space="preserve">; how many requests </w:t>
      </w:r>
      <w:r w:rsidR="002623CD">
        <w:t xml:space="preserve">are made </w:t>
      </w:r>
      <w:r w:rsidR="003C5908">
        <w:t xml:space="preserve">to child care services for additional independent documentation; how long the approval process takes; and </w:t>
      </w:r>
      <w:r w:rsidR="002623CD">
        <w:t>the frequency and length of the gaps</w:t>
      </w:r>
      <w:r w:rsidR="003C5908">
        <w:t xml:space="preserve"> vulnerable children experience in </w:t>
      </w:r>
      <w:proofErr w:type="spellStart"/>
      <w:r w:rsidR="003C5908">
        <w:t>SCCB</w:t>
      </w:r>
      <w:proofErr w:type="spellEnd"/>
      <w:r w:rsidR="003C5908">
        <w:t xml:space="preserve"> funding, affecting their continuity of access to services.</w:t>
      </w:r>
    </w:p>
    <w:p w:rsidR="00593489" w:rsidRDefault="000C54F8">
      <w:r w:rsidRPr="000C54F8">
        <w:rPr>
          <w:b/>
        </w:rPr>
        <w:t>Recognise the cost of renewals and compensate child care services who are serving vulnerable children</w:t>
      </w:r>
      <w:r w:rsidR="001C7F06">
        <w:rPr>
          <w:b/>
        </w:rPr>
        <w:t xml:space="preserve"> and their families</w:t>
      </w:r>
      <w:r w:rsidR="006B1B2E" w:rsidRPr="000C54F8">
        <w:rPr>
          <w:b/>
        </w:rPr>
        <w:t xml:space="preserve"> </w:t>
      </w:r>
    </w:p>
    <w:p w:rsidR="001E64B5" w:rsidRDefault="000C54F8" w:rsidP="001C7F06">
      <w:pPr>
        <w:jc w:val="both"/>
      </w:pPr>
      <w:r>
        <w:t xml:space="preserve">The cost of applying for </w:t>
      </w:r>
      <w:proofErr w:type="spellStart"/>
      <w:r>
        <w:t>SCCB</w:t>
      </w:r>
      <w:proofErr w:type="spellEnd"/>
      <w:r>
        <w:t xml:space="preserve"> creates a disincentive for child care services to enrol vulnerable children and imposes a penalty on services that do support them and their families. These costs should be recognised and </w:t>
      </w:r>
      <w:r w:rsidR="00001D32">
        <w:t xml:space="preserve">services that are successful in renewing </w:t>
      </w:r>
      <w:proofErr w:type="spellStart"/>
      <w:r w:rsidR="00001D32">
        <w:t>SCCB</w:t>
      </w:r>
      <w:proofErr w:type="spellEnd"/>
      <w:r>
        <w:t xml:space="preserve"> shoul</w:t>
      </w:r>
      <w:r w:rsidR="00001D32">
        <w:t>d be compensated by the Commonwealth. This could involve a payment once every twelve months that re</w:t>
      </w:r>
      <w:r w:rsidR="00202467">
        <w:t xml:space="preserve">flected the staff time required </w:t>
      </w:r>
      <w:r w:rsidR="00001D32">
        <w:t>to document case</w:t>
      </w:r>
      <w:r w:rsidR="00F242A9">
        <w:t>s</w:t>
      </w:r>
      <w:r w:rsidR="00001D32">
        <w:t xml:space="preserve"> for renewal for </w:t>
      </w:r>
      <w:proofErr w:type="spellStart"/>
      <w:r w:rsidR="00001D32">
        <w:t>SCCAT</w:t>
      </w:r>
      <w:proofErr w:type="spellEnd"/>
      <w:r w:rsidR="00001D32">
        <w:t>.</w:t>
      </w:r>
    </w:p>
    <w:p w:rsidR="001C7F06" w:rsidRPr="001C7F06" w:rsidRDefault="001C7F06" w:rsidP="001C7F06">
      <w:pPr>
        <w:jc w:val="both"/>
      </w:pPr>
    </w:p>
    <w:p w:rsidR="00442C8C" w:rsidRPr="00202467" w:rsidRDefault="00202467" w:rsidP="00691DE1">
      <w:pPr>
        <w:jc w:val="center"/>
        <w:rPr>
          <w:sz w:val="28"/>
          <w:szCs w:val="28"/>
        </w:rPr>
      </w:pPr>
      <w:r w:rsidRPr="00202467">
        <w:rPr>
          <w:sz w:val="28"/>
          <w:szCs w:val="28"/>
        </w:rPr>
        <w:t>It Will Cost More to do Nothing</w:t>
      </w:r>
    </w:p>
    <w:p w:rsidR="00442C8C" w:rsidRDefault="00442C8C" w:rsidP="008F3B5D">
      <w:pPr>
        <w:jc w:val="both"/>
      </w:pPr>
      <w:r>
        <w:t>Of all the potential improvements to the Australian child care and early childhood learning system, increasing participation by vulnerable children will generate the highest returns for the Australian community</w:t>
      </w:r>
      <w:r w:rsidR="00740B1C">
        <w:t>.</w:t>
      </w:r>
      <w:r>
        <w:t xml:space="preserve"> </w:t>
      </w:r>
      <w:r w:rsidR="00740B1C">
        <w:t>Providing a good start in life for at risk children is in everyone’s interest.</w:t>
      </w:r>
      <w:r>
        <w:t xml:space="preserve"> This has been recognised by the Commonwealth by prioritising the needs of vulnerable children</w:t>
      </w:r>
      <w:r w:rsidR="00740B1C">
        <w:t xml:space="preserve"> in this Inquiry</w:t>
      </w:r>
      <w:r>
        <w:t>. The challenge now is to do it.</w:t>
      </w:r>
    </w:p>
    <w:p w:rsidR="00145E41" w:rsidRDefault="00145E41"/>
    <w:p w:rsidR="00A95542" w:rsidRDefault="00A95542"/>
    <w:p w:rsidR="0049013E" w:rsidRPr="008F2577" w:rsidRDefault="008F2577" w:rsidP="0049013E">
      <w:pPr>
        <w:autoSpaceDE w:val="0"/>
        <w:autoSpaceDN w:val="0"/>
        <w:adjustRightInd w:val="0"/>
        <w:spacing w:after="0" w:line="240" w:lineRule="auto"/>
        <w:rPr>
          <w:rFonts w:cstheme="minorHAnsi"/>
          <w:b/>
        </w:rPr>
      </w:pPr>
      <w:r w:rsidRPr="008F2577">
        <w:rPr>
          <w:rFonts w:cstheme="minorHAnsi"/>
          <w:b/>
        </w:rPr>
        <w:t>REFERENCES</w:t>
      </w:r>
    </w:p>
    <w:p w:rsidR="0049013E" w:rsidRDefault="0049013E" w:rsidP="00A95542">
      <w:pPr>
        <w:pStyle w:val="ListParagraph"/>
        <w:autoSpaceDE w:val="0"/>
        <w:autoSpaceDN w:val="0"/>
        <w:adjustRightInd w:val="0"/>
        <w:spacing w:after="0" w:line="240" w:lineRule="auto"/>
        <w:ind w:left="1418" w:hanging="698"/>
        <w:rPr>
          <w:rFonts w:cstheme="minorHAnsi"/>
        </w:rPr>
      </w:pPr>
    </w:p>
    <w:p w:rsidR="0049013E" w:rsidRPr="0049013E" w:rsidRDefault="0049013E" w:rsidP="008F2577">
      <w:pPr>
        <w:autoSpaceDE w:val="0"/>
        <w:autoSpaceDN w:val="0"/>
        <w:adjustRightInd w:val="0"/>
        <w:spacing w:after="0" w:line="240" w:lineRule="auto"/>
        <w:ind w:left="709" w:hanging="709"/>
        <w:rPr>
          <w:rFonts w:cs="AdvOTf011d512"/>
        </w:rPr>
      </w:pPr>
      <w:r>
        <w:rPr>
          <w:rFonts w:cstheme="minorHAnsi"/>
        </w:rPr>
        <w:t xml:space="preserve">AAP (American Academy of </w:t>
      </w:r>
      <w:proofErr w:type="spellStart"/>
      <w:r>
        <w:rPr>
          <w:rFonts w:cstheme="minorHAnsi"/>
        </w:rPr>
        <w:t>Pediatrics</w:t>
      </w:r>
      <w:proofErr w:type="spellEnd"/>
      <w:r>
        <w:rPr>
          <w:rFonts w:cstheme="minorHAnsi"/>
        </w:rPr>
        <w:t>) (2012).</w:t>
      </w:r>
      <w:r w:rsidRPr="0049013E">
        <w:rPr>
          <w:rFonts w:cstheme="minorHAnsi"/>
        </w:rPr>
        <w:t xml:space="preserve"> AAP</w:t>
      </w:r>
      <w:r w:rsidRPr="0049013E">
        <w:rPr>
          <w:rFonts w:ascii="AdvOTf011d512" w:hAnsi="AdvOTf011d512" w:cs="AdvOTf011d512"/>
          <w:sz w:val="28"/>
          <w:szCs w:val="28"/>
        </w:rPr>
        <w:t xml:space="preserve"> </w:t>
      </w:r>
      <w:r w:rsidRPr="0049013E">
        <w:rPr>
          <w:rFonts w:cs="AdvOTf011d512"/>
        </w:rPr>
        <w:t xml:space="preserve">POLICY STATEMENT, Early Childhood Adversity, Toxic Stress, and the Role of the </w:t>
      </w:r>
      <w:proofErr w:type="spellStart"/>
      <w:r w:rsidRPr="0049013E">
        <w:rPr>
          <w:rFonts w:cs="AdvOTf011d512"/>
        </w:rPr>
        <w:t>Pediatrician</w:t>
      </w:r>
      <w:proofErr w:type="spellEnd"/>
      <w:r w:rsidRPr="0049013E">
        <w:rPr>
          <w:rFonts w:cs="AdvOTf011d512"/>
        </w:rPr>
        <w:t xml:space="preserve">: Translating Developmental Science </w:t>
      </w:r>
      <w:r w:rsidR="0083565C" w:rsidRPr="0049013E">
        <w:rPr>
          <w:rFonts w:cs="AdvOTf011d512"/>
        </w:rPr>
        <w:t>into</w:t>
      </w:r>
      <w:r w:rsidRPr="0049013E">
        <w:rPr>
          <w:rFonts w:cs="AdvOTf011d512"/>
        </w:rPr>
        <w:t xml:space="preserve"> Lifelong Health</w:t>
      </w:r>
      <w:r>
        <w:rPr>
          <w:rFonts w:cs="AdvOTf011d512"/>
        </w:rPr>
        <w:t xml:space="preserve">. </w:t>
      </w:r>
      <w:r w:rsidRPr="0049013E">
        <w:rPr>
          <w:rFonts w:cs="Lucida Sans Unicode"/>
          <w:i/>
          <w:color w:val="333300"/>
          <w:lang w:val="en"/>
        </w:rPr>
        <w:t>Pediatrics</w:t>
      </w:r>
      <w:r w:rsidRPr="0049013E">
        <w:rPr>
          <w:rFonts w:cs="Lucida Sans Unicode"/>
          <w:color w:val="333300"/>
          <w:lang w:val="en"/>
        </w:rPr>
        <w:t xml:space="preserve"> </w:t>
      </w:r>
      <w:r w:rsidR="008F2577">
        <w:rPr>
          <w:rStyle w:val="slug-vol"/>
          <w:rFonts w:cs="Lucida Sans Unicode"/>
          <w:color w:val="333300"/>
          <w:lang w:val="en"/>
        </w:rPr>
        <w:t>129</w:t>
      </w:r>
      <w:r w:rsidR="008F2577">
        <w:rPr>
          <w:rStyle w:val="slug-issue"/>
          <w:rFonts w:cs="Lucida Sans Unicode"/>
          <w:color w:val="333300"/>
          <w:lang w:val="en"/>
        </w:rPr>
        <w:t>.</w:t>
      </w:r>
      <w:r w:rsidRPr="0049013E">
        <w:rPr>
          <w:rStyle w:val="slug-issue"/>
          <w:rFonts w:cs="Lucida Sans Unicode"/>
          <w:color w:val="333300"/>
          <w:lang w:val="en"/>
        </w:rPr>
        <w:t>1</w:t>
      </w:r>
      <w:r w:rsidR="008F2577">
        <w:rPr>
          <w:rStyle w:val="slug-issue"/>
          <w:rFonts w:cs="Lucida Sans Unicode"/>
          <w:color w:val="333300"/>
          <w:lang w:val="en"/>
        </w:rPr>
        <w:t xml:space="preserve">, </w:t>
      </w:r>
      <w:proofErr w:type="spellStart"/>
      <w:r w:rsidR="008F2577" w:rsidRPr="008F2577">
        <w:rPr>
          <w:rStyle w:val="slug-pages5"/>
          <w:rFonts w:cs="Lucida Sans Unicode"/>
          <w:color w:val="333300"/>
          <w:lang w:val="en"/>
        </w:rPr>
        <w:t>e224</w:t>
      </w:r>
      <w:proofErr w:type="spellEnd"/>
      <w:r w:rsidR="008F2577" w:rsidRPr="008F2577">
        <w:rPr>
          <w:rStyle w:val="slug-pages5"/>
          <w:rFonts w:cs="Lucida Sans Unicode"/>
          <w:color w:val="333300"/>
          <w:lang w:val="en"/>
        </w:rPr>
        <w:t xml:space="preserve"> -</w:t>
      </w:r>
      <w:proofErr w:type="spellStart"/>
      <w:r w:rsidR="008F2577" w:rsidRPr="008F2577">
        <w:rPr>
          <w:rStyle w:val="slug-pages5"/>
          <w:rFonts w:cs="Lucida Sans Unicode"/>
          <w:color w:val="333300"/>
          <w:lang w:val="en"/>
        </w:rPr>
        <w:t>e231</w:t>
      </w:r>
      <w:proofErr w:type="spellEnd"/>
      <w:r w:rsidR="008F2577">
        <w:rPr>
          <w:rStyle w:val="slug-pages5"/>
          <w:rFonts w:cs="Lucida Sans Unicode"/>
          <w:color w:val="333300"/>
          <w:lang w:val="en"/>
        </w:rPr>
        <w:t>.</w:t>
      </w:r>
      <w:r w:rsidR="008F2577" w:rsidRPr="008F2577">
        <w:t xml:space="preserve"> </w:t>
      </w:r>
      <w:hyperlink r:id="rId13" w:history="1">
        <w:r w:rsidR="008F2577" w:rsidRPr="007D5791">
          <w:rPr>
            <w:rStyle w:val="Hyperlink"/>
            <w:rFonts w:cs="Lucida Sans Unicode"/>
            <w:lang w:val="en"/>
          </w:rPr>
          <w:t>http://pediatrics.aappublications.org/content/129/1/e224.full.pdf+html</w:t>
        </w:r>
      </w:hyperlink>
      <w:r w:rsidR="008F2577">
        <w:rPr>
          <w:rStyle w:val="slug-pages5"/>
          <w:rFonts w:cs="Lucida Sans Unicode"/>
          <w:color w:val="333300"/>
          <w:lang w:val="en"/>
        </w:rPr>
        <w:t xml:space="preserve"> </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Australian Institute of Health and Welfare. (2011). </w:t>
      </w:r>
      <w:r w:rsidRPr="00C85B6A">
        <w:rPr>
          <w:rFonts w:cstheme="minorHAnsi"/>
          <w:i/>
          <w:iCs/>
        </w:rPr>
        <w:t>Chil</w:t>
      </w:r>
      <w:r>
        <w:rPr>
          <w:rFonts w:cstheme="minorHAnsi"/>
          <w:i/>
          <w:iCs/>
        </w:rPr>
        <w:t xml:space="preserve">d protection Australia 2009-10. </w:t>
      </w:r>
      <w:r w:rsidRPr="00C85B6A">
        <w:rPr>
          <w:rFonts w:cstheme="minorHAnsi"/>
          <w:i/>
          <w:iCs/>
        </w:rPr>
        <w:t>Child</w:t>
      </w:r>
      <w:r w:rsidR="00B753BF">
        <w:rPr>
          <w:rFonts w:cstheme="minorHAnsi"/>
          <w:i/>
          <w:iCs/>
        </w:rPr>
        <w:t xml:space="preserve"> </w:t>
      </w:r>
      <w:r w:rsidRPr="00873A08">
        <w:rPr>
          <w:rFonts w:cstheme="minorHAnsi"/>
          <w:i/>
          <w:iCs/>
        </w:rPr>
        <w:t xml:space="preserve">welfare series </w:t>
      </w:r>
      <w:proofErr w:type="spellStart"/>
      <w:r w:rsidRPr="00873A08">
        <w:rPr>
          <w:rFonts w:cstheme="minorHAnsi"/>
          <w:i/>
          <w:iCs/>
        </w:rPr>
        <w:t>no.51</w:t>
      </w:r>
      <w:proofErr w:type="spellEnd"/>
      <w:r w:rsidRPr="00873A08">
        <w:rPr>
          <w:rFonts w:cstheme="minorHAnsi"/>
          <w:i/>
          <w:iCs/>
        </w:rPr>
        <w:t xml:space="preserve">. </w:t>
      </w:r>
      <w:r w:rsidRPr="00873A08">
        <w:rPr>
          <w:rFonts w:cstheme="minorHAnsi"/>
        </w:rPr>
        <w:t xml:space="preserve">Catalogue no. </w:t>
      </w:r>
      <w:proofErr w:type="spellStart"/>
      <w:r w:rsidRPr="00873A08">
        <w:rPr>
          <w:rFonts w:cstheme="minorHAnsi"/>
        </w:rPr>
        <w:t>CWS39</w:t>
      </w:r>
      <w:proofErr w:type="spellEnd"/>
      <w:r w:rsidRPr="00873A08">
        <w:rPr>
          <w:rFonts w:cstheme="minorHAnsi"/>
        </w:rPr>
        <w:t xml:space="preserve">. Canberra: </w:t>
      </w:r>
      <w:proofErr w:type="spellStart"/>
      <w:r w:rsidRPr="00873A08">
        <w:rPr>
          <w:rFonts w:cstheme="minorHAnsi"/>
        </w:rPr>
        <w:t>AIHW</w:t>
      </w:r>
      <w:proofErr w:type="spellEnd"/>
      <w:r w:rsidRPr="00873A08">
        <w:rPr>
          <w:rFonts w:cstheme="minorHAnsi"/>
        </w:rPr>
        <w:t>.</w:t>
      </w:r>
    </w:p>
    <w:p w:rsidR="00460CCF" w:rsidRDefault="00460CCF" w:rsidP="008F2577">
      <w:pPr>
        <w:pStyle w:val="ListParagraph"/>
        <w:autoSpaceDE w:val="0"/>
        <w:autoSpaceDN w:val="0"/>
        <w:adjustRightInd w:val="0"/>
        <w:spacing w:after="0" w:line="240" w:lineRule="auto"/>
        <w:ind w:left="709" w:hanging="698"/>
        <w:rPr>
          <w:rFonts w:cstheme="minorHAnsi"/>
        </w:rPr>
      </w:pPr>
      <w:r>
        <w:rPr>
          <w:rFonts w:cstheme="minorHAnsi"/>
        </w:rPr>
        <w:t xml:space="preserve">--- (2014). Child Protection Australia 2012-13. Child welfare series </w:t>
      </w:r>
      <w:proofErr w:type="spellStart"/>
      <w:r>
        <w:rPr>
          <w:rFonts w:cstheme="minorHAnsi"/>
        </w:rPr>
        <w:t>no.58</w:t>
      </w:r>
      <w:proofErr w:type="spellEnd"/>
      <w:r>
        <w:rPr>
          <w:rFonts w:cstheme="minorHAnsi"/>
        </w:rPr>
        <w:t xml:space="preserve">. Catalogue no. </w:t>
      </w:r>
      <w:proofErr w:type="spellStart"/>
      <w:r>
        <w:rPr>
          <w:rFonts w:cstheme="minorHAnsi"/>
        </w:rPr>
        <w:t>CWS49</w:t>
      </w:r>
      <w:proofErr w:type="spellEnd"/>
      <w:r>
        <w:rPr>
          <w:rFonts w:cstheme="minorHAnsi"/>
        </w:rPr>
        <w:t>.</w:t>
      </w:r>
      <w:r w:rsidR="00DF3585">
        <w:rPr>
          <w:rFonts w:cstheme="minorHAnsi"/>
        </w:rPr>
        <w:t xml:space="preserve"> Canberra: </w:t>
      </w:r>
      <w:proofErr w:type="spellStart"/>
      <w:r w:rsidR="00DF3585">
        <w:rPr>
          <w:rFonts w:cstheme="minorHAnsi"/>
        </w:rPr>
        <w:t>AIHW</w:t>
      </w:r>
      <w:proofErr w:type="spellEnd"/>
      <w:r w:rsidR="00DF3585">
        <w:rPr>
          <w:rFonts w:cstheme="minorHAnsi"/>
        </w:rPr>
        <w:t>.</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proofErr w:type="spellStart"/>
      <w:r w:rsidRPr="00C85B6A">
        <w:rPr>
          <w:rFonts w:cstheme="minorHAnsi"/>
        </w:rPr>
        <w:t>Berrueta</w:t>
      </w:r>
      <w:proofErr w:type="spellEnd"/>
      <w:r w:rsidRPr="00C85B6A">
        <w:rPr>
          <w:rFonts w:cstheme="minorHAnsi"/>
        </w:rPr>
        <w:t xml:space="preserve">-Clement, J. R. (1994). </w:t>
      </w:r>
      <w:r w:rsidRPr="00C85B6A">
        <w:rPr>
          <w:rFonts w:cstheme="minorHAnsi"/>
          <w:i/>
          <w:iCs/>
        </w:rPr>
        <w:t>Changes Lives: The Effects of the Perry Preschool Program on</w:t>
      </w:r>
      <w:r w:rsidR="009E3651">
        <w:rPr>
          <w:rFonts w:cstheme="minorHAnsi"/>
          <w:i/>
          <w:iCs/>
        </w:rPr>
        <w:t xml:space="preserve"> </w:t>
      </w:r>
      <w:r w:rsidRPr="00873A08">
        <w:rPr>
          <w:rFonts w:cstheme="minorHAnsi"/>
          <w:i/>
          <w:iCs/>
        </w:rPr>
        <w:t>Youths Through Age 19</w:t>
      </w:r>
      <w:r w:rsidRPr="00873A08">
        <w:rPr>
          <w:rFonts w:cstheme="minorHAnsi"/>
        </w:rPr>
        <w:t>. Ypsilanti, Michigan: The High/Scope Press.</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Bromfield, L., Holzer, P. and Lamont, A. (2010). </w:t>
      </w:r>
      <w:r w:rsidRPr="00C85B6A">
        <w:rPr>
          <w:rFonts w:cstheme="minorHAnsi"/>
          <w:i/>
          <w:iCs/>
        </w:rPr>
        <w:t>The economic costs of child abuse and neglect.</w:t>
      </w:r>
      <w:r>
        <w:rPr>
          <w:rFonts w:cstheme="minorHAnsi"/>
          <w:i/>
          <w:iCs/>
        </w:rPr>
        <w:t xml:space="preserve"> </w:t>
      </w:r>
      <w:r w:rsidRPr="00873A08">
        <w:rPr>
          <w:rFonts w:cstheme="minorHAnsi"/>
        </w:rPr>
        <w:t>National Child Protection Clearinghouse Resource Sheet. Melbourne, Victoria: Australian Institute</w:t>
      </w:r>
      <w:r>
        <w:rPr>
          <w:rFonts w:cstheme="minorHAnsi"/>
        </w:rPr>
        <w:t xml:space="preserve"> </w:t>
      </w:r>
      <w:r w:rsidRPr="00873A08">
        <w:rPr>
          <w:rFonts w:cstheme="minorHAnsi"/>
        </w:rPr>
        <w:t>of Family Studies.</w:t>
      </w:r>
    </w:p>
    <w:p w:rsidR="00022151" w:rsidRPr="00873A08" w:rsidRDefault="00022151" w:rsidP="008F2577">
      <w:pPr>
        <w:pStyle w:val="ListParagraph"/>
        <w:autoSpaceDE w:val="0"/>
        <w:autoSpaceDN w:val="0"/>
        <w:adjustRightInd w:val="0"/>
        <w:spacing w:after="0" w:line="240" w:lineRule="auto"/>
        <w:ind w:left="709" w:hanging="698"/>
        <w:rPr>
          <w:rFonts w:cstheme="minorHAnsi"/>
          <w:i/>
          <w:iCs/>
        </w:rPr>
      </w:pPr>
      <w:r w:rsidRPr="00022151">
        <w:rPr>
          <w:rFonts w:cstheme="minorHAnsi"/>
        </w:rPr>
        <w:t>Budget 2009-10,</w:t>
      </w:r>
      <w:r>
        <w:rPr>
          <w:rFonts w:cstheme="minorHAnsi"/>
        </w:rPr>
        <w:t xml:space="preserve"> Commonwealth of Australia.</w:t>
      </w:r>
      <w:r w:rsidRPr="00022151">
        <w:rPr>
          <w:rFonts w:cstheme="minorHAnsi"/>
        </w:rPr>
        <w:t xml:space="preserve"> </w:t>
      </w:r>
      <w:r w:rsidRPr="00022151">
        <w:rPr>
          <w:rFonts w:eastAsia="Times New Roman" w:cs="Times New Roman"/>
          <w:bCs/>
          <w:smallCaps/>
          <w:lang w:eastAsia="en-AU"/>
        </w:rPr>
        <w:t xml:space="preserve">Part 2: Expense Measures, </w:t>
      </w:r>
      <w:r w:rsidRPr="00022151">
        <w:rPr>
          <w:rFonts w:eastAsia="Times New Roman" w:cs="Times New Roman"/>
          <w:bCs/>
          <w:lang w:eastAsia="en-AU"/>
        </w:rPr>
        <w:t>Families, Housing,</w:t>
      </w:r>
      <w:r>
        <w:rPr>
          <w:rFonts w:eastAsia="Times New Roman" w:cs="Times New Roman"/>
          <w:bCs/>
          <w:lang w:eastAsia="en-AU"/>
        </w:rPr>
        <w:t xml:space="preserve"> </w:t>
      </w:r>
      <w:r w:rsidRPr="00022151">
        <w:rPr>
          <w:rFonts w:eastAsia="Times New Roman" w:cs="Times New Roman"/>
          <w:bCs/>
          <w:lang w:eastAsia="en-AU"/>
        </w:rPr>
        <w:t>Community Services and Indigenous Affairs,</w:t>
      </w:r>
      <w:r w:rsidRPr="00022151">
        <w:t xml:space="preserve"> National Framework for Protecting Australia's Children — Special Child Care Benefit — increasing awareness and access</w:t>
      </w:r>
      <w:r>
        <w:t>.</w:t>
      </w:r>
      <w:r w:rsidRPr="00022151">
        <w:t xml:space="preserve"> </w:t>
      </w:r>
      <w:hyperlink r:id="rId14" w:history="1">
        <w:r w:rsidRPr="007D5791">
          <w:rPr>
            <w:rStyle w:val="Hyperlink"/>
          </w:rPr>
          <w:t>http://www.budget.gov.au/2009-10/content/bp2/html/bp2_expense-13.htm</w:t>
        </w:r>
      </w:hyperlink>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Campbell, </w:t>
      </w:r>
      <w:proofErr w:type="spellStart"/>
      <w:r w:rsidRPr="00C85B6A">
        <w:rPr>
          <w:rFonts w:cstheme="minorHAnsi"/>
        </w:rPr>
        <w:t>F.A</w:t>
      </w:r>
      <w:proofErr w:type="spellEnd"/>
      <w:r w:rsidRPr="00C85B6A">
        <w:rPr>
          <w:rFonts w:cstheme="minorHAnsi"/>
        </w:rPr>
        <w:t xml:space="preserve">. and Ramey, </w:t>
      </w:r>
      <w:proofErr w:type="spellStart"/>
      <w:r w:rsidRPr="00C85B6A">
        <w:rPr>
          <w:rFonts w:cstheme="minorHAnsi"/>
        </w:rPr>
        <w:t>C.T</w:t>
      </w:r>
      <w:proofErr w:type="spellEnd"/>
      <w:r w:rsidRPr="00C85B6A">
        <w:rPr>
          <w:rFonts w:cstheme="minorHAnsi"/>
        </w:rPr>
        <w:t>. (1994). Effects of Early Intervention on Intellectual and</w:t>
      </w:r>
      <w:r>
        <w:rPr>
          <w:rFonts w:cstheme="minorHAnsi"/>
        </w:rPr>
        <w:t xml:space="preserve"> </w:t>
      </w:r>
      <w:r w:rsidRPr="00873A08">
        <w:rPr>
          <w:rFonts w:cstheme="minorHAnsi"/>
        </w:rPr>
        <w:t xml:space="preserve">Academic Achievement: A Follow-Up Study of Children from Low-Income Families. </w:t>
      </w:r>
      <w:r w:rsidRPr="00873A08">
        <w:rPr>
          <w:rFonts w:cstheme="minorHAnsi"/>
          <w:i/>
          <w:iCs/>
        </w:rPr>
        <w:t>Child</w:t>
      </w:r>
      <w:r>
        <w:rPr>
          <w:rFonts w:cstheme="minorHAnsi"/>
          <w:i/>
          <w:iCs/>
        </w:rPr>
        <w:t xml:space="preserve"> </w:t>
      </w:r>
      <w:r w:rsidRPr="00873A08">
        <w:rPr>
          <w:rFonts w:cstheme="minorHAnsi"/>
          <w:i/>
          <w:iCs/>
        </w:rPr>
        <w:t>Development</w:t>
      </w:r>
      <w:r w:rsidRPr="00873A08">
        <w:rPr>
          <w:rFonts w:cstheme="minorHAnsi"/>
        </w:rPr>
        <w:t>. 65(2), 684-698.</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Campbell, </w:t>
      </w:r>
      <w:proofErr w:type="spellStart"/>
      <w:r w:rsidRPr="00C85B6A">
        <w:rPr>
          <w:rFonts w:cstheme="minorHAnsi"/>
        </w:rPr>
        <w:t>F.A</w:t>
      </w:r>
      <w:proofErr w:type="spellEnd"/>
      <w:r w:rsidRPr="00C85B6A">
        <w:rPr>
          <w:rFonts w:cstheme="minorHAnsi"/>
        </w:rPr>
        <w:t xml:space="preserve">., </w:t>
      </w:r>
      <w:proofErr w:type="spellStart"/>
      <w:r w:rsidRPr="00C85B6A">
        <w:rPr>
          <w:rFonts w:cstheme="minorHAnsi"/>
        </w:rPr>
        <w:t>Wasik</w:t>
      </w:r>
      <w:proofErr w:type="spellEnd"/>
      <w:r w:rsidRPr="00C85B6A">
        <w:rPr>
          <w:rFonts w:cstheme="minorHAnsi"/>
        </w:rPr>
        <w:t xml:space="preserve">, </w:t>
      </w:r>
      <w:proofErr w:type="spellStart"/>
      <w:r w:rsidRPr="00C85B6A">
        <w:rPr>
          <w:rFonts w:cstheme="minorHAnsi"/>
        </w:rPr>
        <w:t>B.H</w:t>
      </w:r>
      <w:proofErr w:type="spellEnd"/>
      <w:r w:rsidRPr="00C85B6A">
        <w:rPr>
          <w:rFonts w:cstheme="minorHAnsi"/>
        </w:rPr>
        <w:t xml:space="preserve">., </w:t>
      </w:r>
      <w:proofErr w:type="spellStart"/>
      <w:r w:rsidRPr="00C85B6A">
        <w:rPr>
          <w:rFonts w:cstheme="minorHAnsi"/>
        </w:rPr>
        <w:t>Pungello</w:t>
      </w:r>
      <w:proofErr w:type="spellEnd"/>
      <w:r w:rsidRPr="00C85B6A">
        <w:rPr>
          <w:rFonts w:cstheme="minorHAnsi"/>
        </w:rPr>
        <w:t xml:space="preserve">, E., </w:t>
      </w:r>
      <w:proofErr w:type="spellStart"/>
      <w:r w:rsidRPr="00C85B6A">
        <w:rPr>
          <w:rFonts w:cstheme="minorHAnsi"/>
        </w:rPr>
        <w:t>Burchinal</w:t>
      </w:r>
      <w:proofErr w:type="spellEnd"/>
      <w:r w:rsidRPr="00C85B6A">
        <w:rPr>
          <w:rFonts w:cstheme="minorHAnsi"/>
        </w:rPr>
        <w:t xml:space="preserve">, M., </w:t>
      </w:r>
      <w:proofErr w:type="spellStart"/>
      <w:r w:rsidRPr="00C85B6A">
        <w:rPr>
          <w:rFonts w:cstheme="minorHAnsi"/>
        </w:rPr>
        <w:t>Barbarin</w:t>
      </w:r>
      <w:proofErr w:type="spellEnd"/>
      <w:r w:rsidRPr="00C85B6A">
        <w:rPr>
          <w:rFonts w:cstheme="minorHAnsi"/>
        </w:rPr>
        <w:t xml:space="preserve">, O., </w:t>
      </w:r>
      <w:proofErr w:type="spellStart"/>
      <w:r w:rsidRPr="00C85B6A">
        <w:rPr>
          <w:rFonts w:cstheme="minorHAnsi"/>
        </w:rPr>
        <w:t>Kainz</w:t>
      </w:r>
      <w:proofErr w:type="spellEnd"/>
      <w:r w:rsidRPr="00C85B6A">
        <w:rPr>
          <w:rFonts w:cstheme="minorHAnsi"/>
        </w:rPr>
        <w:t>, K., Sparling,</w:t>
      </w:r>
      <w:r>
        <w:rPr>
          <w:rFonts w:cstheme="minorHAnsi"/>
        </w:rPr>
        <w:t xml:space="preserve"> </w:t>
      </w:r>
      <w:proofErr w:type="spellStart"/>
      <w:r w:rsidRPr="00873A08">
        <w:rPr>
          <w:rFonts w:cstheme="minorHAnsi"/>
        </w:rPr>
        <w:t>J.J</w:t>
      </w:r>
      <w:proofErr w:type="spellEnd"/>
      <w:r w:rsidRPr="00873A08">
        <w:rPr>
          <w:rFonts w:cstheme="minorHAnsi"/>
        </w:rPr>
        <w:t xml:space="preserve">., &amp; Ramey, </w:t>
      </w:r>
      <w:proofErr w:type="spellStart"/>
      <w:r w:rsidRPr="00873A08">
        <w:rPr>
          <w:rFonts w:cstheme="minorHAnsi"/>
        </w:rPr>
        <w:t>C.T</w:t>
      </w:r>
      <w:proofErr w:type="spellEnd"/>
      <w:r w:rsidRPr="00873A08">
        <w:rPr>
          <w:rFonts w:cstheme="minorHAnsi"/>
        </w:rPr>
        <w:t>. (2008). Young adult outcomes from the Abecedarian and CARE early</w:t>
      </w:r>
      <w:r>
        <w:rPr>
          <w:rFonts w:cstheme="minorHAnsi"/>
        </w:rPr>
        <w:t xml:space="preserve"> </w:t>
      </w:r>
      <w:r w:rsidRPr="00873A08">
        <w:rPr>
          <w:rFonts w:cstheme="minorHAnsi"/>
        </w:rPr>
        <w:t xml:space="preserve">childhood educational interventions. </w:t>
      </w:r>
      <w:r w:rsidRPr="00873A08">
        <w:rPr>
          <w:rFonts w:cstheme="minorHAnsi"/>
          <w:i/>
          <w:iCs/>
        </w:rPr>
        <w:t xml:space="preserve">Early Childhood Research Quarterly. </w:t>
      </w:r>
      <w:r w:rsidRPr="00873A08">
        <w:rPr>
          <w:rFonts w:cstheme="minorHAnsi"/>
        </w:rPr>
        <w:t>23, 452-466.</w:t>
      </w:r>
    </w:p>
    <w:p w:rsidR="00022151" w:rsidRDefault="00F53098" w:rsidP="00022151">
      <w:pPr>
        <w:pStyle w:val="ListParagraph"/>
        <w:autoSpaceDE w:val="0"/>
        <w:autoSpaceDN w:val="0"/>
        <w:adjustRightInd w:val="0"/>
        <w:spacing w:after="0" w:line="240" w:lineRule="auto"/>
        <w:ind w:left="709" w:hanging="698"/>
        <w:rPr>
          <w:rFonts w:cstheme="minorHAnsi"/>
        </w:rPr>
      </w:pPr>
      <w:proofErr w:type="spellStart"/>
      <w:r>
        <w:rPr>
          <w:rFonts w:cstheme="minorHAnsi"/>
        </w:rPr>
        <w:t>CIAR</w:t>
      </w:r>
      <w:proofErr w:type="spellEnd"/>
      <w:r>
        <w:rPr>
          <w:rFonts w:cstheme="minorHAnsi"/>
        </w:rPr>
        <w:t xml:space="preserve"> (Canadian Institute for Advance</w:t>
      </w:r>
      <w:r w:rsidR="00B111E7">
        <w:rPr>
          <w:rFonts w:cstheme="minorHAnsi"/>
        </w:rPr>
        <w:t>d</w:t>
      </w:r>
      <w:r>
        <w:rPr>
          <w:rFonts w:cstheme="minorHAnsi"/>
        </w:rPr>
        <w:t xml:space="preserve"> Research) (1999). </w:t>
      </w:r>
      <w:r w:rsidRPr="00F53098">
        <w:rPr>
          <w:rFonts w:cstheme="minorHAnsi"/>
          <w:i/>
        </w:rPr>
        <w:t>Reversing the Real Brain Drain: Early Years Study</w:t>
      </w:r>
      <w:r>
        <w:rPr>
          <w:rFonts w:cstheme="minorHAnsi"/>
        </w:rPr>
        <w:t xml:space="preserve">. Toronto: </w:t>
      </w:r>
      <w:proofErr w:type="spellStart"/>
      <w:r>
        <w:rPr>
          <w:rFonts w:cstheme="minorHAnsi"/>
        </w:rPr>
        <w:t>CIAR</w:t>
      </w:r>
      <w:proofErr w:type="spellEnd"/>
      <w:r>
        <w:rPr>
          <w:rFonts w:cstheme="minorHAnsi"/>
        </w:rPr>
        <w:t xml:space="preserve">. </w:t>
      </w:r>
      <w:hyperlink r:id="rId15" w:history="1">
        <w:r w:rsidRPr="007D5791">
          <w:rPr>
            <w:rStyle w:val="Hyperlink"/>
            <w:rFonts w:cstheme="minorHAnsi"/>
          </w:rPr>
          <w:t>http://</w:t>
        </w:r>
        <w:proofErr w:type="spellStart"/>
        <w:r w:rsidRPr="007D5791">
          <w:rPr>
            <w:rStyle w:val="Hyperlink"/>
            <w:rFonts w:cstheme="minorHAnsi"/>
          </w:rPr>
          <w:t>www.pcfk.on.ca</w:t>
        </w:r>
        <w:proofErr w:type="spellEnd"/>
        <w:r w:rsidRPr="007D5791">
          <w:rPr>
            <w:rStyle w:val="Hyperlink"/>
            <w:rFonts w:cstheme="minorHAnsi"/>
          </w:rPr>
          <w:t>/</w:t>
        </w:r>
        <w:proofErr w:type="spellStart"/>
        <w:r w:rsidRPr="007D5791">
          <w:rPr>
            <w:rStyle w:val="Hyperlink"/>
            <w:rFonts w:cstheme="minorHAnsi"/>
          </w:rPr>
          <w:t>PDFs</w:t>
        </w:r>
        <w:proofErr w:type="spellEnd"/>
        <w:r w:rsidRPr="007D5791">
          <w:rPr>
            <w:rStyle w:val="Hyperlink"/>
            <w:rFonts w:cstheme="minorHAnsi"/>
          </w:rPr>
          <w:t>/</w:t>
        </w:r>
        <w:proofErr w:type="spellStart"/>
        <w:r w:rsidRPr="007D5791">
          <w:rPr>
            <w:rStyle w:val="Hyperlink"/>
            <w:rFonts w:cstheme="minorHAnsi"/>
          </w:rPr>
          <w:t>Research_Ken</w:t>
        </w:r>
        <w:proofErr w:type="spellEnd"/>
        <w:r w:rsidRPr="007D5791">
          <w:rPr>
            <w:rStyle w:val="Hyperlink"/>
            <w:rFonts w:cstheme="minorHAnsi"/>
          </w:rPr>
          <w:t>/</w:t>
        </w:r>
        <w:proofErr w:type="spellStart"/>
        <w:r w:rsidRPr="007D5791">
          <w:rPr>
            <w:rStyle w:val="Hyperlink"/>
            <w:rFonts w:cstheme="minorHAnsi"/>
          </w:rPr>
          <w:t>ReversingBrainDrain.pdf</w:t>
        </w:r>
        <w:proofErr w:type="spellEnd"/>
      </w:hyperlink>
      <w:r>
        <w:rPr>
          <w:rFonts w:cstheme="minorHAnsi"/>
        </w:rPr>
        <w:t xml:space="preserve"> </w:t>
      </w:r>
    </w:p>
    <w:p w:rsidR="00E30810" w:rsidRPr="00022151" w:rsidRDefault="00A95542" w:rsidP="00022151">
      <w:pPr>
        <w:pStyle w:val="ListParagraph"/>
        <w:autoSpaceDE w:val="0"/>
        <w:autoSpaceDN w:val="0"/>
        <w:adjustRightInd w:val="0"/>
        <w:spacing w:after="0" w:line="240" w:lineRule="auto"/>
        <w:ind w:left="709" w:hanging="698"/>
        <w:rPr>
          <w:rFonts w:cstheme="minorHAnsi"/>
        </w:rPr>
      </w:pPr>
      <w:r w:rsidRPr="00022151">
        <w:rPr>
          <w:rFonts w:cstheme="minorHAnsi"/>
        </w:rPr>
        <w:t xml:space="preserve">Cunha, F. and Heckman, J. (2006). </w:t>
      </w:r>
      <w:r w:rsidRPr="00022151">
        <w:rPr>
          <w:rFonts w:cstheme="minorHAnsi"/>
          <w:i/>
          <w:iCs/>
        </w:rPr>
        <w:t>Investing in our Young People</w:t>
      </w:r>
      <w:r w:rsidRPr="00022151">
        <w:rPr>
          <w:rFonts w:cstheme="minorHAnsi"/>
        </w:rPr>
        <w:t xml:space="preserve">. University of Chicago, </w:t>
      </w:r>
      <w:r w:rsidR="0083565C">
        <w:rPr>
          <w:rFonts w:cstheme="minorHAnsi"/>
        </w:rPr>
        <w:t xml:space="preserve"> </w:t>
      </w:r>
      <w:r w:rsidRPr="00022151">
        <w:rPr>
          <w:rFonts w:cstheme="minorHAnsi"/>
        </w:rPr>
        <w:t>Department of Economics. Unpublished manuscript.</w:t>
      </w:r>
    </w:p>
    <w:p w:rsidR="00D036E6" w:rsidRPr="00D036E6" w:rsidRDefault="00B753BF" w:rsidP="00D036E6">
      <w:pPr>
        <w:autoSpaceDE w:val="0"/>
        <w:autoSpaceDN w:val="0"/>
        <w:adjustRightInd w:val="0"/>
        <w:spacing w:after="0" w:line="240" w:lineRule="auto"/>
        <w:rPr>
          <w:rFonts w:cs="TheSansSemiBold-Plain"/>
          <w:bCs/>
        </w:rPr>
      </w:pPr>
      <w:proofErr w:type="spellStart"/>
      <w:r w:rsidRPr="00E30810">
        <w:rPr>
          <w:rFonts w:cstheme="minorHAnsi"/>
        </w:rPr>
        <w:t>COAG</w:t>
      </w:r>
      <w:proofErr w:type="spellEnd"/>
      <w:r w:rsidRPr="00E30810">
        <w:rPr>
          <w:rFonts w:cstheme="minorHAnsi"/>
        </w:rPr>
        <w:t xml:space="preserve"> (Council of Australian Governments)</w:t>
      </w:r>
      <w:r w:rsidR="00D036E6">
        <w:rPr>
          <w:rFonts w:cstheme="minorHAnsi"/>
        </w:rPr>
        <w:t xml:space="preserve"> (2009).</w:t>
      </w:r>
      <w:r w:rsidR="00E30810" w:rsidRPr="00E30810">
        <w:rPr>
          <w:rFonts w:cstheme="minorHAnsi"/>
        </w:rPr>
        <w:t xml:space="preserve"> </w:t>
      </w:r>
      <w:r w:rsidR="00D036E6" w:rsidRPr="00D036E6">
        <w:rPr>
          <w:rFonts w:cs="TheSansSemiBold-Plain"/>
          <w:bCs/>
          <w:i/>
        </w:rPr>
        <w:t xml:space="preserve">Protecting Children is Everyone’s Business: </w:t>
      </w:r>
      <w:r w:rsidR="00D036E6" w:rsidRPr="00D036E6">
        <w:rPr>
          <w:rFonts w:cs="TheSans-Plain"/>
          <w:i/>
        </w:rPr>
        <w:t>National Framework for Protecting</w:t>
      </w:r>
      <w:r w:rsidR="00D036E6" w:rsidRPr="00D036E6">
        <w:rPr>
          <w:rFonts w:cs="TheSansSemiBold-Plain"/>
          <w:bCs/>
          <w:i/>
        </w:rPr>
        <w:t xml:space="preserve"> </w:t>
      </w:r>
      <w:r w:rsidR="00D036E6" w:rsidRPr="00D036E6">
        <w:rPr>
          <w:rFonts w:cs="TheSans-Plain"/>
          <w:i/>
        </w:rPr>
        <w:t>Australia’s Children 2009–2020</w:t>
      </w:r>
      <w:r w:rsidR="00D036E6">
        <w:rPr>
          <w:rFonts w:cs="TheSans-Plain"/>
        </w:rPr>
        <w:t>.</w:t>
      </w:r>
    </w:p>
    <w:p w:rsidR="00E30810" w:rsidRDefault="00D036E6" w:rsidP="008F2577">
      <w:pPr>
        <w:pStyle w:val="ListParagraph"/>
        <w:autoSpaceDE w:val="0"/>
        <w:autoSpaceDN w:val="0"/>
        <w:adjustRightInd w:val="0"/>
        <w:spacing w:after="0" w:line="240" w:lineRule="auto"/>
        <w:ind w:left="709" w:hanging="698"/>
      </w:pPr>
      <w:r>
        <w:rPr>
          <w:rFonts w:cstheme="minorHAnsi"/>
        </w:rPr>
        <w:t xml:space="preserve">---. </w:t>
      </w:r>
      <w:r w:rsidR="00E30810" w:rsidRPr="00E30810">
        <w:rPr>
          <w:rFonts w:cstheme="minorHAnsi"/>
        </w:rPr>
        <w:t>(2013).</w:t>
      </w:r>
      <w:r w:rsidR="00E30810" w:rsidRPr="00E30810">
        <w:rPr>
          <w:rStyle w:val="FootnoteReference"/>
        </w:rPr>
        <w:t xml:space="preserve"> </w:t>
      </w:r>
      <w:r w:rsidR="00E30810" w:rsidRPr="00E30810">
        <w:rPr>
          <w:rStyle w:val="A2"/>
          <w:i/>
          <w:sz w:val="22"/>
          <w:szCs w:val="22"/>
        </w:rPr>
        <w:t xml:space="preserve">Protecting Children is Everyone’s Business, </w:t>
      </w:r>
      <w:r w:rsidR="00E30810" w:rsidRPr="00E30810">
        <w:rPr>
          <w:rStyle w:val="A3"/>
          <w:rFonts w:asciiTheme="minorHAnsi" w:hAnsiTheme="minorHAnsi"/>
          <w:b w:val="0"/>
          <w:i/>
          <w:sz w:val="22"/>
          <w:szCs w:val="22"/>
        </w:rPr>
        <w:t>National Framework for Protecting Australia’s Children 2009–2020</w:t>
      </w:r>
      <w:r w:rsidR="00E30810">
        <w:rPr>
          <w:rStyle w:val="A3"/>
          <w:rFonts w:asciiTheme="minorHAnsi" w:hAnsiTheme="minorHAnsi"/>
          <w:b w:val="0"/>
          <w:i/>
          <w:sz w:val="22"/>
          <w:szCs w:val="22"/>
        </w:rPr>
        <w:t>.</w:t>
      </w:r>
      <w:r w:rsidR="00E30810" w:rsidRPr="00E30810">
        <w:rPr>
          <w:rStyle w:val="FootnoteReference"/>
          <w:b/>
          <w:i/>
        </w:rPr>
        <w:t xml:space="preserve"> </w:t>
      </w:r>
      <w:r w:rsidR="00E30810" w:rsidRPr="00E30810">
        <w:rPr>
          <w:rStyle w:val="A1"/>
          <w:b w:val="0"/>
          <w:i/>
          <w:sz w:val="22"/>
          <w:szCs w:val="22"/>
        </w:rPr>
        <w:t>Annual Report to the Council of Australian Governments 2011–12</w:t>
      </w:r>
      <w:r w:rsidR="00E30810">
        <w:rPr>
          <w:rStyle w:val="A1"/>
          <w:b w:val="0"/>
          <w:i/>
          <w:sz w:val="22"/>
          <w:szCs w:val="22"/>
        </w:rPr>
        <w:t>.</w:t>
      </w:r>
      <w:r w:rsidR="00E30810">
        <w:rPr>
          <w:rStyle w:val="A1"/>
          <w:b w:val="0"/>
          <w:sz w:val="22"/>
          <w:szCs w:val="22"/>
        </w:rPr>
        <w:t xml:space="preserve"> </w:t>
      </w:r>
      <w:hyperlink r:id="rId16" w:history="1">
        <w:r w:rsidR="00E30810">
          <w:rPr>
            <w:rStyle w:val="Hyperlink"/>
          </w:rPr>
          <w:t>http://www.dss.gov.au/sites/default/files/documents/05_2013/nfpac_ar_final_v4.pdf</w:t>
        </w:r>
      </w:hyperlink>
    </w:p>
    <w:p w:rsidR="00134935" w:rsidRDefault="00134935" w:rsidP="008F2577">
      <w:pPr>
        <w:pStyle w:val="ListParagraph"/>
        <w:autoSpaceDE w:val="0"/>
        <w:autoSpaceDN w:val="0"/>
        <w:adjustRightInd w:val="0"/>
        <w:spacing w:after="0" w:line="240" w:lineRule="auto"/>
        <w:ind w:left="709" w:hanging="698"/>
        <w:rPr>
          <w:rFonts w:cs="Meta Normal"/>
          <w:color w:val="000000"/>
        </w:rPr>
      </w:pPr>
      <w:proofErr w:type="spellStart"/>
      <w:r w:rsidRPr="00134935">
        <w:rPr>
          <w:rFonts w:cs="Meta Normal"/>
          <w:color w:val="000000"/>
        </w:rPr>
        <w:t>CODC</w:t>
      </w:r>
      <w:proofErr w:type="spellEnd"/>
      <w:r w:rsidRPr="00134935">
        <w:rPr>
          <w:rFonts w:cs="Meta Normal"/>
          <w:color w:val="000000"/>
        </w:rPr>
        <w:t xml:space="preserve"> (</w:t>
      </w:r>
      <w:proofErr w:type="spellStart"/>
      <w:r w:rsidRPr="00134935">
        <w:rPr>
          <w:rFonts w:cs="Meta Normal"/>
          <w:color w:val="000000"/>
        </w:rPr>
        <w:t>Center</w:t>
      </w:r>
      <w:proofErr w:type="spellEnd"/>
      <w:r w:rsidRPr="00134935">
        <w:rPr>
          <w:rFonts w:cs="Meta Normal"/>
          <w:color w:val="000000"/>
        </w:rPr>
        <w:t xml:space="preserve"> on the Developing Child at Harvard University) (2010). </w:t>
      </w:r>
      <w:r w:rsidRPr="00134935">
        <w:rPr>
          <w:rFonts w:cs="Meta Normal"/>
          <w:i/>
          <w:iCs/>
          <w:color w:val="000000"/>
        </w:rPr>
        <w:t>The Foundations of Lifelong Health Are Built in Early Childhood</w:t>
      </w:r>
      <w:r>
        <w:rPr>
          <w:rFonts w:cs="Meta Normal"/>
          <w:color w:val="000000"/>
        </w:rPr>
        <w:t xml:space="preserve">. Cambridge: </w:t>
      </w:r>
      <w:hyperlink r:id="rId17" w:history="1">
        <w:r w:rsidRPr="007D5791">
          <w:rPr>
            <w:rStyle w:val="Hyperlink"/>
            <w:rFonts w:cs="Meta Normal"/>
          </w:rPr>
          <w:t>http://</w:t>
        </w:r>
        <w:proofErr w:type="spellStart"/>
        <w:r w:rsidRPr="007D5791">
          <w:rPr>
            <w:rStyle w:val="Hyperlink"/>
            <w:rFonts w:cs="Meta Normal"/>
          </w:rPr>
          <w:t>www.developingchild.harvard.edu</w:t>
        </w:r>
        <w:proofErr w:type="spellEnd"/>
      </w:hyperlink>
    </w:p>
    <w:p w:rsidR="00134935" w:rsidRPr="00134935" w:rsidRDefault="00134935" w:rsidP="008F2577">
      <w:pPr>
        <w:pStyle w:val="ListParagraph"/>
        <w:autoSpaceDE w:val="0"/>
        <w:autoSpaceDN w:val="0"/>
        <w:adjustRightInd w:val="0"/>
        <w:spacing w:after="0" w:line="240" w:lineRule="auto"/>
        <w:ind w:left="709" w:hanging="698"/>
        <w:rPr>
          <w:rFonts w:cstheme="minorHAnsi"/>
          <w:i/>
          <w:iCs/>
        </w:rPr>
      </w:pPr>
      <w:r>
        <w:rPr>
          <w:rFonts w:cstheme="minorHAnsi"/>
        </w:rPr>
        <w:t>---</w:t>
      </w:r>
      <w:r w:rsidRPr="00C85B6A">
        <w:rPr>
          <w:rFonts w:cstheme="minorHAnsi"/>
        </w:rPr>
        <w:t xml:space="preserve">. (2011). </w:t>
      </w:r>
      <w:r w:rsidRPr="00C85B6A">
        <w:rPr>
          <w:rFonts w:cstheme="minorHAnsi"/>
          <w:i/>
          <w:iCs/>
        </w:rPr>
        <w:t>In Brief: Early Childhood Program</w:t>
      </w:r>
      <w:r>
        <w:rPr>
          <w:rFonts w:cstheme="minorHAnsi"/>
          <w:i/>
          <w:iCs/>
        </w:rPr>
        <w:t xml:space="preserve"> </w:t>
      </w:r>
      <w:r w:rsidRPr="00873A08">
        <w:rPr>
          <w:rFonts w:cstheme="minorHAnsi"/>
          <w:i/>
          <w:iCs/>
        </w:rPr>
        <w:t>Effectiveness</w:t>
      </w:r>
      <w:r w:rsidRPr="00873A08">
        <w:rPr>
          <w:rFonts w:cstheme="minorHAnsi"/>
        </w:rPr>
        <w:t xml:space="preserve">. </w:t>
      </w:r>
      <w:r>
        <w:rPr>
          <w:rFonts w:cstheme="minorHAnsi"/>
        </w:rPr>
        <w:t xml:space="preserve">Cambridge: </w:t>
      </w:r>
      <w:r w:rsidRPr="00873A08">
        <w:rPr>
          <w:rFonts w:cstheme="minorHAnsi"/>
        </w:rPr>
        <w:t>Centre on the Developing Child, Harvard University.</w:t>
      </w:r>
    </w:p>
    <w:p w:rsidR="00237D12" w:rsidRPr="008E7E45" w:rsidRDefault="00237D12" w:rsidP="008F2577">
      <w:pPr>
        <w:pStyle w:val="ListParagraph"/>
        <w:autoSpaceDE w:val="0"/>
        <w:autoSpaceDN w:val="0"/>
        <w:adjustRightInd w:val="0"/>
        <w:spacing w:after="0" w:line="240" w:lineRule="auto"/>
        <w:ind w:left="709" w:hanging="698"/>
        <w:rPr>
          <w:rFonts w:cstheme="minorHAnsi"/>
        </w:rPr>
      </w:pPr>
      <w:proofErr w:type="spellStart"/>
      <w:r>
        <w:rPr>
          <w:rFonts w:cstheme="minorHAnsi"/>
        </w:rPr>
        <w:t>DEEWR</w:t>
      </w:r>
      <w:proofErr w:type="spellEnd"/>
      <w:r>
        <w:rPr>
          <w:rFonts w:cstheme="minorHAnsi"/>
        </w:rPr>
        <w:t xml:space="preserve"> (Department of Education, Early Childhood and Workplace Relations) (2010). </w:t>
      </w:r>
      <w:r w:rsidRPr="00237D12">
        <w:rPr>
          <w:rFonts w:cstheme="minorHAnsi"/>
          <w:i/>
        </w:rPr>
        <w:t>St</w:t>
      </w:r>
      <w:r>
        <w:rPr>
          <w:rFonts w:cstheme="minorHAnsi"/>
          <w:i/>
        </w:rPr>
        <w:t>ate of Child Care i</w:t>
      </w:r>
      <w:r w:rsidRPr="00237D12">
        <w:rPr>
          <w:rFonts w:cstheme="minorHAnsi"/>
          <w:i/>
        </w:rPr>
        <w:t>n Australia</w:t>
      </w:r>
      <w:r w:rsidR="001C24BF">
        <w:rPr>
          <w:rFonts w:cstheme="minorHAnsi"/>
        </w:rPr>
        <w:t>.</w:t>
      </w:r>
      <w:r>
        <w:rPr>
          <w:rFonts w:cstheme="minorHAnsi"/>
        </w:rPr>
        <w:t xml:space="preserve"> Canberra</w:t>
      </w:r>
      <w:r w:rsidRPr="008E7E45">
        <w:rPr>
          <w:rFonts w:cstheme="minorHAnsi"/>
        </w:rPr>
        <w:t>.</w:t>
      </w:r>
    </w:p>
    <w:p w:rsidR="00237D12" w:rsidRDefault="00F2468E" w:rsidP="008F2577">
      <w:pPr>
        <w:pStyle w:val="ListParagraph"/>
        <w:autoSpaceDE w:val="0"/>
        <w:autoSpaceDN w:val="0"/>
        <w:adjustRightInd w:val="0"/>
        <w:spacing w:after="0" w:line="240" w:lineRule="auto"/>
        <w:ind w:left="709" w:hanging="698"/>
        <w:rPr>
          <w:rFonts w:cstheme="minorHAnsi"/>
        </w:rPr>
      </w:pPr>
      <w:r>
        <w:rPr>
          <w:rFonts w:cstheme="minorHAnsi"/>
        </w:rPr>
        <w:t>---</w:t>
      </w:r>
      <w:r w:rsidR="0051428E">
        <w:rPr>
          <w:rFonts w:cstheme="minorHAnsi"/>
        </w:rPr>
        <w:t xml:space="preserve"> </w:t>
      </w:r>
      <w:r w:rsidR="00237D12">
        <w:rPr>
          <w:rFonts w:cstheme="minorHAnsi"/>
        </w:rPr>
        <w:t>(2012</w:t>
      </w:r>
      <w:r>
        <w:rPr>
          <w:rFonts w:cstheme="minorHAnsi"/>
        </w:rPr>
        <w:t>.</w:t>
      </w:r>
      <w:r w:rsidR="00237D12">
        <w:rPr>
          <w:rFonts w:cstheme="minorHAnsi"/>
        </w:rPr>
        <w:t xml:space="preserve">) </w:t>
      </w:r>
      <w:r w:rsidR="00237D12" w:rsidRPr="00237D12">
        <w:rPr>
          <w:rFonts w:cstheme="minorHAnsi"/>
          <w:i/>
        </w:rPr>
        <w:t>Child Care Service Handbook 2012-13</w:t>
      </w:r>
      <w:r w:rsidR="00237D12">
        <w:rPr>
          <w:rFonts w:cstheme="minorHAnsi"/>
        </w:rPr>
        <w:t>, Canberra.</w:t>
      </w:r>
    </w:p>
    <w:p w:rsidR="001C24BF" w:rsidRDefault="001C24BF" w:rsidP="008F2577">
      <w:pPr>
        <w:pStyle w:val="ListParagraph"/>
        <w:autoSpaceDE w:val="0"/>
        <w:autoSpaceDN w:val="0"/>
        <w:adjustRightInd w:val="0"/>
        <w:spacing w:after="0" w:line="240" w:lineRule="auto"/>
        <w:ind w:left="709" w:hanging="698"/>
        <w:rPr>
          <w:rFonts w:cstheme="minorHAnsi"/>
        </w:rPr>
      </w:pPr>
      <w:r>
        <w:rPr>
          <w:rFonts w:cstheme="minorHAnsi"/>
        </w:rPr>
        <w:t>---</w:t>
      </w:r>
      <w:r w:rsidR="0051428E">
        <w:rPr>
          <w:rFonts w:cstheme="minorHAnsi"/>
        </w:rPr>
        <w:t xml:space="preserve"> </w:t>
      </w:r>
      <w:r>
        <w:rPr>
          <w:rFonts w:cstheme="minorHAnsi"/>
        </w:rPr>
        <w:t xml:space="preserve">(August 2013). </w:t>
      </w:r>
      <w:r w:rsidRPr="001C24BF">
        <w:rPr>
          <w:rFonts w:cstheme="minorHAnsi"/>
          <w:i/>
        </w:rPr>
        <w:t>Child Care in Australia</w:t>
      </w:r>
      <w:r>
        <w:rPr>
          <w:rFonts w:cstheme="minorHAnsi"/>
        </w:rPr>
        <w:t>. Canberra</w:t>
      </w:r>
    </w:p>
    <w:p w:rsidR="008E7E45" w:rsidRDefault="008E7E45" w:rsidP="008F2577">
      <w:pPr>
        <w:pStyle w:val="ListParagraph"/>
        <w:autoSpaceDE w:val="0"/>
        <w:autoSpaceDN w:val="0"/>
        <w:adjustRightInd w:val="0"/>
        <w:spacing w:after="0" w:line="240" w:lineRule="auto"/>
        <w:ind w:left="709" w:hanging="698"/>
        <w:rPr>
          <w:rFonts w:cstheme="minorHAnsi"/>
        </w:rPr>
      </w:pPr>
      <w:proofErr w:type="spellStart"/>
      <w:r>
        <w:rPr>
          <w:rFonts w:cstheme="minorHAnsi"/>
        </w:rPr>
        <w:t>DEEWR</w:t>
      </w:r>
      <w:proofErr w:type="spellEnd"/>
      <w:r>
        <w:rPr>
          <w:rFonts w:cstheme="minorHAnsi"/>
        </w:rPr>
        <w:t xml:space="preserve"> and </w:t>
      </w:r>
      <w:proofErr w:type="spellStart"/>
      <w:r>
        <w:rPr>
          <w:rFonts w:cstheme="minorHAnsi"/>
        </w:rPr>
        <w:t>DHS</w:t>
      </w:r>
      <w:proofErr w:type="spellEnd"/>
      <w:r>
        <w:rPr>
          <w:rFonts w:cstheme="minorHAnsi"/>
        </w:rPr>
        <w:t xml:space="preserve"> (Department of Human Services) (2012). </w:t>
      </w:r>
      <w:r w:rsidRPr="008E7E45">
        <w:rPr>
          <w:rFonts w:cstheme="minorHAnsi"/>
          <w:i/>
        </w:rPr>
        <w:t>A Guide to Special Chi</w:t>
      </w:r>
      <w:r w:rsidR="007552A8">
        <w:rPr>
          <w:rFonts w:cstheme="minorHAnsi"/>
          <w:i/>
        </w:rPr>
        <w:t>l</w:t>
      </w:r>
      <w:r w:rsidRPr="008E7E45">
        <w:rPr>
          <w:rFonts w:cstheme="minorHAnsi"/>
          <w:i/>
        </w:rPr>
        <w:t>d Care Benefit</w:t>
      </w:r>
      <w:r>
        <w:rPr>
          <w:rFonts w:cstheme="minorHAnsi"/>
        </w:rPr>
        <w:t>. Canberra.</w:t>
      </w:r>
      <w:r w:rsidRPr="008E7E45">
        <w:t xml:space="preserve"> </w:t>
      </w:r>
      <w:hyperlink r:id="rId18" w:history="1">
        <w:r w:rsidR="007552A8" w:rsidRPr="007D5791">
          <w:rPr>
            <w:rStyle w:val="Hyperlink"/>
            <w:rFonts w:cstheme="minorHAnsi"/>
          </w:rPr>
          <w:t>http://docs.education.gov.au/system/files/doc/other/a_guide_to_special_child_care_benefit.pdf</w:t>
        </w:r>
      </w:hyperlink>
      <w:r w:rsidR="007552A8">
        <w:rPr>
          <w:rFonts w:cstheme="minorHAnsi"/>
        </w:rPr>
        <w:t xml:space="preserve"> (accessed 14 January 2014).</w:t>
      </w:r>
    </w:p>
    <w:p w:rsidR="0051428E" w:rsidRPr="00873A08" w:rsidRDefault="0051428E" w:rsidP="008F2577">
      <w:pPr>
        <w:pStyle w:val="ListParagraph"/>
        <w:autoSpaceDE w:val="0"/>
        <w:autoSpaceDN w:val="0"/>
        <w:adjustRightInd w:val="0"/>
        <w:spacing w:after="0" w:line="240" w:lineRule="auto"/>
        <w:ind w:left="709" w:hanging="698"/>
        <w:rPr>
          <w:rFonts w:cstheme="minorHAnsi"/>
        </w:rPr>
      </w:pPr>
      <w:r>
        <w:rPr>
          <w:rFonts w:cstheme="minorHAnsi"/>
        </w:rPr>
        <w:lastRenderedPageBreak/>
        <w:t xml:space="preserve">Frankston Council (2014). </w:t>
      </w:r>
      <w:r w:rsidRPr="0051428E">
        <w:rPr>
          <w:rFonts w:cstheme="minorHAnsi"/>
          <w:i/>
        </w:rPr>
        <w:t>Productivity Commission Inquiry into Child Care and Early Childhood Education: Submission from Frankston Council</w:t>
      </w:r>
      <w:r>
        <w:rPr>
          <w:rFonts w:cstheme="minorHAnsi"/>
        </w:rPr>
        <w:t>. (Submission 286)</w:t>
      </w:r>
    </w:p>
    <w:p w:rsidR="001C24BF"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Heckman, J. (2008). Schools, skills and synapses. </w:t>
      </w:r>
      <w:r w:rsidRPr="00C85B6A">
        <w:rPr>
          <w:rFonts w:cstheme="minorHAnsi"/>
          <w:i/>
          <w:iCs/>
        </w:rPr>
        <w:t xml:space="preserve">Economic Inquiry. </w:t>
      </w:r>
      <w:r w:rsidRPr="00C85B6A">
        <w:rPr>
          <w:rFonts w:cstheme="minorHAnsi"/>
        </w:rPr>
        <w:t>46(3), 289-324.</w:t>
      </w:r>
    </w:p>
    <w:p w:rsidR="001C24BF" w:rsidRDefault="001C24BF" w:rsidP="008F2577">
      <w:pPr>
        <w:autoSpaceDE w:val="0"/>
        <w:autoSpaceDN w:val="0"/>
        <w:adjustRightInd w:val="0"/>
        <w:spacing w:after="0" w:line="240" w:lineRule="auto"/>
        <w:ind w:left="709" w:hanging="709"/>
        <w:rPr>
          <w:rFonts w:cs="Times New Roman"/>
        </w:rPr>
      </w:pPr>
      <w:r w:rsidRPr="00E30810">
        <w:rPr>
          <w:rFonts w:cs="Times New Roman"/>
        </w:rPr>
        <w:t xml:space="preserve">Heckman, J. and D. </w:t>
      </w:r>
      <w:proofErr w:type="spellStart"/>
      <w:r w:rsidRPr="00E30810">
        <w:rPr>
          <w:rFonts w:cs="Times New Roman"/>
        </w:rPr>
        <w:t>Masterov</w:t>
      </w:r>
      <w:proofErr w:type="spellEnd"/>
      <w:r w:rsidRPr="00E30810">
        <w:rPr>
          <w:rFonts w:cs="Times New Roman"/>
        </w:rPr>
        <w:t xml:space="preserve"> (</w:t>
      </w:r>
      <w:r w:rsidR="00E30810">
        <w:rPr>
          <w:rFonts w:cs="Times New Roman"/>
        </w:rPr>
        <w:t>2007</w:t>
      </w:r>
      <w:r w:rsidR="00E30810" w:rsidRPr="00E30810">
        <w:rPr>
          <w:rFonts w:cs="Times New Roman"/>
        </w:rPr>
        <w:t xml:space="preserve">). </w:t>
      </w:r>
      <w:r w:rsidR="00E30810" w:rsidRPr="00E30810">
        <w:rPr>
          <w:rFonts w:cs="Times New Roman"/>
          <w:i/>
        </w:rPr>
        <w:t>The Productivity Argument for Investing in Young Children</w:t>
      </w:r>
      <w:r w:rsidR="00E30810" w:rsidRPr="00E30810">
        <w:rPr>
          <w:rFonts w:eastAsia="SymbolMT" w:cs="SymbolMT"/>
        </w:rPr>
        <w:t>.</w:t>
      </w:r>
      <w:r w:rsidR="00E30810" w:rsidRPr="00E30810">
        <w:rPr>
          <w:rFonts w:cs="Times New Roman"/>
        </w:rPr>
        <w:t xml:space="preserve"> Lecture given as the </w:t>
      </w:r>
      <w:proofErr w:type="spellStart"/>
      <w:r w:rsidR="00E30810" w:rsidRPr="00E30810">
        <w:rPr>
          <w:rFonts w:cs="Times New Roman"/>
        </w:rPr>
        <w:t>T.W</w:t>
      </w:r>
      <w:proofErr w:type="spellEnd"/>
      <w:r w:rsidR="00E30810" w:rsidRPr="00E30810">
        <w:rPr>
          <w:rFonts w:cs="Times New Roman"/>
        </w:rPr>
        <w:t>. Schultz Award Lecture at the Allied Social Sciences Association annual meeting,</w:t>
      </w:r>
      <w:r w:rsidR="00E30810">
        <w:rPr>
          <w:rFonts w:cs="Times New Roman"/>
        </w:rPr>
        <w:t xml:space="preserve"> </w:t>
      </w:r>
      <w:r w:rsidR="00E30810" w:rsidRPr="00E30810">
        <w:rPr>
          <w:rFonts w:cs="Times New Roman"/>
        </w:rPr>
        <w:t>Chicago, January 5-7, 2007</w:t>
      </w:r>
      <w:r w:rsidR="00E30810">
        <w:rPr>
          <w:rFonts w:cs="Times New Roman"/>
        </w:rPr>
        <w:t>.</w:t>
      </w:r>
      <w:r w:rsidR="00E30810" w:rsidRPr="00E30810">
        <w:t xml:space="preserve"> </w:t>
      </w:r>
      <w:hyperlink r:id="rId19" w:history="1">
        <w:r w:rsidR="00E30810" w:rsidRPr="007D5791">
          <w:rPr>
            <w:rStyle w:val="Hyperlink"/>
            <w:rFonts w:cs="Times New Roman"/>
          </w:rPr>
          <w:t>http://jenni.uchicago.edu/human-inequality/papers/Heckman_final_all_wp_2007-03-22c_jsb.pdf</w:t>
        </w:r>
      </w:hyperlink>
      <w:r w:rsidR="00E30810">
        <w:rPr>
          <w:rFonts w:cs="Times New Roman"/>
        </w:rPr>
        <w:t xml:space="preserve"> </w:t>
      </w:r>
    </w:p>
    <w:p w:rsidR="00854C44" w:rsidRPr="00854C44" w:rsidRDefault="00854C44" w:rsidP="008F2577">
      <w:pPr>
        <w:autoSpaceDE w:val="0"/>
        <w:autoSpaceDN w:val="0"/>
        <w:adjustRightInd w:val="0"/>
        <w:spacing w:after="0" w:line="240" w:lineRule="auto"/>
        <w:ind w:left="709" w:hanging="709"/>
        <w:rPr>
          <w:rFonts w:cs="Times New Roman"/>
        </w:rPr>
      </w:pPr>
      <w:r>
        <w:rPr>
          <w:rFonts w:cs="Times New Roman"/>
        </w:rPr>
        <w:t xml:space="preserve">Heckman, J., R. Pinto, and P. </w:t>
      </w:r>
      <w:proofErr w:type="spellStart"/>
      <w:r>
        <w:rPr>
          <w:rFonts w:cs="Times New Roman"/>
        </w:rPr>
        <w:t>Savelyev</w:t>
      </w:r>
      <w:proofErr w:type="spellEnd"/>
      <w:r>
        <w:rPr>
          <w:rFonts w:cs="Times New Roman"/>
        </w:rPr>
        <w:t xml:space="preserve"> (2013). Understanding the Mechanisms Through Which an Influential Early Childhood Program Boosted Adult Outcomes. </w:t>
      </w:r>
      <w:r w:rsidRPr="00854C44">
        <w:rPr>
          <w:rFonts w:cs="Times New Roman"/>
          <w:i/>
        </w:rPr>
        <w:t xml:space="preserve">The American Economic </w:t>
      </w:r>
      <w:proofErr w:type="spellStart"/>
      <w:r w:rsidRPr="00854C44">
        <w:rPr>
          <w:rFonts w:cs="Times New Roman"/>
          <w:i/>
        </w:rPr>
        <w:t>Review</w:t>
      </w:r>
      <w:r>
        <w:rPr>
          <w:rFonts w:cs="Times New Roman"/>
          <w:i/>
        </w:rPr>
        <w:t>.</w:t>
      </w:r>
      <w:r>
        <w:rPr>
          <w:rFonts w:cs="Times New Roman"/>
        </w:rPr>
        <w:t>103.6</w:t>
      </w:r>
      <w:proofErr w:type="spellEnd"/>
      <w:r>
        <w:rPr>
          <w:rFonts w:cs="Times New Roman"/>
        </w:rPr>
        <w:t>, 2052-2086.</w:t>
      </w:r>
    </w:p>
    <w:p w:rsidR="007F69F7" w:rsidRPr="00C85B6A" w:rsidRDefault="007F69F7" w:rsidP="008F2577">
      <w:pPr>
        <w:pStyle w:val="ListParagraph"/>
        <w:autoSpaceDE w:val="0"/>
        <w:autoSpaceDN w:val="0"/>
        <w:adjustRightInd w:val="0"/>
        <w:spacing w:after="0" w:line="240" w:lineRule="auto"/>
        <w:ind w:left="709" w:hanging="698"/>
        <w:rPr>
          <w:rFonts w:cstheme="minorHAnsi"/>
        </w:rPr>
      </w:pPr>
      <w:r>
        <w:rPr>
          <w:rFonts w:cstheme="minorHAnsi"/>
        </w:rPr>
        <w:t>Hill, Jordan</w:t>
      </w:r>
      <w:r w:rsidR="004866B8">
        <w:rPr>
          <w:rFonts w:cstheme="minorHAnsi"/>
        </w:rPr>
        <w:t>,</w:t>
      </w:r>
      <w:r>
        <w:rPr>
          <w:rFonts w:cstheme="minorHAnsi"/>
        </w:rPr>
        <w:t xml:space="preserve"> et al. </w:t>
      </w:r>
      <w:r w:rsidR="004866B8">
        <w:rPr>
          <w:rFonts w:cstheme="minorHAnsi"/>
        </w:rPr>
        <w:t xml:space="preserve">(2011) </w:t>
      </w:r>
      <w:r w:rsidRPr="007F69F7">
        <w:t>Changing life trajectories: the early years education research project</w:t>
      </w:r>
      <w:r>
        <w:t xml:space="preserve">. </w:t>
      </w:r>
      <w:r w:rsidRPr="004866B8">
        <w:rPr>
          <w:i/>
        </w:rPr>
        <w:t>Insights</w:t>
      </w:r>
      <w:r>
        <w:t>. 10. Nov</w:t>
      </w:r>
      <w:r w:rsidR="004866B8">
        <w:t>. 19-25.</w:t>
      </w:r>
      <w:r w:rsidR="00573FBA" w:rsidRPr="00573FBA">
        <w:t xml:space="preserve"> </w:t>
      </w:r>
      <w:hyperlink r:id="rId20" w:history="1">
        <w:r w:rsidR="00573FBA" w:rsidRPr="007D5791">
          <w:rPr>
            <w:rStyle w:val="Hyperlink"/>
          </w:rPr>
          <w:t>http://</w:t>
        </w:r>
        <w:proofErr w:type="spellStart"/>
        <w:r w:rsidR="00573FBA" w:rsidRPr="007D5791">
          <w:rPr>
            <w:rStyle w:val="Hyperlink"/>
          </w:rPr>
          <w:t>insights.unimelb.edu.au</w:t>
        </w:r>
        <w:proofErr w:type="spellEnd"/>
        <w:r w:rsidR="00573FBA" w:rsidRPr="007D5791">
          <w:rPr>
            <w:rStyle w:val="Hyperlink"/>
          </w:rPr>
          <w:t>/</w:t>
        </w:r>
        <w:proofErr w:type="spellStart"/>
        <w:r w:rsidR="00573FBA" w:rsidRPr="007D5791">
          <w:rPr>
            <w:rStyle w:val="Hyperlink"/>
          </w:rPr>
          <w:t>vol10</w:t>
        </w:r>
        <w:proofErr w:type="spellEnd"/>
        <w:r w:rsidR="00573FBA" w:rsidRPr="007D5791">
          <w:rPr>
            <w:rStyle w:val="Hyperlink"/>
          </w:rPr>
          <w:t>/</w:t>
        </w:r>
        <w:proofErr w:type="spellStart"/>
        <w:r w:rsidR="00573FBA" w:rsidRPr="007D5791">
          <w:rPr>
            <w:rStyle w:val="Hyperlink"/>
          </w:rPr>
          <w:t>03_Hill_Borland.html</w:t>
        </w:r>
        <w:proofErr w:type="spellEnd"/>
      </w:hyperlink>
      <w:r w:rsidR="00573FBA">
        <w:t xml:space="preserve"> </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proofErr w:type="spellStart"/>
      <w:r w:rsidRPr="00C85B6A">
        <w:rPr>
          <w:rFonts w:cstheme="minorHAnsi"/>
        </w:rPr>
        <w:t>Karoly</w:t>
      </w:r>
      <w:proofErr w:type="spellEnd"/>
      <w:r w:rsidRPr="00C85B6A">
        <w:rPr>
          <w:rFonts w:cstheme="minorHAnsi"/>
        </w:rPr>
        <w:t xml:space="preserve">, L., Kilburn, </w:t>
      </w:r>
      <w:proofErr w:type="spellStart"/>
      <w:r w:rsidRPr="00C85B6A">
        <w:rPr>
          <w:rFonts w:cstheme="minorHAnsi"/>
        </w:rPr>
        <w:t>M.R</w:t>
      </w:r>
      <w:proofErr w:type="spellEnd"/>
      <w:r w:rsidRPr="00C85B6A">
        <w:rPr>
          <w:rFonts w:cstheme="minorHAnsi"/>
        </w:rPr>
        <w:t xml:space="preserve">. &amp; Cannon, </w:t>
      </w:r>
      <w:proofErr w:type="spellStart"/>
      <w:r w:rsidRPr="00C85B6A">
        <w:rPr>
          <w:rFonts w:cstheme="minorHAnsi"/>
        </w:rPr>
        <w:t>J.S</w:t>
      </w:r>
      <w:proofErr w:type="spellEnd"/>
      <w:r w:rsidRPr="00C85B6A">
        <w:rPr>
          <w:rFonts w:cstheme="minorHAnsi"/>
        </w:rPr>
        <w:t xml:space="preserve">. (2005). </w:t>
      </w:r>
      <w:r w:rsidRPr="00C85B6A">
        <w:rPr>
          <w:rFonts w:cstheme="minorHAnsi"/>
          <w:i/>
          <w:iCs/>
        </w:rPr>
        <w:t>Early Childhood Interventions</w:t>
      </w:r>
      <w:r w:rsidRPr="00C85B6A">
        <w:rPr>
          <w:rFonts w:cstheme="minorHAnsi"/>
        </w:rPr>
        <w:t>. Santa Monica,</w:t>
      </w:r>
      <w:r>
        <w:rPr>
          <w:rFonts w:cstheme="minorHAnsi"/>
        </w:rPr>
        <w:t xml:space="preserve"> </w:t>
      </w:r>
      <w:r w:rsidRPr="00873A08">
        <w:rPr>
          <w:rFonts w:cstheme="minorHAnsi"/>
        </w:rPr>
        <w:t>California: Rand.</w:t>
      </w:r>
    </w:p>
    <w:p w:rsidR="005723B5" w:rsidRDefault="00A95542" w:rsidP="005723B5">
      <w:pPr>
        <w:pStyle w:val="ListParagraph"/>
        <w:autoSpaceDE w:val="0"/>
        <w:autoSpaceDN w:val="0"/>
        <w:adjustRightInd w:val="0"/>
        <w:spacing w:after="0" w:line="240" w:lineRule="auto"/>
        <w:ind w:left="709" w:hanging="698"/>
        <w:rPr>
          <w:rFonts w:cstheme="minorHAnsi"/>
        </w:rPr>
      </w:pPr>
      <w:r w:rsidRPr="00C85B6A">
        <w:rPr>
          <w:rFonts w:cstheme="minorHAnsi"/>
        </w:rPr>
        <w:t xml:space="preserve">Moore, T., Fry, R., </w:t>
      </w:r>
      <w:proofErr w:type="spellStart"/>
      <w:r w:rsidRPr="00C85B6A">
        <w:rPr>
          <w:rFonts w:cstheme="minorHAnsi"/>
        </w:rPr>
        <w:t>Lorains</w:t>
      </w:r>
      <w:proofErr w:type="spellEnd"/>
      <w:r w:rsidRPr="00C85B6A">
        <w:rPr>
          <w:rFonts w:cstheme="minorHAnsi"/>
        </w:rPr>
        <w:t xml:space="preserve">, J., Green, J., Hopkins, L. (2012). </w:t>
      </w:r>
      <w:r w:rsidRPr="00C85B6A">
        <w:rPr>
          <w:rFonts w:cstheme="minorHAnsi"/>
          <w:i/>
          <w:iCs/>
        </w:rPr>
        <w:t>Review of the evidence base in</w:t>
      </w:r>
      <w:r>
        <w:rPr>
          <w:rFonts w:cstheme="minorHAnsi"/>
          <w:i/>
          <w:iCs/>
        </w:rPr>
        <w:t xml:space="preserve"> </w:t>
      </w:r>
      <w:r w:rsidRPr="00873A08">
        <w:rPr>
          <w:rFonts w:cstheme="minorHAnsi"/>
          <w:i/>
          <w:iCs/>
        </w:rPr>
        <w:t>relation to early childhood approaches to support children in highly disadvantaged communities</w:t>
      </w:r>
      <w:r>
        <w:rPr>
          <w:rFonts w:cstheme="minorHAnsi"/>
          <w:i/>
          <w:iCs/>
        </w:rPr>
        <w:t xml:space="preserve"> </w:t>
      </w:r>
      <w:r w:rsidRPr="00873A08">
        <w:rPr>
          <w:rFonts w:cstheme="minorHAnsi"/>
          <w:i/>
          <w:iCs/>
        </w:rPr>
        <w:t xml:space="preserve">for the Children’s Ground Project. </w:t>
      </w:r>
      <w:r w:rsidRPr="00873A08">
        <w:rPr>
          <w:rFonts w:cstheme="minorHAnsi"/>
        </w:rPr>
        <w:t>Report prepared for the Department of Education, Employment</w:t>
      </w:r>
      <w:r>
        <w:rPr>
          <w:rFonts w:cstheme="minorHAnsi"/>
        </w:rPr>
        <w:t xml:space="preserve"> </w:t>
      </w:r>
      <w:r w:rsidRPr="00873A08">
        <w:rPr>
          <w:rFonts w:cstheme="minorHAnsi"/>
        </w:rPr>
        <w:t xml:space="preserve">and Workforce Relations, </w:t>
      </w:r>
      <w:proofErr w:type="spellStart"/>
      <w:r w:rsidRPr="00873A08">
        <w:rPr>
          <w:rFonts w:cstheme="minorHAnsi"/>
        </w:rPr>
        <w:t>CCH</w:t>
      </w:r>
      <w:proofErr w:type="spellEnd"/>
      <w:r w:rsidRPr="00873A08">
        <w:rPr>
          <w:rFonts w:cstheme="minorHAnsi"/>
        </w:rPr>
        <w:t xml:space="preserve">, </w:t>
      </w:r>
      <w:proofErr w:type="spellStart"/>
      <w:r w:rsidRPr="00873A08">
        <w:rPr>
          <w:rFonts w:cstheme="minorHAnsi"/>
        </w:rPr>
        <w:t>MCRI</w:t>
      </w:r>
      <w:proofErr w:type="spellEnd"/>
      <w:r w:rsidRPr="00873A08">
        <w:rPr>
          <w:rFonts w:cstheme="minorHAnsi"/>
        </w:rPr>
        <w:t>, RCH. Melbourne.</w:t>
      </w:r>
    </w:p>
    <w:p w:rsidR="005723B5" w:rsidRPr="005723B5" w:rsidRDefault="005723B5" w:rsidP="005723B5">
      <w:pPr>
        <w:pStyle w:val="ListParagraph"/>
        <w:autoSpaceDE w:val="0"/>
        <w:autoSpaceDN w:val="0"/>
        <w:adjustRightInd w:val="0"/>
        <w:spacing w:after="0" w:line="240" w:lineRule="auto"/>
        <w:ind w:left="709" w:hanging="698"/>
        <w:rPr>
          <w:rFonts w:cstheme="minorHAnsi"/>
        </w:rPr>
      </w:pPr>
      <w:r>
        <w:rPr>
          <w:rFonts w:cstheme="minorHAnsi"/>
        </w:rPr>
        <w:t xml:space="preserve">Moore, </w:t>
      </w:r>
      <w:proofErr w:type="spellStart"/>
      <w:r>
        <w:rPr>
          <w:rFonts w:cstheme="minorHAnsi"/>
        </w:rPr>
        <w:t>T.G</w:t>
      </w:r>
      <w:proofErr w:type="spellEnd"/>
      <w:r>
        <w:rPr>
          <w:rFonts w:cstheme="minorHAnsi"/>
        </w:rPr>
        <w:t xml:space="preserve">. and McDonald, M. (2013). </w:t>
      </w:r>
      <w:r w:rsidRPr="001628F4">
        <w:rPr>
          <w:rFonts w:cstheme="minorHAnsi"/>
          <w:i/>
        </w:rPr>
        <w:t>Acting Early, Changing Lives: How prevention and early action saves money and improves wellbeing</w:t>
      </w:r>
      <w:r w:rsidR="001628F4">
        <w:rPr>
          <w:rFonts w:cstheme="minorHAnsi"/>
        </w:rPr>
        <w:t>. Prepared for</w:t>
      </w:r>
      <w:r>
        <w:rPr>
          <w:rFonts w:cstheme="minorHAnsi"/>
        </w:rPr>
        <w:t xml:space="preserve"> the Benevolent Society. </w:t>
      </w:r>
      <w:r w:rsidR="001628F4">
        <w:rPr>
          <w:rFonts w:cstheme="minorHAnsi"/>
        </w:rPr>
        <w:t>Parkville, Victoria: Centre for Community Child Health at the Murdoch Children’s Research Institute and The Royal Children’s Hospital.</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National Research Council and Institute of Medicine. (2000). </w:t>
      </w:r>
      <w:r w:rsidRPr="00C85B6A">
        <w:rPr>
          <w:rFonts w:cstheme="minorHAnsi"/>
          <w:i/>
          <w:iCs/>
        </w:rPr>
        <w:t xml:space="preserve">From Neurons to </w:t>
      </w:r>
      <w:proofErr w:type="spellStart"/>
      <w:r w:rsidRPr="00C85B6A">
        <w:rPr>
          <w:rFonts w:cstheme="minorHAnsi"/>
          <w:i/>
          <w:iCs/>
        </w:rPr>
        <w:t>Neighborhoods</w:t>
      </w:r>
      <w:proofErr w:type="spellEnd"/>
      <w:r w:rsidRPr="00C85B6A">
        <w:rPr>
          <w:rFonts w:cstheme="minorHAnsi"/>
          <w:i/>
          <w:iCs/>
        </w:rPr>
        <w:t>:</w:t>
      </w:r>
      <w:r>
        <w:rPr>
          <w:rFonts w:cstheme="minorHAnsi"/>
          <w:i/>
          <w:iCs/>
        </w:rPr>
        <w:t xml:space="preserve"> </w:t>
      </w:r>
      <w:r w:rsidRPr="00873A08">
        <w:rPr>
          <w:rFonts w:cstheme="minorHAnsi"/>
          <w:i/>
          <w:iCs/>
        </w:rPr>
        <w:t xml:space="preserve">The Science of Early Childhood Development. </w:t>
      </w:r>
      <w:r w:rsidRPr="00873A08">
        <w:rPr>
          <w:rFonts w:cstheme="minorHAnsi"/>
        </w:rPr>
        <w:t xml:space="preserve">Jack P. </w:t>
      </w:r>
      <w:proofErr w:type="spellStart"/>
      <w:r w:rsidRPr="00873A08">
        <w:rPr>
          <w:rFonts w:cstheme="minorHAnsi"/>
        </w:rPr>
        <w:t>Shonkoff</w:t>
      </w:r>
      <w:proofErr w:type="spellEnd"/>
      <w:r w:rsidRPr="00873A08">
        <w:rPr>
          <w:rFonts w:cstheme="minorHAnsi"/>
        </w:rPr>
        <w:t xml:space="preserve"> and Deborah A. Phillips, eds.</w:t>
      </w:r>
      <w:r>
        <w:rPr>
          <w:rFonts w:cstheme="minorHAnsi"/>
        </w:rPr>
        <w:t xml:space="preserve"> </w:t>
      </w:r>
      <w:r w:rsidRPr="00873A08">
        <w:rPr>
          <w:rFonts w:cstheme="minorHAnsi"/>
        </w:rPr>
        <w:t xml:space="preserve">Board on Children, Youth, and Families, Commission on </w:t>
      </w:r>
      <w:proofErr w:type="spellStart"/>
      <w:r w:rsidRPr="00873A08">
        <w:rPr>
          <w:rFonts w:cstheme="minorHAnsi"/>
        </w:rPr>
        <w:t>Behavioral</w:t>
      </w:r>
      <w:proofErr w:type="spellEnd"/>
      <w:r w:rsidRPr="00873A08">
        <w:rPr>
          <w:rFonts w:cstheme="minorHAnsi"/>
        </w:rPr>
        <w:t xml:space="preserve"> and Social Sciences and</w:t>
      </w:r>
      <w:r w:rsidR="009E3651">
        <w:rPr>
          <w:rFonts w:cstheme="minorHAnsi"/>
        </w:rPr>
        <w:t xml:space="preserve"> </w:t>
      </w:r>
      <w:r w:rsidRPr="00873A08">
        <w:rPr>
          <w:rFonts w:cstheme="minorHAnsi"/>
        </w:rPr>
        <w:t>Education. Washington.</w:t>
      </w:r>
    </w:p>
    <w:p w:rsidR="008C279E" w:rsidRDefault="008C279E" w:rsidP="008F2577">
      <w:pPr>
        <w:pStyle w:val="ListParagraph"/>
        <w:autoSpaceDE w:val="0"/>
        <w:autoSpaceDN w:val="0"/>
        <w:adjustRightInd w:val="0"/>
        <w:spacing w:after="0" w:line="240" w:lineRule="auto"/>
        <w:ind w:left="709" w:hanging="698"/>
        <w:rPr>
          <w:rFonts w:cs="Meta Normal"/>
          <w:color w:val="000000"/>
        </w:rPr>
      </w:pPr>
      <w:proofErr w:type="spellStart"/>
      <w:r>
        <w:rPr>
          <w:rFonts w:cs="Meta Normal"/>
          <w:color w:val="000000"/>
        </w:rPr>
        <w:t>NSCDC</w:t>
      </w:r>
      <w:proofErr w:type="spellEnd"/>
      <w:r>
        <w:rPr>
          <w:rFonts w:cs="Meta Normal"/>
          <w:color w:val="000000"/>
        </w:rPr>
        <w:t xml:space="preserve"> (</w:t>
      </w:r>
      <w:r w:rsidR="001635DE" w:rsidRPr="001635DE">
        <w:rPr>
          <w:rFonts w:cs="Meta Normal"/>
          <w:color w:val="000000"/>
        </w:rPr>
        <w:t>National Scientific Council on the Developing Child</w:t>
      </w:r>
      <w:r>
        <w:rPr>
          <w:rFonts w:cs="Meta Normal"/>
          <w:color w:val="000000"/>
        </w:rPr>
        <w:t xml:space="preserve">) (2007). The Science of Early Childhood Development: Closing the Gap between What We Know and What We Do. Cambridge: </w:t>
      </w:r>
      <w:hyperlink r:id="rId21" w:history="1">
        <w:r w:rsidRPr="007D5791">
          <w:rPr>
            <w:rStyle w:val="Hyperlink"/>
            <w:rFonts w:cs="Meta Normal"/>
          </w:rPr>
          <w:t>http://</w:t>
        </w:r>
        <w:proofErr w:type="spellStart"/>
        <w:r w:rsidRPr="007D5791">
          <w:rPr>
            <w:rStyle w:val="Hyperlink"/>
            <w:rFonts w:cs="Meta Normal"/>
          </w:rPr>
          <w:t>www.developingchild.harvard.edu</w:t>
        </w:r>
        <w:proofErr w:type="spellEnd"/>
      </w:hyperlink>
      <w:r>
        <w:rPr>
          <w:rFonts w:cs="Meta Normal"/>
          <w:color w:val="000000"/>
        </w:rPr>
        <w:t>.</w:t>
      </w:r>
    </w:p>
    <w:p w:rsidR="001635DE" w:rsidRPr="001635DE" w:rsidRDefault="008C279E" w:rsidP="008F2577">
      <w:pPr>
        <w:pStyle w:val="ListParagraph"/>
        <w:autoSpaceDE w:val="0"/>
        <w:autoSpaceDN w:val="0"/>
        <w:adjustRightInd w:val="0"/>
        <w:spacing w:after="0" w:line="240" w:lineRule="auto"/>
        <w:ind w:left="709" w:hanging="698"/>
        <w:rPr>
          <w:rFonts w:cstheme="minorHAnsi"/>
          <w:i/>
          <w:iCs/>
        </w:rPr>
      </w:pPr>
      <w:r>
        <w:rPr>
          <w:rFonts w:cs="Meta Normal"/>
          <w:color w:val="000000"/>
        </w:rPr>
        <w:t>---</w:t>
      </w:r>
      <w:r w:rsidR="001635DE" w:rsidRPr="001635DE">
        <w:rPr>
          <w:rFonts w:cs="Meta Normal"/>
          <w:color w:val="000000"/>
        </w:rPr>
        <w:t xml:space="preserve">. (2012). </w:t>
      </w:r>
      <w:r w:rsidR="001635DE" w:rsidRPr="001635DE">
        <w:rPr>
          <w:rFonts w:cs="Meta Normal"/>
          <w:i/>
          <w:iCs/>
          <w:color w:val="000000"/>
        </w:rPr>
        <w:t>The Science of Neglect: The Persistent Absence of Responsive Care Disrupts the Developing Brain: Working Paper 12</w:t>
      </w:r>
      <w:r w:rsidR="001635DE" w:rsidRPr="001635DE">
        <w:rPr>
          <w:rFonts w:cs="Meta Normal"/>
          <w:color w:val="000000"/>
        </w:rPr>
        <w:t xml:space="preserve">. </w:t>
      </w:r>
      <w:r w:rsidR="001635DE">
        <w:rPr>
          <w:rFonts w:cs="Meta Normal"/>
          <w:color w:val="000000"/>
        </w:rPr>
        <w:t xml:space="preserve">Cambridge: </w:t>
      </w:r>
      <w:hyperlink r:id="rId22" w:history="1">
        <w:r w:rsidRPr="007D5791">
          <w:rPr>
            <w:rStyle w:val="Hyperlink"/>
            <w:rFonts w:cs="Meta Normal"/>
          </w:rPr>
          <w:t>http://</w:t>
        </w:r>
        <w:proofErr w:type="spellStart"/>
        <w:r w:rsidRPr="007D5791">
          <w:rPr>
            <w:rStyle w:val="Hyperlink"/>
            <w:rFonts w:cs="Meta Normal"/>
          </w:rPr>
          <w:t>www.developingchild.harvard.edu</w:t>
        </w:r>
        <w:proofErr w:type="spellEnd"/>
      </w:hyperlink>
      <w:r>
        <w:rPr>
          <w:rFonts w:cs="Meta Normal"/>
          <w:color w:val="000000"/>
        </w:rPr>
        <w:t>.</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Nolte, T., Guiney, J., </w:t>
      </w:r>
      <w:proofErr w:type="spellStart"/>
      <w:r w:rsidRPr="00C85B6A">
        <w:rPr>
          <w:rFonts w:cstheme="minorHAnsi"/>
        </w:rPr>
        <w:t>Fonagy</w:t>
      </w:r>
      <w:proofErr w:type="spellEnd"/>
      <w:r w:rsidRPr="00C85B6A">
        <w:rPr>
          <w:rFonts w:cstheme="minorHAnsi"/>
        </w:rPr>
        <w:t xml:space="preserve">, P., Mayes L., and </w:t>
      </w:r>
      <w:proofErr w:type="spellStart"/>
      <w:r w:rsidRPr="00C85B6A">
        <w:rPr>
          <w:rFonts w:cstheme="minorHAnsi"/>
        </w:rPr>
        <w:t>Luyten</w:t>
      </w:r>
      <w:proofErr w:type="spellEnd"/>
      <w:r w:rsidRPr="00C85B6A">
        <w:rPr>
          <w:rFonts w:cstheme="minorHAnsi"/>
        </w:rPr>
        <w:t xml:space="preserve"> </w:t>
      </w:r>
      <w:r>
        <w:rPr>
          <w:rFonts w:cstheme="minorHAnsi"/>
        </w:rPr>
        <w:t xml:space="preserve">P. (2011). Interpersonal stress </w:t>
      </w:r>
      <w:r w:rsidRPr="00C85B6A">
        <w:rPr>
          <w:rFonts w:cstheme="minorHAnsi"/>
        </w:rPr>
        <w:t>regulation</w:t>
      </w:r>
      <w:r>
        <w:rPr>
          <w:rFonts w:cstheme="minorHAnsi"/>
        </w:rPr>
        <w:t xml:space="preserve"> </w:t>
      </w:r>
      <w:r w:rsidRPr="00873A08">
        <w:rPr>
          <w:rFonts w:cstheme="minorHAnsi"/>
        </w:rPr>
        <w:t xml:space="preserve">and the development of anxiety disorders: an attachment-based developmental. </w:t>
      </w:r>
      <w:r w:rsidRPr="00873A08">
        <w:rPr>
          <w:rFonts w:cstheme="minorHAnsi"/>
          <w:i/>
          <w:iCs/>
        </w:rPr>
        <w:t>Framework</w:t>
      </w:r>
      <w:r>
        <w:rPr>
          <w:rFonts w:cstheme="minorHAnsi"/>
          <w:i/>
          <w:iCs/>
        </w:rPr>
        <w:t xml:space="preserve"> </w:t>
      </w:r>
      <w:r w:rsidR="0083565C">
        <w:rPr>
          <w:rFonts w:cstheme="minorHAnsi"/>
          <w:i/>
          <w:iCs/>
        </w:rPr>
        <w:t>F</w:t>
      </w:r>
      <w:r w:rsidRPr="00873A08">
        <w:rPr>
          <w:rFonts w:cstheme="minorHAnsi"/>
          <w:i/>
          <w:iCs/>
        </w:rPr>
        <w:t xml:space="preserve">rontiers in Behavioural Neuroscience. </w:t>
      </w:r>
      <w:r w:rsidRPr="00873A08">
        <w:rPr>
          <w:rFonts w:cstheme="minorHAnsi"/>
        </w:rPr>
        <w:t>5, 1-21.</w:t>
      </w:r>
    </w:p>
    <w:p w:rsidR="00A95542" w:rsidRPr="00873A08"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Perry, B. (2002). Childhood Experience and the Expression of Genetic Potential: What</w:t>
      </w:r>
      <w:r>
        <w:rPr>
          <w:rFonts w:cstheme="minorHAnsi"/>
        </w:rPr>
        <w:t xml:space="preserve"> </w:t>
      </w:r>
      <w:r w:rsidRPr="00873A08">
        <w:rPr>
          <w:rFonts w:cstheme="minorHAnsi"/>
        </w:rPr>
        <w:t xml:space="preserve">Childhood Neglect Tells Us About Nature and Nurture. </w:t>
      </w:r>
      <w:r w:rsidRPr="00873A08">
        <w:rPr>
          <w:rFonts w:cstheme="minorHAnsi"/>
          <w:i/>
          <w:iCs/>
        </w:rPr>
        <w:t xml:space="preserve">Brain and Mind. </w:t>
      </w:r>
      <w:r w:rsidRPr="00873A08">
        <w:rPr>
          <w:rFonts w:cstheme="minorHAnsi"/>
        </w:rPr>
        <w:t>3, 79-100.</w:t>
      </w:r>
    </w:p>
    <w:p w:rsidR="00A95542"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 xml:space="preserve">Price-Robertson, R., Bromfield, L. &amp; </w:t>
      </w:r>
      <w:proofErr w:type="spellStart"/>
      <w:r w:rsidRPr="00C85B6A">
        <w:rPr>
          <w:rFonts w:cstheme="minorHAnsi"/>
        </w:rPr>
        <w:t>Vassallo</w:t>
      </w:r>
      <w:proofErr w:type="spellEnd"/>
      <w:r w:rsidRPr="00C85B6A">
        <w:rPr>
          <w:rFonts w:cstheme="minorHAnsi"/>
        </w:rPr>
        <w:t xml:space="preserve">, S. (2010). </w:t>
      </w:r>
      <w:r w:rsidRPr="00C85B6A">
        <w:rPr>
          <w:rFonts w:cstheme="minorHAnsi"/>
          <w:i/>
          <w:iCs/>
        </w:rPr>
        <w:t>The Prevalence of Child Abuse and</w:t>
      </w:r>
      <w:r>
        <w:rPr>
          <w:rFonts w:cstheme="minorHAnsi"/>
          <w:i/>
          <w:iCs/>
        </w:rPr>
        <w:t xml:space="preserve"> </w:t>
      </w:r>
      <w:r w:rsidRPr="00873A08">
        <w:rPr>
          <w:rFonts w:cstheme="minorHAnsi"/>
          <w:i/>
          <w:iCs/>
        </w:rPr>
        <w:t>Neglect</w:t>
      </w:r>
      <w:r w:rsidRPr="00873A08">
        <w:rPr>
          <w:rFonts w:cstheme="minorHAnsi"/>
        </w:rPr>
        <w:t>. Melbourne: Australian Institute of Family Studies.</w:t>
      </w:r>
    </w:p>
    <w:p w:rsidR="001628F4" w:rsidRPr="00873A08" w:rsidRDefault="001628F4" w:rsidP="008F2577">
      <w:pPr>
        <w:pStyle w:val="ListParagraph"/>
        <w:autoSpaceDE w:val="0"/>
        <w:autoSpaceDN w:val="0"/>
        <w:adjustRightInd w:val="0"/>
        <w:spacing w:after="0" w:line="240" w:lineRule="auto"/>
        <w:ind w:left="709" w:hanging="698"/>
        <w:rPr>
          <w:rFonts w:cstheme="minorHAnsi"/>
          <w:i/>
          <w:iCs/>
        </w:rPr>
      </w:pPr>
      <w:r>
        <w:rPr>
          <w:rFonts w:cstheme="minorHAnsi"/>
        </w:rPr>
        <w:t>Productivity Commission (July, 2014).</w:t>
      </w:r>
      <w:r w:rsidR="000157D4">
        <w:rPr>
          <w:rFonts w:cstheme="minorHAnsi"/>
        </w:rPr>
        <w:t xml:space="preserve"> </w:t>
      </w:r>
      <w:r w:rsidR="000157D4" w:rsidRPr="000157D4">
        <w:rPr>
          <w:rFonts w:cstheme="minorHAnsi"/>
          <w:i/>
        </w:rPr>
        <w:t xml:space="preserve">Childcare and Early Childhood </w:t>
      </w:r>
      <w:r w:rsidR="000157D4">
        <w:rPr>
          <w:rFonts w:cstheme="minorHAnsi"/>
          <w:i/>
        </w:rPr>
        <w:t xml:space="preserve">Learning. </w:t>
      </w:r>
      <w:r w:rsidR="000157D4" w:rsidRPr="000157D4">
        <w:rPr>
          <w:rFonts w:cstheme="minorHAnsi"/>
        </w:rPr>
        <w:t>Draft Report</w:t>
      </w:r>
      <w:r w:rsidR="000157D4">
        <w:rPr>
          <w:rFonts w:cstheme="minorHAnsi"/>
        </w:rPr>
        <w:t>: Canberra.</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proofErr w:type="spellStart"/>
      <w:r w:rsidRPr="00C85B6A">
        <w:rPr>
          <w:rFonts w:cstheme="minorHAnsi"/>
        </w:rPr>
        <w:t>Sabates</w:t>
      </w:r>
      <w:proofErr w:type="spellEnd"/>
      <w:r w:rsidRPr="00C85B6A">
        <w:rPr>
          <w:rFonts w:cstheme="minorHAnsi"/>
        </w:rPr>
        <w:t xml:space="preserve">, R. &amp; </w:t>
      </w:r>
      <w:proofErr w:type="spellStart"/>
      <w:r w:rsidRPr="00C85B6A">
        <w:rPr>
          <w:rFonts w:cstheme="minorHAnsi"/>
        </w:rPr>
        <w:t>Dex</w:t>
      </w:r>
      <w:proofErr w:type="spellEnd"/>
      <w:r w:rsidRPr="00C85B6A">
        <w:rPr>
          <w:rFonts w:cstheme="minorHAnsi"/>
        </w:rPr>
        <w:t xml:space="preserve">, S. (2012). </w:t>
      </w:r>
      <w:r w:rsidRPr="00C85B6A">
        <w:rPr>
          <w:rFonts w:cstheme="minorHAnsi"/>
          <w:i/>
          <w:iCs/>
        </w:rPr>
        <w:t xml:space="preserve">Multiple risk factors in young children’s development </w:t>
      </w:r>
      <w:r>
        <w:rPr>
          <w:rFonts w:cstheme="minorHAnsi"/>
          <w:i/>
          <w:iCs/>
        </w:rPr>
        <w:t>–</w:t>
      </w:r>
      <w:r w:rsidRPr="00C85B6A">
        <w:rPr>
          <w:rFonts w:cstheme="minorHAnsi"/>
          <w:i/>
          <w:iCs/>
        </w:rPr>
        <w:t xml:space="preserve"> </w:t>
      </w:r>
      <w:proofErr w:type="spellStart"/>
      <w:r w:rsidRPr="00C85B6A">
        <w:rPr>
          <w:rFonts w:cstheme="minorHAnsi"/>
          <w:i/>
          <w:iCs/>
        </w:rPr>
        <w:t>CLS</w:t>
      </w:r>
      <w:proofErr w:type="spellEnd"/>
      <w:r>
        <w:rPr>
          <w:rFonts w:cstheme="minorHAnsi"/>
          <w:i/>
          <w:iCs/>
        </w:rPr>
        <w:t xml:space="preserve"> </w:t>
      </w:r>
      <w:r w:rsidRPr="00873A08">
        <w:rPr>
          <w:rFonts w:cstheme="minorHAnsi"/>
          <w:i/>
          <w:iCs/>
        </w:rPr>
        <w:t xml:space="preserve">Cohort Studies. </w:t>
      </w:r>
      <w:r w:rsidRPr="00873A08">
        <w:rPr>
          <w:rFonts w:cstheme="minorHAnsi"/>
        </w:rPr>
        <w:t>Centre for Longitudinal Studies. Working paper 2012/1. Institute of Education,</w:t>
      </w:r>
      <w:r>
        <w:rPr>
          <w:rFonts w:cstheme="minorHAnsi"/>
        </w:rPr>
        <w:t xml:space="preserve"> </w:t>
      </w:r>
      <w:r w:rsidRPr="00873A08">
        <w:rPr>
          <w:rFonts w:cstheme="minorHAnsi"/>
        </w:rPr>
        <w:t>University of London.</w:t>
      </w:r>
    </w:p>
    <w:p w:rsidR="00A95542" w:rsidRPr="00873A08" w:rsidRDefault="00A95542" w:rsidP="008F2577">
      <w:pPr>
        <w:pStyle w:val="ListParagraph"/>
        <w:autoSpaceDE w:val="0"/>
        <w:autoSpaceDN w:val="0"/>
        <w:adjustRightInd w:val="0"/>
        <w:spacing w:after="0" w:line="240" w:lineRule="auto"/>
        <w:ind w:left="709" w:hanging="698"/>
        <w:rPr>
          <w:rFonts w:cstheme="minorHAnsi"/>
          <w:i/>
          <w:iCs/>
        </w:rPr>
      </w:pPr>
      <w:proofErr w:type="spellStart"/>
      <w:r w:rsidRPr="00C85B6A">
        <w:rPr>
          <w:rFonts w:cstheme="minorHAnsi"/>
        </w:rPr>
        <w:t>Schweinhart</w:t>
      </w:r>
      <w:proofErr w:type="spellEnd"/>
      <w:r w:rsidRPr="00C85B6A">
        <w:rPr>
          <w:rFonts w:cstheme="minorHAnsi"/>
        </w:rPr>
        <w:t xml:space="preserve">, L. J., Barnes, H. V. &amp; </w:t>
      </w:r>
      <w:proofErr w:type="spellStart"/>
      <w:r w:rsidRPr="00C85B6A">
        <w:rPr>
          <w:rFonts w:cstheme="minorHAnsi"/>
        </w:rPr>
        <w:t>Weikart</w:t>
      </w:r>
      <w:proofErr w:type="spellEnd"/>
      <w:r w:rsidRPr="00C85B6A">
        <w:rPr>
          <w:rFonts w:cstheme="minorHAnsi"/>
        </w:rPr>
        <w:t xml:space="preserve">, D. P. (2005). </w:t>
      </w:r>
      <w:r w:rsidRPr="00C85B6A">
        <w:rPr>
          <w:rFonts w:cstheme="minorHAnsi"/>
          <w:i/>
          <w:iCs/>
        </w:rPr>
        <w:t>Lifetime Effects: The High/Scope</w:t>
      </w:r>
      <w:r w:rsidR="00EE5671">
        <w:rPr>
          <w:rFonts w:cstheme="minorHAnsi"/>
          <w:i/>
          <w:iCs/>
        </w:rPr>
        <w:t xml:space="preserve"> </w:t>
      </w:r>
      <w:r w:rsidRPr="00873A08">
        <w:rPr>
          <w:rFonts w:cstheme="minorHAnsi"/>
          <w:i/>
          <w:iCs/>
        </w:rPr>
        <w:t xml:space="preserve">Perry Preschool Study Through Age 40. </w:t>
      </w:r>
      <w:r w:rsidRPr="00873A08">
        <w:rPr>
          <w:rFonts w:cstheme="minorHAnsi"/>
        </w:rPr>
        <w:t>Ypsilanti, MI: High Scope Press.</w:t>
      </w:r>
    </w:p>
    <w:p w:rsidR="00A95542" w:rsidRPr="00EA4C23" w:rsidRDefault="00A95542" w:rsidP="008F2577">
      <w:pPr>
        <w:pStyle w:val="ListParagraph"/>
        <w:autoSpaceDE w:val="0"/>
        <w:autoSpaceDN w:val="0"/>
        <w:adjustRightInd w:val="0"/>
        <w:spacing w:after="0" w:line="240" w:lineRule="auto"/>
        <w:ind w:left="709" w:hanging="698"/>
        <w:rPr>
          <w:rFonts w:cstheme="minorHAnsi"/>
        </w:rPr>
      </w:pPr>
      <w:r w:rsidRPr="00C85B6A">
        <w:rPr>
          <w:rFonts w:cstheme="minorHAnsi"/>
        </w:rPr>
        <w:t>Siegel, D. (2001). Toward an interpersonal neurobiology of the developing mind: Attachment</w:t>
      </w:r>
      <w:r w:rsidR="00EE5671">
        <w:rPr>
          <w:rFonts w:cstheme="minorHAnsi"/>
        </w:rPr>
        <w:t xml:space="preserve"> </w:t>
      </w:r>
      <w:r w:rsidRPr="00873A08">
        <w:rPr>
          <w:rFonts w:cstheme="minorHAnsi"/>
        </w:rPr>
        <w:t>relationships, mind</w:t>
      </w:r>
      <w:r w:rsidR="00EE5671">
        <w:rPr>
          <w:rFonts w:cstheme="minorHAnsi"/>
        </w:rPr>
        <w:t xml:space="preserve"> </w:t>
      </w:r>
      <w:r w:rsidRPr="00873A08">
        <w:rPr>
          <w:rFonts w:cstheme="minorHAnsi"/>
        </w:rPr>
        <w:t xml:space="preserve">sight and neural integration. </w:t>
      </w:r>
      <w:r w:rsidRPr="00873A08">
        <w:rPr>
          <w:rFonts w:cstheme="minorHAnsi"/>
          <w:i/>
          <w:iCs/>
        </w:rPr>
        <w:t>Infant Mental Health Journal</w:t>
      </w:r>
      <w:r w:rsidRPr="00873A08">
        <w:rPr>
          <w:rFonts w:cstheme="minorHAnsi"/>
        </w:rPr>
        <w:t>. 22(1-2), 67-94.</w:t>
      </w:r>
    </w:p>
    <w:p w:rsidR="00A95542" w:rsidRDefault="00A95542" w:rsidP="008F2577">
      <w:pPr>
        <w:pStyle w:val="ListParagraph"/>
        <w:autoSpaceDE w:val="0"/>
        <w:autoSpaceDN w:val="0"/>
        <w:adjustRightInd w:val="0"/>
        <w:spacing w:after="0" w:line="240" w:lineRule="auto"/>
        <w:ind w:left="709" w:hanging="698"/>
        <w:rPr>
          <w:rFonts w:cstheme="minorHAnsi"/>
        </w:rPr>
      </w:pPr>
      <w:proofErr w:type="spellStart"/>
      <w:r w:rsidRPr="00C85B6A">
        <w:rPr>
          <w:rFonts w:cstheme="minorHAnsi"/>
        </w:rPr>
        <w:t>Shonkoff</w:t>
      </w:r>
      <w:proofErr w:type="spellEnd"/>
      <w:r w:rsidRPr="00C85B6A">
        <w:rPr>
          <w:rFonts w:cstheme="minorHAnsi"/>
        </w:rPr>
        <w:t>, J. (</w:t>
      </w:r>
      <w:proofErr w:type="spellStart"/>
      <w:r w:rsidRPr="00C85B6A">
        <w:rPr>
          <w:rFonts w:cstheme="minorHAnsi"/>
        </w:rPr>
        <w:t>2011</w:t>
      </w:r>
      <w:r w:rsidR="000B11FF">
        <w:rPr>
          <w:rFonts w:cstheme="minorHAnsi"/>
        </w:rPr>
        <w:t>a</w:t>
      </w:r>
      <w:proofErr w:type="spellEnd"/>
      <w:r w:rsidRPr="00C85B6A">
        <w:rPr>
          <w:rFonts w:cstheme="minorHAnsi"/>
        </w:rPr>
        <w:t xml:space="preserve">). Protecting brains, not simply stimulating minds. </w:t>
      </w:r>
      <w:r w:rsidRPr="00C85B6A">
        <w:rPr>
          <w:rFonts w:cstheme="minorHAnsi"/>
          <w:i/>
          <w:iCs/>
        </w:rPr>
        <w:t>Science</w:t>
      </w:r>
      <w:r w:rsidRPr="00C85B6A">
        <w:rPr>
          <w:rFonts w:cstheme="minorHAnsi"/>
        </w:rPr>
        <w:t>. 333, 982-83.</w:t>
      </w:r>
      <w:r w:rsidR="00134935" w:rsidRPr="00134935">
        <w:t xml:space="preserve"> </w:t>
      </w:r>
      <w:hyperlink r:id="rId23" w:history="1">
        <w:r w:rsidR="00134935" w:rsidRPr="007D5791">
          <w:rPr>
            <w:rStyle w:val="Hyperlink"/>
            <w:rFonts w:cstheme="minorHAnsi"/>
          </w:rPr>
          <w:t>http://</w:t>
        </w:r>
        <w:proofErr w:type="spellStart"/>
        <w:r w:rsidR="00134935" w:rsidRPr="007D5791">
          <w:rPr>
            <w:rStyle w:val="Hyperlink"/>
            <w:rFonts w:cstheme="minorHAnsi"/>
          </w:rPr>
          <w:t>www.sciencemag.org</w:t>
        </w:r>
        <w:proofErr w:type="spellEnd"/>
        <w:r w:rsidR="00134935" w:rsidRPr="007D5791">
          <w:rPr>
            <w:rStyle w:val="Hyperlink"/>
            <w:rFonts w:cstheme="minorHAnsi"/>
          </w:rPr>
          <w:t>/content/333/6045/</w:t>
        </w:r>
        <w:proofErr w:type="spellStart"/>
        <w:r w:rsidR="00134935" w:rsidRPr="007D5791">
          <w:rPr>
            <w:rStyle w:val="Hyperlink"/>
            <w:rFonts w:cstheme="minorHAnsi"/>
          </w:rPr>
          <w:t>982.abstract</w:t>
        </w:r>
        <w:proofErr w:type="spellEnd"/>
      </w:hyperlink>
    </w:p>
    <w:p w:rsidR="000B11FF" w:rsidRPr="00C85B6A" w:rsidRDefault="000B11FF" w:rsidP="008F2577">
      <w:pPr>
        <w:pStyle w:val="ListParagraph"/>
        <w:autoSpaceDE w:val="0"/>
        <w:autoSpaceDN w:val="0"/>
        <w:adjustRightInd w:val="0"/>
        <w:spacing w:after="0" w:line="240" w:lineRule="auto"/>
        <w:ind w:left="709" w:hanging="698"/>
        <w:rPr>
          <w:rFonts w:cstheme="minorHAnsi"/>
        </w:rPr>
      </w:pPr>
      <w:r>
        <w:rPr>
          <w:rFonts w:cstheme="minorHAnsi"/>
        </w:rPr>
        <w:lastRenderedPageBreak/>
        <w:t>---. (</w:t>
      </w:r>
      <w:proofErr w:type="spellStart"/>
      <w:r>
        <w:rPr>
          <w:rFonts w:cstheme="minorHAnsi"/>
        </w:rPr>
        <w:t>2011b</w:t>
      </w:r>
      <w:proofErr w:type="spellEnd"/>
      <w:r>
        <w:rPr>
          <w:rFonts w:cstheme="minorHAnsi"/>
        </w:rPr>
        <w:t>). Building a Foundation for Prosperity on the Science of Early Childhood Development.</w:t>
      </w:r>
      <w:r>
        <w:t xml:space="preserve"> </w:t>
      </w:r>
      <w:r w:rsidRPr="000B11FF">
        <w:rPr>
          <w:i/>
        </w:rPr>
        <w:t>Pathways</w:t>
      </w:r>
      <w:r>
        <w:t xml:space="preserve">. Winter 2011, 11-15. </w:t>
      </w:r>
      <w:hyperlink r:id="rId24" w:history="1">
        <w:r w:rsidRPr="007D5791">
          <w:rPr>
            <w:rStyle w:val="Hyperlink"/>
            <w:rFonts w:cstheme="minorHAnsi"/>
          </w:rPr>
          <w:t>http://www.stanford.edu/group/scspi/_media/pdf/pathways/winter_2011/PathwaysWinter11_Shonkoff.pdf</w:t>
        </w:r>
      </w:hyperlink>
      <w:r>
        <w:rPr>
          <w:rFonts w:cstheme="minorHAnsi"/>
        </w:rPr>
        <w:t xml:space="preserve"> </w:t>
      </w:r>
    </w:p>
    <w:p w:rsidR="00A95542" w:rsidRPr="002767ED" w:rsidRDefault="00A95542" w:rsidP="002767ED">
      <w:pPr>
        <w:pStyle w:val="ListParagraph"/>
        <w:autoSpaceDE w:val="0"/>
        <w:autoSpaceDN w:val="0"/>
        <w:adjustRightInd w:val="0"/>
        <w:spacing w:after="0" w:line="240" w:lineRule="auto"/>
        <w:ind w:left="709" w:hanging="698"/>
        <w:rPr>
          <w:rFonts w:cstheme="minorHAnsi"/>
        </w:rPr>
      </w:pPr>
      <w:proofErr w:type="spellStart"/>
      <w:r w:rsidRPr="00C85B6A">
        <w:rPr>
          <w:rFonts w:cstheme="minorHAnsi"/>
        </w:rPr>
        <w:t>Shonkoff</w:t>
      </w:r>
      <w:proofErr w:type="spellEnd"/>
      <w:r w:rsidRPr="00C85B6A">
        <w:rPr>
          <w:rFonts w:cstheme="minorHAnsi"/>
        </w:rPr>
        <w:t xml:space="preserve">, J.P., Boyce, </w:t>
      </w:r>
      <w:proofErr w:type="spellStart"/>
      <w:r w:rsidRPr="00C85B6A">
        <w:rPr>
          <w:rFonts w:cstheme="minorHAnsi"/>
        </w:rPr>
        <w:t>W.T</w:t>
      </w:r>
      <w:proofErr w:type="spellEnd"/>
      <w:r w:rsidRPr="00C85B6A">
        <w:rPr>
          <w:rFonts w:cstheme="minorHAnsi"/>
        </w:rPr>
        <w:t>. and McEwen,</w:t>
      </w:r>
      <w:r>
        <w:rPr>
          <w:rFonts w:cstheme="minorHAnsi"/>
        </w:rPr>
        <w:t xml:space="preserve"> </w:t>
      </w:r>
      <w:r w:rsidRPr="00C85B6A">
        <w:rPr>
          <w:rFonts w:cstheme="minorHAnsi"/>
        </w:rPr>
        <w:t>B. (2009). Neuroscience, molecular biology, and the</w:t>
      </w:r>
      <w:r w:rsidR="002767ED">
        <w:rPr>
          <w:rFonts w:cstheme="minorHAnsi"/>
        </w:rPr>
        <w:t xml:space="preserve"> </w:t>
      </w:r>
      <w:r w:rsidRPr="002767ED">
        <w:rPr>
          <w:rFonts w:cstheme="minorHAnsi"/>
        </w:rPr>
        <w:t xml:space="preserve">childhood roots of health disparities: Building a new framework for health promotion and disease prevention. </w:t>
      </w:r>
      <w:r w:rsidRPr="002767ED">
        <w:rPr>
          <w:rFonts w:cstheme="minorHAnsi"/>
          <w:i/>
          <w:iCs/>
        </w:rPr>
        <w:t>Journal of the American Medical Association</w:t>
      </w:r>
      <w:r w:rsidRPr="002767ED">
        <w:rPr>
          <w:rFonts w:cstheme="minorHAnsi"/>
        </w:rPr>
        <w:t>. 301(21), 2252-2259.</w:t>
      </w:r>
    </w:p>
    <w:p w:rsidR="00A95542" w:rsidRPr="00873A08" w:rsidRDefault="00EE5671" w:rsidP="008F2577">
      <w:pPr>
        <w:pStyle w:val="ListParagraph"/>
        <w:autoSpaceDE w:val="0"/>
        <w:autoSpaceDN w:val="0"/>
        <w:adjustRightInd w:val="0"/>
        <w:spacing w:after="0" w:line="240" w:lineRule="auto"/>
        <w:ind w:left="709" w:hanging="698"/>
        <w:rPr>
          <w:rFonts w:cstheme="minorHAnsi"/>
        </w:rPr>
      </w:pPr>
      <w:r w:rsidRPr="00C85B6A">
        <w:rPr>
          <w:rFonts w:cstheme="minorHAnsi"/>
        </w:rPr>
        <w:t>Van</w:t>
      </w:r>
      <w:r w:rsidR="00A95542" w:rsidRPr="00C85B6A">
        <w:rPr>
          <w:rFonts w:cstheme="minorHAnsi"/>
        </w:rPr>
        <w:t xml:space="preserve"> der </w:t>
      </w:r>
      <w:proofErr w:type="spellStart"/>
      <w:r w:rsidR="00A95542" w:rsidRPr="00C85B6A">
        <w:rPr>
          <w:rFonts w:cstheme="minorHAnsi"/>
        </w:rPr>
        <w:t>Gaag</w:t>
      </w:r>
      <w:proofErr w:type="spellEnd"/>
      <w:r w:rsidR="00A95542" w:rsidRPr="00C85B6A">
        <w:rPr>
          <w:rFonts w:cstheme="minorHAnsi"/>
        </w:rPr>
        <w:t>, J. (2002). From Child Development to Human Development. In M.E. Young</w:t>
      </w:r>
      <w:r w:rsidR="00A95542">
        <w:rPr>
          <w:rFonts w:cstheme="minorHAnsi"/>
        </w:rPr>
        <w:t xml:space="preserve"> </w:t>
      </w:r>
      <w:r w:rsidR="00A95542" w:rsidRPr="00873A08">
        <w:rPr>
          <w:rFonts w:cstheme="minorHAnsi"/>
        </w:rPr>
        <w:t xml:space="preserve">(Ed.). </w:t>
      </w:r>
      <w:r w:rsidR="00A95542" w:rsidRPr="00873A08">
        <w:rPr>
          <w:rFonts w:cstheme="minorHAnsi"/>
          <w:i/>
          <w:iCs/>
        </w:rPr>
        <w:t>From Early Child Development to Human Development</w:t>
      </w:r>
      <w:r w:rsidR="00A95542" w:rsidRPr="00873A08">
        <w:rPr>
          <w:rFonts w:cstheme="minorHAnsi"/>
        </w:rPr>
        <w:t>. Washington, DC: The World Bank.</w:t>
      </w:r>
    </w:p>
    <w:p w:rsidR="008663FD" w:rsidRPr="00C34E91" w:rsidRDefault="008663FD" w:rsidP="008F2577"/>
    <w:sectPr w:rsidR="008663FD" w:rsidRPr="00C34E91" w:rsidSect="00B6765D">
      <w:footerReference w:type="even" r:id="rId25"/>
      <w:footerReference w:type="defaul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B8" w:rsidRDefault="00C02EB8" w:rsidP="00BE016F">
      <w:pPr>
        <w:spacing w:after="0" w:line="240" w:lineRule="auto"/>
      </w:pPr>
      <w:r>
        <w:separator/>
      </w:r>
    </w:p>
  </w:endnote>
  <w:endnote w:type="continuationSeparator" w:id="0">
    <w:p w:rsidR="00C02EB8" w:rsidRDefault="00C02EB8" w:rsidP="00BE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odDog">
    <w:altName w:val="GoodDog"/>
    <w:panose1 w:val="00000000000000000000"/>
    <w:charset w:val="00"/>
    <w:family w:val="swiss"/>
    <w:notTrueType/>
    <w:pitch w:val="default"/>
    <w:sig w:usb0="00000003" w:usb1="00000000" w:usb2="00000000" w:usb3="00000000" w:csb0="00000001" w:csb1="00000000"/>
  </w:font>
  <w:font w:name="Memphis Medium">
    <w:altName w:val="Memphis Medium"/>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dvOTf011d512">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heSansSemiBold-Plain">
    <w:panose1 w:val="00000000000000000000"/>
    <w:charset w:val="00"/>
    <w:family w:val="auto"/>
    <w:notTrueType/>
    <w:pitch w:val="default"/>
    <w:sig w:usb0="00000003" w:usb1="00000000" w:usb2="00000000" w:usb3="00000000" w:csb0="00000001" w:csb1="00000000"/>
  </w:font>
  <w:font w:name="TheSans-Plain">
    <w:panose1 w:val="00000000000000000000"/>
    <w:charset w:val="00"/>
    <w:family w:val="auto"/>
    <w:notTrueType/>
    <w:pitch w:val="default"/>
    <w:sig w:usb0="00000003" w:usb1="00000000" w:usb2="00000000" w:usb3="00000000" w:csb0="00000001" w:csb1="00000000"/>
  </w:font>
  <w:font w:name="Meta Normal">
    <w:altName w:val="Meta Normal"/>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5D" w:rsidRDefault="00B6765D" w:rsidP="00B6765D">
    <w:pPr>
      <w:pStyle w:val="FooterOdd"/>
      <w:jc w:val="left"/>
    </w:pPr>
    <w:r>
      <w:t xml:space="preserve">   </w:t>
    </w:r>
    <w:r w:rsidRPr="0037576B">
      <w:rPr>
        <w:sz w:val="22"/>
        <w:szCs w:val="22"/>
      </w:rPr>
      <w:fldChar w:fldCharType="begin"/>
    </w:r>
    <w:r w:rsidRPr="0037576B">
      <w:rPr>
        <w:sz w:val="22"/>
        <w:szCs w:val="22"/>
      </w:rPr>
      <w:instrText xml:space="preserve"> PAGE   \* MERGEFORMAT </w:instrText>
    </w:r>
    <w:r w:rsidRPr="0037576B">
      <w:rPr>
        <w:sz w:val="22"/>
        <w:szCs w:val="22"/>
      </w:rPr>
      <w:fldChar w:fldCharType="separate"/>
    </w:r>
    <w:r w:rsidR="00077C7B">
      <w:rPr>
        <w:noProof/>
        <w:sz w:val="22"/>
        <w:szCs w:val="22"/>
      </w:rPr>
      <w:t>12</w:t>
    </w:r>
    <w:r w:rsidRPr="0037576B">
      <w:rPr>
        <w:noProof/>
        <w:sz w:val="22"/>
        <w:szCs w:val="22"/>
      </w:rPr>
      <w:fldChar w:fldCharType="end"/>
    </w:r>
    <w:r>
      <w:rPr>
        <w:noProof/>
        <w:sz w:val="22"/>
        <w:szCs w:val="22"/>
      </w:rPr>
      <w:t xml:space="preserve">       </w:t>
    </w:r>
    <w:r>
      <w:rPr>
        <w:noProof/>
        <w:sz w:val="22"/>
        <w:szCs w:val="22"/>
      </w:rPr>
      <w:tab/>
    </w:r>
    <w:r>
      <w:rPr>
        <w:noProof/>
        <w:sz w:val="22"/>
        <w:szCs w:val="22"/>
      </w:rPr>
      <w:tab/>
    </w:r>
    <w:r>
      <w:rPr>
        <w:noProof/>
        <w:sz w:val="22"/>
        <w:szCs w:val="22"/>
      </w:rPr>
      <w:tab/>
    </w:r>
    <w:r>
      <w:rPr>
        <w:noProof/>
        <w:sz w:val="22"/>
        <w:szCs w:val="22"/>
      </w:rPr>
      <w:tab/>
      <w:t>Dr Alice Hill, Antipodean Family Foundation</w:t>
    </w:r>
    <w:r w:rsidR="00797B1E">
      <w:rPr>
        <w:noProof/>
        <w:sz w:val="22"/>
        <w:szCs w:val="22"/>
      </w:rPr>
      <w:t>, 2</w:t>
    </w:r>
    <w:r w:rsidR="00392F4F">
      <w:rPr>
        <w:noProof/>
        <w:sz w:val="22"/>
        <w:szCs w:val="22"/>
      </w:rPr>
      <w:t xml:space="preserve"> September 2014</w:t>
    </w:r>
  </w:p>
  <w:p w:rsidR="00B6765D" w:rsidRDefault="00B6765D" w:rsidP="00B6765D">
    <w:pPr>
      <w:pStyle w:val="Footer"/>
    </w:pPr>
  </w:p>
  <w:p w:rsidR="00B6765D" w:rsidRDefault="00B67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6B" w:rsidRDefault="0037576B" w:rsidP="00460CCF">
    <w:pPr>
      <w:jc w:val="both"/>
    </w:pPr>
  </w:p>
  <w:p w:rsidR="0037576B" w:rsidRDefault="00653F7D" w:rsidP="00653F7D">
    <w:pPr>
      <w:pStyle w:val="FooterOdd"/>
      <w:jc w:val="both"/>
    </w:pPr>
    <w:r>
      <w:t xml:space="preserve">Submission to the Productivity </w:t>
    </w:r>
    <w:r w:rsidR="007F4FE8">
      <w:t xml:space="preserve">Commission </w:t>
    </w:r>
    <w:r>
      <w:t>Inquiry int</w:t>
    </w:r>
    <w:r w:rsidR="007F4FE8">
      <w:t xml:space="preserve">o Child Care and Early </w:t>
    </w:r>
    <w:r w:rsidR="00917D12">
      <w:t xml:space="preserve">Childhood </w:t>
    </w:r>
    <w:r w:rsidR="007F4FE8">
      <w:t>Learning</w:t>
    </w:r>
    <w:r w:rsidR="007F4FE8">
      <w:tab/>
    </w:r>
    <w:r w:rsidR="00460CCF">
      <w:rPr>
        <w:vanish/>
      </w:rPr>
      <w:tab/>
    </w:r>
    <w:r w:rsidR="00460CCF">
      <w:rPr>
        <w:vanish/>
      </w:rPr>
      <w:tab/>
    </w:r>
    <w:r w:rsidR="00460CCF">
      <w:t xml:space="preserve">  </w:t>
    </w:r>
    <w:r w:rsidR="00460CCF">
      <w:tab/>
      <w:t xml:space="preserve"> </w:t>
    </w:r>
    <w:r w:rsidR="0098157F">
      <w:t xml:space="preserve">  </w:t>
    </w:r>
    <w:r w:rsidR="0037576B" w:rsidRPr="0037576B">
      <w:rPr>
        <w:sz w:val="22"/>
        <w:szCs w:val="22"/>
      </w:rPr>
      <w:fldChar w:fldCharType="begin"/>
    </w:r>
    <w:r w:rsidR="0037576B" w:rsidRPr="0037576B">
      <w:rPr>
        <w:sz w:val="22"/>
        <w:szCs w:val="22"/>
      </w:rPr>
      <w:instrText xml:space="preserve"> PAGE   \* MERGEFORMAT </w:instrText>
    </w:r>
    <w:r w:rsidR="0037576B" w:rsidRPr="0037576B">
      <w:rPr>
        <w:sz w:val="22"/>
        <w:szCs w:val="22"/>
      </w:rPr>
      <w:fldChar w:fldCharType="separate"/>
    </w:r>
    <w:r w:rsidR="00077C7B">
      <w:rPr>
        <w:noProof/>
        <w:sz w:val="22"/>
        <w:szCs w:val="22"/>
      </w:rPr>
      <w:t>1</w:t>
    </w:r>
    <w:r w:rsidR="0037576B" w:rsidRPr="0037576B">
      <w:rPr>
        <w:noProof/>
        <w:sz w:val="22"/>
        <w:szCs w:val="22"/>
      </w:rPr>
      <w:fldChar w:fldCharType="end"/>
    </w:r>
  </w:p>
  <w:p w:rsidR="0037576B" w:rsidRDefault="00375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B8" w:rsidRDefault="00C02EB8" w:rsidP="00BE016F">
      <w:pPr>
        <w:spacing w:after="0" w:line="240" w:lineRule="auto"/>
      </w:pPr>
      <w:r>
        <w:separator/>
      </w:r>
    </w:p>
  </w:footnote>
  <w:footnote w:type="continuationSeparator" w:id="0">
    <w:p w:rsidR="00C02EB8" w:rsidRDefault="00C02EB8" w:rsidP="00BE0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0EA9"/>
    <w:multiLevelType w:val="multilevel"/>
    <w:tmpl w:val="6C4625AA"/>
    <w:lvl w:ilvl="0">
      <w:start w:val="1"/>
      <w:numFmt w:val="decimal"/>
      <w:pStyle w:val="Brief-BULLET"/>
      <w:suff w:val="space"/>
      <w:lvlText w:val="%1"/>
      <w:lvlJc w:val="left"/>
      <w:pPr>
        <w:ind w:left="432" w:hanging="432"/>
      </w:pPr>
      <w:rPr>
        <w:rFonts w:hint="default"/>
      </w:rPr>
    </w:lvl>
    <w:lvl w:ilvl="1">
      <w:start w:val="2"/>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17"/>
    <w:rsid w:val="00001D32"/>
    <w:rsid w:val="00005C3C"/>
    <w:rsid w:val="00006B39"/>
    <w:rsid w:val="000157D4"/>
    <w:rsid w:val="0001627E"/>
    <w:rsid w:val="00022151"/>
    <w:rsid w:val="0002543F"/>
    <w:rsid w:val="00025A72"/>
    <w:rsid w:val="00025AB9"/>
    <w:rsid w:val="00027305"/>
    <w:rsid w:val="00030125"/>
    <w:rsid w:val="0003492D"/>
    <w:rsid w:val="000350D6"/>
    <w:rsid w:val="000365B9"/>
    <w:rsid w:val="00036876"/>
    <w:rsid w:val="00036FB0"/>
    <w:rsid w:val="00037E0C"/>
    <w:rsid w:val="00040DE7"/>
    <w:rsid w:val="0004686D"/>
    <w:rsid w:val="00053550"/>
    <w:rsid w:val="000538E0"/>
    <w:rsid w:val="000546C0"/>
    <w:rsid w:val="000618A9"/>
    <w:rsid w:val="00062F98"/>
    <w:rsid w:val="0006320B"/>
    <w:rsid w:val="0006389C"/>
    <w:rsid w:val="00064F73"/>
    <w:rsid w:val="00066BA0"/>
    <w:rsid w:val="00067E4D"/>
    <w:rsid w:val="00071E04"/>
    <w:rsid w:val="000745FD"/>
    <w:rsid w:val="00077C7B"/>
    <w:rsid w:val="000830F1"/>
    <w:rsid w:val="0008315D"/>
    <w:rsid w:val="00092134"/>
    <w:rsid w:val="00094A59"/>
    <w:rsid w:val="00096B4A"/>
    <w:rsid w:val="00096F82"/>
    <w:rsid w:val="000974FA"/>
    <w:rsid w:val="000A41F1"/>
    <w:rsid w:val="000A616F"/>
    <w:rsid w:val="000A6324"/>
    <w:rsid w:val="000A683C"/>
    <w:rsid w:val="000A6AFE"/>
    <w:rsid w:val="000B115F"/>
    <w:rsid w:val="000B11FF"/>
    <w:rsid w:val="000B2D9A"/>
    <w:rsid w:val="000B355F"/>
    <w:rsid w:val="000B48AD"/>
    <w:rsid w:val="000B5053"/>
    <w:rsid w:val="000B6884"/>
    <w:rsid w:val="000C0EC1"/>
    <w:rsid w:val="000C100D"/>
    <w:rsid w:val="000C13CF"/>
    <w:rsid w:val="000C2AD2"/>
    <w:rsid w:val="000C4536"/>
    <w:rsid w:val="000C54F8"/>
    <w:rsid w:val="000C55E8"/>
    <w:rsid w:val="000C5E4A"/>
    <w:rsid w:val="000D0D5A"/>
    <w:rsid w:val="000D1862"/>
    <w:rsid w:val="000D260D"/>
    <w:rsid w:val="000D363F"/>
    <w:rsid w:val="000D74E1"/>
    <w:rsid w:val="000E3842"/>
    <w:rsid w:val="000E7EAB"/>
    <w:rsid w:val="000F0444"/>
    <w:rsid w:val="000F0FBC"/>
    <w:rsid w:val="000F5515"/>
    <w:rsid w:val="000F5DDF"/>
    <w:rsid w:val="000F6BBC"/>
    <w:rsid w:val="000F6EFC"/>
    <w:rsid w:val="00100586"/>
    <w:rsid w:val="00101698"/>
    <w:rsid w:val="00103DB4"/>
    <w:rsid w:val="001047E0"/>
    <w:rsid w:val="00106E6D"/>
    <w:rsid w:val="00107E88"/>
    <w:rsid w:val="00110224"/>
    <w:rsid w:val="0011031F"/>
    <w:rsid w:val="00110773"/>
    <w:rsid w:val="00110857"/>
    <w:rsid w:val="001130DD"/>
    <w:rsid w:val="001131A7"/>
    <w:rsid w:val="001164DB"/>
    <w:rsid w:val="00116EB9"/>
    <w:rsid w:val="00116FB2"/>
    <w:rsid w:val="001219A0"/>
    <w:rsid w:val="00122BDF"/>
    <w:rsid w:val="001236D5"/>
    <w:rsid w:val="00123B52"/>
    <w:rsid w:val="00126216"/>
    <w:rsid w:val="00127C0B"/>
    <w:rsid w:val="00134935"/>
    <w:rsid w:val="001368B2"/>
    <w:rsid w:val="001370D0"/>
    <w:rsid w:val="001409AD"/>
    <w:rsid w:val="00140DAA"/>
    <w:rsid w:val="00142278"/>
    <w:rsid w:val="0014427B"/>
    <w:rsid w:val="001442A3"/>
    <w:rsid w:val="00145E41"/>
    <w:rsid w:val="00150CC4"/>
    <w:rsid w:val="00154E0C"/>
    <w:rsid w:val="00154E3A"/>
    <w:rsid w:val="00155003"/>
    <w:rsid w:val="001574DE"/>
    <w:rsid w:val="0016115D"/>
    <w:rsid w:val="0016143D"/>
    <w:rsid w:val="00161D1C"/>
    <w:rsid w:val="001628F4"/>
    <w:rsid w:val="001635DE"/>
    <w:rsid w:val="001638C8"/>
    <w:rsid w:val="00164270"/>
    <w:rsid w:val="00164936"/>
    <w:rsid w:val="001656A2"/>
    <w:rsid w:val="00165E1E"/>
    <w:rsid w:val="00170373"/>
    <w:rsid w:val="00171389"/>
    <w:rsid w:val="001713F8"/>
    <w:rsid w:val="0017178D"/>
    <w:rsid w:val="00172AEA"/>
    <w:rsid w:val="00172B7D"/>
    <w:rsid w:val="00173A5F"/>
    <w:rsid w:val="0017492C"/>
    <w:rsid w:val="00174A12"/>
    <w:rsid w:val="00174EF0"/>
    <w:rsid w:val="00181418"/>
    <w:rsid w:val="00181AB0"/>
    <w:rsid w:val="00182DA7"/>
    <w:rsid w:val="00183E8F"/>
    <w:rsid w:val="00184596"/>
    <w:rsid w:val="00184757"/>
    <w:rsid w:val="001849B4"/>
    <w:rsid w:val="00185B59"/>
    <w:rsid w:val="00187451"/>
    <w:rsid w:val="001910D9"/>
    <w:rsid w:val="001925C8"/>
    <w:rsid w:val="0019265F"/>
    <w:rsid w:val="0019266F"/>
    <w:rsid w:val="00194452"/>
    <w:rsid w:val="0019507C"/>
    <w:rsid w:val="00195382"/>
    <w:rsid w:val="00197461"/>
    <w:rsid w:val="001A1506"/>
    <w:rsid w:val="001A22E9"/>
    <w:rsid w:val="001A532E"/>
    <w:rsid w:val="001A5B0A"/>
    <w:rsid w:val="001A5FD6"/>
    <w:rsid w:val="001A785F"/>
    <w:rsid w:val="001A7FAF"/>
    <w:rsid w:val="001B23DF"/>
    <w:rsid w:val="001B3E0E"/>
    <w:rsid w:val="001B3F28"/>
    <w:rsid w:val="001B5AE4"/>
    <w:rsid w:val="001B6024"/>
    <w:rsid w:val="001B770D"/>
    <w:rsid w:val="001B77ED"/>
    <w:rsid w:val="001B7E19"/>
    <w:rsid w:val="001C2281"/>
    <w:rsid w:val="001C24BF"/>
    <w:rsid w:val="001C2B30"/>
    <w:rsid w:val="001C4B6C"/>
    <w:rsid w:val="001C6453"/>
    <w:rsid w:val="001C79BB"/>
    <w:rsid w:val="001C7F06"/>
    <w:rsid w:val="001D073C"/>
    <w:rsid w:val="001D0D38"/>
    <w:rsid w:val="001D31B3"/>
    <w:rsid w:val="001D36CA"/>
    <w:rsid w:val="001D4C27"/>
    <w:rsid w:val="001D6529"/>
    <w:rsid w:val="001E227D"/>
    <w:rsid w:val="001E3897"/>
    <w:rsid w:val="001E38AA"/>
    <w:rsid w:val="001E43C4"/>
    <w:rsid w:val="001E4B8E"/>
    <w:rsid w:val="001E64B5"/>
    <w:rsid w:val="001F1B06"/>
    <w:rsid w:val="001F2BCF"/>
    <w:rsid w:val="001F78F2"/>
    <w:rsid w:val="002005CB"/>
    <w:rsid w:val="0020060B"/>
    <w:rsid w:val="00202467"/>
    <w:rsid w:val="002033A4"/>
    <w:rsid w:val="00203574"/>
    <w:rsid w:val="00204D5C"/>
    <w:rsid w:val="0021029F"/>
    <w:rsid w:val="002104E8"/>
    <w:rsid w:val="00211541"/>
    <w:rsid w:val="00211761"/>
    <w:rsid w:val="00212480"/>
    <w:rsid w:val="00212AF7"/>
    <w:rsid w:val="00212B31"/>
    <w:rsid w:val="00214D14"/>
    <w:rsid w:val="00217D09"/>
    <w:rsid w:val="00217F20"/>
    <w:rsid w:val="00221111"/>
    <w:rsid w:val="00221625"/>
    <w:rsid w:val="00221A3D"/>
    <w:rsid w:val="00221F38"/>
    <w:rsid w:val="00224291"/>
    <w:rsid w:val="00227D58"/>
    <w:rsid w:val="00231EC1"/>
    <w:rsid w:val="002344D1"/>
    <w:rsid w:val="002348F4"/>
    <w:rsid w:val="00235162"/>
    <w:rsid w:val="00235B8E"/>
    <w:rsid w:val="00236596"/>
    <w:rsid w:val="002367A4"/>
    <w:rsid w:val="00237D12"/>
    <w:rsid w:val="00240687"/>
    <w:rsid w:val="002408BD"/>
    <w:rsid w:val="00242F91"/>
    <w:rsid w:val="00252A41"/>
    <w:rsid w:val="00253623"/>
    <w:rsid w:val="00254674"/>
    <w:rsid w:val="00254BC2"/>
    <w:rsid w:val="002560FC"/>
    <w:rsid w:val="002623CD"/>
    <w:rsid w:val="00262DB1"/>
    <w:rsid w:val="002642F4"/>
    <w:rsid w:val="00264C08"/>
    <w:rsid w:val="00265C3A"/>
    <w:rsid w:val="00266234"/>
    <w:rsid w:val="0026693C"/>
    <w:rsid w:val="002679D7"/>
    <w:rsid w:val="00271BC0"/>
    <w:rsid w:val="00271BF1"/>
    <w:rsid w:val="00273F19"/>
    <w:rsid w:val="002758A2"/>
    <w:rsid w:val="002767ED"/>
    <w:rsid w:val="0027713F"/>
    <w:rsid w:val="00277B9D"/>
    <w:rsid w:val="00280ECE"/>
    <w:rsid w:val="002820E3"/>
    <w:rsid w:val="00283A9E"/>
    <w:rsid w:val="00284EF2"/>
    <w:rsid w:val="002872B6"/>
    <w:rsid w:val="0028791F"/>
    <w:rsid w:val="0029254A"/>
    <w:rsid w:val="002932BE"/>
    <w:rsid w:val="00294015"/>
    <w:rsid w:val="002947F6"/>
    <w:rsid w:val="00296C66"/>
    <w:rsid w:val="002A603D"/>
    <w:rsid w:val="002A6489"/>
    <w:rsid w:val="002A6992"/>
    <w:rsid w:val="002A7293"/>
    <w:rsid w:val="002A72C4"/>
    <w:rsid w:val="002B0C5E"/>
    <w:rsid w:val="002B239D"/>
    <w:rsid w:val="002B2B7E"/>
    <w:rsid w:val="002B4DD1"/>
    <w:rsid w:val="002B63A1"/>
    <w:rsid w:val="002B6F2A"/>
    <w:rsid w:val="002C01B8"/>
    <w:rsid w:val="002C0F40"/>
    <w:rsid w:val="002C2DAA"/>
    <w:rsid w:val="002C3431"/>
    <w:rsid w:val="002C35B4"/>
    <w:rsid w:val="002C4728"/>
    <w:rsid w:val="002D0ACD"/>
    <w:rsid w:val="002D0E84"/>
    <w:rsid w:val="002D1F25"/>
    <w:rsid w:val="002D277E"/>
    <w:rsid w:val="002D2A7A"/>
    <w:rsid w:val="002D5414"/>
    <w:rsid w:val="002D596F"/>
    <w:rsid w:val="002E04DD"/>
    <w:rsid w:val="002E1135"/>
    <w:rsid w:val="002E22F4"/>
    <w:rsid w:val="002E36C3"/>
    <w:rsid w:val="002E4237"/>
    <w:rsid w:val="002E668C"/>
    <w:rsid w:val="002E6A40"/>
    <w:rsid w:val="002F2E89"/>
    <w:rsid w:val="002F46E8"/>
    <w:rsid w:val="00302ADC"/>
    <w:rsid w:val="00304F46"/>
    <w:rsid w:val="00307B4A"/>
    <w:rsid w:val="00310017"/>
    <w:rsid w:val="003103D7"/>
    <w:rsid w:val="00310C86"/>
    <w:rsid w:val="00313B64"/>
    <w:rsid w:val="00313FAC"/>
    <w:rsid w:val="00315176"/>
    <w:rsid w:val="00316F03"/>
    <w:rsid w:val="00320814"/>
    <w:rsid w:val="0032179C"/>
    <w:rsid w:val="00321BC4"/>
    <w:rsid w:val="00322658"/>
    <w:rsid w:val="003231CC"/>
    <w:rsid w:val="003263A9"/>
    <w:rsid w:val="003277F4"/>
    <w:rsid w:val="00332449"/>
    <w:rsid w:val="00336BB8"/>
    <w:rsid w:val="003418DE"/>
    <w:rsid w:val="0034202C"/>
    <w:rsid w:val="003422DA"/>
    <w:rsid w:val="003436C0"/>
    <w:rsid w:val="00345825"/>
    <w:rsid w:val="003501A7"/>
    <w:rsid w:val="00350918"/>
    <w:rsid w:val="0035728C"/>
    <w:rsid w:val="00362B72"/>
    <w:rsid w:val="0036410E"/>
    <w:rsid w:val="0036419B"/>
    <w:rsid w:val="00364DE2"/>
    <w:rsid w:val="00365BED"/>
    <w:rsid w:val="00365C41"/>
    <w:rsid w:val="00365CC4"/>
    <w:rsid w:val="00366A0F"/>
    <w:rsid w:val="003679F5"/>
    <w:rsid w:val="00371153"/>
    <w:rsid w:val="00371883"/>
    <w:rsid w:val="00373863"/>
    <w:rsid w:val="00373CB3"/>
    <w:rsid w:val="0037576B"/>
    <w:rsid w:val="00376C0F"/>
    <w:rsid w:val="00376EC5"/>
    <w:rsid w:val="003816B0"/>
    <w:rsid w:val="00381C9B"/>
    <w:rsid w:val="0038315D"/>
    <w:rsid w:val="00383E2C"/>
    <w:rsid w:val="00384EFE"/>
    <w:rsid w:val="003902F4"/>
    <w:rsid w:val="00392F4F"/>
    <w:rsid w:val="00393CF8"/>
    <w:rsid w:val="00394A3A"/>
    <w:rsid w:val="00396267"/>
    <w:rsid w:val="003A30E4"/>
    <w:rsid w:val="003A4AD7"/>
    <w:rsid w:val="003A6230"/>
    <w:rsid w:val="003A6E47"/>
    <w:rsid w:val="003B4237"/>
    <w:rsid w:val="003B52E1"/>
    <w:rsid w:val="003B5905"/>
    <w:rsid w:val="003B5F9C"/>
    <w:rsid w:val="003B60E9"/>
    <w:rsid w:val="003B6241"/>
    <w:rsid w:val="003C139B"/>
    <w:rsid w:val="003C1E2D"/>
    <w:rsid w:val="003C3866"/>
    <w:rsid w:val="003C56AE"/>
    <w:rsid w:val="003C5908"/>
    <w:rsid w:val="003D0226"/>
    <w:rsid w:val="003D16E1"/>
    <w:rsid w:val="003D1C5E"/>
    <w:rsid w:val="003D1D6C"/>
    <w:rsid w:val="003D53E8"/>
    <w:rsid w:val="003D563D"/>
    <w:rsid w:val="003D59D2"/>
    <w:rsid w:val="003D5C3F"/>
    <w:rsid w:val="003D5E24"/>
    <w:rsid w:val="003D6C21"/>
    <w:rsid w:val="003E0F39"/>
    <w:rsid w:val="003E10F0"/>
    <w:rsid w:val="003E297D"/>
    <w:rsid w:val="003E3207"/>
    <w:rsid w:val="003E3C47"/>
    <w:rsid w:val="003E44B2"/>
    <w:rsid w:val="003E68E8"/>
    <w:rsid w:val="003F13AA"/>
    <w:rsid w:val="003F2558"/>
    <w:rsid w:val="003F374B"/>
    <w:rsid w:val="003F3C2E"/>
    <w:rsid w:val="003F49DD"/>
    <w:rsid w:val="003F4D4B"/>
    <w:rsid w:val="003F5818"/>
    <w:rsid w:val="003F7ECC"/>
    <w:rsid w:val="00400015"/>
    <w:rsid w:val="00401C42"/>
    <w:rsid w:val="0040405F"/>
    <w:rsid w:val="00405643"/>
    <w:rsid w:val="00407E0F"/>
    <w:rsid w:val="004101E6"/>
    <w:rsid w:val="00410248"/>
    <w:rsid w:val="0041232B"/>
    <w:rsid w:val="00412A22"/>
    <w:rsid w:val="004138CC"/>
    <w:rsid w:val="00413ED7"/>
    <w:rsid w:val="00416FB0"/>
    <w:rsid w:val="00421744"/>
    <w:rsid w:val="0042406B"/>
    <w:rsid w:val="004244B0"/>
    <w:rsid w:val="004253C7"/>
    <w:rsid w:val="0042662D"/>
    <w:rsid w:val="0043389E"/>
    <w:rsid w:val="00433E2C"/>
    <w:rsid w:val="004350CF"/>
    <w:rsid w:val="0043641F"/>
    <w:rsid w:val="0043749E"/>
    <w:rsid w:val="00442C8C"/>
    <w:rsid w:val="00444BA3"/>
    <w:rsid w:val="00446CBE"/>
    <w:rsid w:val="00447838"/>
    <w:rsid w:val="00450E79"/>
    <w:rsid w:val="004512A6"/>
    <w:rsid w:val="004522C2"/>
    <w:rsid w:val="00452F72"/>
    <w:rsid w:val="00453615"/>
    <w:rsid w:val="00453FF4"/>
    <w:rsid w:val="004540A9"/>
    <w:rsid w:val="0045532C"/>
    <w:rsid w:val="004553EB"/>
    <w:rsid w:val="00455FC3"/>
    <w:rsid w:val="00457C02"/>
    <w:rsid w:val="00460CCF"/>
    <w:rsid w:val="00462176"/>
    <w:rsid w:val="00464BDE"/>
    <w:rsid w:val="00467DD6"/>
    <w:rsid w:val="00467E0E"/>
    <w:rsid w:val="004712C2"/>
    <w:rsid w:val="00472CED"/>
    <w:rsid w:val="00473469"/>
    <w:rsid w:val="00474511"/>
    <w:rsid w:val="00482741"/>
    <w:rsid w:val="00483AC9"/>
    <w:rsid w:val="0048451C"/>
    <w:rsid w:val="00486243"/>
    <w:rsid w:val="004866B8"/>
    <w:rsid w:val="00486F7E"/>
    <w:rsid w:val="0049013E"/>
    <w:rsid w:val="00490711"/>
    <w:rsid w:val="00491161"/>
    <w:rsid w:val="004957F9"/>
    <w:rsid w:val="004965D5"/>
    <w:rsid w:val="004971EB"/>
    <w:rsid w:val="00497321"/>
    <w:rsid w:val="004974B1"/>
    <w:rsid w:val="004A35D0"/>
    <w:rsid w:val="004A427B"/>
    <w:rsid w:val="004A468D"/>
    <w:rsid w:val="004A7C88"/>
    <w:rsid w:val="004B103E"/>
    <w:rsid w:val="004B23C2"/>
    <w:rsid w:val="004B2BBB"/>
    <w:rsid w:val="004B3317"/>
    <w:rsid w:val="004B497A"/>
    <w:rsid w:val="004B4D19"/>
    <w:rsid w:val="004B7F14"/>
    <w:rsid w:val="004C00E5"/>
    <w:rsid w:val="004C0ABB"/>
    <w:rsid w:val="004C1C45"/>
    <w:rsid w:val="004C3317"/>
    <w:rsid w:val="004C40E6"/>
    <w:rsid w:val="004C4ADE"/>
    <w:rsid w:val="004C4BB3"/>
    <w:rsid w:val="004C51E9"/>
    <w:rsid w:val="004C784A"/>
    <w:rsid w:val="004D0E3F"/>
    <w:rsid w:val="004D1A6E"/>
    <w:rsid w:val="004D20C1"/>
    <w:rsid w:val="004D4FC8"/>
    <w:rsid w:val="004D5314"/>
    <w:rsid w:val="004D5955"/>
    <w:rsid w:val="004D7928"/>
    <w:rsid w:val="004E30E6"/>
    <w:rsid w:val="004E4ACE"/>
    <w:rsid w:val="004F1179"/>
    <w:rsid w:val="0050043B"/>
    <w:rsid w:val="00501816"/>
    <w:rsid w:val="00502CD5"/>
    <w:rsid w:val="00504477"/>
    <w:rsid w:val="00506303"/>
    <w:rsid w:val="00507285"/>
    <w:rsid w:val="0051244A"/>
    <w:rsid w:val="00514216"/>
    <w:rsid w:val="0051428E"/>
    <w:rsid w:val="00514929"/>
    <w:rsid w:val="00517D92"/>
    <w:rsid w:val="0052113B"/>
    <w:rsid w:val="0052151B"/>
    <w:rsid w:val="005240CE"/>
    <w:rsid w:val="00525B80"/>
    <w:rsid w:val="00526DD9"/>
    <w:rsid w:val="00530975"/>
    <w:rsid w:val="00530A47"/>
    <w:rsid w:val="00532F2D"/>
    <w:rsid w:val="0053564A"/>
    <w:rsid w:val="00541438"/>
    <w:rsid w:val="0054262D"/>
    <w:rsid w:val="00543EBA"/>
    <w:rsid w:val="00545A15"/>
    <w:rsid w:val="005506A9"/>
    <w:rsid w:val="00551770"/>
    <w:rsid w:val="005525E1"/>
    <w:rsid w:val="005531C2"/>
    <w:rsid w:val="0055526E"/>
    <w:rsid w:val="0055590A"/>
    <w:rsid w:val="00557F5D"/>
    <w:rsid w:val="00560220"/>
    <w:rsid w:val="00564476"/>
    <w:rsid w:val="0056595A"/>
    <w:rsid w:val="00565FD3"/>
    <w:rsid w:val="0056774E"/>
    <w:rsid w:val="00570B17"/>
    <w:rsid w:val="00571605"/>
    <w:rsid w:val="0057191A"/>
    <w:rsid w:val="00571C40"/>
    <w:rsid w:val="005723B5"/>
    <w:rsid w:val="005727BE"/>
    <w:rsid w:val="00573FBA"/>
    <w:rsid w:val="005748D0"/>
    <w:rsid w:val="005767D0"/>
    <w:rsid w:val="00580396"/>
    <w:rsid w:val="0058232E"/>
    <w:rsid w:val="00583021"/>
    <w:rsid w:val="005873BB"/>
    <w:rsid w:val="0059049F"/>
    <w:rsid w:val="00593059"/>
    <w:rsid w:val="00593489"/>
    <w:rsid w:val="00594B65"/>
    <w:rsid w:val="0059796F"/>
    <w:rsid w:val="00597A5F"/>
    <w:rsid w:val="005A0F48"/>
    <w:rsid w:val="005A1221"/>
    <w:rsid w:val="005A24F1"/>
    <w:rsid w:val="005A28C3"/>
    <w:rsid w:val="005A454A"/>
    <w:rsid w:val="005A4598"/>
    <w:rsid w:val="005A4C6A"/>
    <w:rsid w:val="005A736C"/>
    <w:rsid w:val="005A75B3"/>
    <w:rsid w:val="005B1CB4"/>
    <w:rsid w:val="005B1DE7"/>
    <w:rsid w:val="005B4961"/>
    <w:rsid w:val="005B65EC"/>
    <w:rsid w:val="005B78C6"/>
    <w:rsid w:val="005B7C80"/>
    <w:rsid w:val="005B7E1C"/>
    <w:rsid w:val="005C0730"/>
    <w:rsid w:val="005C0BBB"/>
    <w:rsid w:val="005C151E"/>
    <w:rsid w:val="005C194F"/>
    <w:rsid w:val="005C3AB8"/>
    <w:rsid w:val="005C6F8C"/>
    <w:rsid w:val="005D140A"/>
    <w:rsid w:val="005D6409"/>
    <w:rsid w:val="005D7B10"/>
    <w:rsid w:val="005E03D2"/>
    <w:rsid w:val="005E19CC"/>
    <w:rsid w:val="005E346C"/>
    <w:rsid w:val="005E40A8"/>
    <w:rsid w:val="005E5758"/>
    <w:rsid w:val="005E6498"/>
    <w:rsid w:val="005E6808"/>
    <w:rsid w:val="005E79FD"/>
    <w:rsid w:val="005F279D"/>
    <w:rsid w:val="005F7728"/>
    <w:rsid w:val="0060105B"/>
    <w:rsid w:val="006014F3"/>
    <w:rsid w:val="006057CD"/>
    <w:rsid w:val="00606DAE"/>
    <w:rsid w:val="00607E06"/>
    <w:rsid w:val="00607F8A"/>
    <w:rsid w:val="006133A2"/>
    <w:rsid w:val="00613683"/>
    <w:rsid w:val="00615B22"/>
    <w:rsid w:val="006176BE"/>
    <w:rsid w:val="006210B4"/>
    <w:rsid w:val="006223C5"/>
    <w:rsid w:val="006235F2"/>
    <w:rsid w:val="0062542F"/>
    <w:rsid w:val="00625A7D"/>
    <w:rsid w:val="00627859"/>
    <w:rsid w:val="006311A7"/>
    <w:rsid w:val="00631F5E"/>
    <w:rsid w:val="00633FDA"/>
    <w:rsid w:val="0063511E"/>
    <w:rsid w:val="00637AE8"/>
    <w:rsid w:val="00640FF7"/>
    <w:rsid w:val="00643141"/>
    <w:rsid w:val="00643EA4"/>
    <w:rsid w:val="0064622A"/>
    <w:rsid w:val="0064649E"/>
    <w:rsid w:val="00647995"/>
    <w:rsid w:val="00653F7D"/>
    <w:rsid w:val="00655080"/>
    <w:rsid w:val="00656D22"/>
    <w:rsid w:val="00656FE3"/>
    <w:rsid w:val="00657C23"/>
    <w:rsid w:val="00664A1E"/>
    <w:rsid w:val="00665442"/>
    <w:rsid w:val="0066563B"/>
    <w:rsid w:val="006667B6"/>
    <w:rsid w:val="00666C00"/>
    <w:rsid w:val="00666DF9"/>
    <w:rsid w:val="00670A74"/>
    <w:rsid w:val="00672587"/>
    <w:rsid w:val="00673D06"/>
    <w:rsid w:val="006749CE"/>
    <w:rsid w:val="00677E86"/>
    <w:rsid w:val="00681BE7"/>
    <w:rsid w:val="00681E9A"/>
    <w:rsid w:val="00683CF9"/>
    <w:rsid w:val="0068502F"/>
    <w:rsid w:val="00685212"/>
    <w:rsid w:val="006853ED"/>
    <w:rsid w:val="00685A06"/>
    <w:rsid w:val="00687663"/>
    <w:rsid w:val="00691DE1"/>
    <w:rsid w:val="00693BB6"/>
    <w:rsid w:val="00693C00"/>
    <w:rsid w:val="00694217"/>
    <w:rsid w:val="00694CEB"/>
    <w:rsid w:val="006977D1"/>
    <w:rsid w:val="006A2570"/>
    <w:rsid w:val="006A52D5"/>
    <w:rsid w:val="006A6707"/>
    <w:rsid w:val="006B0568"/>
    <w:rsid w:val="006B1B2E"/>
    <w:rsid w:val="006B210B"/>
    <w:rsid w:val="006B2985"/>
    <w:rsid w:val="006B47A4"/>
    <w:rsid w:val="006B47A5"/>
    <w:rsid w:val="006B5154"/>
    <w:rsid w:val="006B52CF"/>
    <w:rsid w:val="006B567C"/>
    <w:rsid w:val="006B67DA"/>
    <w:rsid w:val="006C3134"/>
    <w:rsid w:val="006C38DF"/>
    <w:rsid w:val="006C3DB5"/>
    <w:rsid w:val="006C764D"/>
    <w:rsid w:val="006D27CF"/>
    <w:rsid w:val="006D601C"/>
    <w:rsid w:val="006D7813"/>
    <w:rsid w:val="006D7A4D"/>
    <w:rsid w:val="006D7B4B"/>
    <w:rsid w:val="006E5531"/>
    <w:rsid w:val="006F08BB"/>
    <w:rsid w:val="006F13F7"/>
    <w:rsid w:val="006F22CE"/>
    <w:rsid w:val="006F35EC"/>
    <w:rsid w:val="006F37FD"/>
    <w:rsid w:val="00701B84"/>
    <w:rsid w:val="00702ED4"/>
    <w:rsid w:val="00703F60"/>
    <w:rsid w:val="007060A8"/>
    <w:rsid w:val="00707391"/>
    <w:rsid w:val="00710414"/>
    <w:rsid w:val="00710428"/>
    <w:rsid w:val="00710B3B"/>
    <w:rsid w:val="0071154D"/>
    <w:rsid w:val="00711CCB"/>
    <w:rsid w:val="00712DE2"/>
    <w:rsid w:val="00713B11"/>
    <w:rsid w:val="00715E99"/>
    <w:rsid w:val="007233D3"/>
    <w:rsid w:val="007308FF"/>
    <w:rsid w:val="0073215C"/>
    <w:rsid w:val="0073243B"/>
    <w:rsid w:val="00734919"/>
    <w:rsid w:val="00735BFE"/>
    <w:rsid w:val="00736D97"/>
    <w:rsid w:val="00737054"/>
    <w:rsid w:val="0073753E"/>
    <w:rsid w:val="00737543"/>
    <w:rsid w:val="00740B1C"/>
    <w:rsid w:val="00743EBB"/>
    <w:rsid w:val="00751C05"/>
    <w:rsid w:val="00752975"/>
    <w:rsid w:val="007552A8"/>
    <w:rsid w:val="00755C0D"/>
    <w:rsid w:val="00756CB9"/>
    <w:rsid w:val="0075773E"/>
    <w:rsid w:val="00757CBE"/>
    <w:rsid w:val="00757E84"/>
    <w:rsid w:val="00762141"/>
    <w:rsid w:val="00762ACE"/>
    <w:rsid w:val="00762E65"/>
    <w:rsid w:val="00763ACB"/>
    <w:rsid w:val="00767627"/>
    <w:rsid w:val="00772571"/>
    <w:rsid w:val="00774580"/>
    <w:rsid w:val="0077523B"/>
    <w:rsid w:val="00775777"/>
    <w:rsid w:val="00777EF5"/>
    <w:rsid w:val="00780E9C"/>
    <w:rsid w:val="00781CED"/>
    <w:rsid w:val="00782030"/>
    <w:rsid w:val="0078283F"/>
    <w:rsid w:val="00785704"/>
    <w:rsid w:val="007872E9"/>
    <w:rsid w:val="00790A49"/>
    <w:rsid w:val="00793511"/>
    <w:rsid w:val="00795694"/>
    <w:rsid w:val="00796D49"/>
    <w:rsid w:val="00797B1E"/>
    <w:rsid w:val="007A075F"/>
    <w:rsid w:val="007A08C8"/>
    <w:rsid w:val="007A0D43"/>
    <w:rsid w:val="007A0D9F"/>
    <w:rsid w:val="007A686C"/>
    <w:rsid w:val="007B0857"/>
    <w:rsid w:val="007B2B49"/>
    <w:rsid w:val="007B4621"/>
    <w:rsid w:val="007B4998"/>
    <w:rsid w:val="007B648A"/>
    <w:rsid w:val="007C17BF"/>
    <w:rsid w:val="007C3DB2"/>
    <w:rsid w:val="007C3F6C"/>
    <w:rsid w:val="007C5376"/>
    <w:rsid w:val="007C5A22"/>
    <w:rsid w:val="007C5ECA"/>
    <w:rsid w:val="007D0618"/>
    <w:rsid w:val="007D2A4E"/>
    <w:rsid w:val="007D3456"/>
    <w:rsid w:val="007D3A9A"/>
    <w:rsid w:val="007D4188"/>
    <w:rsid w:val="007D4DFC"/>
    <w:rsid w:val="007D5058"/>
    <w:rsid w:val="007D755A"/>
    <w:rsid w:val="007E12E4"/>
    <w:rsid w:val="007E12E6"/>
    <w:rsid w:val="007E53E2"/>
    <w:rsid w:val="007E5C5B"/>
    <w:rsid w:val="007F2E57"/>
    <w:rsid w:val="007F4216"/>
    <w:rsid w:val="007F4FE8"/>
    <w:rsid w:val="007F5EB8"/>
    <w:rsid w:val="007F605B"/>
    <w:rsid w:val="007F66E7"/>
    <w:rsid w:val="007F69F7"/>
    <w:rsid w:val="00800181"/>
    <w:rsid w:val="008039B1"/>
    <w:rsid w:val="00804233"/>
    <w:rsid w:val="008065D7"/>
    <w:rsid w:val="00807A93"/>
    <w:rsid w:val="00811357"/>
    <w:rsid w:val="0081164A"/>
    <w:rsid w:val="00813001"/>
    <w:rsid w:val="00815747"/>
    <w:rsid w:val="0081669F"/>
    <w:rsid w:val="00816D59"/>
    <w:rsid w:val="008174F3"/>
    <w:rsid w:val="008178B3"/>
    <w:rsid w:val="00822344"/>
    <w:rsid w:val="00824FC6"/>
    <w:rsid w:val="00825DA7"/>
    <w:rsid w:val="00825EA0"/>
    <w:rsid w:val="00827257"/>
    <w:rsid w:val="00827A2A"/>
    <w:rsid w:val="00830A6E"/>
    <w:rsid w:val="0083172A"/>
    <w:rsid w:val="0083565C"/>
    <w:rsid w:val="008363D0"/>
    <w:rsid w:val="0084202C"/>
    <w:rsid w:val="00842DCF"/>
    <w:rsid w:val="0084427A"/>
    <w:rsid w:val="00844FD5"/>
    <w:rsid w:val="00850215"/>
    <w:rsid w:val="008518F5"/>
    <w:rsid w:val="00851A1C"/>
    <w:rsid w:val="00852363"/>
    <w:rsid w:val="00854C44"/>
    <w:rsid w:val="00855576"/>
    <w:rsid w:val="00855706"/>
    <w:rsid w:val="00855A7A"/>
    <w:rsid w:val="00855E24"/>
    <w:rsid w:val="00856C33"/>
    <w:rsid w:val="008606BC"/>
    <w:rsid w:val="0086417D"/>
    <w:rsid w:val="00864F67"/>
    <w:rsid w:val="00865B6A"/>
    <w:rsid w:val="008663FD"/>
    <w:rsid w:val="00872C64"/>
    <w:rsid w:val="00873ABB"/>
    <w:rsid w:val="008762D4"/>
    <w:rsid w:val="00876929"/>
    <w:rsid w:val="00876EEC"/>
    <w:rsid w:val="0088058F"/>
    <w:rsid w:val="0088163C"/>
    <w:rsid w:val="00883E85"/>
    <w:rsid w:val="00885864"/>
    <w:rsid w:val="00885EE4"/>
    <w:rsid w:val="008925FE"/>
    <w:rsid w:val="00893B96"/>
    <w:rsid w:val="00893BA7"/>
    <w:rsid w:val="00894063"/>
    <w:rsid w:val="008946D9"/>
    <w:rsid w:val="00897192"/>
    <w:rsid w:val="008972B8"/>
    <w:rsid w:val="008A3A09"/>
    <w:rsid w:val="008A604C"/>
    <w:rsid w:val="008B0874"/>
    <w:rsid w:val="008B22A9"/>
    <w:rsid w:val="008B2393"/>
    <w:rsid w:val="008B3E9C"/>
    <w:rsid w:val="008B4425"/>
    <w:rsid w:val="008B68C9"/>
    <w:rsid w:val="008C2016"/>
    <w:rsid w:val="008C215C"/>
    <w:rsid w:val="008C279E"/>
    <w:rsid w:val="008C7451"/>
    <w:rsid w:val="008D2709"/>
    <w:rsid w:val="008D2C00"/>
    <w:rsid w:val="008D36E3"/>
    <w:rsid w:val="008D4CCE"/>
    <w:rsid w:val="008D675C"/>
    <w:rsid w:val="008D6824"/>
    <w:rsid w:val="008D6B53"/>
    <w:rsid w:val="008E05A5"/>
    <w:rsid w:val="008E07ED"/>
    <w:rsid w:val="008E08F5"/>
    <w:rsid w:val="008E1C75"/>
    <w:rsid w:val="008E369D"/>
    <w:rsid w:val="008E44BB"/>
    <w:rsid w:val="008E47FE"/>
    <w:rsid w:val="008E6934"/>
    <w:rsid w:val="008E6BAB"/>
    <w:rsid w:val="008E7B5B"/>
    <w:rsid w:val="008E7E45"/>
    <w:rsid w:val="008F166C"/>
    <w:rsid w:val="008F2577"/>
    <w:rsid w:val="008F2B27"/>
    <w:rsid w:val="008F3B5D"/>
    <w:rsid w:val="008F489A"/>
    <w:rsid w:val="008F5A9D"/>
    <w:rsid w:val="008F725A"/>
    <w:rsid w:val="008F7596"/>
    <w:rsid w:val="0090050D"/>
    <w:rsid w:val="00900953"/>
    <w:rsid w:val="00901481"/>
    <w:rsid w:val="00903E74"/>
    <w:rsid w:val="009045A6"/>
    <w:rsid w:val="00906905"/>
    <w:rsid w:val="00911265"/>
    <w:rsid w:val="00913B45"/>
    <w:rsid w:val="00914016"/>
    <w:rsid w:val="009174E9"/>
    <w:rsid w:val="00917D12"/>
    <w:rsid w:val="00920D09"/>
    <w:rsid w:val="0092580D"/>
    <w:rsid w:val="00925C2F"/>
    <w:rsid w:val="009262EB"/>
    <w:rsid w:val="00926E93"/>
    <w:rsid w:val="00930E0B"/>
    <w:rsid w:val="00932877"/>
    <w:rsid w:val="00933AEA"/>
    <w:rsid w:val="00933C58"/>
    <w:rsid w:val="00940C03"/>
    <w:rsid w:val="00943887"/>
    <w:rsid w:val="00947CC4"/>
    <w:rsid w:val="00951D04"/>
    <w:rsid w:val="00955429"/>
    <w:rsid w:val="00956DC3"/>
    <w:rsid w:val="00956F5C"/>
    <w:rsid w:val="00960305"/>
    <w:rsid w:val="0096138B"/>
    <w:rsid w:val="0096172B"/>
    <w:rsid w:val="00963B82"/>
    <w:rsid w:val="00964E4B"/>
    <w:rsid w:val="00966E5B"/>
    <w:rsid w:val="00967342"/>
    <w:rsid w:val="00970E48"/>
    <w:rsid w:val="009727CD"/>
    <w:rsid w:val="00977F4F"/>
    <w:rsid w:val="0098157F"/>
    <w:rsid w:val="009835E4"/>
    <w:rsid w:val="00990027"/>
    <w:rsid w:val="009952FF"/>
    <w:rsid w:val="009958AF"/>
    <w:rsid w:val="00995EE5"/>
    <w:rsid w:val="009A0F82"/>
    <w:rsid w:val="009A1FD5"/>
    <w:rsid w:val="009A254D"/>
    <w:rsid w:val="009A3242"/>
    <w:rsid w:val="009B026A"/>
    <w:rsid w:val="009B12F5"/>
    <w:rsid w:val="009B6971"/>
    <w:rsid w:val="009C04F8"/>
    <w:rsid w:val="009C0764"/>
    <w:rsid w:val="009C0F3F"/>
    <w:rsid w:val="009C3F5F"/>
    <w:rsid w:val="009C4AD5"/>
    <w:rsid w:val="009C5B13"/>
    <w:rsid w:val="009C6D55"/>
    <w:rsid w:val="009C7D3E"/>
    <w:rsid w:val="009C7FB3"/>
    <w:rsid w:val="009D1775"/>
    <w:rsid w:val="009D2243"/>
    <w:rsid w:val="009D280E"/>
    <w:rsid w:val="009D3B18"/>
    <w:rsid w:val="009D5CD9"/>
    <w:rsid w:val="009E18E0"/>
    <w:rsid w:val="009E1AE4"/>
    <w:rsid w:val="009E3651"/>
    <w:rsid w:val="009E4219"/>
    <w:rsid w:val="009E630A"/>
    <w:rsid w:val="009E65C6"/>
    <w:rsid w:val="009E675D"/>
    <w:rsid w:val="009F1692"/>
    <w:rsid w:val="009F1D03"/>
    <w:rsid w:val="009F3F68"/>
    <w:rsid w:val="009F4562"/>
    <w:rsid w:val="009F4BE3"/>
    <w:rsid w:val="009F62C8"/>
    <w:rsid w:val="00A0093B"/>
    <w:rsid w:val="00A01550"/>
    <w:rsid w:val="00A035C4"/>
    <w:rsid w:val="00A04A22"/>
    <w:rsid w:val="00A04D39"/>
    <w:rsid w:val="00A062E1"/>
    <w:rsid w:val="00A064B1"/>
    <w:rsid w:val="00A101DC"/>
    <w:rsid w:val="00A10455"/>
    <w:rsid w:val="00A118CA"/>
    <w:rsid w:val="00A119B0"/>
    <w:rsid w:val="00A12527"/>
    <w:rsid w:val="00A13B6F"/>
    <w:rsid w:val="00A14AA1"/>
    <w:rsid w:val="00A1553E"/>
    <w:rsid w:val="00A15C64"/>
    <w:rsid w:val="00A20C1A"/>
    <w:rsid w:val="00A20C80"/>
    <w:rsid w:val="00A230ED"/>
    <w:rsid w:val="00A2465F"/>
    <w:rsid w:val="00A24B75"/>
    <w:rsid w:val="00A275F9"/>
    <w:rsid w:val="00A30208"/>
    <w:rsid w:val="00A34148"/>
    <w:rsid w:val="00A36DA0"/>
    <w:rsid w:val="00A371E6"/>
    <w:rsid w:val="00A37692"/>
    <w:rsid w:val="00A40A2D"/>
    <w:rsid w:val="00A41BD9"/>
    <w:rsid w:val="00A41D51"/>
    <w:rsid w:val="00A50058"/>
    <w:rsid w:val="00A51622"/>
    <w:rsid w:val="00A51F23"/>
    <w:rsid w:val="00A55169"/>
    <w:rsid w:val="00A55388"/>
    <w:rsid w:val="00A56F3D"/>
    <w:rsid w:val="00A578C5"/>
    <w:rsid w:val="00A610A3"/>
    <w:rsid w:val="00A62C59"/>
    <w:rsid w:val="00A65FCB"/>
    <w:rsid w:val="00A6739D"/>
    <w:rsid w:val="00A72812"/>
    <w:rsid w:val="00A740D5"/>
    <w:rsid w:val="00A741C6"/>
    <w:rsid w:val="00A75638"/>
    <w:rsid w:val="00A7784C"/>
    <w:rsid w:val="00A80C06"/>
    <w:rsid w:val="00A86177"/>
    <w:rsid w:val="00A861E2"/>
    <w:rsid w:val="00A87A5A"/>
    <w:rsid w:val="00A9079D"/>
    <w:rsid w:val="00A92747"/>
    <w:rsid w:val="00A93901"/>
    <w:rsid w:val="00A94B11"/>
    <w:rsid w:val="00A95542"/>
    <w:rsid w:val="00A979BA"/>
    <w:rsid w:val="00A97A52"/>
    <w:rsid w:val="00AA31A7"/>
    <w:rsid w:val="00AA4369"/>
    <w:rsid w:val="00AA4D2B"/>
    <w:rsid w:val="00AA56B9"/>
    <w:rsid w:val="00AA5A81"/>
    <w:rsid w:val="00AA69DE"/>
    <w:rsid w:val="00AB0538"/>
    <w:rsid w:val="00AB072C"/>
    <w:rsid w:val="00AB0C01"/>
    <w:rsid w:val="00AB0D9C"/>
    <w:rsid w:val="00AB1222"/>
    <w:rsid w:val="00AB1B0C"/>
    <w:rsid w:val="00AB2988"/>
    <w:rsid w:val="00AB43A0"/>
    <w:rsid w:val="00AB5B85"/>
    <w:rsid w:val="00AB5D50"/>
    <w:rsid w:val="00AB77A7"/>
    <w:rsid w:val="00AC0A19"/>
    <w:rsid w:val="00AC181A"/>
    <w:rsid w:val="00AC305B"/>
    <w:rsid w:val="00AC3603"/>
    <w:rsid w:val="00AC5966"/>
    <w:rsid w:val="00AD301E"/>
    <w:rsid w:val="00AD4162"/>
    <w:rsid w:val="00AD583B"/>
    <w:rsid w:val="00AD747A"/>
    <w:rsid w:val="00AE1169"/>
    <w:rsid w:val="00AE11D2"/>
    <w:rsid w:val="00AE3544"/>
    <w:rsid w:val="00AE5799"/>
    <w:rsid w:val="00AE653F"/>
    <w:rsid w:val="00AE6A33"/>
    <w:rsid w:val="00AE6B3A"/>
    <w:rsid w:val="00AF17A9"/>
    <w:rsid w:val="00AF1F99"/>
    <w:rsid w:val="00AF35C6"/>
    <w:rsid w:val="00AF4AF1"/>
    <w:rsid w:val="00AF6DD0"/>
    <w:rsid w:val="00B013BF"/>
    <w:rsid w:val="00B031C5"/>
    <w:rsid w:val="00B0394B"/>
    <w:rsid w:val="00B04F5B"/>
    <w:rsid w:val="00B111E7"/>
    <w:rsid w:val="00B12346"/>
    <w:rsid w:val="00B1281E"/>
    <w:rsid w:val="00B13E1F"/>
    <w:rsid w:val="00B144E5"/>
    <w:rsid w:val="00B1495B"/>
    <w:rsid w:val="00B14E96"/>
    <w:rsid w:val="00B14F15"/>
    <w:rsid w:val="00B163C7"/>
    <w:rsid w:val="00B173BB"/>
    <w:rsid w:val="00B17BCB"/>
    <w:rsid w:val="00B20239"/>
    <w:rsid w:val="00B21130"/>
    <w:rsid w:val="00B21B7B"/>
    <w:rsid w:val="00B21ED7"/>
    <w:rsid w:val="00B2389F"/>
    <w:rsid w:val="00B247A4"/>
    <w:rsid w:val="00B249D7"/>
    <w:rsid w:val="00B26009"/>
    <w:rsid w:val="00B30468"/>
    <w:rsid w:val="00B31E19"/>
    <w:rsid w:val="00B31EE2"/>
    <w:rsid w:val="00B33751"/>
    <w:rsid w:val="00B34FBE"/>
    <w:rsid w:val="00B40225"/>
    <w:rsid w:val="00B40BA9"/>
    <w:rsid w:val="00B4211A"/>
    <w:rsid w:val="00B425EF"/>
    <w:rsid w:val="00B46A7D"/>
    <w:rsid w:val="00B5273F"/>
    <w:rsid w:val="00B6006D"/>
    <w:rsid w:val="00B653B4"/>
    <w:rsid w:val="00B6765D"/>
    <w:rsid w:val="00B7293F"/>
    <w:rsid w:val="00B73EC4"/>
    <w:rsid w:val="00B74FE3"/>
    <w:rsid w:val="00B753BF"/>
    <w:rsid w:val="00B75629"/>
    <w:rsid w:val="00B81646"/>
    <w:rsid w:val="00B85D4C"/>
    <w:rsid w:val="00B9247A"/>
    <w:rsid w:val="00B92644"/>
    <w:rsid w:val="00B94967"/>
    <w:rsid w:val="00BA2C97"/>
    <w:rsid w:val="00BA3209"/>
    <w:rsid w:val="00BA3C0C"/>
    <w:rsid w:val="00BA4385"/>
    <w:rsid w:val="00BA7ED0"/>
    <w:rsid w:val="00BB0BED"/>
    <w:rsid w:val="00BB5A56"/>
    <w:rsid w:val="00BB7622"/>
    <w:rsid w:val="00BB7D9C"/>
    <w:rsid w:val="00BC17B8"/>
    <w:rsid w:val="00BC3925"/>
    <w:rsid w:val="00BC527F"/>
    <w:rsid w:val="00BD0472"/>
    <w:rsid w:val="00BD057E"/>
    <w:rsid w:val="00BD2C36"/>
    <w:rsid w:val="00BD3249"/>
    <w:rsid w:val="00BD6110"/>
    <w:rsid w:val="00BD6710"/>
    <w:rsid w:val="00BD6D61"/>
    <w:rsid w:val="00BD6E40"/>
    <w:rsid w:val="00BD7C24"/>
    <w:rsid w:val="00BE016F"/>
    <w:rsid w:val="00BE024F"/>
    <w:rsid w:val="00BE225E"/>
    <w:rsid w:val="00BE24C6"/>
    <w:rsid w:val="00BE31AA"/>
    <w:rsid w:val="00BE3318"/>
    <w:rsid w:val="00BE5470"/>
    <w:rsid w:val="00BE7AF7"/>
    <w:rsid w:val="00BE7C24"/>
    <w:rsid w:val="00BF104C"/>
    <w:rsid w:val="00BF1F2A"/>
    <w:rsid w:val="00BF36BB"/>
    <w:rsid w:val="00BF37F1"/>
    <w:rsid w:val="00BF449A"/>
    <w:rsid w:val="00BF6793"/>
    <w:rsid w:val="00BF7AF2"/>
    <w:rsid w:val="00C00488"/>
    <w:rsid w:val="00C01F81"/>
    <w:rsid w:val="00C02EB8"/>
    <w:rsid w:val="00C03B4F"/>
    <w:rsid w:val="00C0694D"/>
    <w:rsid w:val="00C10CC4"/>
    <w:rsid w:val="00C129BE"/>
    <w:rsid w:val="00C14221"/>
    <w:rsid w:val="00C15D0C"/>
    <w:rsid w:val="00C16C6C"/>
    <w:rsid w:val="00C17EB0"/>
    <w:rsid w:val="00C2478A"/>
    <w:rsid w:val="00C25E2A"/>
    <w:rsid w:val="00C26CB8"/>
    <w:rsid w:val="00C27826"/>
    <w:rsid w:val="00C302D4"/>
    <w:rsid w:val="00C303C4"/>
    <w:rsid w:val="00C3226B"/>
    <w:rsid w:val="00C34E91"/>
    <w:rsid w:val="00C34F6E"/>
    <w:rsid w:val="00C35C61"/>
    <w:rsid w:val="00C368B2"/>
    <w:rsid w:val="00C40707"/>
    <w:rsid w:val="00C436B1"/>
    <w:rsid w:val="00C44A4A"/>
    <w:rsid w:val="00C44F72"/>
    <w:rsid w:val="00C50F16"/>
    <w:rsid w:val="00C51B07"/>
    <w:rsid w:val="00C52A86"/>
    <w:rsid w:val="00C53F46"/>
    <w:rsid w:val="00C55A90"/>
    <w:rsid w:val="00C56E20"/>
    <w:rsid w:val="00C57FC3"/>
    <w:rsid w:val="00C61086"/>
    <w:rsid w:val="00C67A92"/>
    <w:rsid w:val="00C70D3E"/>
    <w:rsid w:val="00C71AAE"/>
    <w:rsid w:val="00C735C6"/>
    <w:rsid w:val="00C748B6"/>
    <w:rsid w:val="00C769BA"/>
    <w:rsid w:val="00C77075"/>
    <w:rsid w:val="00C8000B"/>
    <w:rsid w:val="00C80A0B"/>
    <w:rsid w:val="00C80C33"/>
    <w:rsid w:val="00C80D32"/>
    <w:rsid w:val="00C81F9D"/>
    <w:rsid w:val="00C82BD8"/>
    <w:rsid w:val="00C837B0"/>
    <w:rsid w:val="00C8582D"/>
    <w:rsid w:val="00C90227"/>
    <w:rsid w:val="00C93EFC"/>
    <w:rsid w:val="00C95389"/>
    <w:rsid w:val="00C962C0"/>
    <w:rsid w:val="00C97D4B"/>
    <w:rsid w:val="00CA4763"/>
    <w:rsid w:val="00CA5ED6"/>
    <w:rsid w:val="00CB009E"/>
    <w:rsid w:val="00CB1DA3"/>
    <w:rsid w:val="00CB23F3"/>
    <w:rsid w:val="00CB2FC4"/>
    <w:rsid w:val="00CB56DC"/>
    <w:rsid w:val="00CB57F5"/>
    <w:rsid w:val="00CB61BB"/>
    <w:rsid w:val="00CB68DA"/>
    <w:rsid w:val="00CB7A00"/>
    <w:rsid w:val="00CC0172"/>
    <w:rsid w:val="00CC04C5"/>
    <w:rsid w:val="00CC3747"/>
    <w:rsid w:val="00CC3C00"/>
    <w:rsid w:val="00CC49CD"/>
    <w:rsid w:val="00CC5064"/>
    <w:rsid w:val="00CC68E2"/>
    <w:rsid w:val="00CD064B"/>
    <w:rsid w:val="00CD1318"/>
    <w:rsid w:val="00CD2A16"/>
    <w:rsid w:val="00CD3778"/>
    <w:rsid w:val="00CD715F"/>
    <w:rsid w:val="00CE4BB6"/>
    <w:rsid w:val="00CE535D"/>
    <w:rsid w:val="00CE616E"/>
    <w:rsid w:val="00CF1EB5"/>
    <w:rsid w:val="00CF524D"/>
    <w:rsid w:val="00CF6E99"/>
    <w:rsid w:val="00D01282"/>
    <w:rsid w:val="00D01A3B"/>
    <w:rsid w:val="00D036E6"/>
    <w:rsid w:val="00D043CA"/>
    <w:rsid w:val="00D05612"/>
    <w:rsid w:val="00D05EA8"/>
    <w:rsid w:val="00D068DA"/>
    <w:rsid w:val="00D06FA2"/>
    <w:rsid w:val="00D12691"/>
    <w:rsid w:val="00D12790"/>
    <w:rsid w:val="00D14373"/>
    <w:rsid w:val="00D2193B"/>
    <w:rsid w:val="00D22D7B"/>
    <w:rsid w:val="00D25EE0"/>
    <w:rsid w:val="00D26404"/>
    <w:rsid w:val="00D272F7"/>
    <w:rsid w:val="00D2756F"/>
    <w:rsid w:val="00D276E3"/>
    <w:rsid w:val="00D278C8"/>
    <w:rsid w:val="00D32EE8"/>
    <w:rsid w:val="00D33832"/>
    <w:rsid w:val="00D347B0"/>
    <w:rsid w:val="00D35A8D"/>
    <w:rsid w:val="00D3679C"/>
    <w:rsid w:val="00D40555"/>
    <w:rsid w:val="00D44B03"/>
    <w:rsid w:val="00D4577A"/>
    <w:rsid w:val="00D46351"/>
    <w:rsid w:val="00D5045F"/>
    <w:rsid w:val="00D50A28"/>
    <w:rsid w:val="00D50C7F"/>
    <w:rsid w:val="00D54EDE"/>
    <w:rsid w:val="00D605A3"/>
    <w:rsid w:val="00D62406"/>
    <w:rsid w:val="00D629EB"/>
    <w:rsid w:val="00D62AA5"/>
    <w:rsid w:val="00D636DC"/>
    <w:rsid w:val="00D645A0"/>
    <w:rsid w:val="00D655B8"/>
    <w:rsid w:val="00D65E7D"/>
    <w:rsid w:val="00D66C8C"/>
    <w:rsid w:val="00D67991"/>
    <w:rsid w:val="00D67C24"/>
    <w:rsid w:val="00D701C4"/>
    <w:rsid w:val="00D70269"/>
    <w:rsid w:val="00D703D3"/>
    <w:rsid w:val="00D70575"/>
    <w:rsid w:val="00D7204A"/>
    <w:rsid w:val="00D735DD"/>
    <w:rsid w:val="00D741C2"/>
    <w:rsid w:val="00D75132"/>
    <w:rsid w:val="00D75BD2"/>
    <w:rsid w:val="00D77353"/>
    <w:rsid w:val="00D77A04"/>
    <w:rsid w:val="00D80228"/>
    <w:rsid w:val="00D8230A"/>
    <w:rsid w:val="00D83505"/>
    <w:rsid w:val="00D83E4F"/>
    <w:rsid w:val="00D84D19"/>
    <w:rsid w:val="00D84E7E"/>
    <w:rsid w:val="00D85E07"/>
    <w:rsid w:val="00D85F10"/>
    <w:rsid w:val="00D86CC6"/>
    <w:rsid w:val="00D878D2"/>
    <w:rsid w:val="00D928FD"/>
    <w:rsid w:val="00D960A3"/>
    <w:rsid w:val="00D96807"/>
    <w:rsid w:val="00D978E4"/>
    <w:rsid w:val="00DA29DD"/>
    <w:rsid w:val="00DA5C40"/>
    <w:rsid w:val="00DA630E"/>
    <w:rsid w:val="00DA7A75"/>
    <w:rsid w:val="00DB3C33"/>
    <w:rsid w:val="00DB5C4C"/>
    <w:rsid w:val="00DB7E83"/>
    <w:rsid w:val="00DC0144"/>
    <w:rsid w:val="00DC0434"/>
    <w:rsid w:val="00DC09B1"/>
    <w:rsid w:val="00DC149D"/>
    <w:rsid w:val="00DC1B7C"/>
    <w:rsid w:val="00DC1C24"/>
    <w:rsid w:val="00DC2C49"/>
    <w:rsid w:val="00DC31A8"/>
    <w:rsid w:val="00DC3903"/>
    <w:rsid w:val="00DC4035"/>
    <w:rsid w:val="00DC5A38"/>
    <w:rsid w:val="00DD6BA7"/>
    <w:rsid w:val="00DD79E5"/>
    <w:rsid w:val="00DE057F"/>
    <w:rsid w:val="00DE3738"/>
    <w:rsid w:val="00DE52F5"/>
    <w:rsid w:val="00DE6158"/>
    <w:rsid w:val="00DF164F"/>
    <w:rsid w:val="00DF1989"/>
    <w:rsid w:val="00DF3585"/>
    <w:rsid w:val="00DF4455"/>
    <w:rsid w:val="00DF58FF"/>
    <w:rsid w:val="00DF63F7"/>
    <w:rsid w:val="00DF743D"/>
    <w:rsid w:val="00DF75D9"/>
    <w:rsid w:val="00E017E7"/>
    <w:rsid w:val="00E02346"/>
    <w:rsid w:val="00E02529"/>
    <w:rsid w:val="00E02635"/>
    <w:rsid w:val="00E0370A"/>
    <w:rsid w:val="00E10F6F"/>
    <w:rsid w:val="00E12043"/>
    <w:rsid w:val="00E12DCE"/>
    <w:rsid w:val="00E13710"/>
    <w:rsid w:val="00E1399F"/>
    <w:rsid w:val="00E14685"/>
    <w:rsid w:val="00E17FB1"/>
    <w:rsid w:val="00E30810"/>
    <w:rsid w:val="00E32A48"/>
    <w:rsid w:val="00E32FAC"/>
    <w:rsid w:val="00E34A0D"/>
    <w:rsid w:val="00E3748F"/>
    <w:rsid w:val="00E43DBD"/>
    <w:rsid w:val="00E43EDF"/>
    <w:rsid w:val="00E44BEE"/>
    <w:rsid w:val="00E45CDF"/>
    <w:rsid w:val="00E47966"/>
    <w:rsid w:val="00E509F8"/>
    <w:rsid w:val="00E52379"/>
    <w:rsid w:val="00E52957"/>
    <w:rsid w:val="00E60170"/>
    <w:rsid w:val="00E6096A"/>
    <w:rsid w:val="00E66D64"/>
    <w:rsid w:val="00E71E4E"/>
    <w:rsid w:val="00E7266F"/>
    <w:rsid w:val="00E74C25"/>
    <w:rsid w:val="00E756F6"/>
    <w:rsid w:val="00E76852"/>
    <w:rsid w:val="00E82930"/>
    <w:rsid w:val="00E83D6D"/>
    <w:rsid w:val="00E84C62"/>
    <w:rsid w:val="00E84FA4"/>
    <w:rsid w:val="00E87745"/>
    <w:rsid w:val="00E87A3F"/>
    <w:rsid w:val="00E904A2"/>
    <w:rsid w:val="00E912B3"/>
    <w:rsid w:val="00E91DBD"/>
    <w:rsid w:val="00E9253C"/>
    <w:rsid w:val="00E94665"/>
    <w:rsid w:val="00E947D3"/>
    <w:rsid w:val="00E96FBB"/>
    <w:rsid w:val="00E970CA"/>
    <w:rsid w:val="00EA3814"/>
    <w:rsid w:val="00EA3ED2"/>
    <w:rsid w:val="00EA4465"/>
    <w:rsid w:val="00EA4996"/>
    <w:rsid w:val="00EA4DD1"/>
    <w:rsid w:val="00EA6087"/>
    <w:rsid w:val="00EA6B5E"/>
    <w:rsid w:val="00EA75B1"/>
    <w:rsid w:val="00EB1080"/>
    <w:rsid w:val="00EB325F"/>
    <w:rsid w:val="00EB3708"/>
    <w:rsid w:val="00EB377B"/>
    <w:rsid w:val="00EB4A60"/>
    <w:rsid w:val="00EB57B1"/>
    <w:rsid w:val="00EB7EA5"/>
    <w:rsid w:val="00EC1AAC"/>
    <w:rsid w:val="00EC36A6"/>
    <w:rsid w:val="00EC4AC7"/>
    <w:rsid w:val="00EC6EFF"/>
    <w:rsid w:val="00ED0911"/>
    <w:rsid w:val="00ED3B43"/>
    <w:rsid w:val="00ED515D"/>
    <w:rsid w:val="00ED672A"/>
    <w:rsid w:val="00ED708B"/>
    <w:rsid w:val="00ED73B4"/>
    <w:rsid w:val="00ED75D0"/>
    <w:rsid w:val="00EE13A1"/>
    <w:rsid w:val="00EE43D3"/>
    <w:rsid w:val="00EE5671"/>
    <w:rsid w:val="00EE6A9A"/>
    <w:rsid w:val="00EF0636"/>
    <w:rsid w:val="00EF1213"/>
    <w:rsid w:val="00EF18D8"/>
    <w:rsid w:val="00EF4AA8"/>
    <w:rsid w:val="00EF505D"/>
    <w:rsid w:val="00EF5D0D"/>
    <w:rsid w:val="00F01564"/>
    <w:rsid w:val="00F02805"/>
    <w:rsid w:val="00F0287D"/>
    <w:rsid w:val="00F02A38"/>
    <w:rsid w:val="00F04327"/>
    <w:rsid w:val="00F04499"/>
    <w:rsid w:val="00F0454B"/>
    <w:rsid w:val="00F0656C"/>
    <w:rsid w:val="00F10558"/>
    <w:rsid w:val="00F11A42"/>
    <w:rsid w:val="00F13D37"/>
    <w:rsid w:val="00F17882"/>
    <w:rsid w:val="00F22D85"/>
    <w:rsid w:val="00F242A9"/>
    <w:rsid w:val="00F245E2"/>
    <w:rsid w:val="00F2468E"/>
    <w:rsid w:val="00F24EBC"/>
    <w:rsid w:val="00F26E76"/>
    <w:rsid w:val="00F27460"/>
    <w:rsid w:val="00F303D7"/>
    <w:rsid w:val="00F31C61"/>
    <w:rsid w:val="00F332B6"/>
    <w:rsid w:val="00F34D67"/>
    <w:rsid w:val="00F350C2"/>
    <w:rsid w:val="00F422F1"/>
    <w:rsid w:val="00F42557"/>
    <w:rsid w:val="00F428DB"/>
    <w:rsid w:val="00F4299E"/>
    <w:rsid w:val="00F45491"/>
    <w:rsid w:val="00F45EAD"/>
    <w:rsid w:val="00F52665"/>
    <w:rsid w:val="00F53098"/>
    <w:rsid w:val="00F5336E"/>
    <w:rsid w:val="00F5500C"/>
    <w:rsid w:val="00F61FEE"/>
    <w:rsid w:val="00F62A13"/>
    <w:rsid w:val="00F633BC"/>
    <w:rsid w:val="00F639C8"/>
    <w:rsid w:val="00F63E47"/>
    <w:rsid w:val="00F64931"/>
    <w:rsid w:val="00F64A2A"/>
    <w:rsid w:val="00F66FBA"/>
    <w:rsid w:val="00F67CFA"/>
    <w:rsid w:val="00F70FB1"/>
    <w:rsid w:val="00F7117D"/>
    <w:rsid w:val="00F725F5"/>
    <w:rsid w:val="00F73490"/>
    <w:rsid w:val="00F734AB"/>
    <w:rsid w:val="00F75740"/>
    <w:rsid w:val="00F80439"/>
    <w:rsid w:val="00F83C28"/>
    <w:rsid w:val="00F8637D"/>
    <w:rsid w:val="00F865ED"/>
    <w:rsid w:val="00F86B73"/>
    <w:rsid w:val="00F86C05"/>
    <w:rsid w:val="00F904AD"/>
    <w:rsid w:val="00F94878"/>
    <w:rsid w:val="00F96754"/>
    <w:rsid w:val="00FA04FA"/>
    <w:rsid w:val="00FA4B0E"/>
    <w:rsid w:val="00FA5629"/>
    <w:rsid w:val="00FB130D"/>
    <w:rsid w:val="00FB1ED9"/>
    <w:rsid w:val="00FB396D"/>
    <w:rsid w:val="00FB49ED"/>
    <w:rsid w:val="00FB4E10"/>
    <w:rsid w:val="00FC0D9A"/>
    <w:rsid w:val="00FC113C"/>
    <w:rsid w:val="00FC11D3"/>
    <w:rsid w:val="00FC135D"/>
    <w:rsid w:val="00FC4188"/>
    <w:rsid w:val="00FC76BA"/>
    <w:rsid w:val="00FC7A07"/>
    <w:rsid w:val="00FD0843"/>
    <w:rsid w:val="00FD32B2"/>
    <w:rsid w:val="00FD56D5"/>
    <w:rsid w:val="00FD5E08"/>
    <w:rsid w:val="00FD5EDE"/>
    <w:rsid w:val="00FD6099"/>
    <w:rsid w:val="00FE2A61"/>
    <w:rsid w:val="00FE2B54"/>
    <w:rsid w:val="00FE36C5"/>
    <w:rsid w:val="00FE72A4"/>
    <w:rsid w:val="00FF0A0B"/>
    <w:rsid w:val="00FF0AEE"/>
    <w:rsid w:val="00FF1CB3"/>
    <w:rsid w:val="00FF4167"/>
    <w:rsid w:val="00FF5E6F"/>
    <w:rsid w:val="00FF6DC4"/>
    <w:rsid w:val="00FF7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16F"/>
    <w:rPr>
      <w:sz w:val="20"/>
      <w:szCs w:val="20"/>
    </w:rPr>
  </w:style>
  <w:style w:type="character" w:styleId="FootnoteReference">
    <w:name w:val="footnote reference"/>
    <w:basedOn w:val="DefaultParagraphFont"/>
    <w:uiPriority w:val="99"/>
    <w:semiHidden/>
    <w:unhideWhenUsed/>
    <w:rsid w:val="00BE016F"/>
    <w:rPr>
      <w:vertAlign w:val="superscript"/>
    </w:rPr>
  </w:style>
  <w:style w:type="paragraph" w:styleId="NormalWeb">
    <w:name w:val="Normal (Web)"/>
    <w:basedOn w:val="Normal"/>
    <w:uiPriority w:val="99"/>
    <w:semiHidden/>
    <w:unhideWhenUsed/>
    <w:rsid w:val="00CE4B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E4BB6"/>
    <w:rPr>
      <w:i/>
      <w:iCs/>
    </w:rPr>
  </w:style>
  <w:style w:type="paragraph" w:styleId="BalloonText">
    <w:name w:val="Balloon Text"/>
    <w:basedOn w:val="Normal"/>
    <w:link w:val="BalloonTextChar"/>
    <w:uiPriority w:val="99"/>
    <w:semiHidden/>
    <w:unhideWhenUsed/>
    <w:rsid w:val="007A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F"/>
    <w:rPr>
      <w:rFonts w:ascii="Tahoma" w:hAnsi="Tahoma" w:cs="Tahoma"/>
      <w:sz w:val="16"/>
      <w:szCs w:val="16"/>
    </w:rPr>
  </w:style>
  <w:style w:type="paragraph" w:customStyle="1" w:styleId="Default">
    <w:name w:val="Default"/>
    <w:rsid w:val="007A0D9F"/>
    <w:pPr>
      <w:autoSpaceDE w:val="0"/>
      <w:autoSpaceDN w:val="0"/>
      <w:adjustRightInd w:val="0"/>
      <w:spacing w:after="0" w:line="240" w:lineRule="auto"/>
    </w:pPr>
    <w:rPr>
      <w:rFonts w:ascii="Calibri" w:hAnsi="Calibri" w:cs="Calibri"/>
      <w:color w:val="000000"/>
      <w:sz w:val="24"/>
      <w:szCs w:val="24"/>
    </w:rPr>
  </w:style>
  <w:style w:type="character" w:customStyle="1" w:styleId="CharSectno">
    <w:name w:val="CharSectno"/>
    <w:basedOn w:val="DefaultParagraphFont"/>
    <w:qFormat/>
    <w:rsid w:val="00336BB8"/>
  </w:style>
  <w:style w:type="paragraph" w:customStyle="1" w:styleId="paragraph">
    <w:name w:val="paragraph"/>
    <w:aliases w:val="a"/>
    <w:basedOn w:val="Normal"/>
    <w:link w:val="paragraphChar"/>
    <w:rsid w:val="00336B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336BB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336B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336BB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
    <w:name w:val="ActHead 5"/>
    <w:aliases w:val="s"/>
    <w:basedOn w:val="Normal"/>
    <w:next w:val="subsection"/>
    <w:qFormat/>
    <w:rsid w:val="00336BB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336BB8"/>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336BB8"/>
    <w:rPr>
      <w:rFonts w:ascii="Times New Roman" w:eastAsia="Times New Roman" w:hAnsi="Times New Roman" w:cs="Times New Roman"/>
      <w:szCs w:val="20"/>
      <w:lang w:eastAsia="en-AU"/>
    </w:rPr>
  </w:style>
  <w:style w:type="character" w:customStyle="1" w:styleId="CharSubdText">
    <w:name w:val="CharSubdText"/>
    <w:basedOn w:val="DefaultParagraphFont"/>
    <w:uiPriority w:val="1"/>
    <w:qFormat/>
    <w:rsid w:val="00785704"/>
  </w:style>
  <w:style w:type="paragraph" w:customStyle="1" w:styleId="Brief-BULLET">
    <w:name w:val="Brief - BULLET"/>
    <w:basedOn w:val="Normal"/>
    <w:rsid w:val="00B74FE3"/>
    <w:pPr>
      <w:numPr>
        <w:numId w:val="1"/>
      </w:numPr>
      <w:spacing w:after="0" w:line="240" w:lineRule="auto"/>
    </w:pPr>
    <w:rPr>
      <w:rFonts w:ascii="Calibri" w:eastAsia="Times New Roman" w:hAnsi="Calibri" w:cs="Times New Roman"/>
      <w:sz w:val="24"/>
      <w:szCs w:val="24"/>
      <w:lang w:eastAsia="en-AU"/>
    </w:rPr>
  </w:style>
  <w:style w:type="character" w:styleId="Hyperlink">
    <w:name w:val="Hyperlink"/>
    <w:basedOn w:val="DefaultParagraphFont"/>
    <w:unhideWhenUsed/>
    <w:rsid w:val="008663FD"/>
    <w:rPr>
      <w:color w:val="0000FF" w:themeColor="hyperlink"/>
      <w:u w:val="single"/>
    </w:rPr>
  </w:style>
  <w:style w:type="paragraph" w:styleId="ListParagraph">
    <w:name w:val="List Paragraph"/>
    <w:basedOn w:val="Normal"/>
    <w:uiPriority w:val="34"/>
    <w:qFormat/>
    <w:rsid w:val="00A95542"/>
    <w:pPr>
      <w:ind w:left="720"/>
      <w:contextualSpacing/>
    </w:pPr>
  </w:style>
  <w:style w:type="paragraph" w:customStyle="1" w:styleId="Pa1">
    <w:name w:val="Pa1"/>
    <w:basedOn w:val="Default"/>
    <w:next w:val="Default"/>
    <w:uiPriority w:val="99"/>
    <w:rsid w:val="00E30810"/>
    <w:pPr>
      <w:spacing w:line="241" w:lineRule="atLeast"/>
    </w:pPr>
    <w:rPr>
      <w:rFonts w:ascii="GoodDog" w:hAnsi="GoodDog" w:cstheme="minorBidi"/>
      <w:color w:val="auto"/>
    </w:rPr>
  </w:style>
  <w:style w:type="character" w:customStyle="1" w:styleId="A2">
    <w:name w:val="A2"/>
    <w:uiPriority w:val="99"/>
    <w:rsid w:val="00E30810"/>
    <w:rPr>
      <w:rFonts w:cs="GoodDog"/>
      <w:color w:val="000000"/>
      <w:sz w:val="84"/>
      <w:szCs w:val="84"/>
    </w:rPr>
  </w:style>
  <w:style w:type="character" w:customStyle="1" w:styleId="A3">
    <w:name w:val="A3"/>
    <w:uiPriority w:val="99"/>
    <w:rsid w:val="00E30810"/>
    <w:rPr>
      <w:rFonts w:ascii="Memphis Medium" w:hAnsi="Memphis Medium" w:cs="Memphis Medium"/>
      <w:b/>
      <w:bCs/>
      <w:color w:val="000000"/>
      <w:sz w:val="34"/>
      <w:szCs w:val="34"/>
    </w:rPr>
  </w:style>
  <w:style w:type="character" w:customStyle="1" w:styleId="A1">
    <w:name w:val="A1"/>
    <w:uiPriority w:val="99"/>
    <w:rsid w:val="00E30810"/>
    <w:rPr>
      <w:rFonts w:cs="Memphis Medium"/>
      <w:b/>
      <w:bCs/>
      <w:color w:val="000000"/>
      <w:sz w:val="26"/>
      <w:szCs w:val="26"/>
    </w:rPr>
  </w:style>
  <w:style w:type="paragraph" w:styleId="PlainText">
    <w:name w:val="Plain Text"/>
    <w:basedOn w:val="Normal"/>
    <w:link w:val="PlainTextChar"/>
    <w:uiPriority w:val="99"/>
    <w:semiHidden/>
    <w:unhideWhenUsed/>
    <w:rsid w:val="00E308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30810"/>
    <w:rPr>
      <w:rFonts w:ascii="Calibri" w:hAnsi="Calibri" w:cs="Consolas"/>
      <w:szCs w:val="21"/>
    </w:rPr>
  </w:style>
  <w:style w:type="character" w:customStyle="1" w:styleId="slug-vol">
    <w:name w:val="slug-vol"/>
    <w:basedOn w:val="DefaultParagraphFont"/>
    <w:rsid w:val="0049013E"/>
  </w:style>
  <w:style w:type="character" w:customStyle="1" w:styleId="slug-issue">
    <w:name w:val="slug-issue"/>
    <w:basedOn w:val="DefaultParagraphFont"/>
    <w:rsid w:val="0049013E"/>
  </w:style>
  <w:style w:type="character" w:customStyle="1" w:styleId="slug-pages5">
    <w:name w:val="slug-pages5"/>
    <w:basedOn w:val="DefaultParagraphFont"/>
    <w:rsid w:val="008F2577"/>
    <w:rPr>
      <w:b w:val="0"/>
      <w:bCs w:val="0"/>
    </w:rPr>
  </w:style>
  <w:style w:type="paragraph" w:customStyle="1" w:styleId="portfolio-name1">
    <w:name w:val="portfolio-name1"/>
    <w:basedOn w:val="Normal"/>
    <w:rsid w:val="00022151"/>
    <w:pPr>
      <w:spacing w:before="480" w:after="0" w:line="336" w:lineRule="atLeast"/>
      <w:jc w:val="both"/>
    </w:pPr>
    <w:rPr>
      <w:rFonts w:ascii="Times New Roman" w:eastAsia="Times New Roman" w:hAnsi="Times New Roman" w:cs="Times New Roman"/>
      <w:b/>
      <w:bCs/>
      <w:color w:val="1373C4"/>
      <w:sz w:val="29"/>
      <w:szCs w:val="29"/>
      <w:lang w:eastAsia="en-AU"/>
    </w:rPr>
  </w:style>
  <w:style w:type="paragraph" w:customStyle="1" w:styleId="Bulletform">
    <w:name w:val="Bullet form"/>
    <w:basedOn w:val="Normal"/>
    <w:rsid w:val="00FB4E10"/>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BF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93"/>
  </w:style>
  <w:style w:type="paragraph" w:styleId="Footer">
    <w:name w:val="footer"/>
    <w:basedOn w:val="Normal"/>
    <w:link w:val="FooterChar"/>
    <w:uiPriority w:val="99"/>
    <w:unhideWhenUsed/>
    <w:rsid w:val="00BF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93"/>
  </w:style>
  <w:style w:type="paragraph" w:customStyle="1" w:styleId="FooterRight">
    <w:name w:val="Footer Right"/>
    <w:basedOn w:val="Footer"/>
    <w:uiPriority w:val="35"/>
    <w:qFormat/>
    <w:rsid w:val="00BF6793"/>
    <w:pPr>
      <w:pBdr>
        <w:top w:val="dashed" w:sz="4" w:space="18" w:color="7F7F7F"/>
      </w:pBdr>
      <w:tabs>
        <w:tab w:val="clear" w:pos="4513"/>
        <w:tab w:val="clear" w:pos="9026"/>
        <w:tab w:val="center" w:pos="4320"/>
        <w:tab w:val="right" w:pos="8640"/>
      </w:tabs>
      <w:spacing w:after="200"/>
      <w:contextualSpacing/>
      <w:jc w:val="right"/>
    </w:pPr>
    <w:rPr>
      <w:rFonts w:cs="Times New Roman"/>
      <w:color w:val="7F7F7F" w:themeColor="text1" w:themeTint="80"/>
      <w:sz w:val="20"/>
      <w:szCs w:val="18"/>
      <w:lang w:val="en-US" w:eastAsia="ja-JP"/>
    </w:rPr>
  </w:style>
  <w:style w:type="paragraph" w:customStyle="1" w:styleId="FooterEven">
    <w:name w:val="Footer Even"/>
    <w:basedOn w:val="Normal"/>
    <w:qFormat/>
    <w:rsid w:val="0037576B"/>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customStyle="1" w:styleId="FooterOdd">
    <w:name w:val="Footer Odd"/>
    <w:basedOn w:val="Normal"/>
    <w:qFormat/>
    <w:rsid w:val="0037576B"/>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CommentReference">
    <w:name w:val="annotation reference"/>
    <w:basedOn w:val="DefaultParagraphFont"/>
    <w:uiPriority w:val="99"/>
    <w:semiHidden/>
    <w:unhideWhenUsed/>
    <w:rsid w:val="00C2478A"/>
    <w:rPr>
      <w:sz w:val="16"/>
      <w:szCs w:val="16"/>
    </w:rPr>
  </w:style>
  <w:style w:type="paragraph" w:styleId="CommentText">
    <w:name w:val="annotation text"/>
    <w:basedOn w:val="Normal"/>
    <w:link w:val="CommentTextChar"/>
    <w:uiPriority w:val="99"/>
    <w:semiHidden/>
    <w:unhideWhenUsed/>
    <w:rsid w:val="00C2478A"/>
    <w:pPr>
      <w:spacing w:line="240" w:lineRule="auto"/>
    </w:pPr>
    <w:rPr>
      <w:sz w:val="20"/>
      <w:szCs w:val="20"/>
    </w:rPr>
  </w:style>
  <w:style w:type="character" w:customStyle="1" w:styleId="CommentTextChar">
    <w:name w:val="Comment Text Char"/>
    <w:basedOn w:val="DefaultParagraphFont"/>
    <w:link w:val="CommentText"/>
    <w:uiPriority w:val="99"/>
    <w:semiHidden/>
    <w:rsid w:val="00C2478A"/>
    <w:rPr>
      <w:sz w:val="20"/>
      <w:szCs w:val="20"/>
    </w:rPr>
  </w:style>
  <w:style w:type="paragraph" w:styleId="CommentSubject">
    <w:name w:val="annotation subject"/>
    <w:basedOn w:val="CommentText"/>
    <w:next w:val="CommentText"/>
    <w:link w:val="CommentSubjectChar"/>
    <w:uiPriority w:val="99"/>
    <w:semiHidden/>
    <w:unhideWhenUsed/>
    <w:rsid w:val="00C2478A"/>
    <w:rPr>
      <w:b/>
      <w:bCs/>
    </w:rPr>
  </w:style>
  <w:style w:type="character" w:customStyle="1" w:styleId="CommentSubjectChar">
    <w:name w:val="Comment Subject Char"/>
    <w:basedOn w:val="CommentTextChar"/>
    <w:link w:val="CommentSubject"/>
    <w:uiPriority w:val="99"/>
    <w:semiHidden/>
    <w:rsid w:val="00C2478A"/>
    <w:rPr>
      <w:b/>
      <w:bCs/>
      <w:sz w:val="20"/>
      <w:szCs w:val="20"/>
    </w:rPr>
  </w:style>
  <w:style w:type="paragraph" w:customStyle="1" w:styleId="Finding">
    <w:name w:val="Finding"/>
    <w:basedOn w:val="BodyText"/>
    <w:rsid w:val="00A24B75"/>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RecTitle">
    <w:name w:val="Rec Title"/>
    <w:basedOn w:val="BodyText"/>
    <w:next w:val="Normal"/>
    <w:rsid w:val="00A24B75"/>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Bullet">
    <w:name w:val="Rec Bullet"/>
    <w:basedOn w:val="Normal"/>
    <w:rsid w:val="00A24B75"/>
    <w:pPr>
      <w:keepLines/>
      <w:numPr>
        <w:numId w:val="3"/>
      </w:numPr>
      <w:spacing w:before="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A24B75"/>
    <w:pPr>
      <w:spacing w:after="120"/>
    </w:pPr>
  </w:style>
  <w:style w:type="character" w:customStyle="1" w:styleId="BodyTextChar">
    <w:name w:val="Body Text Char"/>
    <w:basedOn w:val="DefaultParagraphFont"/>
    <w:link w:val="BodyText"/>
    <w:uiPriority w:val="99"/>
    <w:semiHidden/>
    <w:rsid w:val="00A24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16F"/>
    <w:rPr>
      <w:sz w:val="20"/>
      <w:szCs w:val="20"/>
    </w:rPr>
  </w:style>
  <w:style w:type="character" w:styleId="FootnoteReference">
    <w:name w:val="footnote reference"/>
    <w:basedOn w:val="DefaultParagraphFont"/>
    <w:uiPriority w:val="99"/>
    <w:semiHidden/>
    <w:unhideWhenUsed/>
    <w:rsid w:val="00BE016F"/>
    <w:rPr>
      <w:vertAlign w:val="superscript"/>
    </w:rPr>
  </w:style>
  <w:style w:type="paragraph" w:styleId="NormalWeb">
    <w:name w:val="Normal (Web)"/>
    <w:basedOn w:val="Normal"/>
    <w:uiPriority w:val="99"/>
    <w:semiHidden/>
    <w:unhideWhenUsed/>
    <w:rsid w:val="00CE4B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E4BB6"/>
    <w:rPr>
      <w:i/>
      <w:iCs/>
    </w:rPr>
  </w:style>
  <w:style w:type="paragraph" w:styleId="BalloonText">
    <w:name w:val="Balloon Text"/>
    <w:basedOn w:val="Normal"/>
    <w:link w:val="BalloonTextChar"/>
    <w:uiPriority w:val="99"/>
    <w:semiHidden/>
    <w:unhideWhenUsed/>
    <w:rsid w:val="007A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9F"/>
    <w:rPr>
      <w:rFonts w:ascii="Tahoma" w:hAnsi="Tahoma" w:cs="Tahoma"/>
      <w:sz w:val="16"/>
      <w:szCs w:val="16"/>
    </w:rPr>
  </w:style>
  <w:style w:type="paragraph" w:customStyle="1" w:styleId="Default">
    <w:name w:val="Default"/>
    <w:rsid w:val="007A0D9F"/>
    <w:pPr>
      <w:autoSpaceDE w:val="0"/>
      <w:autoSpaceDN w:val="0"/>
      <w:adjustRightInd w:val="0"/>
      <w:spacing w:after="0" w:line="240" w:lineRule="auto"/>
    </w:pPr>
    <w:rPr>
      <w:rFonts w:ascii="Calibri" w:hAnsi="Calibri" w:cs="Calibri"/>
      <w:color w:val="000000"/>
      <w:sz w:val="24"/>
      <w:szCs w:val="24"/>
    </w:rPr>
  </w:style>
  <w:style w:type="character" w:customStyle="1" w:styleId="CharSectno">
    <w:name w:val="CharSectno"/>
    <w:basedOn w:val="DefaultParagraphFont"/>
    <w:qFormat/>
    <w:rsid w:val="00336BB8"/>
  </w:style>
  <w:style w:type="paragraph" w:customStyle="1" w:styleId="paragraph">
    <w:name w:val="paragraph"/>
    <w:aliases w:val="a"/>
    <w:basedOn w:val="Normal"/>
    <w:link w:val="paragraphChar"/>
    <w:rsid w:val="00336BB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336BB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336B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336BB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ActHead5">
    <w:name w:val="ActHead 5"/>
    <w:aliases w:val="s"/>
    <w:basedOn w:val="Normal"/>
    <w:next w:val="subsection"/>
    <w:qFormat/>
    <w:rsid w:val="00336BB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paragraphChar">
    <w:name w:val="paragraph Char"/>
    <w:aliases w:val="a Char"/>
    <w:basedOn w:val="DefaultParagraphFont"/>
    <w:link w:val="paragraph"/>
    <w:rsid w:val="00336BB8"/>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336BB8"/>
    <w:rPr>
      <w:rFonts w:ascii="Times New Roman" w:eastAsia="Times New Roman" w:hAnsi="Times New Roman" w:cs="Times New Roman"/>
      <w:szCs w:val="20"/>
      <w:lang w:eastAsia="en-AU"/>
    </w:rPr>
  </w:style>
  <w:style w:type="character" w:customStyle="1" w:styleId="CharSubdText">
    <w:name w:val="CharSubdText"/>
    <w:basedOn w:val="DefaultParagraphFont"/>
    <w:uiPriority w:val="1"/>
    <w:qFormat/>
    <w:rsid w:val="00785704"/>
  </w:style>
  <w:style w:type="paragraph" w:customStyle="1" w:styleId="Brief-BULLET">
    <w:name w:val="Brief - BULLET"/>
    <w:basedOn w:val="Normal"/>
    <w:rsid w:val="00B74FE3"/>
    <w:pPr>
      <w:numPr>
        <w:numId w:val="1"/>
      </w:numPr>
      <w:spacing w:after="0" w:line="240" w:lineRule="auto"/>
    </w:pPr>
    <w:rPr>
      <w:rFonts w:ascii="Calibri" w:eastAsia="Times New Roman" w:hAnsi="Calibri" w:cs="Times New Roman"/>
      <w:sz w:val="24"/>
      <w:szCs w:val="24"/>
      <w:lang w:eastAsia="en-AU"/>
    </w:rPr>
  </w:style>
  <w:style w:type="character" w:styleId="Hyperlink">
    <w:name w:val="Hyperlink"/>
    <w:basedOn w:val="DefaultParagraphFont"/>
    <w:unhideWhenUsed/>
    <w:rsid w:val="008663FD"/>
    <w:rPr>
      <w:color w:val="0000FF" w:themeColor="hyperlink"/>
      <w:u w:val="single"/>
    </w:rPr>
  </w:style>
  <w:style w:type="paragraph" w:styleId="ListParagraph">
    <w:name w:val="List Paragraph"/>
    <w:basedOn w:val="Normal"/>
    <w:uiPriority w:val="34"/>
    <w:qFormat/>
    <w:rsid w:val="00A95542"/>
    <w:pPr>
      <w:ind w:left="720"/>
      <w:contextualSpacing/>
    </w:pPr>
  </w:style>
  <w:style w:type="paragraph" w:customStyle="1" w:styleId="Pa1">
    <w:name w:val="Pa1"/>
    <w:basedOn w:val="Default"/>
    <w:next w:val="Default"/>
    <w:uiPriority w:val="99"/>
    <w:rsid w:val="00E30810"/>
    <w:pPr>
      <w:spacing w:line="241" w:lineRule="atLeast"/>
    </w:pPr>
    <w:rPr>
      <w:rFonts w:ascii="GoodDog" w:hAnsi="GoodDog" w:cstheme="minorBidi"/>
      <w:color w:val="auto"/>
    </w:rPr>
  </w:style>
  <w:style w:type="character" w:customStyle="1" w:styleId="A2">
    <w:name w:val="A2"/>
    <w:uiPriority w:val="99"/>
    <w:rsid w:val="00E30810"/>
    <w:rPr>
      <w:rFonts w:cs="GoodDog"/>
      <w:color w:val="000000"/>
      <w:sz w:val="84"/>
      <w:szCs w:val="84"/>
    </w:rPr>
  </w:style>
  <w:style w:type="character" w:customStyle="1" w:styleId="A3">
    <w:name w:val="A3"/>
    <w:uiPriority w:val="99"/>
    <w:rsid w:val="00E30810"/>
    <w:rPr>
      <w:rFonts w:ascii="Memphis Medium" w:hAnsi="Memphis Medium" w:cs="Memphis Medium"/>
      <w:b/>
      <w:bCs/>
      <w:color w:val="000000"/>
      <w:sz w:val="34"/>
      <w:szCs w:val="34"/>
    </w:rPr>
  </w:style>
  <w:style w:type="character" w:customStyle="1" w:styleId="A1">
    <w:name w:val="A1"/>
    <w:uiPriority w:val="99"/>
    <w:rsid w:val="00E30810"/>
    <w:rPr>
      <w:rFonts w:cs="Memphis Medium"/>
      <w:b/>
      <w:bCs/>
      <w:color w:val="000000"/>
      <w:sz w:val="26"/>
      <w:szCs w:val="26"/>
    </w:rPr>
  </w:style>
  <w:style w:type="paragraph" w:styleId="PlainText">
    <w:name w:val="Plain Text"/>
    <w:basedOn w:val="Normal"/>
    <w:link w:val="PlainTextChar"/>
    <w:uiPriority w:val="99"/>
    <w:semiHidden/>
    <w:unhideWhenUsed/>
    <w:rsid w:val="00E308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30810"/>
    <w:rPr>
      <w:rFonts w:ascii="Calibri" w:hAnsi="Calibri" w:cs="Consolas"/>
      <w:szCs w:val="21"/>
    </w:rPr>
  </w:style>
  <w:style w:type="character" w:customStyle="1" w:styleId="slug-vol">
    <w:name w:val="slug-vol"/>
    <w:basedOn w:val="DefaultParagraphFont"/>
    <w:rsid w:val="0049013E"/>
  </w:style>
  <w:style w:type="character" w:customStyle="1" w:styleId="slug-issue">
    <w:name w:val="slug-issue"/>
    <w:basedOn w:val="DefaultParagraphFont"/>
    <w:rsid w:val="0049013E"/>
  </w:style>
  <w:style w:type="character" w:customStyle="1" w:styleId="slug-pages5">
    <w:name w:val="slug-pages5"/>
    <w:basedOn w:val="DefaultParagraphFont"/>
    <w:rsid w:val="008F2577"/>
    <w:rPr>
      <w:b w:val="0"/>
      <w:bCs w:val="0"/>
    </w:rPr>
  </w:style>
  <w:style w:type="paragraph" w:customStyle="1" w:styleId="portfolio-name1">
    <w:name w:val="portfolio-name1"/>
    <w:basedOn w:val="Normal"/>
    <w:rsid w:val="00022151"/>
    <w:pPr>
      <w:spacing w:before="480" w:after="0" w:line="336" w:lineRule="atLeast"/>
      <w:jc w:val="both"/>
    </w:pPr>
    <w:rPr>
      <w:rFonts w:ascii="Times New Roman" w:eastAsia="Times New Roman" w:hAnsi="Times New Roman" w:cs="Times New Roman"/>
      <w:b/>
      <w:bCs/>
      <w:color w:val="1373C4"/>
      <w:sz w:val="29"/>
      <w:szCs w:val="29"/>
      <w:lang w:eastAsia="en-AU"/>
    </w:rPr>
  </w:style>
  <w:style w:type="paragraph" w:customStyle="1" w:styleId="Bulletform">
    <w:name w:val="Bullet form"/>
    <w:basedOn w:val="Normal"/>
    <w:rsid w:val="00FB4E10"/>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BF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93"/>
  </w:style>
  <w:style w:type="paragraph" w:styleId="Footer">
    <w:name w:val="footer"/>
    <w:basedOn w:val="Normal"/>
    <w:link w:val="FooterChar"/>
    <w:uiPriority w:val="99"/>
    <w:unhideWhenUsed/>
    <w:rsid w:val="00BF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93"/>
  </w:style>
  <w:style w:type="paragraph" w:customStyle="1" w:styleId="FooterRight">
    <w:name w:val="Footer Right"/>
    <w:basedOn w:val="Footer"/>
    <w:uiPriority w:val="35"/>
    <w:qFormat/>
    <w:rsid w:val="00BF6793"/>
    <w:pPr>
      <w:pBdr>
        <w:top w:val="dashed" w:sz="4" w:space="18" w:color="7F7F7F"/>
      </w:pBdr>
      <w:tabs>
        <w:tab w:val="clear" w:pos="4513"/>
        <w:tab w:val="clear" w:pos="9026"/>
        <w:tab w:val="center" w:pos="4320"/>
        <w:tab w:val="right" w:pos="8640"/>
      </w:tabs>
      <w:spacing w:after="200"/>
      <w:contextualSpacing/>
      <w:jc w:val="right"/>
    </w:pPr>
    <w:rPr>
      <w:rFonts w:cs="Times New Roman"/>
      <w:color w:val="7F7F7F" w:themeColor="text1" w:themeTint="80"/>
      <w:sz w:val="20"/>
      <w:szCs w:val="18"/>
      <w:lang w:val="en-US" w:eastAsia="ja-JP"/>
    </w:rPr>
  </w:style>
  <w:style w:type="paragraph" w:customStyle="1" w:styleId="FooterEven">
    <w:name w:val="Footer Even"/>
    <w:basedOn w:val="Normal"/>
    <w:qFormat/>
    <w:rsid w:val="0037576B"/>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customStyle="1" w:styleId="FooterOdd">
    <w:name w:val="Footer Odd"/>
    <w:basedOn w:val="Normal"/>
    <w:qFormat/>
    <w:rsid w:val="0037576B"/>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CommentReference">
    <w:name w:val="annotation reference"/>
    <w:basedOn w:val="DefaultParagraphFont"/>
    <w:uiPriority w:val="99"/>
    <w:semiHidden/>
    <w:unhideWhenUsed/>
    <w:rsid w:val="00C2478A"/>
    <w:rPr>
      <w:sz w:val="16"/>
      <w:szCs w:val="16"/>
    </w:rPr>
  </w:style>
  <w:style w:type="paragraph" w:styleId="CommentText">
    <w:name w:val="annotation text"/>
    <w:basedOn w:val="Normal"/>
    <w:link w:val="CommentTextChar"/>
    <w:uiPriority w:val="99"/>
    <w:semiHidden/>
    <w:unhideWhenUsed/>
    <w:rsid w:val="00C2478A"/>
    <w:pPr>
      <w:spacing w:line="240" w:lineRule="auto"/>
    </w:pPr>
    <w:rPr>
      <w:sz w:val="20"/>
      <w:szCs w:val="20"/>
    </w:rPr>
  </w:style>
  <w:style w:type="character" w:customStyle="1" w:styleId="CommentTextChar">
    <w:name w:val="Comment Text Char"/>
    <w:basedOn w:val="DefaultParagraphFont"/>
    <w:link w:val="CommentText"/>
    <w:uiPriority w:val="99"/>
    <w:semiHidden/>
    <w:rsid w:val="00C2478A"/>
    <w:rPr>
      <w:sz w:val="20"/>
      <w:szCs w:val="20"/>
    </w:rPr>
  </w:style>
  <w:style w:type="paragraph" w:styleId="CommentSubject">
    <w:name w:val="annotation subject"/>
    <w:basedOn w:val="CommentText"/>
    <w:next w:val="CommentText"/>
    <w:link w:val="CommentSubjectChar"/>
    <w:uiPriority w:val="99"/>
    <w:semiHidden/>
    <w:unhideWhenUsed/>
    <w:rsid w:val="00C2478A"/>
    <w:rPr>
      <w:b/>
      <w:bCs/>
    </w:rPr>
  </w:style>
  <w:style w:type="character" w:customStyle="1" w:styleId="CommentSubjectChar">
    <w:name w:val="Comment Subject Char"/>
    <w:basedOn w:val="CommentTextChar"/>
    <w:link w:val="CommentSubject"/>
    <w:uiPriority w:val="99"/>
    <w:semiHidden/>
    <w:rsid w:val="00C2478A"/>
    <w:rPr>
      <w:b/>
      <w:bCs/>
      <w:sz w:val="20"/>
      <w:szCs w:val="20"/>
    </w:rPr>
  </w:style>
  <w:style w:type="paragraph" w:customStyle="1" w:styleId="Finding">
    <w:name w:val="Finding"/>
    <w:basedOn w:val="BodyText"/>
    <w:rsid w:val="00A24B75"/>
    <w:pPr>
      <w:keepLines/>
      <w:spacing w:before="180" w:after="0" w:line="320" w:lineRule="atLeast"/>
      <w:jc w:val="both"/>
    </w:pPr>
    <w:rPr>
      <w:rFonts w:ascii="Times New Roman" w:eastAsia="Times New Roman" w:hAnsi="Times New Roman" w:cs="Times New Roman"/>
      <w:i/>
      <w:sz w:val="26"/>
      <w:szCs w:val="20"/>
      <w:lang w:eastAsia="en-AU"/>
    </w:rPr>
  </w:style>
  <w:style w:type="paragraph" w:customStyle="1" w:styleId="RecTitle">
    <w:name w:val="Rec Title"/>
    <w:basedOn w:val="BodyText"/>
    <w:next w:val="Normal"/>
    <w:rsid w:val="00A24B75"/>
    <w:pPr>
      <w:keepNext/>
      <w:keepLines/>
      <w:spacing w:before="240" w:after="0" w:line="320" w:lineRule="atLeast"/>
      <w:jc w:val="both"/>
    </w:pPr>
    <w:rPr>
      <w:rFonts w:ascii="Times New Roman" w:eastAsia="Times New Roman" w:hAnsi="Times New Roman" w:cs="Times New Roman"/>
      <w:caps/>
      <w:sz w:val="20"/>
      <w:szCs w:val="20"/>
      <w:lang w:eastAsia="en-AU"/>
    </w:rPr>
  </w:style>
  <w:style w:type="paragraph" w:customStyle="1" w:styleId="RecBullet">
    <w:name w:val="Rec Bullet"/>
    <w:basedOn w:val="Normal"/>
    <w:rsid w:val="00A24B75"/>
    <w:pPr>
      <w:keepLines/>
      <w:numPr>
        <w:numId w:val="3"/>
      </w:numPr>
      <w:spacing w:before="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A24B75"/>
    <w:pPr>
      <w:spacing w:after="120"/>
    </w:pPr>
  </w:style>
  <w:style w:type="character" w:customStyle="1" w:styleId="BodyTextChar">
    <w:name w:val="Body Text Char"/>
    <w:basedOn w:val="DefaultParagraphFont"/>
    <w:link w:val="BodyText"/>
    <w:uiPriority w:val="99"/>
    <w:semiHidden/>
    <w:rsid w:val="00A2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81265">
      <w:bodyDiv w:val="1"/>
      <w:marLeft w:val="0"/>
      <w:marRight w:val="0"/>
      <w:marTop w:val="0"/>
      <w:marBottom w:val="0"/>
      <w:divBdr>
        <w:top w:val="none" w:sz="0" w:space="0" w:color="auto"/>
        <w:left w:val="none" w:sz="0" w:space="0" w:color="auto"/>
        <w:bottom w:val="none" w:sz="0" w:space="0" w:color="auto"/>
        <w:right w:val="none" w:sz="0" w:space="0" w:color="auto"/>
      </w:divBdr>
      <w:divsChild>
        <w:div w:id="1372654808">
          <w:marLeft w:val="0"/>
          <w:marRight w:val="0"/>
          <w:marTop w:val="0"/>
          <w:marBottom w:val="0"/>
          <w:divBdr>
            <w:top w:val="none" w:sz="0" w:space="0" w:color="auto"/>
            <w:left w:val="none" w:sz="0" w:space="0" w:color="auto"/>
            <w:bottom w:val="none" w:sz="0" w:space="0" w:color="auto"/>
            <w:right w:val="none" w:sz="0" w:space="0" w:color="auto"/>
          </w:divBdr>
          <w:divsChild>
            <w:div w:id="444813376">
              <w:marLeft w:val="0"/>
              <w:marRight w:val="0"/>
              <w:marTop w:val="0"/>
              <w:marBottom w:val="0"/>
              <w:divBdr>
                <w:top w:val="none" w:sz="0" w:space="0" w:color="auto"/>
                <w:left w:val="none" w:sz="0" w:space="0" w:color="auto"/>
                <w:bottom w:val="none" w:sz="0" w:space="0" w:color="auto"/>
                <w:right w:val="none" w:sz="0" w:space="0" w:color="auto"/>
              </w:divBdr>
              <w:divsChild>
                <w:div w:id="1231621985">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96981563">
      <w:bodyDiv w:val="1"/>
      <w:marLeft w:val="0"/>
      <w:marRight w:val="0"/>
      <w:marTop w:val="0"/>
      <w:marBottom w:val="0"/>
      <w:divBdr>
        <w:top w:val="none" w:sz="0" w:space="0" w:color="auto"/>
        <w:left w:val="none" w:sz="0" w:space="0" w:color="auto"/>
        <w:bottom w:val="none" w:sz="0" w:space="0" w:color="auto"/>
        <w:right w:val="none" w:sz="0" w:space="0" w:color="auto"/>
      </w:divBdr>
      <w:divsChild>
        <w:div w:id="2002076885">
          <w:marLeft w:val="0"/>
          <w:marRight w:val="0"/>
          <w:marTop w:val="0"/>
          <w:marBottom w:val="0"/>
          <w:divBdr>
            <w:top w:val="none" w:sz="0" w:space="0" w:color="auto"/>
            <w:left w:val="none" w:sz="0" w:space="0" w:color="auto"/>
            <w:bottom w:val="none" w:sz="0" w:space="0" w:color="auto"/>
            <w:right w:val="none" w:sz="0" w:space="0" w:color="auto"/>
          </w:divBdr>
          <w:divsChild>
            <w:div w:id="858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iatrics.aappublications.org/content/129/1/e224.full.pdf+html" TargetMode="External"/><Relationship Id="rId18" Type="http://schemas.openxmlformats.org/officeDocument/2006/relationships/hyperlink" Target="http://docs.education.gov.au/system/files/doc/other/a_guide_to_special_child_care_benefi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evelopingchild.harvard.edu"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developingchild.harvard.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ss.gov.au/sites/default/files/documents/05_2013/nfpac_ar_final_v4.pdf" TargetMode="External"/><Relationship Id="rId20" Type="http://schemas.openxmlformats.org/officeDocument/2006/relationships/hyperlink" Target="http://insights.unimelb.edu.au/vol10/03_Hill_Borland.html"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stanford.edu/group/scspi/_media/pdf/pathways/winter_2011/PathwaysWinter11_Shonkoff.pdf" TargetMode="External"/><Relationship Id="rId5" Type="http://schemas.openxmlformats.org/officeDocument/2006/relationships/settings" Target="settings.xml"/><Relationship Id="rId15" Type="http://schemas.openxmlformats.org/officeDocument/2006/relationships/hyperlink" Target="http://www.pcfk.on.ca/PDFs/Research_Ken/ReversingBrainDrain.pdf" TargetMode="External"/><Relationship Id="rId23" Type="http://schemas.openxmlformats.org/officeDocument/2006/relationships/hyperlink" Target="http://www.sciencemag.org/content/333/6045/982.abstract" TargetMode="External"/><Relationship Id="rId28" Type="http://schemas.openxmlformats.org/officeDocument/2006/relationships/theme" Target="theme/theme1.xml"/><Relationship Id="rId19" Type="http://schemas.openxmlformats.org/officeDocument/2006/relationships/hyperlink" Target="http://jenni.uchicago.edu/human-inequality/papers/Heckman_final_all_wp_2007-03-22c_jsb.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udget.gov.au/2009-10/content/bp2/html/bp2_expense-13.htm" TargetMode="External"/><Relationship Id="rId22" Type="http://schemas.openxmlformats.org/officeDocument/2006/relationships/hyperlink" Target="http://www.developingchild.harvard.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2D8F-0E0B-4197-BDD5-B4437A72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Submission DR582 - Antipodean Family Foundation - Childcare and Early Childhood Learning - Public inquiry</vt:lpstr>
    </vt:vector>
  </TitlesOfParts>
  <Company/>
  <LinksUpToDate>false</LinksUpToDate>
  <CharactersWithSpaces>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DR582 - Antipodean Family Foundation - Childcare and Early Childhood Learning - Public inquiry</dc:title>
  <dc:creator>Antipodean Family Foundation</dc:creator>
  <cp:lastModifiedBy>Pimperl, Mark</cp:lastModifiedBy>
  <cp:revision>4</cp:revision>
  <cp:lastPrinted>2014-08-28T00:35:00Z</cp:lastPrinted>
  <dcterms:created xsi:type="dcterms:W3CDTF">2014-09-02T11:37:00Z</dcterms:created>
  <dcterms:modified xsi:type="dcterms:W3CDTF">2014-09-04T23:18:00Z</dcterms:modified>
</cp:coreProperties>
</file>