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Dear Productivity Commission,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Thank you for taking the time to produce the report and also for reading my submission. I own a small centre on the south coast of NSW and have a few issues I would like to make a contribution with.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biggest issue in our rural area is the loss of subsidy </w:t>
      </w:r>
      <w:proofErr w:type="gramStart"/>
      <w:r>
        <w:rPr>
          <w:rFonts w:ascii="Arial" w:eastAsia="Times New Roman" w:hAnsi="Arial" w:cs="Arial"/>
          <w:sz w:val="20"/>
          <w:szCs w:val="20"/>
        </w:rPr>
        <w:t>for  families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with one parent who does not work/study/train. These parents are currently only entitled for subsidy for 24 hours of care. If these rural families, taking the time to raise their children, do not receive a subsidy, they will not be able to afford care for their children at all. Most of these families are on a low income as they have chosen a rural lifestyle rather than a higher paid wage in a city environment.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lack of subsidy goes against the current recommendation that all children receive an early childhood education of 15 hours per week before they attend school. Approximately 30% of our </w:t>
      </w:r>
      <w:proofErr w:type="spellStart"/>
      <w:r>
        <w:rPr>
          <w:rFonts w:ascii="Arial" w:eastAsia="Times New Roman" w:hAnsi="Arial" w:cs="Arial"/>
          <w:sz w:val="20"/>
          <w:szCs w:val="20"/>
        </w:rPr>
        <w:t>enrollments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are in this category of 24 hours which rules out these children attending!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Other than that, I have read that you have considered many factors, which I applaud. I will add my two bob to the original considerations below: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7325E" w:rsidRDefault="0007325E" w:rsidP="009F05BD">
      <w:pPr>
        <w:numPr>
          <w:ilvl w:val="0"/>
          <w:numId w:val="1"/>
        </w:numPr>
        <w:shd w:val="clear" w:color="auto" w:fill="FFFFFF"/>
        <w:spacing w:after="75" w:line="336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</w:rPr>
      </w:pPr>
      <w:r>
        <w:rPr>
          <w:rFonts w:ascii="Verdana" w:eastAsia="Times New Roman" w:hAnsi="Verdana" w:cs="Arial"/>
          <w:color w:val="333333"/>
          <w:sz w:val="18"/>
          <w:szCs w:val="18"/>
        </w:rPr>
        <w:t>the contribution of childcare to workforce participation and child development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As the Government is currently encouraging parents to return to work after maternity leave, childcare will need to be more readily available.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7325E" w:rsidRDefault="0007325E" w:rsidP="009F05BD">
      <w:pPr>
        <w:numPr>
          <w:ilvl w:val="0"/>
          <w:numId w:val="2"/>
        </w:numPr>
        <w:shd w:val="clear" w:color="auto" w:fill="FFFFFF"/>
        <w:spacing w:after="75" w:line="336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</w:rPr>
      </w:pPr>
      <w:r>
        <w:rPr>
          <w:rFonts w:ascii="Verdana" w:eastAsia="Times New Roman" w:hAnsi="Verdana" w:cs="Arial"/>
          <w:color w:val="333333"/>
          <w:sz w:val="18"/>
          <w:szCs w:val="18"/>
        </w:rPr>
        <w:t>current and future need for childcare in Australia, particularly given changes in work patterns, early learning needs, childcare affordability and government assistance</w:t>
      </w:r>
    </w:p>
    <w:p w:rsidR="0007325E" w:rsidRDefault="0007325E" w:rsidP="009F05BD">
      <w:pPr>
        <w:numPr>
          <w:ilvl w:val="0"/>
          <w:numId w:val="2"/>
        </w:numPr>
        <w:shd w:val="clear" w:color="auto" w:fill="FFFFFF"/>
        <w:spacing w:after="75" w:line="336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</w:rPr>
      </w:pPr>
      <w:r>
        <w:rPr>
          <w:rFonts w:ascii="Verdana" w:eastAsia="Times New Roman" w:hAnsi="Verdana" w:cs="Arial"/>
          <w:color w:val="333333"/>
          <w:sz w:val="18"/>
          <w:szCs w:val="18"/>
        </w:rPr>
        <w:t>the capacity of the childcare system to ensure a satisfactory transition to schools, in particular for vulnerable or at risk children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The NQF covers this sufficiently. Quality Educators can facilitate it with this guidance. </w:t>
      </w:r>
    </w:p>
    <w:p w:rsidR="0007325E" w:rsidRDefault="0007325E" w:rsidP="009F05BD">
      <w:pPr>
        <w:numPr>
          <w:ilvl w:val="0"/>
          <w:numId w:val="3"/>
        </w:numPr>
        <w:shd w:val="clear" w:color="auto" w:fill="FFFFFF"/>
        <w:spacing w:after="75" w:line="336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</w:rPr>
      </w:pPr>
      <w:r>
        <w:rPr>
          <w:rFonts w:ascii="Verdana" w:eastAsia="Times New Roman" w:hAnsi="Verdana" w:cs="Arial"/>
          <w:color w:val="333333"/>
          <w:sz w:val="18"/>
          <w:szCs w:val="18"/>
        </w:rPr>
        <w:t>alternative models of care, including those overseas, which could be considered for trial in Australia</w:t>
      </w:r>
    </w:p>
    <w:p w:rsidR="0007325E" w:rsidRDefault="0007325E" w:rsidP="009F05BD">
      <w:pPr>
        <w:numPr>
          <w:ilvl w:val="0"/>
          <w:numId w:val="3"/>
        </w:numPr>
        <w:shd w:val="clear" w:color="auto" w:fill="FFFFFF"/>
        <w:spacing w:after="75" w:line="336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</w:rPr>
      </w:pPr>
      <w:r>
        <w:rPr>
          <w:rFonts w:ascii="Verdana" w:eastAsia="Times New Roman" w:hAnsi="Verdana" w:cs="Arial"/>
          <w:color w:val="333333"/>
          <w:sz w:val="18"/>
          <w:szCs w:val="18"/>
        </w:rPr>
        <w:t>options - within existing funding parameters - for improving the accessibility, flexibility and affordability of childcare for families with diverse circumstances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This could put more pressure on centre owners. We work way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</w:rPr>
        <w:t>to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</w:rPr>
        <w:t xml:space="preserve"> hard and long as it is!</w:t>
      </w:r>
    </w:p>
    <w:p w:rsidR="0007325E" w:rsidRDefault="0007325E" w:rsidP="009F05BD">
      <w:pPr>
        <w:numPr>
          <w:ilvl w:val="0"/>
          <w:numId w:val="4"/>
        </w:numPr>
        <w:shd w:val="clear" w:color="auto" w:fill="FFFFFF"/>
        <w:spacing w:after="75" w:line="336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</w:rPr>
      </w:pPr>
      <w:proofErr w:type="gramStart"/>
      <w:r>
        <w:rPr>
          <w:rFonts w:ascii="Verdana" w:eastAsia="Times New Roman" w:hAnsi="Verdana" w:cs="Arial"/>
          <w:color w:val="333333"/>
          <w:sz w:val="18"/>
          <w:szCs w:val="18"/>
        </w:rPr>
        <w:t>the</w:t>
      </w:r>
      <w:proofErr w:type="gramEnd"/>
      <w:r>
        <w:rPr>
          <w:rFonts w:ascii="Verdana" w:eastAsia="Times New Roman" w:hAnsi="Verdana" w:cs="Arial"/>
          <w:color w:val="333333"/>
          <w:sz w:val="18"/>
          <w:szCs w:val="18"/>
        </w:rPr>
        <w:t xml:space="preserve"> impacts of regulatory changes, including the implementation of the National Quality Framework, on the childcare sector over the past decade.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The NQF is good. It was very time consuming to implement in the first place but is easier now. Paperwork and the time to do it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</w:rPr>
        <w:t>is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</w:rPr>
        <w:t xml:space="preserve"> still onerous. Perhaps paperwork funding??? The training funding was a good idea but I haven't seen any money!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I need to get home to my children so that is all I have time for. Thank you.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 xml:space="preserve">Fiona </w:t>
      </w:r>
      <w:proofErr w:type="spellStart"/>
      <w:r>
        <w:rPr>
          <w:rFonts w:ascii="Verdana" w:eastAsia="Times New Roman" w:hAnsi="Verdana" w:cs="Arial"/>
          <w:color w:val="333333"/>
          <w:sz w:val="20"/>
          <w:szCs w:val="20"/>
        </w:rPr>
        <w:t>Barca</w:t>
      </w:r>
      <w:proofErr w:type="spellEnd"/>
    </w:p>
    <w:p w:rsidR="0007325E" w:rsidRDefault="0007325E" w:rsidP="009F05BD">
      <w:pPr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333333"/>
          <w:sz w:val="20"/>
          <w:szCs w:val="20"/>
        </w:rPr>
        <w:t>Owner and Director</w:t>
      </w:r>
      <w:r w:rsidR="009F05BD">
        <w:rPr>
          <w:rFonts w:ascii="Verdana" w:eastAsia="Times New Roman" w:hAnsi="Verdana" w:cs="Arial"/>
          <w:color w:val="333333"/>
          <w:sz w:val="20"/>
          <w:szCs w:val="20"/>
        </w:rPr>
        <w:t xml:space="preserve"> of </w:t>
      </w:r>
      <w:r>
        <w:rPr>
          <w:rFonts w:ascii="Verdana" w:eastAsia="Times New Roman" w:hAnsi="Verdana" w:cs="Arial"/>
          <w:color w:val="333333"/>
          <w:sz w:val="20"/>
          <w:szCs w:val="20"/>
        </w:rPr>
        <w:t>Gardner Farm Child Care</w:t>
      </w:r>
    </w:p>
    <w:p w:rsidR="006228B1" w:rsidRDefault="006228B1" w:rsidP="009F05BD">
      <w:pPr>
        <w:jc w:val="both"/>
      </w:pPr>
    </w:p>
    <w:sectPr w:rsidR="006228B1" w:rsidSect="009F05BD">
      <w:pgSz w:w="11906" w:h="16838"/>
      <w:pgMar w:top="1304" w:right="1361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6D27"/>
    <w:multiLevelType w:val="multilevel"/>
    <w:tmpl w:val="760E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37D46"/>
    <w:multiLevelType w:val="multilevel"/>
    <w:tmpl w:val="866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D5EB6"/>
    <w:multiLevelType w:val="multilevel"/>
    <w:tmpl w:val="4FB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56731"/>
    <w:multiLevelType w:val="multilevel"/>
    <w:tmpl w:val="2C2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5E"/>
    <w:rsid w:val="000074A1"/>
    <w:rsid w:val="00035386"/>
    <w:rsid w:val="00052152"/>
    <w:rsid w:val="000628F8"/>
    <w:rsid w:val="0006365F"/>
    <w:rsid w:val="0007325E"/>
    <w:rsid w:val="000B69A5"/>
    <w:rsid w:val="000B7EC3"/>
    <w:rsid w:val="00137CEB"/>
    <w:rsid w:val="0014092C"/>
    <w:rsid w:val="0014710E"/>
    <w:rsid w:val="001546FC"/>
    <w:rsid w:val="001603D7"/>
    <w:rsid w:val="00171A4E"/>
    <w:rsid w:val="00181B82"/>
    <w:rsid w:val="001972A3"/>
    <w:rsid w:val="001B6312"/>
    <w:rsid w:val="001C32C8"/>
    <w:rsid w:val="001F2BA5"/>
    <w:rsid w:val="001F50D2"/>
    <w:rsid w:val="00204B2B"/>
    <w:rsid w:val="002134D3"/>
    <w:rsid w:val="00221699"/>
    <w:rsid w:val="00232D9D"/>
    <w:rsid w:val="00235D57"/>
    <w:rsid w:val="00244C60"/>
    <w:rsid w:val="00267743"/>
    <w:rsid w:val="002779E9"/>
    <w:rsid w:val="002E0B8E"/>
    <w:rsid w:val="002F13C9"/>
    <w:rsid w:val="003161F4"/>
    <w:rsid w:val="00342654"/>
    <w:rsid w:val="00345C7D"/>
    <w:rsid w:val="003514A9"/>
    <w:rsid w:val="00364D68"/>
    <w:rsid w:val="00365955"/>
    <w:rsid w:val="00384528"/>
    <w:rsid w:val="00385348"/>
    <w:rsid w:val="003B1C1F"/>
    <w:rsid w:val="003F57FC"/>
    <w:rsid w:val="00407136"/>
    <w:rsid w:val="004222EE"/>
    <w:rsid w:val="0044770E"/>
    <w:rsid w:val="00457815"/>
    <w:rsid w:val="00482184"/>
    <w:rsid w:val="004A6FA9"/>
    <w:rsid w:val="004D0DD3"/>
    <w:rsid w:val="004D1F77"/>
    <w:rsid w:val="004D5DF1"/>
    <w:rsid w:val="004F6071"/>
    <w:rsid w:val="005055E4"/>
    <w:rsid w:val="005107C9"/>
    <w:rsid w:val="00526160"/>
    <w:rsid w:val="005272B8"/>
    <w:rsid w:val="00533FC1"/>
    <w:rsid w:val="00542708"/>
    <w:rsid w:val="00543598"/>
    <w:rsid w:val="00552886"/>
    <w:rsid w:val="00552D9F"/>
    <w:rsid w:val="00556A77"/>
    <w:rsid w:val="00581CA7"/>
    <w:rsid w:val="005839C7"/>
    <w:rsid w:val="005960CF"/>
    <w:rsid w:val="005A53A4"/>
    <w:rsid w:val="005D4864"/>
    <w:rsid w:val="005E6B80"/>
    <w:rsid w:val="005F1B52"/>
    <w:rsid w:val="005F7D3D"/>
    <w:rsid w:val="00603CF4"/>
    <w:rsid w:val="006041ED"/>
    <w:rsid w:val="006228B1"/>
    <w:rsid w:val="00631F4F"/>
    <w:rsid w:val="00632478"/>
    <w:rsid w:val="00634D16"/>
    <w:rsid w:val="00655B9C"/>
    <w:rsid w:val="00655D3C"/>
    <w:rsid w:val="00661CBD"/>
    <w:rsid w:val="00661ED1"/>
    <w:rsid w:val="00664BEF"/>
    <w:rsid w:val="006711E6"/>
    <w:rsid w:val="0067557F"/>
    <w:rsid w:val="00690F69"/>
    <w:rsid w:val="00691016"/>
    <w:rsid w:val="006926C3"/>
    <w:rsid w:val="006B04C0"/>
    <w:rsid w:val="006B1F6D"/>
    <w:rsid w:val="006B4F71"/>
    <w:rsid w:val="006B59D8"/>
    <w:rsid w:val="006C23E5"/>
    <w:rsid w:val="006C4AC0"/>
    <w:rsid w:val="006C7053"/>
    <w:rsid w:val="006C7183"/>
    <w:rsid w:val="006D4D5A"/>
    <w:rsid w:val="006E661B"/>
    <w:rsid w:val="006F7D0B"/>
    <w:rsid w:val="00706B16"/>
    <w:rsid w:val="007349F2"/>
    <w:rsid w:val="007500CF"/>
    <w:rsid w:val="007542E6"/>
    <w:rsid w:val="007611F3"/>
    <w:rsid w:val="0077784E"/>
    <w:rsid w:val="00777F64"/>
    <w:rsid w:val="00781550"/>
    <w:rsid w:val="00785AAD"/>
    <w:rsid w:val="007A1234"/>
    <w:rsid w:val="007A5D1F"/>
    <w:rsid w:val="007C1C10"/>
    <w:rsid w:val="007D2C79"/>
    <w:rsid w:val="008030B3"/>
    <w:rsid w:val="008047CB"/>
    <w:rsid w:val="00806F20"/>
    <w:rsid w:val="00816FEE"/>
    <w:rsid w:val="008212CC"/>
    <w:rsid w:val="00835926"/>
    <w:rsid w:val="00853428"/>
    <w:rsid w:val="00866D02"/>
    <w:rsid w:val="008A3D41"/>
    <w:rsid w:val="008B3500"/>
    <w:rsid w:val="008C2C92"/>
    <w:rsid w:val="008F5E0B"/>
    <w:rsid w:val="0090290A"/>
    <w:rsid w:val="0090594D"/>
    <w:rsid w:val="00906188"/>
    <w:rsid w:val="009148DA"/>
    <w:rsid w:val="00916114"/>
    <w:rsid w:val="00944A30"/>
    <w:rsid w:val="00951EBE"/>
    <w:rsid w:val="009632E7"/>
    <w:rsid w:val="009805A8"/>
    <w:rsid w:val="00984A42"/>
    <w:rsid w:val="00990C9F"/>
    <w:rsid w:val="009A0004"/>
    <w:rsid w:val="009A3F3B"/>
    <w:rsid w:val="009A5FA9"/>
    <w:rsid w:val="009A61A1"/>
    <w:rsid w:val="009B562D"/>
    <w:rsid w:val="009C16E2"/>
    <w:rsid w:val="009D0ABA"/>
    <w:rsid w:val="009D440E"/>
    <w:rsid w:val="009D5BB9"/>
    <w:rsid w:val="009D7B20"/>
    <w:rsid w:val="009F05BD"/>
    <w:rsid w:val="009F5CCA"/>
    <w:rsid w:val="009F6B45"/>
    <w:rsid w:val="00A203B0"/>
    <w:rsid w:val="00A233AE"/>
    <w:rsid w:val="00A26BB0"/>
    <w:rsid w:val="00A43CE4"/>
    <w:rsid w:val="00A60245"/>
    <w:rsid w:val="00A64916"/>
    <w:rsid w:val="00A7151E"/>
    <w:rsid w:val="00A85A47"/>
    <w:rsid w:val="00A953C2"/>
    <w:rsid w:val="00A963EB"/>
    <w:rsid w:val="00AC3D39"/>
    <w:rsid w:val="00AC59FC"/>
    <w:rsid w:val="00B02E94"/>
    <w:rsid w:val="00B06444"/>
    <w:rsid w:val="00B164BC"/>
    <w:rsid w:val="00B22B9A"/>
    <w:rsid w:val="00B258C3"/>
    <w:rsid w:val="00B80F3C"/>
    <w:rsid w:val="00B828F2"/>
    <w:rsid w:val="00B90EDC"/>
    <w:rsid w:val="00BB00E4"/>
    <w:rsid w:val="00BD13AA"/>
    <w:rsid w:val="00BD58A0"/>
    <w:rsid w:val="00BD7C40"/>
    <w:rsid w:val="00BE0D90"/>
    <w:rsid w:val="00BF2105"/>
    <w:rsid w:val="00BF2F70"/>
    <w:rsid w:val="00BF48C2"/>
    <w:rsid w:val="00C02453"/>
    <w:rsid w:val="00C0264A"/>
    <w:rsid w:val="00C078AF"/>
    <w:rsid w:val="00C119FC"/>
    <w:rsid w:val="00C17FAF"/>
    <w:rsid w:val="00C20F5B"/>
    <w:rsid w:val="00C214B2"/>
    <w:rsid w:val="00C53568"/>
    <w:rsid w:val="00C56A25"/>
    <w:rsid w:val="00C763DB"/>
    <w:rsid w:val="00C76931"/>
    <w:rsid w:val="00C77C9A"/>
    <w:rsid w:val="00C87F59"/>
    <w:rsid w:val="00C96714"/>
    <w:rsid w:val="00CB5124"/>
    <w:rsid w:val="00CB5CD9"/>
    <w:rsid w:val="00CC2F5B"/>
    <w:rsid w:val="00CC411B"/>
    <w:rsid w:val="00CE01AB"/>
    <w:rsid w:val="00CE2C3D"/>
    <w:rsid w:val="00CF13A5"/>
    <w:rsid w:val="00CF4F40"/>
    <w:rsid w:val="00D026CD"/>
    <w:rsid w:val="00D11F01"/>
    <w:rsid w:val="00D21016"/>
    <w:rsid w:val="00D22FF6"/>
    <w:rsid w:val="00D56BA0"/>
    <w:rsid w:val="00D742EE"/>
    <w:rsid w:val="00D83F8D"/>
    <w:rsid w:val="00D8565F"/>
    <w:rsid w:val="00DC520A"/>
    <w:rsid w:val="00DD3026"/>
    <w:rsid w:val="00DE33BA"/>
    <w:rsid w:val="00DE5F53"/>
    <w:rsid w:val="00E07848"/>
    <w:rsid w:val="00E13BAE"/>
    <w:rsid w:val="00E2369B"/>
    <w:rsid w:val="00E32702"/>
    <w:rsid w:val="00E57591"/>
    <w:rsid w:val="00EA2308"/>
    <w:rsid w:val="00EB2832"/>
    <w:rsid w:val="00ED04B4"/>
    <w:rsid w:val="00ED2D84"/>
    <w:rsid w:val="00EE631D"/>
    <w:rsid w:val="00F01002"/>
    <w:rsid w:val="00F33AFA"/>
    <w:rsid w:val="00F512A7"/>
    <w:rsid w:val="00F61DA1"/>
    <w:rsid w:val="00F61E88"/>
    <w:rsid w:val="00F94A64"/>
    <w:rsid w:val="00F95829"/>
    <w:rsid w:val="00FA2989"/>
    <w:rsid w:val="00FB0ADE"/>
    <w:rsid w:val="00FC74FC"/>
    <w:rsid w:val="00FD3540"/>
    <w:rsid w:val="00FE1A11"/>
    <w:rsid w:val="00FE264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5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BD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5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BD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DR653 - Fiona Barca - Childcare and Early Childhood Learning - Public inquiry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DR653 - Fiona Barca - Childcare and Early Childhood Learning - Public inquiry</dc:title>
  <dc:creator>Fiona Barca</dc:creator>
  <cp:lastModifiedBy>Mark Pimperl</cp:lastModifiedBy>
  <cp:revision>3</cp:revision>
  <cp:lastPrinted>2014-09-08T02:04:00Z</cp:lastPrinted>
  <dcterms:created xsi:type="dcterms:W3CDTF">2014-09-08T02:02:00Z</dcterms:created>
  <dcterms:modified xsi:type="dcterms:W3CDTF">2014-09-09T00:39:00Z</dcterms:modified>
</cp:coreProperties>
</file>