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47D" w:rsidRDefault="00F46174" w:rsidP="005D2052">
      <w:pPr>
        <w:spacing w:after="200" w:line="276" w:lineRule="auto"/>
        <w:rPr>
          <w:sz w:val="48"/>
          <w:szCs w:val="48"/>
        </w:rPr>
      </w:pPr>
      <w:r>
        <w:rPr>
          <w:noProof/>
          <w:sz w:val="48"/>
          <w:szCs w:val="48"/>
          <w:lang w:eastAsia="en-AU"/>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265430</wp:posOffset>
            </wp:positionV>
            <wp:extent cx="4860925" cy="424815"/>
            <wp:effectExtent l="19050" t="0" r="0" b="0"/>
            <wp:wrapSquare wrapText="bothSides"/>
            <wp:docPr id="8" name="Picture 7" descr="MMSGroup_logoInter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SGroup_logoInterim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0925" cy="424815"/>
                    </a:xfrm>
                    <a:prstGeom prst="rect">
                      <a:avLst/>
                    </a:prstGeom>
                  </pic:spPr>
                </pic:pic>
              </a:graphicData>
            </a:graphic>
          </wp:anchor>
        </w:drawing>
      </w:r>
    </w:p>
    <w:p w:rsidR="00F4347D" w:rsidRPr="001562A0" w:rsidRDefault="00EF56B0" w:rsidP="00F46174">
      <w:pPr>
        <w:spacing w:after="0" w:line="240" w:lineRule="auto"/>
        <w:jc w:val="center"/>
        <w:rPr>
          <w:rFonts w:ascii="Arial" w:hAnsi="Arial" w:cs="Arial"/>
          <w:b/>
          <w:color w:val="1F497D" w:themeColor="text2"/>
          <w:sz w:val="48"/>
          <w:szCs w:val="48"/>
        </w:rPr>
      </w:pPr>
      <w:r>
        <w:rPr>
          <w:rFonts w:ascii="Arial" w:hAnsi="Arial" w:cs="Arial"/>
          <w:b/>
          <w:color w:val="1F497D" w:themeColor="text2"/>
          <w:sz w:val="48"/>
          <w:szCs w:val="48"/>
        </w:rPr>
        <w:t xml:space="preserve">Second </w:t>
      </w:r>
      <w:r w:rsidR="00F315E5">
        <w:rPr>
          <w:rFonts w:ascii="Arial" w:hAnsi="Arial" w:cs="Arial"/>
          <w:b/>
          <w:color w:val="1F497D" w:themeColor="text2"/>
          <w:sz w:val="48"/>
          <w:szCs w:val="48"/>
        </w:rPr>
        <w:t>Submission to the Productivity</w:t>
      </w:r>
      <w:r w:rsidR="00EB320F">
        <w:rPr>
          <w:rFonts w:ascii="Arial" w:hAnsi="Arial" w:cs="Arial"/>
          <w:b/>
          <w:color w:val="1F497D" w:themeColor="text2"/>
          <w:sz w:val="48"/>
          <w:szCs w:val="48"/>
        </w:rPr>
        <w:t xml:space="preserve"> Commission</w:t>
      </w:r>
      <w:r w:rsidR="00F315E5">
        <w:rPr>
          <w:rFonts w:ascii="Arial" w:hAnsi="Arial" w:cs="Arial"/>
          <w:b/>
          <w:color w:val="1F497D" w:themeColor="text2"/>
          <w:sz w:val="48"/>
          <w:szCs w:val="48"/>
        </w:rPr>
        <w:t>’s</w:t>
      </w:r>
      <w:r w:rsidR="00EB320F">
        <w:rPr>
          <w:rFonts w:ascii="Arial" w:hAnsi="Arial" w:cs="Arial"/>
          <w:b/>
          <w:color w:val="1F497D" w:themeColor="text2"/>
          <w:sz w:val="48"/>
          <w:szCs w:val="48"/>
        </w:rPr>
        <w:t xml:space="preserve"> Inquiry into Childcare and Early Childhood Learning</w:t>
      </w:r>
    </w:p>
    <w:p w:rsidR="00F4347D" w:rsidRPr="001562A0" w:rsidRDefault="00F4347D" w:rsidP="00F4347D">
      <w:pPr>
        <w:spacing w:after="0" w:line="240" w:lineRule="auto"/>
        <w:jc w:val="both"/>
        <w:rPr>
          <w:rFonts w:ascii="Arial" w:hAnsi="Arial" w:cs="Arial"/>
          <w:b/>
          <w:color w:val="1F497D" w:themeColor="text2"/>
          <w:sz w:val="22"/>
          <w:szCs w:val="22"/>
        </w:rPr>
      </w:pPr>
    </w:p>
    <w:p w:rsidR="006E0AFD" w:rsidRPr="001562A0" w:rsidRDefault="006E0AFD" w:rsidP="00F4347D">
      <w:pPr>
        <w:spacing w:after="0" w:line="240" w:lineRule="auto"/>
        <w:jc w:val="center"/>
        <w:rPr>
          <w:rFonts w:ascii="Arial" w:hAnsi="Arial" w:cs="Arial"/>
          <w:b/>
          <w:color w:val="1F497D" w:themeColor="text2"/>
          <w:sz w:val="40"/>
          <w:szCs w:val="40"/>
        </w:rPr>
      </w:pPr>
    </w:p>
    <w:p w:rsidR="00F4347D" w:rsidRDefault="009109BF" w:rsidP="009109BF">
      <w:pPr>
        <w:spacing w:after="200" w:line="276" w:lineRule="auto"/>
        <w:jc w:val="center"/>
        <w:rPr>
          <w:rFonts w:ascii="Arial" w:hAnsi="Arial" w:cs="Arial"/>
          <w:b/>
          <w:color w:val="1F497D" w:themeColor="text2"/>
          <w:sz w:val="40"/>
          <w:szCs w:val="40"/>
        </w:rPr>
      </w:pPr>
      <w:r>
        <w:rPr>
          <w:rFonts w:ascii="Arial" w:hAnsi="Arial" w:cs="Arial"/>
          <w:b/>
          <w:color w:val="1F497D" w:themeColor="text2"/>
          <w:sz w:val="40"/>
          <w:szCs w:val="40"/>
        </w:rPr>
        <w:t>Response to Draft Report</w:t>
      </w:r>
    </w:p>
    <w:p w:rsidR="00A17B9D" w:rsidRPr="001562A0" w:rsidRDefault="00A17B9D">
      <w:pPr>
        <w:spacing w:after="200" w:line="276" w:lineRule="auto"/>
        <w:rPr>
          <w:b/>
          <w:color w:val="1F497D" w:themeColor="text2"/>
          <w:sz w:val="48"/>
          <w:szCs w:val="48"/>
        </w:rPr>
      </w:pPr>
    </w:p>
    <w:tbl>
      <w:tblPr>
        <w:tblW w:w="9679" w:type="dxa"/>
        <w:jc w:val="center"/>
        <w:tblLook w:val="00A0" w:firstRow="1" w:lastRow="0" w:firstColumn="1" w:lastColumn="0" w:noHBand="0" w:noVBand="0"/>
      </w:tblPr>
      <w:tblGrid>
        <w:gridCol w:w="4222"/>
        <w:gridCol w:w="5457"/>
      </w:tblGrid>
      <w:tr w:rsidR="003E2753" w:rsidRPr="001562A0" w:rsidTr="006E0AFD">
        <w:trPr>
          <w:jc w:val="center"/>
        </w:trPr>
        <w:tc>
          <w:tcPr>
            <w:tcW w:w="4222" w:type="dxa"/>
          </w:tcPr>
          <w:p w:rsidR="003E2753" w:rsidRPr="001562A0" w:rsidRDefault="003E2753" w:rsidP="001C44AD">
            <w:pPr>
              <w:spacing w:before="120" w:after="120" w:line="240" w:lineRule="auto"/>
              <w:ind w:left="720"/>
              <w:jc w:val="center"/>
              <w:rPr>
                <w:rFonts w:eastAsia="Batang"/>
                <w:b/>
                <w:color w:val="1F497D" w:themeColor="text2"/>
              </w:rPr>
            </w:pPr>
            <w:r w:rsidRPr="001562A0">
              <w:rPr>
                <w:rFonts w:eastAsia="Batang"/>
                <w:b/>
                <w:color w:val="1F497D" w:themeColor="text2"/>
              </w:rPr>
              <w:t>Contact</w:t>
            </w:r>
          </w:p>
        </w:tc>
        <w:tc>
          <w:tcPr>
            <w:tcW w:w="5457" w:type="dxa"/>
          </w:tcPr>
          <w:p w:rsidR="003E2753" w:rsidRPr="001562A0" w:rsidRDefault="003E2753" w:rsidP="001C44AD">
            <w:pPr>
              <w:spacing w:before="120" w:after="120" w:line="240" w:lineRule="auto"/>
              <w:rPr>
                <w:rFonts w:eastAsia="Batang"/>
                <w:color w:val="1F497D" w:themeColor="text2"/>
              </w:rPr>
            </w:pPr>
            <w:r w:rsidRPr="001562A0">
              <w:rPr>
                <w:rFonts w:eastAsia="Batang"/>
                <w:color w:val="1F497D" w:themeColor="text2"/>
              </w:rPr>
              <w:t>Rohan Martin</w:t>
            </w:r>
          </w:p>
          <w:p w:rsidR="003E2753" w:rsidRPr="001562A0" w:rsidRDefault="003E2753" w:rsidP="001C44AD">
            <w:pPr>
              <w:spacing w:before="120" w:after="120" w:line="240" w:lineRule="auto"/>
              <w:rPr>
                <w:rFonts w:eastAsia="Batang"/>
                <w:color w:val="1F497D" w:themeColor="text2"/>
              </w:rPr>
            </w:pPr>
            <w:r w:rsidRPr="001562A0">
              <w:rPr>
                <w:rFonts w:eastAsia="Batang"/>
                <w:color w:val="1F497D" w:themeColor="text2"/>
              </w:rPr>
              <w:t>Corporate Affairs Manager</w:t>
            </w:r>
          </w:p>
          <w:p w:rsidR="003E2753" w:rsidRPr="001562A0" w:rsidRDefault="003E2753" w:rsidP="001C44AD">
            <w:pPr>
              <w:spacing w:before="120" w:after="120" w:line="240" w:lineRule="auto"/>
              <w:rPr>
                <w:rFonts w:eastAsia="Batang"/>
                <w:color w:val="1F497D" w:themeColor="text2"/>
              </w:rPr>
            </w:pPr>
            <w:r w:rsidRPr="001562A0">
              <w:rPr>
                <w:rFonts w:eastAsia="Batang"/>
                <w:color w:val="1F497D" w:themeColor="text2"/>
              </w:rPr>
              <w:t xml:space="preserve">McMillan Shakespeare Limited </w:t>
            </w:r>
          </w:p>
          <w:p w:rsidR="003E2753" w:rsidRPr="001562A0" w:rsidRDefault="003E2753" w:rsidP="001C44AD">
            <w:pPr>
              <w:spacing w:before="120" w:after="120" w:line="240" w:lineRule="auto"/>
              <w:rPr>
                <w:rFonts w:eastAsia="Batang"/>
                <w:color w:val="1F497D" w:themeColor="text2"/>
              </w:rPr>
            </w:pPr>
            <w:r w:rsidRPr="001562A0">
              <w:rPr>
                <w:rFonts w:eastAsia="Batang"/>
                <w:color w:val="1F497D" w:themeColor="text2"/>
              </w:rPr>
              <w:t xml:space="preserve">Level 20, 360 Elizabeth Street </w:t>
            </w:r>
          </w:p>
          <w:p w:rsidR="003E2753" w:rsidRPr="001562A0" w:rsidRDefault="003E2753" w:rsidP="001C44AD">
            <w:pPr>
              <w:spacing w:before="120" w:after="120" w:line="240" w:lineRule="auto"/>
              <w:rPr>
                <w:rFonts w:eastAsia="Batang"/>
                <w:color w:val="1F497D" w:themeColor="text2"/>
              </w:rPr>
            </w:pPr>
            <w:r w:rsidRPr="001562A0">
              <w:rPr>
                <w:rFonts w:eastAsia="Batang"/>
                <w:color w:val="1F497D" w:themeColor="text2"/>
              </w:rPr>
              <w:t>Melbourne, Vic, 3000</w:t>
            </w:r>
          </w:p>
          <w:p w:rsidR="003E2753" w:rsidRPr="00D410F3" w:rsidRDefault="003E2753" w:rsidP="001C44AD">
            <w:pPr>
              <w:spacing w:before="120" w:after="120" w:line="240" w:lineRule="auto"/>
              <w:rPr>
                <w:rFonts w:eastAsia="Batang"/>
                <w:color w:val="1F497D" w:themeColor="text2"/>
              </w:rPr>
            </w:pPr>
            <w:bookmarkStart w:id="0" w:name="_GoBack"/>
            <w:bookmarkEnd w:id="0"/>
          </w:p>
        </w:tc>
      </w:tr>
      <w:tr w:rsidR="003E2753" w:rsidRPr="001562A0" w:rsidTr="006E0AFD">
        <w:tblPrEx>
          <w:tblLook w:val="01E0" w:firstRow="1" w:lastRow="1" w:firstColumn="1" w:lastColumn="1" w:noHBand="0" w:noVBand="0"/>
        </w:tblPrEx>
        <w:trPr>
          <w:trHeight w:val="279"/>
          <w:jc w:val="center"/>
        </w:trPr>
        <w:tc>
          <w:tcPr>
            <w:tcW w:w="4222" w:type="dxa"/>
          </w:tcPr>
          <w:p w:rsidR="003E2753" w:rsidRPr="001562A0" w:rsidRDefault="003E2753" w:rsidP="001C44AD">
            <w:pPr>
              <w:spacing w:before="120" w:after="120"/>
              <w:rPr>
                <w:rFonts w:eastAsia="Batang"/>
                <w:b/>
                <w:color w:val="1F497D" w:themeColor="text2"/>
              </w:rPr>
            </w:pPr>
          </w:p>
        </w:tc>
        <w:tc>
          <w:tcPr>
            <w:tcW w:w="5457" w:type="dxa"/>
          </w:tcPr>
          <w:p w:rsidR="003E2753" w:rsidRPr="001562A0" w:rsidRDefault="003E2753" w:rsidP="001C44AD">
            <w:pPr>
              <w:spacing w:before="120" w:after="120"/>
              <w:rPr>
                <w:rFonts w:eastAsia="Batang"/>
                <w:b/>
                <w:color w:val="1F497D" w:themeColor="text2"/>
              </w:rPr>
            </w:pPr>
          </w:p>
        </w:tc>
      </w:tr>
      <w:tr w:rsidR="003E2753" w:rsidRPr="001562A0" w:rsidTr="006E0AFD">
        <w:tblPrEx>
          <w:tblLook w:val="01E0" w:firstRow="1" w:lastRow="1" w:firstColumn="1" w:lastColumn="1" w:noHBand="0" w:noVBand="0"/>
        </w:tblPrEx>
        <w:trPr>
          <w:trHeight w:val="119"/>
          <w:jc w:val="center"/>
        </w:trPr>
        <w:tc>
          <w:tcPr>
            <w:tcW w:w="4222" w:type="dxa"/>
          </w:tcPr>
          <w:p w:rsidR="003E2753" w:rsidRPr="001562A0" w:rsidRDefault="003E2753" w:rsidP="001C44AD">
            <w:pPr>
              <w:spacing w:before="120" w:after="120" w:line="240" w:lineRule="auto"/>
              <w:ind w:left="2160"/>
              <w:rPr>
                <w:rFonts w:eastAsia="Batang"/>
                <w:b/>
                <w:bCs/>
                <w:color w:val="1F497D" w:themeColor="text2"/>
              </w:rPr>
            </w:pPr>
            <w:r w:rsidRPr="001562A0">
              <w:rPr>
                <w:rFonts w:eastAsia="Batang"/>
                <w:b/>
                <w:color w:val="1F497D" w:themeColor="text2"/>
              </w:rPr>
              <w:t>Date</w:t>
            </w:r>
          </w:p>
        </w:tc>
        <w:tc>
          <w:tcPr>
            <w:tcW w:w="5457" w:type="dxa"/>
          </w:tcPr>
          <w:p w:rsidR="003E2753" w:rsidRPr="001562A0" w:rsidRDefault="00182D40" w:rsidP="001C44AD">
            <w:pPr>
              <w:spacing w:before="120" w:after="120" w:line="240" w:lineRule="auto"/>
              <w:rPr>
                <w:rFonts w:eastAsia="Batang"/>
                <w:b/>
                <w:color w:val="1F497D" w:themeColor="text2"/>
              </w:rPr>
            </w:pPr>
            <w:r>
              <w:rPr>
                <w:rFonts w:eastAsia="Batang"/>
                <w:color w:val="1F497D" w:themeColor="text2"/>
              </w:rPr>
              <w:t>4</w:t>
            </w:r>
            <w:r w:rsidR="00EF56B0">
              <w:rPr>
                <w:rFonts w:eastAsia="Batang"/>
                <w:color w:val="1F497D" w:themeColor="text2"/>
              </w:rPr>
              <w:t xml:space="preserve"> September</w:t>
            </w:r>
            <w:r w:rsidR="009F1E22">
              <w:rPr>
                <w:rFonts w:eastAsia="Batang"/>
                <w:color w:val="1F497D" w:themeColor="text2"/>
              </w:rPr>
              <w:t xml:space="preserve"> </w:t>
            </w:r>
            <w:r w:rsidR="003E2753" w:rsidRPr="001562A0">
              <w:rPr>
                <w:rFonts w:eastAsia="Batang"/>
                <w:color w:val="1F497D" w:themeColor="text2"/>
              </w:rPr>
              <w:t>2014</w:t>
            </w:r>
          </w:p>
        </w:tc>
      </w:tr>
    </w:tbl>
    <w:p w:rsidR="005D2052" w:rsidRDefault="005D2052">
      <w:pPr>
        <w:spacing w:after="200" w:line="276" w:lineRule="auto"/>
        <w:rPr>
          <w:b/>
          <w:sz w:val="48"/>
          <w:szCs w:val="48"/>
        </w:rPr>
      </w:pPr>
    </w:p>
    <w:p w:rsidR="00F4347D" w:rsidRDefault="00F4347D" w:rsidP="006E0AFD">
      <w:pPr>
        <w:spacing w:after="200" w:line="276" w:lineRule="auto"/>
        <w:jc w:val="center"/>
        <w:rPr>
          <w:b/>
          <w:sz w:val="48"/>
          <w:szCs w:val="48"/>
        </w:rPr>
      </w:pPr>
      <w:r w:rsidRPr="00F4347D">
        <w:rPr>
          <w:b/>
          <w:noProof/>
          <w:sz w:val="48"/>
          <w:szCs w:val="48"/>
          <w:lang w:eastAsia="en-AU"/>
        </w:rPr>
        <w:drawing>
          <wp:inline distT="0" distB="0" distL="0" distR="0">
            <wp:extent cx="4860290" cy="702310"/>
            <wp:effectExtent l="19050" t="0" r="0" b="0"/>
            <wp:docPr id="1" name="Picture 9" descr="MMS Grou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S Group 4.jpg"/>
                    <pic:cNvPicPr/>
                  </pic:nvPicPr>
                  <pic:blipFill>
                    <a:blip r:embed="rId10" cstate="print"/>
                    <a:stretch>
                      <a:fillRect/>
                    </a:stretch>
                  </pic:blipFill>
                  <pic:spPr>
                    <a:xfrm>
                      <a:off x="0" y="0"/>
                      <a:ext cx="4860290" cy="702310"/>
                    </a:xfrm>
                    <a:prstGeom prst="rect">
                      <a:avLst/>
                    </a:prstGeom>
                  </pic:spPr>
                </pic:pic>
              </a:graphicData>
            </a:graphic>
          </wp:inline>
        </w:drawing>
      </w:r>
    </w:p>
    <w:p w:rsidR="00373A30" w:rsidRDefault="00373A30" w:rsidP="006F038E">
      <w:pPr>
        <w:spacing w:after="0" w:line="240" w:lineRule="auto"/>
        <w:jc w:val="center"/>
        <w:rPr>
          <w:b/>
          <w:color w:val="1F497D" w:themeColor="text2"/>
          <w:sz w:val="40"/>
          <w:szCs w:val="40"/>
        </w:rPr>
      </w:pPr>
    </w:p>
    <w:p w:rsidR="00373A30" w:rsidRDefault="00373A30" w:rsidP="006F038E">
      <w:pPr>
        <w:spacing w:after="0" w:line="240" w:lineRule="auto"/>
        <w:jc w:val="center"/>
        <w:rPr>
          <w:b/>
          <w:color w:val="1F497D" w:themeColor="text2"/>
          <w:sz w:val="40"/>
          <w:szCs w:val="40"/>
        </w:rPr>
      </w:pPr>
    </w:p>
    <w:p w:rsidR="006F038E" w:rsidRPr="007B7FCB" w:rsidRDefault="00764045" w:rsidP="006F038E">
      <w:pPr>
        <w:spacing w:after="0" w:line="240" w:lineRule="auto"/>
        <w:jc w:val="center"/>
        <w:rPr>
          <w:b/>
          <w:color w:val="1F497D" w:themeColor="text2"/>
          <w:sz w:val="40"/>
          <w:szCs w:val="40"/>
        </w:rPr>
      </w:pPr>
      <w:r w:rsidRPr="007B7FCB">
        <w:rPr>
          <w:b/>
          <w:color w:val="1F497D" w:themeColor="text2"/>
          <w:sz w:val="40"/>
          <w:szCs w:val="40"/>
        </w:rPr>
        <w:t>McMillan Shakespeare Group</w:t>
      </w:r>
    </w:p>
    <w:p w:rsidR="006F038E" w:rsidRPr="001562A0" w:rsidRDefault="006F038E" w:rsidP="006F038E">
      <w:pPr>
        <w:spacing w:after="0" w:line="240" w:lineRule="auto"/>
        <w:jc w:val="both"/>
        <w:rPr>
          <w:color w:val="1F497D" w:themeColor="text2"/>
          <w:sz w:val="22"/>
          <w:szCs w:val="22"/>
        </w:rPr>
      </w:pPr>
    </w:p>
    <w:p w:rsidR="006F038E" w:rsidRPr="007B7FCB" w:rsidRDefault="007277C3" w:rsidP="006F038E">
      <w:pPr>
        <w:spacing w:after="0" w:line="240" w:lineRule="auto"/>
        <w:jc w:val="center"/>
        <w:rPr>
          <w:b/>
          <w:color w:val="1F497D" w:themeColor="text2"/>
          <w:sz w:val="36"/>
          <w:szCs w:val="36"/>
        </w:rPr>
      </w:pPr>
      <w:r>
        <w:rPr>
          <w:b/>
          <w:color w:val="1F497D" w:themeColor="text2"/>
          <w:sz w:val="36"/>
          <w:szCs w:val="36"/>
        </w:rPr>
        <w:t xml:space="preserve">Second </w:t>
      </w:r>
      <w:r w:rsidR="009D6E03" w:rsidRPr="007B7FCB">
        <w:rPr>
          <w:b/>
          <w:color w:val="1F497D" w:themeColor="text2"/>
          <w:sz w:val="36"/>
          <w:szCs w:val="36"/>
        </w:rPr>
        <w:t>Submission to the Productivity Commission</w:t>
      </w:r>
      <w:r w:rsidR="00FE1CD6" w:rsidRPr="007B7FCB">
        <w:rPr>
          <w:b/>
          <w:color w:val="1F497D" w:themeColor="text2"/>
          <w:sz w:val="36"/>
          <w:szCs w:val="36"/>
        </w:rPr>
        <w:t>’s Inquiry into Childcare and Early Childhood Learning</w:t>
      </w:r>
    </w:p>
    <w:p w:rsidR="006F038E" w:rsidRPr="00402AFA" w:rsidRDefault="006F038E" w:rsidP="006F038E">
      <w:pPr>
        <w:spacing w:after="0" w:line="240" w:lineRule="auto"/>
        <w:jc w:val="both"/>
        <w:rPr>
          <w:sz w:val="22"/>
        </w:rPr>
      </w:pPr>
    </w:p>
    <w:p w:rsidR="006F038E" w:rsidRPr="001562A0" w:rsidRDefault="006F038E" w:rsidP="006F038E">
      <w:pPr>
        <w:spacing w:after="0" w:line="240" w:lineRule="auto"/>
        <w:jc w:val="both"/>
        <w:rPr>
          <w:b/>
          <w:color w:val="1F497D" w:themeColor="text2"/>
          <w:sz w:val="32"/>
          <w:szCs w:val="32"/>
        </w:rPr>
      </w:pPr>
      <w:r w:rsidRPr="001562A0">
        <w:rPr>
          <w:b/>
          <w:color w:val="1F497D" w:themeColor="text2"/>
          <w:sz w:val="32"/>
          <w:szCs w:val="32"/>
        </w:rPr>
        <w:t>Overview</w:t>
      </w:r>
    </w:p>
    <w:p w:rsidR="006F038E" w:rsidRPr="001562A0" w:rsidRDefault="006F038E" w:rsidP="006F038E">
      <w:pPr>
        <w:spacing w:after="0" w:line="240" w:lineRule="auto"/>
        <w:jc w:val="both"/>
        <w:rPr>
          <w:color w:val="595959" w:themeColor="text1" w:themeTint="A6"/>
          <w:sz w:val="22"/>
        </w:rPr>
      </w:pPr>
    </w:p>
    <w:p w:rsidR="0067534C" w:rsidRDefault="00D74B48" w:rsidP="007277C3">
      <w:pPr>
        <w:spacing w:after="0" w:line="240" w:lineRule="auto"/>
        <w:jc w:val="both"/>
        <w:rPr>
          <w:sz w:val="22"/>
        </w:rPr>
      </w:pPr>
      <w:r>
        <w:rPr>
          <w:sz w:val="22"/>
        </w:rPr>
        <w:t xml:space="preserve">This submission is </w:t>
      </w:r>
      <w:r w:rsidR="00A32C3F">
        <w:rPr>
          <w:sz w:val="22"/>
        </w:rPr>
        <w:t>the McMillan Shakespeare Group’s (MMSG</w:t>
      </w:r>
      <w:r w:rsidR="00E35E1E">
        <w:rPr>
          <w:sz w:val="22"/>
        </w:rPr>
        <w:t>’s</w:t>
      </w:r>
      <w:r w:rsidR="00A32C3F">
        <w:rPr>
          <w:sz w:val="22"/>
        </w:rPr>
        <w:t>)</w:t>
      </w:r>
      <w:r w:rsidR="007277C3">
        <w:rPr>
          <w:sz w:val="22"/>
        </w:rPr>
        <w:t xml:space="preserve"> response </w:t>
      </w:r>
      <w:r>
        <w:rPr>
          <w:sz w:val="22"/>
        </w:rPr>
        <w:t xml:space="preserve">to the Productivity Commission’s </w:t>
      </w:r>
      <w:r w:rsidR="007277C3">
        <w:rPr>
          <w:sz w:val="22"/>
        </w:rPr>
        <w:t>Draft Report of its Inquiry into Childcare and Early Childhood Learning</w:t>
      </w:r>
      <w:r w:rsidR="00330FAD">
        <w:rPr>
          <w:sz w:val="22"/>
        </w:rPr>
        <w:t xml:space="preserve"> (the Draft Report)</w:t>
      </w:r>
      <w:r w:rsidR="007277C3">
        <w:rPr>
          <w:sz w:val="22"/>
        </w:rPr>
        <w:t>.</w:t>
      </w:r>
      <w:r w:rsidR="009109BF">
        <w:rPr>
          <w:rStyle w:val="FootnoteReference"/>
        </w:rPr>
        <w:footnoteReference w:id="1"/>
      </w:r>
      <w:r w:rsidR="00F80D71">
        <w:rPr>
          <w:sz w:val="22"/>
        </w:rPr>
        <w:t xml:space="preserve"> It focuses on the following </w:t>
      </w:r>
      <w:r w:rsidR="002C447A">
        <w:rPr>
          <w:sz w:val="22"/>
        </w:rPr>
        <w:t xml:space="preserve">two </w:t>
      </w:r>
      <w:r w:rsidR="00146419">
        <w:rPr>
          <w:sz w:val="22"/>
        </w:rPr>
        <w:t xml:space="preserve">aspects of the Draft Report: </w:t>
      </w:r>
    </w:p>
    <w:p w:rsidR="00F80D71" w:rsidRDefault="00F80D71" w:rsidP="007277C3">
      <w:pPr>
        <w:spacing w:after="0" w:line="240" w:lineRule="auto"/>
        <w:jc w:val="both"/>
        <w:rPr>
          <w:sz w:val="22"/>
        </w:rPr>
      </w:pPr>
    </w:p>
    <w:p w:rsidR="00D166B8" w:rsidRPr="0030112C" w:rsidRDefault="00D166B8" w:rsidP="00D166B8">
      <w:pPr>
        <w:pStyle w:val="ListParagraph"/>
        <w:numPr>
          <w:ilvl w:val="0"/>
          <w:numId w:val="33"/>
        </w:numPr>
        <w:spacing w:after="0" w:line="240" w:lineRule="auto"/>
        <w:jc w:val="both"/>
        <w:rPr>
          <w:sz w:val="22"/>
        </w:rPr>
      </w:pPr>
      <w:r w:rsidRPr="0030112C">
        <w:rPr>
          <w:sz w:val="22"/>
        </w:rPr>
        <w:t xml:space="preserve">Draft Recommendation 12.1, being that </w:t>
      </w:r>
      <w:r>
        <w:rPr>
          <w:sz w:val="22"/>
        </w:rPr>
        <w:t>t</w:t>
      </w:r>
      <w:r w:rsidRPr="0030112C">
        <w:rPr>
          <w:sz w:val="22"/>
        </w:rPr>
        <w:t xml:space="preserve">he Australian Government should remove s 47(2) from the </w:t>
      </w:r>
      <w:r w:rsidRPr="0030112C">
        <w:rPr>
          <w:i/>
          <w:sz w:val="22"/>
        </w:rPr>
        <w:t>Fringe Benefits Tax Assessment Act 1986</w:t>
      </w:r>
      <w:r>
        <w:rPr>
          <w:rStyle w:val="FootnoteReference"/>
          <w:i/>
        </w:rPr>
        <w:footnoteReference w:id="2"/>
      </w:r>
      <w:r>
        <w:rPr>
          <w:i/>
          <w:sz w:val="22"/>
        </w:rPr>
        <w:t xml:space="preserve"> </w:t>
      </w:r>
      <w:r>
        <w:rPr>
          <w:sz w:val="22"/>
        </w:rPr>
        <w:t>(the FBT Act)</w:t>
      </w:r>
      <w:r w:rsidRPr="0030112C">
        <w:rPr>
          <w:sz w:val="22"/>
        </w:rPr>
        <w:t>, but retain s 47(8).</w:t>
      </w:r>
    </w:p>
    <w:p w:rsidR="00D166B8" w:rsidRDefault="00D166B8" w:rsidP="007277C3">
      <w:pPr>
        <w:spacing w:after="0" w:line="240" w:lineRule="auto"/>
        <w:jc w:val="both"/>
        <w:rPr>
          <w:sz w:val="22"/>
        </w:rPr>
      </w:pPr>
    </w:p>
    <w:p w:rsidR="00F80D71" w:rsidRPr="0030112C" w:rsidRDefault="00146419" w:rsidP="0030112C">
      <w:pPr>
        <w:pStyle w:val="ListParagraph"/>
        <w:numPr>
          <w:ilvl w:val="0"/>
          <w:numId w:val="33"/>
        </w:numPr>
        <w:spacing w:after="0" w:line="240" w:lineRule="auto"/>
        <w:jc w:val="both"/>
        <w:rPr>
          <w:sz w:val="22"/>
        </w:rPr>
      </w:pPr>
      <w:r w:rsidRPr="0030112C">
        <w:rPr>
          <w:sz w:val="22"/>
        </w:rPr>
        <w:t xml:space="preserve">Draft Recommendation </w:t>
      </w:r>
      <w:r w:rsidR="001F72C5" w:rsidRPr="0030112C">
        <w:rPr>
          <w:sz w:val="22"/>
        </w:rPr>
        <w:t>10.1, being that t</w:t>
      </w:r>
      <w:r w:rsidR="00F80D71" w:rsidRPr="0030112C">
        <w:rPr>
          <w:sz w:val="22"/>
        </w:rPr>
        <w:t xml:space="preserve">he Australian Government should remove eligibility of Not-For-Profit (NFP) </w:t>
      </w:r>
      <w:r w:rsidR="00F03859" w:rsidRPr="0030112C">
        <w:rPr>
          <w:sz w:val="22"/>
        </w:rPr>
        <w:t>ECEC providers to Fringe Benefits Tax (FBT) exemptions and rebates. State and territory governments should remove eligibility of all NFP childcare providers to payroll tax exemptions.</w:t>
      </w:r>
    </w:p>
    <w:p w:rsidR="00F80D71" w:rsidRDefault="00F80D71" w:rsidP="006F038E">
      <w:pPr>
        <w:spacing w:after="0" w:line="240" w:lineRule="auto"/>
        <w:jc w:val="both"/>
        <w:rPr>
          <w:sz w:val="22"/>
        </w:rPr>
      </w:pPr>
    </w:p>
    <w:p w:rsidR="0024768F" w:rsidRDefault="0024768F" w:rsidP="006F038E">
      <w:pPr>
        <w:spacing w:after="0" w:line="240" w:lineRule="auto"/>
        <w:jc w:val="both"/>
        <w:rPr>
          <w:sz w:val="22"/>
        </w:rPr>
      </w:pPr>
      <w:r>
        <w:rPr>
          <w:sz w:val="22"/>
        </w:rPr>
        <w:t xml:space="preserve">The Commission’s Inquiry represents a unique opportunity to recognise the potential for reforming </w:t>
      </w:r>
      <w:r w:rsidR="009E10DA">
        <w:rPr>
          <w:sz w:val="22"/>
        </w:rPr>
        <w:t>particular FBT provisions to stimulate employers</w:t>
      </w:r>
      <w:r w:rsidR="00F90F27">
        <w:rPr>
          <w:sz w:val="22"/>
        </w:rPr>
        <w:t>’</w:t>
      </w:r>
      <w:r w:rsidR="009E10DA">
        <w:rPr>
          <w:sz w:val="22"/>
        </w:rPr>
        <w:t xml:space="preserve"> involvement in childcare and thus improve workforce participation – one of the main aims of the Federal Government. </w:t>
      </w:r>
      <w:r w:rsidR="00776F6A">
        <w:rPr>
          <w:sz w:val="22"/>
        </w:rPr>
        <w:t xml:space="preserve">Along with other sector participants, </w:t>
      </w:r>
      <w:r w:rsidR="009E10DA">
        <w:rPr>
          <w:sz w:val="22"/>
        </w:rPr>
        <w:t>MMSG believes that this opportunity will be missed if Draft Recommendations 10.1 and 12.1 are progressed.</w:t>
      </w:r>
    </w:p>
    <w:p w:rsidR="0024768F" w:rsidRDefault="0024768F" w:rsidP="006F038E">
      <w:pPr>
        <w:spacing w:after="0" w:line="240" w:lineRule="auto"/>
        <w:jc w:val="both"/>
        <w:rPr>
          <w:sz w:val="22"/>
        </w:rPr>
      </w:pPr>
    </w:p>
    <w:p w:rsidR="0030112C" w:rsidRPr="001562A0" w:rsidRDefault="0030112C" w:rsidP="0030112C">
      <w:pPr>
        <w:spacing w:after="0" w:line="240" w:lineRule="auto"/>
        <w:jc w:val="both"/>
        <w:rPr>
          <w:b/>
          <w:color w:val="1F497D" w:themeColor="text2"/>
          <w:sz w:val="32"/>
          <w:szCs w:val="32"/>
        </w:rPr>
      </w:pPr>
      <w:r>
        <w:rPr>
          <w:b/>
          <w:color w:val="1F497D" w:themeColor="text2"/>
          <w:sz w:val="32"/>
          <w:szCs w:val="32"/>
        </w:rPr>
        <w:t>Executive summary</w:t>
      </w:r>
    </w:p>
    <w:p w:rsidR="00F80D71" w:rsidRDefault="00F80D71" w:rsidP="006F038E">
      <w:pPr>
        <w:spacing w:after="0" w:line="240" w:lineRule="auto"/>
        <w:jc w:val="both"/>
        <w:rPr>
          <w:sz w:val="22"/>
        </w:rPr>
      </w:pPr>
    </w:p>
    <w:p w:rsidR="0030112C" w:rsidRDefault="000D0253" w:rsidP="006F038E">
      <w:pPr>
        <w:spacing w:after="0" w:line="240" w:lineRule="auto"/>
        <w:jc w:val="both"/>
        <w:rPr>
          <w:sz w:val="22"/>
        </w:rPr>
      </w:pPr>
      <w:r>
        <w:rPr>
          <w:sz w:val="22"/>
        </w:rPr>
        <w:t>It is our view that:</w:t>
      </w:r>
    </w:p>
    <w:p w:rsidR="000D0253" w:rsidRDefault="000D0253" w:rsidP="006F038E">
      <w:pPr>
        <w:spacing w:after="0" w:line="240" w:lineRule="auto"/>
        <w:jc w:val="both"/>
        <w:rPr>
          <w:sz w:val="22"/>
        </w:rPr>
      </w:pPr>
    </w:p>
    <w:p w:rsidR="00776F6A" w:rsidRDefault="00ED2A72" w:rsidP="00ED2A72">
      <w:pPr>
        <w:pStyle w:val="ListParagraph"/>
        <w:numPr>
          <w:ilvl w:val="0"/>
          <w:numId w:val="34"/>
        </w:numPr>
        <w:spacing w:after="0" w:line="240" w:lineRule="auto"/>
        <w:jc w:val="both"/>
        <w:rPr>
          <w:sz w:val="22"/>
        </w:rPr>
      </w:pPr>
      <w:r>
        <w:rPr>
          <w:sz w:val="22"/>
        </w:rPr>
        <w:t>In relation to Draft Recommendation 12.1, we are concerned the Commission may have</w:t>
      </w:r>
      <w:r w:rsidRPr="007861F2">
        <w:rPr>
          <w:sz w:val="22"/>
        </w:rPr>
        <w:t xml:space="preserve"> misunderstood </w:t>
      </w:r>
      <w:r>
        <w:rPr>
          <w:sz w:val="22"/>
        </w:rPr>
        <w:t xml:space="preserve">both the interaction of FBT and salary sacrificing of childcare fees, and </w:t>
      </w:r>
      <w:r w:rsidRPr="007861F2">
        <w:rPr>
          <w:sz w:val="22"/>
        </w:rPr>
        <w:t>the reasons why s 47(2) is not being utilised to the extent e</w:t>
      </w:r>
      <w:r>
        <w:rPr>
          <w:sz w:val="22"/>
        </w:rPr>
        <w:t xml:space="preserve">nvisaged by the Government. </w:t>
      </w:r>
    </w:p>
    <w:p w:rsidR="006D6A19" w:rsidRDefault="006D6A19" w:rsidP="006D6A19">
      <w:pPr>
        <w:spacing w:after="0" w:line="240" w:lineRule="auto"/>
        <w:jc w:val="both"/>
        <w:rPr>
          <w:sz w:val="22"/>
        </w:rPr>
      </w:pPr>
    </w:p>
    <w:p w:rsidR="006D6A19" w:rsidRPr="006D6A19" w:rsidRDefault="006D6A19" w:rsidP="006D6A19">
      <w:pPr>
        <w:pStyle w:val="ListParagraph"/>
        <w:numPr>
          <w:ilvl w:val="0"/>
          <w:numId w:val="34"/>
        </w:numPr>
        <w:spacing w:after="0" w:line="240" w:lineRule="auto"/>
        <w:jc w:val="both"/>
        <w:rPr>
          <w:sz w:val="22"/>
        </w:rPr>
      </w:pPr>
      <w:r>
        <w:rPr>
          <w:sz w:val="22"/>
        </w:rPr>
        <w:t xml:space="preserve">Section 47(2) should be retained, but without the “business premises” requirement </w:t>
      </w:r>
      <w:r w:rsidR="00C75D9C">
        <w:rPr>
          <w:sz w:val="22"/>
        </w:rPr>
        <w:t xml:space="preserve">and its inherent “control” </w:t>
      </w:r>
      <w:r>
        <w:rPr>
          <w:sz w:val="22"/>
        </w:rPr>
        <w:t xml:space="preserve">test. This will allow </w:t>
      </w:r>
      <w:r w:rsidR="00C75D9C">
        <w:rPr>
          <w:sz w:val="22"/>
        </w:rPr>
        <w:t>multiple employers of any size or employee numbers to join together to provide professionally-managed childcare facilities for their employees and access the same FBT concessional treatment currently only enjoyed by Australia’s largest companies.</w:t>
      </w:r>
    </w:p>
    <w:p w:rsidR="00776F6A" w:rsidRDefault="00776F6A" w:rsidP="006D6A19">
      <w:pPr>
        <w:pStyle w:val="ListParagraph"/>
        <w:spacing w:after="0" w:line="240" w:lineRule="auto"/>
        <w:jc w:val="both"/>
        <w:rPr>
          <w:sz w:val="22"/>
        </w:rPr>
      </w:pPr>
    </w:p>
    <w:p w:rsidR="00ED2A72" w:rsidRPr="007861F2" w:rsidRDefault="00ED2A72" w:rsidP="00ED2A72">
      <w:pPr>
        <w:pStyle w:val="ListParagraph"/>
        <w:numPr>
          <w:ilvl w:val="0"/>
          <w:numId w:val="34"/>
        </w:numPr>
        <w:spacing w:after="0" w:line="240" w:lineRule="auto"/>
        <w:jc w:val="both"/>
        <w:rPr>
          <w:sz w:val="22"/>
        </w:rPr>
      </w:pPr>
      <w:r>
        <w:rPr>
          <w:sz w:val="22"/>
        </w:rPr>
        <w:t xml:space="preserve">In recommending the retention of s 47(8) it is our view that the Commission </w:t>
      </w:r>
      <w:r w:rsidRPr="007861F2">
        <w:rPr>
          <w:sz w:val="22"/>
        </w:rPr>
        <w:t xml:space="preserve">has not </w:t>
      </w:r>
      <w:r>
        <w:rPr>
          <w:sz w:val="22"/>
        </w:rPr>
        <w:t xml:space="preserve">adequately </w:t>
      </w:r>
      <w:r w:rsidRPr="007861F2">
        <w:rPr>
          <w:sz w:val="22"/>
        </w:rPr>
        <w:t xml:space="preserve">recognised the </w:t>
      </w:r>
      <w:r>
        <w:rPr>
          <w:sz w:val="22"/>
        </w:rPr>
        <w:t>ongoing failure of that provision</w:t>
      </w:r>
      <w:r w:rsidRPr="007861F2">
        <w:rPr>
          <w:sz w:val="22"/>
        </w:rPr>
        <w:t xml:space="preserve"> to provide any meaningful support</w:t>
      </w:r>
      <w:r>
        <w:rPr>
          <w:sz w:val="22"/>
        </w:rPr>
        <w:t xml:space="preserve"> to employers and their employees, and is mistaken in its belief that greater utilisation of the concession will increase workforce participation</w:t>
      </w:r>
      <w:r w:rsidRPr="007861F2">
        <w:rPr>
          <w:sz w:val="22"/>
        </w:rPr>
        <w:t>.</w:t>
      </w:r>
    </w:p>
    <w:p w:rsidR="00ED2A72" w:rsidRPr="00ED2A72" w:rsidRDefault="00ED2A72" w:rsidP="00ED2A72">
      <w:pPr>
        <w:pStyle w:val="ListParagraph"/>
        <w:spacing w:after="0" w:line="240" w:lineRule="auto"/>
        <w:jc w:val="both"/>
        <w:rPr>
          <w:sz w:val="22"/>
        </w:rPr>
      </w:pPr>
    </w:p>
    <w:p w:rsidR="00EF580D" w:rsidRPr="007861F2" w:rsidRDefault="000D0253" w:rsidP="007861F2">
      <w:pPr>
        <w:pStyle w:val="ListParagraph"/>
        <w:numPr>
          <w:ilvl w:val="0"/>
          <w:numId w:val="34"/>
        </w:numPr>
        <w:spacing w:after="0" w:line="240" w:lineRule="auto"/>
        <w:jc w:val="both"/>
        <w:rPr>
          <w:sz w:val="22"/>
        </w:rPr>
      </w:pPr>
      <w:r w:rsidRPr="007861F2">
        <w:rPr>
          <w:sz w:val="22"/>
        </w:rPr>
        <w:t xml:space="preserve">The </w:t>
      </w:r>
      <w:r w:rsidR="002C447A">
        <w:rPr>
          <w:sz w:val="22"/>
        </w:rPr>
        <w:t>economic</w:t>
      </w:r>
      <w:r w:rsidR="00EF580D" w:rsidRPr="007861F2">
        <w:rPr>
          <w:sz w:val="22"/>
        </w:rPr>
        <w:t xml:space="preserve"> justification fo</w:t>
      </w:r>
      <w:r w:rsidRPr="007861F2">
        <w:rPr>
          <w:sz w:val="22"/>
        </w:rPr>
        <w:t>r Draft Recommendation 10.1</w:t>
      </w:r>
      <w:r w:rsidR="002C447A">
        <w:rPr>
          <w:sz w:val="22"/>
        </w:rPr>
        <w:t xml:space="preserve"> does not exist</w:t>
      </w:r>
      <w:r w:rsidR="00FF308C">
        <w:rPr>
          <w:sz w:val="22"/>
        </w:rPr>
        <w:t xml:space="preserve"> and the rationale for the potential removal of the relevant FBT concessions is weak</w:t>
      </w:r>
      <w:r w:rsidR="00415269">
        <w:rPr>
          <w:sz w:val="22"/>
        </w:rPr>
        <w:t>.</w:t>
      </w:r>
      <w:r w:rsidRPr="007861F2">
        <w:rPr>
          <w:sz w:val="22"/>
        </w:rPr>
        <w:t xml:space="preserve"> </w:t>
      </w:r>
      <w:r w:rsidR="00E35E1E">
        <w:rPr>
          <w:sz w:val="22"/>
        </w:rPr>
        <w:t>We do not believe</w:t>
      </w:r>
      <w:r w:rsidR="002C447A">
        <w:rPr>
          <w:sz w:val="22"/>
        </w:rPr>
        <w:t xml:space="preserve"> the Commission </w:t>
      </w:r>
      <w:r w:rsidR="00E35E1E">
        <w:rPr>
          <w:sz w:val="22"/>
        </w:rPr>
        <w:t>has</w:t>
      </w:r>
      <w:r w:rsidR="002C447A">
        <w:rPr>
          <w:sz w:val="22"/>
        </w:rPr>
        <w:t xml:space="preserve"> given</w:t>
      </w:r>
      <w:r w:rsidR="00EF580D" w:rsidRPr="007861F2">
        <w:rPr>
          <w:sz w:val="22"/>
        </w:rPr>
        <w:t xml:space="preserve"> adequate weight to the reasons</w:t>
      </w:r>
      <w:r w:rsidRPr="007861F2">
        <w:rPr>
          <w:sz w:val="22"/>
        </w:rPr>
        <w:t xml:space="preserve"> the Commission itself has identified for retention of the </w:t>
      </w:r>
      <w:r w:rsidR="00FF308C">
        <w:rPr>
          <w:sz w:val="22"/>
        </w:rPr>
        <w:t>concessions</w:t>
      </w:r>
      <w:r w:rsidRPr="007861F2">
        <w:rPr>
          <w:sz w:val="22"/>
        </w:rPr>
        <w:t xml:space="preserve">, and has not </w:t>
      </w:r>
      <w:r w:rsidR="00FF308C">
        <w:rPr>
          <w:sz w:val="22"/>
        </w:rPr>
        <w:t xml:space="preserve">sufficiently </w:t>
      </w:r>
      <w:r w:rsidR="00415269">
        <w:rPr>
          <w:sz w:val="22"/>
        </w:rPr>
        <w:t>considered</w:t>
      </w:r>
      <w:r w:rsidRPr="007861F2">
        <w:rPr>
          <w:sz w:val="22"/>
        </w:rPr>
        <w:t xml:space="preserve"> the adverse consequences of implementing the Recommendation.</w:t>
      </w:r>
    </w:p>
    <w:p w:rsidR="0078123E" w:rsidRDefault="0078123E" w:rsidP="0078123E">
      <w:pPr>
        <w:spacing w:after="0" w:line="240" w:lineRule="auto"/>
        <w:jc w:val="both"/>
        <w:rPr>
          <w:sz w:val="22"/>
          <w:lang w:val="en-GB" w:eastAsia="en-GB"/>
        </w:rPr>
      </w:pPr>
    </w:p>
    <w:p w:rsidR="00354521" w:rsidRDefault="0078123E" w:rsidP="0078123E">
      <w:pPr>
        <w:spacing w:after="0" w:line="240" w:lineRule="auto"/>
        <w:jc w:val="both"/>
        <w:rPr>
          <w:sz w:val="22"/>
          <w:lang w:val="en-GB" w:eastAsia="en-GB"/>
        </w:rPr>
      </w:pPr>
      <w:r>
        <w:rPr>
          <w:sz w:val="22"/>
          <w:lang w:val="en-GB" w:eastAsia="en-GB"/>
        </w:rPr>
        <w:t>This submission expands upon and provides supp</w:t>
      </w:r>
      <w:r w:rsidR="00415269">
        <w:rPr>
          <w:sz w:val="22"/>
          <w:lang w:val="en-GB" w:eastAsia="en-GB"/>
        </w:rPr>
        <w:t>ort for each of the above views, including recommending certain specific amendments to both s 47(2) and s 47(8).</w:t>
      </w:r>
    </w:p>
    <w:p w:rsidR="0030112C" w:rsidRDefault="0030112C" w:rsidP="006F038E">
      <w:pPr>
        <w:spacing w:after="0" w:line="240" w:lineRule="auto"/>
        <w:jc w:val="both"/>
        <w:rPr>
          <w:sz w:val="22"/>
        </w:rPr>
      </w:pPr>
    </w:p>
    <w:p w:rsidR="0030112C" w:rsidRPr="001562A0" w:rsidRDefault="0030112C" w:rsidP="0030112C">
      <w:pPr>
        <w:spacing w:after="0" w:line="240" w:lineRule="auto"/>
        <w:jc w:val="both"/>
        <w:rPr>
          <w:b/>
          <w:color w:val="1F497D" w:themeColor="text2"/>
          <w:sz w:val="32"/>
          <w:szCs w:val="32"/>
        </w:rPr>
      </w:pPr>
      <w:r>
        <w:rPr>
          <w:b/>
          <w:color w:val="1F497D" w:themeColor="text2"/>
          <w:sz w:val="32"/>
          <w:szCs w:val="32"/>
        </w:rPr>
        <w:t>Submission in detail</w:t>
      </w:r>
    </w:p>
    <w:p w:rsidR="009435F2" w:rsidRDefault="009435F2" w:rsidP="006F038E">
      <w:pPr>
        <w:spacing w:after="0" w:line="240" w:lineRule="auto"/>
        <w:jc w:val="both"/>
        <w:rPr>
          <w:sz w:val="22"/>
        </w:rPr>
      </w:pPr>
    </w:p>
    <w:p w:rsidR="005F52DB" w:rsidRPr="005F52DB" w:rsidRDefault="005F52DB" w:rsidP="006F038E">
      <w:pPr>
        <w:spacing w:after="0" w:line="240" w:lineRule="auto"/>
        <w:jc w:val="both"/>
        <w:rPr>
          <w:b/>
          <w:color w:val="1F497D" w:themeColor="text2"/>
          <w:sz w:val="24"/>
        </w:rPr>
      </w:pPr>
      <w:r w:rsidRPr="005F52DB">
        <w:rPr>
          <w:b/>
          <w:color w:val="1F497D" w:themeColor="text2"/>
          <w:sz w:val="24"/>
        </w:rPr>
        <w:t>Draft Recommendation 12.1</w:t>
      </w:r>
      <w:r w:rsidR="00D166B8">
        <w:rPr>
          <w:b/>
          <w:color w:val="1F497D" w:themeColor="text2"/>
          <w:sz w:val="24"/>
        </w:rPr>
        <w:t xml:space="preserve"> – Removal of FBT exemption for employer-provided childcare</w:t>
      </w:r>
    </w:p>
    <w:p w:rsidR="005F52DB" w:rsidRDefault="005F52DB" w:rsidP="006F038E">
      <w:pPr>
        <w:spacing w:after="0" w:line="240" w:lineRule="auto"/>
        <w:jc w:val="both"/>
        <w:rPr>
          <w:sz w:val="22"/>
        </w:rPr>
      </w:pPr>
    </w:p>
    <w:p w:rsidR="00E35E1E" w:rsidRDefault="00187333" w:rsidP="006F038E">
      <w:pPr>
        <w:spacing w:after="0" w:line="240" w:lineRule="auto"/>
        <w:jc w:val="both"/>
        <w:rPr>
          <w:sz w:val="22"/>
        </w:rPr>
      </w:pPr>
      <w:r>
        <w:rPr>
          <w:sz w:val="22"/>
        </w:rPr>
        <w:t>A number of conceptual errors appear to have underpinned the Commission’s Draft Recommendation 12.1 that s 47(2)</w:t>
      </w:r>
      <w:r w:rsidR="004F5031">
        <w:rPr>
          <w:sz w:val="22"/>
        </w:rPr>
        <w:t xml:space="preserve"> be “removed” from the FBT Act.</w:t>
      </w:r>
      <w:r w:rsidR="004F5031">
        <w:rPr>
          <w:rStyle w:val="FootnoteReference"/>
        </w:rPr>
        <w:footnoteReference w:id="3"/>
      </w:r>
    </w:p>
    <w:p w:rsidR="00DD7394" w:rsidRDefault="00DD7394" w:rsidP="006F038E">
      <w:pPr>
        <w:spacing w:after="0" w:line="240" w:lineRule="auto"/>
        <w:jc w:val="both"/>
        <w:rPr>
          <w:sz w:val="22"/>
        </w:rPr>
      </w:pPr>
    </w:p>
    <w:p w:rsidR="00ED2D06" w:rsidRDefault="00F75B93" w:rsidP="006F038E">
      <w:pPr>
        <w:spacing w:after="0" w:line="240" w:lineRule="auto"/>
        <w:jc w:val="both"/>
        <w:rPr>
          <w:sz w:val="22"/>
        </w:rPr>
      </w:pPr>
      <w:r>
        <w:rPr>
          <w:sz w:val="22"/>
        </w:rPr>
        <w:t>Firstly, t</w:t>
      </w:r>
      <w:r w:rsidR="00DD7394">
        <w:rPr>
          <w:sz w:val="22"/>
        </w:rPr>
        <w:t xml:space="preserve">he Commission stated that s 47(2) </w:t>
      </w:r>
      <w:proofErr w:type="gramStart"/>
      <w:r w:rsidR="00DD7394">
        <w:rPr>
          <w:sz w:val="22"/>
        </w:rPr>
        <w:t>exempts</w:t>
      </w:r>
      <w:proofErr w:type="gramEnd"/>
      <w:r w:rsidR="00DD7394">
        <w:rPr>
          <w:sz w:val="22"/>
        </w:rPr>
        <w:t xml:space="preserve"> employer-provided childcare from the assessable income of their </w:t>
      </w:r>
      <w:r w:rsidR="00897A44">
        <w:rPr>
          <w:sz w:val="22"/>
        </w:rPr>
        <w:t>employees.</w:t>
      </w:r>
      <w:r w:rsidR="00897A44">
        <w:rPr>
          <w:rStyle w:val="FootnoteReference"/>
        </w:rPr>
        <w:footnoteReference w:id="4"/>
      </w:r>
      <w:r w:rsidR="00C3346F">
        <w:rPr>
          <w:sz w:val="22"/>
        </w:rPr>
        <w:t xml:space="preserve"> </w:t>
      </w:r>
      <w:r w:rsidR="00D26DD7">
        <w:rPr>
          <w:sz w:val="22"/>
        </w:rPr>
        <w:t xml:space="preserve">This is not correct, and in fact the reverse is the case: a fringe benefit is </w:t>
      </w:r>
      <w:r w:rsidR="007B0D9F">
        <w:rPr>
          <w:sz w:val="22"/>
        </w:rPr>
        <w:t xml:space="preserve">generally </w:t>
      </w:r>
      <w:r w:rsidR="00D26DD7">
        <w:rPr>
          <w:sz w:val="22"/>
        </w:rPr>
        <w:t>exempt to the employee if the employer is subject to FBT on that benefit.</w:t>
      </w:r>
      <w:r w:rsidR="00897A44">
        <w:rPr>
          <w:rStyle w:val="FootnoteReference"/>
        </w:rPr>
        <w:footnoteReference w:id="5"/>
      </w:r>
      <w:r w:rsidR="0044654C">
        <w:rPr>
          <w:sz w:val="22"/>
        </w:rPr>
        <w:t xml:space="preserve"> </w:t>
      </w:r>
    </w:p>
    <w:p w:rsidR="00ED2D06" w:rsidRDefault="00ED2D06" w:rsidP="006F038E">
      <w:pPr>
        <w:spacing w:after="0" w:line="240" w:lineRule="auto"/>
        <w:jc w:val="both"/>
        <w:rPr>
          <w:sz w:val="22"/>
        </w:rPr>
      </w:pPr>
    </w:p>
    <w:p w:rsidR="00FD09FD" w:rsidRDefault="0044654C" w:rsidP="006F038E">
      <w:pPr>
        <w:spacing w:after="0" w:line="240" w:lineRule="auto"/>
        <w:jc w:val="both"/>
        <w:rPr>
          <w:sz w:val="22"/>
        </w:rPr>
      </w:pPr>
      <w:r>
        <w:rPr>
          <w:sz w:val="22"/>
        </w:rPr>
        <w:t>Moreover</w:t>
      </w:r>
      <w:r w:rsidR="00F75B93">
        <w:rPr>
          <w:sz w:val="22"/>
        </w:rPr>
        <w:t>,</w:t>
      </w:r>
      <w:r>
        <w:rPr>
          <w:sz w:val="22"/>
        </w:rPr>
        <w:t xml:space="preserve"> in advocating the removal of s 47(2)</w:t>
      </w:r>
      <w:r w:rsidR="0047212D">
        <w:rPr>
          <w:sz w:val="22"/>
        </w:rPr>
        <w:t>,</w:t>
      </w:r>
      <w:r>
        <w:rPr>
          <w:sz w:val="22"/>
        </w:rPr>
        <w:t xml:space="preserve"> the Commission has not recognised that the provision focuses on expenditure of employers, not on expenditure of employees.</w:t>
      </w:r>
      <w:r>
        <w:rPr>
          <w:rStyle w:val="FootnoteReference"/>
        </w:rPr>
        <w:footnoteReference w:id="6"/>
      </w:r>
      <w:r w:rsidR="00ED2D06">
        <w:rPr>
          <w:sz w:val="22"/>
        </w:rPr>
        <w:t xml:space="preserve"> </w:t>
      </w:r>
      <w:r w:rsidR="000872BF">
        <w:rPr>
          <w:sz w:val="22"/>
        </w:rPr>
        <w:t xml:space="preserve">Any employer contemplating placing reliance on s 47(2) is in fact contemplating making a substantial investment of </w:t>
      </w:r>
      <w:r w:rsidR="009659F4">
        <w:rPr>
          <w:sz w:val="22"/>
        </w:rPr>
        <w:t xml:space="preserve">capital and ongoing expenditure. </w:t>
      </w:r>
    </w:p>
    <w:p w:rsidR="00FD09FD" w:rsidRDefault="00FD09FD" w:rsidP="006F038E">
      <w:pPr>
        <w:spacing w:after="0" w:line="240" w:lineRule="auto"/>
        <w:jc w:val="both"/>
        <w:rPr>
          <w:sz w:val="22"/>
        </w:rPr>
      </w:pPr>
    </w:p>
    <w:p w:rsidR="00E35E1E" w:rsidRDefault="00FD09FD" w:rsidP="006F038E">
      <w:pPr>
        <w:spacing w:after="0" w:line="240" w:lineRule="auto"/>
        <w:jc w:val="both"/>
        <w:rPr>
          <w:sz w:val="22"/>
        </w:rPr>
      </w:pPr>
      <w:r>
        <w:rPr>
          <w:sz w:val="22"/>
        </w:rPr>
        <w:t>Importantly, i</w:t>
      </w:r>
      <w:r w:rsidR="009659F4">
        <w:rPr>
          <w:sz w:val="22"/>
        </w:rPr>
        <w:t>ncreasing the scope for employers to utilise s 47(2) would encourage levels of investment that are not currently being contemplated</w:t>
      </w:r>
      <w:r w:rsidR="007A2FD8">
        <w:rPr>
          <w:sz w:val="22"/>
        </w:rPr>
        <w:t>. It is therefore</w:t>
      </w:r>
      <w:r>
        <w:rPr>
          <w:sz w:val="22"/>
        </w:rPr>
        <w:t>, in our view,</w:t>
      </w:r>
      <w:r w:rsidR="007A2FD8">
        <w:rPr>
          <w:sz w:val="22"/>
        </w:rPr>
        <w:t xml:space="preserve"> illogical to discourage this outcome on the basis that </w:t>
      </w:r>
      <w:proofErr w:type="gramStart"/>
      <w:r w:rsidR="007A2FD8">
        <w:rPr>
          <w:sz w:val="22"/>
        </w:rPr>
        <w:t>a positive</w:t>
      </w:r>
      <w:proofErr w:type="gramEnd"/>
      <w:r w:rsidR="007A2FD8">
        <w:rPr>
          <w:sz w:val="22"/>
        </w:rPr>
        <w:t xml:space="preserve"> tax exp</w:t>
      </w:r>
      <w:r>
        <w:rPr>
          <w:sz w:val="22"/>
        </w:rPr>
        <w:t>enditure would be experienced. We suggest i</w:t>
      </w:r>
      <w:r w:rsidR="007A2FD8">
        <w:rPr>
          <w:sz w:val="22"/>
        </w:rPr>
        <w:t xml:space="preserve">t is akin to arguing that </w:t>
      </w:r>
      <w:r w:rsidR="00B53C65">
        <w:rPr>
          <w:sz w:val="22"/>
        </w:rPr>
        <w:t>employers should be discouraged from relying on any tax concession</w:t>
      </w:r>
      <w:r w:rsidR="007A2FD8">
        <w:rPr>
          <w:sz w:val="22"/>
        </w:rPr>
        <w:t xml:space="preserve"> because</w:t>
      </w:r>
      <w:r w:rsidR="00B53C65">
        <w:rPr>
          <w:sz w:val="22"/>
        </w:rPr>
        <w:t xml:space="preserve"> they increase positive tax expenditure.</w:t>
      </w:r>
      <w:r w:rsidR="00F75B93">
        <w:rPr>
          <w:sz w:val="22"/>
        </w:rPr>
        <w:t xml:space="preserve"> Tax concessions are there for a reason and in the case of s 47(2) it is to increase workforce participation by encouraging employers to be directly involved in providing childcare facilities for their employees.</w:t>
      </w:r>
    </w:p>
    <w:p w:rsidR="00897A44" w:rsidRDefault="00897A44" w:rsidP="006F038E">
      <w:pPr>
        <w:spacing w:after="0" w:line="240" w:lineRule="auto"/>
        <w:jc w:val="both"/>
        <w:rPr>
          <w:sz w:val="22"/>
        </w:rPr>
      </w:pPr>
    </w:p>
    <w:p w:rsidR="00132EA3" w:rsidRPr="00FE280E" w:rsidRDefault="007B0D9F" w:rsidP="00FE280E">
      <w:pPr>
        <w:spacing w:after="0" w:line="240" w:lineRule="auto"/>
        <w:jc w:val="both"/>
        <w:rPr>
          <w:sz w:val="22"/>
        </w:rPr>
      </w:pPr>
      <w:r>
        <w:rPr>
          <w:sz w:val="22"/>
        </w:rPr>
        <w:t>The Commission also stated that employers can allow employees to salary sacrifice the cost of childcare when usi</w:t>
      </w:r>
      <w:r w:rsidR="00F33051">
        <w:rPr>
          <w:sz w:val="22"/>
        </w:rPr>
        <w:t xml:space="preserve">ng employer-provided facilities but that this is mainly used by high income employees because </w:t>
      </w:r>
      <w:r w:rsidR="00132EA3">
        <w:rPr>
          <w:sz w:val="22"/>
        </w:rPr>
        <w:t>salary sacrificing precludes access to the Child Care Benefit and the Child Care Rebate.</w:t>
      </w:r>
      <w:r w:rsidR="00F33051">
        <w:rPr>
          <w:rStyle w:val="FootnoteReference"/>
        </w:rPr>
        <w:footnoteReference w:id="7"/>
      </w:r>
      <w:r w:rsidR="00132EA3">
        <w:rPr>
          <w:sz w:val="22"/>
        </w:rPr>
        <w:t xml:space="preserve"> However, </w:t>
      </w:r>
      <w:r w:rsidR="00FD09FD">
        <w:rPr>
          <w:sz w:val="22"/>
        </w:rPr>
        <w:t xml:space="preserve">we contend that </w:t>
      </w:r>
      <w:r w:rsidR="00132EA3">
        <w:rPr>
          <w:sz w:val="22"/>
        </w:rPr>
        <w:t>this conclusion oversimplifies the option to salary sacrif</w:t>
      </w:r>
      <w:r w:rsidR="00FE280E">
        <w:rPr>
          <w:sz w:val="22"/>
        </w:rPr>
        <w:t xml:space="preserve">ice. </w:t>
      </w:r>
      <w:r w:rsidR="00FD09FD" w:rsidRPr="00FE280E">
        <w:rPr>
          <w:sz w:val="22"/>
        </w:rPr>
        <w:t>In our experience, n</w:t>
      </w:r>
      <w:r w:rsidR="0047212D" w:rsidRPr="00FE280E">
        <w:rPr>
          <w:sz w:val="22"/>
        </w:rPr>
        <w:t>ot all employer</w:t>
      </w:r>
      <w:r w:rsidR="00132EA3" w:rsidRPr="00FE280E">
        <w:rPr>
          <w:sz w:val="22"/>
        </w:rPr>
        <w:t xml:space="preserve">s </w:t>
      </w:r>
      <w:r w:rsidR="00132EA3" w:rsidRPr="00FE280E">
        <w:rPr>
          <w:sz w:val="22"/>
        </w:rPr>
        <w:lastRenderedPageBreak/>
        <w:t xml:space="preserve">providing childcare facilities seek full cost recovery from employees availing themselves of the </w:t>
      </w:r>
      <w:r w:rsidR="00FD09FD" w:rsidRPr="00FE280E">
        <w:rPr>
          <w:sz w:val="22"/>
        </w:rPr>
        <w:t>benefit. Specifically, and a</w:t>
      </w:r>
      <w:r w:rsidR="00132EA3" w:rsidRPr="00FE280E">
        <w:rPr>
          <w:sz w:val="22"/>
        </w:rPr>
        <w:t xml:space="preserve">s MMSG found </w:t>
      </w:r>
      <w:r w:rsidR="00127588" w:rsidRPr="00FE280E">
        <w:rPr>
          <w:sz w:val="22"/>
        </w:rPr>
        <w:t>from research conducted on its behalf by Sweeney Research</w:t>
      </w:r>
      <w:r w:rsidR="00F90F27">
        <w:rPr>
          <w:sz w:val="22"/>
        </w:rPr>
        <w:t xml:space="preserve"> and discussed in our original submission to the Commission</w:t>
      </w:r>
      <w:r w:rsidR="00127588" w:rsidRPr="00FE280E">
        <w:rPr>
          <w:sz w:val="22"/>
        </w:rPr>
        <w:t>, some employers do not seek any recovery of costs at all, some seek partial recovery of c</w:t>
      </w:r>
      <w:r w:rsidR="0005436D" w:rsidRPr="00FE280E">
        <w:rPr>
          <w:sz w:val="22"/>
        </w:rPr>
        <w:t>osts, and of those that do</w:t>
      </w:r>
      <w:r w:rsidR="00127588" w:rsidRPr="00FE280E">
        <w:rPr>
          <w:sz w:val="22"/>
        </w:rPr>
        <w:t xml:space="preserve"> seek rec</w:t>
      </w:r>
      <w:r w:rsidR="0005436D" w:rsidRPr="00FE280E">
        <w:rPr>
          <w:sz w:val="22"/>
        </w:rPr>
        <w:t>overy of costs only some allow</w:t>
      </w:r>
      <w:r w:rsidR="00127588" w:rsidRPr="00FE280E">
        <w:rPr>
          <w:sz w:val="22"/>
        </w:rPr>
        <w:t xml:space="preserve"> salary sacrificing.</w:t>
      </w:r>
    </w:p>
    <w:p w:rsidR="00A302C7" w:rsidRDefault="00A302C7" w:rsidP="00F33051">
      <w:pPr>
        <w:spacing w:after="0" w:line="240" w:lineRule="auto"/>
        <w:jc w:val="both"/>
        <w:rPr>
          <w:sz w:val="22"/>
        </w:rPr>
      </w:pPr>
    </w:p>
    <w:p w:rsidR="00A302C7" w:rsidRPr="00FE280E" w:rsidRDefault="00FE280E" w:rsidP="00FE280E">
      <w:pPr>
        <w:spacing w:after="0" w:line="240" w:lineRule="auto"/>
        <w:jc w:val="both"/>
        <w:rPr>
          <w:sz w:val="22"/>
        </w:rPr>
      </w:pPr>
      <w:r>
        <w:rPr>
          <w:sz w:val="22"/>
        </w:rPr>
        <w:t xml:space="preserve">In addition, parents have at times been </w:t>
      </w:r>
      <w:r w:rsidR="007C319E">
        <w:rPr>
          <w:sz w:val="22"/>
        </w:rPr>
        <w:t xml:space="preserve">disadvantaged because </w:t>
      </w:r>
      <w:r>
        <w:rPr>
          <w:sz w:val="22"/>
        </w:rPr>
        <w:t>some e</w:t>
      </w:r>
      <w:r w:rsidR="00A302C7" w:rsidRPr="00FE280E">
        <w:rPr>
          <w:sz w:val="22"/>
        </w:rPr>
        <w:t xml:space="preserve">mployers </w:t>
      </w:r>
      <w:r w:rsidR="007C319E">
        <w:rPr>
          <w:sz w:val="22"/>
        </w:rPr>
        <w:t>have failed to carefully structure their childcare facility arrangements</w:t>
      </w:r>
      <w:r w:rsidR="00A302C7" w:rsidRPr="00FE280E">
        <w:rPr>
          <w:sz w:val="22"/>
        </w:rPr>
        <w:t xml:space="preserve"> </w:t>
      </w:r>
      <w:r w:rsidR="007C319E">
        <w:rPr>
          <w:sz w:val="22"/>
        </w:rPr>
        <w:t xml:space="preserve">to fit within the complex FBT requirements, resulting in </w:t>
      </w:r>
      <w:r w:rsidR="00A302C7" w:rsidRPr="00FE280E">
        <w:rPr>
          <w:sz w:val="22"/>
        </w:rPr>
        <w:t xml:space="preserve">the Australian Taxation Office </w:t>
      </w:r>
      <w:r w:rsidR="00D33550" w:rsidRPr="00FE280E">
        <w:rPr>
          <w:sz w:val="22"/>
        </w:rPr>
        <w:t xml:space="preserve">(ATO) </w:t>
      </w:r>
      <w:r w:rsidR="00EF101F">
        <w:rPr>
          <w:sz w:val="22"/>
        </w:rPr>
        <w:t>treating particular</w:t>
      </w:r>
      <w:r w:rsidR="00F90F27">
        <w:rPr>
          <w:sz w:val="22"/>
        </w:rPr>
        <w:t xml:space="preserve"> salary-sacrificed fee arrangements</w:t>
      </w:r>
      <w:r w:rsidR="00EF101F">
        <w:rPr>
          <w:sz w:val="22"/>
        </w:rPr>
        <w:t xml:space="preserve"> </w:t>
      </w:r>
      <w:r w:rsidR="00A302C7" w:rsidRPr="00FE280E">
        <w:rPr>
          <w:sz w:val="22"/>
        </w:rPr>
        <w:t xml:space="preserve">as an expense payment fringe benefit which automatically disqualifies the employer from </w:t>
      </w:r>
      <w:r w:rsidR="0005436D" w:rsidRPr="00FE280E">
        <w:rPr>
          <w:sz w:val="22"/>
        </w:rPr>
        <w:t>eligibility for exemption under s 47(2).</w:t>
      </w:r>
      <w:r w:rsidR="009B25AA">
        <w:rPr>
          <w:rStyle w:val="FootnoteReference"/>
        </w:rPr>
        <w:footnoteReference w:id="8"/>
      </w:r>
    </w:p>
    <w:p w:rsidR="007B0D9F" w:rsidRDefault="007B0D9F" w:rsidP="006F038E">
      <w:pPr>
        <w:spacing w:after="0" w:line="240" w:lineRule="auto"/>
        <w:jc w:val="both"/>
        <w:rPr>
          <w:sz w:val="22"/>
        </w:rPr>
      </w:pPr>
    </w:p>
    <w:p w:rsidR="00EF101F" w:rsidRDefault="00E26518" w:rsidP="006D0778">
      <w:pPr>
        <w:spacing w:after="0" w:line="240" w:lineRule="auto"/>
        <w:jc w:val="both"/>
        <w:rPr>
          <w:sz w:val="22"/>
        </w:rPr>
      </w:pPr>
      <w:r>
        <w:rPr>
          <w:sz w:val="22"/>
        </w:rPr>
        <w:t xml:space="preserve">The Commission acknowledged in its Draft Report that extending </w:t>
      </w:r>
      <w:r w:rsidR="0047212D">
        <w:rPr>
          <w:sz w:val="22"/>
        </w:rPr>
        <w:t xml:space="preserve">the current </w:t>
      </w:r>
      <w:r>
        <w:rPr>
          <w:sz w:val="22"/>
        </w:rPr>
        <w:t>FBT exemption to any childcare provided or assisted by employers (as a number of organisations, including MMSG had called for) “would correct the inequity of the current system for some employees” but that “not all employers are likely to be able to provide, or purchase, childcare for their employees.”</w:t>
      </w:r>
      <w:r>
        <w:rPr>
          <w:rStyle w:val="FootnoteReference"/>
        </w:rPr>
        <w:footnoteReference w:id="9"/>
      </w:r>
      <w:r w:rsidR="008F4335">
        <w:rPr>
          <w:sz w:val="22"/>
        </w:rPr>
        <w:t xml:space="preserve"> It is not suggested, however, that </w:t>
      </w:r>
      <w:r w:rsidR="008F4335" w:rsidRPr="008F4335">
        <w:rPr>
          <w:i/>
          <w:sz w:val="22"/>
        </w:rPr>
        <w:t>all employers</w:t>
      </w:r>
      <w:r w:rsidR="008F4335">
        <w:rPr>
          <w:sz w:val="22"/>
        </w:rPr>
        <w:t xml:space="preserve"> would benefit from a widening of the scope of FBT exemption. </w:t>
      </w:r>
    </w:p>
    <w:p w:rsidR="00EF101F" w:rsidRDefault="00EF101F" w:rsidP="006D0778">
      <w:pPr>
        <w:spacing w:after="0" w:line="240" w:lineRule="auto"/>
        <w:jc w:val="both"/>
        <w:rPr>
          <w:sz w:val="22"/>
        </w:rPr>
      </w:pPr>
    </w:p>
    <w:p w:rsidR="006D0778" w:rsidRPr="006D0778" w:rsidRDefault="008F4335" w:rsidP="006D0778">
      <w:pPr>
        <w:spacing w:after="0" w:line="240" w:lineRule="auto"/>
        <w:jc w:val="both"/>
        <w:rPr>
          <w:sz w:val="22"/>
        </w:rPr>
      </w:pPr>
      <w:r>
        <w:rPr>
          <w:sz w:val="22"/>
        </w:rPr>
        <w:t xml:space="preserve">Instead, we </w:t>
      </w:r>
      <w:r w:rsidR="00D22957">
        <w:rPr>
          <w:sz w:val="22"/>
        </w:rPr>
        <w:t xml:space="preserve">firmly </w:t>
      </w:r>
      <w:r>
        <w:rPr>
          <w:sz w:val="22"/>
        </w:rPr>
        <w:t xml:space="preserve">believe that extending the FBT exemption in the manner discussed below will significantly increase the number of employers </w:t>
      </w:r>
      <w:r w:rsidR="004D75BA" w:rsidRPr="004D75BA">
        <w:rPr>
          <w:i/>
          <w:sz w:val="22"/>
        </w:rPr>
        <w:t>potentially</w:t>
      </w:r>
      <w:r w:rsidR="004D75BA">
        <w:rPr>
          <w:sz w:val="22"/>
        </w:rPr>
        <w:t xml:space="preserve"> able to access an FBT exemption in respect of a decision made to assist employees with their childcare needs.</w:t>
      </w:r>
      <w:r w:rsidR="006D0778">
        <w:rPr>
          <w:sz w:val="22"/>
        </w:rPr>
        <w:t xml:space="preserve"> </w:t>
      </w:r>
      <w:r w:rsidR="006D0778" w:rsidRPr="006D0778">
        <w:rPr>
          <w:sz w:val="22"/>
        </w:rPr>
        <w:t xml:space="preserve">As MMSG stated in its original submission to the Commission, Sweeney Research found that </w:t>
      </w:r>
      <w:r w:rsidR="006D0778">
        <w:rPr>
          <w:sz w:val="22"/>
        </w:rPr>
        <w:t>t</w:t>
      </w:r>
      <w:r w:rsidR="006D0778" w:rsidRPr="006D0778">
        <w:rPr>
          <w:sz w:val="22"/>
        </w:rPr>
        <w:t xml:space="preserve">wo-thirds of </w:t>
      </w:r>
      <w:r w:rsidR="006D0778">
        <w:rPr>
          <w:sz w:val="22"/>
        </w:rPr>
        <w:t xml:space="preserve">the 87% of surveyed </w:t>
      </w:r>
      <w:r w:rsidR="006D0778" w:rsidRPr="006D0778">
        <w:rPr>
          <w:sz w:val="22"/>
        </w:rPr>
        <w:t>employers not providing any form of childcare support attached importance to being unable to obtain FBT exemption as a barrier to providing childcare facilities.</w:t>
      </w:r>
    </w:p>
    <w:p w:rsidR="006D0778" w:rsidRDefault="006D0778" w:rsidP="006F038E">
      <w:pPr>
        <w:spacing w:after="0" w:line="240" w:lineRule="auto"/>
        <w:jc w:val="both"/>
        <w:rPr>
          <w:sz w:val="22"/>
        </w:rPr>
      </w:pPr>
    </w:p>
    <w:p w:rsidR="001D7DCA" w:rsidRPr="00B53C65" w:rsidRDefault="00B53C65" w:rsidP="001D7DCA">
      <w:pPr>
        <w:spacing w:after="0" w:line="240" w:lineRule="auto"/>
        <w:jc w:val="both"/>
        <w:rPr>
          <w:b/>
          <w:i/>
          <w:color w:val="1F497D" w:themeColor="text2"/>
          <w:sz w:val="22"/>
          <w:szCs w:val="22"/>
        </w:rPr>
      </w:pPr>
      <w:r w:rsidRPr="00B53C65">
        <w:rPr>
          <w:b/>
          <w:i/>
          <w:color w:val="1F497D" w:themeColor="text2"/>
          <w:sz w:val="22"/>
          <w:szCs w:val="22"/>
        </w:rPr>
        <w:t>Reforming s 47(2)</w:t>
      </w:r>
    </w:p>
    <w:p w:rsidR="00A40AA8" w:rsidRDefault="00A40AA8" w:rsidP="006F038E">
      <w:pPr>
        <w:spacing w:after="0" w:line="240" w:lineRule="auto"/>
        <w:jc w:val="both"/>
        <w:rPr>
          <w:sz w:val="22"/>
        </w:rPr>
      </w:pPr>
    </w:p>
    <w:p w:rsidR="005F52DB" w:rsidRDefault="003C5AF0" w:rsidP="006F038E">
      <w:pPr>
        <w:spacing w:after="0" w:line="240" w:lineRule="auto"/>
        <w:jc w:val="both"/>
        <w:rPr>
          <w:sz w:val="22"/>
        </w:rPr>
      </w:pPr>
      <w:r>
        <w:rPr>
          <w:sz w:val="22"/>
        </w:rPr>
        <w:t xml:space="preserve">The major impediment any employer faces in being eligible for exemption under s 47(2) for expenditure incurred in providing childcare facilities is the requirement that the facility be </w:t>
      </w:r>
      <w:r w:rsidR="0047212D">
        <w:rPr>
          <w:sz w:val="22"/>
        </w:rPr>
        <w:t xml:space="preserve">on </w:t>
      </w:r>
      <w:r>
        <w:rPr>
          <w:sz w:val="22"/>
        </w:rPr>
        <w:t>“business premises of the employer”.</w:t>
      </w:r>
    </w:p>
    <w:p w:rsidR="005F52DB" w:rsidRDefault="005F52DB" w:rsidP="006F038E">
      <w:pPr>
        <w:spacing w:after="0" w:line="240" w:lineRule="auto"/>
        <w:jc w:val="both"/>
        <w:rPr>
          <w:sz w:val="22"/>
        </w:rPr>
      </w:pPr>
    </w:p>
    <w:p w:rsidR="005F52DB" w:rsidRPr="00187A1A" w:rsidRDefault="00D9132E" w:rsidP="006F038E">
      <w:pPr>
        <w:spacing w:after="0" w:line="240" w:lineRule="auto"/>
        <w:jc w:val="both"/>
        <w:rPr>
          <w:sz w:val="22"/>
          <w:szCs w:val="22"/>
        </w:rPr>
      </w:pPr>
      <w:r>
        <w:rPr>
          <w:sz w:val="22"/>
        </w:rPr>
        <w:t xml:space="preserve">Unfortunately, the “business premises” test is popularly understood as requiring that an employer’s childcare facility must be “on-site” in order to qualify for FBT exemption. This is not correct, and has never been the case, as was made clear by the Federal Court in </w:t>
      </w:r>
      <w:r w:rsidR="000107EE">
        <w:rPr>
          <w:sz w:val="22"/>
        </w:rPr>
        <w:t>1998.</w:t>
      </w:r>
      <w:r w:rsidR="004D75BA">
        <w:rPr>
          <w:rStyle w:val="FootnoteReference"/>
        </w:rPr>
        <w:footnoteReference w:id="10"/>
      </w:r>
    </w:p>
    <w:p w:rsidR="005F52DB" w:rsidRDefault="005F52DB" w:rsidP="006F038E">
      <w:pPr>
        <w:spacing w:after="0" w:line="240" w:lineRule="auto"/>
        <w:jc w:val="both"/>
        <w:rPr>
          <w:sz w:val="22"/>
        </w:rPr>
      </w:pPr>
    </w:p>
    <w:p w:rsidR="003D24F4" w:rsidRDefault="003D24F4" w:rsidP="003D24F4">
      <w:pPr>
        <w:spacing w:after="0" w:line="240" w:lineRule="auto"/>
        <w:jc w:val="both"/>
        <w:rPr>
          <w:sz w:val="22"/>
        </w:rPr>
      </w:pPr>
      <w:r>
        <w:rPr>
          <w:sz w:val="22"/>
        </w:rPr>
        <w:t xml:space="preserve">Regardless of whether their childcare facility is “on-site” or “off-site”, many employers have failed to obtain FBT-exempt status because the ATO is not convinced they </w:t>
      </w:r>
      <w:r w:rsidRPr="003D24F4">
        <w:rPr>
          <w:b/>
          <w:sz w:val="22"/>
        </w:rPr>
        <w:t>control</w:t>
      </w:r>
      <w:r>
        <w:rPr>
          <w:sz w:val="22"/>
        </w:rPr>
        <w:t xml:space="preserve"> the facility.</w:t>
      </w:r>
      <w:r>
        <w:rPr>
          <w:rStyle w:val="FootnoteReference"/>
        </w:rPr>
        <w:footnoteReference w:id="11"/>
      </w:r>
      <w:r>
        <w:rPr>
          <w:sz w:val="22"/>
        </w:rPr>
        <w:t xml:space="preserve"> If </w:t>
      </w:r>
      <w:r w:rsidR="006820B3">
        <w:rPr>
          <w:sz w:val="22"/>
        </w:rPr>
        <w:t>an employer leases a childcare facility it has established “on-site” to a professional childcare operator, the employer has lost “control” of the facility and it is therefore no longer part of the business premises of the employer.</w:t>
      </w:r>
    </w:p>
    <w:p w:rsidR="003D24F4" w:rsidRDefault="003D24F4" w:rsidP="003D24F4">
      <w:pPr>
        <w:spacing w:after="0" w:line="240" w:lineRule="auto"/>
        <w:jc w:val="both"/>
        <w:rPr>
          <w:sz w:val="22"/>
        </w:rPr>
      </w:pPr>
    </w:p>
    <w:p w:rsidR="003D24F4" w:rsidRDefault="00D22957" w:rsidP="003D24F4">
      <w:pPr>
        <w:spacing w:after="0" w:line="240" w:lineRule="auto"/>
        <w:jc w:val="both"/>
        <w:rPr>
          <w:sz w:val="22"/>
        </w:rPr>
      </w:pPr>
      <w:r>
        <w:rPr>
          <w:sz w:val="22"/>
        </w:rPr>
        <w:lastRenderedPageBreak/>
        <w:t>As MMSG stated in its</w:t>
      </w:r>
      <w:r w:rsidR="006820B3">
        <w:rPr>
          <w:sz w:val="22"/>
        </w:rPr>
        <w:t xml:space="preserve"> original submission</w:t>
      </w:r>
      <w:r>
        <w:rPr>
          <w:sz w:val="22"/>
        </w:rPr>
        <w:t xml:space="preserve"> to the Commission</w:t>
      </w:r>
      <w:r w:rsidR="006820B3">
        <w:rPr>
          <w:sz w:val="22"/>
        </w:rPr>
        <w:t>, t</w:t>
      </w:r>
      <w:r w:rsidR="003D24F4">
        <w:rPr>
          <w:sz w:val="22"/>
        </w:rPr>
        <w:t>o be granted FBT-exempt status, the employer needs to ensure they comply with stringent requirements demonstrating control when establishing relevant management agreements and site rental agreements, as prescribed by the ATO in Taxation Ruling TR 2000/4, and supply to the ATO all relevant documents and contracts for the ATO’s consideration of any private ruling seeking confirmation of FBT exemption status.</w:t>
      </w:r>
      <w:r w:rsidR="003D24F4">
        <w:rPr>
          <w:rStyle w:val="FootnoteReference"/>
        </w:rPr>
        <w:footnoteReference w:id="12"/>
      </w:r>
    </w:p>
    <w:p w:rsidR="003D24F4" w:rsidRDefault="003D24F4" w:rsidP="003D24F4">
      <w:pPr>
        <w:spacing w:after="0" w:line="240" w:lineRule="auto"/>
        <w:jc w:val="both"/>
        <w:rPr>
          <w:sz w:val="22"/>
        </w:rPr>
      </w:pPr>
    </w:p>
    <w:p w:rsidR="003D24F4" w:rsidRDefault="00032DA8" w:rsidP="003D24F4">
      <w:pPr>
        <w:spacing w:after="0" w:line="240" w:lineRule="auto"/>
        <w:jc w:val="both"/>
        <w:rPr>
          <w:sz w:val="22"/>
        </w:rPr>
      </w:pPr>
      <w:r>
        <w:rPr>
          <w:sz w:val="22"/>
        </w:rPr>
        <w:t xml:space="preserve">It makes sense, in every way, for an employer to decide to engage a professional childcare operator to manage a childcare facility it establishes for the children </w:t>
      </w:r>
      <w:r w:rsidR="00D22957">
        <w:rPr>
          <w:sz w:val="22"/>
        </w:rPr>
        <w:t>of its employees. H</w:t>
      </w:r>
      <w:r>
        <w:rPr>
          <w:sz w:val="22"/>
        </w:rPr>
        <w:t xml:space="preserve">owever, </w:t>
      </w:r>
      <w:r w:rsidR="00D22957">
        <w:rPr>
          <w:sz w:val="22"/>
        </w:rPr>
        <w:t xml:space="preserve">it does not in our view </w:t>
      </w:r>
      <w:r>
        <w:rPr>
          <w:sz w:val="22"/>
        </w:rPr>
        <w:t>make sense that such an employer is unable to access the FBT exemption intended for employer-provided childcare because of that specific decision.</w:t>
      </w:r>
    </w:p>
    <w:p w:rsidR="00032DA8" w:rsidRDefault="00032DA8" w:rsidP="003D24F4">
      <w:pPr>
        <w:spacing w:after="0" w:line="240" w:lineRule="auto"/>
        <w:jc w:val="both"/>
        <w:rPr>
          <w:sz w:val="22"/>
        </w:rPr>
      </w:pPr>
    </w:p>
    <w:p w:rsidR="00032DA8" w:rsidRDefault="003E020A" w:rsidP="003D24F4">
      <w:pPr>
        <w:spacing w:after="0" w:line="240" w:lineRule="auto"/>
        <w:jc w:val="both"/>
        <w:rPr>
          <w:sz w:val="22"/>
        </w:rPr>
      </w:pPr>
      <w:r>
        <w:rPr>
          <w:sz w:val="22"/>
        </w:rPr>
        <w:t xml:space="preserve">As the </w:t>
      </w:r>
      <w:r w:rsidRPr="003E020A">
        <w:rPr>
          <w:i/>
          <w:sz w:val="22"/>
        </w:rPr>
        <w:t>Esso</w:t>
      </w:r>
      <w:r>
        <w:rPr>
          <w:sz w:val="22"/>
        </w:rPr>
        <w:t xml:space="preserve"> case also highlighted, the business premises test in s 47(2) renders it impossible for multiple employers to join together to provide a childcare facility for each employer’s employees, despite each employer not having the critical mass to provi</w:t>
      </w:r>
      <w:r w:rsidR="00D22957">
        <w:rPr>
          <w:sz w:val="22"/>
        </w:rPr>
        <w:t>de such a facility on its own. To us t</w:t>
      </w:r>
      <w:r>
        <w:rPr>
          <w:sz w:val="22"/>
        </w:rPr>
        <w:t xml:space="preserve">his also does not make sense, particularly as it can be demonstrated that it effectively renders s 47(2) only available to the very largest companies in Australia, </w:t>
      </w:r>
      <w:r w:rsidR="00D22957">
        <w:rPr>
          <w:sz w:val="22"/>
        </w:rPr>
        <w:t>which is an arguably</w:t>
      </w:r>
      <w:r>
        <w:rPr>
          <w:sz w:val="22"/>
        </w:rPr>
        <w:t xml:space="preserve"> inequitable outcome.</w:t>
      </w:r>
    </w:p>
    <w:p w:rsidR="003D24F4" w:rsidRDefault="003D24F4" w:rsidP="006F038E">
      <w:pPr>
        <w:spacing w:after="0" w:line="240" w:lineRule="auto"/>
        <w:jc w:val="both"/>
        <w:rPr>
          <w:sz w:val="22"/>
        </w:rPr>
      </w:pPr>
    </w:p>
    <w:p w:rsidR="004E236D" w:rsidRDefault="00127636" w:rsidP="006F038E">
      <w:pPr>
        <w:spacing w:after="0" w:line="240" w:lineRule="auto"/>
        <w:jc w:val="both"/>
        <w:rPr>
          <w:sz w:val="22"/>
        </w:rPr>
      </w:pPr>
      <w:r>
        <w:rPr>
          <w:sz w:val="22"/>
        </w:rPr>
        <w:t xml:space="preserve">We believe that rather than removing s </w:t>
      </w:r>
      <w:r w:rsidR="004E236D">
        <w:rPr>
          <w:sz w:val="22"/>
        </w:rPr>
        <w:t>47(2), it should be reformed to:</w:t>
      </w:r>
    </w:p>
    <w:p w:rsidR="004E236D" w:rsidRDefault="004E236D" w:rsidP="006F038E">
      <w:pPr>
        <w:spacing w:after="0" w:line="240" w:lineRule="auto"/>
        <w:jc w:val="both"/>
        <w:rPr>
          <w:sz w:val="22"/>
        </w:rPr>
      </w:pPr>
    </w:p>
    <w:p w:rsidR="004E236D" w:rsidRPr="008A3367" w:rsidRDefault="00127636" w:rsidP="008A3367">
      <w:pPr>
        <w:pStyle w:val="ListParagraph"/>
        <w:numPr>
          <w:ilvl w:val="0"/>
          <w:numId w:val="42"/>
        </w:numPr>
        <w:spacing w:after="0" w:line="240" w:lineRule="auto"/>
        <w:jc w:val="both"/>
        <w:rPr>
          <w:sz w:val="22"/>
        </w:rPr>
      </w:pPr>
      <w:r w:rsidRPr="008A3367">
        <w:rPr>
          <w:sz w:val="22"/>
        </w:rPr>
        <w:t xml:space="preserve">allow employers of any size </w:t>
      </w:r>
      <w:r w:rsidR="004E236D" w:rsidRPr="008A3367">
        <w:rPr>
          <w:sz w:val="22"/>
        </w:rPr>
        <w:t>and number to join together to provide childcare facilities for their respective employees;</w:t>
      </w:r>
    </w:p>
    <w:p w:rsidR="004E236D" w:rsidRDefault="004E236D" w:rsidP="006F038E">
      <w:pPr>
        <w:spacing w:after="0" w:line="240" w:lineRule="auto"/>
        <w:jc w:val="both"/>
        <w:rPr>
          <w:sz w:val="22"/>
        </w:rPr>
      </w:pPr>
    </w:p>
    <w:p w:rsidR="004E236D" w:rsidRPr="008A3367" w:rsidRDefault="004E236D" w:rsidP="008A3367">
      <w:pPr>
        <w:pStyle w:val="ListParagraph"/>
        <w:numPr>
          <w:ilvl w:val="0"/>
          <w:numId w:val="42"/>
        </w:numPr>
        <w:spacing w:after="0" w:line="240" w:lineRule="auto"/>
        <w:jc w:val="both"/>
        <w:rPr>
          <w:sz w:val="22"/>
        </w:rPr>
      </w:pPr>
      <w:r w:rsidRPr="008A3367">
        <w:rPr>
          <w:sz w:val="22"/>
        </w:rPr>
        <w:t>allow such facilities to be based anywhere convenient to the employer group providing them; and to</w:t>
      </w:r>
    </w:p>
    <w:p w:rsidR="004E236D" w:rsidRDefault="004E236D" w:rsidP="006F038E">
      <w:pPr>
        <w:spacing w:after="0" w:line="240" w:lineRule="auto"/>
        <w:jc w:val="both"/>
        <w:rPr>
          <w:sz w:val="22"/>
        </w:rPr>
      </w:pPr>
    </w:p>
    <w:p w:rsidR="004E236D" w:rsidRPr="008A3367" w:rsidRDefault="004E236D" w:rsidP="008A3367">
      <w:pPr>
        <w:pStyle w:val="ListParagraph"/>
        <w:numPr>
          <w:ilvl w:val="0"/>
          <w:numId w:val="42"/>
        </w:numPr>
        <w:spacing w:after="0" w:line="240" w:lineRule="auto"/>
        <w:jc w:val="both"/>
        <w:rPr>
          <w:sz w:val="22"/>
        </w:rPr>
      </w:pPr>
      <w:proofErr w:type="gramStart"/>
      <w:r w:rsidRPr="008A3367">
        <w:rPr>
          <w:sz w:val="22"/>
        </w:rPr>
        <w:t>allow</w:t>
      </w:r>
      <w:proofErr w:type="gramEnd"/>
      <w:r w:rsidRPr="008A3367">
        <w:rPr>
          <w:sz w:val="22"/>
        </w:rPr>
        <w:t xml:space="preserve"> such facilities to be managed and operated by </w:t>
      </w:r>
      <w:r w:rsidR="008A3367" w:rsidRPr="008A3367">
        <w:rPr>
          <w:sz w:val="22"/>
        </w:rPr>
        <w:t>professional third-party ECEC providers.</w:t>
      </w:r>
    </w:p>
    <w:p w:rsidR="00127636" w:rsidRDefault="00127636" w:rsidP="006F038E">
      <w:pPr>
        <w:spacing w:after="0" w:line="240" w:lineRule="auto"/>
        <w:jc w:val="both"/>
        <w:rPr>
          <w:sz w:val="22"/>
        </w:rPr>
      </w:pPr>
    </w:p>
    <w:p w:rsidR="005F52DB" w:rsidRDefault="008A3367" w:rsidP="006F038E">
      <w:pPr>
        <w:spacing w:after="0" w:line="240" w:lineRule="auto"/>
        <w:jc w:val="both"/>
        <w:rPr>
          <w:sz w:val="22"/>
        </w:rPr>
      </w:pPr>
      <w:r>
        <w:rPr>
          <w:sz w:val="22"/>
        </w:rPr>
        <w:t xml:space="preserve">MMSG therefore </w:t>
      </w:r>
      <w:r w:rsidR="00422BFE">
        <w:rPr>
          <w:sz w:val="22"/>
        </w:rPr>
        <w:t>submit</w:t>
      </w:r>
      <w:r>
        <w:rPr>
          <w:sz w:val="22"/>
        </w:rPr>
        <w:t>s</w:t>
      </w:r>
      <w:r w:rsidR="00422BFE">
        <w:rPr>
          <w:sz w:val="22"/>
        </w:rPr>
        <w:t xml:space="preserve"> that the following a</w:t>
      </w:r>
      <w:r w:rsidR="002A0D98">
        <w:rPr>
          <w:sz w:val="22"/>
        </w:rPr>
        <w:t>mendments to the FBT Act</w:t>
      </w:r>
      <w:r w:rsidR="00422BFE">
        <w:rPr>
          <w:sz w:val="22"/>
        </w:rPr>
        <w:t xml:space="preserve"> be recommended:</w:t>
      </w:r>
    </w:p>
    <w:p w:rsidR="00422BFE" w:rsidRDefault="00422BFE" w:rsidP="006F038E">
      <w:pPr>
        <w:spacing w:after="0" w:line="240" w:lineRule="auto"/>
        <w:jc w:val="both"/>
        <w:rPr>
          <w:sz w:val="22"/>
        </w:rPr>
      </w:pPr>
    </w:p>
    <w:p w:rsidR="0047212D" w:rsidRDefault="00422BFE" w:rsidP="00207C3F">
      <w:pPr>
        <w:pStyle w:val="ListParagraph"/>
        <w:numPr>
          <w:ilvl w:val="0"/>
          <w:numId w:val="36"/>
        </w:numPr>
        <w:spacing w:after="0" w:line="240" w:lineRule="auto"/>
        <w:jc w:val="both"/>
        <w:rPr>
          <w:sz w:val="22"/>
        </w:rPr>
      </w:pPr>
      <w:r w:rsidRPr="00207C3F">
        <w:rPr>
          <w:sz w:val="22"/>
        </w:rPr>
        <w:t xml:space="preserve">New section </w:t>
      </w:r>
      <w:r w:rsidR="003266C1" w:rsidRPr="00207C3F">
        <w:rPr>
          <w:sz w:val="22"/>
        </w:rPr>
        <w:t xml:space="preserve">57B be inserted in Division 13 </w:t>
      </w:r>
      <w:r w:rsidR="002A0D98" w:rsidRPr="00207C3F">
        <w:rPr>
          <w:sz w:val="22"/>
        </w:rPr>
        <w:t xml:space="preserve">of </w:t>
      </w:r>
      <w:r w:rsidR="009F5A13" w:rsidRPr="00207C3F">
        <w:rPr>
          <w:sz w:val="22"/>
        </w:rPr>
        <w:t xml:space="preserve">the FBT Act to provide that </w:t>
      </w:r>
    </w:p>
    <w:p w:rsidR="0047212D" w:rsidRPr="0047212D" w:rsidRDefault="0047212D" w:rsidP="0047212D">
      <w:pPr>
        <w:pStyle w:val="ListParagraph"/>
        <w:rPr>
          <w:sz w:val="22"/>
        </w:rPr>
      </w:pPr>
    </w:p>
    <w:p w:rsidR="0047212D" w:rsidRDefault="00AE41DA" w:rsidP="0047212D">
      <w:pPr>
        <w:pStyle w:val="ListParagraph"/>
        <w:spacing w:after="0" w:line="240" w:lineRule="auto"/>
        <w:jc w:val="both"/>
        <w:rPr>
          <w:sz w:val="22"/>
        </w:rPr>
      </w:pPr>
      <w:r>
        <w:rPr>
          <w:sz w:val="22"/>
        </w:rPr>
        <w:t>“</w:t>
      </w:r>
      <w:r w:rsidRPr="00AE41DA">
        <w:rPr>
          <w:b/>
          <w:sz w:val="22"/>
        </w:rPr>
        <w:t>57B Exempt b</w:t>
      </w:r>
      <w:r w:rsidR="0047212D" w:rsidRPr="00AE41DA">
        <w:rPr>
          <w:b/>
          <w:sz w:val="22"/>
        </w:rPr>
        <w:t>enefits</w:t>
      </w:r>
      <w:r w:rsidRPr="00AE41DA">
        <w:rPr>
          <w:b/>
          <w:sz w:val="22"/>
        </w:rPr>
        <w:t xml:space="preserve"> – childcare benefits</w:t>
      </w:r>
    </w:p>
    <w:p w:rsidR="0047212D" w:rsidRPr="00EC76E9" w:rsidRDefault="0047212D" w:rsidP="0047212D">
      <w:pPr>
        <w:pStyle w:val="ListParagraph"/>
        <w:spacing w:after="0" w:line="240" w:lineRule="auto"/>
        <w:jc w:val="both"/>
        <w:rPr>
          <w:sz w:val="22"/>
          <w:szCs w:val="22"/>
        </w:rPr>
      </w:pPr>
    </w:p>
    <w:p w:rsidR="0008672C" w:rsidRPr="00EC76E9" w:rsidRDefault="0047212D" w:rsidP="0047212D">
      <w:pPr>
        <w:pStyle w:val="ListParagraph"/>
        <w:spacing w:after="0" w:line="240" w:lineRule="auto"/>
        <w:jc w:val="both"/>
        <w:rPr>
          <w:sz w:val="22"/>
          <w:szCs w:val="22"/>
        </w:rPr>
      </w:pPr>
      <w:r w:rsidRPr="00EC76E9">
        <w:rPr>
          <w:sz w:val="22"/>
          <w:szCs w:val="22"/>
        </w:rPr>
        <w:t>W</w:t>
      </w:r>
      <w:r w:rsidR="009F5A13" w:rsidRPr="00EC76E9">
        <w:rPr>
          <w:sz w:val="22"/>
          <w:szCs w:val="22"/>
        </w:rPr>
        <w:t xml:space="preserve">here a </w:t>
      </w:r>
      <w:r w:rsidR="002A0D98" w:rsidRPr="00EC76E9">
        <w:rPr>
          <w:sz w:val="22"/>
          <w:szCs w:val="22"/>
        </w:rPr>
        <w:t xml:space="preserve">benefit </w:t>
      </w:r>
      <w:r w:rsidR="009F5A13" w:rsidRPr="00EC76E9">
        <w:rPr>
          <w:sz w:val="22"/>
          <w:szCs w:val="22"/>
        </w:rPr>
        <w:t xml:space="preserve">provided to a current employee in respect of his or her employment consists of </w:t>
      </w:r>
    </w:p>
    <w:p w:rsidR="0008672C" w:rsidRPr="00EC76E9" w:rsidRDefault="009F5A13" w:rsidP="0008672C">
      <w:pPr>
        <w:pStyle w:val="ListParagraph"/>
        <w:numPr>
          <w:ilvl w:val="0"/>
          <w:numId w:val="40"/>
        </w:numPr>
        <w:spacing w:after="0" w:line="240" w:lineRule="auto"/>
        <w:jc w:val="both"/>
        <w:rPr>
          <w:sz w:val="22"/>
          <w:szCs w:val="22"/>
        </w:rPr>
      </w:pPr>
      <w:r w:rsidRPr="00EC76E9">
        <w:rPr>
          <w:sz w:val="22"/>
          <w:szCs w:val="22"/>
        </w:rPr>
        <w:t xml:space="preserve">the care of </w:t>
      </w:r>
      <w:r w:rsidR="003642B8" w:rsidRPr="00EC76E9">
        <w:rPr>
          <w:sz w:val="22"/>
          <w:szCs w:val="22"/>
        </w:rPr>
        <w:t xml:space="preserve">a child or </w:t>
      </w:r>
      <w:r w:rsidRPr="00EC76E9">
        <w:rPr>
          <w:sz w:val="22"/>
          <w:szCs w:val="22"/>
        </w:rPr>
        <w:t>children of the employee in a c</w:t>
      </w:r>
      <w:r w:rsidR="00207C3F" w:rsidRPr="00EC76E9">
        <w:rPr>
          <w:sz w:val="22"/>
          <w:szCs w:val="22"/>
        </w:rPr>
        <w:t>hild</w:t>
      </w:r>
      <w:r w:rsidRPr="00EC76E9">
        <w:rPr>
          <w:sz w:val="22"/>
          <w:szCs w:val="22"/>
        </w:rPr>
        <w:t>care facility</w:t>
      </w:r>
      <w:r w:rsidR="006F6483">
        <w:rPr>
          <w:sz w:val="22"/>
          <w:szCs w:val="22"/>
        </w:rPr>
        <w:t xml:space="preserve"> established by the employer</w:t>
      </w:r>
      <w:r w:rsidR="00632BCD">
        <w:rPr>
          <w:sz w:val="22"/>
          <w:szCs w:val="22"/>
        </w:rPr>
        <w:t>,</w:t>
      </w:r>
      <w:r w:rsidR="006F6483">
        <w:rPr>
          <w:sz w:val="22"/>
          <w:szCs w:val="22"/>
        </w:rPr>
        <w:t xml:space="preserve"> or by the employer </w:t>
      </w:r>
      <w:r w:rsidR="00632BCD">
        <w:rPr>
          <w:sz w:val="22"/>
          <w:szCs w:val="22"/>
        </w:rPr>
        <w:t xml:space="preserve">jointly with </w:t>
      </w:r>
      <w:r w:rsidR="006F6483">
        <w:rPr>
          <w:sz w:val="22"/>
          <w:szCs w:val="22"/>
        </w:rPr>
        <w:t xml:space="preserve">other </w:t>
      </w:r>
      <w:r w:rsidR="00632BCD">
        <w:rPr>
          <w:sz w:val="22"/>
          <w:szCs w:val="22"/>
        </w:rPr>
        <w:t xml:space="preserve">non-associated </w:t>
      </w:r>
      <w:r w:rsidR="006F6483">
        <w:rPr>
          <w:sz w:val="22"/>
          <w:szCs w:val="22"/>
        </w:rPr>
        <w:t>employers</w:t>
      </w:r>
      <w:r w:rsidR="0008672C" w:rsidRPr="00EC76E9">
        <w:rPr>
          <w:sz w:val="22"/>
          <w:szCs w:val="22"/>
        </w:rPr>
        <w:t>;</w:t>
      </w:r>
      <w:r w:rsidR="006F6483">
        <w:rPr>
          <w:sz w:val="22"/>
          <w:szCs w:val="22"/>
        </w:rPr>
        <w:t xml:space="preserve"> or</w:t>
      </w:r>
    </w:p>
    <w:p w:rsidR="003642B8" w:rsidRPr="00EC76E9" w:rsidRDefault="003642B8" w:rsidP="0008672C">
      <w:pPr>
        <w:pStyle w:val="ListParagraph"/>
        <w:numPr>
          <w:ilvl w:val="0"/>
          <w:numId w:val="40"/>
        </w:numPr>
        <w:spacing w:after="0" w:line="240" w:lineRule="auto"/>
        <w:jc w:val="both"/>
        <w:rPr>
          <w:sz w:val="22"/>
          <w:szCs w:val="22"/>
        </w:rPr>
      </w:pPr>
      <w:r w:rsidRPr="00EC76E9">
        <w:rPr>
          <w:sz w:val="22"/>
          <w:szCs w:val="22"/>
        </w:rPr>
        <w:t>a payment to secure a place of a child or children of the employee in a childcare facility</w:t>
      </w:r>
      <w:r w:rsidR="009F5A13" w:rsidRPr="00EC76E9">
        <w:rPr>
          <w:sz w:val="22"/>
          <w:szCs w:val="22"/>
        </w:rPr>
        <w:t xml:space="preserve">, </w:t>
      </w:r>
    </w:p>
    <w:p w:rsidR="009F5A13" w:rsidRPr="00EC76E9" w:rsidRDefault="009F5A13" w:rsidP="003642B8">
      <w:pPr>
        <w:pStyle w:val="ListParagraph"/>
        <w:spacing w:after="0" w:line="240" w:lineRule="auto"/>
        <w:jc w:val="both"/>
        <w:rPr>
          <w:sz w:val="22"/>
          <w:szCs w:val="22"/>
        </w:rPr>
      </w:pPr>
      <w:proofErr w:type="gramStart"/>
      <w:r w:rsidRPr="00EC76E9">
        <w:rPr>
          <w:sz w:val="22"/>
          <w:szCs w:val="22"/>
        </w:rPr>
        <w:t>th</w:t>
      </w:r>
      <w:r w:rsidR="0008672C" w:rsidRPr="00EC76E9">
        <w:rPr>
          <w:sz w:val="22"/>
          <w:szCs w:val="22"/>
        </w:rPr>
        <w:t>e</w:t>
      </w:r>
      <w:proofErr w:type="gramEnd"/>
      <w:r w:rsidR="0008672C" w:rsidRPr="00EC76E9">
        <w:rPr>
          <w:sz w:val="22"/>
          <w:szCs w:val="22"/>
        </w:rPr>
        <w:t xml:space="preserve"> benefit is an exempt benefit.</w:t>
      </w:r>
      <w:r w:rsidR="003642B8" w:rsidRPr="00EC76E9">
        <w:rPr>
          <w:sz w:val="22"/>
          <w:szCs w:val="22"/>
        </w:rPr>
        <w:t>”</w:t>
      </w:r>
    </w:p>
    <w:p w:rsidR="009F5A13" w:rsidRDefault="009F5A13" w:rsidP="006F038E">
      <w:pPr>
        <w:spacing w:after="0" w:line="240" w:lineRule="auto"/>
        <w:jc w:val="both"/>
        <w:rPr>
          <w:sz w:val="22"/>
        </w:rPr>
      </w:pPr>
    </w:p>
    <w:p w:rsidR="00AE41DA" w:rsidRPr="00207C3F" w:rsidRDefault="00AE41DA" w:rsidP="00AE41DA">
      <w:pPr>
        <w:pStyle w:val="ListParagraph"/>
        <w:numPr>
          <w:ilvl w:val="0"/>
          <w:numId w:val="36"/>
        </w:numPr>
        <w:spacing w:after="0" w:line="240" w:lineRule="auto"/>
        <w:jc w:val="both"/>
        <w:rPr>
          <w:sz w:val="22"/>
        </w:rPr>
      </w:pPr>
      <w:r w:rsidRPr="00207C3F">
        <w:rPr>
          <w:sz w:val="22"/>
        </w:rPr>
        <w:t xml:space="preserve">Subsection 47(2) </w:t>
      </w:r>
      <w:proofErr w:type="gramStart"/>
      <w:r w:rsidRPr="00207C3F">
        <w:rPr>
          <w:sz w:val="22"/>
        </w:rPr>
        <w:t>be</w:t>
      </w:r>
      <w:proofErr w:type="gramEnd"/>
      <w:r w:rsidRPr="00207C3F">
        <w:rPr>
          <w:sz w:val="22"/>
        </w:rPr>
        <w:t xml:space="preserve"> amended so as to only apply to the benefit of a recreational facility.</w:t>
      </w:r>
    </w:p>
    <w:p w:rsidR="00AE41DA" w:rsidRDefault="00AE41DA" w:rsidP="006F038E">
      <w:pPr>
        <w:spacing w:after="0" w:line="240" w:lineRule="auto"/>
        <w:jc w:val="both"/>
        <w:rPr>
          <w:sz w:val="22"/>
        </w:rPr>
      </w:pPr>
    </w:p>
    <w:p w:rsidR="00B629B4" w:rsidRDefault="00B629B4" w:rsidP="006F038E">
      <w:pPr>
        <w:spacing w:after="0" w:line="240" w:lineRule="auto"/>
        <w:jc w:val="both"/>
        <w:rPr>
          <w:sz w:val="22"/>
        </w:rPr>
      </w:pPr>
      <w:r>
        <w:rPr>
          <w:sz w:val="22"/>
        </w:rPr>
        <w:t xml:space="preserve">The above suggested amendment is absent the “business premises” test. </w:t>
      </w:r>
      <w:r w:rsidR="009B25AA">
        <w:rPr>
          <w:sz w:val="22"/>
        </w:rPr>
        <w:t>It also</w:t>
      </w:r>
      <w:r w:rsidR="009B2328">
        <w:rPr>
          <w:sz w:val="22"/>
        </w:rPr>
        <w:t xml:space="preserve"> enable</w:t>
      </w:r>
      <w:r w:rsidR="009B25AA">
        <w:rPr>
          <w:sz w:val="22"/>
        </w:rPr>
        <w:t>s</w:t>
      </w:r>
      <w:r w:rsidR="009B2328">
        <w:rPr>
          <w:sz w:val="22"/>
        </w:rPr>
        <w:t xml:space="preserve"> any number of like-minded employers in the same locale to join together in providing a childcare facility.</w:t>
      </w:r>
    </w:p>
    <w:p w:rsidR="00B629B4" w:rsidRDefault="00B629B4" w:rsidP="006F038E">
      <w:pPr>
        <w:spacing w:after="0" w:line="240" w:lineRule="auto"/>
        <w:jc w:val="both"/>
        <w:rPr>
          <w:sz w:val="22"/>
        </w:rPr>
      </w:pPr>
    </w:p>
    <w:p w:rsidR="005F52DB" w:rsidRDefault="000F62AF" w:rsidP="006F038E">
      <w:pPr>
        <w:spacing w:after="0" w:line="240" w:lineRule="auto"/>
        <w:jc w:val="both"/>
        <w:rPr>
          <w:sz w:val="22"/>
        </w:rPr>
      </w:pPr>
      <w:r>
        <w:rPr>
          <w:sz w:val="22"/>
        </w:rPr>
        <w:t xml:space="preserve">The purpose of moving the current exemption from s 47(2) to Division 13 of the FBT Act would be to obviate the artificiality of creating a distinction between </w:t>
      </w:r>
      <w:r w:rsidR="00D33550">
        <w:rPr>
          <w:sz w:val="22"/>
        </w:rPr>
        <w:t xml:space="preserve">current </w:t>
      </w:r>
      <w:r>
        <w:rPr>
          <w:sz w:val="22"/>
        </w:rPr>
        <w:t>exempt</w:t>
      </w:r>
      <w:r w:rsidR="006A59A6">
        <w:rPr>
          <w:sz w:val="22"/>
        </w:rPr>
        <w:t xml:space="preserve"> employer-provided child</w:t>
      </w:r>
      <w:r>
        <w:rPr>
          <w:sz w:val="22"/>
        </w:rPr>
        <w:t xml:space="preserve">care </w:t>
      </w:r>
      <w:r w:rsidR="00632BCD">
        <w:rPr>
          <w:sz w:val="22"/>
        </w:rPr>
        <w:t xml:space="preserve">combined with salary-sacrificed fee arrangements </w:t>
      </w:r>
      <w:r>
        <w:rPr>
          <w:sz w:val="22"/>
        </w:rPr>
        <w:t xml:space="preserve">and </w:t>
      </w:r>
      <w:r w:rsidR="006A59A6">
        <w:rPr>
          <w:sz w:val="22"/>
        </w:rPr>
        <w:t xml:space="preserve">the </w:t>
      </w:r>
      <w:r w:rsidR="00D33550">
        <w:rPr>
          <w:sz w:val="22"/>
        </w:rPr>
        <w:t xml:space="preserve">current </w:t>
      </w:r>
      <w:r>
        <w:rPr>
          <w:sz w:val="22"/>
        </w:rPr>
        <w:t xml:space="preserve">taxable </w:t>
      </w:r>
      <w:r w:rsidR="00D33550">
        <w:rPr>
          <w:sz w:val="22"/>
        </w:rPr>
        <w:t>nature of an employer reimbursing or paying</w:t>
      </w:r>
      <w:r w:rsidR="006A59A6">
        <w:rPr>
          <w:sz w:val="22"/>
        </w:rPr>
        <w:t xml:space="preserve"> an employee’s childcare fees</w:t>
      </w:r>
      <w:r w:rsidR="00D33550">
        <w:rPr>
          <w:sz w:val="22"/>
        </w:rPr>
        <w:t xml:space="preserve"> in respect of a third party childcare facility</w:t>
      </w:r>
      <w:r w:rsidR="006A59A6">
        <w:rPr>
          <w:sz w:val="22"/>
        </w:rPr>
        <w:t>.</w:t>
      </w:r>
    </w:p>
    <w:p w:rsidR="003642B8" w:rsidRDefault="003642B8" w:rsidP="006F038E">
      <w:pPr>
        <w:spacing w:after="0" w:line="240" w:lineRule="auto"/>
        <w:jc w:val="both"/>
        <w:rPr>
          <w:sz w:val="22"/>
        </w:rPr>
      </w:pPr>
    </w:p>
    <w:p w:rsidR="003642B8" w:rsidRDefault="003642B8" w:rsidP="006F038E">
      <w:pPr>
        <w:spacing w:after="0" w:line="240" w:lineRule="auto"/>
        <w:jc w:val="both"/>
        <w:rPr>
          <w:sz w:val="22"/>
        </w:rPr>
      </w:pPr>
      <w:r>
        <w:rPr>
          <w:sz w:val="22"/>
        </w:rPr>
        <w:t xml:space="preserve">The purpose of </w:t>
      </w:r>
      <w:r w:rsidR="009B2328">
        <w:rPr>
          <w:sz w:val="22"/>
        </w:rPr>
        <w:t xml:space="preserve">paragraph </w:t>
      </w:r>
      <w:r w:rsidR="006F6483">
        <w:rPr>
          <w:sz w:val="22"/>
        </w:rPr>
        <w:t>(b</w:t>
      </w:r>
      <w:r w:rsidR="00B629B4">
        <w:rPr>
          <w:sz w:val="22"/>
        </w:rPr>
        <w:t>) above would be to remove the need to retain the ineffective s 47(8), as discussed below.</w:t>
      </w:r>
    </w:p>
    <w:p w:rsidR="000F62AF" w:rsidRDefault="000F62AF" w:rsidP="006F038E">
      <w:pPr>
        <w:spacing w:after="0" w:line="240" w:lineRule="auto"/>
        <w:jc w:val="both"/>
        <w:rPr>
          <w:sz w:val="22"/>
        </w:rPr>
      </w:pPr>
    </w:p>
    <w:p w:rsidR="001D7DCA" w:rsidRPr="00FB18B1" w:rsidRDefault="001D7DCA" w:rsidP="001D7DCA">
      <w:pPr>
        <w:spacing w:after="0" w:line="240" w:lineRule="auto"/>
        <w:jc w:val="both"/>
        <w:rPr>
          <w:b/>
          <w:i/>
          <w:color w:val="1F497D" w:themeColor="text2"/>
          <w:sz w:val="22"/>
          <w:szCs w:val="22"/>
        </w:rPr>
      </w:pPr>
      <w:r w:rsidRPr="00FB18B1">
        <w:rPr>
          <w:b/>
          <w:i/>
          <w:color w:val="1F497D" w:themeColor="text2"/>
          <w:sz w:val="22"/>
          <w:szCs w:val="22"/>
        </w:rPr>
        <w:t>Subsection 47(8)</w:t>
      </w:r>
    </w:p>
    <w:p w:rsidR="005F52DB" w:rsidRDefault="005F52DB" w:rsidP="006F038E">
      <w:pPr>
        <w:spacing w:after="0" w:line="240" w:lineRule="auto"/>
        <w:jc w:val="both"/>
        <w:rPr>
          <w:sz w:val="22"/>
        </w:rPr>
      </w:pPr>
    </w:p>
    <w:p w:rsidR="00EC76E9" w:rsidRDefault="0004642D" w:rsidP="00B360DA">
      <w:pPr>
        <w:spacing w:after="0" w:line="240" w:lineRule="auto"/>
        <w:jc w:val="both"/>
        <w:rPr>
          <w:sz w:val="22"/>
        </w:rPr>
      </w:pPr>
      <w:r>
        <w:rPr>
          <w:sz w:val="22"/>
        </w:rPr>
        <w:t>Whilst MMSG</w:t>
      </w:r>
      <w:r w:rsidR="00FB18B1">
        <w:rPr>
          <w:sz w:val="22"/>
        </w:rPr>
        <w:t xml:space="preserve"> support</w:t>
      </w:r>
      <w:r>
        <w:rPr>
          <w:sz w:val="22"/>
        </w:rPr>
        <w:t>s</w:t>
      </w:r>
      <w:r w:rsidR="00FB18B1">
        <w:rPr>
          <w:sz w:val="22"/>
        </w:rPr>
        <w:t xml:space="preserve"> the Commission’s </w:t>
      </w:r>
      <w:r>
        <w:rPr>
          <w:sz w:val="22"/>
        </w:rPr>
        <w:t xml:space="preserve">Draft Recommendation 12.1 in relation to the retention of s 47(8), we submit that the Commission </w:t>
      </w:r>
      <w:r w:rsidR="00EC76E9">
        <w:rPr>
          <w:sz w:val="22"/>
        </w:rPr>
        <w:t>appears to have</w:t>
      </w:r>
      <w:r>
        <w:rPr>
          <w:sz w:val="22"/>
        </w:rPr>
        <w:t xml:space="preserve"> placed too much reliance on the provision as a </w:t>
      </w:r>
      <w:r w:rsidR="00B629B4">
        <w:rPr>
          <w:sz w:val="22"/>
        </w:rPr>
        <w:t xml:space="preserve">major </w:t>
      </w:r>
      <w:r>
        <w:rPr>
          <w:sz w:val="22"/>
        </w:rPr>
        <w:t>means for employers to support their employees’ access to ECEC services.</w:t>
      </w:r>
      <w:r w:rsidR="00B360DA">
        <w:rPr>
          <w:sz w:val="22"/>
        </w:rPr>
        <w:t xml:space="preserve"> </w:t>
      </w:r>
    </w:p>
    <w:p w:rsidR="00EC76E9" w:rsidRDefault="00EC76E9" w:rsidP="00B360DA">
      <w:pPr>
        <w:spacing w:after="0" w:line="240" w:lineRule="auto"/>
        <w:jc w:val="both"/>
        <w:rPr>
          <w:sz w:val="22"/>
        </w:rPr>
      </w:pPr>
    </w:p>
    <w:p w:rsidR="00B360DA" w:rsidRDefault="00B360DA" w:rsidP="00B360DA">
      <w:pPr>
        <w:spacing w:after="0" w:line="240" w:lineRule="auto"/>
        <w:jc w:val="both"/>
        <w:rPr>
          <w:sz w:val="22"/>
        </w:rPr>
      </w:pPr>
      <w:r>
        <w:rPr>
          <w:sz w:val="22"/>
        </w:rPr>
        <w:t>As we stated in our or</w:t>
      </w:r>
      <w:r w:rsidR="00EC76E9">
        <w:rPr>
          <w:sz w:val="22"/>
        </w:rPr>
        <w:t>iginal submission to the Commission</w:t>
      </w:r>
      <w:r>
        <w:rPr>
          <w:sz w:val="22"/>
        </w:rPr>
        <w:t>, the House of Representatives Standing Committee on Family and Human Services previously concluded that employers were not using the exemption because it was poorly understood and complicated, as evidenced by a survey conducted of 599 employers which found that not a single employer had taken advantage of it.</w:t>
      </w:r>
      <w:r>
        <w:rPr>
          <w:rStyle w:val="FootnoteReference"/>
        </w:rPr>
        <w:footnoteReference w:id="13"/>
      </w:r>
      <w:r w:rsidR="00DC21B5">
        <w:rPr>
          <w:sz w:val="22"/>
        </w:rPr>
        <w:t xml:space="preserve"> </w:t>
      </w:r>
      <w:r w:rsidR="007778A8">
        <w:rPr>
          <w:sz w:val="22"/>
        </w:rPr>
        <w:t xml:space="preserve">Furthermore, </w:t>
      </w:r>
      <w:r w:rsidR="00DC21B5">
        <w:rPr>
          <w:sz w:val="22"/>
        </w:rPr>
        <w:t>the Commonwealth Treasury has</w:t>
      </w:r>
      <w:r w:rsidR="001F0AE8">
        <w:rPr>
          <w:sz w:val="22"/>
        </w:rPr>
        <w:t xml:space="preserve"> </w:t>
      </w:r>
      <w:r w:rsidR="007778A8">
        <w:rPr>
          <w:sz w:val="22"/>
        </w:rPr>
        <w:t>been unable to quantify any amount of tax expenditure relating to s 47(8)</w:t>
      </w:r>
      <w:r w:rsidR="001F0AE8">
        <w:rPr>
          <w:sz w:val="22"/>
        </w:rPr>
        <w:t>.</w:t>
      </w:r>
      <w:r w:rsidR="00DC21B5">
        <w:rPr>
          <w:rStyle w:val="FootnoteReference"/>
        </w:rPr>
        <w:footnoteReference w:id="14"/>
      </w:r>
    </w:p>
    <w:p w:rsidR="001F0AE8" w:rsidRDefault="001F0AE8" w:rsidP="00B360DA">
      <w:pPr>
        <w:spacing w:after="0" w:line="240" w:lineRule="auto"/>
        <w:jc w:val="both"/>
        <w:rPr>
          <w:sz w:val="22"/>
        </w:rPr>
      </w:pPr>
    </w:p>
    <w:p w:rsidR="005F52DB" w:rsidRDefault="00B360DA" w:rsidP="00B360DA">
      <w:pPr>
        <w:spacing w:after="0" w:line="240" w:lineRule="auto"/>
        <w:jc w:val="both"/>
        <w:rPr>
          <w:sz w:val="22"/>
        </w:rPr>
      </w:pPr>
      <w:r>
        <w:rPr>
          <w:sz w:val="22"/>
        </w:rPr>
        <w:t xml:space="preserve">Even if more </w:t>
      </w:r>
      <w:r w:rsidR="00A27636">
        <w:rPr>
          <w:sz w:val="22"/>
        </w:rPr>
        <w:t>employers were aware of s 47(8) and understood its requirements, it is a very difficult concession for any employer to come within its terms</w:t>
      </w:r>
      <w:r w:rsidR="007778A8">
        <w:rPr>
          <w:sz w:val="22"/>
        </w:rPr>
        <w:t xml:space="preserve"> in practice</w:t>
      </w:r>
      <w:r w:rsidR="00A27636">
        <w:rPr>
          <w:sz w:val="22"/>
        </w:rPr>
        <w:t xml:space="preserve">. </w:t>
      </w:r>
      <w:r w:rsidR="00EC76E9">
        <w:rPr>
          <w:sz w:val="22"/>
        </w:rPr>
        <w:t xml:space="preserve">As </w:t>
      </w:r>
      <w:r>
        <w:rPr>
          <w:sz w:val="22"/>
        </w:rPr>
        <w:t xml:space="preserve">the ATO </w:t>
      </w:r>
      <w:r w:rsidR="00EC76E9">
        <w:rPr>
          <w:sz w:val="22"/>
        </w:rPr>
        <w:t>itself has acknowledged,</w:t>
      </w:r>
      <w:r>
        <w:rPr>
          <w:sz w:val="22"/>
        </w:rPr>
        <w:t xml:space="preserve"> it is </w:t>
      </w:r>
      <w:r w:rsidR="00A27636">
        <w:rPr>
          <w:sz w:val="22"/>
        </w:rPr>
        <w:t>“</w:t>
      </w:r>
      <w:r>
        <w:rPr>
          <w:sz w:val="22"/>
        </w:rPr>
        <w:t>a difficult process</w:t>
      </w:r>
      <w:r w:rsidR="00A27636">
        <w:rPr>
          <w:sz w:val="22"/>
        </w:rPr>
        <w:t>”</w:t>
      </w:r>
      <w:r>
        <w:rPr>
          <w:sz w:val="22"/>
        </w:rPr>
        <w:t>.</w:t>
      </w:r>
      <w:r>
        <w:rPr>
          <w:rStyle w:val="FootnoteReference"/>
        </w:rPr>
        <w:footnoteReference w:id="15"/>
      </w:r>
    </w:p>
    <w:p w:rsidR="005F52DB" w:rsidRDefault="005F52DB" w:rsidP="006F038E">
      <w:pPr>
        <w:spacing w:after="0" w:line="240" w:lineRule="auto"/>
        <w:jc w:val="both"/>
        <w:rPr>
          <w:sz w:val="22"/>
        </w:rPr>
      </w:pPr>
    </w:p>
    <w:p w:rsidR="005F52DB" w:rsidRDefault="007778A8" w:rsidP="006F038E">
      <w:pPr>
        <w:spacing w:after="0" w:line="240" w:lineRule="auto"/>
        <w:jc w:val="both"/>
        <w:rPr>
          <w:sz w:val="22"/>
        </w:rPr>
      </w:pPr>
      <w:r>
        <w:rPr>
          <w:sz w:val="22"/>
        </w:rPr>
        <w:t>Conceivably, s 47(8) could be amended to enable greater reliance to be placed on it</w:t>
      </w:r>
      <w:r w:rsidR="00B629B4">
        <w:rPr>
          <w:sz w:val="22"/>
        </w:rPr>
        <w:t>, as we have suggested above</w:t>
      </w:r>
      <w:r>
        <w:rPr>
          <w:sz w:val="22"/>
        </w:rPr>
        <w:t>.</w:t>
      </w:r>
      <w:r w:rsidR="001D494F">
        <w:rPr>
          <w:sz w:val="22"/>
        </w:rPr>
        <w:t xml:space="preserve"> However, </w:t>
      </w:r>
      <w:r w:rsidR="00EC76E9">
        <w:rPr>
          <w:sz w:val="22"/>
        </w:rPr>
        <w:t xml:space="preserve">in our view </w:t>
      </w:r>
      <w:r w:rsidR="001D494F">
        <w:rPr>
          <w:sz w:val="22"/>
        </w:rPr>
        <w:t xml:space="preserve">it </w:t>
      </w:r>
      <w:r w:rsidR="00310639">
        <w:rPr>
          <w:sz w:val="22"/>
        </w:rPr>
        <w:t>is likely to</w:t>
      </w:r>
      <w:r w:rsidR="001D494F">
        <w:rPr>
          <w:sz w:val="22"/>
        </w:rPr>
        <w:t xml:space="preserve"> </w:t>
      </w:r>
      <w:r w:rsidR="00310639">
        <w:rPr>
          <w:sz w:val="22"/>
        </w:rPr>
        <w:t>remain a non-persuasive</w:t>
      </w:r>
      <w:r w:rsidR="001D494F">
        <w:rPr>
          <w:sz w:val="22"/>
        </w:rPr>
        <w:t xml:space="preserve"> means of encouraging workforce participation and would do nothing to increase localised supply of ECEC services within workforce areas or to encourage sustained employer involvement in assisting employees with their childcare needs.</w:t>
      </w:r>
    </w:p>
    <w:p w:rsidR="005F52DB" w:rsidRDefault="005F52DB" w:rsidP="006F038E">
      <w:pPr>
        <w:spacing w:after="0" w:line="240" w:lineRule="auto"/>
        <w:jc w:val="both"/>
        <w:rPr>
          <w:sz w:val="22"/>
        </w:rPr>
      </w:pPr>
    </w:p>
    <w:p w:rsidR="00D166B8" w:rsidRPr="005F52DB" w:rsidRDefault="00D166B8" w:rsidP="00D166B8">
      <w:pPr>
        <w:spacing w:after="0" w:line="240" w:lineRule="auto"/>
        <w:jc w:val="both"/>
        <w:rPr>
          <w:b/>
          <w:color w:val="1F497D" w:themeColor="text2"/>
          <w:sz w:val="24"/>
        </w:rPr>
      </w:pPr>
      <w:r w:rsidRPr="005F52DB">
        <w:rPr>
          <w:b/>
          <w:color w:val="1F497D" w:themeColor="text2"/>
          <w:sz w:val="24"/>
        </w:rPr>
        <w:t>Draft Recommendation 10.1</w:t>
      </w:r>
      <w:r>
        <w:rPr>
          <w:b/>
          <w:color w:val="1F497D" w:themeColor="text2"/>
          <w:sz w:val="24"/>
        </w:rPr>
        <w:t xml:space="preserve"> – Removal of FBT concessions for NFP ECEC providers</w:t>
      </w:r>
    </w:p>
    <w:p w:rsidR="00D166B8" w:rsidRDefault="00D166B8" w:rsidP="00D166B8">
      <w:pPr>
        <w:spacing w:after="0" w:line="240" w:lineRule="auto"/>
        <w:jc w:val="both"/>
        <w:rPr>
          <w:sz w:val="22"/>
        </w:rPr>
      </w:pPr>
    </w:p>
    <w:p w:rsidR="00D166B8" w:rsidRDefault="00D166B8" w:rsidP="00D166B8">
      <w:pPr>
        <w:spacing w:after="0" w:line="240" w:lineRule="auto"/>
        <w:jc w:val="both"/>
        <w:rPr>
          <w:sz w:val="22"/>
        </w:rPr>
      </w:pPr>
      <w:r>
        <w:rPr>
          <w:sz w:val="22"/>
        </w:rPr>
        <w:lastRenderedPageBreak/>
        <w:t>The Commission concluded in its Draft Report that the FBT exemptions and rebates available to NFP ECEC providers had created an uneven playing field across all ECEC providers, and therefore should be removed.</w:t>
      </w:r>
      <w:r>
        <w:rPr>
          <w:rStyle w:val="FootnoteReference"/>
        </w:rPr>
        <w:footnoteReference w:id="16"/>
      </w:r>
    </w:p>
    <w:p w:rsidR="00D166B8" w:rsidRDefault="00D166B8" w:rsidP="00D166B8">
      <w:pPr>
        <w:spacing w:after="0" w:line="240" w:lineRule="auto"/>
        <w:jc w:val="both"/>
        <w:rPr>
          <w:sz w:val="22"/>
        </w:rPr>
      </w:pPr>
    </w:p>
    <w:p w:rsidR="00D166B8" w:rsidRDefault="00D166B8" w:rsidP="00D166B8">
      <w:pPr>
        <w:spacing w:after="0" w:line="240" w:lineRule="auto"/>
        <w:jc w:val="both"/>
        <w:rPr>
          <w:sz w:val="22"/>
        </w:rPr>
      </w:pPr>
      <w:r>
        <w:rPr>
          <w:sz w:val="22"/>
        </w:rPr>
        <w:t>As the following discussion demonstrates, it is our view that the Commission’s conclusion is erroneous.</w:t>
      </w:r>
    </w:p>
    <w:p w:rsidR="00D166B8" w:rsidRDefault="00D166B8" w:rsidP="00D166B8">
      <w:pPr>
        <w:spacing w:after="0" w:line="240" w:lineRule="auto"/>
        <w:jc w:val="both"/>
        <w:rPr>
          <w:sz w:val="22"/>
        </w:rPr>
      </w:pPr>
    </w:p>
    <w:p w:rsidR="00D166B8" w:rsidRPr="00BC33FF" w:rsidRDefault="00D166B8" w:rsidP="00D166B8">
      <w:pPr>
        <w:spacing w:after="0" w:line="240" w:lineRule="auto"/>
        <w:jc w:val="both"/>
        <w:rPr>
          <w:b/>
          <w:i/>
          <w:color w:val="1F497D" w:themeColor="text2"/>
          <w:sz w:val="22"/>
        </w:rPr>
      </w:pPr>
      <w:r w:rsidRPr="00BC33FF">
        <w:rPr>
          <w:b/>
          <w:i/>
          <w:color w:val="1F497D" w:themeColor="text2"/>
          <w:sz w:val="22"/>
        </w:rPr>
        <w:t xml:space="preserve">Use of FBT concessions by NFP operators is not </w:t>
      </w:r>
      <w:r>
        <w:rPr>
          <w:b/>
          <w:i/>
          <w:color w:val="1F497D" w:themeColor="text2"/>
          <w:sz w:val="22"/>
        </w:rPr>
        <w:t>evident</w:t>
      </w:r>
    </w:p>
    <w:p w:rsidR="00D166B8" w:rsidRDefault="00D166B8" w:rsidP="00D166B8">
      <w:pPr>
        <w:spacing w:after="0" w:line="240" w:lineRule="auto"/>
        <w:jc w:val="both"/>
        <w:rPr>
          <w:sz w:val="22"/>
        </w:rPr>
      </w:pPr>
    </w:p>
    <w:p w:rsidR="00D166B8" w:rsidRDefault="00D166B8" w:rsidP="00D166B8">
      <w:pPr>
        <w:spacing w:after="0" w:line="240" w:lineRule="auto"/>
        <w:jc w:val="both"/>
        <w:rPr>
          <w:sz w:val="22"/>
        </w:rPr>
      </w:pPr>
      <w:r>
        <w:rPr>
          <w:sz w:val="22"/>
        </w:rPr>
        <w:t>The Commission’s own “confidential evidence” indicates the value of the FBT concessions available to NFP ECEC providers is roughly 1.25% of revenue,</w:t>
      </w:r>
      <w:r>
        <w:rPr>
          <w:rStyle w:val="FootnoteReference"/>
        </w:rPr>
        <w:footnoteReference w:id="17"/>
      </w:r>
      <w:r>
        <w:rPr>
          <w:sz w:val="22"/>
        </w:rPr>
        <w:t xml:space="preserve"> but no evidence has been produced of the extent that value has translated to actual Tax Expenditure within the ECEC market. If utilisation of the concessions is not widespread, which we believe is the case, then in our opinion the “playing field” cannot be said to be materially impacted in any material manner.</w:t>
      </w:r>
    </w:p>
    <w:p w:rsidR="00D166B8" w:rsidRDefault="00D166B8" w:rsidP="00D166B8">
      <w:pPr>
        <w:spacing w:after="0" w:line="240" w:lineRule="auto"/>
        <w:jc w:val="both"/>
        <w:rPr>
          <w:sz w:val="22"/>
        </w:rPr>
      </w:pPr>
    </w:p>
    <w:p w:rsidR="00D166B8" w:rsidRDefault="00D166B8" w:rsidP="00D166B8">
      <w:pPr>
        <w:spacing w:after="0" w:line="240" w:lineRule="auto"/>
        <w:jc w:val="both"/>
        <w:rPr>
          <w:sz w:val="22"/>
        </w:rPr>
      </w:pPr>
      <w:r>
        <w:rPr>
          <w:sz w:val="22"/>
        </w:rPr>
        <w:t>The Commission also stated that the FBT concessions available to NFP ECEC providers allow them to employ staff at below market rates.</w:t>
      </w:r>
      <w:r>
        <w:rPr>
          <w:rStyle w:val="FootnoteReference"/>
        </w:rPr>
        <w:footnoteReference w:id="18"/>
      </w:r>
      <w:r>
        <w:rPr>
          <w:sz w:val="22"/>
        </w:rPr>
        <w:t xml:space="preserve"> MMSG has discussed this claim with a number of NFP and For-Profit ECEC providers and has reviewed a number of recent Enterprise Agreements registered by Fair Work Australia, and no disparities in wage rates are evident between NFP ECEC employers and For-Profit ECEC employers. Moreover, the industry union, United Voice, represents employees of both types of employers in enterprise bargaining and negotiates identical award rates. We could thus find no evidence to support the Commission’s claim.</w:t>
      </w:r>
    </w:p>
    <w:p w:rsidR="00D166B8" w:rsidRDefault="00D166B8" w:rsidP="00D166B8">
      <w:pPr>
        <w:spacing w:after="0" w:line="240" w:lineRule="auto"/>
        <w:jc w:val="both"/>
        <w:rPr>
          <w:sz w:val="22"/>
        </w:rPr>
      </w:pPr>
    </w:p>
    <w:p w:rsidR="00D166B8" w:rsidRPr="00BC33FF" w:rsidRDefault="00D166B8" w:rsidP="00D166B8">
      <w:pPr>
        <w:spacing w:after="0" w:line="240" w:lineRule="auto"/>
        <w:jc w:val="both"/>
        <w:rPr>
          <w:b/>
          <w:i/>
          <w:color w:val="1F497D" w:themeColor="text2"/>
          <w:sz w:val="22"/>
        </w:rPr>
      </w:pPr>
      <w:r>
        <w:rPr>
          <w:b/>
          <w:i/>
          <w:color w:val="1F497D" w:themeColor="text2"/>
          <w:sz w:val="22"/>
        </w:rPr>
        <w:t>M</w:t>
      </w:r>
      <w:r w:rsidRPr="00BC33FF">
        <w:rPr>
          <w:b/>
          <w:i/>
          <w:color w:val="1F497D" w:themeColor="text2"/>
          <w:sz w:val="22"/>
        </w:rPr>
        <w:t>arket share of childcare services</w:t>
      </w:r>
      <w:r>
        <w:rPr>
          <w:b/>
          <w:i/>
          <w:color w:val="1F497D" w:themeColor="text2"/>
          <w:sz w:val="22"/>
        </w:rPr>
        <w:t xml:space="preserve"> of NFPs is steadily declining</w:t>
      </w:r>
    </w:p>
    <w:p w:rsidR="00D166B8" w:rsidRDefault="00D166B8" w:rsidP="00D166B8">
      <w:pPr>
        <w:spacing w:after="0" w:line="240" w:lineRule="auto"/>
        <w:jc w:val="both"/>
        <w:rPr>
          <w:sz w:val="22"/>
        </w:rPr>
      </w:pPr>
    </w:p>
    <w:p w:rsidR="00D166B8" w:rsidRPr="00BC33FF" w:rsidRDefault="00D166B8" w:rsidP="00D166B8">
      <w:pPr>
        <w:spacing w:after="0" w:line="240" w:lineRule="auto"/>
        <w:jc w:val="both"/>
        <w:rPr>
          <w:sz w:val="22"/>
        </w:rPr>
      </w:pPr>
      <w:r w:rsidRPr="00BC33FF">
        <w:rPr>
          <w:sz w:val="22"/>
        </w:rPr>
        <w:t xml:space="preserve">The ECEC market has experienced a </w:t>
      </w:r>
      <w:r>
        <w:rPr>
          <w:sz w:val="22"/>
        </w:rPr>
        <w:t>gradually increasing presence of</w:t>
      </w:r>
      <w:r w:rsidRPr="00BC33FF">
        <w:rPr>
          <w:sz w:val="22"/>
        </w:rPr>
        <w:t xml:space="preserve"> For-Profit </w:t>
      </w:r>
      <w:r>
        <w:rPr>
          <w:sz w:val="22"/>
        </w:rPr>
        <w:t>operators</w:t>
      </w:r>
      <w:r w:rsidRPr="00BC33FF">
        <w:rPr>
          <w:sz w:val="22"/>
        </w:rPr>
        <w:t xml:space="preserve">. As the Commission itself noted in its Draft Report, For-Profit market share </w:t>
      </w:r>
      <w:r>
        <w:rPr>
          <w:sz w:val="22"/>
        </w:rPr>
        <w:t>of long day care, for example, increased from 48% in 1991</w:t>
      </w:r>
      <w:r w:rsidRPr="00BC33FF">
        <w:rPr>
          <w:sz w:val="22"/>
        </w:rPr>
        <w:t xml:space="preserve"> to 70% in 2012</w:t>
      </w:r>
      <w:r>
        <w:rPr>
          <w:sz w:val="22"/>
        </w:rPr>
        <w:t>, with a six-fold increase in the number of places at For-Profit centres</w:t>
      </w:r>
      <w:r w:rsidRPr="00BC33FF">
        <w:rPr>
          <w:sz w:val="22"/>
        </w:rPr>
        <w:t>.</w:t>
      </w:r>
      <w:r>
        <w:rPr>
          <w:rStyle w:val="FootnoteReference"/>
        </w:rPr>
        <w:footnoteReference w:id="19"/>
      </w:r>
      <w:r w:rsidRPr="00BC33FF">
        <w:rPr>
          <w:sz w:val="22"/>
        </w:rPr>
        <w:t xml:space="preserve"> Such domination by For-Profits has occurred during a period</w:t>
      </w:r>
      <w:r>
        <w:rPr>
          <w:sz w:val="22"/>
        </w:rPr>
        <w:t xml:space="preserve"> in which there have</w:t>
      </w:r>
      <w:r w:rsidRPr="00BC33FF">
        <w:rPr>
          <w:sz w:val="22"/>
        </w:rPr>
        <w:t xml:space="preserve"> been no changes to </w:t>
      </w:r>
      <w:r>
        <w:rPr>
          <w:sz w:val="22"/>
        </w:rPr>
        <w:t xml:space="preserve">either </w:t>
      </w:r>
      <w:r w:rsidRPr="00BC33FF">
        <w:rPr>
          <w:sz w:val="22"/>
        </w:rPr>
        <w:t>the FBT concessions available to NFP ECEC providers</w:t>
      </w:r>
      <w:r>
        <w:rPr>
          <w:sz w:val="22"/>
        </w:rPr>
        <w:t xml:space="preserve"> or, to our knowledge, the level of their utilisation</w:t>
      </w:r>
      <w:r w:rsidRPr="00BC33FF">
        <w:rPr>
          <w:sz w:val="22"/>
        </w:rPr>
        <w:t>.</w:t>
      </w:r>
    </w:p>
    <w:p w:rsidR="00D166B8" w:rsidRDefault="00D166B8" w:rsidP="00D166B8">
      <w:pPr>
        <w:spacing w:after="0" w:line="240" w:lineRule="auto"/>
        <w:jc w:val="both"/>
        <w:rPr>
          <w:sz w:val="22"/>
          <w:lang w:val="en-GB" w:eastAsia="en-GB"/>
        </w:rPr>
      </w:pPr>
    </w:p>
    <w:p w:rsidR="00D166B8" w:rsidRPr="00966F54" w:rsidRDefault="00D166B8" w:rsidP="00D166B8">
      <w:pPr>
        <w:spacing w:after="0" w:line="240" w:lineRule="auto"/>
        <w:jc w:val="both"/>
        <w:rPr>
          <w:b/>
          <w:i/>
          <w:color w:val="1F497D" w:themeColor="text2"/>
          <w:sz w:val="22"/>
          <w:lang w:val="en-GB" w:eastAsia="en-GB"/>
        </w:rPr>
      </w:pPr>
      <w:r w:rsidRPr="00966F54">
        <w:rPr>
          <w:b/>
          <w:i/>
          <w:color w:val="1F497D" w:themeColor="text2"/>
          <w:sz w:val="22"/>
          <w:lang w:val="en-GB" w:eastAsia="en-GB"/>
        </w:rPr>
        <w:t>Profit margins of NFP providers are negligible</w:t>
      </w:r>
    </w:p>
    <w:p w:rsidR="00D166B8" w:rsidRDefault="00D166B8" w:rsidP="00D166B8">
      <w:pPr>
        <w:spacing w:after="0" w:line="240" w:lineRule="auto"/>
        <w:jc w:val="both"/>
        <w:rPr>
          <w:sz w:val="22"/>
          <w:lang w:val="en-GB" w:eastAsia="en-GB"/>
        </w:rPr>
      </w:pPr>
    </w:p>
    <w:p w:rsidR="00D166B8" w:rsidRDefault="00D166B8" w:rsidP="00D166B8">
      <w:pPr>
        <w:spacing w:after="0" w:line="240" w:lineRule="auto"/>
        <w:jc w:val="both"/>
        <w:rPr>
          <w:sz w:val="22"/>
        </w:rPr>
      </w:pPr>
      <w:r w:rsidRPr="00BC33FF">
        <w:rPr>
          <w:sz w:val="22"/>
        </w:rPr>
        <w:t xml:space="preserve">For the year </w:t>
      </w:r>
      <w:r>
        <w:rPr>
          <w:sz w:val="22"/>
        </w:rPr>
        <w:t>ended 30 June 2013, the largest</w:t>
      </w:r>
      <w:r w:rsidRPr="00BC33FF">
        <w:rPr>
          <w:sz w:val="22"/>
        </w:rPr>
        <w:t xml:space="preserve"> NFP ECEC provider, </w:t>
      </w:r>
      <w:proofErr w:type="spellStart"/>
      <w:r w:rsidRPr="00BC33FF">
        <w:rPr>
          <w:sz w:val="22"/>
        </w:rPr>
        <w:t>Goodstart</w:t>
      </w:r>
      <w:proofErr w:type="spellEnd"/>
      <w:r w:rsidRPr="00BC33FF">
        <w:rPr>
          <w:sz w:val="22"/>
        </w:rPr>
        <w:t xml:space="preserve"> Early Learning, derived an EBIT ma</w:t>
      </w:r>
      <w:r>
        <w:rPr>
          <w:sz w:val="22"/>
        </w:rPr>
        <w:t>rgin of only 1.2% (2012: 2.3%).</w:t>
      </w:r>
      <w:r>
        <w:rPr>
          <w:rStyle w:val="FootnoteReference"/>
        </w:rPr>
        <w:footnoteReference w:id="20"/>
      </w:r>
      <w:r>
        <w:rPr>
          <w:sz w:val="22"/>
        </w:rPr>
        <w:t xml:space="preserve"> This appears to not be an exception in the NFP ECEC sector. KU Children’s Services, for example, is the largest non-government NFP ECEC provider in NSW and operates on EBIT margins consistently below 3%.</w:t>
      </w:r>
      <w:r>
        <w:rPr>
          <w:rStyle w:val="FootnoteReference"/>
        </w:rPr>
        <w:footnoteReference w:id="21"/>
      </w:r>
    </w:p>
    <w:p w:rsidR="00D166B8" w:rsidRDefault="00D166B8" w:rsidP="00D166B8">
      <w:pPr>
        <w:spacing w:after="0" w:line="240" w:lineRule="auto"/>
        <w:jc w:val="both"/>
        <w:rPr>
          <w:sz w:val="22"/>
        </w:rPr>
      </w:pPr>
    </w:p>
    <w:p w:rsidR="00D166B8" w:rsidRPr="00BC33FF" w:rsidRDefault="00D166B8" w:rsidP="00D166B8">
      <w:pPr>
        <w:spacing w:after="0" w:line="240" w:lineRule="auto"/>
        <w:jc w:val="both"/>
        <w:rPr>
          <w:sz w:val="22"/>
        </w:rPr>
      </w:pPr>
      <w:r>
        <w:rPr>
          <w:sz w:val="22"/>
        </w:rPr>
        <w:t>The exceptionally low profit margins of NFP ECEC providers are in stark contrast to those experienced by For-Profit ECEC providers. For example</w:t>
      </w:r>
      <w:r w:rsidRPr="00BC33FF">
        <w:rPr>
          <w:sz w:val="22"/>
        </w:rPr>
        <w:t xml:space="preserve">, G8 Education, </w:t>
      </w:r>
      <w:r>
        <w:rPr>
          <w:sz w:val="22"/>
        </w:rPr>
        <w:t>the largest For-</w:t>
      </w:r>
      <w:r>
        <w:rPr>
          <w:sz w:val="22"/>
        </w:rPr>
        <w:lastRenderedPageBreak/>
        <w:t xml:space="preserve">Profit ECEC provider, </w:t>
      </w:r>
      <w:r w:rsidRPr="00BC33FF">
        <w:rPr>
          <w:sz w:val="22"/>
        </w:rPr>
        <w:t xml:space="preserve">derived an EBIT margin of 17.9% </w:t>
      </w:r>
      <w:r>
        <w:rPr>
          <w:sz w:val="22"/>
        </w:rPr>
        <w:t xml:space="preserve">in 2013 </w:t>
      </w:r>
      <w:r w:rsidRPr="00BC33FF">
        <w:rPr>
          <w:sz w:val="22"/>
        </w:rPr>
        <w:t>(2012: 16.3%).</w:t>
      </w:r>
      <w:r>
        <w:rPr>
          <w:rStyle w:val="FootnoteReference"/>
        </w:rPr>
        <w:footnoteReference w:id="22"/>
      </w:r>
      <w:r w:rsidRPr="00BC33FF">
        <w:rPr>
          <w:sz w:val="22"/>
        </w:rPr>
        <w:t xml:space="preserve"> This large </w:t>
      </w:r>
      <w:r>
        <w:rPr>
          <w:sz w:val="22"/>
        </w:rPr>
        <w:t>disparity</w:t>
      </w:r>
      <w:r w:rsidRPr="00BC33FF">
        <w:rPr>
          <w:sz w:val="22"/>
        </w:rPr>
        <w:t xml:space="preserve"> in profit margins evidences a skewed playing field in favour of For-Profits, not the reverse.</w:t>
      </w:r>
      <w:r>
        <w:rPr>
          <w:sz w:val="22"/>
        </w:rPr>
        <w:t xml:space="preserve"> It is not evidence of NFP providers being less efficient, it is simply a function of differing aims and business models.</w:t>
      </w:r>
    </w:p>
    <w:p w:rsidR="00D166B8" w:rsidRDefault="00D166B8" w:rsidP="00D166B8">
      <w:pPr>
        <w:spacing w:after="0" w:line="240" w:lineRule="auto"/>
        <w:jc w:val="both"/>
        <w:rPr>
          <w:sz w:val="22"/>
        </w:rPr>
      </w:pPr>
    </w:p>
    <w:p w:rsidR="00D166B8" w:rsidRPr="00F739EE" w:rsidRDefault="00D166B8" w:rsidP="00D166B8">
      <w:pPr>
        <w:spacing w:after="0" w:line="240" w:lineRule="auto"/>
        <w:jc w:val="both"/>
        <w:rPr>
          <w:b/>
          <w:i/>
          <w:color w:val="1F497D" w:themeColor="text2"/>
          <w:sz w:val="22"/>
        </w:rPr>
      </w:pPr>
      <w:r w:rsidRPr="00F739EE">
        <w:rPr>
          <w:b/>
          <w:i/>
          <w:color w:val="1F497D" w:themeColor="text2"/>
          <w:sz w:val="22"/>
        </w:rPr>
        <w:t>Other competitive factors are at play</w:t>
      </w:r>
    </w:p>
    <w:p w:rsidR="00D166B8" w:rsidRDefault="00D166B8" w:rsidP="00D166B8">
      <w:pPr>
        <w:spacing w:after="0" w:line="240" w:lineRule="auto"/>
        <w:jc w:val="both"/>
        <w:rPr>
          <w:sz w:val="22"/>
        </w:rPr>
      </w:pPr>
    </w:p>
    <w:p w:rsidR="00D166B8" w:rsidRDefault="00D166B8" w:rsidP="00D166B8">
      <w:pPr>
        <w:spacing w:after="0" w:line="240" w:lineRule="auto"/>
        <w:jc w:val="both"/>
        <w:rPr>
          <w:sz w:val="22"/>
        </w:rPr>
      </w:pPr>
      <w:r>
        <w:rPr>
          <w:sz w:val="22"/>
        </w:rPr>
        <w:t>Aside from any competitive influence that FBT concessions may have in the ECEC market, which is disputed, there are other factors in play which we believe the Commission has either discounted or been unable to adequately quantify. It is submitted that such factors warrant further examination and/or quantification before conclusions be reached about the targeted FBT concessions for NFP ECEC providers. These include:</w:t>
      </w:r>
    </w:p>
    <w:p w:rsidR="00D166B8" w:rsidRDefault="00D166B8" w:rsidP="00D166B8">
      <w:pPr>
        <w:spacing w:after="0" w:line="240" w:lineRule="auto"/>
        <w:jc w:val="both"/>
        <w:rPr>
          <w:sz w:val="22"/>
        </w:rPr>
      </w:pPr>
    </w:p>
    <w:p w:rsidR="00D166B8" w:rsidRPr="009435F2" w:rsidRDefault="00D166B8" w:rsidP="00D166B8">
      <w:pPr>
        <w:pStyle w:val="ListParagraph"/>
        <w:numPr>
          <w:ilvl w:val="0"/>
          <w:numId w:val="38"/>
        </w:numPr>
        <w:spacing w:after="0" w:line="240" w:lineRule="auto"/>
        <w:jc w:val="both"/>
        <w:rPr>
          <w:sz w:val="22"/>
        </w:rPr>
      </w:pPr>
      <w:r w:rsidRPr="009435F2">
        <w:rPr>
          <w:sz w:val="22"/>
        </w:rPr>
        <w:t>the degree of price competition in the ECEC market – the Commission was unable to quantify this factor in its Draft Report</w:t>
      </w:r>
      <w:r>
        <w:rPr>
          <w:rStyle w:val="FootnoteReference"/>
        </w:rPr>
        <w:footnoteReference w:id="23"/>
      </w:r>
      <w:r w:rsidRPr="009435F2">
        <w:rPr>
          <w:sz w:val="22"/>
        </w:rPr>
        <w:t>; and</w:t>
      </w:r>
    </w:p>
    <w:p w:rsidR="00D166B8" w:rsidRDefault="00D166B8" w:rsidP="00D166B8">
      <w:pPr>
        <w:spacing w:after="0" w:line="240" w:lineRule="auto"/>
        <w:jc w:val="both"/>
        <w:rPr>
          <w:sz w:val="22"/>
        </w:rPr>
      </w:pPr>
    </w:p>
    <w:p w:rsidR="00D166B8" w:rsidRPr="009435F2" w:rsidRDefault="00D166B8" w:rsidP="00D166B8">
      <w:pPr>
        <w:pStyle w:val="ListParagraph"/>
        <w:numPr>
          <w:ilvl w:val="0"/>
          <w:numId w:val="38"/>
        </w:numPr>
        <w:spacing w:after="0" w:line="240" w:lineRule="auto"/>
        <w:jc w:val="both"/>
        <w:rPr>
          <w:sz w:val="22"/>
        </w:rPr>
      </w:pPr>
      <w:proofErr w:type="gramStart"/>
      <w:r w:rsidRPr="009435F2">
        <w:rPr>
          <w:sz w:val="22"/>
        </w:rPr>
        <w:t>the</w:t>
      </w:r>
      <w:proofErr w:type="gramEnd"/>
      <w:r w:rsidRPr="009435F2">
        <w:rPr>
          <w:sz w:val="22"/>
        </w:rPr>
        <w:t xml:space="preserve"> degree to which service quality is improved by competition – again, the Commission was not able reach any conclusions in its Draft Report</w:t>
      </w:r>
      <w:r>
        <w:rPr>
          <w:sz w:val="22"/>
        </w:rPr>
        <w:t>.</w:t>
      </w:r>
      <w:r>
        <w:rPr>
          <w:rStyle w:val="FootnoteReference"/>
        </w:rPr>
        <w:footnoteReference w:id="24"/>
      </w:r>
    </w:p>
    <w:p w:rsidR="00D166B8" w:rsidRDefault="00D166B8" w:rsidP="00D166B8">
      <w:pPr>
        <w:spacing w:after="0" w:line="240" w:lineRule="auto"/>
        <w:jc w:val="both"/>
        <w:rPr>
          <w:sz w:val="22"/>
        </w:rPr>
      </w:pPr>
    </w:p>
    <w:p w:rsidR="00D166B8" w:rsidRDefault="00D166B8" w:rsidP="00D166B8">
      <w:pPr>
        <w:spacing w:after="0" w:line="240" w:lineRule="auto"/>
        <w:jc w:val="both"/>
        <w:rPr>
          <w:sz w:val="22"/>
        </w:rPr>
      </w:pPr>
      <w:r>
        <w:rPr>
          <w:sz w:val="22"/>
        </w:rPr>
        <w:t>Finally, it is our view that were the ECEC market to be a level playing field, barriers to entry and expansion would be the same for NFP operators as they would be for For-Profit operators. They are not. For example, as the Commission itself stated in 2010, NFPs other than large organisations “fail the lending criteria of conventional lenders and, as a result, often find accessing capital to develop or expand their activities difficult.”</w:t>
      </w:r>
      <w:r>
        <w:rPr>
          <w:rStyle w:val="FootnoteReference"/>
        </w:rPr>
        <w:footnoteReference w:id="25"/>
      </w:r>
    </w:p>
    <w:p w:rsidR="00D166B8" w:rsidRDefault="00D166B8" w:rsidP="006F038E">
      <w:pPr>
        <w:spacing w:after="0" w:line="240" w:lineRule="auto"/>
        <w:jc w:val="both"/>
        <w:rPr>
          <w:sz w:val="22"/>
        </w:rPr>
      </w:pPr>
    </w:p>
    <w:p w:rsidR="00DD0FA3" w:rsidRDefault="00DD0FA3" w:rsidP="006F038E">
      <w:pPr>
        <w:spacing w:after="0" w:line="240" w:lineRule="auto"/>
        <w:jc w:val="both"/>
        <w:rPr>
          <w:sz w:val="22"/>
        </w:rPr>
      </w:pPr>
      <w:r>
        <w:rPr>
          <w:sz w:val="22"/>
        </w:rPr>
        <w:t>Given the capital-intensive nature of the ECEC sector, access to capital</w:t>
      </w:r>
      <w:r w:rsidR="007B4DEB">
        <w:rPr>
          <w:sz w:val="22"/>
        </w:rPr>
        <w:t xml:space="preserve"> (or more correctly, the barriers to access to capital) is, in our opinion, a far more dominant issue for competitive neutrality within the sector than the questionable impact of FBT concessions for NFP ECEC providers.</w:t>
      </w:r>
    </w:p>
    <w:p w:rsidR="00DD0FA3" w:rsidRDefault="00DD0FA3" w:rsidP="006F038E">
      <w:pPr>
        <w:spacing w:after="0" w:line="240" w:lineRule="auto"/>
        <w:jc w:val="both"/>
        <w:rPr>
          <w:sz w:val="22"/>
        </w:rPr>
      </w:pPr>
    </w:p>
    <w:p w:rsidR="0030112C" w:rsidRPr="001562A0" w:rsidRDefault="0030112C" w:rsidP="0030112C">
      <w:pPr>
        <w:spacing w:after="0" w:line="240" w:lineRule="auto"/>
        <w:jc w:val="both"/>
        <w:rPr>
          <w:b/>
          <w:color w:val="1F497D" w:themeColor="text2"/>
          <w:sz w:val="32"/>
          <w:szCs w:val="32"/>
        </w:rPr>
      </w:pPr>
      <w:bookmarkStart w:id="1" w:name="top"/>
      <w:bookmarkEnd w:id="1"/>
      <w:r>
        <w:rPr>
          <w:b/>
          <w:color w:val="1F497D" w:themeColor="text2"/>
          <w:sz w:val="32"/>
          <w:szCs w:val="32"/>
        </w:rPr>
        <w:t>Summary</w:t>
      </w:r>
    </w:p>
    <w:p w:rsidR="0015099A" w:rsidRDefault="0015099A" w:rsidP="009637E0">
      <w:pPr>
        <w:spacing w:after="0" w:line="240" w:lineRule="auto"/>
        <w:jc w:val="both"/>
        <w:rPr>
          <w:sz w:val="22"/>
        </w:rPr>
      </w:pPr>
    </w:p>
    <w:p w:rsidR="000C134B" w:rsidRDefault="000C134B" w:rsidP="000C134B">
      <w:pPr>
        <w:spacing w:after="0" w:line="240" w:lineRule="auto"/>
        <w:jc w:val="both"/>
        <w:rPr>
          <w:sz w:val="22"/>
        </w:rPr>
      </w:pPr>
      <w:r>
        <w:rPr>
          <w:sz w:val="22"/>
        </w:rPr>
        <w:t>The Commission was tasked to make recommendations, among other things, on the contribution that access to childcare can make to increased participation in the workforce. Removing s 47(2) of the FBT Act to the extent it applies to childcare would instead have the immediate effect of disenfranchising those employers currently providing childcare facilities. Section 47(8) will never meet the Government’s aims to increase workforce participation.</w:t>
      </w:r>
    </w:p>
    <w:p w:rsidR="000C134B" w:rsidRDefault="000C134B" w:rsidP="009637E0">
      <w:pPr>
        <w:spacing w:after="0" w:line="240" w:lineRule="auto"/>
        <w:jc w:val="both"/>
        <w:rPr>
          <w:sz w:val="22"/>
        </w:rPr>
      </w:pPr>
    </w:p>
    <w:p w:rsidR="0015099A" w:rsidRDefault="0015099A" w:rsidP="009637E0">
      <w:pPr>
        <w:spacing w:after="0" w:line="240" w:lineRule="auto"/>
        <w:jc w:val="both"/>
        <w:rPr>
          <w:rFonts w:ascii="Verdana" w:hAnsi="Verdana"/>
          <w:color w:val="000000"/>
          <w:sz w:val="18"/>
          <w:szCs w:val="18"/>
          <w:lang w:eastAsia="en-AU"/>
        </w:rPr>
      </w:pPr>
      <w:r>
        <w:rPr>
          <w:sz w:val="22"/>
        </w:rPr>
        <w:t xml:space="preserve">MMSG strongly believes that </w:t>
      </w:r>
      <w:r w:rsidR="00EB5C49">
        <w:rPr>
          <w:sz w:val="22"/>
        </w:rPr>
        <w:t xml:space="preserve">s 47(2) can be reformed to provide a real incentive to employers, above and beyond mere ‘Employer of Choice’ benefits, to invest capital and ongoing expenditure in assisting employees with childcare, and thus make a substantive and on-going contribution to increasing workforce participation. To this end, we have identified </w:t>
      </w:r>
      <w:r w:rsidR="004616E5">
        <w:rPr>
          <w:sz w:val="22"/>
        </w:rPr>
        <w:t xml:space="preserve">several conceptual issues with the Commission’s understanding of the current </w:t>
      </w:r>
      <w:r w:rsidR="004616E5">
        <w:rPr>
          <w:sz w:val="22"/>
        </w:rPr>
        <w:lastRenderedPageBreak/>
        <w:t>relationship between FBT and employer involvement with childcare, and we have formulated a specific means by which s 47(2) can be reformed.</w:t>
      </w:r>
    </w:p>
    <w:p w:rsidR="009637E0" w:rsidRDefault="009637E0" w:rsidP="009637E0">
      <w:pPr>
        <w:spacing w:after="0" w:line="240" w:lineRule="auto"/>
        <w:jc w:val="both"/>
        <w:rPr>
          <w:rFonts w:ascii="Verdana" w:hAnsi="Verdana"/>
          <w:color w:val="000000"/>
          <w:sz w:val="18"/>
          <w:szCs w:val="18"/>
          <w:lang w:eastAsia="en-AU"/>
        </w:rPr>
      </w:pPr>
    </w:p>
    <w:p w:rsidR="00AE1390" w:rsidRDefault="00AE1390" w:rsidP="00AE1390">
      <w:pPr>
        <w:spacing w:after="0" w:line="240" w:lineRule="auto"/>
        <w:jc w:val="both"/>
        <w:rPr>
          <w:sz w:val="22"/>
        </w:rPr>
      </w:pPr>
      <w:r>
        <w:rPr>
          <w:sz w:val="22"/>
        </w:rPr>
        <w:t>MMSG also submits that the FBT exemptions and rebates available to NFP ECEC providers have not created an uneven playing field across all ECEC providers, and we have provided a number of reasons evidencing that fact. There are a large number of ECEC providers in the Australian market, varying in size from single centres to many, with no single provider dominating the market. This large and diverse profile is one shared between NFP providers and For-Profit providers, yet their underlying motives are different. NFP providers desire to serve the community whereas For-Profits desire to maximise shareholders’ returns. Combined with completely different taxation statuses, their business models are fundamentally divergent, their respective ability to raise capital is different, and their margins are different. The actual impact of the FBT concessions available to NFP providers on those elements is currently indeterminate and cannot conceivably be significant if “a level playing field” is sought to be achieved.</w:t>
      </w:r>
    </w:p>
    <w:p w:rsidR="00AE1390" w:rsidRDefault="00AE1390" w:rsidP="00AE1390">
      <w:pPr>
        <w:spacing w:after="0" w:line="240" w:lineRule="auto"/>
        <w:jc w:val="both"/>
        <w:rPr>
          <w:sz w:val="22"/>
        </w:rPr>
      </w:pPr>
    </w:p>
    <w:p w:rsidR="00F90F27" w:rsidRDefault="00F90F27" w:rsidP="00AE1390">
      <w:pPr>
        <w:spacing w:after="0" w:line="240" w:lineRule="auto"/>
        <w:jc w:val="both"/>
        <w:rPr>
          <w:sz w:val="22"/>
        </w:rPr>
      </w:pPr>
    </w:p>
    <w:p w:rsidR="009637E0" w:rsidRDefault="00F90F27" w:rsidP="00F90F27">
      <w:pPr>
        <w:spacing w:after="0" w:line="240" w:lineRule="auto"/>
        <w:jc w:val="center"/>
        <w:rPr>
          <w:sz w:val="22"/>
        </w:rPr>
      </w:pPr>
      <w:r>
        <w:rPr>
          <w:sz w:val="22"/>
        </w:rPr>
        <w:t>-------0------</w:t>
      </w:r>
    </w:p>
    <w:p w:rsidR="009A212E" w:rsidRDefault="009A212E" w:rsidP="00E623C7">
      <w:pPr>
        <w:spacing w:after="200" w:line="276" w:lineRule="auto"/>
        <w:rPr>
          <w:sz w:val="22"/>
        </w:rPr>
      </w:pPr>
    </w:p>
    <w:sectPr w:rsidR="009A212E" w:rsidSect="004F75C1">
      <w:footerReference w:type="default" r:id="rId11"/>
      <w:pgSz w:w="11906" w:h="16838"/>
      <w:pgMar w:top="1440" w:right="1985" w:bottom="1440"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BCD" w:rsidRDefault="00632BCD" w:rsidP="006F038E">
      <w:pPr>
        <w:spacing w:after="0" w:line="240" w:lineRule="auto"/>
      </w:pPr>
      <w:r>
        <w:separator/>
      </w:r>
    </w:p>
  </w:endnote>
  <w:endnote w:type="continuationSeparator" w:id="0">
    <w:p w:rsidR="00632BCD" w:rsidRDefault="00632BCD" w:rsidP="006F0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39804"/>
      <w:docPartObj>
        <w:docPartGallery w:val="Page Numbers (Bottom of Page)"/>
        <w:docPartUnique/>
      </w:docPartObj>
    </w:sdtPr>
    <w:sdtEndPr>
      <w:rPr>
        <w:sz w:val="18"/>
        <w:szCs w:val="18"/>
      </w:rPr>
    </w:sdtEndPr>
    <w:sdtContent>
      <w:p w:rsidR="00632BCD" w:rsidRDefault="00632BCD">
        <w:pPr>
          <w:pStyle w:val="Footer"/>
          <w:jc w:val="center"/>
        </w:pPr>
        <w:r w:rsidRPr="00BF00AA">
          <w:rPr>
            <w:sz w:val="18"/>
            <w:szCs w:val="18"/>
          </w:rPr>
          <w:fldChar w:fldCharType="begin"/>
        </w:r>
        <w:r w:rsidRPr="00BF00AA">
          <w:rPr>
            <w:sz w:val="18"/>
            <w:szCs w:val="18"/>
          </w:rPr>
          <w:instrText xml:space="preserve"> PAGE   \* MERGEFORMAT </w:instrText>
        </w:r>
        <w:r w:rsidRPr="00BF00AA">
          <w:rPr>
            <w:sz w:val="18"/>
            <w:szCs w:val="18"/>
          </w:rPr>
          <w:fldChar w:fldCharType="separate"/>
        </w:r>
        <w:r w:rsidR="00555D92">
          <w:rPr>
            <w:noProof/>
            <w:sz w:val="18"/>
            <w:szCs w:val="18"/>
          </w:rPr>
          <w:t>1</w:t>
        </w:r>
        <w:r w:rsidRPr="00BF00AA">
          <w:rPr>
            <w:sz w:val="18"/>
            <w:szCs w:val="18"/>
          </w:rPr>
          <w:fldChar w:fldCharType="end"/>
        </w:r>
      </w:p>
    </w:sdtContent>
  </w:sdt>
  <w:p w:rsidR="00632BCD" w:rsidRDefault="00632B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BCD" w:rsidRDefault="00632BCD" w:rsidP="006F038E">
      <w:pPr>
        <w:spacing w:after="0" w:line="240" w:lineRule="auto"/>
      </w:pPr>
      <w:r>
        <w:separator/>
      </w:r>
    </w:p>
  </w:footnote>
  <w:footnote w:type="continuationSeparator" w:id="0">
    <w:p w:rsidR="00632BCD" w:rsidRDefault="00632BCD" w:rsidP="006F038E">
      <w:pPr>
        <w:spacing w:after="0" w:line="240" w:lineRule="auto"/>
      </w:pPr>
      <w:r>
        <w:continuationSeparator/>
      </w:r>
    </w:p>
  </w:footnote>
  <w:footnote w:id="1">
    <w:p w:rsidR="00632BCD" w:rsidRPr="009109BF" w:rsidRDefault="00632BCD" w:rsidP="0030112C">
      <w:pPr>
        <w:pStyle w:val="FootnoteText"/>
        <w:spacing w:after="0" w:line="240" w:lineRule="auto"/>
        <w:rPr>
          <w:sz w:val="18"/>
          <w:szCs w:val="18"/>
        </w:rPr>
      </w:pPr>
      <w:r w:rsidRPr="009109BF">
        <w:rPr>
          <w:rStyle w:val="FootnoteReference"/>
          <w:sz w:val="18"/>
          <w:szCs w:val="18"/>
        </w:rPr>
        <w:footnoteRef/>
      </w:r>
      <w:r w:rsidRPr="009109BF">
        <w:rPr>
          <w:sz w:val="18"/>
          <w:szCs w:val="18"/>
        </w:rPr>
        <w:t xml:space="preserve"> Productivity Commission</w:t>
      </w:r>
      <w:r>
        <w:rPr>
          <w:sz w:val="18"/>
          <w:szCs w:val="18"/>
        </w:rPr>
        <w:t xml:space="preserve">, </w:t>
      </w:r>
      <w:r w:rsidRPr="009109BF">
        <w:rPr>
          <w:i/>
          <w:sz w:val="18"/>
          <w:szCs w:val="18"/>
        </w:rPr>
        <w:t>Childcare and Early Childhood Learning – Draft Report</w:t>
      </w:r>
      <w:r>
        <w:rPr>
          <w:sz w:val="18"/>
          <w:szCs w:val="18"/>
        </w:rPr>
        <w:t>, Canberra, July 2014.</w:t>
      </w:r>
    </w:p>
  </w:footnote>
  <w:footnote w:id="2">
    <w:p w:rsidR="00632BCD" w:rsidRPr="0030112C" w:rsidRDefault="00632BCD" w:rsidP="00D166B8">
      <w:pPr>
        <w:pStyle w:val="FootnoteText"/>
        <w:spacing w:after="0" w:line="240" w:lineRule="auto"/>
        <w:rPr>
          <w:sz w:val="18"/>
          <w:szCs w:val="18"/>
        </w:rPr>
      </w:pPr>
      <w:r w:rsidRPr="0030112C">
        <w:rPr>
          <w:rStyle w:val="FootnoteReference"/>
          <w:sz w:val="18"/>
          <w:szCs w:val="18"/>
        </w:rPr>
        <w:footnoteRef/>
      </w:r>
      <w:r w:rsidRPr="0030112C">
        <w:rPr>
          <w:sz w:val="18"/>
          <w:szCs w:val="18"/>
        </w:rPr>
        <w:t xml:space="preserve"> We note t</w:t>
      </w:r>
      <w:r>
        <w:rPr>
          <w:sz w:val="18"/>
          <w:szCs w:val="18"/>
        </w:rPr>
        <w:t xml:space="preserve">hat Recommendation 12.1 of the Draft Report, at page 513, refers to the </w:t>
      </w:r>
      <w:r w:rsidRPr="00245589">
        <w:rPr>
          <w:i/>
          <w:sz w:val="18"/>
          <w:szCs w:val="18"/>
        </w:rPr>
        <w:t>Fringe Benefits Tax Act 1986</w:t>
      </w:r>
      <w:r>
        <w:rPr>
          <w:sz w:val="18"/>
          <w:szCs w:val="18"/>
        </w:rPr>
        <w:t xml:space="preserve">. However that Act does not contain </w:t>
      </w:r>
      <w:proofErr w:type="gramStart"/>
      <w:r>
        <w:rPr>
          <w:sz w:val="18"/>
          <w:szCs w:val="18"/>
        </w:rPr>
        <w:t>a</w:t>
      </w:r>
      <w:proofErr w:type="gramEnd"/>
      <w:r>
        <w:rPr>
          <w:sz w:val="18"/>
          <w:szCs w:val="18"/>
        </w:rPr>
        <w:t xml:space="preserve"> s 47(2) and hence we believe the Commission is instead referring to the </w:t>
      </w:r>
      <w:r w:rsidRPr="00245589">
        <w:rPr>
          <w:i/>
          <w:sz w:val="18"/>
          <w:szCs w:val="18"/>
        </w:rPr>
        <w:t>Fringe Benefits Tax Assessment Act 1986</w:t>
      </w:r>
      <w:r>
        <w:rPr>
          <w:sz w:val="18"/>
          <w:szCs w:val="18"/>
        </w:rPr>
        <w:t>.</w:t>
      </w:r>
    </w:p>
  </w:footnote>
  <w:footnote w:id="3">
    <w:p w:rsidR="00632BCD" w:rsidRPr="004F5031" w:rsidRDefault="00632BCD" w:rsidP="008C519C">
      <w:pPr>
        <w:pStyle w:val="FootnoteText"/>
        <w:spacing w:after="0" w:line="240" w:lineRule="auto"/>
        <w:rPr>
          <w:sz w:val="18"/>
          <w:szCs w:val="18"/>
        </w:rPr>
      </w:pPr>
      <w:r w:rsidRPr="004F5031">
        <w:rPr>
          <w:rStyle w:val="FootnoteReference"/>
          <w:sz w:val="18"/>
          <w:szCs w:val="18"/>
        </w:rPr>
        <w:footnoteRef/>
      </w:r>
      <w:r w:rsidRPr="004F5031">
        <w:rPr>
          <w:sz w:val="18"/>
          <w:szCs w:val="18"/>
        </w:rPr>
        <w:t xml:space="preserve"> </w:t>
      </w:r>
      <w:r>
        <w:rPr>
          <w:sz w:val="18"/>
          <w:szCs w:val="18"/>
        </w:rPr>
        <w:t xml:space="preserve">Productivity Commission, </w:t>
      </w:r>
      <w:proofErr w:type="gramStart"/>
      <w:r>
        <w:rPr>
          <w:sz w:val="18"/>
          <w:szCs w:val="18"/>
        </w:rPr>
        <w:t>fn</w:t>
      </w:r>
      <w:proofErr w:type="gramEnd"/>
      <w:r>
        <w:rPr>
          <w:sz w:val="18"/>
          <w:szCs w:val="18"/>
        </w:rPr>
        <w:t xml:space="preserve"> 1, at page 513. </w:t>
      </w:r>
      <w:r w:rsidRPr="004F5031">
        <w:rPr>
          <w:sz w:val="18"/>
          <w:szCs w:val="18"/>
        </w:rPr>
        <w:t xml:space="preserve">For the purposes of this submission it has been assumed that the Commission believes </w:t>
      </w:r>
      <w:r>
        <w:rPr>
          <w:sz w:val="18"/>
          <w:szCs w:val="18"/>
        </w:rPr>
        <w:t xml:space="preserve">s 47(2) should be repealed </w:t>
      </w:r>
      <w:r w:rsidRPr="00897A44">
        <w:rPr>
          <w:i/>
          <w:sz w:val="18"/>
          <w:szCs w:val="18"/>
        </w:rPr>
        <w:t>only to the extent</w:t>
      </w:r>
      <w:r w:rsidRPr="004F5031">
        <w:rPr>
          <w:sz w:val="18"/>
          <w:szCs w:val="18"/>
        </w:rPr>
        <w:t xml:space="preserve"> that it currently applies to employer-provided childcare facilities, with the remainder of s 47(2) left in place.</w:t>
      </w:r>
    </w:p>
  </w:footnote>
  <w:footnote w:id="4">
    <w:p w:rsidR="00632BCD" w:rsidRPr="00897A44" w:rsidRDefault="00632BCD" w:rsidP="00897A44">
      <w:pPr>
        <w:pStyle w:val="FootnoteText"/>
        <w:spacing w:after="0" w:line="240" w:lineRule="auto"/>
        <w:rPr>
          <w:sz w:val="18"/>
          <w:szCs w:val="18"/>
        </w:rPr>
      </w:pPr>
      <w:r w:rsidRPr="00897A44">
        <w:rPr>
          <w:rStyle w:val="FootnoteReference"/>
          <w:sz w:val="18"/>
          <w:szCs w:val="18"/>
        </w:rPr>
        <w:footnoteRef/>
      </w:r>
      <w:r w:rsidRPr="00897A44">
        <w:rPr>
          <w:sz w:val="18"/>
          <w:szCs w:val="18"/>
        </w:rPr>
        <w:t xml:space="preserve"> Productivity Commission, </w:t>
      </w:r>
      <w:proofErr w:type="gramStart"/>
      <w:r w:rsidRPr="00897A44">
        <w:rPr>
          <w:sz w:val="18"/>
          <w:szCs w:val="18"/>
        </w:rPr>
        <w:t>fn</w:t>
      </w:r>
      <w:proofErr w:type="gramEnd"/>
      <w:r w:rsidRPr="00897A44">
        <w:rPr>
          <w:sz w:val="18"/>
          <w:szCs w:val="18"/>
        </w:rPr>
        <w:t xml:space="preserve"> 1, at page 512.</w:t>
      </w:r>
    </w:p>
  </w:footnote>
  <w:footnote w:id="5">
    <w:p w:rsidR="00632BCD" w:rsidRPr="00ED2D06" w:rsidRDefault="00632BCD" w:rsidP="00ED2D06">
      <w:pPr>
        <w:pStyle w:val="FootnoteText"/>
        <w:spacing w:after="0" w:line="240" w:lineRule="auto"/>
        <w:rPr>
          <w:sz w:val="18"/>
          <w:szCs w:val="18"/>
        </w:rPr>
      </w:pPr>
      <w:r w:rsidRPr="00ED2D06">
        <w:rPr>
          <w:rStyle w:val="FootnoteReference"/>
          <w:sz w:val="18"/>
          <w:szCs w:val="18"/>
        </w:rPr>
        <w:footnoteRef/>
      </w:r>
      <w:r w:rsidRPr="00ED2D06">
        <w:rPr>
          <w:sz w:val="18"/>
          <w:szCs w:val="18"/>
        </w:rPr>
        <w:t xml:space="preserve"> </w:t>
      </w:r>
      <w:r w:rsidRPr="00ED2D06">
        <w:rPr>
          <w:i/>
          <w:sz w:val="18"/>
          <w:szCs w:val="18"/>
        </w:rPr>
        <w:t>Section 23L, Income Tax Assessment Act 1936</w:t>
      </w:r>
      <w:r w:rsidRPr="00ED2D06">
        <w:rPr>
          <w:sz w:val="18"/>
          <w:szCs w:val="18"/>
        </w:rPr>
        <w:t>.</w:t>
      </w:r>
    </w:p>
  </w:footnote>
  <w:footnote w:id="6">
    <w:p w:rsidR="00632BCD" w:rsidRPr="00ED2D06" w:rsidRDefault="00632BCD" w:rsidP="00ED2D06">
      <w:pPr>
        <w:pStyle w:val="FootnoteText"/>
        <w:spacing w:after="0" w:line="240" w:lineRule="auto"/>
        <w:rPr>
          <w:sz w:val="18"/>
          <w:szCs w:val="18"/>
        </w:rPr>
      </w:pPr>
      <w:r w:rsidRPr="00ED2D06">
        <w:rPr>
          <w:rStyle w:val="FootnoteReference"/>
          <w:sz w:val="18"/>
          <w:szCs w:val="18"/>
        </w:rPr>
        <w:footnoteRef/>
      </w:r>
      <w:r w:rsidRPr="00ED2D06">
        <w:rPr>
          <w:sz w:val="18"/>
          <w:szCs w:val="18"/>
        </w:rPr>
        <w:t xml:space="preserve"> See, for example, Productivity Commission, </w:t>
      </w:r>
      <w:proofErr w:type="gramStart"/>
      <w:r w:rsidRPr="00ED2D06">
        <w:rPr>
          <w:sz w:val="18"/>
          <w:szCs w:val="18"/>
        </w:rPr>
        <w:t>fn</w:t>
      </w:r>
      <w:proofErr w:type="gramEnd"/>
      <w:r w:rsidRPr="00ED2D06">
        <w:rPr>
          <w:sz w:val="18"/>
          <w:szCs w:val="18"/>
        </w:rPr>
        <w:t xml:space="preserve"> 1, at page 513: “Any move to make the funding system less generous to higher income workers would be likely to lead to an expanded use of [s 47(2)].”</w:t>
      </w:r>
    </w:p>
  </w:footnote>
  <w:footnote w:id="7">
    <w:p w:rsidR="00632BCD" w:rsidRPr="008F4335" w:rsidRDefault="00632BCD" w:rsidP="008F4335">
      <w:pPr>
        <w:pStyle w:val="FootnoteText"/>
        <w:spacing w:after="0" w:line="240" w:lineRule="auto"/>
        <w:rPr>
          <w:sz w:val="18"/>
          <w:szCs w:val="18"/>
        </w:rPr>
      </w:pPr>
      <w:r w:rsidRPr="008F4335">
        <w:rPr>
          <w:rStyle w:val="FootnoteReference"/>
          <w:sz w:val="18"/>
          <w:szCs w:val="18"/>
        </w:rPr>
        <w:footnoteRef/>
      </w:r>
      <w:r w:rsidRPr="008F4335">
        <w:rPr>
          <w:sz w:val="18"/>
          <w:szCs w:val="18"/>
        </w:rPr>
        <w:t xml:space="preserve"> Productivit</w:t>
      </w:r>
      <w:r>
        <w:rPr>
          <w:sz w:val="18"/>
          <w:szCs w:val="18"/>
        </w:rPr>
        <w:t xml:space="preserve">y Commission, </w:t>
      </w:r>
      <w:proofErr w:type="gramStart"/>
      <w:r>
        <w:rPr>
          <w:sz w:val="18"/>
          <w:szCs w:val="18"/>
        </w:rPr>
        <w:t>fn</w:t>
      </w:r>
      <w:proofErr w:type="gramEnd"/>
      <w:r>
        <w:rPr>
          <w:sz w:val="18"/>
          <w:szCs w:val="18"/>
        </w:rPr>
        <w:t xml:space="preserve"> 1, at page 513.</w:t>
      </w:r>
    </w:p>
  </w:footnote>
  <w:footnote w:id="8">
    <w:p w:rsidR="00632BCD" w:rsidRPr="009B25AA" w:rsidRDefault="00632BCD" w:rsidP="009B25AA">
      <w:pPr>
        <w:pStyle w:val="FootnoteText"/>
        <w:spacing w:after="0" w:line="240" w:lineRule="auto"/>
        <w:rPr>
          <w:sz w:val="18"/>
          <w:szCs w:val="18"/>
        </w:rPr>
      </w:pPr>
      <w:r w:rsidRPr="009B25AA">
        <w:rPr>
          <w:rStyle w:val="FootnoteReference"/>
          <w:sz w:val="18"/>
          <w:szCs w:val="18"/>
        </w:rPr>
        <w:footnoteRef/>
      </w:r>
      <w:r w:rsidRPr="009B25AA">
        <w:rPr>
          <w:sz w:val="18"/>
          <w:szCs w:val="18"/>
        </w:rPr>
        <w:t xml:space="preserve"> See, for example, Private Rulings Nos. 15730 and 64114.</w:t>
      </w:r>
    </w:p>
  </w:footnote>
  <w:footnote w:id="9">
    <w:p w:rsidR="00632BCD" w:rsidRPr="008F4335" w:rsidRDefault="00632BCD" w:rsidP="009B25AA">
      <w:pPr>
        <w:pStyle w:val="FootnoteText"/>
        <w:spacing w:after="0" w:line="240" w:lineRule="auto"/>
        <w:rPr>
          <w:sz w:val="18"/>
          <w:szCs w:val="18"/>
        </w:rPr>
      </w:pPr>
      <w:r w:rsidRPr="008F4335">
        <w:rPr>
          <w:rStyle w:val="FootnoteReference"/>
          <w:sz w:val="18"/>
          <w:szCs w:val="18"/>
        </w:rPr>
        <w:footnoteRef/>
      </w:r>
      <w:r w:rsidRPr="008F4335">
        <w:rPr>
          <w:sz w:val="18"/>
          <w:szCs w:val="18"/>
        </w:rPr>
        <w:t xml:space="preserve"> Productivity Commission, </w:t>
      </w:r>
      <w:proofErr w:type="gramStart"/>
      <w:r w:rsidRPr="008F4335">
        <w:rPr>
          <w:sz w:val="18"/>
          <w:szCs w:val="18"/>
        </w:rPr>
        <w:t>fn</w:t>
      </w:r>
      <w:proofErr w:type="gramEnd"/>
      <w:r w:rsidRPr="008F4335">
        <w:rPr>
          <w:sz w:val="18"/>
          <w:szCs w:val="18"/>
        </w:rPr>
        <w:t xml:space="preserve"> 1, at page 513.</w:t>
      </w:r>
    </w:p>
  </w:footnote>
  <w:footnote w:id="10">
    <w:p w:rsidR="00632BCD" w:rsidRPr="004D75BA" w:rsidRDefault="00632BCD" w:rsidP="004D75BA">
      <w:pPr>
        <w:pStyle w:val="FootnoteText"/>
        <w:spacing w:after="0" w:line="240" w:lineRule="auto"/>
        <w:rPr>
          <w:sz w:val="18"/>
          <w:szCs w:val="18"/>
        </w:rPr>
      </w:pPr>
      <w:r w:rsidRPr="004D75BA">
        <w:rPr>
          <w:rStyle w:val="FootnoteReference"/>
          <w:sz w:val="18"/>
          <w:szCs w:val="18"/>
        </w:rPr>
        <w:footnoteRef/>
      </w:r>
      <w:r w:rsidRPr="004D75BA">
        <w:rPr>
          <w:sz w:val="18"/>
          <w:szCs w:val="18"/>
        </w:rPr>
        <w:t xml:space="preserve"> </w:t>
      </w:r>
      <w:proofErr w:type="gramStart"/>
      <w:r w:rsidRPr="004D75BA">
        <w:rPr>
          <w:i/>
          <w:sz w:val="18"/>
          <w:szCs w:val="18"/>
        </w:rPr>
        <w:t>Esso Australia Ltd v FCT</w:t>
      </w:r>
      <w:r w:rsidRPr="004D75BA">
        <w:rPr>
          <w:sz w:val="18"/>
          <w:szCs w:val="18"/>
        </w:rPr>
        <w:t xml:space="preserve"> [1998] FCA 1253.</w:t>
      </w:r>
      <w:proofErr w:type="gramEnd"/>
      <w:r w:rsidRPr="004D75BA">
        <w:rPr>
          <w:sz w:val="18"/>
          <w:szCs w:val="18"/>
        </w:rPr>
        <w:t xml:space="preserve"> Merkel J stated: “Common sense would dictate that in many instances basic requirements for child care facilities may be such that it is inappropriate for the facilities to be located upon the same premises where the other business operations of an employer are conducted.”</w:t>
      </w:r>
    </w:p>
  </w:footnote>
  <w:footnote w:id="11">
    <w:p w:rsidR="00632BCD" w:rsidRPr="007B3FF9" w:rsidRDefault="00632BCD" w:rsidP="003D24F4">
      <w:pPr>
        <w:pStyle w:val="FootnoteText"/>
        <w:spacing w:after="0" w:line="240" w:lineRule="auto"/>
        <w:rPr>
          <w:sz w:val="18"/>
          <w:szCs w:val="18"/>
        </w:rPr>
      </w:pPr>
      <w:r w:rsidRPr="007B3FF9">
        <w:rPr>
          <w:rStyle w:val="FootnoteReference"/>
          <w:sz w:val="18"/>
          <w:szCs w:val="18"/>
        </w:rPr>
        <w:footnoteRef/>
      </w:r>
      <w:r w:rsidRPr="007B3FF9">
        <w:rPr>
          <w:sz w:val="18"/>
          <w:szCs w:val="18"/>
        </w:rPr>
        <w:t xml:space="preserve"> </w:t>
      </w:r>
      <w:r>
        <w:rPr>
          <w:sz w:val="18"/>
          <w:szCs w:val="18"/>
        </w:rPr>
        <w:t>See, for example, Private Rulings Nos. 26780, 40870, 54253, 58801, and 65809.</w:t>
      </w:r>
    </w:p>
  </w:footnote>
  <w:footnote w:id="12">
    <w:p w:rsidR="00632BCD" w:rsidRPr="00EA2BFC" w:rsidRDefault="00632BCD" w:rsidP="003D24F4">
      <w:pPr>
        <w:pStyle w:val="FootnoteText"/>
        <w:spacing w:after="0" w:line="240" w:lineRule="auto"/>
        <w:rPr>
          <w:sz w:val="18"/>
          <w:szCs w:val="18"/>
        </w:rPr>
      </w:pPr>
      <w:r w:rsidRPr="00EA2BFC">
        <w:rPr>
          <w:rStyle w:val="FootnoteReference"/>
          <w:sz w:val="18"/>
          <w:szCs w:val="18"/>
        </w:rPr>
        <w:footnoteRef/>
      </w:r>
      <w:r w:rsidRPr="00EA2BFC">
        <w:rPr>
          <w:sz w:val="18"/>
          <w:szCs w:val="18"/>
        </w:rPr>
        <w:t xml:space="preserve"> </w:t>
      </w:r>
      <w:r w:rsidRPr="00B43D5D">
        <w:rPr>
          <w:sz w:val="18"/>
          <w:szCs w:val="18"/>
        </w:rPr>
        <w:t>Commissioner of Taxation</w:t>
      </w:r>
      <w:r>
        <w:rPr>
          <w:sz w:val="18"/>
          <w:szCs w:val="18"/>
        </w:rPr>
        <w:t xml:space="preserve">, </w:t>
      </w:r>
      <w:r w:rsidRPr="00B43D5D">
        <w:rPr>
          <w:i/>
          <w:sz w:val="18"/>
          <w:szCs w:val="18"/>
        </w:rPr>
        <w:t>Taxation Ruling TR 2000/4: Fringe benefits tax: meaning of ‘business premises’</w:t>
      </w:r>
      <w:r>
        <w:rPr>
          <w:sz w:val="18"/>
          <w:szCs w:val="18"/>
        </w:rPr>
        <w:t>, Canberra, 1 March 2000, See, for example, paras 55-60 and 70.</w:t>
      </w:r>
    </w:p>
  </w:footnote>
  <w:footnote w:id="13">
    <w:p w:rsidR="00632BCD" w:rsidRPr="0092779E" w:rsidRDefault="00632BCD" w:rsidP="004D75BA">
      <w:pPr>
        <w:pStyle w:val="FootnoteText"/>
        <w:spacing w:after="0" w:line="240" w:lineRule="auto"/>
        <w:rPr>
          <w:sz w:val="18"/>
          <w:szCs w:val="18"/>
        </w:rPr>
      </w:pPr>
      <w:r w:rsidRPr="0092779E">
        <w:rPr>
          <w:rStyle w:val="FootnoteReference"/>
          <w:sz w:val="18"/>
          <w:szCs w:val="18"/>
        </w:rPr>
        <w:footnoteRef/>
      </w:r>
      <w:r w:rsidRPr="0092779E">
        <w:rPr>
          <w:sz w:val="18"/>
          <w:szCs w:val="18"/>
        </w:rPr>
        <w:t xml:space="preserve"> </w:t>
      </w:r>
      <w:r w:rsidRPr="00BA3BE4">
        <w:rPr>
          <w:sz w:val="18"/>
          <w:szCs w:val="18"/>
        </w:rPr>
        <w:t>P</w:t>
      </w:r>
      <w:r>
        <w:rPr>
          <w:sz w:val="18"/>
          <w:szCs w:val="18"/>
        </w:rPr>
        <w:t xml:space="preserve">arliament of the Commonwealth of Australia, House of Representatives Standing Committee on Family and Human Services, </w:t>
      </w:r>
      <w:r w:rsidRPr="008D1E9E">
        <w:rPr>
          <w:i/>
          <w:sz w:val="18"/>
          <w:szCs w:val="18"/>
        </w:rPr>
        <w:t>Balancing Work and Family – Report on the Inquiry into balancing work and family</w:t>
      </w:r>
      <w:r>
        <w:rPr>
          <w:sz w:val="18"/>
          <w:szCs w:val="18"/>
        </w:rPr>
        <w:t xml:space="preserve">, Canberra, December 2016, at p 83, para [3.48]. </w:t>
      </w:r>
    </w:p>
  </w:footnote>
  <w:footnote w:id="14">
    <w:p w:rsidR="00632BCD" w:rsidRPr="00DC21B5" w:rsidRDefault="00632BCD" w:rsidP="00DC21B5">
      <w:pPr>
        <w:pStyle w:val="FootnoteText"/>
        <w:spacing w:after="0" w:line="240" w:lineRule="auto"/>
        <w:rPr>
          <w:sz w:val="18"/>
          <w:szCs w:val="18"/>
        </w:rPr>
      </w:pPr>
      <w:r w:rsidRPr="00DC21B5">
        <w:rPr>
          <w:rStyle w:val="FootnoteReference"/>
          <w:sz w:val="18"/>
          <w:szCs w:val="18"/>
        </w:rPr>
        <w:footnoteRef/>
      </w:r>
      <w:r w:rsidRPr="00DC21B5">
        <w:rPr>
          <w:sz w:val="18"/>
          <w:szCs w:val="18"/>
        </w:rPr>
        <w:t xml:space="preserve"> </w:t>
      </w:r>
      <w:proofErr w:type="gramStart"/>
      <w:r w:rsidRPr="00DC21B5">
        <w:rPr>
          <w:sz w:val="18"/>
          <w:szCs w:val="18"/>
        </w:rPr>
        <w:t xml:space="preserve">The Treasury, </w:t>
      </w:r>
      <w:r w:rsidRPr="00DC21B5">
        <w:rPr>
          <w:i/>
          <w:sz w:val="18"/>
          <w:szCs w:val="18"/>
        </w:rPr>
        <w:t>Tax Expenditures Statement 2013</w:t>
      </w:r>
      <w:r w:rsidRPr="00DC21B5">
        <w:rPr>
          <w:sz w:val="18"/>
          <w:szCs w:val="18"/>
        </w:rPr>
        <w:t>, January 2014, Canberra, at page 124.</w:t>
      </w:r>
      <w:proofErr w:type="gramEnd"/>
    </w:p>
  </w:footnote>
  <w:footnote w:id="15">
    <w:p w:rsidR="00632BCD" w:rsidRPr="00B34F71" w:rsidRDefault="00632BCD" w:rsidP="00DC21B5">
      <w:pPr>
        <w:pStyle w:val="FootnoteText"/>
        <w:spacing w:after="0" w:line="240" w:lineRule="auto"/>
        <w:rPr>
          <w:sz w:val="18"/>
          <w:szCs w:val="18"/>
        </w:rPr>
      </w:pPr>
      <w:r w:rsidRPr="00B34F71">
        <w:rPr>
          <w:rStyle w:val="FootnoteReference"/>
          <w:sz w:val="18"/>
          <w:szCs w:val="18"/>
        </w:rPr>
        <w:footnoteRef/>
      </w:r>
      <w:r w:rsidRPr="00B34F71">
        <w:rPr>
          <w:sz w:val="18"/>
          <w:szCs w:val="18"/>
        </w:rPr>
        <w:t xml:space="preserve"> </w:t>
      </w:r>
      <w:r>
        <w:rPr>
          <w:sz w:val="18"/>
          <w:szCs w:val="18"/>
        </w:rPr>
        <w:t xml:space="preserve">Commissioner of Taxation, </w:t>
      </w:r>
      <w:r w:rsidRPr="002E3B27">
        <w:rPr>
          <w:i/>
          <w:sz w:val="18"/>
          <w:szCs w:val="18"/>
        </w:rPr>
        <w:t>ATO Interpretative Decision ATO ID 2012/58: Fringe Benefits Tax: Exempt Benefits: priority of access to a child care service</w:t>
      </w:r>
      <w:r>
        <w:rPr>
          <w:sz w:val="18"/>
          <w:szCs w:val="18"/>
        </w:rPr>
        <w:t xml:space="preserve">, Canberra, 20 June 2012. As per </w:t>
      </w:r>
      <w:proofErr w:type="spellStart"/>
      <w:r>
        <w:rPr>
          <w:sz w:val="18"/>
          <w:szCs w:val="18"/>
        </w:rPr>
        <w:t>subparas</w:t>
      </w:r>
      <w:proofErr w:type="spellEnd"/>
      <w:r>
        <w:rPr>
          <w:sz w:val="18"/>
          <w:szCs w:val="18"/>
        </w:rPr>
        <w:t xml:space="preserve"> 47(8</w:t>
      </w:r>
      <w:proofErr w:type="gramStart"/>
      <w:r>
        <w:rPr>
          <w:sz w:val="18"/>
          <w:szCs w:val="18"/>
        </w:rPr>
        <w:t>)(</w:t>
      </w:r>
      <w:proofErr w:type="gramEnd"/>
      <w:r>
        <w:rPr>
          <w:sz w:val="18"/>
          <w:szCs w:val="18"/>
        </w:rPr>
        <w:t xml:space="preserve">a)(v)-(viii) of the FBT Act, the employer </w:t>
      </w:r>
      <w:r w:rsidRPr="009F6704">
        <w:rPr>
          <w:sz w:val="18"/>
          <w:szCs w:val="18"/>
        </w:rPr>
        <w:t xml:space="preserve">has to determine that the relevant childcare service had a certificate of approval issued pursuant to s 195 of the </w:t>
      </w:r>
      <w:r w:rsidRPr="009F6704">
        <w:rPr>
          <w:i/>
          <w:sz w:val="18"/>
          <w:szCs w:val="18"/>
        </w:rPr>
        <w:t>A New Tax System (Family Assistance) (Administration) Act 1999</w:t>
      </w:r>
      <w:r w:rsidRPr="009F6704">
        <w:rPr>
          <w:sz w:val="18"/>
          <w:szCs w:val="18"/>
        </w:rPr>
        <w:t xml:space="preserve"> that covered both the time of the employer’s contribution and the time that priority of access was granted to the employee’s child.</w:t>
      </w:r>
    </w:p>
  </w:footnote>
  <w:footnote w:id="16">
    <w:p w:rsidR="00632BCD" w:rsidRPr="00A924BB" w:rsidRDefault="00632BCD" w:rsidP="00D166B8">
      <w:pPr>
        <w:pStyle w:val="FootnoteText"/>
        <w:spacing w:after="0" w:line="240" w:lineRule="auto"/>
        <w:rPr>
          <w:sz w:val="18"/>
          <w:szCs w:val="18"/>
        </w:rPr>
      </w:pPr>
      <w:r w:rsidRPr="00A924BB">
        <w:rPr>
          <w:rStyle w:val="FootnoteReference"/>
          <w:sz w:val="18"/>
          <w:szCs w:val="18"/>
        </w:rPr>
        <w:footnoteRef/>
      </w:r>
      <w:r w:rsidRPr="00A924BB">
        <w:rPr>
          <w:sz w:val="18"/>
          <w:szCs w:val="18"/>
        </w:rPr>
        <w:t xml:space="preserve"> Productivity Commission, </w:t>
      </w:r>
      <w:proofErr w:type="gramStart"/>
      <w:r w:rsidRPr="00A924BB">
        <w:rPr>
          <w:sz w:val="18"/>
          <w:szCs w:val="18"/>
        </w:rPr>
        <w:t>fn</w:t>
      </w:r>
      <w:proofErr w:type="gramEnd"/>
      <w:r w:rsidRPr="00A924BB">
        <w:rPr>
          <w:sz w:val="18"/>
          <w:szCs w:val="18"/>
        </w:rPr>
        <w:t xml:space="preserve"> 1, at page 423.</w:t>
      </w:r>
    </w:p>
  </w:footnote>
  <w:footnote w:id="17">
    <w:p w:rsidR="00632BCD" w:rsidRPr="00B65DD6" w:rsidRDefault="00632BCD" w:rsidP="00D166B8">
      <w:pPr>
        <w:pStyle w:val="FootnoteText"/>
        <w:spacing w:after="0" w:line="240" w:lineRule="auto"/>
        <w:rPr>
          <w:sz w:val="18"/>
          <w:szCs w:val="18"/>
        </w:rPr>
      </w:pPr>
      <w:r w:rsidRPr="00B65DD6">
        <w:rPr>
          <w:rStyle w:val="FootnoteReference"/>
          <w:sz w:val="18"/>
          <w:szCs w:val="18"/>
        </w:rPr>
        <w:footnoteRef/>
      </w:r>
      <w:r>
        <w:rPr>
          <w:sz w:val="18"/>
          <w:szCs w:val="18"/>
        </w:rPr>
        <w:t xml:space="preserve"> Productivity C</w:t>
      </w:r>
      <w:r w:rsidRPr="00B65DD6">
        <w:rPr>
          <w:sz w:val="18"/>
          <w:szCs w:val="18"/>
        </w:rPr>
        <w:t xml:space="preserve">ommission, </w:t>
      </w:r>
      <w:proofErr w:type="gramStart"/>
      <w:r w:rsidRPr="00B65DD6">
        <w:rPr>
          <w:sz w:val="18"/>
          <w:szCs w:val="18"/>
        </w:rPr>
        <w:t>fn</w:t>
      </w:r>
      <w:proofErr w:type="gramEnd"/>
      <w:r w:rsidRPr="00B65DD6">
        <w:rPr>
          <w:sz w:val="18"/>
          <w:szCs w:val="18"/>
        </w:rPr>
        <w:t xml:space="preserve"> 1, at page 463.</w:t>
      </w:r>
    </w:p>
  </w:footnote>
  <w:footnote w:id="18">
    <w:p w:rsidR="00632BCD" w:rsidRPr="00A924BB" w:rsidRDefault="00632BCD" w:rsidP="00D166B8">
      <w:pPr>
        <w:pStyle w:val="FootnoteText"/>
        <w:spacing w:after="0" w:line="240" w:lineRule="auto"/>
        <w:rPr>
          <w:sz w:val="18"/>
          <w:szCs w:val="18"/>
        </w:rPr>
      </w:pPr>
      <w:r w:rsidRPr="00A924BB">
        <w:rPr>
          <w:rStyle w:val="FootnoteReference"/>
          <w:sz w:val="18"/>
          <w:szCs w:val="18"/>
        </w:rPr>
        <w:footnoteRef/>
      </w:r>
      <w:r w:rsidRPr="00A924BB">
        <w:rPr>
          <w:sz w:val="18"/>
          <w:szCs w:val="18"/>
        </w:rPr>
        <w:t xml:space="preserve"> Productivity Commission, </w:t>
      </w:r>
      <w:proofErr w:type="gramStart"/>
      <w:r w:rsidRPr="00A924BB">
        <w:rPr>
          <w:sz w:val="18"/>
          <w:szCs w:val="18"/>
        </w:rPr>
        <w:t>fn</w:t>
      </w:r>
      <w:proofErr w:type="gramEnd"/>
      <w:r w:rsidRPr="00A924BB">
        <w:rPr>
          <w:sz w:val="18"/>
          <w:szCs w:val="18"/>
        </w:rPr>
        <w:t xml:space="preserve"> </w:t>
      </w:r>
      <w:r>
        <w:rPr>
          <w:sz w:val="18"/>
          <w:szCs w:val="18"/>
        </w:rPr>
        <w:t>1</w:t>
      </w:r>
      <w:r w:rsidRPr="00A924BB">
        <w:rPr>
          <w:sz w:val="18"/>
          <w:szCs w:val="18"/>
        </w:rPr>
        <w:t>, at page 463.</w:t>
      </w:r>
    </w:p>
  </w:footnote>
  <w:footnote w:id="19">
    <w:p w:rsidR="00632BCD" w:rsidRPr="00A924BB" w:rsidRDefault="00632BCD" w:rsidP="00D166B8">
      <w:pPr>
        <w:pStyle w:val="FootnoteText"/>
        <w:spacing w:after="0" w:line="240" w:lineRule="auto"/>
        <w:rPr>
          <w:sz w:val="18"/>
          <w:szCs w:val="18"/>
        </w:rPr>
      </w:pPr>
      <w:r w:rsidRPr="00A924BB">
        <w:rPr>
          <w:rStyle w:val="FootnoteReference"/>
          <w:sz w:val="18"/>
          <w:szCs w:val="18"/>
        </w:rPr>
        <w:footnoteRef/>
      </w:r>
      <w:r w:rsidRPr="00A924BB">
        <w:rPr>
          <w:sz w:val="18"/>
          <w:szCs w:val="18"/>
        </w:rPr>
        <w:t xml:space="preserve"> Productivity Commission, </w:t>
      </w:r>
      <w:proofErr w:type="gramStart"/>
      <w:r w:rsidRPr="00A924BB">
        <w:rPr>
          <w:sz w:val="18"/>
          <w:szCs w:val="18"/>
        </w:rPr>
        <w:t>fn</w:t>
      </w:r>
      <w:proofErr w:type="gramEnd"/>
      <w:r w:rsidRPr="00A924BB">
        <w:rPr>
          <w:sz w:val="18"/>
          <w:szCs w:val="18"/>
        </w:rPr>
        <w:t xml:space="preserve"> 1, at page 441.</w:t>
      </w:r>
    </w:p>
  </w:footnote>
  <w:footnote w:id="20">
    <w:p w:rsidR="00632BCD" w:rsidRPr="00A924BB" w:rsidRDefault="00632BCD" w:rsidP="00D166B8">
      <w:pPr>
        <w:pStyle w:val="FootnoteText"/>
        <w:spacing w:after="0" w:line="240" w:lineRule="auto"/>
        <w:rPr>
          <w:sz w:val="18"/>
          <w:szCs w:val="18"/>
        </w:rPr>
      </w:pPr>
      <w:r w:rsidRPr="00A924BB">
        <w:rPr>
          <w:rStyle w:val="FootnoteReference"/>
          <w:sz w:val="18"/>
          <w:szCs w:val="18"/>
        </w:rPr>
        <w:footnoteRef/>
      </w:r>
      <w:r w:rsidRPr="00A924BB">
        <w:rPr>
          <w:sz w:val="18"/>
          <w:szCs w:val="18"/>
        </w:rPr>
        <w:t xml:space="preserve"> </w:t>
      </w:r>
      <w:proofErr w:type="spellStart"/>
      <w:proofErr w:type="gramStart"/>
      <w:r w:rsidRPr="00A924BB">
        <w:rPr>
          <w:sz w:val="18"/>
          <w:szCs w:val="18"/>
        </w:rPr>
        <w:t>Arna</w:t>
      </w:r>
      <w:proofErr w:type="spellEnd"/>
      <w:r w:rsidRPr="00A924BB">
        <w:rPr>
          <w:sz w:val="18"/>
          <w:szCs w:val="18"/>
        </w:rPr>
        <w:t xml:space="preserve"> Richardson, </w:t>
      </w:r>
      <w:r w:rsidRPr="00A924BB">
        <w:rPr>
          <w:i/>
          <w:sz w:val="18"/>
          <w:szCs w:val="18"/>
        </w:rPr>
        <w:t>Child Care Services in Australia</w:t>
      </w:r>
      <w:r w:rsidRPr="00A924BB">
        <w:rPr>
          <w:sz w:val="18"/>
          <w:szCs w:val="18"/>
        </w:rPr>
        <w:t xml:space="preserve">, </w:t>
      </w:r>
      <w:proofErr w:type="spellStart"/>
      <w:r w:rsidRPr="00A924BB">
        <w:rPr>
          <w:sz w:val="18"/>
          <w:szCs w:val="18"/>
        </w:rPr>
        <w:t>IBISWorld</w:t>
      </w:r>
      <w:proofErr w:type="spellEnd"/>
      <w:r w:rsidRPr="00A924BB">
        <w:rPr>
          <w:sz w:val="18"/>
          <w:szCs w:val="18"/>
        </w:rPr>
        <w:t xml:space="preserve"> Industry Report Q8710, June 2014, at page 23.</w:t>
      </w:r>
      <w:proofErr w:type="gramEnd"/>
    </w:p>
  </w:footnote>
  <w:footnote w:id="21">
    <w:p w:rsidR="00632BCD" w:rsidRPr="00A924BB" w:rsidRDefault="00632BCD" w:rsidP="00D166B8">
      <w:pPr>
        <w:pStyle w:val="FootnoteText"/>
        <w:spacing w:after="0" w:line="240" w:lineRule="auto"/>
        <w:rPr>
          <w:sz w:val="18"/>
          <w:szCs w:val="18"/>
        </w:rPr>
      </w:pPr>
      <w:r w:rsidRPr="00A924BB">
        <w:rPr>
          <w:rStyle w:val="FootnoteReference"/>
          <w:sz w:val="18"/>
          <w:szCs w:val="18"/>
        </w:rPr>
        <w:footnoteRef/>
      </w:r>
      <w:r w:rsidR="00F90F27">
        <w:rPr>
          <w:sz w:val="18"/>
          <w:szCs w:val="18"/>
        </w:rPr>
        <w:t xml:space="preserve"> </w:t>
      </w:r>
      <w:proofErr w:type="spellStart"/>
      <w:r w:rsidR="00F90F27">
        <w:rPr>
          <w:sz w:val="18"/>
          <w:szCs w:val="18"/>
        </w:rPr>
        <w:t>Arna</w:t>
      </w:r>
      <w:proofErr w:type="spellEnd"/>
      <w:r w:rsidR="00F90F27">
        <w:rPr>
          <w:sz w:val="18"/>
          <w:szCs w:val="18"/>
        </w:rPr>
        <w:t xml:space="preserve"> Richardson, </w:t>
      </w:r>
      <w:proofErr w:type="spellStart"/>
      <w:proofErr w:type="gramStart"/>
      <w:r w:rsidR="00F90F27">
        <w:rPr>
          <w:sz w:val="18"/>
          <w:szCs w:val="18"/>
        </w:rPr>
        <w:t>fn</w:t>
      </w:r>
      <w:proofErr w:type="spellEnd"/>
      <w:proofErr w:type="gramEnd"/>
      <w:r w:rsidR="00F90F27">
        <w:rPr>
          <w:sz w:val="18"/>
          <w:szCs w:val="18"/>
        </w:rPr>
        <w:t xml:space="preserve"> 20</w:t>
      </w:r>
      <w:r w:rsidRPr="00A924BB">
        <w:rPr>
          <w:sz w:val="18"/>
          <w:szCs w:val="18"/>
        </w:rPr>
        <w:t>, at page 25.</w:t>
      </w:r>
    </w:p>
  </w:footnote>
  <w:footnote w:id="22">
    <w:p w:rsidR="00632BCD" w:rsidRPr="00475805" w:rsidRDefault="00632BCD" w:rsidP="00D166B8">
      <w:pPr>
        <w:pStyle w:val="FootnoteText"/>
        <w:spacing w:after="0" w:line="240" w:lineRule="auto"/>
        <w:rPr>
          <w:sz w:val="18"/>
          <w:szCs w:val="18"/>
        </w:rPr>
      </w:pPr>
      <w:r w:rsidRPr="00475805">
        <w:rPr>
          <w:rStyle w:val="FootnoteReference"/>
          <w:sz w:val="18"/>
          <w:szCs w:val="18"/>
        </w:rPr>
        <w:footnoteRef/>
      </w:r>
      <w:r w:rsidR="00F90F27">
        <w:rPr>
          <w:sz w:val="18"/>
          <w:szCs w:val="18"/>
        </w:rPr>
        <w:t xml:space="preserve"> </w:t>
      </w:r>
      <w:proofErr w:type="spellStart"/>
      <w:r w:rsidR="00F90F27">
        <w:rPr>
          <w:sz w:val="18"/>
          <w:szCs w:val="18"/>
        </w:rPr>
        <w:t>Arna</w:t>
      </w:r>
      <w:proofErr w:type="spellEnd"/>
      <w:r w:rsidR="00F90F27">
        <w:rPr>
          <w:sz w:val="18"/>
          <w:szCs w:val="18"/>
        </w:rPr>
        <w:t xml:space="preserve"> Richardson, </w:t>
      </w:r>
      <w:proofErr w:type="spellStart"/>
      <w:proofErr w:type="gramStart"/>
      <w:r w:rsidR="00F90F27">
        <w:rPr>
          <w:sz w:val="18"/>
          <w:szCs w:val="18"/>
        </w:rPr>
        <w:t>fn</w:t>
      </w:r>
      <w:proofErr w:type="spellEnd"/>
      <w:proofErr w:type="gramEnd"/>
      <w:r w:rsidR="00F90F27">
        <w:rPr>
          <w:sz w:val="18"/>
          <w:szCs w:val="18"/>
        </w:rPr>
        <w:t xml:space="preserve"> 20</w:t>
      </w:r>
      <w:r w:rsidRPr="00475805">
        <w:rPr>
          <w:sz w:val="18"/>
          <w:szCs w:val="18"/>
        </w:rPr>
        <w:t>, at page 20.</w:t>
      </w:r>
    </w:p>
  </w:footnote>
  <w:footnote w:id="23">
    <w:p w:rsidR="00632BCD" w:rsidRPr="00475805" w:rsidRDefault="00632BCD" w:rsidP="00D166B8">
      <w:pPr>
        <w:pStyle w:val="FootnoteText"/>
        <w:spacing w:after="0" w:line="240" w:lineRule="auto"/>
        <w:rPr>
          <w:sz w:val="18"/>
          <w:szCs w:val="18"/>
        </w:rPr>
      </w:pPr>
      <w:r w:rsidRPr="00475805">
        <w:rPr>
          <w:rStyle w:val="FootnoteReference"/>
          <w:sz w:val="18"/>
          <w:szCs w:val="18"/>
        </w:rPr>
        <w:footnoteRef/>
      </w:r>
      <w:r w:rsidRPr="00475805">
        <w:rPr>
          <w:sz w:val="18"/>
          <w:szCs w:val="18"/>
        </w:rPr>
        <w:t xml:space="preserve"> Productivity Commission, </w:t>
      </w:r>
      <w:proofErr w:type="gramStart"/>
      <w:r w:rsidRPr="00475805">
        <w:rPr>
          <w:sz w:val="18"/>
          <w:szCs w:val="18"/>
        </w:rPr>
        <w:t>fn</w:t>
      </w:r>
      <w:proofErr w:type="gramEnd"/>
      <w:r w:rsidRPr="00475805">
        <w:rPr>
          <w:sz w:val="18"/>
          <w:szCs w:val="18"/>
        </w:rPr>
        <w:t xml:space="preserve"> 1, at page 431.</w:t>
      </w:r>
    </w:p>
  </w:footnote>
  <w:footnote w:id="24">
    <w:p w:rsidR="00632BCD" w:rsidRPr="00475805" w:rsidRDefault="00632BCD" w:rsidP="00D166B8">
      <w:pPr>
        <w:pStyle w:val="FootnoteText"/>
        <w:spacing w:after="0" w:line="240" w:lineRule="auto"/>
        <w:rPr>
          <w:sz w:val="18"/>
          <w:szCs w:val="18"/>
        </w:rPr>
      </w:pPr>
      <w:r w:rsidRPr="00475805">
        <w:rPr>
          <w:rStyle w:val="FootnoteReference"/>
          <w:sz w:val="18"/>
          <w:szCs w:val="18"/>
        </w:rPr>
        <w:footnoteRef/>
      </w:r>
      <w:r w:rsidRPr="00475805">
        <w:rPr>
          <w:sz w:val="18"/>
          <w:szCs w:val="18"/>
        </w:rPr>
        <w:t xml:space="preserve"> Productivity Commission, </w:t>
      </w:r>
      <w:proofErr w:type="gramStart"/>
      <w:r w:rsidRPr="00475805">
        <w:rPr>
          <w:sz w:val="18"/>
          <w:szCs w:val="18"/>
        </w:rPr>
        <w:t>fn</w:t>
      </w:r>
      <w:proofErr w:type="gramEnd"/>
      <w:r w:rsidRPr="00475805">
        <w:rPr>
          <w:sz w:val="18"/>
          <w:szCs w:val="18"/>
        </w:rPr>
        <w:t xml:space="preserve"> 1, at page 435.</w:t>
      </w:r>
    </w:p>
  </w:footnote>
  <w:footnote w:id="25">
    <w:p w:rsidR="00632BCD" w:rsidRPr="008C519C" w:rsidRDefault="00632BCD" w:rsidP="00D166B8">
      <w:pPr>
        <w:pStyle w:val="FootnoteText"/>
        <w:spacing w:after="0" w:line="240" w:lineRule="auto"/>
        <w:rPr>
          <w:sz w:val="18"/>
          <w:szCs w:val="18"/>
        </w:rPr>
      </w:pPr>
      <w:r w:rsidRPr="008C519C">
        <w:rPr>
          <w:rStyle w:val="FootnoteReference"/>
          <w:sz w:val="18"/>
          <w:szCs w:val="18"/>
        </w:rPr>
        <w:footnoteRef/>
      </w:r>
      <w:r w:rsidRPr="008C519C">
        <w:rPr>
          <w:sz w:val="18"/>
          <w:szCs w:val="18"/>
        </w:rPr>
        <w:t xml:space="preserve"> Productivity Commission, </w:t>
      </w:r>
      <w:r w:rsidRPr="008C519C">
        <w:rPr>
          <w:i/>
          <w:sz w:val="18"/>
          <w:szCs w:val="18"/>
        </w:rPr>
        <w:t>Contribution of the Not-for-Profit Sector</w:t>
      </w:r>
      <w:r w:rsidRPr="008C519C">
        <w:rPr>
          <w:sz w:val="18"/>
          <w:szCs w:val="18"/>
        </w:rPr>
        <w:t>, Research Report, January 2010, Canberra, at page 185.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042"/>
    <w:multiLevelType w:val="hybridMultilevel"/>
    <w:tmpl w:val="39FA75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50055D"/>
    <w:multiLevelType w:val="hybridMultilevel"/>
    <w:tmpl w:val="4EEC2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117F6E"/>
    <w:multiLevelType w:val="hybridMultilevel"/>
    <w:tmpl w:val="F360404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0CB5387B"/>
    <w:multiLevelType w:val="hybridMultilevel"/>
    <w:tmpl w:val="FA1E0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BE0559"/>
    <w:multiLevelType w:val="hybridMultilevel"/>
    <w:tmpl w:val="9A2C1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15100B"/>
    <w:multiLevelType w:val="hybridMultilevel"/>
    <w:tmpl w:val="029ED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925A3D"/>
    <w:multiLevelType w:val="hybridMultilevel"/>
    <w:tmpl w:val="60C87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A47A20"/>
    <w:multiLevelType w:val="hybridMultilevel"/>
    <w:tmpl w:val="E774E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BC574B"/>
    <w:multiLevelType w:val="hybridMultilevel"/>
    <w:tmpl w:val="31C22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DF586E"/>
    <w:multiLevelType w:val="hybridMultilevel"/>
    <w:tmpl w:val="24BA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B96C55"/>
    <w:multiLevelType w:val="multilevel"/>
    <w:tmpl w:val="6914C5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13343E"/>
    <w:multiLevelType w:val="hybridMultilevel"/>
    <w:tmpl w:val="B642AA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6250152"/>
    <w:multiLevelType w:val="hybridMultilevel"/>
    <w:tmpl w:val="CCA0A1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AE4913"/>
    <w:multiLevelType w:val="hybridMultilevel"/>
    <w:tmpl w:val="5A9EEA5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33284CE7"/>
    <w:multiLevelType w:val="hybridMultilevel"/>
    <w:tmpl w:val="1ED8C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070C1A"/>
    <w:multiLevelType w:val="hybridMultilevel"/>
    <w:tmpl w:val="F82A04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9B7711E"/>
    <w:multiLevelType w:val="hybridMultilevel"/>
    <w:tmpl w:val="A72606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B02079F"/>
    <w:multiLevelType w:val="hybridMultilevel"/>
    <w:tmpl w:val="9990C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F30483C"/>
    <w:multiLevelType w:val="hybridMultilevel"/>
    <w:tmpl w:val="0246860E"/>
    <w:lvl w:ilvl="0" w:tplc="E152B95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402B6121"/>
    <w:multiLevelType w:val="hybridMultilevel"/>
    <w:tmpl w:val="E9108DE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406520D9"/>
    <w:multiLevelType w:val="hybridMultilevel"/>
    <w:tmpl w:val="D3F4DCE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40EE2F04"/>
    <w:multiLevelType w:val="hybridMultilevel"/>
    <w:tmpl w:val="C634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1BA448F"/>
    <w:multiLevelType w:val="hybridMultilevel"/>
    <w:tmpl w:val="D83AB6DA"/>
    <w:lvl w:ilvl="0" w:tplc="751E9EE2">
      <w:start w:val="1"/>
      <w:numFmt w:val="bullet"/>
      <w:lvlText w:val=""/>
      <w:lvlJc w:val="left"/>
      <w:pPr>
        <w:tabs>
          <w:tab w:val="num" w:pos="720"/>
        </w:tabs>
        <w:ind w:left="720" w:hanging="360"/>
      </w:pPr>
      <w:rPr>
        <w:rFonts w:ascii="Wingdings" w:hAnsi="Wingdings" w:hint="default"/>
      </w:rPr>
    </w:lvl>
    <w:lvl w:ilvl="1" w:tplc="DB7A721C" w:tentative="1">
      <w:start w:val="1"/>
      <w:numFmt w:val="bullet"/>
      <w:lvlText w:val=""/>
      <w:lvlJc w:val="left"/>
      <w:pPr>
        <w:tabs>
          <w:tab w:val="num" w:pos="1440"/>
        </w:tabs>
        <w:ind w:left="1440" w:hanging="360"/>
      </w:pPr>
      <w:rPr>
        <w:rFonts w:ascii="Wingdings" w:hAnsi="Wingdings" w:hint="default"/>
      </w:rPr>
    </w:lvl>
    <w:lvl w:ilvl="2" w:tplc="F71A38EA" w:tentative="1">
      <w:start w:val="1"/>
      <w:numFmt w:val="bullet"/>
      <w:lvlText w:val=""/>
      <w:lvlJc w:val="left"/>
      <w:pPr>
        <w:tabs>
          <w:tab w:val="num" w:pos="2160"/>
        </w:tabs>
        <w:ind w:left="2160" w:hanging="360"/>
      </w:pPr>
      <w:rPr>
        <w:rFonts w:ascii="Wingdings" w:hAnsi="Wingdings" w:hint="default"/>
      </w:rPr>
    </w:lvl>
    <w:lvl w:ilvl="3" w:tplc="F0464F5C" w:tentative="1">
      <w:start w:val="1"/>
      <w:numFmt w:val="bullet"/>
      <w:lvlText w:val=""/>
      <w:lvlJc w:val="left"/>
      <w:pPr>
        <w:tabs>
          <w:tab w:val="num" w:pos="2880"/>
        </w:tabs>
        <w:ind w:left="2880" w:hanging="360"/>
      </w:pPr>
      <w:rPr>
        <w:rFonts w:ascii="Wingdings" w:hAnsi="Wingdings" w:hint="default"/>
      </w:rPr>
    </w:lvl>
    <w:lvl w:ilvl="4" w:tplc="CB36591A" w:tentative="1">
      <w:start w:val="1"/>
      <w:numFmt w:val="bullet"/>
      <w:lvlText w:val=""/>
      <w:lvlJc w:val="left"/>
      <w:pPr>
        <w:tabs>
          <w:tab w:val="num" w:pos="3600"/>
        </w:tabs>
        <w:ind w:left="3600" w:hanging="360"/>
      </w:pPr>
      <w:rPr>
        <w:rFonts w:ascii="Wingdings" w:hAnsi="Wingdings" w:hint="default"/>
      </w:rPr>
    </w:lvl>
    <w:lvl w:ilvl="5" w:tplc="AA086F2A" w:tentative="1">
      <w:start w:val="1"/>
      <w:numFmt w:val="bullet"/>
      <w:lvlText w:val=""/>
      <w:lvlJc w:val="left"/>
      <w:pPr>
        <w:tabs>
          <w:tab w:val="num" w:pos="4320"/>
        </w:tabs>
        <w:ind w:left="4320" w:hanging="360"/>
      </w:pPr>
      <w:rPr>
        <w:rFonts w:ascii="Wingdings" w:hAnsi="Wingdings" w:hint="default"/>
      </w:rPr>
    </w:lvl>
    <w:lvl w:ilvl="6" w:tplc="1DB4F264" w:tentative="1">
      <w:start w:val="1"/>
      <w:numFmt w:val="bullet"/>
      <w:lvlText w:val=""/>
      <w:lvlJc w:val="left"/>
      <w:pPr>
        <w:tabs>
          <w:tab w:val="num" w:pos="5040"/>
        </w:tabs>
        <w:ind w:left="5040" w:hanging="360"/>
      </w:pPr>
      <w:rPr>
        <w:rFonts w:ascii="Wingdings" w:hAnsi="Wingdings" w:hint="default"/>
      </w:rPr>
    </w:lvl>
    <w:lvl w:ilvl="7" w:tplc="75E6980C" w:tentative="1">
      <w:start w:val="1"/>
      <w:numFmt w:val="bullet"/>
      <w:lvlText w:val=""/>
      <w:lvlJc w:val="left"/>
      <w:pPr>
        <w:tabs>
          <w:tab w:val="num" w:pos="5760"/>
        </w:tabs>
        <w:ind w:left="5760" w:hanging="360"/>
      </w:pPr>
      <w:rPr>
        <w:rFonts w:ascii="Wingdings" w:hAnsi="Wingdings" w:hint="default"/>
      </w:rPr>
    </w:lvl>
    <w:lvl w:ilvl="8" w:tplc="A56485AA" w:tentative="1">
      <w:start w:val="1"/>
      <w:numFmt w:val="bullet"/>
      <w:lvlText w:val=""/>
      <w:lvlJc w:val="left"/>
      <w:pPr>
        <w:tabs>
          <w:tab w:val="num" w:pos="6480"/>
        </w:tabs>
        <w:ind w:left="6480" w:hanging="360"/>
      </w:pPr>
      <w:rPr>
        <w:rFonts w:ascii="Wingdings" w:hAnsi="Wingdings" w:hint="default"/>
      </w:rPr>
    </w:lvl>
  </w:abstractNum>
  <w:abstractNum w:abstractNumId="23">
    <w:nsid w:val="42917EA2"/>
    <w:multiLevelType w:val="hybridMultilevel"/>
    <w:tmpl w:val="D04A277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42C11B73"/>
    <w:multiLevelType w:val="hybridMultilevel"/>
    <w:tmpl w:val="6C0EBD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4FC4095"/>
    <w:multiLevelType w:val="hybridMultilevel"/>
    <w:tmpl w:val="C0749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4E141F"/>
    <w:multiLevelType w:val="hybridMultilevel"/>
    <w:tmpl w:val="2CE83D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4FE41B46"/>
    <w:multiLevelType w:val="hybridMultilevel"/>
    <w:tmpl w:val="15326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5487271"/>
    <w:multiLevelType w:val="hybridMultilevel"/>
    <w:tmpl w:val="E0A6ED80"/>
    <w:lvl w:ilvl="0" w:tplc="729A06F2">
      <w:start w:val="1"/>
      <w:numFmt w:val="lowerLetter"/>
      <w:lvlText w:val="(%1)"/>
      <w:lvlJc w:val="left"/>
      <w:pPr>
        <w:ind w:left="1080" w:hanging="360"/>
      </w:pPr>
      <w:rPr>
        <w:rFonts w:hint="default"/>
        <w:sz w:val="23"/>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55846194"/>
    <w:multiLevelType w:val="hybridMultilevel"/>
    <w:tmpl w:val="8662F0FA"/>
    <w:lvl w:ilvl="0" w:tplc="0C090017">
      <w:start w:val="1"/>
      <w:numFmt w:val="lowerLetter"/>
      <w:lvlText w:val="%1)"/>
      <w:lvlJc w:val="left"/>
      <w:pPr>
        <w:ind w:left="916" w:hanging="360"/>
      </w:pPr>
    </w:lvl>
    <w:lvl w:ilvl="1" w:tplc="0C090019" w:tentative="1">
      <w:start w:val="1"/>
      <w:numFmt w:val="lowerLetter"/>
      <w:lvlText w:val="%2."/>
      <w:lvlJc w:val="left"/>
      <w:pPr>
        <w:ind w:left="1636" w:hanging="360"/>
      </w:pPr>
    </w:lvl>
    <w:lvl w:ilvl="2" w:tplc="0C09001B" w:tentative="1">
      <w:start w:val="1"/>
      <w:numFmt w:val="lowerRoman"/>
      <w:lvlText w:val="%3."/>
      <w:lvlJc w:val="right"/>
      <w:pPr>
        <w:ind w:left="2356" w:hanging="180"/>
      </w:pPr>
    </w:lvl>
    <w:lvl w:ilvl="3" w:tplc="0C09000F" w:tentative="1">
      <w:start w:val="1"/>
      <w:numFmt w:val="decimal"/>
      <w:lvlText w:val="%4."/>
      <w:lvlJc w:val="left"/>
      <w:pPr>
        <w:ind w:left="3076" w:hanging="360"/>
      </w:pPr>
    </w:lvl>
    <w:lvl w:ilvl="4" w:tplc="0C090019" w:tentative="1">
      <w:start w:val="1"/>
      <w:numFmt w:val="lowerLetter"/>
      <w:lvlText w:val="%5."/>
      <w:lvlJc w:val="left"/>
      <w:pPr>
        <w:ind w:left="3796" w:hanging="360"/>
      </w:pPr>
    </w:lvl>
    <w:lvl w:ilvl="5" w:tplc="0C09001B" w:tentative="1">
      <w:start w:val="1"/>
      <w:numFmt w:val="lowerRoman"/>
      <w:lvlText w:val="%6."/>
      <w:lvlJc w:val="right"/>
      <w:pPr>
        <w:ind w:left="4516" w:hanging="180"/>
      </w:pPr>
    </w:lvl>
    <w:lvl w:ilvl="6" w:tplc="0C09000F" w:tentative="1">
      <w:start w:val="1"/>
      <w:numFmt w:val="decimal"/>
      <w:lvlText w:val="%7."/>
      <w:lvlJc w:val="left"/>
      <w:pPr>
        <w:ind w:left="5236" w:hanging="360"/>
      </w:pPr>
    </w:lvl>
    <w:lvl w:ilvl="7" w:tplc="0C090019" w:tentative="1">
      <w:start w:val="1"/>
      <w:numFmt w:val="lowerLetter"/>
      <w:lvlText w:val="%8."/>
      <w:lvlJc w:val="left"/>
      <w:pPr>
        <w:ind w:left="5956" w:hanging="360"/>
      </w:pPr>
    </w:lvl>
    <w:lvl w:ilvl="8" w:tplc="0C09001B" w:tentative="1">
      <w:start w:val="1"/>
      <w:numFmt w:val="lowerRoman"/>
      <w:lvlText w:val="%9."/>
      <w:lvlJc w:val="right"/>
      <w:pPr>
        <w:ind w:left="6676" w:hanging="180"/>
      </w:pPr>
    </w:lvl>
  </w:abstractNum>
  <w:abstractNum w:abstractNumId="30">
    <w:nsid w:val="58C40EBA"/>
    <w:multiLevelType w:val="hybridMultilevel"/>
    <w:tmpl w:val="508C7BF0"/>
    <w:lvl w:ilvl="0" w:tplc="29BA4DB0">
      <w:start w:val="1"/>
      <w:numFmt w:val="bullet"/>
      <w:lvlText w:val="-"/>
      <w:lvlJc w:val="left"/>
      <w:pPr>
        <w:tabs>
          <w:tab w:val="num" w:pos="720"/>
        </w:tabs>
        <w:ind w:left="720" w:hanging="360"/>
      </w:pPr>
      <w:rPr>
        <w:rFonts w:ascii="Times New Roman" w:hAnsi="Times New Roman" w:hint="default"/>
      </w:rPr>
    </w:lvl>
    <w:lvl w:ilvl="1" w:tplc="DFF20C36" w:tentative="1">
      <w:start w:val="1"/>
      <w:numFmt w:val="bullet"/>
      <w:lvlText w:val="-"/>
      <w:lvlJc w:val="left"/>
      <w:pPr>
        <w:tabs>
          <w:tab w:val="num" w:pos="1440"/>
        </w:tabs>
        <w:ind w:left="1440" w:hanging="360"/>
      </w:pPr>
      <w:rPr>
        <w:rFonts w:ascii="Times New Roman" w:hAnsi="Times New Roman" w:hint="default"/>
      </w:rPr>
    </w:lvl>
    <w:lvl w:ilvl="2" w:tplc="B21671A6" w:tentative="1">
      <w:start w:val="1"/>
      <w:numFmt w:val="bullet"/>
      <w:lvlText w:val="-"/>
      <w:lvlJc w:val="left"/>
      <w:pPr>
        <w:tabs>
          <w:tab w:val="num" w:pos="2160"/>
        </w:tabs>
        <w:ind w:left="2160" w:hanging="360"/>
      </w:pPr>
      <w:rPr>
        <w:rFonts w:ascii="Times New Roman" w:hAnsi="Times New Roman" w:hint="default"/>
      </w:rPr>
    </w:lvl>
    <w:lvl w:ilvl="3" w:tplc="83D88DEC" w:tentative="1">
      <w:start w:val="1"/>
      <w:numFmt w:val="bullet"/>
      <w:lvlText w:val="-"/>
      <w:lvlJc w:val="left"/>
      <w:pPr>
        <w:tabs>
          <w:tab w:val="num" w:pos="2880"/>
        </w:tabs>
        <w:ind w:left="2880" w:hanging="360"/>
      </w:pPr>
      <w:rPr>
        <w:rFonts w:ascii="Times New Roman" w:hAnsi="Times New Roman" w:hint="default"/>
      </w:rPr>
    </w:lvl>
    <w:lvl w:ilvl="4" w:tplc="29FAE558" w:tentative="1">
      <w:start w:val="1"/>
      <w:numFmt w:val="bullet"/>
      <w:lvlText w:val="-"/>
      <w:lvlJc w:val="left"/>
      <w:pPr>
        <w:tabs>
          <w:tab w:val="num" w:pos="3600"/>
        </w:tabs>
        <w:ind w:left="3600" w:hanging="360"/>
      </w:pPr>
      <w:rPr>
        <w:rFonts w:ascii="Times New Roman" w:hAnsi="Times New Roman" w:hint="default"/>
      </w:rPr>
    </w:lvl>
    <w:lvl w:ilvl="5" w:tplc="1730E35A" w:tentative="1">
      <w:start w:val="1"/>
      <w:numFmt w:val="bullet"/>
      <w:lvlText w:val="-"/>
      <w:lvlJc w:val="left"/>
      <w:pPr>
        <w:tabs>
          <w:tab w:val="num" w:pos="4320"/>
        </w:tabs>
        <w:ind w:left="4320" w:hanging="360"/>
      </w:pPr>
      <w:rPr>
        <w:rFonts w:ascii="Times New Roman" w:hAnsi="Times New Roman" w:hint="default"/>
      </w:rPr>
    </w:lvl>
    <w:lvl w:ilvl="6" w:tplc="8BD26532" w:tentative="1">
      <w:start w:val="1"/>
      <w:numFmt w:val="bullet"/>
      <w:lvlText w:val="-"/>
      <w:lvlJc w:val="left"/>
      <w:pPr>
        <w:tabs>
          <w:tab w:val="num" w:pos="5040"/>
        </w:tabs>
        <w:ind w:left="5040" w:hanging="360"/>
      </w:pPr>
      <w:rPr>
        <w:rFonts w:ascii="Times New Roman" w:hAnsi="Times New Roman" w:hint="default"/>
      </w:rPr>
    </w:lvl>
    <w:lvl w:ilvl="7" w:tplc="8578D75E" w:tentative="1">
      <w:start w:val="1"/>
      <w:numFmt w:val="bullet"/>
      <w:lvlText w:val="-"/>
      <w:lvlJc w:val="left"/>
      <w:pPr>
        <w:tabs>
          <w:tab w:val="num" w:pos="5760"/>
        </w:tabs>
        <w:ind w:left="5760" w:hanging="360"/>
      </w:pPr>
      <w:rPr>
        <w:rFonts w:ascii="Times New Roman" w:hAnsi="Times New Roman" w:hint="default"/>
      </w:rPr>
    </w:lvl>
    <w:lvl w:ilvl="8" w:tplc="EFD4173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AE07A6D"/>
    <w:multiLevelType w:val="hybridMultilevel"/>
    <w:tmpl w:val="B07859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A22739"/>
    <w:multiLevelType w:val="hybridMultilevel"/>
    <w:tmpl w:val="CE620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B77CFA"/>
    <w:multiLevelType w:val="hybridMultilevel"/>
    <w:tmpl w:val="CCB60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E634157"/>
    <w:multiLevelType w:val="hybridMultilevel"/>
    <w:tmpl w:val="A72606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00F7082"/>
    <w:multiLevelType w:val="hybridMultilevel"/>
    <w:tmpl w:val="50346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0D80280"/>
    <w:multiLevelType w:val="hybridMultilevel"/>
    <w:tmpl w:val="0E6EF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2C90745"/>
    <w:multiLevelType w:val="hybridMultilevel"/>
    <w:tmpl w:val="39201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4DB7AB6"/>
    <w:multiLevelType w:val="hybridMultilevel"/>
    <w:tmpl w:val="CE3445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5E7132"/>
    <w:multiLevelType w:val="hybridMultilevel"/>
    <w:tmpl w:val="C86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7816003"/>
    <w:multiLevelType w:val="hybridMultilevel"/>
    <w:tmpl w:val="E228D2D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6"/>
  </w:num>
  <w:num w:numId="7">
    <w:abstractNumId w:val="32"/>
  </w:num>
  <w:num w:numId="8">
    <w:abstractNumId w:val="31"/>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2"/>
  </w:num>
  <w:num w:numId="13">
    <w:abstractNumId w:val="30"/>
  </w:num>
  <w:num w:numId="14">
    <w:abstractNumId w:val="38"/>
  </w:num>
  <w:num w:numId="15">
    <w:abstractNumId w:val="8"/>
  </w:num>
  <w:num w:numId="16">
    <w:abstractNumId w:val="35"/>
  </w:num>
  <w:num w:numId="17">
    <w:abstractNumId w:val="5"/>
  </w:num>
  <w:num w:numId="18">
    <w:abstractNumId w:val="27"/>
  </w:num>
  <w:num w:numId="19">
    <w:abstractNumId w:val="14"/>
  </w:num>
  <w:num w:numId="20">
    <w:abstractNumId w:val="16"/>
  </w:num>
  <w:num w:numId="21">
    <w:abstractNumId w:val="23"/>
  </w:num>
  <w:num w:numId="22">
    <w:abstractNumId w:val="29"/>
  </w:num>
  <w:num w:numId="23">
    <w:abstractNumId w:val="18"/>
  </w:num>
  <w:num w:numId="24">
    <w:abstractNumId w:val="17"/>
  </w:num>
  <w:num w:numId="25">
    <w:abstractNumId w:val="12"/>
  </w:num>
  <w:num w:numId="26">
    <w:abstractNumId w:val="3"/>
  </w:num>
  <w:num w:numId="27">
    <w:abstractNumId w:val="9"/>
  </w:num>
  <w:num w:numId="28">
    <w:abstractNumId w:val="34"/>
  </w:num>
  <w:num w:numId="29">
    <w:abstractNumId w:val="33"/>
  </w:num>
  <w:num w:numId="30">
    <w:abstractNumId w:val="39"/>
  </w:num>
  <w:num w:numId="31">
    <w:abstractNumId w:val="1"/>
  </w:num>
  <w:num w:numId="32">
    <w:abstractNumId w:val="26"/>
  </w:num>
  <w:num w:numId="33">
    <w:abstractNumId w:val="25"/>
  </w:num>
  <w:num w:numId="34">
    <w:abstractNumId w:val="21"/>
  </w:num>
  <w:num w:numId="35">
    <w:abstractNumId w:val="4"/>
  </w:num>
  <w:num w:numId="36">
    <w:abstractNumId w:val="36"/>
  </w:num>
  <w:num w:numId="37">
    <w:abstractNumId w:val="15"/>
  </w:num>
  <w:num w:numId="38">
    <w:abstractNumId w:val="0"/>
  </w:num>
  <w:num w:numId="39">
    <w:abstractNumId w:val="37"/>
  </w:num>
  <w:num w:numId="40">
    <w:abstractNumId w:val="28"/>
  </w:num>
  <w:num w:numId="41">
    <w:abstractNumId w:val="10"/>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F038E"/>
    <w:rsid w:val="000011E3"/>
    <w:rsid w:val="00001C67"/>
    <w:rsid w:val="00002815"/>
    <w:rsid w:val="00005A4B"/>
    <w:rsid w:val="00005AD5"/>
    <w:rsid w:val="000107EE"/>
    <w:rsid w:val="000119E4"/>
    <w:rsid w:val="0002044E"/>
    <w:rsid w:val="00022DFB"/>
    <w:rsid w:val="00024656"/>
    <w:rsid w:val="0002531D"/>
    <w:rsid w:val="00025B27"/>
    <w:rsid w:val="00026542"/>
    <w:rsid w:val="00032DA8"/>
    <w:rsid w:val="00042639"/>
    <w:rsid w:val="0004642D"/>
    <w:rsid w:val="000506EF"/>
    <w:rsid w:val="0005436D"/>
    <w:rsid w:val="00054584"/>
    <w:rsid w:val="00056AF2"/>
    <w:rsid w:val="000606BC"/>
    <w:rsid w:val="000626D0"/>
    <w:rsid w:val="0006396E"/>
    <w:rsid w:val="000649E3"/>
    <w:rsid w:val="00074D43"/>
    <w:rsid w:val="000817DA"/>
    <w:rsid w:val="000841D2"/>
    <w:rsid w:val="000852A8"/>
    <w:rsid w:val="000852BE"/>
    <w:rsid w:val="0008672C"/>
    <w:rsid w:val="00086CD7"/>
    <w:rsid w:val="000872BF"/>
    <w:rsid w:val="000872EC"/>
    <w:rsid w:val="000877ED"/>
    <w:rsid w:val="000901D8"/>
    <w:rsid w:val="00090E1F"/>
    <w:rsid w:val="0009123E"/>
    <w:rsid w:val="000933D8"/>
    <w:rsid w:val="000950A3"/>
    <w:rsid w:val="000964EA"/>
    <w:rsid w:val="000972B4"/>
    <w:rsid w:val="000A37E6"/>
    <w:rsid w:val="000A50E9"/>
    <w:rsid w:val="000B0050"/>
    <w:rsid w:val="000B1A65"/>
    <w:rsid w:val="000B245B"/>
    <w:rsid w:val="000B3BF3"/>
    <w:rsid w:val="000B6C6B"/>
    <w:rsid w:val="000C134B"/>
    <w:rsid w:val="000C32C8"/>
    <w:rsid w:val="000C670D"/>
    <w:rsid w:val="000C6B4E"/>
    <w:rsid w:val="000D0253"/>
    <w:rsid w:val="000D14BD"/>
    <w:rsid w:val="000D2271"/>
    <w:rsid w:val="000D3A4C"/>
    <w:rsid w:val="000D4A71"/>
    <w:rsid w:val="000D5B04"/>
    <w:rsid w:val="000E5D55"/>
    <w:rsid w:val="000E6E8B"/>
    <w:rsid w:val="000F1616"/>
    <w:rsid w:val="000F26AD"/>
    <w:rsid w:val="000F62AF"/>
    <w:rsid w:val="000F6B3B"/>
    <w:rsid w:val="000F7438"/>
    <w:rsid w:val="000F79A0"/>
    <w:rsid w:val="001033EF"/>
    <w:rsid w:val="0010342A"/>
    <w:rsid w:val="001060E1"/>
    <w:rsid w:val="0010648D"/>
    <w:rsid w:val="00106961"/>
    <w:rsid w:val="00113F31"/>
    <w:rsid w:val="00116821"/>
    <w:rsid w:val="0012181B"/>
    <w:rsid w:val="00123EA3"/>
    <w:rsid w:val="00127588"/>
    <w:rsid w:val="00127636"/>
    <w:rsid w:val="00130A13"/>
    <w:rsid w:val="00132EA3"/>
    <w:rsid w:val="0013768A"/>
    <w:rsid w:val="00144857"/>
    <w:rsid w:val="00146419"/>
    <w:rsid w:val="00150630"/>
    <w:rsid w:val="00150832"/>
    <w:rsid w:val="0015099A"/>
    <w:rsid w:val="001509A8"/>
    <w:rsid w:val="00152446"/>
    <w:rsid w:val="001562A0"/>
    <w:rsid w:val="00157A8F"/>
    <w:rsid w:val="00157A96"/>
    <w:rsid w:val="0016063D"/>
    <w:rsid w:val="001617FA"/>
    <w:rsid w:val="00163319"/>
    <w:rsid w:val="00163F04"/>
    <w:rsid w:val="00172296"/>
    <w:rsid w:val="001724AB"/>
    <w:rsid w:val="00172612"/>
    <w:rsid w:val="00173D6E"/>
    <w:rsid w:val="001763F9"/>
    <w:rsid w:val="00181676"/>
    <w:rsid w:val="00182D40"/>
    <w:rsid w:val="00185C96"/>
    <w:rsid w:val="00187333"/>
    <w:rsid w:val="00187A1A"/>
    <w:rsid w:val="0019010A"/>
    <w:rsid w:val="00191F6A"/>
    <w:rsid w:val="001925CF"/>
    <w:rsid w:val="00197EDB"/>
    <w:rsid w:val="001A1194"/>
    <w:rsid w:val="001A3890"/>
    <w:rsid w:val="001B17D1"/>
    <w:rsid w:val="001B4675"/>
    <w:rsid w:val="001B56E8"/>
    <w:rsid w:val="001B6B78"/>
    <w:rsid w:val="001C0656"/>
    <w:rsid w:val="001C07A9"/>
    <w:rsid w:val="001C0A2C"/>
    <w:rsid w:val="001C0BC5"/>
    <w:rsid w:val="001C3A83"/>
    <w:rsid w:val="001C44AD"/>
    <w:rsid w:val="001C4A95"/>
    <w:rsid w:val="001C6243"/>
    <w:rsid w:val="001D0AAA"/>
    <w:rsid w:val="001D11C9"/>
    <w:rsid w:val="001D282B"/>
    <w:rsid w:val="001D2B63"/>
    <w:rsid w:val="001D494F"/>
    <w:rsid w:val="001D7543"/>
    <w:rsid w:val="001D7DCA"/>
    <w:rsid w:val="001E294D"/>
    <w:rsid w:val="001E32D8"/>
    <w:rsid w:val="001E46E1"/>
    <w:rsid w:val="001E555C"/>
    <w:rsid w:val="001F0AE8"/>
    <w:rsid w:val="001F2E26"/>
    <w:rsid w:val="001F40CB"/>
    <w:rsid w:val="001F45D1"/>
    <w:rsid w:val="001F6F29"/>
    <w:rsid w:val="001F72C5"/>
    <w:rsid w:val="001F7C76"/>
    <w:rsid w:val="002010BC"/>
    <w:rsid w:val="002021F5"/>
    <w:rsid w:val="002035C9"/>
    <w:rsid w:val="002047C3"/>
    <w:rsid w:val="00206C74"/>
    <w:rsid w:val="002075BA"/>
    <w:rsid w:val="00207C3F"/>
    <w:rsid w:val="00221685"/>
    <w:rsid w:val="0022172D"/>
    <w:rsid w:val="002231BB"/>
    <w:rsid w:val="0022461A"/>
    <w:rsid w:val="00226ACD"/>
    <w:rsid w:val="00230A63"/>
    <w:rsid w:val="00231509"/>
    <w:rsid w:val="00231C18"/>
    <w:rsid w:val="00232B13"/>
    <w:rsid w:val="0023492F"/>
    <w:rsid w:val="002403B5"/>
    <w:rsid w:val="002411B0"/>
    <w:rsid w:val="00241313"/>
    <w:rsid w:val="00242CDA"/>
    <w:rsid w:val="0024328D"/>
    <w:rsid w:val="00245589"/>
    <w:rsid w:val="00245BB8"/>
    <w:rsid w:val="00246A50"/>
    <w:rsid w:val="00246E94"/>
    <w:rsid w:val="0024768F"/>
    <w:rsid w:val="00255D81"/>
    <w:rsid w:val="002574DF"/>
    <w:rsid w:val="00263B2D"/>
    <w:rsid w:val="00263CB6"/>
    <w:rsid w:val="002643BE"/>
    <w:rsid w:val="00270BE1"/>
    <w:rsid w:val="00271471"/>
    <w:rsid w:val="002722BB"/>
    <w:rsid w:val="00275ECF"/>
    <w:rsid w:val="0027631E"/>
    <w:rsid w:val="00277D09"/>
    <w:rsid w:val="002823CE"/>
    <w:rsid w:val="002836AC"/>
    <w:rsid w:val="00284D5D"/>
    <w:rsid w:val="00286110"/>
    <w:rsid w:val="00290E4B"/>
    <w:rsid w:val="00294BD0"/>
    <w:rsid w:val="00295F4A"/>
    <w:rsid w:val="002A04DC"/>
    <w:rsid w:val="002A0D98"/>
    <w:rsid w:val="002A252B"/>
    <w:rsid w:val="002A28A8"/>
    <w:rsid w:val="002A3A3E"/>
    <w:rsid w:val="002A5991"/>
    <w:rsid w:val="002A5C13"/>
    <w:rsid w:val="002B0899"/>
    <w:rsid w:val="002B127B"/>
    <w:rsid w:val="002B3D36"/>
    <w:rsid w:val="002B3DA7"/>
    <w:rsid w:val="002B74D7"/>
    <w:rsid w:val="002C12FF"/>
    <w:rsid w:val="002C3730"/>
    <w:rsid w:val="002C447A"/>
    <w:rsid w:val="002C64EA"/>
    <w:rsid w:val="002C7F08"/>
    <w:rsid w:val="002D250A"/>
    <w:rsid w:val="002D5A96"/>
    <w:rsid w:val="002D64DE"/>
    <w:rsid w:val="002D6FD0"/>
    <w:rsid w:val="002D77CC"/>
    <w:rsid w:val="002E03E9"/>
    <w:rsid w:val="002E2BEE"/>
    <w:rsid w:val="002E30FA"/>
    <w:rsid w:val="002E3B27"/>
    <w:rsid w:val="002F0DA0"/>
    <w:rsid w:val="002F26DA"/>
    <w:rsid w:val="002F3DE8"/>
    <w:rsid w:val="002F4B70"/>
    <w:rsid w:val="002F7391"/>
    <w:rsid w:val="0030051D"/>
    <w:rsid w:val="0030112C"/>
    <w:rsid w:val="003062C5"/>
    <w:rsid w:val="0030737F"/>
    <w:rsid w:val="00310639"/>
    <w:rsid w:val="00314CD6"/>
    <w:rsid w:val="00315E72"/>
    <w:rsid w:val="00320392"/>
    <w:rsid w:val="00321517"/>
    <w:rsid w:val="003227E1"/>
    <w:rsid w:val="003266C1"/>
    <w:rsid w:val="00330FAD"/>
    <w:rsid w:val="003346DB"/>
    <w:rsid w:val="0033762E"/>
    <w:rsid w:val="00337A22"/>
    <w:rsid w:val="0034026D"/>
    <w:rsid w:val="00342248"/>
    <w:rsid w:val="00345013"/>
    <w:rsid w:val="00345A4D"/>
    <w:rsid w:val="00346219"/>
    <w:rsid w:val="00347D9D"/>
    <w:rsid w:val="00350637"/>
    <w:rsid w:val="0035155D"/>
    <w:rsid w:val="00354521"/>
    <w:rsid w:val="003545BA"/>
    <w:rsid w:val="00354C84"/>
    <w:rsid w:val="00356237"/>
    <w:rsid w:val="00360719"/>
    <w:rsid w:val="00361603"/>
    <w:rsid w:val="003622CC"/>
    <w:rsid w:val="003642B8"/>
    <w:rsid w:val="00364976"/>
    <w:rsid w:val="0037267C"/>
    <w:rsid w:val="00373A30"/>
    <w:rsid w:val="00373E28"/>
    <w:rsid w:val="00373F2E"/>
    <w:rsid w:val="00375B90"/>
    <w:rsid w:val="003777E6"/>
    <w:rsid w:val="0038035A"/>
    <w:rsid w:val="00381977"/>
    <w:rsid w:val="00381A96"/>
    <w:rsid w:val="00381F26"/>
    <w:rsid w:val="003823C9"/>
    <w:rsid w:val="003855B9"/>
    <w:rsid w:val="00387861"/>
    <w:rsid w:val="0039103A"/>
    <w:rsid w:val="0039155E"/>
    <w:rsid w:val="00393254"/>
    <w:rsid w:val="003941BA"/>
    <w:rsid w:val="003963A5"/>
    <w:rsid w:val="003B3C04"/>
    <w:rsid w:val="003B72A6"/>
    <w:rsid w:val="003C1B53"/>
    <w:rsid w:val="003C5AF0"/>
    <w:rsid w:val="003C63C5"/>
    <w:rsid w:val="003D141D"/>
    <w:rsid w:val="003D24F4"/>
    <w:rsid w:val="003D2941"/>
    <w:rsid w:val="003D4015"/>
    <w:rsid w:val="003D6BFE"/>
    <w:rsid w:val="003D77D9"/>
    <w:rsid w:val="003E020A"/>
    <w:rsid w:val="003E1D1A"/>
    <w:rsid w:val="003E2753"/>
    <w:rsid w:val="003E3AC8"/>
    <w:rsid w:val="003F3AE9"/>
    <w:rsid w:val="003F4E9F"/>
    <w:rsid w:val="003F7B86"/>
    <w:rsid w:val="00403880"/>
    <w:rsid w:val="004038C9"/>
    <w:rsid w:val="00405502"/>
    <w:rsid w:val="00415269"/>
    <w:rsid w:val="004221E9"/>
    <w:rsid w:val="00422BFE"/>
    <w:rsid w:val="00425B3D"/>
    <w:rsid w:val="00426098"/>
    <w:rsid w:val="004330AE"/>
    <w:rsid w:val="00433DE8"/>
    <w:rsid w:val="0043407F"/>
    <w:rsid w:val="00440A75"/>
    <w:rsid w:val="00443C7F"/>
    <w:rsid w:val="0044654C"/>
    <w:rsid w:val="00446733"/>
    <w:rsid w:val="00450AFA"/>
    <w:rsid w:val="004515FE"/>
    <w:rsid w:val="00455847"/>
    <w:rsid w:val="00456401"/>
    <w:rsid w:val="00457AEB"/>
    <w:rsid w:val="0046003A"/>
    <w:rsid w:val="004610DB"/>
    <w:rsid w:val="004616E5"/>
    <w:rsid w:val="00463970"/>
    <w:rsid w:val="004657E6"/>
    <w:rsid w:val="004668FD"/>
    <w:rsid w:val="0047153C"/>
    <w:rsid w:val="00471EE6"/>
    <w:rsid w:val="0047212D"/>
    <w:rsid w:val="00472DC9"/>
    <w:rsid w:val="00475805"/>
    <w:rsid w:val="004828F8"/>
    <w:rsid w:val="00483472"/>
    <w:rsid w:val="004864F2"/>
    <w:rsid w:val="00491126"/>
    <w:rsid w:val="00492F11"/>
    <w:rsid w:val="0049518E"/>
    <w:rsid w:val="00495C32"/>
    <w:rsid w:val="00496C9F"/>
    <w:rsid w:val="004A129F"/>
    <w:rsid w:val="004A2502"/>
    <w:rsid w:val="004B0760"/>
    <w:rsid w:val="004B22C0"/>
    <w:rsid w:val="004B2F68"/>
    <w:rsid w:val="004B7463"/>
    <w:rsid w:val="004C0CEE"/>
    <w:rsid w:val="004C244D"/>
    <w:rsid w:val="004C3EDC"/>
    <w:rsid w:val="004C53A3"/>
    <w:rsid w:val="004C76A7"/>
    <w:rsid w:val="004C78EB"/>
    <w:rsid w:val="004D1648"/>
    <w:rsid w:val="004D3A73"/>
    <w:rsid w:val="004D4182"/>
    <w:rsid w:val="004D75BA"/>
    <w:rsid w:val="004D7BFA"/>
    <w:rsid w:val="004E236D"/>
    <w:rsid w:val="004E2CA8"/>
    <w:rsid w:val="004E417F"/>
    <w:rsid w:val="004E71B7"/>
    <w:rsid w:val="004F4CD6"/>
    <w:rsid w:val="004F5031"/>
    <w:rsid w:val="004F53D8"/>
    <w:rsid w:val="004F58FA"/>
    <w:rsid w:val="004F6B3A"/>
    <w:rsid w:val="004F75C1"/>
    <w:rsid w:val="00500719"/>
    <w:rsid w:val="0050470E"/>
    <w:rsid w:val="00507615"/>
    <w:rsid w:val="005115C5"/>
    <w:rsid w:val="00512153"/>
    <w:rsid w:val="005144D3"/>
    <w:rsid w:val="005153B6"/>
    <w:rsid w:val="00520E41"/>
    <w:rsid w:val="00520F8D"/>
    <w:rsid w:val="0052458E"/>
    <w:rsid w:val="005251E8"/>
    <w:rsid w:val="005270F0"/>
    <w:rsid w:val="005314FA"/>
    <w:rsid w:val="00532145"/>
    <w:rsid w:val="00534437"/>
    <w:rsid w:val="005414E4"/>
    <w:rsid w:val="00544666"/>
    <w:rsid w:val="00544E31"/>
    <w:rsid w:val="00551FA2"/>
    <w:rsid w:val="00552220"/>
    <w:rsid w:val="005554CF"/>
    <w:rsid w:val="00555D92"/>
    <w:rsid w:val="0056102C"/>
    <w:rsid w:val="00562454"/>
    <w:rsid w:val="005651DA"/>
    <w:rsid w:val="005672B0"/>
    <w:rsid w:val="0057079C"/>
    <w:rsid w:val="00571084"/>
    <w:rsid w:val="00573EC2"/>
    <w:rsid w:val="005771B8"/>
    <w:rsid w:val="0058796F"/>
    <w:rsid w:val="005879AE"/>
    <w:rsid w:val="00591FA7"/>
    <w:rsid w:val="00592445"/>
    <w:rsid w:val="00595057"/>
    <w:rsid w:val="005A0DDB"/>
    <w:rsid w:val="005A43B4"/>
    <w:rsid w:val="005A5CED"/>
    <w:rsid w:val="005B4C96"/>
    <w:rsid w:val="005B6235"/>
    <w:rsid w:val="005C24DB"/>
    <w:rsid w:val="005C71AD"/>
    <w:rsid w:val="005C7F89"/>
    <w:rsid w:val="005D099E"/>
    <w:rsid w:val="005D2052"/>
    <w:rsid w:val="005D37B5"/>
    <w:rsid w:val="005D526A"/>
    <w:rsid w:val="005E0E5C"/>
    <w:rsid w:val="005E117E"/>
    <w:rsid w:val="005E2CD9"/>
    <w:rsid w:val="005E4179"/>
    <w:rsid w:val="005E44A3"/>
    <w:rsid w:val="005E4A68"/>
    <w:rsid w:val="005F195F"/>
    <w:rsid w:val="005F52DB"/>
    <w:rsid w:val="005F6E48"/>
    <w:rsid w:val="005F7CA7"/>
    <w:rsid w:val="00606BA6"/>
    <w:rsid w:val="00607DCB"/>
    <w:rsid w:val="00610384"/>
    <w:rsid w:val="00611AA8"/>
    <w:rsid w:val="00612C0E"/>
    <w:rsid w:val="00612D54"/>
    <w:rsid w:val="00614612"/>
    <w:rsid w:val="00622669"/>
    <w:rsid w:val="00622922"/>
    <w:rsid w:val="0062330C"/>
    <w:rsid w:val="00623C21"/>
    <w:rsid w:val="006246B6"/>
    <w:rsid w:val="00630A67"/>
    <w:rsid w:val="00631739"/>
    <w:rsid w:val="00632BCD"/>
    <w:rsid w:val="00634E10"/>
    <w:rsid w:val="006363B8"/>
    <w:rsid w:val="00643846"/>
    <w:rsid w:val="006439EF"/>
    <w:rsid w:val="0064654F"/>
    <w:rsid w:val="0064725F"/>
    <w:rsid w:val="006502F1"/>
    <w:rsid w:val="00652B2A"/>
    <w:rsid w:val="006605B1"/>
    <w:rsid w:val="00662D51"/>
    <w:rsid w:val="006635DD"/>
    <w:rsid w:val="00673461"/>
    <w:rsid w:val="006734D0"/>
    <w:rsid w:val="0067413D"/>
    <w:rsid w:val="0067534C"/>
    <w:rsid w:val="006820B3"/>
    <w:rsid w:val="006829DE"/>
    <w:rsid w:val="00684DBC"/>
    <w:rsid w:val="0068525F"/>
    <w:rsid w:val="006910DA"/>
    <w:rsid w:val="00693232"/>
    <w:rsid w:val="006A365D"/>
    <w:rsid w:val="006A4E37"/>
    <w:rsid w:val="006A59A6"/>
    <w:rsid w:val="006A6764"/>
    <w:rsid w:val="006B18FF"/>
    <w:rsid w:val="006B48FA"/>
    <w:rsid w:val="006B5B17"/>
    <w:rsid w:val="006C19D9"/>
    <w:rsid w:val="006C43FE"/>
    <w:rsid w:val="006C56E0"/>
    <w:rsid w:val="006D0778"/>
    <w:rsid w:val="006D09A8"/>
    <w:rsid w:val="006D34A2"/>
    <w:rsid w:val="006D3F76"/>
    <w:rsid w:val="006D6A19"/>
    <w:rsid w:val="006D78B1"/>
    <w:rsid w:val="006E0AFD"/>
    <w:rsid w:val="006E16E0"/>
    <w:rsid w:val="006E34BC"/>
    <w:rsid w:val="006E3613"/>
    <w:rsid w:val="006E3964"/>
    <w:rsid w:val="006F038E"/>
    <w:rsid w:val="006F0DB8"/>
    <w:rsid w:val="006F33C0"/>
    <w:rsid w:val="006F3871"/>
    <w:rsid w:val="006F6483"/>
    <w:rsid w:val="00702E99"/>
    <w:rsid w:val="007039BD"/>
    <w:rsid w:val="00704250"/>
    <w:rsid w:val="007044A0"/>
    <w:rsid w:val="00705BED"/>
    <w:rsid w:val="0070697D"/>
    <w:rsid w:val="00706D5A"/>
    <w:rsid w:val="007075BE"/>
    <w:rsid w:val="00712C1E"/>
    <w:rsid w:val="00714990"/>
    <w:rsid w:val="00715A90"/>
    <w:rsid w:val="0071637B"/>
    <w:rsid w:val="00716404"/>
    <w:rsid w:val="00722F46"/>
    <w:rsid w:val="00727104"/>
    <w:rsid w:val="007277C3"/>
    <w:rsid w:val="0073332D"/>
    <w:rsid w:val="007353E2"/>
    <w:rsid w:val="00735B78"/>
    <w:rsid w:val="0074681C"/>
    <w:rsid w:val="00755B7A"/>
    <w:rsid w:val="00764045"/>
    <w:rsid w:val="00764A76"/>
    <w:rsid w:val="00764B46"/>
    <w:rsid w:val="00767F59"/>
    <w:rsid w:val="00775AFE"/>
    <w:rsid w:val="00776CC9"/>
    <w:rsid w:val="00776F6A"/>
    <w:rsid w:val="00777154"/>
    <w:rsid w:val="00777899"/>
    <w:rsid w:val="007778A8"/>
    <w:rsid w:val="0078123E"/>
    <w:rsid w:val="00784323"/>
    <w:rsid w:val="00784656"/>
    <w:rsid w:val="00785A78"/>
    <w:rsid w:val="00785E49"/>
    <w:rsid w:val="007861F2"/>
    <w:rsid w:val="007910BC"/>
    <w:rsid w:val="007A0B9A"/>
    <w:rsid w:val="007A1A0F"/>
    <w:rsid w:val="007A2FD8"/>
    <w:rsid w:val="007A37DB"/>
    <w:rsid w:val="007A793F"/>
    <w:rsid w:val="007A7E78"/>
    <w:rsid w:val="007B0A4D"/>
    <w:rsid w:val="007B0CAD"/>
    <w:rsid w:val="007B0D9F"/>
    <w:rsid w:val="007B19E7"/>
    <w:rsid w:val="007B1CBC"/>
    <w:rsid w:val="007B3D6B"/>
    <w:rsid w:val="007B3FF9"/>
    <w:rsid w:val="007B4DEB"/>
    <w:rsid w:val="007B72AE"/>
    <w:rsid w:val="007B7FCB"/>
    <w:rsid w:val="007C0018"/>
    <w:rsid w:val="007C00C5"/>
    <w:rsid w:val="007C1200"/>
    <w:rsid w:val="007C30D6"/>
    <w:rsid w:val="007C319E"/>
    <w:rsid w:val="007C3B4B"/>
    <w:rsid w:val="007C50EE"/>
    <w:rsid w:val="007D58EC"/>
    <w:rsid w:val="007E25D9"/>
    <w:rsid w:val="007F0DDF"/>
    <w:rsid w:val="007F11F8"/>
    <w:rsid w:val="00801EAF"/>
    <w:rsid w:val="00801FB5"/>
    <w:rsid w:val="008022FC"/>
    <w:rsid w:val="0081161C"/>
    <w:rsid w:val="00812C34"/>
    <w:rsid w:val="008131FB"/>
    <w:rsid w:val="0081591F"/>
    <w:rsid w:val="00822C96"/>
    <w:rsid w:val="00824725"/>
    <w:rsid w:val="00825FDB"/>
    <w:rsid w:val="00827994"/>
    <w:rsid w:val="008300CD"/>
    <w:rsid w:val="008306AF"/>
    <w:rsid w:val="00834701"/>
    <w:rsid w:val="00836B8A"/>
    <w:rsid w:val="0084055E"/>
    <w:rsid w:val="00840FCD"/>
    <w:rsid w:val="00843FBC"/>
    <w:rsid w:val="00851C42"/>
    <w:rsid w:val="008557E5"/>
    <w:rsid w:val="0085611C"/>
    <w:rsid w:val="0086470D"/>
    <w:rsid w:val="0086640E"/>
    <w:rsid w:val="008667DA"/>
    <w:rsid w:val="00867A92"/>
    <w:rsid w:val="00867DEF"/>
    <w:rsid w:val="008769BE"/>
    <w:rsid w:val="00876D06"/>
    <w:rsid w:val="00881980"/>
    <w:rsid w:val="00886EFB"/>
    <w:rsid w:val="00887ACD"/>
    <w:rsid w:val="00891810"/>
    <w:rsid w:val="00892535"/>
    <w:rsid w:val="00897A44"/>
    <w:rsid w:val="008A0F7F"/>
    <w:rsid w:val="008A210B"/>
    <w:rsid w:val="008A271F"/>
    <w:rsid w:val="008A3367"/>
    <w:rsid w:val="008A5E0E"/>
    <w:rsid w:val="008B3894"/>
    <w:rsid w:val="008B50AD"/>
    <w:rsid w:val="008B77A8"/>
    <w:rsid w:val="008B77C8"/>
    <w:rsid w:val="008C0585"/>
    <w:rsid w:val="008C3081"/>
    <w:rsid w:val="008C3418"/>
    <w:rsid w:val="008C519C"/>
    <w:rsid w:val="008C5F5E"/>
    <w:rsid w:val="008C7EB5"/>
    <w:rsid w:val="008D06B6"/>
    <w:rsid w:val="008D0DE6"/>
    <w:rsid w:val="008D1E9E"/>
    <w:rsid w:val="008D62B9"/>
    <w:rsid w:val="008E05FB"/>
    <w:rsid w:val="008E1BBC"/>
    <w:rsid w:val="008E4794"/>
    <w:rsid w:val="008E5E41"/>
    <w:rsid w:val="008E6076"/>
    <w:rsid w:val="008E6574"/>
    <w:rsid w:val="008E70E2"/>
    <w:rsid w:val="008F0AB0"/>
    <w:rsid w:val="008F4335"/>
    <w:rsid w:val="008F64D2"/>
    <w:rsid w:val="00901414"/>
    <w:rsid w:val="00903508"/>
    <w:rsid w:val="009078F5"/>
    <w:rsid w:val="00910394"/>
    <w:rsid w:val="009109BF"/>
    <w:rsid w:val="00911CF5"/>
    <w:rsid w:val="00911EE2"/>
    <w:rsid w:val="00912769"/>
    <w:rsid w:val="0092779E"/>
    <w:rsid w:val="009324C2"/>
    <w:rsid w:val="009435F2"/>
    <w:rsid w:val="00946974"/>
    <w:rsid w:val="00946ACE"/>
    <w:rsid w:val="009525B7"/>
    <w:rsid w:val="00957193"/>
    <w:rsid w:val="00957365"/>
    <w:rsid w:val="00957414"/>
    <w:rsid w:val="00957856"/>
    <w:rsid w:val="009637E0"/>
    <w:rsid w:val="009659F4"/>
    <w:rsid w:val="00966F54"/>
    <w:rsid w:val="009722A2"/>
    <w:rsid w:val="00977D51"/>
    <w:rsid w:val="009835FB"/>
    <w:rsid w:val="00984762"/>
    <w:rsid w:val="00985B23"/>
    <w:rsid w:val="00985D30"/>
    <w:rsid w:val="009904A2"/>
    <w:rsid w:val="00991CC6"/>
    <w:rsid w:val="0099278F"/>
    <w:rsid w:val="009A212E"/>
    <w:rsid w:val="009A2E93"/>
    <w:rsid w:val="009A3059"/>
    <w:rsid w:val="009A42CF"/>
    <w:rsid w:val="009A52A5"/>
    <w:rsid w:val="009A60CC"/>
    <w:rsid w:val="009A7335"/>
    <w:rsid w:val="009B2328"/>
    <w:rsid w:val="009B25AA"/>
    <w:rsid w:val="009B2F9C"/>
    <w:rsid w:val="009B507B"/>
    <w:rsid w:val="009B6F1D"/>
    <w:rsid w:val="009C6E56"/>
    <w:rsid w:val="009C77E3"/>
    <w:rsid w:val="009D1212"/>
    <w:rsid w:val="009D6E03"/>
    <w:rsid w:val="009D6F66"/>
    <w:rsid w:val="009D7284"/>
    <w:rsid w:val="009E0607"/>
    <w:rsid w:val="009E10DA"/>
    <w:rsid w:val="009E154E"/>
    <w:rsid w:val="009E19D3"/>
    <w:rsid w:val="009E21E4"/>
    <w:rsid w:val="009E3DEF"/>
    <w:rsid w:val="009E6602"/>
    <w:rsid w:val="009E6664"/>
    <w:rsid w:val="009F1E22"/>
    <w:rsid w:val="009F5A13"/>
    <w:rsid w:val="009F6704"/>
    <w:rsid w:val="00A00563"/>
    <w:rsid w:val="00A03793"/>
    <w:rsid w:val="00A039CA"/>
    <w:rsid w:val="00A043D5"/>
    <w:rsid w:val="00A06F82"/>
    <w:rsid w:val="00A077B8"/>
    <w:rsid w:val="00A11DB4"/>
    <w:rsid w:val="00A12361"/>
    <w:rsid w:val="00A12712"/>
    <w:rsid w:val="00A1570B"/>
    <w:rsid w:val="00A16547"/>
    <w:rsid w:val="00A17B9D"/>
    <w:rsid w:val="00A2111E"/>
    <w:rsid w:val="00A2282C"/>
    <w:rsid w:val="00A234F1"/>
    <w:rsid w:val="00A23D23"/>
    <w:rsid w:val="00A24323"/>
    <w:rsid w:val="00A25935"/>
    <w:rsid w:val="00A26B89"/>
    <w:rsid w:val="00A27636"/>
    <w:rsid w:val="00A302C7"/>
    <w:rsid w:val="00A304F0"/>
    <w:rsid w:val="00A312B3"/>
    <w:rsid w:val="00A31B81"/>
    <w:rsid w:val="00A321DE"/>
    <w:rsid w:val="00A32C3F"/>
    <w:rsid w:val="00A377A1"/>
    <w:rsid w:val="00A40AA8"/>
    <w:rsid w:val="00A44188"/>
    <w:rsid w:val="00A523F5"/>
    <w:rsid w:val="00A54F52"/>
    <w:rsid w:val="00A5772A"/>
    <w:rsid w:val="00A60C46"/>
    <w:rsid w:val="00A62435"/>
    <w:rsid w:val="00A65B0C"/>
    <w:rsid w:val="00A70522"/>
    <w:rsid w:val="00A70596"/>
    <w:rsid w:val="00A71D59"/>
    <w:rsid w:val="00A723BF"/>
    <w:rsid w:val="00A73294"/>
    <w:rsid w:val="00A82A22"/>
    <w:rsid w:val="00A867D6"/>
    <w:rsid w:val="00A924BB"/>
    <w:rsid w:val="00A941B9"/>
    <w:rsid w:val="00A96D93"/>
    <w:rsid w:val="00AA1388"/>
    <w:rsid w:val="00AA17D3"/>
    <w:rsid w:val="00AA283E"/>
    <w:rsid w:val="00AA4E87"/>
    <w:rsid w:val="00AB03E3"/>
    <w:rsid w:val="00AB17FE"/>
    <w:rsid w:val="00AB4E69"/>
    <w:rsid w:val="00AB505B"/>
    <w:rsid w:val="00AB6876"/>
    <w:rsid w:val="00AC0575"/>
    <w:rsid w:val="00AC3B4C"/>
    <w:rsid w:val="00AC7D68"/>
    <w:rsid w:val="00AD09AB"/>
    <w:rsid w:val="00AD6C73"/>
    <w:rsid w:val="00AE0D7A"/>
    <w:rsid w:val="00AE1390"/>
    <w:rsid w:val="00AE34D5"/>
    <w:rsid w:val="00AE39D1"/>
    <w:rsid w:val="00AE41DA"/>
    <w:rsid w:val="00AE43B1"/>
    <w:rsid w:val="00AE56E5"/>
    <w:rsid w:val="00AE7347"/>
    <w:rsid w:val="00AF27A9"/>
    <w:rsid w:val="00AF2D1D"/>
    <w:rsid w:val="00AF5277"/>
    <w:rsid w:val="00B00734"/>
    <w:rsid w:val="00B0137C"/>
    <w:rsid w:val="00B0174C"/>
    <w:rsid w:val="00B0490A"/>
    <w:rsid w:val="00B05016"/>
    <w:rsid w:val="00B0686D"/>
    <w:rsid w:val="00B078E9"/>
    <w:rsid w:val="00B10A96"/>
    <w:rsid w:val="00B26069"/>
    <w:rsid w:val="00B3048E"/>
    <w:rsid w:val="00B31A50"/>
    <w:rsid w:val="00B31E72"/>
    <w:rsid w:val="00B32958"/>
    <w:rsid w:val="00B34F71"/>
    <w:rsid w:val="00B352C2"/>
    <w:rsid w:val="00B360DA"/>
    <w:rsid w:val="00B37433"/>
    <w:rsid w:val="00B403EF"/>
    <w:rsid w:val="00B421F0"/>
    <w:rsid w:val="00B43D5D"/>
    <w:rsid w:val="00B52950"/>
    <w:rsid w:val="00B53C65"/>
    <w:rsid w:val="00B629B4"/>
    <w:rsid w:val="00B65DD6"/>
    <w:rsid w:val="00B66A20"/>
    <w:rsid w:val="00B721EA"/>
    <w:rsid w:val="00B75B44"/>
    <w:rsid w:val="00B80281"/>
    <w:rsid w:val="00B81445"/>
    <w:rsid w:val="00B82246"/>
    <w:rsid w:val="00B8268E"/>
    <w:rsid w:val="00B839F0"/>
    <w:rsid w:val="00B8460E"/>
    <w:rsid w:val="00B86F71"/>
    <w:rsid w:val="00B902E2"/>
    <w:rsid w:val="00B90AB6"/>
    <w:rsid w:val="00B9445C"/>
    <w:rsid w:val="00B94622"/>
    <w:rsid w:val="00B967AD"/>
    <w:rsid w:val="00B97E54"/>
    <w:rsid w:val="00BA020A"/>
    <w:rsid w:val="00BA0264"/>
    <w:rsid w:val="00BA0A7F"/>
    <w:rsid w:val="00BA3BE4"/>
    <w:rsid w:val="00BA5D58"/>
    <w:rsid w:val="00BA6C6B"/>
    <w:rsid w:val="00BB1125"/>
    <w:rsid w:val="00BB1AB3"/>
    <w:rsid w:val="00BB23A7"/>
    <w:rsid w:val="00BB78EF"/>
    <w:rsid w:val="00BC33FF"/>
    <w:rsid w:val="00BC53F8"/>
    <w:rsid w:val="00BC54B8"/>
    <w:rsid w:val="00BC6A3E"/>
    <w:rsid w:val="00BD148E"/>
    <w:rsid w:val="00BD3015"/>
    <w:rsid w:val="00BD3795"/>
    <w:rsid w:val="00BD4461"/>
    <w:rsid w:val="00BD4BD9"/>
    <w:rsid w:val="00BE03F8"/>
    <w:rsid w:val="00BE04CC"/>
    <w:rsid w:val="00BE17ED"/>
    <w:rsid w:val="00BE2209"/>
    <w:rsid w:val="00BE27CB"/>
    <w:rsid w:val="00BE312B"/>
    <w:rsid w:val="00BE3DFB"/>
    <w:rsid w:val="00BE65B3"/>
    <w:rsid w:val="00BF00AA"/>
    <w:rsid w:val="00BF1D73"/>
    <w:rsid w:val="00BF479C"/>
    <w:rsid w:val="00BF491B"/>
    <w:rsid w:val="00BF4FCE"/>
    <w:rsid w:val="00BF55ED"/>
    <w:rsid w:val="00BF5F27"/>
    <w:rsid w:val="00BF7381"/>
    <w:rsid w:val="00C03F5F"/>
    <w:rsid w:val="00C07B04"/>
    <w:rsid w:val="00C13027"/>
    <w:rsid w:val="00C1342A"/>
    <w:rsid w:val="00C17C6D"/>
    <w:rsid w:val="00C21F18"/>
    <w:rsid w:val="00C22DDD"/>
    <w:rsid w:val="00C23292"/>
    <w:rsid w:val="00C23B68"/>
    <w:rsid w:val="00C26623"/>
    <w:rsid w:val="00C26F36"/>
    <w:rsid w:val="00C30A77"/>
    <w:rsid w:val="00C31F61"/>
    <w:rsid w:val="00C3215E"/>
    <w:rsid w:val="00C3346F"/>
    <w:rsid w:val="00C33585"/>
    <w:rsid w:val="00C344DE"/>
    <w:rsid w:val="00C40205"/>
    <w:rsid w:val="00C41D06"/>
    <w:rsid w:val="00C43A0B"/>
    <w:rsid w:val="00C45D60"/>
    <w:rsid w:val="00C47535"/>
    <w:rsid w:val="00C52A18"/>
    <w:rsid w:val="00C55165"/>
    <w:rsid w:val="00C55746"/>
    <w:rsid w:val="00C560DA"/>
    <w:rsid w:val="00C57318"/>
    <w:rsid w:val="00C6025C"/>
    <w:rsid w:val="00C643C2"/>
    <w:rsid w:val="00C67D05"/>
    <w:rsid w:val="00C75783"/>
    <w:rsid w:val="00C75D9C"/>
    <w:rsid w:val="00C8046D"/>
    <w:rsid w:val="00C82F2B"/>
    <w:rsid w:val="00C853BD"/>
    <w:rsid w:val="00C86428"/>
    <w:rsid w:val="00C92327"/>
    <w:rsid w:val="00C93A97"/>
    <w:rsid w:val="00C95F57"/>
    <w:rsid w:val="00CA622F"/>
    <w:rsid w:val="00CA7AFF"/>
    <w:rsid w:val="00CB0D44"/>
    <w:rsid w:val="00CB3C72"/>
    <w:rsid w:val="00CB6BA2"/>
    <w:rsid w:val="00CB70DA"/>
    <w:rsid w:val="00CB733D"/>
    <w:rsid w:val="00CC39E1"/>
    <w:rsid w:val="00CD28E6"/>
    <w:rsid w:val="00CD565F"/>
    <w:rsid w:val="00CD58FB"/>
    <w:rsid w:val="00CD6D86"/>
    <w:rsid w:val="00CD7728"/>
    <w:rsid w:val="00CD7E12"/>
    <w:rsid w:val="00CE014E"/>
    <w:rsid w:val="00CE05D1"/>
    <w:rsid w:val="00CE3860"/>
    <w:rsid w:val="00CE638A"/>
    <w:rsid w:val="00CE7955"/>
    <w:rsid w:val="00CF09A6"/>
    <w:rsid w:val="00CF3B7E"/>
    <w:rsid w:val="00CF4396"/>
    <w:rsid w:val="00CF6D93"/>
    <w:rsid w:val="00D008ED"/>
    <w:rsid w:val="00D14B42"/>
    <w:rsid w:val="00D166B8"/>
    <w:rsid w:val="00D1784C"/>
    <w:rsid w:val="00D22957"/>
    <w:rsid w:val="00D26DD7"/>
    <w:rsid w:val="00D2720E"/>
    <w:rsid w:val="00D27CA7"/>
    <w:rsid w:val="00D32DE0"/>
    <w:rsid w:val="00D33550"/>
    <w:rsid w:val="00D35E5D"/>
    <w:rsid w:val="00D37D8E"/>
    <w:rsid w:val="00D410F3"/>
    <w:rsid w:val="00D435AF"/>
    <w:rsid w:val="00D45352"/>
    <w:rsid w:val="00D50750"/>
    <w:rsid w:val="00D536E3"/>
    <w:rsid w:val="00D61E1B"/>
    <w:rsid w:val="00D622D2"/>
    <w:rsid w:val="00D67D7C"/>
    <w:rsid w:val="00D71F36"/>
    <w:rsid w:val="00D74B48"/>
    <w:rsid w:val="00D80626"/>
    <w:rsid w:val="00D8306F"/>
    <w:rsid w:val="00D84559"/>
    <w:rsid w:val="00D86A6A"/>
    <w:rsid w:val="00D910AF"/>
    <w:rsid w:val="00D9132E"/>
    <w:rsid w:val="00D94150"/>
    <w:rsid w:val="00D97137"/>
    <w:rsid w:val="00DA42D9"/>
    <w:rsid w:val="00DB006E"/>
    <w:rsid w:val="00DB1E86"/>
    <w:rsid w:val="00DC0016"/>
    <w:rsid w:val="00DC21B5"/>
    <w:rsid w:val="00DD0FA3"/>
    <w:rsid w:val="00DD7394"/>
    <w:rsid w:val="00DE08B0"/>
    <w:rsid w:val="00DE63FF"/>
    <w:rsid w:val="00DE69D8"/>
    <w:rsid w:val="00DE706D"/>
    <w:rsid w:val="00DE766A"/>
    <w:rsid w:val="00DF0890"/>
    <w:rsid w:val="00DF0DA5"/>
    <w:rsid w:val="00DF17B5"/>
    <w:rsid w:val="00DF445D"/>
    <w:rsid w:val="00DF5B0E"/>
    <w:rsid w:val="00DF7D68"/>
    <w:rsid w:val="00E03027"/>
    <w:rsid w:val="00E06DB8"/>
    <w:rsid w:val="00E12629"/>
    <w:rsid w:val="00E138FA"/>
    <w:rsid w:val="00E202DA"/>
    <w:rsid w:val="00E23F22"/>
    <w:rsid w:val="00E24506"/>
    <w:rsid w:val="00E24ED7"/>
    <w:rsid w:val="00E26518"/>
    <w:rsid w:val="00E26E4F"/>
    <w:rsid w:val="00E3013D"/>
    <w:rsid w:val="00E31ECE"/>
    <w:rsid w:val="00E344C3"/>
    <w:rsid w:val="00E34E8C"/>
    <w:rsid w:val="00E35321"/>
    <w:rsid w:val="00E35E1E"/>
    <w:rsid w:val="00E36C42"/>
    <w:rsid w:val="00E36F88"/>
    <w:rsid w:val="00E37A9D"/>
    <w:rsid w:val="00E44464"/>
    <w:rsid w:val="00E44887"/>
    <w:rsid w:val="00E50BC7"/>
    <w:rsid w:val="00E52EA1"/>
    <w:rsid w:val="00E55658"/>
    <w:rsid w:val="00E60EC6"/>
    <w:rsid w:val="00E623C7"/>
    <w:rsid w:val="00E63B7B"/>
    <w:rsid w:val="00E64E2E"/>
    <w:rsid w:val="00E65449"/>
    <w:rsid w:val="00E70235"/>
    <w:rsid w:val="00E716CF"/>
    <w:rsid w:val="00E71C2C"/>
    <w:rsid w:val="00E762CC"/>
    <w:rsid w:val="00E76979"/>
    <w:rsid w:val="00E83F39"/>
    <w:rsid w:val="00E84694"/>
    <w:rsid w:val="00E96E5E"/>
    <w:rsid w:val="00E9754A"/>
    <w:rsid w:val="00E97E4B"/>
    <w:rsid w:val="00EA0A1B"/>
    <w:rsid w:val="00EA2BFC"/>
    <w:rsid w:val="00EA2C3C"/>
    <w:rsid w:val="00EA4235"/>
    <w:rsid w:val="00EB320F"/>
    <w:rsid w:val="00EB53A0"/>
    <w:rsid w:val="00EB5C49"/>
    <w:rsid w:val="00EC1341"/>
    <w:rsid w:val="00EC14EF"/>
    <w:rsid w:val="00EC2DA6"/>
    <w:rsid w:val="00EC75A4"/>
    <w:rsid w:val="00EC76E9"/>
    <w:rsid w:val="00ED0B21"/>
    <w:rsid w:val="00ED14AD"/>
    <w:rsid w:val="00ED2123"/>
    <w:rsid w:val="00ED2A72"/>
    <w:rsid w:val="00ED2D06"/>
    <w:rsid w:val="00ED3499"/>
    <w:rsid w:val="00EE425D"/>
    <w:rsid w:val="00EE4AC1"/>
    <w:rsid w:val="00EE4E05"/>
    <w:rsid w:val="00EF101F"/>
    <w:rsid w:val="00EF27A6"/>
    <w:rsid w:val="00EF56B0"/>
    <w:rsid w:val="00EF580D"/>
    <w:rsid w:val="00F00752"/>
    <w:rsid w:val="00F03859"/>
    <w:rsid w:val="00F049F7"/>
    <w:rsid w:val="00F04ACB"/>
    <w:rsid w:val="00F04D19"/>
    <w:rsid w:val="00F13AC2"/>
    <w:rsid w:val="00F15361"/>
    <w:rsid w:val="00F15C4F"/>
    <w:rsid w:val="00F200AD"/>
    <w:rsid w:val="00F20293"/>
    <w:rsid w:val="00F206D8"/>
    <w:rsid w:val="00F212BB"/>
    <w:rsid w:val="00F2285F"/>
    <w:rsid w:val="00F22E03"/>
    <w:rsid w:val="00F261A5"/>
    <w:rsid w:val="00F307AC"/>
    <w:rsid w:val="00F30924"/>
    <w:rsid w:val="00F315E5"/>
    <w:rsid w:val="00F31E66"/>
    <w:rsid w:val="00F32FC3"/>
    <w:rsid w:val="00F33051"/>
    <w:rsid w:val="00F33097"/>
    <w:rsid w:val="00F33913"/>
    <w:rsid w:val="00F34F43"/>
    <w:rsid w:val="00F40DAF"/>
    <w:rsid w:val="00F4347D"/>
    <w:rsid w:val="00F442FB"/>
    <w:rsid w:val="00F44439"/>
    <w:rsid w:val="00F452FC"/>
    <w:rsid w:val="00F46174"/>
    <w:rsid w:val="00F46F33"/>
    <w:rsid w:val="00F506D8"/>
    <w:rsid w:val="00F5382C"/>
    <w:rsid w:val="00F57D39"/>
    <w:rsid w:val="00F60884"/>
    <w:rsid w:val="00F61E64"/>
    <w:rsid w:val="00F62A99"/>
    <w:rsid w:val="00F62BAF"/>
    <w:rsid w:val="00F724D1"/>
    <w:rsid w:val="00F72C79"/>
    <w:rsid w:val="00F72F4B"/>
    <w:rsid w:val="00F734D0"/>
    <w:rsid w:val="00F739EE"/>
    <w:rsid w:val="00F74527"/>
    <w:rsid w:val="00F74C4D"/>
    <w:rsid w:val="00F74D73"/>
    <w:rsid w:val="00F75B93"/>
    <w:rsid w:val="00F76067"/>
    <w:rsid w:val="00F761EC"/>
    <w:rsid w:val="00F77E69"/>
    <w:rsid w:val="00F80D5F"/>
    <w:rsid w:val="00F80D71"/>
    <w:rsid w:val="00F825E3"/>
    <w:rsid w:val="00F90F27"/>
    <w:rsid w:val="00F92EF6"/>
    <w:rsid w:val="00F940C8"/>
    <w:rsid w:val="00FA0D76"/>
    <w:rsid w:val="00FA7096"/>
    <w:rsid w:val="00FB18B1"/>
    <w:rsid w:val="00FB1950"/>
    <w:rsid w:val="00FB5308"/>
    <w:rsid w:val="00FB6964"/>
    <w:rsid w:val="00FB7929"/>
    <w:rsid w:val="00FC4D3C"/>
    <w:rsid w:val="00FD09FD"/>
    <w:rsid w:val="00FD3069"/>
    <w:rsid w:val="00FD5C1A"/>
    <w:rsid w:val="00FE1CD6"/>
    <w:rsid w:val="00FE250B"/>
    <w:rsid w:val="00FE26CB"/>
    <w:rsid w:val="00FE280E"/>
    <w:rsid w:val="00FF0FE1"/>
    <w:rsid w:val="00FF308C"/>
    <w:rsid w:val="00FF3C30"/>
    <w:rsid w:val="00FF4340"/>
    <w:rsid w:val="00FF535A"/>
    <w:rsid w:val="00FF6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38E"/>
    <w:pPr>
      <w:spacing w:after="240" w:line="288" w:lineRule="auto"/>
    </w:pPr>
    <w:rPr>
      <w:rFonts w:ascii="Calibri" w:eastAsia="Times New Roman" w:hAnsi="Calibri" w:cs="Times New Roman"/>
      <w:sz w:val="23"/>
      <w:szCs w:val="24"/>
    </w:rPr>
  </w:style>
  <w:style w:type="paragraph" w:styleId="Heading3">
    <w:name w:val="heading 3"/>
    <w:basedOn w:val="Normal"/>
    <w:link w:val="Heading3Char"/>
    <w:uiPriority w:val="9"/>
    <w:qFormat/>
    <w:rsid w:val="003D2941"/>
    <w:pPr>
      <w:spacing w:before="100" w:beforeAutospacing="1" w:after="100" w:afterAutospacing="1" w:line="240" w:lineRule="auto"/>
      <w:outlineLvl w:val="2"/>
    </w:pPr>
    <w:rPr>
      <w:rFonts w:ascii="Times New Roman" w:hAnsi="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6F038E"/>
    <w:rPr>
      <w:color w:val="434343"/>
      <w:sz w:val="20"/>
      <w:vertAlign w:val="superscript"/>
      <w:lang w:val="en-US" w:eastAsia="ja-JP"/>
    </w:rPr>
  </w:style>
  <w:style w:type="paragraph" w:styleId="FootnoteText">
    <w:name w:val="footnote text"/>
    <w:aliases w:val="ACMA Footnote Text"/>
    <w:basedOn w:val="Normal"/>
    <w:link w:val="FootnoteTextChar"/>
    <w:uiPriority w:val="99"/>
    <w:rsid w:val="006F038E"/>
    <w:pPr>
      <w:tabs>
        <w:tab w:val="left" w:pos="567"/>
      </w:tabs>
      <w:spacing w:after="200" w:line="300" w:lineRule="auto"/>
      <w:ind w:left="567" w:hanging="567"/>
    </w:pPr>
    <w:rPr>
      <w:sz w:val="16"/>
      <w:szCs w:val="20"/>
    </w:rPr>
  </w:style>
  <w:style w:type="character" w:customStyle="1" w:styleId="FootnoteTextChar">
    <w:name w:val="Footnote Text Char"/>
    <w:aliases w:val="ACMA Footnote Text Char"/>
    <w:basedOn w:val="DefaultParagraphFont"/>
    <w:link w:val="FootnoteText"/>
    <w:uiPriority w:val="99"/>
    <w:rsid w:val="006F038E"/>
    <w:rPr>
      <w:rFonts w:ascii="Calibri" w:eastAsia="Times New Roman" w:hAnsi="Calibri" w:cs="Times New Roman"/>
      <w:sz w:val="16"/>
      <w:szCs w:val="20"/>
    </w:rPr>
  </w:style>
  <w:style w:type="character" w:styleId="Hyperlink">
    <w:name w:val="Hyperlink"/>
    <w:basedOn w:val="DefaultParagraphFont"/>
    <w:uiPriority w:val="99"/>
    <w:rsid w:val="006F038E"/>
    <w:rPr>
      <w:rFonts w:cs="Times New Roman"/>
      <w:color w:val="0000FF"/>
      <w:u w:val="single"/>
    </w:rPr>
  </w:style>
  <w:style w:type="paragraph" w:styleId="ListParagraph">
    <w:name w:val="List Paragraph"/>
    <w:basedOn w:val="Normal"/>
    <w:uiPriority w:val="34"/>
    <w:qFormat/>
    <w:rsid w:val="006F038E"/>
    <w:pPr>
      <w:spacing w:line="264" w:lineRule="auto"/>
      <w:ind w:left="720"/>
      <w:contextualSpacing/>
    </w:pPr>
    <w:rPr>
      <w:lang w:val="en-GB" w:eastAsia="en-GB"/>
    </w:rPr>
  </w:style>
  <w:style w:type="paragraph" w:styleId="BalloonText">
    <w:name w:val="Balloon Text"/>
    <w:basedOn w:val="Normal"/>
    <w:link w:val="BalloonTextChar"/>
    <w:uiPriority w:val="99"/>
    <w:semiHidden/>
    <w:unhideWhenUsed/>
    <w:rsid w:val="00F43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47D"/>
    <w:rPr>
      <w:rFonts w:ascii="Tahoma" w:eastAsia="Times New Roman" w:hAnsi="Tahoma" w:cs="Tahoma"/>
      <w:sz w:val="16"/>
      <w:szCs w:val="16"/>
    </w:rPr>
  </w:style>
  <w:style w:type="paragraph" w:styleId="Header">
    <w:name w:val="header"/>
    <w:basedOn w:val="Normal"/>
    <w:link w:val="HeaderChar"/>
    <w:uiPriority w:val="99"/>
    <w:semiHidden/>
    <w:unhideWhenUsed/>
    <w:rsid w:val="00BF00A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F00AA"/>
    <w:rPr>
      <w:rFonts w:ascii="Calibri" w:eastAsia="Times New Roman" w:hAnsi="Calibri" w:cs="Times New Roman"/>
      <w:sz w:val="23"/>
      <w:szCs w:val="24"/>
    </w:rPr>
  </w:style>
  <w:style w:type="paragraph" w:styleId="Footer">
    <w:name w:val="footer"/>
    <w:basedOn w:val="Normal"/>
    <w:link w:val="FooterChar"/>
    <w:uiPriority w:val="99"/>
    <w:unhideWhenUsed/>
    <w:rsid w:val="00BF0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0AA"/>
    <w:rPr>
      <w:rFonts w:ascii="Calibri" w:eastAsia="Times New Roman" w:hAnsi="Calibri" w:cs="Times New Roman"/>
      <w:sz w:val="23"/>
      <w:szCs w:val="24"/>
    </w:rPr>
  </w:style>
  <w:style w:type="paragraph" w:customStyle="1" w:styleId="Default">
    <w:name w:val="Default"/>
    <w:rsid w:val="00722F46"/>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3D2941"/>
    <w:rPr>
      <w:rFonts w:ascii="Times New Roman" w:eastAsia="Times New Roman" w:hAnsi="Times New Roman" w:cs="Times New Roman"/>
      <w:b/>
      <w:bCs/>
      <w:sz w:val="27"/>
      <w:szCs w:val="27"/>
      <w:lang w:eastAsia="en-AU"/>
    </w:rPr>
  </w:style>
  <w:style w:type="paragraph" w:styleId="HTMLPreformatted">
    <w:name w:val="HTML Preformatted"/>
    <w:basedOn w:val="Normal"/>
    <w:link w:val="HTMLPreformattedChar"/>
    <w:uiPriority w:val="99"/>
    <w:semiHidden/>
    <w:unhideWhenUsed/>
    <w:rsid w:val="003D2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3D2941"/>
    <w:rPr>
      <w:rFonts w:ascii="Courier New" w:eastAsia="Times New Roman" w:hAnsi="Courier New" w:cs="Courier New"/>
      <w:szCs w:val="20"/>
      <w:lang w:eastAsia="en-AU"/>
    </w:rPr>
  </w:style>
  <w:style w:type="character" w:styleId="Emphasis">
    <w:name w:val="Emphasis"/>
    <w:basedOn w:val="DefaultParagraphFont"/>
    <w:uiPriority w:val="20"/>
    <w:qFormat/>
    <w:rsid w:val="00B0490A"/>
    <w:rPr>
      <w:i/>
      <w:iCs/>
    </w:rPr>
  </w:style>
  <w:style w:type="character" w:customStyle="1" w:styleId="nobr1">
    <w:name w:val="nobr1"/>
    <w:basedOn w:val="DefaultParagraphFont"/>
    <w:rsid w:val="00B0490A"/>
  </w:style>
  <w:style w:type="paragraph" w:customStyle="1" w:styleId="blocktextarial">
    <w:name w:val="blocktextarial"/>
    <w:basedOn w:val="Normal"/>
    <w:rsid w:val="00735B78"/>
    <w:pPr>
      <w:spacing w:after="27" w:line="240" w:lineRule="auto"/>
    </w:pPr>
    <w:rPr>
      <w:rFonts w:ascii="Arial" w:hAnsi="Arial" w:cs="Arial"/>
      <w:color w:val="000000"/>
      <w:sz w:val="24"/>
      <w:lang w:eastAsia="en-AU"/>
    </w:rPr>
  </w:style>
  <w:style w:type="paragraph" w:styleId="NormalWeb">
    <w:name w:val="Normal (Web)"/>
    <w:basedOn w:val="Normal"/>
    <w:uiPriority w:val="99"/>
    <w:semiHidden/>
    <w:unhideWhenUsed/>
    <w:rsid w:val="00381A96"/>
    <w:pPr>
      <w:spacing w:before="100" w:beforeAutospacing="1" w:after="100" w:afterAutospacing="1" w:line="240" w:lineRule="auto"/>
    </w:pPr>
    <w:rPr>
      <w:rFonts w:ascii="Times New Roman" w:hAnsi="Times New Roman"/>
      <w:color w:val="000000"/>
      <w:sz w:val="24"/>
      <w:lang w:eastAsia="en-AU"/>
    </w:rPr>
  </w:style>
  <w:style w:type="paragraph" w:customStyle="1" w:styleId="ActHead5">
    <w:name w:val="ActHead 5"/>
    <w:aliases w:val="s"/>
    <w:basedOn w:val="Normal"/>
    <w:next w:val="subsection"/>
    <w:qFormat/>
    <w:rsid w:val="009A212E"/>
    <w:pPr>
      <w:keepNext/>
      <w:keepLines/>
      <w:spacing w:before="280" w:after="0" w:line="240" w:lineRule="auto"/>
      <w:ind w:left="1134" w:hanging="1134"/>
      <w:outlineLvl w:val="4"/>
    </w:pPr>
    <w:rPr>
      <w:rFonts w:ascii="Times New Roman" w:hAnsi="Times New Roman"/>
      <w:b/>
      <w:kern w:val="28"/>
      <w:sz w:val="24"/>
      <w:szCs w:val="20"/>
      <w:lang w:eastAsia="en-AU"/>
    </w:rPr>
  </w:style>
  <w:style w:type="character" w:customStyle="1" w:styleId="CharSectno">
    <w:name w:val="CharSectno"/>
    <w:basedOn w:val="DefaultParagraphFont"/>
    <w:qFormat/>
    <w:rsid w:val="009A212E"/>
  </w:style>
  <w:style w:type="paragraph" w:customStyle="1" w:styleId="subsection">
    <w:name w:val="subsection"/>
    <w:aliases w:val="ss"/>
    <w:basedOn w:val="Normal"/>
    <w:link w:val="subsectionChar"/>
    <w:rsid w:val="009A212E"/>
    <w:pPr>
      <w:tabs>
        <w:tab w:val="right" w:pos="1021"/>
      </w:tabs>
      <w:spacing w:before="180" w:after="0" w:line="240" w:lineRule="auto"/>
      <w:ind w:left="1134" w:hanging="1134"/>
    </w:pPr>
    <w:rPr>
      <w:rFonts w:ascii="Times New Roman" w:hAnsi="Times New Roman"/>
      <w:sz w:val="22"/>
      <w:szCs w:val="20"/>
      <w:lang w:eastAsia="en-AU"/>
    </w:rPr>
  </w:style>
  <w:style w:type="character" w:customStyle="1" w:styleId="subsectionChar">
    <w:name w:val="subsection Char"/>
    <w:aliases w:val="ss Char"/>
    <w:basedOn w:val="DefaultParagraphFont"/>
    <w:link w:val="subsection"/>
    <w:rsid w:val="009A212E"/>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9A212E"/>
    <w:pPr>
      <w:tabs>
        <w:tab w:val="right" w:pos="1531"/>
      </w:tabs>
      <w:spacing w:before="40" w:after="0" w:line="240" w:lineRule="auto"/>
      <w:ind w:left="1644" w:hanging="1644"/>
    </w:pPr>
    <w:rPr>
      <w:rFonts w:ascii="Times New Roman" w:hAnsi="Times New Roman"/>
      <w:sz w:val="22"/>
      <w:szCs w:val="20"/>
      <w:lang w:eastAsia="en-AU"/>
    </w:rPr>
  </w:style>
  <w:style w:type="paragraph" w:customStyle="1" w:styleId="paragraphsub">
    <w:name w:val="paragraph(sub)"/>
    <w:aliases w:val="aa"/>
    <w:basedOn w:val="Normal"/>
    <w:rsid w:val="009A212E"/>
    <w:pPr>
      <w:tabs>
        <w:tab w:val="right" w:pos="1985"/>
      </w:tabs>
      <w:spacing w:before="40" w:after="0" w:line="240" w:lineRule="auto"/>
      <w:ind w:left="2098" w:hanging="2098"/>
    </w:pPr>
    <w:rPr>
      <w:rFonts w:ascii="Times New Roman" w:hAnsi="Times New Roman"/>
      <w:sz w:val="22"/>
      <w:szCs w:val="20"/>
      <w:lang w:eastAsia="en-AU"/>
    </w:rPr>
  </w:style>
  <w:style w:type="character" w:customStyle="1" w:styleId="paragraphChar">
    <w:name w:val="paragraph Char"/>
    <w:aliases w:val="a Char"/>
    <w:basedOn w:val="DefaultParagraphFont"/>
    <w:link w:val="paragraph"/>
    <w:rsid w:val="009A212E"/>
    <w:rPr>
      <w:rFonts w:ascii="Times New Roman" w:eastAsia="Times New Roman" w:hAnsi="Times New Roman" w:cs="Times New Roman"/>
      <w:sz w:val="22"/>
      <w:szCs w:val="20"/>
      <w:lang w:eastAsia="en-AU"/>
    </w:rPr>
  </w:style>
  <w:style w:type="paragraph" w:customStyle="1" w:styleId="subsection2">
    <w:name w:val="subsection2"/>
    <w:aliases w:val="ss2"/>
    <w:basedOn w:val="Normal"/>
    <w:next w:val="subsection"/>
    <w:link w:val="subsection2Char"/>
    <w:rsid w:val="009A212E"/>
    <w:pPr>
      <w:spacing w:before="40" w:after="0" w:line="240" w:lineRule="auto"/>
      <w:ind w:left="1134"/>
    </w:pPr>
    <w:rPr>
      <w:rFonts w:ascii="Times New Roman" w:hAnsi="Times New Roman"/>
      <w:sz w:val="22"/>
      <w:szCs w:val="20"/>
      <w:lang w:eastAsia="en-AU"/>
    </w:rPr>
  </w:style>
  <w:style w:type="character" w:customStyle="1" w:styleId="subsection2Char">
    <w:name w:val="subsection2 Char"/>
    <w:aliases w:val="ss2 Char"/>
    <w:basedOn w:val="DefaultParagraphFont"/>
    <w:link w:val="subsection2"/>
    <w:rsid w:val="009A212E"/>
    <w:rPr>
      <w:rFonts w:ascii="Times New Roman" w:eastAsia="Times New Roman" w:hAnsi="Times New Roman" w:cs="Times New Roman"/>
      <w:sz w:val="22"/>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0838">
      <w:bodyDiv w:val="1"/>
      <w:marLeft w:val="0"/>
      <w:marRight w:val="0"/>
      <w:marTop w:val="0"/>
      <w:marBottom w:val="0"/>
      <w:divBdr>
        <w:top w:val="none" w:sz="0" w:space="0" w:color="auto"/>
        <w:left w:val="none" w:sz="0" w:space="0" w:color="auto"/>
        <w:bottom w:val="none" w:sz="0" w:space="0" w:color="auto"/>
        <w:right w:val="none" w:sz="0" w:space="0" w:color="auto"/>
      </w:divBdr>
      <w:divsChild>
        <w:div w:id="702287454">
          <w:marLeft w:val="288"/>
          <w:marRight w:val="0"/>
          <w:marTop w:val="140"/>
          <w:marBottom w:val="0"/>
          <w:divBdr>
            <w:top w:val="none" w:sz="0" w:space="0" w:color="auto"/>
            <w:left w:val="none" w:sz="0" w:space="0" w:color="auto"/>
            <w:bottom w:val="none" w:sz="0" w:space="0" w:color="auto"/>
            <w:right w:val="none" w:sz="0" w:space="0" w:color="auto"/>
          </w:divBdr>
        </w:div>
        <w:div w:id="1081219120">
          <w:marLeft w:val="288"/>
          <w:marRight w:val="0"/>
          <w:marTop w:val="140"/>
          <w:marBottom w:val="0"/>
          <w:divBdr>
            <w:top w:val="none" w:sz="0" w:space="0" w:color="auto"/>
            <w:left w:val="none" w:sz="0" w:space="0" w:color="auto"/>
            <w:bottom w:val="none" w:sz="0" w:space="0" w:color="auto"/>
            <w:right w:val="none" w:sz="0" w:space="0" w:color="auto"/>
          </w:divBdr>
        </w:div>
        <w:div w:id="40978010">
          <w:marLeft w:val="288"/>
          <w:marRight w:val="0"/>
          <w:marTop w:val="140"/>
          <w:marBottom w:val="0"/>
          <w:divBdr>
            <w:top w:val="none" w:sz="0" w:space="0" w:color="auto"/>
            <w:left w:val="none" w:sz="0" w:space="0" w:color="auto"/>
            <w:bottom w:val="none" w:sz="0" w:space="0" w:color="auto"/>
            <w:right w:val="none" w:sz="0" w:space="0" w:color="auto"/>
          </w:divBdr>
        </w:div>
        <w:div w:id="1959556526">
          <w:marLeft w:val="288"/>
          <w:marRight w:val="0"/>
          <w:marTop w:val="140"/>
          <w:marBottom w:val="0"/>
          <w:divBdr>
            <w:top w:val="none" w:sz="0" w:space="0" w:color="auto"/>
            <w:left w:val="none" w:sz="0" w:space="0" w:color="auto"/>
            <w:bottom w:val="none" w:sz="0" w:space="0" w:color="auto"/>
            <w:right w:val="none" w:sz="0" w:space="0" w:color="auto"/>
          </w:divBdr>
        </w:div>
        <w:div w:id="1132871715">
          <w:marLeft w:val="288"/>
          <w:marRight w:val="0"/>
          <w:marTop w:val="140"/>
          <w:marBottom w:val="0"/>
          <w:divBdr>
            <w:top w:val="none" w:sz="0" w:space="0" w:color="auto"/>
            <w:left w:val="none" w:sz="0" w:space="0" w:color="auto"/>
            <w:bottom w:val="none" w:sz="0" w:space="0" w:color="auto"/>
            <w:right w:val="none" w:sz="0" w:space="0" w:color="auto"/>
          </w:divBdr>
        </w:div>
        <w:div w:id="620645868">
          <w:marLeft w:val="288"/>
          <w:marRight w:val="0"/>
          <w:marTop w:val="140"/>
          <w:marBottom w:val="0"/>
          <w:divBdr>
            <w:top w:val="none" w:sz="0" w:space="0" w:color="auto"/>
            <w:left w:val="none" w:sz="0" w:space="0" w:color="auto"/>
            <w:bottom w:val="none" w:sz="0" w:space="0" w:color="auto"/>
            <w:right w:val="none" w:sz="0" w:space="0" w:color="auto"/>
          </w:divBdr>
        </w:div>
        <w:div w:id="128673320">
          <w:marLeft w:val="288"/>
          <w:marRight w:val="0"/>
          <w:marTop w:val="140"/>
          <w:marBottom w:val="0"/>
          <w:divBdr>
            <w:top w:val="none" w:sz="0" w:space="0" w:color="auto"/>
            <w:left w:val="none" w:sz="0" w:space="0" w:color="auto"/>
            <w:bottom w:val="none" w:sz="0" w:space="0" w:color="auto"/>
            <w:right w:val="none" w:sz="0" w:space="0" w:color="auto"/>
          </w:divBdr>
        </w:div>
        <w:div w:id="678896480">
          <w:marLeft w:val="288"/>
          <w:marRight w:val="0"/>
          <w:marTop w:val="140"/>
          <w:marBottom w:val="0"/>
          <w:divBdr>
            <w:top w:val="none" w:sz="0" w:space="0" w:color="auto"/>
            <w:left w:val="none" w:sz="0" w:space="0" w:color="auto"/>
            <w:bottom w:val="none" w:sz="0" w:space="0" w:color="auto"/>
            <w:right w:val="none" w:sz="0" w:space="0" w:color="auto"/>
          </w:divBdr>
        </w:div>
        <w:div w:id="1032147173">
          <w:marLeft w:val="288"/>
          <w:marRight w:val="0"/>
          <w:marTop w:val="140"/>
          <w:marBottom w:val="0"/>
          <w:divBdr>
            <w:top w:val="none" w:sz="0" w:space="0" w:color="auto"/>
            <w:left w:val="none" w:sz="0" w:space="0" w:color="auto"/>
            <w:bottom w:val="none" w:sz="0" w:space="0" w:color="auto"/>
            <w:right w:val="none" w:sz="0" w:space="0" w:color="auto"/>
          </w:divBdr>
        </w:div>
        <w:div w:id="210269268">
          <w:marLeft w:val="288"/>
          <w:marRight w:val="0"/>
          <w:marTop w:val="140"/>
          <w:marBottom w:val="0"/>
          <w:divBdr>
            <w:top w:val="none" w:sz="0" w:space="0" w:color="auto"/>
            <w:left w:val="none" w:sz="0" w:space="0" w:color="auto"/>
            <w:bottom w:val="none" w:sz="0" w:space="0" w:color="auto"/>
            <w:right w:val="none" w:sz="0" w:space="0" w:color="auto"/>
          </w:divBdr>
        </w:div>
        <w:div w:id="11928956">
          <w:marLeft w:val="288"/>
          <w:marRight w:val="0"/>
          <w:marTop w:val="140"/>
          <w:marBottom w:val="0"/>
          <w:divBdr>
            <w:top w:val="none" w:sz="0" w:space="0" w:color="auto"/>
            <w:left w:val="none" w:sz="0" w:space="0" w:color="auto"/>
            <w:bottom w:val="none" w:sz="0" w:space="0" w:color="auto"/>
            <w:right w:val="none" w:sz="0" w:space="0" w:color="auto"/>
          </w:divBdr>
        </w:div>
        <w:div w:id="1917203803">
          <w:marLeft w:val="288"/>
          <w:marRight w:val="0"/>
          <w:marTop w:val="140"/>
          <w:marBottom w:val="0"/>
          <w:divBdr>
            <w:top w:val="none" w:sz="0" w:space="0" w:color="auto"/>
            <w:left w:val="none" w:sz="0" w:space="0" w:color="auto"/>
            <w:bottom w:val="none" w:sz="0" w:space="0" w:color="auto"/>
            <w:right w:val="none" w:sz="0" w:space="0" w:color="auto"/>
          </w:divBdr>
        </w:div>
      </w:divsChild>
    </w:div>
    <w:div w:id="433021165">
      <w:bodyDiv w:val="1"/>
      <w:marLeft w:val="0"/>
      <w:marRight w:val="0"/>
      <w:marTop w:val="0"/>
      <w:marBottom w:val="0"/>
      <w:divBdr>
        <w:top w:val="none" w:sz="0" w:space="0" w:color="auto"/>
        <w:left w:val="none" w:sz="0" w:space="0" w:color="auto"/>
        <w:bottom w:val="none" w:sz="0" w:space="0" w:color="auto"/>
        <w:right w:val="none" w:sz="0" w:space="0" w:color="auto"/>
      </w:divBdr>
      <w:divsChild>
        <w:div w:id="1399485">
          <w:marLeft w:val="0"/>
          <w:marRight w:val="0"/>
          <w:marTop w:val="0"/>
          <w:marBottom w:val="0"/>
          <w:divBdr>
            <w:top w:val="none" w:sz="0" w:space="0" w:color="auto"/>
            <w:left w:val="none" w:sz="0" w:space="0" w:color="auto"/>
            <w:bottom w:val="none" w:sz="0" w:space="0" w:color="auto"/>
            <w:right w:val="none" w:sz="0" w:space="0" w:color="auto"/>
          </w:divBdr>
          <w:divsChild>
            <w:div w:id="1540893649">
              <w:marLeft w:val="0"/>
              <w:marRight w:val="0"/>
              <w:marTop w:val="0"/>
              <w:marBottom w:val="0"/>
              <w:divBdr>
                <w:top w:val="none" w:sz="0" w:space="0" w:color="auto"/>
                <w:left w:val="none" w:sz="0" w:space="0" w:color="auto"/>
                <w:bottom w:val="none" w:sz="0" w:space="0" w:color="auto"/>
                <w:right w:val="none" w:sz="0" w:space="0" w:color="auto"/>
              </w:divBdr>
              <w:divsChild>
                <w:div w:id="1424959740">
                  <w:marLeft w:val="0"/>
                  <w:marRight w:val="0"/>
                  <w:marTop w:val="0"/>
                  <w:marBottom w:val="0"/>
                  <w:divBdr>
                    <w:top w:val="none" w:sz="0" w:space="0" w:color="auto"/>
                    <w:left w:val="none" w:sz="0" w:space="0" w:color="auto"/>
                    <w:bottom w:val="none" w:sz="0" w:space="0" w:color="auto"/>
                    <w:right w:val="none" w:sz="0" w:space="0" w:color="auto"/>
                  </w:divBdr>
                  <w:divsChild>
                    <w:div w:id="678772893">
                      <w:marLeft w:val="250"/>
                      <w:marRight w:val="125"/>
                      <w:marTop w:val="0"/>
                      <w:marBottom w:val="0"/>
                      <w:divBdr>
                        <w:top w:val="none" w:sz="0" w:space="0" w:color="auto"/>
                        <w:left w:val="none" w:sz="0" w:space="0" w:color="auto"/>
                        <w:bottom w:val="none" w:sz="0" w:space="0" w:color="auto"/>
                        <w:right w:val="none" w:sz="0" w:space="0" w:color="auto"/>
                      </w:divBdr>
                      <w:divsChild>
                        <w:div w:id="18599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378469">
      <w:bodyDiv w:val="1"/>
      <w:marLeft w:val="0"/>
      <w:marRight w:val="0"/>
      <w:marTop w:val="0"/>
      <w:marBottom w:val="0"/>
      <w:divBdr>
        <w:top w:val="none" w:sz="0" w:space="0" w:color="auto"/>
        <w:left w:val="none" w:sz="0" w:space="0" w:color="auto"/>
        <w:bottom w:val="none" w:sz="0" w:space="0" w:color="auto"/>
        <w:right w:val="none" w:sz="0" w:space="0" w:color="auto"/>
      </w:divBdr>
    </w:div>
    <w:div w:id="645016821">
      <w:bodyDiv w:val="1"/>
      <w:marLeft w:val="0"/>
      <w:marRight w:val="0"/>
      <w:marTop w:val="0"/>
      <w:marBottom w:val="0"/>
      <w:divBdr>
        <w:top w:val="none" w:sz="0" w:space="0" w:color="auto"/>
        <w:left w:val="none" w:sz="0" w:space="0" w:color="auto"/>
        <w:bottom w:val="none" w:sz="0" w:space="0" w:color="auto"/>
        <w:right w:val="none" w:sz="0" w:space="0" w:color="auto"/>
      </w:divBdr>
    </w:div>
    <w:div w:id="646978570">
      <w:bodyDiv w:val="1"/>
      <w:marLeft w:val="0"/>
      <w:marRight w:val="0"/>
      <w:marTop w:val="0"/>
      <w:marBottom w:val="0"/>
      <w:divBdr>
        <w:top w:val="none" w:sz="0" w:space="0" w:color="auto"/>
        <w:left w:val="none" w:sz="0" w:space="0" w:color="auto"/>
        <w:bottom w:val="none" w:sz="0" w:space="0" w:color="auto"/>
        <w:right w:val="none" w:sz="0" w:space="0" w:color="auto"/>
      </w:divBdr>
      <w:divsChild>
        <w:div w:id="467288216">
          <w:marLeft w:val="0"/>
          <w:marRight w:val="0"/>
          <w:marTop w:val="0"/>
          <w:marBottom w:val="0"/>
          <w:divBdr>
            <w:top w:val="none" w:sz="0" w:space="0" w:color="auto"/>
            <w:left w:val="none" w:sz="0" w:space="0" w:color="auto"/>
            <w:bottom w:val="none" w:sz="0" w:space="0" w:color="auto"/>
            <w:right w:val="none" w:sz="0" w:space="0" w:color="auto"/>
          </w:divBdr>
          <w:divsChild>
            <w:div w:id="4362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59696">
      <w:bodyDiv w:val="1"/>
      <w:marLeft w:val="0"/>
      <w:marRight w:val="0"/>
      <w:marTop w:val="0"/>
      <w:marBottom w:val="0"/>
      <w:divBdr>
        <w:top w:val="none" w:sz="0" w:space="0" w:color="auto"/>
        <w:left w:val="none" w:sz="0" w:space="0" w:color="auto"/>
        <w:bottom w:val="none" w:sz="0" w:space="0" w:color="auto"/>
        <w:right w:val="none" w:sz="0" w:space="0" w:color="auto"/>
      </w:divBdr>
      <w:divsChild>
        <w:div w:id="916283244">
          <w:blockQuote w:val="1"/>
          <w:marLeft w:val="750"/>
          <w:marRight w:val="750"/>
          <w:marTop w:val="100"/>
          <w:marBottom w:val="100"/>
          <w:divBdr>
            <w:top w:val="none" w:sz="0" w:space="0" w:color="auto"/>
            <w:left w:val="none" w:sz="0" w:space="0" w:color="auto"/>
            <w:bottom w:val="none" w:sz="0" w:space="0" w:color="auto"/>
            <w:right w:val="none" w:sz="0" w:space="0" w:color="auto"/>
          </w:divBdr>
        </w:div>
      </w:divsChild>
    </w:div>
    <w:div w:id="1370959816">
      <w:bodyDiv w:val="1"/>
      <w:marLeft w:val="0"/>
      <w:marRight w:val="0"/>
      <w:marTop w:val="0"/>
      <w:marBottom w:val="0"/>
      <w:divBdr>
        <w:top w:val="none" w:sz="0" w:space="0" w:color="auto"/>
        <w:left w:val="none" w:sz="0" w:space="0" w:color="auto"/>
        <w:bottom w:val="none" w:sz="0" w:space="0" w:color="auto"/>
        <w:right w:val="none" w:sz="0" w:space="0" w:color="auto"/>
      </w:divBdr>
    </w:div>
    <w:div w:id="1665936173">
      <w:bodyDiv w:val="1"/>
      <w:marLeft w:val="0"/>
      <w:marRight w:val="0"/>
      <w:marTop w:val="0"/>
      <w:marBottom w:val="0"/>
      <w:divBdr>
        <w:top w:val="none" w:sz="0" w:space="0" w:color="auto"/>
        <w:left w:val="none" w:sz="0" w:space="0" w:color="auto"/>
        <w:bottom w:val="none" w:sz="0" w:space="0" w:color="auto"/>
        <w:right w:val="none" w:sz="0" w:space="0" w:color="auto"/>
      </w:divBdr>
      <w:divsChild>
        <w:div w:id="1235776653">
          <w:marLeft w:val="0"/>
          <w:marRight w:val="0"/>
          <w:marTop w:val="0"/>
          <w:marBottom w:val="0"/>
          <w:divBdr>
            <w:top w:val="none" w:sz="0" w:space="0" w:color="auto"/>
            <w:left w:val="none" w:sz="0" w:space="0" w:color="auto"/>
            <w:bottom w:val="none" w:sz="0" w:space="0" w:color="auto"/>
            <w:right w:val="none" w:sz="0" w:space="0" w:color="auto"/>
          </w:divBdr>
          <w:divsChild>
            <w:div w:id="447551058">
              <w:marLeft w:val="0"/>
              <w:marRight w:val="0"/>
              <w:marTop w:val="0"/>
              <w:marBottom w:val="0"/>
              <w:divBdr>
                <w:top w:val="none" w:sz="0" w:space="0" w:color="auto"/>
                <w:left w:val="none" w:sz="0" w:space="0" w:color="auto"/>
                <w:bottom w:val="none" w:sz="0" w:space="0" w:color="auto"/>
                <w:right w:val="none" w:sz="0" w:space="0" w:color="auto"/>
              </w:divBdr>
              <w:divsChild>
                <w:div w:id="873423109">
                  <w:marLeft w:val="0"/>
                  <w:marRight w:val="0"/>
                  <w:marTop w:val="0"/>
                  <w:marBottom w:val="0"/>
                  <w:divBdr>
                    <w:top w:val="none" w:sz="0" w:space="0" w:color="auto"/>
                    <w:left w:val="none" w:sz="0" w:space="0" w:color="auto"/>
                    <w:bottom w:val="none" w:sz="0" w:space="0" w:color="auto"/>
                    <w:right w:val="none" w:sz="0" w:space="0" w:color="auto"/>
                  </w:divBdr>
                  <w:divsChild>
                    <w:div w:id="958612172">
                      <w:marLeft w:val="250"/>
                      <w:marRight w:val="125"/>
                      <w:marTop w:val="0"/>
                      <w:marBottom w:val="0"/>
                      <w:divBdr>
                        <w:top w:val="none" w:sz="0" w:space="0" w:color="auto"/>
                        <w:left w:val="none" w:sz="0" w:space="0" w:color="auto"/>
                        <w:bottom w:val="none" w:sz="0" w:space="0" w:color="auto"/>
                        <w:right w:val="none" w:sz="0" w:space="0" w:color="auto"/>
                      </w:divBdr>
                      <w:divsChild>
                        <w:div w:id="20540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3212">
      <w:bodyDiv w:val="1"/>
      <w:marLeft w:val="0"/>
      <w:marRight w:val="0"/>
      <w:marTop w:val="0"/>
      <w:marBottom w:val="0"/>
      <w:divBdr>
        <w:top w:val="none" w:sz="0" w:space="0" w:color="auto"/>
        <w:left w:val="none" w:sz="0" w:space="0" w:color="auto"/>
        <w:bottom w:val="none" w:sz="0" w:space="0" w:color="auto"/>
        <w:right w:val="none" w:sz="0" w:space="0" w:color="auto"/>
      </w:divBdr>
      <w:divsChild>
        <w:div w:id="68577133">
          <w:marLeft w:val="2246"/>
          <w:marRight w:val="0"/>
          <w:marTop w:val="0"/>
          <w:marBottom w:val="0"/>
          <w:divBdr>
            <w:top w:val="none" w:sz="0" w:space="0" w:color="auto"/>
            <w:left w:val="none" w:sz="0" w:space="0" w:color="auto"/>
            <w:bottom w:val="none" w:sz="0" w:space="0" w:color="auto"/>
            <w:right w:val="none" w:sz="0" w:space="0" w:color="auto"/>
          </w:divBdr>
          <w:divsChild>
            <w:div w:id="2066754893">
              <w:marLeft w:val="0"/>
              <w:marRight w:val="0"/>
              <w:marTop w:val="0"/>
              <w:marBottom w:val="0"/>
              <w:divBdr>
                <w:top w:val="none" w:sz="0" w:space="0" w:color="auto"/>
                <w:left w:val="none" w:sz="0" w:space="0" w:color="auto"/>
                <w:bottom w:val="none" w:sz="0" w:space="0" w:color="auto"/>
                <w:right w:val="none" w:sz="0" w:space="0" w:color="auto"/>
              </w:divBdr>
              <w:divsChild>
                <w:div w:id="1194658089">
                  <w:marLeft w:val="0"/>
                  <w:marRight w:val="0"/>
                  <w:marTop w:val="0"/>
                  <w:marBottom w:val="0"/>
                  <w:divBdr>
                    <w:top w:val="none" w:sz="0" w:space="0" w:color="auto"/>
                    <w:left w:val="none" w:sz="0" w:space="0" w:color="auto"/>
                    <w:bottom w:val="none" w:sz="0" w:space="0" w:color="auto"/>
                    <w:right w:val="none" w:sz="0" w:space="0" w:color="auto"/>
                  </w:divBdr>
                  <w:divsChild>
                    <w:div w:id="22177627">
                      <w:marLeft w:val="0"/>
                      <w:marRight w:val="0"/>
                      <w:marTop w:val="0"/>
                      <w:marBottom w:val="115"/>
                      <w:divBdr>
                        <w:top w:val="single" w:sz="8" w:space="12" w:color="EFFAE2"/>
                        <w:left w:val="single" w:sz="8" w:space="12" w:color="EFFAE2"/>
                        <w:bottom w:val="single" w:sz="8" w:space="12" w:color="EFFAE2"/>
                        <w:right w:val="single" w:sz="8" w:space="12" w:color="EFFAE2"/>
                      </w:divBdr>
                    </w:div>
                  </w:divsChild>
                </w:div>
              </w:divsChild>
            </w:div>
          </w:divsChild>
        </w:div>
      </w:divsChild>
    </w:div>
    <w:div w:id="1909535598">
      <w:bodyDiv w:val="1"/>
      <w:marLeft w:val="0"/>
      <w:marRight w:val="0"/>
      <w:marTop w:val="0"/>
      <w:marBottom w:val="0"/>
      <w:divBdr>
        <w:top w:val="none" w:sz="0" w:space="0" w:color="auto"/>
        <w:left w:val="none" w:sz="0" w:space="0" w:color="auto"/>
        <w:bottom w:val="none" w:sz="0" w:space="0" w:color="auto"/>
        <w:right w:val="none" w:sz="0" w:space="0" w:color="auto"/>
      </w:divBdr>
      <w:divsChild>
        <w:div w:id="1412314922">
          <w:marLeft w:val="0"/>
          <w:marRight w:val="0"/>
          <w:marTop w:val="0"/>
          <w:marBottom w:val="0"/>
          <w:divBdr>
            <w:top w:val="none" w:sz="0" w:space="0" w:color="auto"/>
            <w:left w:val="none" w:sz="0" w:space="0" w:color="auto"/>
            <w:bottom w:val="none" w:sz="0" w:space="0" w:color="auto"/>
            <w:right w:val="none" w:sz="0" w:space="0" w:color="auto"/>
          </w:divBdr>
          <w:divsChild>
            <w:div w:id="619993647">
              <w:marLeft w:val="0"/>
              <w:marRight w:val="0"/>
              <w:marTop w:val="0"/>
              <w:marBottom w:val="0"/>
              <w:divBdr>
                <w:top w:val="none" w:sz="0" w:space="0" w:color="auto"/>
                <w:left w:val="none" w:sz="0" w:space="0" w:color="auto"/>
                <w:bottom w:val="none" w:sz="0" w:space="0" w:color="auto"/>
                <w:right w:val="none" w:sz="0" w:space="0" w:color="auto"/>
              </w:divBdr>
              <w:divsChild>
                <w:div w:id="266810396">
                  <w:marLeft w:val="0"/>
                  <w:marRight w:val="0"/>
                  <w:marTop w:val="0"/>
                  <w:marBottom w:val="0"/>
                  <w:divBdr>
                    <w:top w:val="none" w:sz="0" w:space="0" w:color="auto"/>
                    <w:left w:val="none" w:sz="0" w:space="0" w:color="auto"/>
                    <w:bottom w:val="none" w:sz="0" w:space="0" w:color="auto"/>
                    <w:right w:val="none" w:sz="0" w:space="0" w:color="auto"/>
                  </w:divBdr>
                  <w:divsChild>
                    <w:div w:id="1224637402">
                      <w:marLeft w:val="0"/>
                      <w:marRight w:val="0"/>
                      <w:marTop w:val="0"/>
                      <w:marBottom w:val="0"/>
                      <w:divBdr>
                        <w:top w:val="none" w:sz="0" w:space="0" w:color="auto"/>
                        <w:left w:val="none" w:sz="0" w:space="0" w:color="auto"/>
                        <w:bottom w:val="none" w:sz="0" w:space="0" w:color="auto"/>
                        <w:right w:val="none" w:sz="0" w:space="0" w:color="auto"/>
                      </w:divBdr>
                      <w:divsChild>
                        <w:div w:id="161316805">
                          <w:marLeft w:val="0"/>
                          <w:marRight w:val="0"/>
                          <w:marTop w:val="0"/>
                          <w:marBottom w:val="0"/>
                          <w:divBdr>
                            <w:top w:val="single" w:sz="6" w:space="0" w:color="828282"/>
                            <w:left w:val="single" w:sz="6" w:space="0" w:color="828282"/>
                            <w:bottom w:val="single" w:sz="6" w:space="0" w:color="828282"/>
                            <w:right w:val="single" w:sz="6" w:space="0" w:color="828282"/>
                          </w:divBdr>
                          <w:divsChild>
                            <w:div w:id="2138404649">
                              <w:marLeft w:val="0"/>
                              <w:marRight w:val="0"/>
                              <w:marTop w:val="0"/>
                              <w:marBottom w:val="0"/>
                              <w:divBdr>
                                <w:top w:val="none" w:sz="0" w:space="0" w:color="auto"/>
                                <w:left w:val="none" w:sz="0" w:space="0" w:color="auto"/>
                                <w:bottom w:val="none" w:sz="0" w:space="0" w:color="auto"/>
                                <w:right w:val="none" w:sz="0" w:space="0" w:color="auto"/>
                              </w:divBdr>
                              <w:divsChild>
                                <w:div w:id="346837468">
                                  <w:marLeft w:val="0"/>
                                  <w:marRight w:val="0"/>
                                  <w:marTop w:val="0"/>
                                  <w:marBottom w:val="0"/>
                                  <w:divBdr>
                                    <w:top w:val="none" w:sz="0" w:space="0" w:color="auto"/>
                                    <w:left w:val="none" w:sz="0" w:space="0" w:color="auto"/>
                                    <w:bottom w:val="none" w:sz="0" w:space="0" w:color="auto"/>
                                    <w:right w:val="none" w:sz="0" w:space="0" w:color="auto"/>
                                  </w:divBdr>
                                  <w:divsChild>
                                    <w:div w:id="375013481">
                                      <w:marLeft w:val="0"/>
                                      <w:marRight w:val="0"/>
                                      <w:marTop w:val="0"/>
                                      <w:marBottom w:val="0"/>
                                      <w:divBdr>
                                        <w:top w:val="none" w:sz="0" w:space="0" w:color="auto"/>
                                        <w:left w:val="none" w:sz="0" w:space="0" w:color="auto"/>
                                        <w:bottom w:val="none" w:sz="0" w:space="0" w:color="auto"/>
                                        <w:right w:val="none" w:sz="0" w:space="0" w:color="auto"/>
                                      </w:divBdr>
                                      <w:divsChild>
                                        <w:div w:id="1422332072">
                                          <w:marLeft w:val="0"/>
                                          <w:marRight w:val="0"/>
                                          <w:marTop w:val="0"/>
                                          <w:marBottom w:val="0"/>
                                          <w:divBdr>
                                            <w:top w:val="none" w:sz="0" w:space="0" w:color="auto"/>
                                            <w:left w:val="none" w:sz="0" w:space="0" w:color="auto"/>
                                            <w:bottom w:val="none" w:sz="0" w:space="0" w:color="auto"/>
                                            <w:right w:val="none" w:sz="0" w:space="0" w:color="auto"/>
                                          </w:divBdr>
                                          <w:divsChild>
                                            <w:div w:id="15927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80C67-6E9F-4687-A065-4285E93EE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1728</TotalTime>
  <Pages>9</Pages>
  <Words>2842</Words>
  <Characters>16203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Submission DR687 - McMillan Shakespeare Group - Childcare and Early Childhood Learning - Public inquiry</vt:lpstr>
    </vt:vector>
  </TitlesOfParts>
  <Company/>
  <LinksUpToDate>false</LinksUpToDate>
  <CharactersWithSpaces>19007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DR687 - McMillan Shakespeare Group - Childcare and Early Childhood Learning - Public inquiry</dc:title>
  <dc:creator>McMillan Shakespeare Group</dc:creator>
  <cp:lastModifiedBy>Mark Pimperl</cp:lastModifiedBy>
  <cp:revision>44</cp:revision>
  <cp:lastPrinted>2014-09-04T05:20:00Z</cp:lastPrinted>
  <dcterms:created xsi:type="dcterms:W3CDTF">2014-08-15T03:08:00Z</dcterms:created>
  <dcterms:modified xsi:type="dcterms:W3CDTF">2014-09-10T05:56:00Z</dcterms:modified>
</cp:coreProperties>
</file>