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450475112"/>
        <w:docPartObj>
          <w:docPartGallery w:val="Cover Pages"/>
          <w:docPartUnique/>
        </w:docPartObj>
      </w:sdtPr>
      <w:sdtEndPr/>
      <w:sdtContent>
        <w:p w:rsidR="007F0EED" w:rsidRDefault="0024678A" w:rsidP="0024678A">
          <w:pPr>
            <w:jc w:val="center"/>
          </w:pPr>
          <w:r>
            <w:rPr>
              <w:noProof/>
              <w:lang w:eastAsia="en-AU"/>
            </w:rPr>
            <w:drawing>
              <wp:inline distT="0" distB="0" distL="0" distR="0">
                <wp:extent cx="914400" cy="1383665"/>
                <wp:effectExtent l="0" t="0" r="0" b="6985"/>
                <wp:docPr id="2" name="Picture 2" descr="N:\Communications\Letterhead\Letterhead\Letterhead Files From Education Image\word versio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N:\Communications\Letterhead\Letterhead\Letterhead Files From Education Image\word version\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1383665"/>
                        </a:xfrm>
                        <a:prstGeom prst="rect">
                          <a:avLst/>
                        </a:prstGeom>
                        <a:noFill/>
                        <a:ln>
                          <a:noFill/>
                        </a:ln>
                      </pic:spPr>
                    </pic:pic>
                  </a:graphicData>
                </a:graphic>
              </wp:inline>
            </w:drawing>
          </w:r>
        </w:p>
        <w:tbl>
          <w:tblPr>
            <w:tblW w:w="5000" w:type="pct"/>
            <w:jc w:val="center"/>
            <w:tblLook w:val="04A0" w:firstRow="1" w:lastRow="0" w:firstColumn="1" w:lastColumn="0" w:noHBand="0" w:noVBand="1"/>
          </w:tblPr>
          <w:tblGrid>
            <w:gridCol w:w="9242"/>
          </w:tblGrid>
          <w:tr w:rsidR="0024678A" w:rsidTr="00AE44FA">
            <w:trPr>
              <w:trHeight w:val="2880"/>
              <w:jc w:val="center"/>
            </w:trPr>
            <w:sdt>
              <w:sdtPr>
                <w:rPr>
                  <w:rFonts w:asciiTheme="majorHAnsi" w:eastAsiaTheme="majorEastAsia" w:hAnsiTheme="majorHAnsi" w:cstheme="majorBidi"/>
                  <w:caps/>
                  <w:lang w:val="en-AU" w:eastAsia="en-US"/>
                </w:rPr>
                <w:alias w:val="Company"/>
                <w:id w:val="15524243"/>
                <w:showingPlcHdr/>
                <w:dataBinding w:prefixMappings="xmlns:ns0='http://schemas.openxmlformats.org/officeDocument/2006/extended-properties'" w:xpath="/ns0:Properties[1]/ns0:Company[1]" w:storeItemID="{6668398D-A668-4E3E-A5EB-62B293D839F1}"/>
                <w:text/>
              </w:sdtPr>
              <w:sdtEndPr>
                <w:rPr>
                  <w:lang w:val="en-US" w:eastAsia="ja-JP"/>
                </w:rPr>
              </w:sdtEndPr>
              <w:sdtContent>
                <w:tc>
                  <w:tcPr>
                    <w:tcW w:w="5000" w:type="pct"/>
                  </w:tcPr>
                  <w:p w:rsidR="0024678A" w:rsidRDefault="00ED0418" w:rsidP="00AE44FA">
                    <w:pPr>
                      <w:pStyle w:val="NoSpacing"/>
                      <w:jc w:val="center"/>
                      <w:rPr>
                        <w:rFonts w:asciiTheme="majorHAnsi" w:eastAsiaTheme="majorEastAsia" w:hAnsiTheme="majorHAnsi" w:cstheme="majorBidi"/>
                        <w:caps/>
                      </w:rPr>
                    </w:pPr>
                    <w:r>
                      <w:rPr>
                        <w:rFonts w:asciiTheme="majorHAnsi" w:eastAsiaTheme="majorEastAsia" w:hAnsiTheme="majorHAnsi" w:cstheme="majorBidi"/>
                        <w:caps/>
                        <w:lang w:val="en-AU" w:eastAsia="en-US"/>
                      </w:rPr>
                      <w:t xml:space="preserve">     </w:t>
                    </w:r>
                  </w:p>
                </w:tc>
              </w:sdtContent>
            </w:sdt>
          </w:tr>
          <w:tr w:rsidR="0024678A" w:rsidTr="00AE44FA">
            <w:trPr>
              <w:trHeight w:val="1440"/>
              <w:jc w:val="center"/>
            </w:trPr>
            <w:sdt>
              <w:sdtPr>
                <w:rPr>
                  <w:rFonts w:asciiTheme="majorHAnsi" w:eastAsiaTheme="majorEastAsia" w:hAnsiTheme="majorHAnsi" w:cstheme="majorBidi"/>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24678A" w:rsidRDefault="00ED0418" w:rsidP="00AE44FA">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lang w:val="en-AU"/>
                      </w:rPr>
                      <w:t>Submission DR689 - Finance Sector Union of Australia - Childcare and Early Childhood Learning - Public inquiry</w:t>
                    </w:r>
                  </w:p>
                </w:tc>
              </w:sdtContent>
            </w:sdt>
          </w:tr>
          <w:tr w:rsidR="0024678A" w:rsidTr="00AE44FA">
            <w:trPr>
              <w:trHeight w:val="720"/>
              <w:jc w:val="center"/>
            </w:trPr>
            <w:sdt>
              <w:sdtPr>
                <w:rPr>
                  <w:rFonts w:asciiTheme="majorHAnsi" w:eastAsiaTheme="majorEastAsia" w:hAnsiTheme="majorHAnsi" w:cstheme="majorBidi"/>
                  <w:sz w:val="40"/>
                  <w:szCs w:val="40"/>
                </w:rPr>
                <w:alias w:val="Subtitle"/>
                <w:id w:val="15524255"/>
                <w:showingPlcHdr/>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24678A" w:rsidRDefault="00ED0418" w:rsidP="00AE44FA">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0"/>
                        <w:szCs w:val="40"/>
                      </w:rPr>
                      <w:t xml:space="preserve">     </w:t>
                    </w:r>
                  </w:p>
                </w:tc>
              </w:sdtContent>
            </w:sdt>
          </w:tr>
          <w:tr w:rsidR="0024678A" w:rsidTr="00AE44FA">
            <w:trPr>
              <w:trHeight w:val="360"/>
              <w:jc w:val="center"/>
            </w:trPr>
            <w:tc>
              <w:tcPr>
                <w:tcW w:w="5000" w:type="pct"/>
                <w:vAlign w:val="center"/>
              </w:tcPr>
              <w:p w:rsidR="0024678A" w:rsidRDefault="0024678A" w:rsidP="00AE44FA">
                <w:pPr>
                  <w:pStyle w:val="NoSpacing"/>
                  <w:jc w:val="center"/>
                </w:pPr>
              </w:p>
            </w:tc>
          </w:tr>
          <w:tr w:rsidR="0024678A" w:rsidTr="00AE44FA">
            <w:trPr>
              <w:trHeight w:val="360"/>
              <w:jc w:val="center"/>
            </w:trPr>
            <w:sdt>
              <w:sdtPr>
                <w:rPr>
                  <w:b/>
                  <w:bCs/>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rsidR="0024678A" w:rsidRDefault="00ED0418" w:rsidP="00AE44FA">
                    <w:pPr>
                      <w:pStyle w:val="NoSpacing"/>
                      <w:jc w:val="center"/>
                      <w:rPr>
                        <w:b/>
                        <w:bCs/>
                      </w:rPr>
                    </w:pPr>
                    <w:r>
                      <w:rPr>
                        <w:b/>
                        <w:bCs/>
                        <w:lang w:val="en-AU"/>
                      </w:rPr>
                      <w:t>Finance Sector Union of Australia</w:t>
                    </w:r>
                  </w:p>
                </w:tc>
              </w:sdtContent>
            </w:sdt>
          </w:tr>
          <w:tr w:rsidR="0024678A" w:rsidTr="00AE44FA">
            <w:trPr>
              <w:trHeight w:val="360"/>
              <w:jc w:val="center"/>
            </w:trPr>
            <w:tc>
              <w:tcPr>
                <w:tcW w:w="5000" w:type="pct"/>
                <w:vAlign w:val="center"/>
              </w:tcPr>
              <w:p w:rsidR="0024678A" w:rsidRDefault="006407EF" w:rsidP="00AE44FA">
                <w:pPr>
                  <w:pStyle w:val="NoSpacing"/>
                  <w:jc w:val="center"/>
                  <w:rPr>
                    <w:b/>
                    <w:bCs/>
                  </w:rPr>
                </w:pPr>
                <w:r>
                  <w:rPr>
                    <w:b/>
                    <w:bCs/>
                  </w:rPr>
                  <w:t>5 September 2014</w:t>
                </w:r>
              </w:p>
            </w:tc>
          </w:tr>
        </w:tbl>
        <w:p w:rsidR="007F0EED" w:rsidRDefault="007F0EED"/>
        <w:tbl>
          <w:tblPr>
            <w:tblpPr w:leftFromText="187" w:rightFromText="187" w:horzAnchor="margin" w:tblpXSpec="center" w:tblpYSpec="bottom"/>
            <w:tblW w:w="5000" w:type="pct"/>
            <w:tblLook w:val="04A0" w:firstRow="1" w:lastRow="0" w:firstColumn="1" w:lastColumn="0" w:noHBand="0" w:noVBand="1"/>
          </w:tblPr>
          <w:tblGrid>
            <w:gridCol w:w="9242"/>
          </w:tblGrid>
          <w:tr w:rsidR="007F0EED">
            <w:tc>
              <w:tcPr>
                <w:tcW w:w="5000" w:type="pct"/>
              </w:tcPr>
              <w:p w:rsidR="007F0EED" w:rsidRDefault="007F0EED" w:rsidP="00BA5004">
                <w:pPr>
                  <w:pStyle w:val="NoSpacing"/>
                </w:pPr>
              </w:p>
            </w:tc>
          </w:tr>
        </w:tbl>
        <w:p w:rsidR="007F0EED" w:rsidRDefault="007F0EED"/>
        <w:p w:rsidR="007F0EED" w:rsidRDefault="007F0EED">
          <w:r>
            <w:br w:type="page"/>
          </w:r>
        </w:p>
      </w:sdtContent>
    </w:sdt>
    <w:sdt>
      <w:sdtPr>
        <w:rPr>
          <w:rFonts w:asciiTheme="minorHAnsi" w:eastAsiaTheme="minorHAnsi" w:hAnsiTheme="minorHAnsi" w:cstheme="minorBidi"/>
          <w:b w:val="0"/>
          <w:bCs w:val="0"/>
          <w:color w:val="auto"/>
          <w:sz w:val="22"/>
          <w:szCs w:val="22"/>
          <w:lang w:val="en-AU" w:eastAsia="en-US"/>
        </w:rPr>
        <w:id w:val="-1498795746"/>
        <w:docPartObj>
          <w:docPartGallery w:val="Table of Contents"/>
          <w:docPartUnique/>
        </w:docPartObj>
      </w:sdtPr>
      <w:sdtEndPr>
        <w:rPr>
          <w:noProof/>
        </w:rPr>
      </w:sdtEndPr>
      <w:sdtContent>
        <w:p w:rsidR="003D422E" w:rsidRDefault="003D422E">
          <w:pPr>
            <w:pStyle w:val="TOCHeading"/>
          </w:pPr>
          <w:r>
            <w:t>Contents</w:t>
          </w:r>
        </w:p>
        <w:p w:rsidR="00CD20AF" w:rsidRDefault="003D422E">
          <w:pPr>
            <w:pStyle w:val="TOC1"/>
            <w:tabs>
              <w:tab w:val="right" w:leader="dot" w:pos="9016"/>
            </w:tabs>
            <w:rPr>
              <w:rFonts w:eastAsiaTheme="minorEastAsia"/>
              <w:noProof/>
              <w:lang w:eastAsia="en-AU"/>
            </w:rPr>
          </w:pPr>
          <w:r>
            <w:fldChar w:fldCharType="begin"/>
          </w:r>
          <w:r>
            <w:instrText xml:space="preserve"> TOC \o "1-3" \h \z \u </w:instrText>
          </w:r>
          <w:r>
            <w:fldChar w:fldCharType="separate"/>
          </w:r>
          <w:hyperlink w:anchor="_Toc397603311" w:history="1">
            <w:r w:rsidR="00CD20AF" w:rsidRPr="003B668F">
              <w:rPr>
                <w:rStyle w:val="Hyperlink"/>
                <w:noProof/>
              </w:rPr>
              <w:t>Section 1: Introduction</w:t>
            </w:r>
            <w:r w:rsidR="00CD20AF">
              <w:rPr>
                <w:noProof/>
                <w:webHidden/>
              </w:rPr>
              <w:tab/>
            </w:r>
            <w:r w:rsidR="00CD20AF">
              <w:rPr>
                <w:noProof/>
                <w:webHidden/>
              </w:rPr>
              <w:fldChar w:fldCharType="begin"/>
            </w:r>
            <w:r w:rsidR="00CD20AF">
              <w:rPr>
                <w:noProof/>
                <w:webHidden/>
              </w:rPr>
              <w:instrText xml:space="preserve"> PAGEREF _Toc397603311 \h </w:instrText>
            </w:r>
            <w:r w:rsidR="00CD20AF">
              <w:rPr>
                <w:noProof/>
                <w:webHidden/>
              </w:rPr>
            </w:r>
            <w:r w:rsidR="00CD20AF">
              <w:rPr>
                <w:noProof/>
                <w:webHidden/>
              </w:rPr>
              <w:fldChar w:fldCharType="separate"/>
            </w:r>
            <w:r w:rsidR="00CD20AF">
              <w:rPr>
                <w:noProof/>
                <w:webHidden/>
              </w:rPr>
              <w:t>2</w:t>
            </w:r>
            <w:r w:rsidR="00CD20AF">
              <w:rPr>
                <w:noProof/>
                <w:webHidden/>
              </w:rPr>
              <w:fldChar w:fldCharType="end"/>
            </w:r>
          </w:hyperlink>
        </w:p>
        <w:p w:rsidR="00CD20AF" w:rsidRDefault="00ED0418">
          <w:pPr>
            <w:pStyle w:val="TOC2"/>
            <w:tabs>
              <w:tab w:val="left" w:pos="880"/>
              <w:tab w:val="right" w:leader="dot" w:pos="9016"/>
            </w:tabs>
            <w:rPr>
              <w:rFonts w:eastAsiaTheme="minorEastAsia"/>
              <w:noProof/>
              <w:lang w:eastAsia="en-AU"/>
            </w:rPr>
          </w:pPr>
          <w:hyperlink w:anchor="_Toc397603312" w:history="1">
            <w:r w:rsidR="00CD20AF" w:rsidRPr="003B668F">
              <w:rPr>
                <w:rStyle w:val="Hyperlink"/>
                <w:noProof/>
              </w:rPr>
              <w:t>1.1</w:t>
            </w:r>
            <w:r w:rsidR="00CD20AF">
              <w:rPr>
                <w:rFonts w:eastAsiaTheme="minorEastAsia"/>
                <w:noProof/>
                <w:lang w:eastAsia="en-AU"/>
              </w:rPr>
              <w:tab/>
            </w:r>
            <w:r w:rsidR="00CD20AF" w:rsidRPr="003B668F">
              <w:rPr>
                <w:rStyle w:val="Hyperlink"/>
                <w:noProof/>
              </w:rPr>
              <w:t>About Finance Sector Union of Australia</w:t>
            </w:r>
            <w:r w:rsidR="00CD20AF">
              <w:rPr>
                <w:noProof/>
                <w:webHidden/>
              </w:rPr>
              <w:tab/>
            </w:r>
            <w:r w:rsidR="00CD20AF">
              <w:rPr>
                <w:noProof/>
                <w:webHidden/>
              </w:rPr>
              <w:fldChar w:fldCharType="begin"/>
            </w:r>
            <w:r w:rsidR="00CD20AF">
              <w:rPr>
                <w:noProof/>
                <w:webHidden/>
              </w:rPr>
              <w:instrText xml:space="preserve"> PAGEREF _Toc397603312 \h </w:instrText>
            </w:r>
            <w:r w:rsidR="00CD20AF">
              <w:rPr>
                <w:noProof/>
                <w:webHidden/>
              </w:rPr>
            </w:r>
            <w:r w:rsidR="00CD20AF">
              <w:rPr>
                <w:noProof/>
                <w:webHidden/>
              </w:rPr>
              <w:fldChar w:fldCharType="separate"/>
            </w:r>
            <w:r w:rsidR="00CD20AF">
              <w:rPr>
                <w:noProof/>
                <w:webHidden/>
              </w:rPr>
              <w:t>2</w:t>
            </w:r>
            <w:r w:rsidR="00CD20AF">
              <w:rPr>
                <w:noProof/>
                <w:webHidden/>
              </w:rPr>
              <w:fldChar w:fldCharType="end"/>
            </w:r>
          </w:hyperlink>
        </w:p>
        <w:p w:rsidR="00CD20AF" w:rsidRDefault="00ED0418">
          <w:pPr>
            <w:pStyle w:val="TOC2"/>
            <w:tabs>
              <w:tab w:val="left" w:pos="880"/>
              <w:tab w:val="right" w:leader="dot" w:pos="9016"/>
            </w:tabs>
            <w:rPr>
              <w:rFonts w:eastAsiaTheme="minorEastAsia"/>
              <w:noProof/>
              <w:lang w:eastAsia="en-AU"/>
            </w:rPr>
          </w:pPr>
          <w:hyperlink w:anchor="_Toc397603313" w:history="1">
            <w:r w:rsidR="00CD20AF" w:rsidRPr="003B668F">
              <w:rPr>
                <w:rStyle w:val="Hyperlink"/>
                <w:noProof/>
              </w:rPr>
              <w:t>1.2</w:t>
            </w:r>
            <w:r w:rsidR="00CD20AF">
              <w:rPr>
                <w:rFonts w:eastAsiaTheme="minorEastAsia"/>
                <w:noProof/>
                <w:lang w:eastAsia="en-AU"/>
              </w:rPr>
              <w:tab/>
            </w:r>
            <w:r w:rsidR="00CD20AF" w:rsidRPr="003B668F">
              <w:rPr>
                <w:rStyle w:val="Hyperlink"/>
                <w:noProof/>
              </w:rPr>
              <w:t>About the Finance Sector in Australia</w:t>
            </w:r>
            <w:r w:rsidR="00CD20AF">
              <w:rPr>
                <w:noProof/>
                <w:webHidden/>
              </w:rPr>
              <w:tab/>
            </w:r>
            <w:r w:rsidR="00CD20AF">
              <w:rPr>
                <w:noProof/>
                <w:webHidden/>
              </w:rPr>
              <w:fldChar w:fldCharType="begin"/>
            </w:r>
            <w:r w:rsidR="00CD20AF">
              <w:rPr>
                <w:noProof/>
                <w:webHidden/>
              </w:rPr>
              <w:instrText xml:space="preserve"> PAGEREF _Toc397603313 \h </w:instrText>
            </w:r>
            <w:r w:rsidR="00CD20AF">
              <w:rPr>
                <w:noProof/>
                <w:webHidden/>
              </w:rPr>
            </w:r>
            <w:r w:rsidR="00CD20AF">
              <w:rPr>
                <w:noProof/>
                <w:webHidden/>
              </w:rPr>
              <w:fldChar w:fldCharType="separate"/>
            </w:r>
            <w:r w:rsidR="00CD20AF">
              <w:rPr>
                <w:noProof/>
                <w:webHidden/>
              </w:rPr>
              <w:t>2</w:t>
            </w:r>
            <w:r w:rsidR="00CD20AF">
              <w:rPr>
                <w:noProof/>
                <w:webHidden/>
              </w:rPr>
              <w:fldChar w:fldCharType="end"/>
            </w:r>
          </w:hyperlink>
        </w:p>
        <w:p w:rsidR="00CD20AF" w:rsidRDefault="00ED0418">
          <w:pPr>
            <w:pStyle w:val="TOC2"/>
            <w:tabs>
              <w:tab w:val="left" w:pos="880"/>
              <w:tab w:val="right" w:leader="dot" w:pos="9016"/>
            </w:tabs>
            <w:rPr>
              <w:rFonts w:eastAsiaTheme="minorEastAsia"/>
              <w:noProof/>
              <w:lang w:eastAsia="en-AU"/>
            </w:rPr>
          </w:pPr>
          <w:hyperlink w:anchor="_Toc397603314" w:history="1">
            <w:r w:rsidR="00CD20AF" w:rsidRPr="003B668F">
              <w:rPr>
                <w:rStyle w:val="Hyperlink"/>
                <w:noProof/>
              </w:rPr>
              <w:t>1.3</w:t>
            </w:r>
            <w:r w:rsidR="00CD20AF">
              <w:rPr>
                <w:rFonts w:eastAsiaTheme="minorEastAsia"/>
                <w:noProof/>
                <w:lang w:eastAsia="en-AU"/>
              </w:rPr>
              <w:tab/>
            </w:r>
            <w:r w:rsidR="00CD20AF" w:rsidRPr="003B668F">
              <w:rPr>
                <w:rStyle w:val="Hyperlink"/>
                <w:noProof/>
              </w:rPr>
              <w:t>Overview of the FSU submission</w:t>
            </w:r>
            <w:r w:rsidR="00CD20AF">
              <w:rPr>
                <w:noProof/>
                <w:webHidden/>
              </w:rPr>
              <w:tab/>
            </w:r>
            <w:r w:rsidR="00CD20AF">
              <w:rPr>
                <w:noProof/>
                <w:webHidden/>
              </w:rPr>
              <w:fldChar w:fldCharType="begin"/>
            </w:r>
            <w:r w:rsidR="00CD20AF">
              <w:rPr>
                <w:noProof/>
                <w:webHidden/>
              </w:rPr>
              <w:instrText xml:space="preserve"> PAGEREF _Toc397603314 \h </w:instrText>
            </w:r>
            <w:r w:rsidR="00CD20AF">
              <w:rPr>
                <w:noProof/>
                <w:webHidden/>
              </w:rPr>
            </w:r>
            <w:r w:rsidR="00CD20AF">
              <w:rPr>
                <w:noProof/>
                <w:webHidden/>
              </w:rPr>
              <w:fldChar w:fldCharType="separate"/>
            </w:r>
            <w:r w:rsidR="00CD20AF">
              <w:rPr>
                <w:noProof/>
                <w:webHidden/>
              </w:rPr>
              <w:t>2</w:t>
            </w:r>
            <w:r w:rsidR="00CD20AF">
              <w:rPr>
                <w:noProof/>
                <w:webHidden/>
              </w:rPr>
              <w:fldChar w:fldCharType="end"/>
            </w:r>
          </w:hyperlink>
        </w:p>
        <w:p w:rsidR="00CD20AF" w:rsidRDefault="00ED0418">
          <w:pPr>
            <w:pStyle w:val="TOC1"/>
            <w:tabs>
              <w:tab w:val="right" w:leader="dot" w:pos="9016"/>
            </w:tabs>
            <w:rPr>
              <w:rFonts w:eastAsiaTheme="minorEastAsia"/>
              <w:noProof/>
              <w:lang w:eastAsia="en-AU"/>
            </w:rPr>
          </w:pPr>
          <w:hyperlink w:anchor="_Toc397603315" w:history="1">
            <w:r w:rsidR="00CD20AF" w:rsidRPr="003B668F">
              <w:rPr>
                <w:rStyle w:val="Hyperlink"/>
                <w:noProof/>
              </w:rPr>
              <w:t>Section 2: Responses to the PC Draft Report</w:t>
            </w:r>
            <w:r w:rsidR="00CD20AF">
              <w:rPr>
                <w:noProof/>
                <w:webHidden/>
              </w:rPr>
              <w:tab/>
            </w:r>
            <w:r w:rsidR="00CD20AF">
              <w:rPr>
                <w:noProof/>
                <w:webHidden/>
              </w:rPr>
              <w:fldChar w:fldCharType="begin"/>
            </w:r>
            <w:r w:rsidR="00CD20AF">
              <w:rPr>
                <w:noProof/>
                <w:webHidden/>
              </w:rPr>
              <w:instrText xml:space="preserve"> PAGEREF _Toc397603315 \h </w:instrText>
            </w:r>
            <w:r w:rsidR="00CD20AF">
              <w:rPr>
                <w:noProof/>
                <w:webHidden/>
              </w:rPr>
            </w:r>
            <w:r w:rsidR="00CD20AF">
              <w:rPr>
                <w:noProof/>
                <w:webHidden/>
              </w:rPr>
              <w:fldChar w:fldCharType="separate"/>
            </w:r>
            <w:r w:rsidR="00CD20AF">
              <w:rPr>
                <w:noProof/>
                <w:webHidden/>
              </w:rPr>
              <w:t>3</w:t>
            </w:r>
            <w:r w:rsidR="00CD20AF">
              <w:rPr>
                <w:noProof/>
                <w:webHidden/>
              </w:rPr>
              <w:fldChar w:fldCharType="end"/>
            </w:r>
          </w:hyperlink>
        </w:p>
        <w:p w:rsidR="00CD20AF" w:rsidRDefault="00ED0418">
          <w:pPr>
            <w:pStyle w:val="TOC2"/>
            <w:tabs>
              <w:tab w:val="left" w:pos="880"/>
              <w:tab w:val="right" w:leader="dot" w:pos="9016"/>
            </w:tabs>
            <w:rPr>
              <w:rFonts w:eastAsiaTheme="minorEastAsia"/>
              <w:noProof/>
              <w:lang w:eastAsia="en-AU"/>
            </w:rPr>
          </w:pPr>
          <w:hyperlink w:anchor="_Toc397603316" w:history="1">
            <w:r w:rsidR="00CD20AF" w:rsidRPr="003B668F">
              <w:rPr>
                <w:rStyle w:val="Hyperlink"/>
                <w:noProof/>
              </w:rPr>
              <w:t>2.1</w:t>
            </w:r>
            <w:r w:rsidR="00CD20AF">
              <w:rPr>
                <w:rFonts w:eastAsiaTheme="minorEastAsia"/>
                <w:noProof/>
                <w:lang w:eastAsia="en-AU"/>
              </w:rPr>
              <w:tab/>
            </w:r>
            <w:r w:rsidR="00CD20AF" w:rsidRPr="003B668F">
              <w:rPr>
                <w:rStyle w:val="Hyperlink"/>
                <w:noProof/>
              </w:rPr>
              <w:t>Accessibility of childcare</w:t>
            </w:r>
            <w:r w:rsidR="00CD20AF">
              <w:rPr>
                <w:noProof/>
                <w:webHidden/>
              </w:rPr>
              <w:tab/>
            </w:r>
            <w:r w:rsidR="00CD20AF">
              <w:rPr>
                <w:noProof/>
                <w:webHidden/>
              </w:rPr>
              <w:fldChar w:fldCharType="begin"/>
            </w:r>
            <w:r w:rsidR="00CD20AF">
              <w:rPr>
                <w:noProof/>
                <w:webHidden/>
              </w:rPr>
              <w:instrText xml:space="preserve"> PAGEREF _Toc397603316 \h </w:instrText>
            </w:r>
            <w:r w:rsidR="00CD20AF">
              <w:rPr>
                <w:noProof/>
                <w:webHidden/>
              </w:rPr>
            </w:r>
            <w:r w:rsidR="00CD20AF">
              <w:rPr>
                <w:noProof/>
                <w:webHidden/>
              </w:rPr>
              <w:fldChar w:fldCharType="separate"/>
            </w:r>
            <w:r w:rsidR="00CD20AF">
              <w:rPr>
                <w:noProof/>
                <w:webHidden/>
              </w:rPr>
              <w:t>3</w:t>
            </w:r>
            <w:r w:rsidR="00CD20AF">
              <w:rPr>
                <w:noProof/>
                <w:webHidden/>
              </w:rPr>
              <w:fldChar w:fldCharType="end"/>
            </w:r>
          </w:hyperlink>
        </w:p>
        <w:p w:rsidR="00CD20AF" w:rsidRDefault="00ED0418">
          <w:pPr>
            <w:pStyle w:val="TOC2"/>
            <w:tabs>
              <w:tab w:val="left" w:pos="880"/>
              <w:tab w:val="right" w:leader="dot" w:pos="9016"/>
            </w:tabs>
            <w:rPr>
              <w:rFonts w:eastAsiaTheme="minorEastAsia"/>
              <w:noProof/>
              <w:lang w:eastAsia="en-AU"/>
            </w:rPr>
          </w:pPr>
          <w:hyperlink w:anchor="_Toc397603317" w:history="1">
            <w:r w:rsidR="00CD20AF" w:rsidRPr="003B668F">
              <w:rPr>
                <w:rStyle w:val="Hyperlink"/>
                <w:noProof/>
              </w:rPr>
              <w:t>2.2</w:t>
            </w:r>
            <w:r w:rsidR="00CD20AF">
              <w:rPr>
                <w:rFonts w:eastAsiaTheme="minorEastAsia"/>
                <w:noProof/>
                <w:lang w:eastAsia="en-AU"/>
              </w:rPr>
              <w:tab/>
            </w:r>
            <w:r w:rsidR="00CD20AF" w:rsidRPr="003B668F">
              <w:rPr>
                <w:rStyle w:val="Hyperlink"/>
                <w:noProof/>
              </w:rPr>
              <w:t>Quality of childcare</w:t>
            </w:r>
            <w:r w:rsidR="00CD20AF">
              <w:rPr>
                <w:noProof/>
                <w:webHidden/>
              </w:rPr>
              <w:tab/>
            </w:r>
            <w:r w:rsidR="00CD20AF">
              <w:rPr>
                <w:noProof/>
                <w:webHidden/>
              </w:rPr>
              <w:fldChar w:fldCharType="begin"/>
            </w:r>
            <w:r w:rsidR="00CD20AF">
              <w:rPr>
                <w:noProof/>
                <w:webHidden/>
              </w:rPr>
              <w:instrText xml:space="preserve"> PAGEREF _Toc397603317 \h </w:instrText>
            </w:r>
            <w:r w:rsidR="00CD20AF">
              <w:rPr>
                <w:noProof/>
                <w:webHidden/>
              </w:rPr>
            </w:r>
            <w:r w:rsidR="00CD20AF">
              <w:rPr>
                <w:noProof/>
                <w:webHidden/>
              </w:rPr>
              <w:fldChar w:fldCharType="separate"/>
            </w:r>
            <w:r w:rsidR="00CD20AF">
              <w:rPr>
                <w:noProof/>
                <w:webHidden/>
              </w:rPr>
              <w:t>5</w:t>
            </w:r>
            <w:r w:rsidR="00CD20AF">
              <w:rPr>
                <w:noProof/>
                <w:webHidden/>
              </w:rPr>
              <w:fldChar w:fldCharType="end"/>
            </w:r>
          </w:hyperlink>
        </w:p>
        <w:p w:rsidR="00CD20AF" w:rsidRDefault="00ED0418">
          <w:pPr>
            <w:pStyle w:val="TOC2"/>
            <w:tabs>
              <w:tab w:val="left" w:pos="880"/>
              <w:tab w:val="right" w:leader="dot" w:pos="9016"/>
            </w:tabs>
            <w:rPr>
              <w:rFonts w:eastAsiaTheme="minorEastAsia"/>
              <w:noProof/>
              <w:lang w:eastAsia="en-AU"/>
            </w:rPr>
          </w:pPr>
          <w:hyperlink w:anchor="_Toc397603318" w:history="1">
            <w:r w:rsidR="00CD20AF" w:rsidRPr="003B668F">
              <w:rPr>
                <w:rStyle w:val="Hyperlink"/>
                <w:noProof/>
              </w:rPr>
              <w:t>2.3</w:t>
            </w:r>
            <w:r w:rsidR="00CD20AF">
              <w:rPr>
                <w:rFonts w:eastAsiaTheme="minorEastAsia"/>
                <w:noProof/>
                <w:lang w:eastAsia="en-AU"/>
              </w:rPr>
              <w:tab/>
            </w:r>
            <w:r w:rsidR="00CD20AF" w:rsidRPr="003B668F">
              <w:rPr>
                <w:rStyle w:val="Hyperlink"/>
                <w:noProof/>
              </w:rPr>
              <w:t>Cost of childcare</w:t>
            </w:r>
            <w:r w:rsidR="00CD20AF">
              <w:rPr>
                <w:noProof/>
                <w:webHidden/>
              </w:rPr>
              <w:tab/>
            </w:r>
            <w:r w:rsidR="00CD20AF">
              <w:rPr>
                <w:noProof/>
                <w:webHidden/>
              </w:rPr>
              <w:fldChar w:fldCharType="begin"/>
            </w:r>
            <w:r w:rsidR="00CD20AF">
              <w:rPr>
                <w:noProof/>
                <w:webHidden/>
              </w:rPr>
              <w:instrText xml:space="preserve"> PAGEREF _Toc397603318 \h </w:instrText>
            </w:r>
            <w:r w:rsidR="00CD20AF">
              <w:rPr>
                <w:noProof/>
                <w:webHidden/>
              </w:rPr>
            </w:r>
            <w:r w:rsidR="00CD20AF">
              <w:rPr>
                <w:noProof/>
                <w:webHidden/>
              </w:rPr>
              <w:fldChar w:fldCharType="separate"/>
            </w:r>
            <w:r w:rsidR="00CD20AF">
              <w:rPr>
                <w:noProof/>
                <w:webHidden/>
              </w:rPr>
              <w:t>6</w:t>
            </w:r>
            <w:r w:rsidR="00CD20AF">
              <w:rPr>
                <w:noProof/>
                <w:webHidden/>
              </w:rPr>
              <w:fldChar w:fldCharType="end"/>
            </w:r>
          </w:hyperlink>
        </w:p>
        <w:p w:rsidR="00CD20AF" w:rsidRDefault="00ED0418">
          <w:pPr>
            <w:pStyle w:val="TOC2"/>
            <w:tabs>
              <w:tab w:val="left" w:pos="880"/>
              <w:tab w:val="right" w:leader="dot" w:pos="9016"/>
            </w:tabs>
            <w:rPr>
              <w:rFonts w:eastAsiaTheme="minorEastAsia"/>
              <w:noProof/>
              <w:lang w:eastAsia="en-AU"/>
            </w:rPr>
          </w:pPr>
          <w:hyperlink w:anchor="_Toc397603319" w:history="1">
            <w:r w:rsidR="00CD20AF" w:rsidRPr="003B668F">
              <w:rPr>
                <w:rStyle w:val="Hyperlink"/>
                <w:noProof/>
              </w:rPr>
              <w:t>2.4</w:t>
            </w:r>
            <w:r w:rsidR="00CD20AF">
              <w:rPr>
                <w:rFonts w:eastAsiaTheme="minorEastAsia"/>
                <w:noProof/>
                <w:lang w:eastAsia="en-AU"/>
              </w:rPr>
              <w:tab/>
            </w:r>
            <w:r w:rsidR="00CD20AF" w:rsidRPr="003B668F">
              <w:rPr>
                <w:rStyle w:val="Hyperlink"/>
                <w:noProof/>
              </w:rPr>
              <w:t>Payment of childcare subsidies</w:t>
            </w:r>
            <w:r w:rsidR="00CD20AF">
              <w:rPr>
                <w:noProof/>
                <w:webHidden/>
              </w:rPr>
              <w:tab/>
            </w:r>
            <w:r w:rsidR="00CD20AF">
              <w:rPr>
                <w:noProof/>
                <w:webHidden/>
              </w:rPr>
              <w:fldChar w:fldCharType="begin"/>
            </w:r>
            <w:r w:rsidR="00CD20AF">
              <w:rPr>
                <w:noProof/>
                <w:webHidden/>
              </w:rPr>
              <w:instrText xml:space="preserve"> PAGEREF _Toc397603319 \h </w:instrText>
            </w:r>
            <w:r w:rsidR="00CD20AF">
              <w:rPr>
                <w:noProof/>
                <w:webHidden/>
              </w:rPr>
            </w:r>
            <w:r w:rsidR="00CD20AF">
              <w:rPr>
                <w:noProof/>
                <w:webHidden/>
              </w:rPr>
              <w:fldChar w:fldCharType="separate"/>
            </w:r>
            <w:r w:rsidR="00CD20AF">
              <w:rPr>
                <w:noProof/>
                <w:webHidden/>
              </w:rPr>
              <w:t>7</w:t>
            </w:r>
            <w:r w:rsidR="00CD20AF">
              <w:rPr>
                <w:noProof/>
                <w:webHidden/>
              </w:rPr>
              <w:fldChar w:fldCharType="end"/>
            </w:r>
          </w:hyperlink>
        </w:p>
        <w:p w:rsidR="00CD20AF" w:rsidRDefault="00ED0418">
          <w:pPr>
            <w:pStyle w:val="TOC2"/>
            <w:tabs>
              <w:tab w:val="left" w:pos="880"/>
              <w:tab w:val="right" w:leader="dot" w:pos="9016"/>
            </w:tabs>
            <w:rPr>
              <w:rFonts w:eastAsiaTheme="minorEastAsia"/>
              <w:noProof/>
              <w:lang w:eastAsia="en-AU"/>
            </w:rPr>
          </w:pPr>
          <w:hyperlink w:anchor="_Toc397603320" w:history="1">
            <w:r w:rsidR="00CD20AF" w:rsidRPr="003B668F">
              <w:rPr>
                <w:rStyle w:val="Hyperlink"/>
                <w:noProof/>
              </w:rPr>
              <w:t>2.5</w:t>
            </w:r>
            <w:r w:rsidR="00CD20AF">
              <w:rPr>
                <w:rFonts w:eastAsiaTheme="minorEastAsia"/>
                <w:noProof/>
                <w:lang w:eastAsia="en-AU"/>
              </w:rPr>
              <w:tab/>
            </w:r>
            <w:r w:rsidR="00CD20AF" w:rsidRPr="003B668F">
              <w:rPr>
                <w:rStyle w:val="Hyperlink"/>
                <w:noProof/>
              </w:rPr>
              <w:t>The intersection between childcare responsibilities and employer practice which impacts on workforce participation</w:t>
            </w:r>
            <w:r w:rsidR="00CD20AF">
              <w:rPr>
                <w:noProof/>
                <w:webHidden/>
              </w:rPr>
              <w:tab/>
            </w:r>
            <w:r w:rsidR="00CD20AF">
              <w:rPr>
                <w:noProof/>
                <w:webHidden/>
              </w:rPr>
              <w:fldChar w:fldCharType="begin"/>
            </w:r>
            <w:r w:rsidR="00CD20AF">
              <w:rPr>
                <w:noProof/>
                <w:webHidden/>
              </w:rPr>
              <w:instrText xml:space="preserve"> PAGEREF _Toc397603320 \h </w:instrText>
            </w:r>
            <w:r w:rsidR="00CD20AF">
              <w:rPr>
                <w:noProof/>
                <w:webHidden/>
              </w:rPr>
            </w:r>
            <w:r w:rsidR="00CD20AF">
              <w:rPr>
                <w:noProof/>
                <w:webHidden/>
              </w:rPr>
              <w:fldChar w:fldCharType="separate"/>
            </w:r>
            <w:r w:rsidR="00CD20AF">
              <w:rPr>
                <w:noProof/>
                <w:webHidden/>
              </w:rPr>
              <w:t>7</w:t>
            </w:r>
            <w:r w:rsidR="00CD20AF">
              <w:rPr>
                <w:noProof/>
                <w:webHidden/>
              </w:rPr>
              <w:fldChar w:fldCharType="end"/>
            </w:r>
          </w:hyperlink>
        </w:p>
        <w:p w:rsidR="00CD20AF" w:rsidRDefault="00ED0418">
          <w:pPr>
            <w:pStyle w:val="TOC2"/>
            <w:tabs>
              <w:tab w:val="left" w:pos="880"/>
              <w:tab w:val="right" w:leader="dot" w:pos="9016"/>
            </w:tabs>
            <w:rPr>
              <w:rFonts w:eastAsiaTheme="minorEastAsia"/>
              <w:noProof/>
              <w:lang w:eastAsia="en-AU"/>
            </w:rPr>
          </w:pPr>
          <w:hyperlink w:anchor="_Toc397603321" w:history="1">
            <w:r w:rsidR="00CD20AF" w:rsidRPr="003B668F">
              <w:rPr>
                <w:rStyle w:val="Hyperlink"/>
                <w:noProof/>
              </w:rPr>
              <w:t>2.6</w:t>
            </w:r>
            <w:r w:rsidR="00CD20AF">
              <w:rPr>
                <w:rFonts w:eastAsiaTheme="minorEastAsia"/>
                <w:noProof/>
                <w:lang w:eastAsia="en-AU"/>
              </w:rPr>
              <w:tab/>
            </w:r>
            <w:r w:rsidR="00CD20AF" w:rsidRPr="003B668F">
              <w:rPr>
                <w:rStyle w:val="Hyperlink"/>
                <w:noProof/>
              </w:rPr>
              <w:t>Summary of recommendations</w:t>
            </w:r>
            <w:r w:rsidR="00CD20AF">
              <w:rPr>
                <w:noProof/>
                <w:webHidden/>
              </w:rPr>
              <w:tab/>
            </w:r>
            <w:r w:rsidR="00CD20AF">
              <w:rPr>
                <w:noProof/>
                <w:webHidden/>
              </w:rPr>
              <w:fldChar w:fldCharType="begin"/>
            </w:r>
            <w:r w:rsidR="00CD20AF">
              <w:rPr>
                <w:noProof/>
                <w:webHidden/>
              </w:rPr>
              <w:instrText xml:space="preserve"> PAGEREF _Toc397603321 \h </w:instrText>
            </w:r>
            <w:r w:rsidR="00CD20AF">
              <w:rPr>
                <w:noProof/>
                <w:webHidden/>
              </w:rPr>
            </w:r>
            <w:r w:rsidR="00CD20AF">
              <w:rPr>
                <w:noProof/>
                <w:webHidden/>
              </w:rPr>
              <w:fldChar w:fldCharType="separate"/>
            </w:r>
            <w:r w:rsidR="00CD20AF">
              <w:rPr>
                <w:noProof/>
                <w:webHidden/>
              </w:rPr>
              <w:t>7</w:t>
            </w:r>
            <w:r w:rsidR="00CD20AF">
              <w:rPr>
                <w:noProof/>
                <w:webHidden/>
              </w:rPr>
              <w:fldChar w:fldCharType="end"/>
            </w:r>
          </w:hyperlink>
        </w:p>
        <w:p w:rsidR="00CD20AF" w:rsidRDefault="00ED0418">
          <w:pPr>
            <w:pStyle w:val="TOC1"/>
            <w:tabs>
              <w:tab w:val="right" w:leader="dot" w:pos="9016"/>
            </w:tabs>
            <w:rPr>
              <w:rFonts w:eastAsiaTheme="minorEastAsia"/>
              <w:noProof/>
              <w:lang w:eastAsia="en-AU"/>
            </w:rPr>
          </w:pPr>
          <w:hyperlink w:anchor="_Toc397603322" w:history="1">
            <w:r w:rsidR="00CD20AF" w:rsidRPr="003B668F">
              <w:rPr>
                <w:rStyle w:val="Hyperlink"/>
                <w:noProof/>
              </w:rPr>
              <w:t>Section 3: Conclusion</w:t>
            </w:r>
            <w:r w:rsidR="00CD20AF">
              <w:rPr>
                <w:noProof/>
                <w:webHidden/>
              </w:rPr>
              <w:tab/>
            </w:r>
            <w:r w:rsidR="00CD20AF">
              <w:rPr>
                <w:noProof/>
                <w:webHidden/>
              </w:rPr>
              <w:fldChar w:fldCharType="begin"/>
            </w:r>
            <w:r w:rsidR="00CD20AF">
              <w:rPr>
                <w:noProof/>
                <w:webHidden/>
              </w:rPr>
              <w:instrText xml:space="preserve"> PAGEREF _Toc397603322 \h </w:instrText>
            </w:r>
            <w:r w:rsidR="00CD20AF">
              <w:rPr>
                <w:noProof/>
                <w:webHidden/>
              </w:rPr>
            </w:r>
            <w:r w:rsidR="00CD20AF">
              <w:rPr>
                <w:noProof/>
                <w:webHidden/>
              </w:rPr>
              <w:fldChar w:fldCharType="separate"/>
            </w:r>
            <w:r w:rsidR="00CD20AF">
              <w:rPr>
                <w:noProof/>
                <w:webHidden/>
              </w:rPr>
              <w:t>8</w:t>
            </w:r>
            <w:r w:rsidR="00CD20AF">
              <w:rPr>
                <w:noProof/>
                <w:webHidden/>
              </w:rPr>
              <w:fldChar w:fldCharType="end"/>
            </w:r>
          </w:hyperlink>
        </w:p>
        <w:p w:rsidR="00CD20AF" w:rsidRDefault="00ED0418">
          <w:pPr>
            <w:pStyle w:val="TOC2"/>
            <w:tabs>
              <w:tab w:val="left" w:pos="880"/>
              <w:tab w:val="right" w:leader="dot" w:pos="9016"/>
            </w:tabs>
            <w:rPr>
              <w:rFonts w:eastAsiaTheme="minorEastAsia"/>
              <w:noProof/>
              <w:lang w:eastAsia="en-AU"/>
            </w:rPr>
          </w:pPr>
          <w:hyperlink w:anchor="_Toc397603323" w:history="1">
            <w:r w:rsidR="00CD20AF" w:rsidRPr="003B668F">
              <w:rPr>
                <w:rStyle w:val="Hyperlink"/>
                <w:noProof/>
              </w:rPr>
              <w:t xml:space="preserve">3.1 </w:t>
            </w:r>
            <w:r w:rsidR="00CD20AF">
              <w:rPr>
                <w:rFonts w:eastAsiaTheme="minorEastAsia"/>
                <w:noProof/>
                <w:lang w:eastAsia="en-AU"/>
              </w:rPr>
              <w:tab/>
            </w:r>
            <w:r w:rsidR="00CD20AF" w:rsidRPr="003B668F">
              <w:rPr>
                <w:rStyle w:val="Hyperlink"/>
                <w:noProof/>
              </w:rPr>
              <w:t>Contact details</w:t>
            </w:r>
            <w:r w:rsidR="00CD20AF">
              <w:rPr>
                <w:noProof/>
                <w:webHidden/>
              </w:rPr>
              <w:tab/>
            </w:r>
            <w:r w:rsidR="00CD20AF">
              <w:rPr>
                <w:noProof/>
                <w:webHidden/>
              </w:rPr>
              <w:fldChar w:fldCharType="begin"/>
            </w:r>
            <w:r w:rsidR="00CD20AF">
              <w:rPr>
                <w:noProof/>
                <w:webHidden/>
              </w:rPr>
              <w:instrText xml:space="preserve"> PAGEREF _Toc397603323 \h </w:instrText>
            </w:r>
            <w:r w:rsidR="00CD20AF">
              <w:rPr>
                <w:noProof/>
                <w:webHidden/>
              </w:rPr>
            </w:r>
            <w:r w:rsidR="00CD20AF">
              <w:rPr>
                <w:noProof/>
                <w:webHidden/>
              </w:rPr>
              <w:fldChar w:fldCharType="separate"/>
            </w:r>
            <w:r w:rsidR="00CD20AF">
              <w:rPr>
                <w:noProof/>
                <w:webHidden/>
              </w:rPr>
              <w:t>8</w:t>
            </w:r>
            <w:r w:rsidR="00CD20AF">
              <w:rPr>
                <w:noProof/>
                <w:webHidden/>
              </w:rPr>
              <w:fldChar w:fldCharType="end"/>
            </w:r>
          </w:hyperlink>
        </w:p>
        <w:p w:rsidR="003D422E" w:rsidRDefault="003D422E">
          <w:r>
            <w:rPr>
              <w:b/>
              <w:bCs/>
              <w:noProof/>
            </w:rPr>
            <w:fldChar w:fldCharType="end"/>
          </w:r>
        </w:p>
      </w:sdtContent>
    </w:sdt>
    <w:p w:rsidR="003D422E" w:rsidRDefault="003D422E">
      <w:r>
        <w:br w:type="page"/>
      </w:r>
    </w:p>
    <w:p w:rsidR="003D422E" w:rsidRDefault="003D422E" w:rsidP="007D705C">
      <w:pPr>
        <w:pStyle w:val="Heading1"/>
      </w:pPr>
      <w:bookmarkStart w:id="1" w:name="_Toc397603311"/>
      <w:r>
        <w:lastRenderedPageBreak/>
        <w:t>Section 1: Introduction</w:t>
      </w:r>
      <w:bookmarkEnd w:id="1"/>
    </w:p>
    <w:p w:rsidR="003D422E" w:rsidRDefault="003D422E" w:rsidP="00B20404">
      <w:pPr>
        <w:pStyle w:val="Heading2"/>
        <w:numPr>
          <w:ilvl w:val="1"/>
          <w:numId w:val="14"/>
        </w:numPr>
      </w:pPr>
      <w:bookmarkStart w:id="2" w:name="_Toc397603312"/>
      <w:r>
        <w:t xml:space="preserve">About </w:t>
      </w:r>
      <w:r w:rsidR="007D705C">
        <w:t>Finance Sector Union of Australia</w:t>
      </w:r>
      <w:bookmarkEnd w:id="2"/>
    </w:p>
    <w:p w:rsidR="00D87B74" w:rsidRDefault="00B20404" w:rsidP="00961350">
      <w:r>
        <w:t xml:space="preserve">The Finance Sector Union </w:t>
      </w:r>
      <w:r w:rsidR="000561BF">
        <w:t xml:space="preserve">of Australia </w:t>
      </w:r>
      <w:r>
        <w:t>(FSU) is the trade union repre</w:t>
      </w:r>
      <w:r w:rsidR="00407143">
        <w:t>senting employees working in</w:t>
      </w:r>
      <w:r>
        <w:t xml:space="preserve"> </w:t>
      </w:r>
      <w:r w:rsidR="00C34929">
        <w:t>financial and insurance services</w:t>
      </w:r>
      <w:r w:rsidR="000561BF">
        <w:t xml:space="preserve"> in Australia</w:t>
      </w:r>
      <w:r>
        <w:t xml:space="preserve">. </w:t>
      </w:r>
      <w:r w:rsidR="008B4D59">
        <w:t>The FSU</w:t>
      </w:r>
      <w:r w:rsidR="00BC6AF5">
        <w:t xml:space="preserve">’s </w:t>
      </w:r>
      <w:r w:rsidR="007B24FC">
        <w:t xml:space="preserve">membership is predominantly (68 </w:t>
      </w:r>
      <w:proofErr w:type="spellStart"/>
      <w:r w:rsidR="007B24FC">
        <w:t>percent</w:t>
      </w:r>
      <w:proofErr w:type="spellEnd"/>
      <w:r w:rsidR="007B24FC">
        <w:t xml:space="preserve">) women. </w:t>
      </w:r>
    </w:p>
    <w:p w:rsidR="00744FAF" w:rsidRDefault="00744FAF" w:rsidP="00744FAF">
      <w:pPr>
        <w:pStyle w:val="Heading2"/>
        <w:numPr>
          <w:ilvl w:val="1"/>
          <w:numId w:val="14"/>
        </w:numPr>
      </w:pPr>
      <w:bookmarkStart w:id="3" w:name="_Toc397603313"/>
      <w:r>
        <w:t>About the Finance Sector in Australia</w:t>
      </w:r>
      <w:bookmarkEnd w:id="3"/>
    </w:p>
    <w:p w:rsidR="00426BB0" w:rsidRDefault="00361939" w:rsidP="00961350">
      <w:r>
        <w:t xml:space="preserve">The finance sector in Australia </w:t>
      </w:r>
      <w:r w:rsidR="00247BA0">
        <w:t xml:space="preserve">consists of around 420, 100 </w:t>
      </w:r>
      <w:r w:rsidR="001C7265">
        <w:t>workers</w:t>
      </w:r>
      <w:r w:rsidR="00247BA0">
        <w:t xml:space="preserve"> nationwide, with women making up approximately 51 </w:t>
      </w:r>
      <w:proofErr w:type="spellStart"/>
      <w:r w:rsidR="00247BA0">
        <w:t>percent</w:t>
      </w:r>
      <w:proofErr w:type="spellEnd"/>
      <w:r w:rsidR="00247BA0">
        <w:t xml:space="preserve"> of the total num</w:t>
      </w:r>
      <w:r w:rsidR="001C7265">
        <w:t>ber of workers</w:t>
      </w:r>
      <w:r w:rsidR="00247BA0">
        <w:t xml:space="preserve"> within the sector</w:t>
      </w:r>
      <w:r w:rsidR="00247BA0">
        <w:rPr>
          <w:rStyle w:val="FootnoteReference"/>
          <w:sz w:val="23"/>
          <w:szCs w:val="23"/>
        </w:rPr>
        <w:footnoteReference w:id="1"/>
      </w:r>
      <w:r w:rsidR="00426BB0">
        <w:t>.</w:t>
      </w:r>
    </w:p>
    <w:p w:rsidR="00247BA0" w:rsidRDefault="00247BA0" w:rsidP="00961350">
      <w:r>
        <w:t>Approximately 27% of women in the sector are employed part-time and make up approximately 82% of the part-time workforce in the sector</w:t>
      </w:r>
      <w:r w:rsidR="001E57E0">
        <w:rPr>
          <w:rStyle w:val="FootnoteReference"/>
          <w:sz w:val="23"/>
          <w:szCs w:val="23"/>
        </w:rPr>
        <w:footnoteReference w:id="2"/>
      </w:r>
      <w:r>
        <w:t>.</w:t>
      </w:r>
    </w:p>
    <w:p w:rsidR="008937C4" w:rsidRDefault="008937C4" w:rsidP="00961350">
      <w:r>
        <w:t>Despite women making up the majority of</w:t>
      </w:r>
      <w:r w:rsidR="00B545B5">
        <w:t xml:space="preserve"> workers</w:t>
      </w:r>
      <w:r>
        <w:t xml:space="preserve"> in the industry, the pay gap</w:t>
      </w:r>
      <w:r>
        <w:rPr>
          <w:rStyle w:val="FootnoteReference"/>
          <w:sz w:val="23"/>
          <w:szCs w:val="23"/>
        </w:rPr>
        <w:footnoteReference w:id="3"/>
      </w:r>
      <w:r>
        <w:t>, between men and women is the second highest in Australia, after the healthcare and social assistance sector, at 31.4%</w:t>
      </w:r>
      <w:r>
        <w:rPr>
          <w:rStyle w:val="FootnoteReference"/>
          <w:sz w:val="23"/>
          <w:szCs w:val="23"/>
        </w:rPr>
        <w:footnoteReference w:id="4"/>
      </w:r>
      <w:r>
        <w:t>.</w:t>
      </w:r>
    </w:p>
    <w:p w:rsidR="00407143" w:rsidRDefault="003D422E" w:rsidP="00990C53">
      <w:pPr>
        <w:pStyle w:val="Heading2"/>
        <w:numPr>
          <w:ilvl w:val="1"/>
          <w:numId w:val="14"/>
        </w:numPr>
      </w:pPr>
      <w:bookmarkStart w:id="4" w:name="_Toc397603314"/>
      <w:r>
        <w:t xml:space="preserve">Overview of the </w:t>
      </w:r>
      <w:r w:rsidR="00410B77">
        <w:t>FSU</w:t>
      </w:r>
      <w:r>
        <w:t xml:space="preserve"> submission</w:t>
      </w:r>
      <w:bookmarkEnd w:id="4"/>
    </w:p>
    <w:p w:rsidR="007271FC" w:rsidRDefault="007271FC" w:rsidP="00961350">
      <w:r>
        <w:t xml:space="preserve">This submission responds to </w:t>
      </w:r>
      <w:r w:rsidR="00E35F5A">
        <w:t xml:space="preserve">the ‘Childcare and Early Childhood Learning – Productivity Commission Draft Report July 2014’ (‘PC Draft Report’) and builds on </w:t>
      </w:r>
      <w:r w:rsidR="00660139">
        <w:t>the FSU’s</w:t>
      </w:r>
      <w:r w:rsidR="00E35F5A">
        <w:t xml:space="preserve"> </w:t>
      </w:r>
      <w:r w:rsidR="004E2C65">
        <w:t xml:space="preserve">initial submission </w:t>
      </w:r>
      <w:r w:rsidR="00FE5CC5">
        <w:t xml:space="preserve">to the Productivity Commission Inquiry </w:t>
      </w:r>
      <w:r w:rsidR="004E2C65">
        <w:t>in February 2014</w:t>
      </w:r>
      <w:r w:rsidR="004E3653">
        <w:t xml:space="preserve"> – ‘Submission 174 – Finance Sector Union of Australia – Childcare and Early Childhood Learning – Public Inquiry’ (‘FSU Submission 174’).</w:t>
      </w:r>
    </w:p>
    <w:p w:rsidR="00660139" w:rsidRDefault="00FE5CC5" w:rsidP="00961350">
      <w:r>
        <w:t xml:space="preserve">This submission is premised on </w:t>
      </w:r>
      <w:r w:rsidR="00A53EE1">
        <w:t xml:space="preserve">upholding the best interests of the child and focuses on </w:t>
      </w:r>
      <w:r w:rsidR="00D7112D">
        <w:t>the needs of working parents</w:t>
      </w:r>
      <w:r w:rsidR="00660139">
        <w:t xml:space="preserve"> and their children</w:t>
      </w:r>
      <w:r w:rsidR="00D7112D">
        <w:t>, consistent with the needs</w:t>
      </w:r>
      <w:r w:rsidR="00865B9C">
        <w:t xml:space="preserve"> and</w:t>
      </w:r>
      <w:r w:rsidR="00D7112D">
        <w:t xml:space="preserve"> interests of </w:t>
      </w:r>
      <w:r w:rsidR="00660139">
        <w:t>the FSU membership</w:t>
      </w:r>
      <w:r w:rsidR="005C371D">
        <w:t>.</w:t>
      </w:r>
      <w:r w:rsidR="0024600E">
        <w:t xml:space="preserve"> This submission </w:t>
      </w:r>
      <w:r w:rsidR="003F459D">
        <w:t>address</w:t>
      </w:r>
      <w:r w:rsidR="0024600E">
        <w:t>es, in particular, issues raised by the PC Draft Report in relation to</w:t>
      </w:r>
      <w:r w:rsidR="003F459D">
        <w:t xml:space="preserve"> the</w:t>
      </w:r>
      <w:r w:rsidR="0024600E">
        <w:t>:</w:t>
      </w:r>
    </w:p>
    <w:p w:rsidR="0024600E" w:rsidRDefault="005D37B7" w:rsidP="0024600E">
      <w:pPr>
        <w:pStyle w:val="ListParagraph"/>
        <w:numPr>
          <w:ilvl w:val="0"/>
          <w:numId w:val="26"/>
        </w:numPr>
      </w:pPr>
      <w:r>
        <w:t>Accessibility</w:t>
      </w:r>
      <w:r w:rsidR="0024600E">
        <w:t xml:space="preserve"> of childcare</w:t>
      </w:r>
      <w:r w:rsidR="00884349">
        <w:t>;</w:t>
      </w:r>
    </w:p>
    <w:p w:rsidR="0024600E" w:rsidRDefault="003F459D" w:rsidP="0024600E">
      <w:pPr>
        <w:pStyle w:val="ListParagraph"/>
        <w:numPr>
          <w:ilvl w:val="0"/>
          <w:numId w:val="26"/>
        </w:numPr>
      </w:pPr>
      <w:r>
        <w:t>Quality of childcare</w:t>
      </w:r>
      <w:r w:rsidR="00884349">
        <w:t>;</w:t>
      </w:r>
    </w:p>
    <w:p w:rsidR="000850F7" w:rsidRDefault="003F459D" w:rsidP="00961350">
      <w:pPr>
        <w:pStyle w:val="ListParagraph"/>
        <w:numPr>
          <w:ilvl w:val="0"/>
          <w:numId w:val="26"/>
        </w:numPr>
      </w:pPr>
      <w:r>
        <w:t>Cost of childcare</w:t>
      </w:r>
      <w:r w:rsidR="00884349">
        <w:t>;</w:t>
      </w:r>
      <w:r w:rsidR="00495CDC">
        <w:t xml:space="preserve"> </w:t>
      </w:r>
    </w:p>
    <w:p w:rsidR="00495CDC" w:rsidRDefault="00E52980" w:rsidP="00961350">
      <w:pPr>
        <w:pStyle w:val="ListParagraph"/>
        <w:numPr>
          <w:ilvl w:val="0"/>
          <w:numId w:val="26"/>
        </w:numPr>
      </w:pPr>
      <w:r>
        <w:t>Payment of childcare subsidies</w:t>
      </w:r>
      <w:r w:rsidR="00884349">
        <w:t>;</w:t>
      </w:r>
      <w:r w:rsidR="000850F7">
        <w:t xml:space="preserve"> </w:t>
      </w:r>
      <w:r w:rsidR="00495CDC">
        <w:t>and</w:t>
      </w:r>
    </w:p>
    <w:p w:rsidR="00495CDC" w:rsidRDefault="00BA5327" w:rsidP="00961350">
      <w:pPr>
        <w:pStyle w:val="ListParagraph"/>
        <w:numPr>
          <w:ilvl w:val="0"/>
          <w:numId w:val="26"/>
        </w:numPr>
      </w:pPr>
      <w:r>
        <w:t>T</w:t>
      </w:r>
      <w:r w:rsidR="00495CDC" w:rsidRPr="00EA2444">
        <w:t>he intersection between childcare responsibilities and employer practice which imp</w:t>
      </w:r>
      <w:r w:rsidR="00495CDC">
        <w:t>acts on workforce participation.</w:t>
      </w:r>
    </w:p>
    <w:p w:rsidR="00495CDC" w:rsidRDefault="00BA5327" w:rsidP="00495CDC">
      <w:r>
        <w:t>As expressed by FSU membership in FSU Submission 174 and acknowledged by t</w:t>
      </w:r>
      <w:r w:rsidR="005D37B7">
        <w:t>he Productivity Commission, accessible, affordable</w:t>
      </w:r>
      <w:r w:rsidR="006F143E">
        <w:t>, high quality child</w:t>
      </w:r>
      <w:r w:rsidR="005D37B7">
        <w:t xml:space="preserve">care is imperative to </w:t>
      </w:r>
      <w:r w:rsidR="00884349">
        <w:t>increasing</w:t>
      </w:r>
      <w:r w:rsidR="005D37B7">
        <w:t xml:space="preserve"> participation in the workforce, particularly for women and to optimise children’s learning and development.</w:t>
      </w:r>
    </w:p>
    <w:p w:rsidR="00407143" w:rsidRDefault="000850F7" w:rsidP="00961350">
      <w:r>
        <w:lastRenderedPageBreak/>
        <w:t>As such</w:t>
      </w:r>
      <w:r w:rsidR="00995710">
        <w:t>,</w:t>
      </w:r>
      <w:r>
        <w:t xml:space="preserve"> this submission advocates for </w:t>
      </w:r>
      <w:r w:rsidR="00B106FB" w:rsidRPr="00EA2444">
        <w:t>increased</w:t>
      </w:r>
      <w:r w:rsidR="00407143" w:rsidRPr="00EA2444">
        <w:t xml:space="preserve"> accessible and affordable childcare</w:t>
      </w:r>
      <w:r w:rsidR="00A40EF3">
        <w:t xml:space="preserve"> consistent with the National Qualifications Framework (‘NQF’</w:t>
      </w:r>
      <w:r w:rsidR="00995710">
        <w:t>)</w:t>
      </w:r>
      <w:r w:rsidR="004D5BD4">
        <w:t xml:space="preserve"> and early childhood </w:t>
      </w:r>
      <w:r w:rsidR="0016170D">
        <w:t>education</w:t>
      </w:r>
      <w:r w:rsidR="004D5BD4">
        <w:t xml:space="preserve"> principles</w:t>
      </w:r>
      <w:r w:rsidR="00995710">
        <w:t xml:space="preserve"> that</w:t>
      </w:r>
      <w:r w:rsidR="000B76BF">
        <w:t xml:space="preserve"> will allow parents to participate in the workforce with confidence that their children’s best interests are </w:t>
      </w:r>
      <w:r w:rsidR="00560420">
        <w:t>being upheld.</w:t>
      </w:r>
    </w:p>
    <w:p w:rsidR="00995710" w:rsidRDefault="00995710" w:rsidP="00961350">
      <w:r>
        <w:t xml:space="preserve">The FSU acknowledges that the current funding envelope </w:t>
      </w:r>
      <w:r w:rsidR="000F29CF">
        <w:t xml:space="preserve">is not </w:t>
      </w:r>
      <w:r>
        <w:t xml:space="preserve">sufficient to provide </w:t>
      </w:r>
      <w:r w:rsidR="000F29CF">
        <w:t xml:space="preserve">enough </w:t>
      </w:r>
      <w:r>
        <w:t xml:space="preserve">accessible, affordable and high quality childcare </w:t>
      </w:r>
      <w:r w:rsidR="004D5BD4">
        <w:t xml:space="preserve">and as such a calls for </w:t>
      </w:r>
      <w:r w:rsidR="008F44FD">
        <w:t>increased funding of early child</w:t>
      </w:r>
      <w:r w:rsidR="003209DD">
        <w:t xml:space="preserve">hood </w:t>
      </w:r>
      <w:r w:rsidR="00D75A11">
        <w:t>education</w:t>
      </w:r>
      <w:r w:rsidR="003209DD">
        <w:t xml:space="preserve"> and care</w:t>
      </w:r>
      <w:r w:rsidR="00D75A11">
        <w:t xml:space="preserve"> (‘ECEC’)</w:t>
      </w:r>
      <w:r w:rsidR="003209DD">
        <w:t xml:space="preserve"> on the basis of a direct concern for the best interest of the child and because increased workplace participation will provide benefits for the whole economy which in turn will </w:t>
      </w:r>
      <w:r w:rsidR="00EB2068">
        <w:t xml:space="preserve">assist in funding </w:t>
      </w:r>
      <w:r w:rsidR="00D75A11">
        <w:t>ECEC</w:t>
      </w:r>
      <w:r w:rsidR="00EB2068">
        <w:t>.</w:t>
      </w:r>
    </w:p>
    <w:p w:rsidR="008A08C5" w:rsidRPr="00EA2444" w:rsidRDefault="008A08C5" w:rsidP="00961350">
      <w:r>
        <w:t>The FSU supports the Australian Council of Trade Unions’ (‘ACTU’)</w:t>
      </w:r>
      <w:r w:rsidR="004F2E3B">
        <w:t xml:space="preserve"> submissions to this Inquiry.</w:t>
      </w:r>
    </w:p>
    <w:p w:rsidR="00511A86" w:rsidRDefault="00511A86" w:rsidP="00511A86">
      <w:pPr>
        <w:pStyle w:val="Heading1"/>
      </w:pPr>
      <w:bookmarkStart w:id="5" w:name="_Toc397603315"/>
      <w:r>
        <w:t>Section 2</w:t>
      </w:r>
      <w:r w:rsidR="000270EB">
        <w:t>: Responses to the PC Draft Report</w:t>
      </w:r>
      <w:bookmarkEnd w:id="5"/>
    </w:p>
    <w:p w:rsidR="00FB5D00" w:rsidRDefault="009C79C2" w:rsidP="009C79C2">
      <w:pPr>
        <w:pStyle w:val="Heading2"/>
      </w:pPr>
      <w:bookmarkStart w:id="6" w:name="_Toc397603316"/>
      <w:r>
        <w:t>2.1</w:t>
      </w:r>
      <w:r>
        <w:tab/>
      </w:r>
      <w:r w:rsidR="00FB5D00">
        <w:t>Accessibility of childcare</w:t>
      </w:r>
      <w:bookmarkEnd w:id="6"/>
    </w:p>
    <w:p w:rsidR="007D36D1" w:rsidRDefault="007D36D1" w:rsidP="007D36D1">
      <w:r>
        <w:t>A lack of access to quality and affordable childcare negatively effects participation in the workforce, particularly that of women who typically have a greater role in caring for children (particularly younger children)</w:t>
      </w:r>
      <w:r>
        <w:rPr>
          <w:rStyle w:val="FootnoteReference"/>
        </w:rPr>
        <w:footnoteReference w:id="5"/>
      </w:r>
      <w:r>
        <w:t xml:space="preserve">, either leading to decreased workforce participation or </w:t>
      </w:r>
      <w:r w:rsidR="0089031E">
        <w:t>r</w:t>
      </w:r>
      <w:r>
        <w:t>esignation/retrenchment.</w:t>
      </w:r>
    </w:p>
    <w:p w:rsidR="007D36D1" w:rsidRDefault="0089031E" w:rsidP="007D36D1">
      <w:r>
        <w:t xml:space="preserve">As described in FSU Submission 174, </w:t>
      </w:r>
      <w:r w:rsidR="007D36D1">
        <w:t>nearly one third of all members who contacted the union for assistance in relation to child care responsibilities decreased their participation in the workforce through accessing unpaid leave (7.5%) or left employment altogether (25%), even though their preferred outcome would have been to continue working.</w:t>
      </w:r>
    </w:p>
    <w:p w:rsidR="005864F5" w:rsidRDefault="0089031E" w:rsidP="0089031E">
      <w:r>
        <w:t>As such the FSU welcomes the Productivity Commission’s</w:t>
      </w:r>
      <w:r w:rsidR="005864F5">
        <w:t xml:space="preserve"> Draft </w:t>
      </w:r>
      <w:r>
        <w:t xml:space="preserve"> </w:t>
      </w:r>
      <w:r w:rsidR="005451EB">
        <w:t xml:space="preserve">Recommendation 8.1 that </w:t>
      </w:r>
      <w:r w:rsidR="00332D0A">
        <w:t xml:space="preserve">school based </w:t>
      </w:r>
      <w:r w:rsidR="00D75A11">
        <w:t xml:space="preserve">outside </w:t>
      </w:r>
      <w:r w:rsidR="005451EB">
        <w:t>school hours care</w:t>
      </w:r>
      <w:r w:rsidR="00D75A11">
        <w:t xml:space="preserve"> (‘OSHC’)</w:t>
      </w:r>
      <w:r w:rsidR="005451EB">
        <w:t>, be extended from primary school age children to include pre-school age children,</w:t>
      </w:r>
      <w:r w:rsidR="00332D0A">
        <w:t xml:space="preserve"> increasing the opportunity for the parents of 2.6 million children</w:t>
      </w:r>
      <w:r w:rsidR="00332D0A">
        <w:rPr>
          <w:rStyle w:val="FootnoteReference"/>
        </w:rPr>
        <w:footnoteReference w:id="6"/>
      </w:r>
      <w:r w:rsidR="00332D0A">
        <w:t xml:space="preserve"> to participate in the workforce</w:t>
      </w:r>
      <w:r w:rsidR="0016170D">
        <w:t xml:space="preserve">, and increasing the availability of </w:t>
      </w:r>
      <w:r w:rsidR="005864F5">
        <w:t>ECEC to those children.</w:t>
      </w:r>
    </w:p>
    <w:p w:rsidR="0089031E" w:rsidRDefault="005864F5" w:rsidP="0089031E">
      <w:r>
        <w:t>The FSU is, however concerned</w:t>
      </w:r>
      <w:r w:rsidR="00D03242">
        <w:t xml:space="preserve"> about the Productivity Commission</w:t>
      </w:r>
      <w:r w:rsidR="004C0EF8">
        <w:t>’</w:t>
      </w:r>
      <w:r w:rsidR="00D03242">
        <w:t xml:space="preserve">s </w:t>
      </w:r>
      <w:r w:rsidR="00287A97">
        <w:t>recommendation</w:t>
      </w:r>
      <w:r w:rsidR="00D03242">
        <w:t xml:space="preserve"> that </w:t>
      </w:r>
      <w:r w:rsidR="0001678E">
        <w:t>school principals should be required to take responsibility for the organisation of OSHC</w:t>
      </w:r>
      <w:r w:rsidR="00287A97">
        <w:rPr>
          <w:rStyle w:val="FootnoteReference"/>
        </w:rPr>
        <w:footnoteReference w:id="7"/>
      </w:r>
      <w:r w:rsidR="0001678E">
        <w:t xml:space="preserve"> </w:t>
      </w:r>
      <w:r w:rsidR="00F141EC">
        <w:t>as school principals differ widely in their access to resources</w:t>
      </w:r>
      <w:r w:rsidR="00FA0E32">
        <w:t xml:space="preserve"> including </w:t>
      </w:r>
      <w:r w:rsidR="00784AFD">
        <w:t>the additional capacity required to organise OSHC given principals existing workloads</w:t>
      </w:r>
      <w:r w:rsidR="006F6F8B">
        <w:t xml:space="preserve">. </w:t>
      </w:r>
      <w:r w:rsidR="004C7741">
        <w:t xml:space="preserve">It is the FSU’s view that availability of OSHC should not be limited by principals’ workload constraints or by the </w:t>
      </w:r>
      <w:r w:rsidR="003B088C">
        <w:t>inequitable</w:t>
      </w:r>
      <w:r w:rsidR="004C7741">
        <w:t xml:space="preserve"> resourcing o</w:t>
      </w:r>
      <w:r w:rsidR="006343B3">
        <w:t>f schools, as such differentiated provision of OSHC will disadvantage those who live in socio-economically disadvantaged areas and serve to entrench</w:t>
      </w:r>
      <w:r w:rsidR="00504663">
        <w:t xml:space="preserve"> the </w:t>
      </w:r>
      <w:r w:rsidR="00784AFD">
        <w:t>inequality</w:t>
      </w:r>
      <w:r w:rsidR="00504663">
        <w:t xml:space="preserve"> of life chances of both parents and children</w:t>
      </w:r>
      <w:r w:rsidR="006343B3">
        <w:t>.</w:t>
      </w:r>
      <w:r w:rsidR="00504663">
        <w:t xml:space="preserve"> </w:t>
      </w:r>
      <w:r w:rsidR="00B65817">
        <w:t xml:space="preserve">Schools in different areas have different capacities within the school community to assist in the set up and ongoing provision of OHSC. </w:t>
      </w:r>
      <w:r w:rsidR="00504663">
        <w:t>As such the FSU recommends that:</w:t>
      </w:r>
    </w:p>
    <w:p w:rsidR="005D0EF9" w:rsidRDefault="00F948C0" w:rsidP="005D0EF9">
      <w:pPr>
        <w:rPr>
          <w:b/>
        </w:rPr>
      </w:pPr>
      <w:r w:rsidRPr="001F5D21">
        <w:rPr>
          <w:b/>
        </w:rPr>
        <w:lastRenderedPageBreak/>
        <w:t>Draft Recommendation 8.2 be amended to</w:t>
      </w:r>
      <w:r w:rsidR="00695898" w:rsidRPr="001F5D21">
        <w:rPr>
          <w:b/>
        </w:rPr>
        <w:t xml:space="preserve"> ’The Federal government should fund State and territory governments to enable all schools to take responsibility for organising the provision of an outside school hours care service for their students (including s</w:t>
      </w:r>
      <w:r w:rsidR="005D0EF9" w:rsidRPr="001F5D21">
        <w:rPr>
          <w:b/>
        </w:rPr>
        <w:t xml:space="preserve">tudents in attached preschools). Adequate resourcing should be based on a needs basis as advocated for by </w:t>
      </w:r>
      <w:r w:rsidR="001F5D21" w:rsidRPr="001F5D21">
        <w:rPr>
          <w:b/>
        </w:rPr>
        <w:t xml:space="preserve">the </w:t>
      </w:r>
      <w:proofErr w:type="spellStart"/>
      <w:r w:rsidR="001F5D21" w:rsidRPr="001F5D21">
        <w:rPr>
          <w:b/>
        </w:rPr>
        <w:t>Gonski</w:t>
      </w:r>
      <w:proofErr w:type="spellEnd"/>
      <w:r w:rsidR="001F5D21" w:rsidRPr="001F5D21">
        <w:rPr>
          <w:b/>
        </w:rPr>
        <w:t xml:space="preserve"> Review.’</w:t>
      </w:r>
    </w:p>
    <w:p w:rsidR="00CA6BD9" w:rsidRDefault="009163B5" w:rsidP="005D0EF9">
      <w:r>
        <w:t xml:space="preserve">The FSU is also deeply concerned about the Productivity Commission’s </w:t>
      </w:r>
      <w:r w:rsidR="005D3A37">
        <w:t>Draft Recommendation</w:t>
      </w:r>
      <w:r w:rsidR="000809CC">
        <w:t xml:space="preserve"> </w:t>
      </w:r>
      <w:r w:rsidR="005D3A37">
        <w:t>10.1</w:t>
      </w:r>
      <w:r>
        <w:t xml:space="preserve"> in relation to the not-for-</w:t>
      </w:r>
      <w:r w:rsidR="00A9737C">
        <w:t xml:space="preserve">profit provision of ECEC including </w:t>
      </w:r>
      <w:r w:rsidR="005D3A37">
        <w:t>the removal of no</w:t>
      </w:r>
      <w:r w:rsidR="000809CC">
        <w:t>t-for-profit ECEC providers</w:t>
      </w:r>
      <w:r w:rsidR="00B72999">
        <w:t>’</w:t>
      </w:r>
      <w:r w:rsidR="000809CC">
        <w:t xml:space="preserve"> eligibility for Fringe Benefits Tax exemptions and rebates; and</w:t>
      </w:r>
      <w:r w:rsidR="00AA0518">
        <w:t xml:space="preserve"> increasing limitations of</w:t>
      </w:r>
      <w:r w:rsidR="000809CC">
        <w:t xml:space="preserve"> state and territory government supports</w:t>
      </w:r>
      <w:r w:rsidR="00AA0518">
        <w:t xml:space="preserve"> to the sector</w:t>
      </w:r>
      <w:r w:rsidR="00CA6BD9">
        <w:t>; on the basis that the not-for-profit sector often has a substantial competitive advantage over commercial services</w:t>
      </w:r>
      <w:r w:rsidR="00CA6BD9">
        <w:rPr>
          <w:rStyle w:val="FootnoteReference"/>
        </w:rPr>
        <w:footnoteReference w:id="8"/>
      </w:r>
      <w:r w:rsidR="00CA6BD9">
        <w:t>.</w:t>
      </w:r>
      <w:r w:rsidR="00AA0518">
        <w:t xml:space="preserve"> </w:t>
      </w:r>
      <w:r w:rsidR="0016640F">
        <w:t xml:space="preserve">Commercial services operate to create a profit and </w:t>
      </w:r>
      <w:r w:rsidR="008B2621">
        <w:t xml:space="preserve">therefore will </w:t>
      </w:r>
      <w:r w:rsidR="0016640F">
        <w:t>not increase services for those without a capacity to pay</w:t>
      </w:r>
      <w:r w:rsidR="001E541F">
        <w:t xml:space="preserve"> </w:t>
      </w:r>
      <w:r w:rsidR="009C6A53">
        <w:t>which will reduce the accessibility of ECEC for those most in need.</w:t>
      </w:r>
      <w:r w:rsidR="00E1467C">
        <w:t xml:space="preserve"> The Productivity Commission’s Recommendation</w:t>
      </w:r>
      <w:r w:rsidR="00C8202E">
        <w:t xml:space="preserve"> will</w:t>
      </w:r>
      <w:r w:rsidR="00AC52CB">
        <w:t xml:space="preserve"> </w:t>
      </w:r>
      <w:r w:rsidR="00E1467C">
        <w:t>destabilise the exi</w:t>
      </w:r>
      <w:r w:rsidR="00B20DB7">
        <w:t>s</w:t>
      </w:r>
      <w:r w:rsidR="00E1467C">
        <w:t xml:space="preserve">ting provision of </w:t>
      </w:r>
      <w:r w:rsidR="00B20DB7">
        <w:t xml:space="preserve">ECEC by the not-for-profit sector </w:t>
      </w:r>
      <w:r w:rsidR="00007903">
        <w:t>by creating additional costs for</w:t>
      </w:r>
      <w:r w:rsidR="00CF72F1">
        <w:t xml:space="preserve"> not-for-profit </w:t>
      </w:r>
      <w:r w:rsidR="00AC52CB">
        <w:t>providers</w:t>
      </w:r>
      <w:r w:rsidR="00864AB3">
        <w:t xml:space="preserve"> and reducing the accessibility of ECEC</w:t>
      </w:r>
      <w:r w:rsidR="00B20DB7">
        <w:t>.</w:t>
      </w:r>
      <w:r w:rsidR="00AC52CB">
        <w:t xml:space="preserve"> For example parent run OSHC that may </w:t>
      </w:r>
      <w:r w:rsidR="00864AB3">
        <w:t>use school premises at ‘peppercorn rents’ may be forced to clos</w:t>
      </w:r>
      <w:r w:rsidR="00636EBE">
        <w:t xml:space="preserve">e if market rents were charged, or be forced to increase fees that would disadvantage parents who are low income earners. </w:t>
      </w:r>
      <w:r w:rsidR="004E0660">
        <w:t xml:space="preserve">Whilst the </w:t>
      </w:r>
      <w:r w:rsidR="006E378C">
        <w:t xml:space="preserve">Productivity Commission’s Recommendation may succeed in further monetising </w:t>
      </w:r>
      <w:r w:rsidR="000112EC">
        <w:t>ECEC, this Recommendation will reduce accessibility. As such the FSU recommends that</w:t>
      </w:r>
      <w:r w:rsidR="0099506C">
        <w:t>:</w:t>
      </w:r>
    </w:p>
    <w:p w:rsidR="000112EC" w:rsidRDefault="000112EC" w:rsidP="005D0EF9">
      <w:pPr>
        <w:rPr>
          <w:b/>
        </w:rPr>
      </w:pPr>
      <w:r w:rsidRPr="00C427C8">
        <w:rPr>
          <w:b/>
        </w:rPr>
        <w:t xml:space="preserve">Draft Recommendation 10.1 </w:t>
      </w:r>
      <w:proofErr w:type="gramStart"/>
      <w:r w:rsidRPr="00C427C8">
        <w:rPr>
          <w:b/>
        </w:rPr>
        <w:t>be</w:t>
      </w:r>
      <w:proofErr w:type="gramEnd"/>
      <w:r w:rsidRPr="00C427C8">
        <w:rPr>
          <w:b/>
        </w:rPr>
        <w:t xml:space="preserve"> scrapped. </w:t>
      </w:r>
    </w:p>
    <w:p w:rsidR="00815FA5" w:rsidRDefault="00FC3D44" w:rsidP="00944420">
      <w:r>
        <w:t xml:space="preserve">The FSU welcomes that Productivity Commission’s </w:t>
      </w:r>
      <w:r w:rsidR="008B497A">
        <w:t>attempts to address the needs of families by acknowledging that ‘an ECEC system to aim for [should]</w:t>
      </w:r>
      <w:r w:rsidR="000205AD">
        <w:t>… support family choices of care options, recognising that no single ECEC type will be appropriate…for all families’</w:t>
      </w:r>
      <w:r w:rsidR="000205AD">
        <w:rPr>
          <w:rStyle w:val="FootnoteReference"/>
        </w:rPr>
        <w:footnoteReference w:id="9"/>
      </w:r>
      <w:r w:rsidR="00FB7109">
        <w:t xml:space="preserve">. The FSU makes this observation in light of many finance sector workers working in regional areas, as shift workers and </w:t>
      </w:r>
      <w:r w:rsidR="002236DD">
        <w:t xml:space="preserve">working </w:t>
      </w:r>
      <w:r w:rsidR="00FB7109">
        <w:t>extende</w:t>
      </w:r>
      <w:r w:rsidR="00944420">
        <w:t xml:space="preserve">d hours due to workloads having difficulty accessing childcare and sometimes being forced to leave employment – as </w:t>
      </w:r>
      <w:r w:rsidR="002236DD">
        <w:t>described in FSU Submission 174</w:t>
      </w:r>
      <w:r w:rsidR="00944420">
        <w:t xml:space="preserve">. The FSU however is </w:t>
      </w:r>
      <w:r w:rsidR="00720F16">
        <w:t>deeply troubled by the Productivity Commission’s assertion that choices of child care options need not necessarily be affordable by all families</w:t>
      </w:r>
      <w:r w:rsidR="00720F16">
        <w:rPr>
          <w:rStyle w:val="FootnoteReference"/>
        </w:rPr>
        <w:footnoteReference w:id="10"/>
      </w:r>
      <w:r w:rsidR="00720F16">
        <w:t xml:space="preserve"> </w:t>
      </w:r>
      <w:r w:rsidR="008B0650">
        <w:t>as it is the FSU’s view that ECEC should be premised on the best interest of the child and not capacity to pay.</w:t>
      </w:r>
      <w:r w:rsidR="00B727DA">
        <w:t xml:space="preserve"> </w:t>
      </w:r>
      <w:r w:rsidR="0099506C">
        <w:t xml:space="preserve">This means that, in the view of the FSU, </w:t>
      </w:r>
      <w:r w:rsidR="00F5047D">
        <w:t>at the very minimum all children should have access to ECEC consistent with the NQF</w:t>
      </w:r>
    </w:p>
    <w:p w:rsidR="00FA1ABD" w:rsidRDefault="00DC061C" w:rsidP="00944420">
      <w:r w:rsidRPr="00BE5E66">
        <w:t xml:space="preserve">Issues of flexibility </w:t>
      </w:r>
      <w:r>
        <w:t xml:space="preserve">also </w:t>
      </w:r>
      <w:r w:rsidRPr="00BE5E66">
        <w:t xml:space="preserve">need to be addressed </w:t>
      </w:r>
      <w:r>
        <w:t xml:space="preserve">holistically so parents who work in regional locations or non-standard hours have access to the same range of options as other parents that ensure that the best interest of the child are being upheld. </w:t>
      </w:r>
      <w:r w:rsidR="001226EA">
        <w:t xml:space="preserve">For example parents who work extended hours may want to access ECEC options other than the use of nannies because they value the social interaction that their children can have </w:t>
      </w:r>
      <w:r w:rsidR="00815FA5">
        <w:t xml:space="preserve">in a childcare centre. </w:t>
      </w:r>
      <w:r w:rsidR="00F5047D">
        <w:t>Parents want a range of genuine options and an ECEC system to aim for should support these options</w:t>
      </w:r>
      <w:r w:rsidR="00B727DA">
        <w:t>.</w:t>
      </w:r>
      <w:r w:rsidR="004574D2">
        <w:t xml:space="preserve"> As such </w:t>
      </w:r>
      <w:r w:rsidR="00682874">
        <w:t>the FSU recommends that</w:t>
      </w:r>
      <w:r w:rsidR="00FA1ABD">
        <w:t>:</w:t>
      </w:r>
    </w:p>
    <w:p w:rsidR="00FA1ABD" w:rsidRDefault="00FA1ABD" w:rsidP="00944420">
      <w:pPr>
        <w:rPr>
          <w:b/>
        </w:rPr>
      </w:pPr>
      <w:r w:rsidRPr="00FA1ABD">
        <w:rPr>
          <w:b/>
        </w:rPr>
        <w:t>I</w:t>
      </w:r>
      <w:r w:rsidR="004574D2" w:rsidRPr="00FA1ABD">
        <w:rPr>
          <w:b/>
        </w:rPr>
        <w:t>ssues of flexibility need to be addressed by</w:t>
      </w:r>
      <w:r w:rsidR="00682874" w:rsidRPr="00FA1ABD">
        <w:rPr>
          <w:b/>
        </w:rPr>
        <w:t xml:space="preserve"> ensuring that all children have access quality affordable childcare</w:t>
      </w:r>
      <w:r w:rsidRPr="00FA1ABD">
        <w:rPr>
          <w:b/>
        </w:rPr>
        <w:t xml:space="preserve">, consistent with the </w:t>
      </w:r>
      <w:r w:rsidR="00C8202E" w:rsidRPr="00FA1ABD">
        <w:rPr>
          <w:b/>
        </w:rPr>
        <w:t>NQF, which</w:t>
      </w:r>
      <w:r w:rsidR="00682874" w:rsidRPr="00FA1ABD">
        <w:rPr>
          <w:b/>
        </w:rPr>
        <w:t xml:space="preserve"> supports family </w:t>
      </w:r>
      <w:r w:rsidRPr="00FA1ABD">
        <w:rPr>
          <w:b/>
        </w:rPr>
        <w:t>choice</w:t>
      </w:r>
      <w:r w:rsidR="00682874" w:rsidRPr="00FA1ABD">
        <w:rPr>
          <w:b/>
        </w:rPr>
        <w:t xml:space="preserve"> of care options and should not be </w:t>
      </w:r>
      <w:proofErr w:type="spellStart"/>
      <w:r w:rsidR="00682874" w:rsidRPr="00FA1ABD">
        <w:rPr>
          <w:b/>
        </w:rPr>
        <w:t>dependant</w:t>
      </w:r>
      <w:proofErr w:type="spellEnd"/>
      <w:r w:rsidR="00682874" w:rsidRPr="00FA1ABD">
        <w:rPr>
          <w:b/>
        </w:rPr>
        <w:t xml:space="preserve"> on parent’s capacity to pay.</w:t>
      </w:r>
    </w:p>
    <w:p w:rsidR="00FB5D00" w:rsidRDefault="009C79C2" w:rsidP="009C79C2">
      <w:pPr>
        <w:pStyle w:val="Heading2"/>
      </w:pPr>
      <w:bookmarkStart w:id="7" w:name="_Toc397603317"/>
      <w:r>
        <w:lastRenderedPageBreak/>
        <w:t>2.2</w:t>
      </w:r>
      <w:r>
        <w:tab/>
      </w:r>
      <w:r w:rsidR="00FB5D00">
        <w:t>Quality of childcare</w:t>
      </w:r>
      <w:bookmarkEnd w:id="7"/>
    </w:p>
    <w:p w:rsidR="00B70820" w:rsidRDefault="002C5DF5" w:rsidP="00011964">
      <w:r>
        <w:t>The FSU is deeply concerned that the Productivity Commission’s principles in formulating ‘an ECEC system to aim for’ is premised on the appropriateness to the type of service and not premised on the best interests of the child</w:t>
      </w:r>
      <w:r>
        <w:rPr>
          <w:rStyle w:val="FootnoteReference"/>
        </w:rPr>
        <w:footnoteReference w:id="11"/>
      </w:r>
      <w:r>
        <w:t>. It is the FSU’</w:t>
      </w:r>
      <w:r w:rsidR="00382B4E">
        <w:t xml:space="preserve">s view that the prioritisation of the service providers’ interests is not in keeping with community expectations  - as </w:t>
      </w:r>
      <w:r w:rsidR="00B70820">
        <w:t>demonstrated</w:t>
      </w:r>
      <w:r w:rsidR="00382B4E">
        <w:t xml:space="preserve"> by </w:t>
      </w:r>
      <w:r w:rsidR="006E6993">
        <w:t xml:space="preserve">FSU Submission 174 </w:t>
      </w:r>
      <w:r w:rsidR="002C246B">
        <w:t>that shows that</w:t>
      </w:r>
      <w:r w:rsidR="006E6993">
        <w:t xml:space="preserve"> finance sector workers are not only concerned with the accessibility of childcare but that childcare be appropriate and of high quality.</w:t>
      </w:r>
      <w:r w:rsidR="00B70820">
        <w:t xml:space="preserve"> </w:t>
      </w:r>
      <w:r w:rsidR="006E6993">
        <w:t>As such</w:t>
      </w:r>
      <w:r w:rsidR="00B70820">
        <w:t>:</w:t>
      </w:r>
    </w:p>
    <w:p w:rsidR="003032E1" w:rsidRDefault="00B70820" w:rsidP="00011964">
      <w:pPr>
        <w:rPr>
          <w:b/>
        </w:rPr>
      </w:pPr>
      <w:r w:rsidRPr="00B70820">
        <w:rPr>
          <w:b/>
        </w:rPr>
        <w:t>T</w:t>
      </w:r>
      <w:r w:rsidR="006E6993" w:rsidRPr="00B70820">
        <w:rPr>
          <w:b/>
        </w:rPr>
        <w:t xml:space="preserve">he FSU opposes all recommendations of the Productivity Commission that </w:t>
      </w:r>
      <w:r w:rsidR="00DD70BB" w:rsidRPr="00B70820">
        <w:rPr>
          <w:b/>
        </w:rPr>
        <w:t>undermine the NQF</w:t>
      </w:r>
      <w:r w:rsidR="002640E6" w:rsidRPr="00B70820">
        <w:rPr>
          <w:b/>
        </w:rPr>
        <w:t xml:space="preserve"> including in relation to staff qualifications and staffing ratios</w:t>
      </w:r>
      <w:r w:rsidR="003032E1" w:rsidRPr="00B70820">
        <w:rPr>
          <w:b/>
        </w:rPr>
        <w:t>.</w:t>
      </w:r>
    </w:p>
    <w:p w:rsidR="00B70820" w:rsidRDefault="00B70820" w:rsidP="00011964">
      <w:r>
        <w:t>In particular</w:t>
      </w:r>
      <w:r w:rsidR="007B42E9">
        <w:t xml:space="preserve"> the FSU</w:t>
      </w:r>
      <w:r>
        <w:t xml:space="preserve"> </w:t>
      </w:r>
      <w:r w:rsidR="007B42E9">
        <w:t>challenges th</w:t>
      </w:r>
      <w:r w:rsidR="00EC7EA7">
        <w:t>e</w:t>
      </w:r>
      <w:r w:rsidR="007B42E9">
        <w:t xml:space="preserve"> Productivity Commission’s assertion that OSHC can be</w:t>
      </w:r>
      <w:r w:rsidR="003D706B">
        <w:t xml:space="preserve"> </w:t>
      </w:r>
      <w:r w:rsidR="00EC7EA7">
        <w:t>appropriately provided</w:t>
      </w:r>
      <w:r w:rsidR="007B42E9">
        <w:t xml:space="preserve"> by staff ratios that are considered acceptable during school hours and asserts that </w:t>
      </w:r>
      <w:r w:rsidR="005F6A13">
        <w:t xml:space="preserve">the care and recreation focus of OSHC necessitates a higher ratio of carers as children engaged in </w:t>
      </w:r>
      <w:r w:rsidR="001633F0">
        <w:t xml:space="preserve">diverse </w:t>
      </w:r>
      <w:r w:rsidR="005F6A13">
        <w:t xml:space="preserve">recreational activities require </w:t>
      </w:r>
      <w:r w:rsidR="001633F0">
        <w:t>more supervision than</w:t>
      </w:r>
      <w:r w:rsidR="00EC7EA7">
        <w:t xml:space="preserve"> children in school classes</w:t>
      </w:r>
      <w:r w:rsidR="00C937D5">
        <w:t>,</w:t>
      </w:r>
      <w:r w:rsidR="001633F0">
        <w:t xml:space="preserve"> which </w:t>
      </w:r>
      <w:r w:rsidR="002C246B">
        <w:t xml:space="preserve">may be </w:t>
      </w:r>
      <w:r w:rsidR="001633F0">
        <w:t xml:space="preserve">structured </w:t>
      </w:r>
      <w:r w:rsidR="002C246B">
        <w:t>so that all children are seated, facing the front an</w:t>
      </w:r>
      <w:r w:rsidR="005764EA">
        <w:t>d engaged in the same activity.</w:t>
      </w:r>
      <w:r w:rsidR="003E6137">
        <w:t xml:space="preserve"> As such:</w:t>
      </w:r>
    </w:p>
    <w:p w:rsidR="003E6137" w:rsidRPr="003E6137" w:rsidRDefault="003E6137" w:rsidP="00011964">
      <w:pPr>
        <w:rPr>
          <w:b/>
        </w:rPr>
      </w:pPr>
      <w:r w:rsidRPr="003E6137">
        <w:rPr>
          <w:b/>
        </w:rPr>
        <w:t>The FSU does not support Draft Recommendation 7.4 that ‘These requirements should take into consideration ratios that are currently acceptable for children during school hours.’</w:t>
      </w:r>
    </w:p>
    <w:p w:rsidR="005764EA" w:rsidRDefault="005764EA" w:rsidP="00011964">
      <w:r>
        <w:t>The FSU also</w:t>
      </w:r>
      <w:r w:rsidR="003E6137">
        <w:t xml:space="preserve"> does not support Draft Recommendation 7.5 </w:t>
      </w:r>
      <w:r w:rsidR="006358D8">
        <w:t xml:space="preserve">which </w:t>
      </w:r>
      <w:r w:rsidR="00E54EB0">
        <w:t xml:space="preserve">recommends a decrease in standards including </w:t>
      </w:r>
      <w:r w:rsidR="00D317D9">
        <w:t xml:space="preserve">the diminution of existing </w:t>
      </w:r>
      <w:r w:rsidR="00377D93">
        <w:t xml:space="preserve">qualification </w:t>
      </w:r>
      <w:r w:rsidR="00D317D9">
        <w:t>requirements for</w:t>
      </w:r>
      <w:r w:rsidR="00C937D5">
        <w:t xml:space="preserve"> staff, and which would </w:t>
      </w:r>
      <w:r w:rsidR="00D317D9">
        <w:t xml:space="preserve">allow </w:t>
      </w:r>
      <w:r w:rsidR="006358D8">
        <w:t>ECEC services to operate with staffi</w:t>
      </w:r>
      <w:r w:rsidR="00D317D9">
        <w:t xml:space="preserve">ng levels below required ratios. </w:t>
      </w:r>
      <w:r w:rsidR="00C937D5">
        <w:t>The</w:t>
      </w:r>
      <w:r w:rsidR="00D317D9">
        <w:t xml:space="preserve"> FSU’s position is premised on the best interests of the child</w:t>
      </w:r>
      <w:r w:rsidR="008E1DF8">
        <w:t xml:space="preserve"> and as such the FSU recommends that:</w:t>
      </w:r>
    </w:p>
    <w:p w:rsidR="008E1DF8" w:rsidRDefault="008E1DF8" w:rsidP="00011964">
      <w:pPr>
        <w:rPr>
          <w:b/>
        </w:rPr>
      </w:pPr>
      <w:r>
        <w:rPr>
          <w:b/>
        </w:rPr>
        <w:t xml:space="preserve">Draft Recommendation 7.5 </w:t>
      </w:r>
      <w:proofErr w:type="gramStart"/>
      <w:r>
        <w:rPr>
          <w:b/>
        </w:rPr>
        <w:t>be</w:t>
      </w:r>
      <w:proofErr w:type="gramEnd"/>
      <w:r>
        <w:rPr>
          <w:b/>
        </w:rPr>
        <w:t xml:space="preserve"> scrapped.</w:t>
      </w:r>
    </w:p>
    <w:p w:rsidR="009146C0" w:rsidRDefault="009146C0" w:rsidP="009146C0">
      <w:r>
        <w:t>In addition and to ensure the quality of ECEC the FSU recommends that:</w:t>
      </w:r>
    </w:p>
    <w:p w:rsidR="009146C0" w:rsidRPr="00A95E9B" w:rsidRDefault="009146C0" w:rsidP="009146C0">
      <w:pPr>
        <w:rPr>
          <w:b/>
        </w:rPr>
      </w:pPr>
      <w:r w:rsidRPr="00A95E9B">
        <w:rPr>
          <w:b/>
        </w:rPr>
        <w:t xml:space="preserve">Providers such as nannies, who may be brought into the NQF, should be required to hold equivalent qualifications to those in </w:t>
      </w:r>
      <w:r w:rsidR="00377D93">
        <w:rPr>
          <w:b/>
        </w:rPr>
        <w:t>centre based ECEC.</w:t>
      </w:r>
    </w:p>
    <w:p w:rsidR="008501D9" w:rsidRDefault="00881C8A" w:rsidP="00011964">
      <w:r>
        <w:t>The FSU</w:t>
      </w:r>
      <w:r w:rsidR="00C937D5">
        <w:t xml:space="preserve"> is concerned about </w:t>
      </w:r>
      <w:r>
        <w:t>attracting professional staff to the ECEC sector and is disappointed that while the PC Draft Report acknowledges the low wage rates for childcare workers</w:t>
      </w:r>
      <w:r w:rsidR="00094D8F">
        <w:t xml:space="preserve"> and the disparity of wages in the home based and centre based </w:t>
      </w:r>
      <w:proofErr w:type="gramStart"/>
      <w:r w:rsidR="00094D8F">
        <w:t>sectors</w:t>
      </w:r>
      <w:r w:rsidR="00B94757">
        <w:t>, that</w:t>
      </w:r>
      <w:proofErr w:type="gramEnd"/>
      <w:r w:rsidR="00B94757">
        <w:t xml:space="preserve"> no recommendations were made to improve wages.</w:t>
      </w:r>
      <w:r w:rsidR="00DA3FCE">
        <w:t xml:space="preserve"> </w:t>
      </w:r>
      <w:r w:rsidR="008501D9">
        <w:t>As such:</w:t>
      </w:r>
    </w:p>
    <w:p w:rsidR="00C937D5" w:rsidRDefault="00DA3FCE" w:rsidP="00011964">
      <w:pPr>
        <w:rPr>
          <w:b/>
        </w:rPr>
      </w:pPr>
      <w:r w:rsidRPr="001226EA">
        <w:rPr>
          <w:b/>
        </w:rPr>
        <w:t>The FSU requests that the Productivity Commission consider</w:t>
      </w:r>
      <w:r w:rsidR="00543EE4" w:rsidRPr="001226EA">
        <w:rPr>
          <w:b/>
        </w:rPr>
        <w:t xml:space="preserve"> making</w:t>
      </w:r>
      <w:r w:rsidRPr="001226EA">
        <w:rPr>
          <w:b/>
        </w:rPr>
        <w:t xml:space="preserve"> </w:t>
      </w:r>
      <w:r w:rsidR="004827AB">
        <w:rPr>
          <w:b/>
        </w:rPr>
        <w:t>recommendations</w:t>
      </w:r>
      <w:r w:rsidR="00543EE4" w:rsidRPr="001226EA">
        <w:rPr>
          <w:b/>
        </w:rPr>
        <w:t xml:space="preserve"> </w:t>
      </w:r>
      <w:r w:rsidR="00094D8F" w:rsidRPr="001226EA">
        <w:rPr>
          <w:b/>
        </w:rPr>
        <w:t>to improve the low wages of childcare workers including</w:t>
      </w:r>
      <w:r w:rsidR="00377D93">
        <w:rPr>
          <w:b/>
        </w:rPr>
        <w:t xml:space="preserve"> creating equivalent wage</w:t>
      </w:r>
      <w:r w:rsidR="004827AB">
        <w:rPr>
          <w:b/>
        </w:rPr>
        <w:t>s and conditions</w:t>
      </w:r>
      <w:r w:rsidR="00377D93">
        <w:rPr>
          <w:b/>
        </w:rPr>
        <w:t xml:space="preserve"> structures for</w:t>
      </w:r>
      <w:r w:rsidR="00094D8F" w:rsidRPr="001226EA">
        <w:rPr>
          <w:b/>
        </w:rPr>
        <w:t xml:space="preserve"> workers in the home based sector.</w:t>
      </w:r>
    </w:p>
    <w:p w:rsidR="00B26670" w:rsidRDefault="00B26670" w:rsidP="00011964">
      <w:r w:rsidRPr="00B26670">
        <w:t xml:space="preserve">The FSU is also </w:t>
      </w:r>
      <w:r>
        <w:t xml:space="preserve">concerned by Draft Recommendation 7.12 that seeks to reduce the role of local governments in ensuring quality of ECEC through the use of planning and zoning policies, and regulations including about </w:t>
      </w:r>
      <w:r w:rsidR="007607BA">
        <w:t xml:space="preserve">the design and quality of premises and restrictions on the maximum number of childcare places in a centre. Local governments who are active in the ECEC sector are responding to the needs of their residents and as such their role in the ECEC sector should not be </w:t>
      </w:r>
      <w:r w:rsidR="007607BA">
        <w:lastRenderedPageBreak/>
        <w:t xml:space="preserve">diminished </w:t>
      </w:r>
      <w:r w:rsidR="00071D1D">
        <w:t xml:space="preserve">as such interference would be a direct assault on the rights of parents and others in the community to </w:t>
      </w:r>
      <w:r w:rsidR="003231CA">
        <w:t>participate in decisions about the quality of childcare that they value. As such the FSU recommends that:</w:t>
      </w:r>
    </w:p>
    <w:p w:rsidR="009163B5" w:rsidRPr="003472A6" w:rsidRDefault="003231CA" w:rsidP="003231CA">
      <w:pPr>
        <w:rPr>
          <w:b/>
        </w:rPr>
      </w:pPr>
      <w:r w:rsidRPr="003472A6">
        <w:rPr>
          <w:b/>
        </w:rPr>
        <w:t xml:space="preserve">Draft Recommendation 7.12 </w:t>
      </w:r>
      <w:proofErr w:type="gramStart"/>
      <w:r w:rsidRPr="003472A6">
        <w:rPr>
          <w:b/>
        </w:rPr>
        <w:t>be</w:t>
      </w:r>
      <w:proofErr w:type="gramEnd"/>
      <w:r w:rsidRPr="003472A6">
        <w:rPr>
          <w:b/>
        </w:rPr>
        <w:t xml:space="preserve"> scrapped.</w:t>
      </w:r>
    </w:p>
    <w:p w:rsidR="00FB5D00" w:rsidRDefault="009C79C2" w:rsidP="009C79C2">
      <w:pPr>
        <w:pStyle w:val="Heading2"/>
      </w:pPr>
      <w:bookmarkStart w:id="8" w:name="_Toc397603318"/>
      <w:r>
        <w:t>2.3</w:t>
      </w:r>
      <w:r>
        <w:tab/>
      </w:r>
      <w:r w:rsidR="00FB5D00">
        <w:t>Cost of childcare</w:t>
      </w:r>
      <w:bookmarkEnd w:id="8"/>
    </w:p>
    <w:p w:rsidR="00F0623A" w:rsidRDefault="003472A6" w:rsidP="003472A6">
      <w:r>
        <w:t xml:space="preserve">The FSU does not support a model that deems the cost of childcare </w:t>
      </w:r>
      <w:r w:rsidR="005556A8">
        <w:t xml:space="preserve">to determine childcare subsidies, </w:t>
      </w:r>
      <w:r>
        <w:t xml:space="preserve">as deeming may not accurately reflect </w:t>
      </w:r>
      <w:r w:rsidR="00250745">
        <w:t>fees paid for by users of</w:t>
      </w:r>
      <w:r>
        <w:t xml:space="preserve"> childcare </w:t>
      </w:r>
      <w:r w:rsidR="00E32B5B">
        <w:t xml:space="preserve">and will impact those on a low income disproportionately. In the event that the Productivity Commission continue to pursue a model that is based on the deemed cost of child care the FSU advocates for a model </w:t>
      </w:r>
      <w:r w:rsidR="00937E82">
        <w:t xml:space="preserve">that </w:t>
      </w:r>
      <w:r w:rsidR="00E32B5B">
        <w:t xml:space="preserve">incorporates multiple deemed costs including the </w:t>
      </w:r>
      <w:r w:rsidR="004E068F">
        <w:t xml:space="preserve">differential </w:t>
      </w:r>
      <w:r w:rsidR="00E32B5B">
        <w:t xml:space="preserve">costs of </w:t>
      </w:r>
      <w:r w:rsidR="004E068F">
        <w:t xml:space="preserve">rent and professional wages. </w:t>
      </w:r>
      <w:r w:rsidR="00F0623A">
        <w:t>For example rents in the Sydney CBD are far greater that rents in outer Sydney regions and are a substantial factor in the provision of ECEC services. Multiple deemed costs should reflect this.</w:t>
      </w:r>
    </w:p>
    <w:p w:rsidR="003472A6" w:rsidRDefault="004E068F" w:rsidP="003472A6">
      <w:r>
        <w:t>The FSU also does not support the payment of deemed costs that are in excess of actual expenses to ECEC services</w:t>
      </w:r>
      <w:r>
        <w:rPr>
          <w:rStyle w:val="FootnoteReference"/>
        </w:rPr>
        <w:footnoteReference w:id="12"/>
      </w:r>
      <w:r>
        <w:t xml:space="preserve"> </w:t>
      </w:r>
      <w:r w:rsidR="00955926">
        <w:t>as it is the FSU’s view that this will cr</w:t>
      </w:r>
      <w:r w:rsidR="00937E82">
        <w:t>eate perverse incentives, particularly in the for-profit sector, to reduce quality of care to maximise profits.</w:t>
      </w:r>
      <w:r w:rsidR="0036795E">
        <w:t xml:space="preserve"> As such in response to Information Request 12.4 the FSU offers the following:</w:t>
      </w:r>
    </w:p>
    <w:p w:rsidR="00081C14" w:rsidRPr="00081C14" w:rsidRDefault="0036795E" w:rsidP="00081C14">
      <w:pPr>
        <w:rPr>
          <w:b/>
        </w:rPr>
      </w:pPr>
      <w:r w:rsidRPr="00081C14">
        <w:rPr>
          <w:b/>
        </w:rPr>
        <w:t xml:space="preserve">The FSU does not support a model that deems the cost of childcare, but in the </w:t>
      </w:r>
      <w:r w:rsidR="00081C14" w:rsidRPr="00081C14">
        <w:rPr>
          <w:b/>
        </w:rPr>
        <w:t>event that</w:t>
      </w:r>
      <w:r w:rsidRPr="00081C14">
        <w:rPr>
          <w:b/>
        </w:rPr>
        <w:t xml:space="preserve"> the Productivity Commission continue to pursue a model that is based on </w:t>
      </w:r>
      <w:r w:rsidR="00081C14" w:rsidRPr="00081C14">
        <w:rPr>
          <w:b/>
        </w:rPr>
        <w:t>deeming, that multiple deemed costs should be pursued that reflects the actual costs of providing ECEC services. Deemed costs should not be higher than actual cost of services.</w:t>
      </w:r>
    </w:p>
    <w:p w:rsidR="00FE4E4B" w:rsidRDefault="00ED79CD" w:rsidP="00ED79CD">
      <w:pPr>
        <w:pStyle w:val="ListParagraph"/>
        <w:spacing w:after="0" w:line="240" w:lineRule="auto"/>
        <w:ind w:left="0"/>
        <w:contextualSpacing w:val="0"/>
      </w:pPr>
      <w:r>
        <w:t xml:space="preserve">The FSU is also deeply concerned by the Productivity Commission’s assertion that </w:t>
      </w:r>
      <w:r w:rsidR="009C1D0A">
        <w:t>ECEC providers use a flat fee structure ‘whereby families of younger children are substantially cross subsidised by families of older children’</w:t>
      </w:r>
      <w:r w:rsidR="009C1D0A">
        <w:rPr>
          <w:rStyle w:val="FootnoteReference"/>
        </w:rPr>
        <w:footnoteReference w:id="13"/>
      </w:r>
      <w:r w:rsidR="00C30AEE">
        <w:t xml:space="preserve"> </w:t>
      </w:r>
      <w:r w:rsidR="00ED4A5C">
        <w:t>as many childcare centres already charge a differentiated rate for under 2s and over 2s. Whilst the FSU acknowledges that the differentiated rate may not accurately reflect the actual cost of providing services, the FSU believes that any cross subsidisation occurs across the life of a child and as such in-effect the child is cross-subsidising itself.</w:t>
      </w:r>
    </w:p>
    <w:p w:rsidR="00FE4E4B" w:rsidRDefault="00FE4E4B" w:rsidP="00ED79CD">
      <w:pPr>
        <w:pStyle w:val="ListParagraph"/>
        <w:spacing w:after="0" w:line="240" w:lineRule="auto"/>
        <w:ind w:left="0"/>
        <w:contextualSpacing w:val="0"/>
      </w:pPr>
    </w:p>
    <w:p w:rsidR="001319C3" w:rsidRDefault="00FE4E4B" w:rsidP="00ED79CD">
      <w:pPr>
        <w:pStyle w:val="ListParagraph"/>
        <w:spacing w:after="0" w:line="240" w:lineRule="auto"/>
        <w:ind w:left="0"/>
        <w:contextualSpacing w:val="0"/>
      </w:pPr>
      <w:r>
        <w:t xml:space="preserve">It is the FSU’s view that a </w:t>
      </w:r>
      <w:r w:rsidR="008A1659">
        <w:t xml:space="preserve">further </w:t>
      </w:r>
      <w:r>
        <w:t xml:space="preserve">move away from a flat fee structure </w:t>
      </w:r>
      <w:r w:rsidR="008A1659">
        <w:t xml:space="preserve">will reduce workplace participation as many parents </w:t>
      </w:r>
      <w:r w:rsidR="001319C3">
        <w:t xml:space="preserve">may </w:t>
      </w:r>
      <w:r>
        <w:t>delay</w:t>
      </w:r>
      <w:r w:rsidR="001319C3">
        <w:t xml:space="preserve"> </w:t>
      </w:r>
      <w:r w:rsidR="008A1659">
        <w:t>their</w:t>
      </w:r>
      <w:r>
        <w:t xml:space="preserve"> return to work </w:t>
      </w:r>
      <w:r w:rsidR="00554A60">
        <w:t xml:space="preserve">so as not to have to pay higher fees whilst the child is younger. </w:t>
      </w:r>
      <w:r w:rsidR="004827AB">
        <w:t>Many other</w:t>
      </w:r>
      <w:r w:rsidR="00554A60">
        <w:t xml:space="preserve"> parents may not be able to access parental leave beyond the 1 year legislated minimum and differentiated fees will impact low income earners in this cohort disproportionately.</w:t>
      </w:r>
    </w:p>
    <w:p w:rsidR="001319C3" w:rsidRDefault="001319C3" w:rsidP="00ED79CD">
      <w:pPr>
        <w:pStyle w:val="ListParagraph"/>
        <w:spacing w:after="0" w:line="240" w:lineRule="auto"/>
        <w:ind w:left="0"/>
        <w:contextualSpacing w:val="0"/>
      </w:pPr>
    </w:p>
    <w:p w:rsidR="001319C3" w:rsidRDefault="00E73A39" w:rsidP="00ED79CD">
      <w:pPr>
        <w:pStyle w:val="ListParagraph"/>
        <w:spacing w:after="0" w:line="240" w:lineRule="auto"/>
        <w:ind w:left="0"/>
        <w:contextualSpacing w:val="0"/>
      </w:pPr>
      <w:r>
        <w:t xml:space="preserve">The FSU is also concerned that end-user fees that reflect the actual costs of services provided will disadvantage children with high needs including those from </w:t>
      </w:r>
      <w:r w:rsidR="00B46BF3">
        <w:t xml:space="preserve">remote areas, children who have been assessed as high risk and those with a disability. </w:t>
      </w:r>
    </w:p>
    <w:p w:rsidR="001319C3" w:rsidRDefault="001319C3" w:rsidP="00ED79CD">
      <w:pPr>
        <w:pStyle w:val="ListParagraph"/>
        <w:spacing w:after="0" w:line="240" w:lineRule="auto"/>
        <w:ind w:left="0"/>
        <w:contextualSpacing w:val="0"/>
      </w:pPr>
    </w:p>
    <w:p w:rsidR="0023412A" w:rsidRDefault="00B46BF3" w:rsidP="00ED79CD">
      <w:pPr>
        <w:pStyle w:val="ListParagraph"/>
        <w:spacing w:after="0" w:line="240" w:lineRule="auto"/>
        <w:ind w:left="0"/>
        <w:contextualSpacing w:val="0"/>
      </w:pPr>
      <w:r>
        <w:t xml:space="preserve">It is the FSU’s view that the promotion of end-user </w:t>
      </w:r>
      <w:r w:rsidR="001319C3">
        <w:t xml:space="preserve">fees </w:t>
      </w:r>
      <w:r w:rsidR="00237EC3">
        <w:t>that reflect actual cost of services is also incompatible with the deeming model that the Productivity Commission is pursuing. As such the FSU recommends that:</w:t>
      </w:r>
    </w:p>
    <w:p w:rsidR="00237EC3" w:rsidRPr="0023412A" w:rsidRDefault="00237EC3" w:rsidP="00ED79CD">
      <w:pPr>
        <w:pStyle w:val="ListParagraph"/>
        <w:spacing w:after="0" w:line="240" w:lineRule="auto"/>
        <w:ind w:left="0"/>
        <w:contextualSpacing w:val="0"/>
      </w:pPr>
    </w:p>
    <w:p w:rsidR="001B3EBC" w:rsidRPr="00653B0D" w:rsidRDefault="00237EC3" w:rsidP="001B3EBC">
      <w:pPr>
        <w:rPr>
          <w:b/>
        </w:rPr>
      </w:pPr>
      <w:r w:rsidRPr="00653B0D">
        <w:rPr>
          <w:b/>
        </w:rPr>
        <w:t xml:space="preserve">The Productivity Commission not interfere with the flat fee structure. </w:t>
      </w:r>
    </w:p>
    <w:p w:rsidR="00FB5D00" w:rsidRDefault="009C79C2" w:rsidP="009C79C2">
      <w:pPr>
        <w:pStyle w:val="Heading2"/>
      </w:pPr>
      <w:bookmarkStart w:id="9" w:name="_Toc397603319"/>
      <w:r>
        <w:lastRenderedPageBreak/>
        <w:t>2.4</w:t>
      </w:r>
      <w:r>
        <w:tab/>
      </w:r>
      <w:r w:rsidR="00E52980">
        <w:t>P</w:t>
      </w:r>
      <w:r w:rsidR="00E5584F">
        <w:t>ayment of childcare subsidies</w:t>
      </w:r>
      <w:bookmarkEnd w:id="9"/>
    </w:p>
    <w:p w:rsidR="00AE4239" w:rsidRDefault="00AE4239" w:rsidP="00AE4239">
      <w:r>
        <w:t>Consistent with the ACTU submissions, the FSU supports the Productivity Commissions view that ECEC subsidies should be paid directly to providers as creating dem</w:t>
      </w:r>
      <w:r w:rsidR="000A3BE6">
        <w:t>and through providing subsidies directly to parents can be inflationary and not necessarily create additional child care places.</w:t>
      </w:r>
    </w:p>
    <w:p w:rsidR="00FB5D00" w:rsidRDefault="009C79C2" w:rsidP="009C79C2">
      <w:pPr>
        <w:pStyle w:val="Heading2"/>
      </w:pPr>
      <w:bookmarkStart w:id="10" w:name="_Toc397603320"/>
      <w:r>
        <w:t>2.5</w:t>
      </w:r>
      <w:r>
        <w:tab/>
      </w:r>
      <w:r w:rsidR="00FB5D00">
        <w:t>T</w:t>
      </w:r>
      <w:r w:rsidR="00FB5D00" w:rsidRPr="00EA2444">
        <w:t>he intersection between childcare responsibilities and employer practice which imp</w:t>
      </w:r>
      <w:r w:rsidR="00FB5D00">
        <w:t>acts on workforce participation</w:t>
      </w:r>
      <w:bookmarkEnd w:id="10"/>
    </w:p>
    <w:p w:rsidR="004622F5" w:rsidRDefault="000C7FD5" w:rsidP="004622F5">
      <w:r>
        <w:t xml:space="preserve">In response to Information Request 6.1: ‘The Commission seeks </w:t>
      </w:r>
      <w:r w:rsidR="00E11752">
        <w:t>participants views on impediments to employers providing flexible work arrangements for parents’</w:t>
      </w:r>
      <w:r w:rsidR="00772473">
        <w:t xml:space="preserve">, the FSU refers the Commission to Section 2.1 of FSU Submission 174 which describes the widespread discrimination faced by employees in the finance sector </w:t>
      </w:r>
      <w:r w:rsidR="00584771">
        <w:t>when requesting flexible working arrangements to balance work</w:t>
      </w:r>
      <w:r w:rsidR="004622F5">
        <w:t xml:space="preserve"> and childcare responsibilities stemming from the unconscious bias of line managers</w:t>
      </w:r>
      <w:r w:rsidR="00E52980">
        <w:t xml:space="preserve"> against such arrangements</w:t>
      </w:r>
      <w:r w:rsidR="009275C2">
        <w:t>; and operational issues such as excessive workloads, staff turnover and  restructuring</w:t>
      </w:r>
      <w:r w:rsidR="0047198F">
        <w:t xml:space="preserve">. FSU Submission 174 demonstrates that such discrimination </w:t>
      </w:r>
      <w:r w:rsidR="00B44837">
        <w:t>leads to substantially decreased workforce participation by nearly one third of all members who contacted the union for assistance in relation to child care responsibilities.</w:t>
      </w:r>
    </w:p>
    <w:p w:rsidR="00B44837" w:rsidRDefault="00B44837" w:rsidP="004622F5">
      <w:r>
        <w:t>As such the FSU recommends that:</w:t>
      </w:r>
    </w:p>
    <w:p w:rsidR="00B44837" w:rsidRPr="00E73282" w:rsidRDefault="009C5A4E" w:rsidP="004622F5">
      <w:pPr>
        <w:rPr>
          <w:b/>
        </w:rPr>
      </w:pPr>
      <w:r w:rsidRPr="00E73282">
        <w:rPr>
          <w:b/>
        </w:rPr>
        <w:t xml:space="preserve">The Commission endorse the recommendations </w:t>
      </w:r>
      <w:r w:rsidR="00E73282" w:rsidRPr="00E73282">
        <w:rPr>
          <w:b/>
        </w:rPr>
        <w:t>contained in</w:t>
      </w:r>
      <w:r w:rsidRPr="00E73282">
        <w:rPr>
          <w:b/>
        </w:rPr>
        <w:t xml:space="preserve"> the Australian Human Rights Commission, Supporting Working Parents: Pregnancy and Return to Work National Review.</w:t>
      </w:r>
    </w:p>
    <w:p w:rsidR="003D422E" w:rsidRDefault="009C79C2" w:rsidP="0069788C">
      <w:pPr>
        <w:pStyle w:val="Heading2"/>
      </w:pPr>
      <w:bookmarkStart w:id="11" w:name="_Toc397603321"/>
      <w:r>
        <w:t>2.6</w:t>
      </w:r>
      <w:r>
        <w:tab/>
      </w:r>
      <w:r w:rsidR="00475EDD">
        <w:t>Summary of</w:t>
      </w:r>
      <w:r w:rsidR="00BE07AE">
        <w:t xml:space="preserve"> </w:t>
      </w:r>
      <w:r w:rsidR="003D422E">
        <w:t>recommendations</w:t>
      </w:r>
      <w:bookmarkEnd w:id="11"/>
    </w:p>
    <w:p w:rsidR="00736BB9" w:rsidRPr="00C611EE" w:rsidRDefault="00736BB9" w:rsidP="00736BB9">
      <w:pPr>
        <w:pStyle w:val="ListParagraph"/>
        <w:numPr>
          <w:ilvl w:val="0"/>
          <w:numId w:val="31"/>
        </w:numPr>
        <w:ind w:left="714" w:hanging="357"/>
        <w:contextualSpacing w:val="0"/>
        <w:rPr>
          <w:b/>
        </w:rPr>
      </w:pPr>
      <w:r w:rsidRPr="00C611EE">
        <w:rPr>
          <w:b/>
        </w:rPr>
        <w:t xml:space="preserve">Draft Recommendation 8.2 be amended to ’The Federal government should fund State and territory governments to enable all schools to take responsibility for organising the provision of an outside school hours care service for their students (including students in attached preschools). Adequate resourcing should be based on a needs basis as advocated for by the </w:t>
      </w:r>
      <w:proofErr w:type="spellStart"/>
      <w:r w:rsidRPr="00C611EE">
        <w:rPr>
          <w:b/>
        </w:rPr>
        <w:t>Gonski</w:t>
      </w:r>
      <w:proofErr w:type="spellEnd"/>
      <w:r w:rsidRPr="00C611EE">
        <w:rPr>
          <w:b/>
        </w:rPr>
        <w:t xml:space="preserve"> Review.’</w:t>
      </w:r>
    </w:p>
    <w:p w:rsidR="00736BB9" w:rsidRPr="00C611EE" w:rsidRDefault="00736BB9" w:rsidP="00736BB9">
      <w:pPr>
        <w:pStyle w:val="ListParagraph"/>
        <w:numPr>
          <w:ilvl w:val="0"/>
          <w:numId w:val="31"/>
        </w:numPr>
        <w:ind w:left="714" w:hanging="357"/>
        <w:contextualSpacing w:val="0"/>
        <w:rPr>
          <w:b/>
        </w:rPr>
      </w:pPr>
      <w:r w:rsidRPr="00C611EE">
        <w:rPr>
          <w:b/>
        </w:rPr>
        <w:t xml:space="preserve">Draft Recommendation 10.1 </w:t>
      </w:r>
      <w:proofErr w:type="gramStart"/>
      <w:r w:rsidRPr="00C611EE">
        <w:rPr>
          <w:b/>
        </w:rPr>
        <w:t>be</w:t>
      </w:r>
      <w:proofErr w:type="gramEnd"/>
      <w:r w:rsidRPr="00C611EE">
        <w:rPr>
          <w:b/>
        </w:rPr>
        <w:t xml:space="preserve"> scrapped. </w:t>
      </w:r>
    </w:p>
    <w:p w:rsidR="00736BB9" w:rsidRPr="00C611EE" w:rsidRDefault="00736BB9" w:rsidP="00736BB9">
      <w:pPr>
        <w:pStyle w:val="ListParagraph"/>
        <w:numPr>
          <w:ilvl w:val="0"/>
          <w:numId w:val="31"/>
        </w:numPr>
        <w:ind w:left="714" w:hanging="357"/>
        <w:contextualSpacing w:val="0"/>
        <w:rPr>
          <w:b/>
        </w:rPr>
      </w:pPr>
      <w:r w:rsidRPr="00C611EE">
        <w:rPr>
          <w:b/>
        </w:rPr>
        <w:t xml:space="preserve">Issues of flexibility need to be addressed by ensuring that all children have access quality affordable childcare, consistent with the NQF, which supports family choice of care options and should not be </w:t>
      </w:r>
      <w:proofErr w:type="spellStart"/>
      <w:r w:rsidRPr="00C611EE">
        <w:rPr>
          <w:b/>
        </w:rPr>
        <w:t>dependant</w:t>
      </w:r>
      <w:proofErr w:type="spellEnd"/>
      <w:r w:rsidRPr="00C611EE">
        <w:rPr>
          <w:b/>
        </w:rPr>
        <w:t xml:space="preserve"> on parent’s capacity to pay.</w:t>
      </w:r>
    </w:p>
    <w:p w:rsidR="00736BB9" w:rsidRPr="00C611EE" w:rsidRDefault="00736BB9" w:rsidP="00736BB9">
      <w:pPr>
        <w:pStyle w:val="ListParagraph"/>
        <w:numPr>
          <w:ilvl w:val="0"/>
          <w:numId w:val="31"/>
        </w:numPr>
        <w:ind w:left="714" w:hanging="357"/>
        <w:contextualSpacing w:val="0"/>
        <w:rPr>
          <w:b/>
        </w:rPr>
      </w:pPr>
      <w:r w:rsidRPr="00C611EE">
        <w:rPr>
          <w:b/>
        </w:rPr>
        <w:t>The FSU opposes all recommendations of the Productivity Commission that undermine the NQF including in relation to staff qualifications and staffing ratios.</w:t>
      </w:r>
    </w:p>
    <w:p w:rsidR="00736BB9" w:rsidRPr="00C611EE" w:rsidRDefault="00736BB9" w:rsidP="00736BB9">
      <w:pPr>
        <w:pStyle w:val="ListParagraph"/>
        <w:numPr>
          <w:ilvl w:val="0"/>
          <w:numId w:val="31"/>
        </w:numPr>
        <w:ind w:left="714" w:hanging="357"/>
        <w:contextualSpacing w:val="0"/>
        <w:rPr>
          <w:b/>
        </w:rPr>
      </w:pPr>
      <w:r w:rsidRPr="00C611EE">
        <w:rPr>
          <w:b/>
        </w:rPr>
        <w:t>The FSU does not support Draft Recommendation 7.4 that ‘These requirements should take into consideration ratios that are currently acceptable for children during school hours.’</w:t>
      </w:r>
    </w:p>
    <w:p w:rsidR="00736BB9" w:rsidRPr="00C611EE" w:rsidRDefault="00736BB9" w:rsidP="00736BB9">
      <w:pPr>
        <w:pStyle w:val="ListParagraph"/>
        <w:numPr>
          <w:ilvl w:val="0"/>
          <w:numId w:val="31"/>
        </w:numPr>
        <w:ind w:left="714" w:hanging="357"/>
        <w:contextualSpacing w:val="0"/>
        <w:rPr>
          <w:b/>
        </w:rPr>
      </w:pPr>
      <w:r w:rsidRPr="00C611EE">
        <w:rPr>
          <w:b/>
        </w:rPr>
        <w:t xml:space="preserve">Draft Recommendation 7.5 </w:t>
      </w:r>
      <w:proofErr w:type="gramStart"/>
      <w:r w:rsidRPr="00C611EE">
        <w:rPr>
          <w:b/>
        </w:rPr>
        <w:t>be</w:t>
      </w:r>
      <w:proofErr w:type="gramEnd"/>
      <w:r w:rsidRPr="00C611EE">
        <w:rPr>
          <w:b/>
        </w:rPr>
        <w:t xml:space="preserve"> scrapped.</w:t>
      </w:r>
    </w:p>
    <w:p w:rsidR="00736BB9" w:rsidRPr="00C611EE" w:rsidRDefault="00736BB9" w:rsidP="00736BB9">
      <w:pPr>
        <w:pStyle w:val="ListParagraph"/>
        <w:numPr>
          <w:ilvl w:val="0"/>
          <w:numId w:val="31"/>
        </w:numPr>
        <w:ind w:left="714" w:hanging="357"/>
        <w:contextualSpacing w:val="0"/>
        <w:rPr>
          <w:b/>
        </w:rPr>
      </w:pPr>
      <w:r w:rsidRPr="00C611EE">
        <w:rPr>
          <w:b/>
        </w:rPr>
        <w:t>Providers such as nannies, who may be brought into the NQF, should be required to hold equivalent qualifications to those in centre based ECEC.</w:t>
      </w:r>
    </w:p>
    <w:p w:rsidR="00736BB9" w:rsidRPr="00C611EE" w:rsidRDefault="00736BB9" w:rsidP="00736BB9">
      <w:pPr>
        <w:pStyle w:val="ListParagraph"/>
        <w:numPr>
          <w:ilvl w:val="0"/>
          <w:numId w:val="31"/>
        </w:numPr>
        <w:ind w:left="714" w:hanging="357"/>
        <w:contextualSpacing w:val="0"/>
        <w:rPr>
          <w:b/>
        </w:rPr>
      </w:pPr>
      <w:r w:rsidRPr="00C611EE">
        <w:rPr>
          <w:b/>
        </w:rPr>
        <w:lastRenderedPageBreak/>
        <w:t>The FSU requests that the Productivity Commission consider making recommendations to improve the low wages of childcare workers including creating equivalent wages and conditions structures for workers in the home based sector.</w:t>
      </w:r>
    </w:p>
    <w:p w:rsidR="00736BB9" w:rsidRPr="00C611EE" w:rsidRDefault="00736BB9" w:rsidP="00736BB9">
      <w:pPr>
        <w:pStyle w:val="ListParagraph"/>
        <w:numPr>
          <w:ilvl w:val="0"/>
          <w:numId w:val="31"/>
        </w:numPr>
        <w:ind w:left="714" w:hanging="357"/>
        <w:contextualSpacing w:val="0"/>
        <w:rPr>
          <w:b/>
        </w:rPr>
      </w:pPr>
      <w:r w:rsidRPr="00C611EE">
        <w:rPr>
          <w:b/>
        </w:rPr>
        <w:t xml:space="preserve">Draft Recommendation 7.12 </w:t>
      </w:r>
      <w:proofErr w:type="gramStart"/>
      <w:r w:rsidRPr="00C611EE">
        <w:rPr>
          <w:b/>
        </w:rPr>
        <w:t>be</w:t>
      </w:r>
      <w:proofErr w:type="gramEnd"/>
      <w:r w:rsidRPr="00C611EE">
        <w:rPr>
          <w:b/>
        </w:rPr>
        <w:t xml:space="preserve"> scrapped.</w:t>
      </w:r>
    </w:p>
    <w:p w:rsidR="00736BB9" w:rsidRPr="00C611EE" w:rsidRDefault="00736BB9" w:rsidP="00736BB9">
      <w:pPr>
        <w:pStyle w:val="ListParagraph"/>
        <w:numPr>
          <w:ilvl w:val="0"/>
          <w:numId w:val="31"/>
        </w:numPr>
        <w:ind w:left="714" w:hanging="357"/>
        <w:contextualSpacing w:val="0"/>
        <w:rPr>
          <w:b/>
        </w:rPr>
      </w:pPr>
      <w:r w:rsidRPr="00C611EE">
        <w:rPr>
          <w:b/>
        </w:rPr>
        <w:t>The FSU does not support a model that deems the cost of childcare, but in the event that the Productivity Commission continue to pursue a model that is based on deeming, that multiple deemed costs should be pursued that reflects the actual costs of providing ECEC services. Deemed costs should not be higher than actual cost of services.</w:t>
      </w:r>
    </w:p>
    <w:p w:rsidR="00736BB9" w:rsidRPr="00C611EE" w:rsidRDefault="00736BB9" w:rsidP="00736BB9">
      <w:pPr>
        <w:pStyle w:val="ListParagraph"/>
        <w:numPr>
          <w:ilvl w:val="0"/>
          <w:numId w:val="31"/>
        </w:numPr>
        <w:ind w:left="714" w:hanging="357"/>
        <w:contextualSpacing w:val="0"/>
        <w:rPr>
          <w:b/>
        </w:rPr>
      </w:pPr>
      <w:r w:rsidRPr="00C611EE">
        <w:rPr>
          <w:b/>
        </w:rPr>
        <w:t xml:space="preserve">The Productivity Commission not interfere with the flat fee structure. </w:t>
      </w:r>
    </w:p>
    <w:p w:rsidR="00736BB9" w:rsidRPr="00736BB9" w:rsidRDefault="00736BB9" w:rsidP="00736BB9">
      <w:pPr>
        <w:pStyle w:val="ListParagraph"/>
        <w:numPr>
          <w:ilvl w:val="0"/>
          <w:numId w:val="31"/>
        </w:numPr>
        <w:ind w:left="714" w:hanging="357"/>
        <w:contextualSpacing w:val="0"/>
        <w:rPr>
          <w:b/>
        </w:rPr>
      </w:pPr>
      <w:r w:rsidRPr="00C611EE">
        <w:rPr>
          <w:b/>
        </w:rPr>
        <w:t>The Commission endorse the recommendations contained in the Australian Human Rights Commission, Supporting Working Parents: Pregnancy and Return to Work National Review.</w:t>
      </w:r>
    </w:p>
    <w:p w:rsidR="003D422E" w:rsidRDefault="003D422E" w:rsidP="007D705C">
      <w:pPr>
        <w:pStyle w:val="Heading1"/>
      </w:pPr>
      <w:bookmarkStart w:id="12" w:name="_Toc397603322"/>
      <w:r>
        <w:t>Section 3: Conclusion</w:t>
      </w:r>
      <w:bookmarkEnd w:id="12"/>
    </w:p>
    <w:p w:rsidR="00E43C59" w:rsidRPr="00E43C59" w:rsidRDefault="00E43C59" w:rsidP="00E43C59">
      <w:r>
        <w:t xml:space="preserve">The FSU welcomes the Productivity Commission’s </w:t>
      </w:r>
      <w:proofErr w:type="spellStart"/>
      <w:r>
        <w:t>acknowledgement</w:t>
      </w:r>
      <w:proofErr w:type="spellEnd"/>
      <w:r w:rsidR="00841860">
        <w:t xml:space="preserve"> of the importance of ECEC in child development and in raising workforce participation of parents, mainly women</w:t>
      </w:r>
      <w:r w:rsidR="00ED3656">
        <w:t>. The FSU concurs with the Productivity Commission’s view that the current pro</w:t>
      </w:r>
      <w:r w:rsidR="00065457">
        <w:t xml:space="preserve">vision of ECEC is insufficient and supports changes to the ECEC system that will increase the accessibility and affordability of ECEC. The FSU however strongly rejects any changes to ECEC that will diminish the quality of childcare </w:t>
      </w:r>
      <w:r w:rsidR="00EB4F04">
        <w:t xml:space="preserve">on the basis that an ECEC system to aim for </w:t>
      </w:r>
      <w:r w:rsidR="008601E9">
        <w:t xml:space="preserve">should not only consider </w:t>
      </w:r>
      <w:r w:rsidR="002B1470">
        <w:t>economic</w:t>
      </w:r>
      <w:r w:rsidR="008601E9">
        <w:t xml:space="preserve"> criteria such as workforce participation but </w:t>
      </w:r>
      <w:r w:rsidR="00EB4F04">
        <w:t>must</w:t>
      </w:r>
      <w:r w:rsidR="008601E9">
        <w:t xml:space="preserve"> also</w:t>
      </w:r>
      <w:r w:rsidR="00EB4F04">
        <w:t xml:space="preserve"> uphold t</w:t>
      </w:r>
      <w:r w:rsidR="00203FCF">
        <w:t>he best interests of the child</w:t>
      </w:r>
      <w:r w:rsidR="008601E9">
        <w:t xml:space="preserve">. Whilst the </w:t>
      </w:r>
      <w:r w:rsidR="002B1470">
        <w:t xml:space="preserve">Terms of Reference for the Productivity Commission Inquiry into Childcare and Early Childhood Learning </w:t>
      </w:r>
      <w:r w:rsidR="00D50B89">
        <w:t xml:space="preserve">specified that any options proposed by the Productivity Commission must be within current funding parameters, the FSU genuinely believes that sufficient </w:t>
      </w:r>
      <w:r w:rsidR="002D3581">
        <w:t xml:space="preserve">accessible, affordable and high quality childcare </w:t>
      </w:r>
      <w:r w:rsidR="00092F9A">
        <w:t>will only be created if</w:t>
      </w:r>
      <w:r w:rsidR="002D3581">
        <w:t xml:space="preserve"> more funds are made available.</w:t>
      </w:r>
    </w:p>
    <w:p w:rsidR="003D422E" w:rsidRDefault="003D422E" w:rsidP="007D705C">
      <w:pPr>
        <w:pStyle w:val="Heading2"/>
      </w:pPr>
      <w:bookmarkStart w:id="13" w:name="_Toc397603323"/>
      <w:r>
        <w:t xml:space="preserve">3.1 </w:t>
      </w:r>
      <w:r>
        <w:tab/>
        <w:t>Contact details</w:t>
      </w:r>
      <w:bookmarkEnd w:id="13"/>
    </w:p>
    <w:p w:rsidR="00CA09F7" w:rsidRPr="00177997" w:rsidRDefault="00CA09F7" w:rsidP="0027731C">
      <w:r w:rsidRPr="00CA09F7">
        <w:t xml:space="preserve">Thank you for the opportunity to contribute to the Productivity Commission inquiry into childcare and early childhood learning. If you wish to discuss the issues raised in more detail, please contact </w:t>
      </w:r>
      <w:r w:rsidR="0027731C">
        <w:t xml:space="preserve">Veronica Black National Coordinator Organising &amp; Development </w:t>
      </w:r>
      <w:r w:rsidRPr="00CA09F7">
        <w:t xml:space="preserve">on (02) </w:t>
      </w:r>
      <w:r>
        <w:t>9320 00</w:t>
      </w:r>
      <w:r w:rsidR="0027731C">
        <w:t>4</w:t>
      </w:r>
      <w:r>
        <w:t>6</w:t>
      </w:r>
      <w:r w:rsidRPr="00CA09F7">
        <w:t xml:space="preserve"> or at </w:t>
      </w:r>
      <w:r w:rsidR="0027731C">
        <w:t>veronica.black</w:t>
      </w:r>
      <w:r>
        <w:t>@fsunion.org.au</w:t>
      </w:r>
    </w:p>
    <w:sectPr w:rsidR="00CA09F7" w:rsidRPr="00177997" w:rsidSect="007F0EED">
      <w:footerReference w:type="default" r:id="rId11"/>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839" w:rsidRDefault="00C81839" w:rsidP="00C81839">
      <w:pPr>
        <w:spacing w:after="0" w:line="240" w:lineRule="auto"/>
      </w:pPr>
      <w:r>
        <w:separator/>
      </w:r>
    </w:p>
  </w:endnote>
  <w:endnote w:type="continuationSeparator" w:id="0">
    <w:p w:rsidR="00C81839" w:rsidRDefault="00C81839" w:rsidP="00C81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1656878"/>
      <w:docPartObj>
        <w:docPartGallery w:val="Page Numbers (Bottom of Page)"/>
        <w:docPartUnique/>
      </w:docPartObj>
    </w:sdtPr>
    <w:sdtEndPr>
      <w:rPr>
        <w:color w:val="808080" w:themeColor="background1" w:themeShade="80"/>
        <w:spacing w:val="60"/>
      </w:rPr>
    </w:sdtEndPr>
    <w:sdtContent>
      <w:p w:rsidR="00272B88" w:rsidRDefault="00272B8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ED0418" w:rsidRPr="00ED0418">
          <w:rPr>
            <w:b/>
            <w:bCs/>
            <w:noProof/>
          </w:rPr>
          <w:t>8</w:t>
        </w:r>
        <w:r>
          <w:rPr>
            <w:b/>
            <w:bCs/>
            <w:noProof/>
          </w:rPr>
          <w:fldChar w:fldCharType="end"/>
        </w:r>
        <w:r>
          <w:rPr>
            <w:b/>
            <w:bCs/>
          </w:rPr>
          <w:t xml:space="preserve"> | </w:t>
        </w:r>
        <w:r>
          <w:rPr>
            <w:color w:val="808080" w:themeColor="background1" w:themeShade="80"/>
            <w:spacing w:val="60"/>
          </w:rPr>
          <w:t>Page</w:t>
        </w:r>
      </w:p>
    </w:sdtContent>
  </w:sdt>
  <w:p w:rsidR="00272B88" w:rsidRDefault="00272B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839" w:rsidRDefault="00C81839" w:rsidP="00C81839">
      <w:pPr>
        <w:spacing w:after="0" w:line="240" w:lineRule="auto"/>
      </w:pPr>
      <w:r>
        <w:separator/>
      </w:r>
    </w:p>
  </w:footnote>
  <w:footnote w:type="continuationSeparator" w:id="0">
    <w:p w:rsidR="00C81839" w:rsidRDefault="00C81839" w:rsidP="00C81839">
      <w:pPr>
        <w:spacing w:after="0" w:line="240" w:lineRule="auto"/>
      </w:pPr>
      <w:r>
        <w:continuationSeparator/>
      </w:r>
    </w:p>
  </w:footnote>
  <w:footnote w:id="1">
    <w:p w:rsidR="00247BA0" w:rsidRDefault="00247BA0" w:rsidP="00247BA0">
      <w:pPr>
        <w:pStyle w:val="FootnoteText"/>
      </w:pPr>
      <w:r>
        <w:rPr>
          <w:rStyle w:val="FootnoteReference"/>
        </w:rPr>
        <w:footnoteRef/>
      </w:r>
      <w:r>
        <w:t xml:space="preserve"> ABS, </w:t>
      </w:r>
      <w:r>
        <w:rPr>
          <w:i/>
          <w:iCs/>
        </w:rPr>
        <w:t>Labour Force Austral</w:t>
      </w:r>
      <w:r w:rsidRPr="009969AE">
        <w:rPr>
          <w:iCs/>
        </w:rPr>
        <w:t>ia</w:t>
      </w:r>
      <w:r w:rsidRPr="009969AE">
        <w:rPr>
          <w:i/>
          <w:iCs/>
        </w:rPr>
        <w:t xml:space="preserve">: </w:t>
      </w:r>
      <w:r w:rsidRPr="009969AE">
        <w:rPr>
          <w:i/>
        </w:rPr>
        <w:t>Detailed, Quarterly, Nov 2013,</w:t>
      </w:r>
      <w:r>
        <w:t xml:space="preserve"> (2013), </w:t>
      </w:r>
      <w:hyperlink r:id="rId1" w:history="1">
        <w:r w:rsidRPr="00CC64BB">
          <w:rPr>
            <w:rStyle w:val="Hyperlink"/>
          </w:rPr>
          <w:t>http://www.abs.gov.au/AUSSTATS/abs@.nsf/DetailsPage/6291.0.55.003Nov%202013?OpenDocument</w:t>
        </w:r>
      </w:hyperlink>
    </w:p>
    <w:p w:rsidR="00247BA0" w:rsidRPr="00C81839" w:rsidRDefault="00247BA0" w:rsidP="00247BA0">
      <w:pPr>
        <w:pStyle w:val="FootnoteText"/>
        <w:rPr>
          <w:lang w:val="en-US"/>
        </w:rPr>
      </w:pPr>
      <w:r>
        <w:t xml:space="preserve">Viewed 24/01/2014 </w:t>
      </w:r>
    </w:p>
  </w:footnote>
  <w:footnote w:id="2">
    <w:p w:rsidR="001E57E0" w:rsidRPr="001E57E0" w:rsidRDefault="001E57E0">
      <w:pPr>
        <w:pStyle w:val="FootnoteText"/>
        <w:rPr>
          <w:lang w:val="en-US"/>
        </w:rPr>
      </w:pPr>
      <w:r>
        <w:rPr>
          <w:rStyle w:val="FootnoteReference"/>
        </w:rPr>
        <w:footnoteRef/>
      </w:r>
      <w:r>
        <w:t xml:space="preserve"> </w:t>
      </w:r>
      <w:r>
        <w:rPr>
          <w:lang w:val="en-US"/>
        </w:rPr>
        <w:t>Ibid</w:t>
      </w:r>
    </w:p>
  </w:footnote>
  <w:footnote w:id="3">
    <w:p w:rsidR="008937C4" w:rsidRPr="00A43B4E" w:rsidRDefault="008937C4" w:rsidP="008937C4">
      <w:pPr>
        <w:pStyle w:val="FootnoteText"/>
        <w:rPr>
          <w:lang w:val="en-US"/>
        </w:rPr>
      </w:pPr>
      <w:r>
        <w:rPr>
          <w:rStyle w:val="FootnoteReference"/>
        </w:rPr>
        <w:footnoteRef/>
      </w:r>
      <w:r>
        <w:t xml:space="preserve"> </w:t>
      </w:r>
      <w:proofErr w:type="gramStart"/>
      <w:r w:rsidRPr="00473078">
        <w:t>Based on the average full-time weekly earnings before tax of men and women, excluding factors such as overtime and pay that is salary sacrificed.</w:t>
      </w:r>
      <w:proofErr w:type="gramEnd"/>
    </w:p>
  </w:footnote>
  <w:footnote w:id="4">
    <w:p w:rsidR="008937C4" w:rsidRDefault="008937C4" w:rsidP="008937C4">
      <w:pPr>
        <w:pStyle w:val="FootnoteText"/>
      </w:pPr>
      <w:r>
        <w:rPr>
          <w:rStyle w:val="FootnoteReference"/>
        </w:rPr>
        <w:footnoteRef/>
      </w:r>
      <w:r>
        <w:t xml:space="preserve"> Workplace Gender Equality Agency, Gender Pay Gap Statistics, August 2013</w:t>
      </w:r>
    </w:p>
    <w:p w:rsidR="008937C4" w:rsidRDefault="00ED0418" w:rsidP="008937C4">
      <w:pPr>
        <w:pStyle w:val="FootnoteText"/>
      </w:pPr>
      <w:hyperlink r:id="rId2" w:history="1">
        <w:r w:rsidR="008937C4" w:rsidRPr="00CC64BB">
          <w:rPr>
            <w:rStyle w:val="Hyperlink"/>
          </w:rPr>
          <w:t>http://www.wgea.gov.au/sites/default/files/2013-08-28-Gender-Pay-Gap%20FINAL.pdf</w:t>
        </w:r>
      </w:hyperlink>
    </w:p>
    <w:p w:rsidR="008937C4" w:rsidRPr="002E1D2A" w:rsidRDefault="008937C4" w:rsidP="008937C4">
      <w:pPr>
        <w:pStyle w:val="FootnoteText"/>
        <w:rPr>
          <w:lang w:val="en-US"/>
        </w:rPr>
      </w:pPr>
      <w:r>
        <w:t>Viewed 24/01/2014</w:t>
      </w:r>
    </w:p>
  </w:footnote>
  <w:footnote w:id="5">
    <w:p w:rsidR="007D36D1" w:rsidRPr="00BA5F90" w:rsidRDefault="007D36D1" w:rsidP="007D36D1">
      <w:pPr>
        <w:pStyle w:val="FootnoteText"/>
        <w:rPr>
          <w:lang w:val="en-US"/>
        </w:rPr>
      </w:pPr>
      <w:r>
        <w:rPr>
          <w:rStyle w:val="FootnoteReference"/>
        </w:rPr>
        <w:footnoteRef/>
      </w:r>
      <w:r>
        <w:t xml:space="preserve"> </w:t>
      </w:r>
      <w:r>
        <w:rPr>
          <w:lang w:val="en-US"/>
        </w:rPr>
        <w:t>As acknowledged in the Productivity Commission Issues Paper on Child Care and Early Childhood Learning, December 2013, p2</w:t>
      </w:r>
    </w:p>
  </w:footnote>
  <w:footnote w:id="6">
    <w:p w:rsidR="00332D0A" w:rsidRPr="00332D0A" w:rsidRDefault="00332D0A">
      <w:pPr>
        <w:pStyle w:val="FootnoteText"/>
        <w:rPr>
          <w:lang w:val="en-US"/>
        </w:rPr>
      </w:pPr>
      <w:r>
        <w:rPr>
          <w:rStyle w:val="FootnoteReference"/>
        </w:rPr>
        <w:footnoteRef/>
      </w:r>
      <w:r>
        <w:t xml:space="preserve"> </w:t>
      </w:r>
      <w:r>
        <w:rPr>
          <w:lang w:val="en-US"/>
        </w:rPr>
        <w:t>PC Draft Report, p29</w:t>
      </w:r>
    </w:p>
  </w:footnote>
  <w:footnote w:id="7">
    <w:p w:rsidR="00287A97" w:rsidRPr="00287A97" w:rsidRDefault="00287A97">
      <w:pPr>
        <w:pStyle w:val="FootnoteText"/>
        <w:rPr>
          <w:lang w:val="en-US"/>
        </w:rPr>
      </w:pPr>
      <w:r>
        <w:rPr>
          <w:rStyle w:val="FootnoteReference"/>
        </w:rPr>
        <w:footnoteRef/>
      </w:r>
      <w:r>
        <w:t xml:space="preserve"> Ibid, p29</w:t>
      </w:r>
    </w:p>
  </w:footnote>
  <w:footnote w:id="8">
    <w:p w:rsidR="00CA6BD9" w:rsidRPr="00CA6BD9" w:rsidRDefault="00CA6BD9">
      <w:pPr>
        <w:pStyle w:val="FootnoteText"/>
        <w:rPr>
          <w:lang w:val="en-US"/>
        </w:rPr>
      </w:pPr>
      <w:r>
        <w:rPr>
          <w:rStyle w:val="FootnoteReference"/>
        </w:rPr>
        <w:footnoteRef/>
      </w:r>
      <w:r>
        <w:t xml:space="preserve"> </w:t>
      </w:r>
      <w:proofErr w:type="gramStart"/>
      <w:r>
        <w:rPr>
          <w:lang w:val="en-US"/>
        </w:rPr>
        <w:t>Ibid, p41.</w:t>
      </w:r>
      <w:proofErr w:type="gramEnd"/>
    </w:p>
  </w:footnote>
  <w:footnote w:id="9">
    <w:p w:rsidR="000205AD" w:rsidRPr="000205AD" w:rsidRDefault="000205AD">
      <w:pPr>
        <w:pStyle w:val="FootnoteText"/>
        <w:rPr>
          <w:lang w:val="en-US"/>
        </w:rPr>
      </w:pPr>
      <w:r>
        <w:rPr>
          <w:rStyle w:val="FootnoteReference"/>
        </w:rPr>
        <w:footnoteRef/>
      </w:r>
      <w:r>
        <w:t xml:space="preserve"> </w:t>
      </w:r>
      <w:proofErr w:type="gramStart"/>
      <w:r>
        <w:rPr>
          <w:lang w:val="en-US"/>
        </w:rPr>
        <w:t>Ibid, p15.</w:t>
      </w:r>
      <w:proofErr w:type="gramEnd"/>
    </w:p>
  </w:footnote>
  <w:footnote w:id="10">
    <w:p w:rsidR="00720F16" w:rsidRPr="00720F16" w:rsidRDefault="00720F16">
      <w:pPr>
        <w:pStyle w:val="FootnoteText"/>
        <w:rPr>
          <w:lang w:val="en-US"/>
        </w:rPr>
      </w:pPr>
      <w:r>
        <w:rPr>
          <w:rStyle w:val="FootnoteReference"/>
        </w:rPr>
        <w:footnoteRef/>
      </w:r>
      <w:r>
        <w:t xml:space="preserve"> </w:t>
      </w:r>
      <w:proofErr w:type="gramStart"/>
      <w:r>
        <w:rPr>
          <w:lang w:val="en-US"/>
        </w:rPr>
        <w:t>Ibid, p15.</w:t>
      </w:r>
      <w:proofErr w:type="gramEnd"/>
    </w:p>
  </w:footnote>
  <w:footnote w:id="11">
    <w:p w:rsidR="002C5DF5" w:rsidRPr="00AF410A" w:rsidRDefault="002C5DF5" w:rsidP="002C5DF5">
      <w:pPr>
        <w:pStyle w:val="FootnoteText"/>
        <w:rPr>
          <w:lang w:val="en-US"/>
        </w:rPr>
      </w:pPr>
      <w:r>
        <w:rPr>
          <w:rStyle w:val="FootnoteReference"/>
        </w:rPr>
        <w:footnoteRef/>
      </w:r>
      <w:r>
        <w:t xml:space="preserve"> </w:t>
      </w:r>
      <w:proofErr w:type="gramStart"/>
      <w:r>
        <w:rPr>
          <w:lang w:val="en-US"/>
        </w:rPr>
        <w:t>Ibid, p15.</w:t>
      </w:r>
      <w:proofErr w:type="gramEnd"/>
    </w:p>
  </w:footnote>
  <w:footnote w:id="12">
    <w:p w:rsidR="004E068F" w:rsidRPr="004E068F" w:rsidRDefault="004E068F">
      <w:pPr>
        <w:pStyle w:val="FootnoteText"/>
        <w:rPr>
          <w:lang w:val="en-US"/>
        </w:rPr>
      </w:pPr>
      <w:r>
        <w:rPr>
          <w:rStyle w:val="FootnoteReference"/>
        </w:rPr>
        <w:footnoteRef/>
      </w:r>
      <w:r>
        <w:t xml:space="preserve"> </w:t>
      </w:r>
      <w:proofErr w:type="gramStart"/>
      <w:r w:rsidR="00955926">
        <w:rPr>
          <w:lang w:val="en-US"/>
        </w:rPr>
        <w:t>Ibid, p44.</w:t>
      </w:r>
      <w:proofErr w:type="gramEnd"/>
    </w:p>
  </w:footnote>
  <w:footnote w:id="13">
    <w:p w:rsidR="009C1D0A" w:rsidRPr="009C1D0A" w:rsidRDefault="009C1D0A">
      <w:pPr>
        <w:pStyle w:val="FootnoteText"/>
        <w:rPr>
          <w:lang w:val="en-US"/>
        </w:rPr>
      </w:pPr>
      <w:r>
        <w:rPr>
          <w:rStyle w:val="FootnoteReference"/>
        </w:rPr>
        <w:footnoteRef/>
      </w:r>
      <w:r>
        <w:t xml:space="preserve"> </w:t>
      </w:r>
      <w:proofErr w:type="gramStart"/>
      <w:r>
        <w:rPr>
          <w:lang w:val="en-US"/>
        </w:rPr>
        <w:t>Ibid, p30.</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F2F79"/>
    <w:multiLevelType w:val="hybridMultilevel"/>
    <w:tmpl w:val="CBAE5B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87E0579"/>
    <w:multiLevelType w:val="hybridMultilevel"/>
    <w:tmpl w:val="517A3B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88207EE"/>
    <w:multiLevelType w:val="hybridMultilevel"/>
    <w:tmpl w:val="B29A5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1506883"/>
    <w:multiLevelType w:val="hybridMultilevel"/>
    <w:tmpl w:val="51C68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80F3E02"/>
    <w:multiLevelType w:val="hybridMultilevel"/>
    <w:tmpl w:val="0F2EAF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88A1EDA"/>
    <w:multiLevelType w:val="hybridMultilevel"/>
    <w:tmpl w:val="6B88A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BD209A3"/>
    <w:multiLevelType w:val="hybridMultilevel"/>
    <w:tmpl w:val="AA96AB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21B0BB7"/>
    <w:multiLevelType w:val="hybridMultilevel"/>
    <w:tmpl w:val="1CE6F3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2D2781A"/>
    <w:multiLevelType w:val="multilevel"/>
    <w:tmpl w:val="8012BC6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54F095B"/>
    <w:multiLevelType w:val="hybridMultilevel"/>
    <w:tmpl w:val="4F361A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93B72E1"/>
    <w:multiLevelType w:val="hybridMultilevel"/>
    <w:tmpl w:val="EA94E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F9F2C06"/>
    <w:multiLevelType w:val="hybridMultilevel"/>
    <w:tmpl w:val="38660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FC603BA"/>
    <w:multiLevelType w:val="hybridMultilevel"/>
    <w:tmpl w:val="8F1247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2005C89"/>
    <w:multiLevelType w:val="hybridMultilevel"/>
    <w:tmpl w:val="6D340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2FE7127"/>
    <w:multiLevelType w:val="hybridMultilevel"/>
    <w:tmpl w:val="4FA84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51B1B44"/>
    <w:multiLevelType w:val="hybridMultilevel"/>
    <w:tmpl w:val="6DB08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8316F60"/>
    <w:multiLevelType w:val="multilevel"/>
    <w:tmpl w:val="25BE73B8"/>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9B05F64"/>
    <w:multiLevelType w:val="hybridMultilevel"/>
    <w:tmpl w:val="AEE63868"/>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8">
    <w:nsid w:val="3BFB3E8C"/>
    <w:multiLevelType w:val="multilevel"/>
    <w:tmpl w:val="25BE73B8"/>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2062757"/>
    <w:multiLevelType w:val="multilevel"/>
    <w:tmpl w:val="F382475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432C238B"/>
    <w:multiLevelType w:val="hybridMultilevel"/>
    <w:tmpl w:val="9C6A04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CF04632"/>
    <w:multiLevelType w:val="hybridMultilevel"/>
    <w:tmpl w:val="6DEE9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4BB6450"/>
    <w:multiLevelType w:val="hybridMultilevel"/>
    <w:tmpl w:val="2B887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5BD6AFD"/>
    <w:multiLevelType w:val="hybridMultilevel"/>
    <w:tmpl w:val="6E74C4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5A04186E"/>
    <w:multiLevelType w:val="hybridMultilevel"/>
    <w:tmpl w:val="C13EEA4A"/>
    <w:lvl w:ilvl="0" w:tplc="0C09000F">
      <w:start w:val="1"/>
      <w:numFmt w:val="decimal"/>
      <w:lvlText w:val="%1."/>
      <w:lvlJc w:val="left"/>
      <w:pPr>
        <w:ind w:left="-1065" w:hanging="360"/>
      </w:pPr>
    </w:lvl>
    <w:lvl w:ilvl="1" w:tplc="0C090019" w:tentative="1">
      <w:start w:val="1"/>
      <w:numFmt w:val="lowerLetter"/>
      <w:lvlText w:val="%2."/>
      <w:lvlJc w:val="left"/>
      <w:pPr>
        <w:ind w:left="-345" w:hanging="360"/>
      </w:pPr>
    </w:lvl>
    <w:lvl w:ilvl="2" w:tplc="0C09001B" w:tentative="1">
      <w:start w:val="1"/>
      <w:numFmt w:val="lowerRoman"/>
      <w:lvlText w:val="%3."/>
      <w:lvlJc w:val="right"/>
      <w:pPr>
        <w:ind w:left="375" w:hanging="180"/>
      </w:pPr>
    </w:lvl>
    <w:lvl w:ilvl="3" w:tplc="0C09000F" w:tentative="1">
      <w:start w:val="1"/>
      <w:numFmt w:val="decimal"/>
      <w:lvlText w:val="%4."/>
      <w:lvlJc w:val="left"/>
      <w:pPr>
        <w:ind w:left="1095" w:hanging="360"/>
      </w:pPr>
    </w:lvl>
    <w:lvl w:ilvl="4" w:tplc="0C090019" w:tentative="1">
      <w:start w:val="1"/>
      <w:numFmt w:val="lowerLetter"/>
      <w:lvlText w:val="%5."/>
      <w:lvlJc w:val="left"/>
      <w:pPr>
        <w:ind w:left="1815" w:hanging="360"/>
      </w:pPr>
    </w:lvl>
    <w:lvl w:ilvl="5" w:tplc="0C09001B" w:tentative="1">
      <w:start w:val="1"/>
      <w:numFmt w:val="lowerRoman"/>
      <w:lvlText w:val="%6."/>
      <w:lvlJc w:val="right"/>
      <w:pPr>
        <w:ind w:left="2535" w:hanging="180"/>
      </w:pPr>
    </w:lvl>
    <w:lvl w:ilvl="6" w:tplc="0C09000F" w:tentative="1">
      <w:start w:val="1"/>
      <w:numFmt w:val="decimal"/>
      <w:lvlText w:val="%7."/>
      <w:lvlJc w:val="left"/>
      <w:pPr>
        <w:ind w:left="3255" w:hanging="360"/>
      </w:pPr>
    </w:lvl>
    <w:lvl w:ilvl="7" w:tplc="0C090019" w:tentative="1">
      <w:start w:val="1"/>
      <w:numFmt w:val="lowerLetter"/>
      <w:lvlText w:val="%8."/>
      <w:lvlJc w:val="left"/>
      <w:pPr>
        <w:ind w:left="3975" w:hanging="360"/>
      </w:pPr>
    </w:lvl>
    <w:lvl w:ilvl="8" w:tplc="0C09001B" w:tentative="1">
      <w:start w:val="1"/>
      <w:numFmt w:val="lowerRoman"/>
      <w:lvlText w:val="%9."/>
      <w:lvlJc w:val="right"/>
      <w:pPr>
        <w:ind w:left="4695" w:hanging="180"/>
      </w:pPr>
    </w:lvl>
  </w:abstractNum>
  <w:abstractNum w:abstractNumId="25">
    <w:nsid w:val="5B7907D5"/>
    <w:multiLevelType w:val="hybridMultilevel"/>
    <w:tmpl w:val="524A5E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F644F35"/>
    <w:multiLevelType w:val="hybridMultilevel"/>
    <w:tmpl w:val="D06C61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2730F74"/>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7642F06"/>
    <w:multiLevelType w:val="hybridMultilevel"/>
    <w:tmpl w:val="45181E98"/>
    <w:lvl w:ilvl="0" w:tplc="0C090001">
      <w:start w:val="1"/>
      <w:numFmt w:val="bullet"/>
      <w:lvlText w:val=""/>
      <w:lvlJc w:val="left"/>
      <w:pPr>
        <w:ind w:left="769" w:hanging="360"/>
      </w:pPr>
      <w:rPr>
        <w:rFonts w:ascii="Symbol" w:hAnsi="Symbol" w:hint="default"/>
      </w:rPr>
    </w:lvl>
    <w:lvl w:ilvl="1" w:tplc="0C090003" w:tentative="1">
      <w:start w:val="1"/>
      <w:numFmt w:val="bullet"/>
      <w:lvlText w:val="o"/>
      <w:lvlJc w:val="left"/>
      <w:pPr>
        <w:ind w:left="1489" w:hanging="360"/>
      </w:pPr>
      <w:rPr>
        <w:rFonts w:ascii="Courier New" w:hAnsi="Courier New" w:cs="Courier New" w:hint="default"/>
      </w:rPr>
    </w:lvl>
    <w:lvl w:ilvl="2" w:tplc="0C090005" w:tentative="1">
      <w:start w:val="1"/>
      <w:numFmt w:val="bullet"/>
      <w:lvlText w:val=""/>
      <w:lvlJc w:val="left"/>
      <w:pPr>
        <w:ind w:left="2209" w:hanging="360"/>
      </w:pPr>
      <w:rPr>
        <w:rFonts w:ascii="Wingdings" w:hAnsi="Wingdings" w:hint="default"/>
      </w:rPr>
    </w:lvl>
    <w:lvl w:ilvl="3" w:tplc="0C090001" w:tentative="1">
      <w:start w:val="1"/>
      <w:numFmt w:val="bullet"/>
      <w:lvlText w:val=""/>
      <w:lvlJc w:val="left"/>
      <w:pPr>
        <w:ind w:left="2929" w:hanging="360"/>
      </w:pPr>
      <w:rPr>
        <w:rFonts w:ascii="Symbol" w:hAnsi="Symbol" w:hint="default"/>
      </w:rPr>
    </w:lvl>
    <w:lvl w:ilvl="4" w:tplc="0C090003" w:tentative="1">
      <w:start w:val="1"/>
      <w:numFmt w:val="bullet"/>
      <w:lvlText w:val="o"/>
      <w:lvlJc w:val="left"/>
      <w:pPr>
        <w:ind w:left="3649" w:hanging="360"/>
      </w:pPr>
      <w:rPr>
        <w:rFonts w:ascii="Courier New" w:hAnsi="Courier New" w:cs="Courier New" w:hint="default"/>
      </w:rPr>
    </w:lvl>
    <w:lvl w:ilvl="5" w:tplc="0C090005" w:tentative="1">
      <w:start w:val="1"/>
      <w:numFmt w:val="bullet"/>
      <w:lvlText w:val=""/>
      <w:lvlJc w:val="left"/>
      <w:pPr>
        <w:ind w:left="4369" w:hanging="360"/>
      </w:pPr>
      <w:rPr>
        <w:rFonts w:ascii="Wingdings" w:hAnsi="Wingdings" w:hint="default"/>
      </w:rPr>
    </w:lvl>
    <w:lvl w:ilvl="6" w:tplc="0C090001" w:tentative="1">
      <w:start w:val="1"/>
      <w:numFmt w:val="bullet"/>
      <w:lvlText w:val=""/>
      <w:lvlJc w:val="left"/>
      <w:pPr>
        <w:ind w:left="5089" w:hanging="360"/>
      </w:pPr>
      <w:rPr>
        <w:rFonts w:ascii="Symbol" w:hAnsi="Symbol" w:hint="default"/>
      </w:rPr>
    </w:lvl>
    <w:lvl w:ilvl="7" w:tplc="0C090003" w:tentative="1">
      <w:start w:val="1"/>
      <w:numFmt w:val="bullet"/>
      <w:lvlText w:val="o"/>
      <w:lvlJc w:val="left"/>
      <w:pPr>
        <w:ind w:left="5809" w:hanging="360"/>
      </w:pPr>
      <w:rPr>
        <w:rFonts w:ascii="Courier New" w:hAnsi="Courier New" w:cs="Courier New" w:hint="default"/>
      </w:rPr>
    </w:lvl>
    <w:lvl w:ilvl="8" w:tplc="0C090005" w:tentative="1">
      <w:start w:val="1"/>
      <w:numFmt w:val="bullet"/>
      <w:lvlText w:val=""/>
      <w:lvlJc w:val="left"/>
      <w:pPr>
        <w:ind w:left="6529" w:hanging="360"/>
      </w:pPr>
      <w:rPr>
        <w:rFonts w:ascii="Wingdings" w:hAnsi="Wingdings" w:hint="default"/>
      </w:rPr>
    </w:lvl>
  </w:abstractNum>
  <w:abstractNum w:abstractNumId="29">
    <w:nsid w:val="69E373FA"/>
    <w:multiLevelType w:val="hybridMultilevel"/>
    <w:tmpl w:val="F5CACBF0"/>
    <w:lvl w:ilvl="0" w:tplc="0C090001">
      <w:start w:val="1"/>
      <w:numFmt w:val="bullet"/>
      <w:lvlText w:val=""/>
      <w:lvlJc w:val="left"/>
      <w:pPr>
        <w:ind w:left="360" w:hanging="360"/>
      </w:pPr>
      <w:rPr>
        <w:rFonts w:ascii="Symbol" w:hAnsi="Symbol" w:hint="default"/>
      </w:rPr>
    </w:lvl>
    <w:lvl w:ilvl="1" w:tplc="5254E8B2">
      <w:start w:val="16"/>
      <w:numFmt w:val="bullet"/>
      <w:lvlText w:val="-"/>
      <w:lvlJc w:val="left"/>
      <w:pPr>
        <w:ind w:left="1080" w:hanging="360"/>
      </w:pPr>
      <w:rPr>
        <w:rFonts w:ascii="Calibri" w:eastAsiaTheme="minorHAnsi" w:hAnsi="Calibri" w:cstheme="minorBid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74261709"/>
    <w:multiLevelType w:val="hybridMultilevel"/>
    <w:tmpl w:val="B25E5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9"/>
  </w:num>
  <w:num w:numId="6">
    <w:abstractNumId w:val="10"/>
  </w:num>
  <w:num w:numId="7">
    <w:abstractNumId w:val="20"/>
  </w:num>
  <w:num w:numId="8">
    <w:abstractNumId w:val="14"/>
  </w:num>
  <w:num w:numId="9">
    <w:abstractNumId w:val="2"/>
  </w:num>
  <w:num w:numId="10">
    <w:abstractNumId w:val="12"/>
  </w:num>
  <w:num w:numId="11">
    <w:abstractNumId w:val="7"/>
  </w:num>
  <w:num w:numId="12">
    <w:abstractNumId w:val="21"/>
  </w:num>
  <w:num w:numId="13">
    <w:abstractNumId w:val="4"/>
  </w:num>
  <w:num w:numId="14">
    <w:abstractNumId w:val="8"/>
  </w:num>
  <w:num w:numId="15">
    <w:abstractNumId w:val="1"/>
  </w:num>
  <w:num w:numId="16">
    <w:abstractNumId w:val="5"/>
  </w:num>
  <w:num w:numId="17">
    <w:abstractNumId w:val="6"/>
  </w:num>
  <w:num w:numId="18">
    <w:abstractNumId w:val="26"/>
  </w:num>
  <w:num w:numId="19">
    <w:abstractNumId w:val="28"/>
  </w:num>
  <w:num w:numId="20">
    <w:abstractNumId w:val="0"/>
  </w:num>
  <w:num w:numId="21">
    <w:abstractNumId w:val="13"/>
  </w:num>
  <w:num w:numId="22">
    <w:abstractNumId w:val="11"/>
  </w:num>
  <w:num w:numId="23">
    <w:abstractNumId w:val="30"/>
  </w:num>
  <w:num w:numId="24">
    <w:abstractNumId w:val="3"/>
  </w:num>
  <w:num w:numId="25">
    <w:abstractNumId w:val="15"/>
  </w:num>
  <w:num w:numId="26">
    <w:abstractNumId w:val="22"/>
  </w:num>
  <w:num w:numId="27">
    <w:abstractNumId w:val="17"/>
  </w:num>
  <w:num w:numId="28">
    <w:abstractNumId w:val="29"/>
  </w:num>
  <w:num w:numId="29">
    <w:abstractNumId w:val="25"/>
  </w:num>
  <w:num w:numId="30">
    <w:abstractNumId w:val="23"/>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EED"/>
    <w:rsid w:val="00007903"/>
    <w:rsid w:val="000112EC"/>
    <w:rsid w:val="00011964"/>
    <w:rsid w:val="0001678E"/>
    <w:rsid w:val="00017311"/>
    <w:rsid w:val="000205AD"/>
    <w:rsid w:val="00025D88"/>
    <w:rsid w:val="000270EB"/>
    <w:rsid w:val="000360B4"/>
    <w:rsid w:val="000545BC"/>
    <w:rsid w:val="000561BF"/>
    <w:rsid w:val="00056AC5"/>
    <w:rsid w:val="00061302"/>
    <w:rsid w:val="00063B39"/>
    <w:rsid w:val="00065457"/>
    <w:rsid w:val="00071ABD"/>
    <w:rsid w:val="00071D1D"/>
    <w:rsid w:val="000737D4"/>
    <w:rsid w:val="000809CC"/>
    <w:rsid w:val="00081561"/>
    <w:rsid w:val="00081C14"/>
    <w:rsid w:val="00083F0B"/>
    <w:rsid w:val="000850F7"/>
    <w:rsid w:val="0009014C"/>
    <w:rsid w:val="00092F9A"/>
    <w:rsid w:val="00094D8F"/>
    <w:rsid w:val="000951C4"/>
    <w:rsid w:val="00096C6B"/>
    <w:rsid w:val="000A3BE6"/>
    <w:rsid w:val="000A3CC5"/>
    <w:rsid w:val="000B194C"/>
    <w:rsid w:val="000B76BF"/>
    <w:rsid w:val="000C7FD5"/>
    <w:rsid w:val="000D0E5D"/>
    <w:rsid w:val="000D5756"/>
    <w:rsid w:val="000F29CF"/>
    <w:rsid w:val="000F3AC5"/>
    <w:rsid w:val="000F7731"/>
    <w:rsid w:val="00107FCA"/>
    <w:rsid w:val="001226EA"/>
    <w:rsid w:val="001319C3"/>
    <w:rsid w:val="00152939"/>
    <w:rsid w:val="001549E0"/>
    <w:rsid w:val="00160290"/>
    <w:rsid w:val="0016170D"/>
    <w:rsid w:val="0016325B"/>
    <w:rsid w:val="001633F0"/>
    <w:rsid w:val="0016640F"/>
    <w:rsid w:val="001676E5"/>
    <w:rsid w:val="001733F3"/>
    <w:rsid w:val="00177997"/>
    <w:rsid w:val="00182BD1"/>
    <w:rsid w:val="0018305A"/>
    <w:rsid w:val="00187BF9"/>
    <w:rsid w:val="001902EC"/>
    <w:rsid w:val="00194801"/>
    <w:rsid w:val="001A7832"/>
    <w:rsid w:val="001B05EB"/>
    <w:rsid w:val="001B0BA1"/>
    <w:rsid w:val="001B3EBC"/>
    <w:rsid w:val="001B7755"/>
    <w:rsid w:val="001B7F76"/>
    <w:rsid w:val="001C168D"/>
    <w:rsid w:val="001C6AB5"/>
    <w:rsid w:val="001C7265"/>
    <w:rsid w:val="001D2DFE"/>
    <w:rsid w:val="001D3887"/>
    <w:rsid w:val="001D78D2"/>
    <w:rsid w:val="001E230B"/>
    <w:rsid w:val="001E541F"/>
    <w:rsid w:val="001E57E0"/>
    <w:rsid w:val="001F32F4"/>
    <w:rsid w:val="001F5090"/>
    <w:rsid w:val="001F5D21"/>
    <w:rsid w:val="00201291"/>
    <w:rsid w:val="00203FCF"/>
    <w:rsid w:val="0020649D"/>
    <w:rsid w:val="0020763B"/>
    <w:rsid w:val="00220E7D"/>
    <w:rsid w:val="0022247E"/>
    <w:rsid w:val="002236DD"/>
    <w:rsid w:val="0023412A"/>
    <w:rsid w:val="002343D6"/>
    <w:rsid w:val="002354B0"/>
    <w:rsid w:val="00235A2E"/>
    <w:rsid w:val="00235DA1"/>
    <w:rsid w:val="00237EC3"/>
    <w:rsid w:val="00240A3E"/>
    <w:rsid w:val="002439DB"/>
    <w:rsid w:val="00245C10"/>
    <w:rsid w:val="0024600E"/>
    <w:rsid w:val="0024678A"/>
    <w:rsid w:val="00247ABA"/>
    <w:rsid w:val="00247BA0"/>
    <w:rsid w:val="00250745"/>
    <w:rsid w:val="00256EC5"/>
    <w:rsid w:val="00260135"/>
    <w:rsid w:val="0026400E"/>
    <w:rsid w:val="002640E6"/>
    <w:rsid w:val="00267649"/>
    <w:rsid w:val="002729D3"/>
    <w:rsid w:val="00272B88"/>
    <w:rsid w:val="0027731C"/>
    <w:rsid w:val="00286B7E"/>
    <w:rsid w:val="0028762D"/>
    <w:rsid w:val="00287A97"/>
    <w:rsid w:val="00287EB5"/>
    <w:rsid w:val="0029276B"/>
    <w:rsid w:val="002A0CB2"/>
    <w:rsid w:val="002A2F05"/>
    <w:rsid w:val="002A4271"/>
    <w:rsid w:val="002B1470"/>
    <w:rsid w:val="002B3BCA"/>
    <w:rsid w:val="002B5B8E"/>
    <w:rsid w:val="002C246B"/>
    <w:rsid w:val="002C3705"/>
    <w:rsid w:val="002C5DF5"/>
    <w:rsid w:val="002D0B29"/>
    <w:rsid w:val="002D1799"/>
    <w:rsid w:val="002D3581"/>
    <w:rsid w:val="002D4A3A"/>
    <w:rsid w:val="002E1D2A"/>
    <w:rsid w:val="002E6D2D"/>
    <w:rsid w:val="002F0BAE"/>
    <w:rsid w:val="002F2A42"/>
    <w:rsid w:val="002F4FF1"/>
    <w:rsid w:val="003032E1"/>
    <w:rsid w:val="003039D9"/>
    <w:rsid w:val="00303B7C"/>
    <w:rsid w:val="00305EE2"/>
    <w:rsid w:val="003073D6"/>
    <w:rsid w:val="0031206D"/>
    <w:rsid w:val="003133C0"/>
    <w:rsid w:val="00314068"/>
    <w:rsid w:val="00314399"/>
    <w:rsid w:val="003200D3"/>
    <w:rsid w:val="003209DD"/>
    <w:rsid w:val="003231CA"/>
    <w:rsid w:val="00332D0A"/>
    <w:rsid w:val="00340F5D"/>
    <w:rsid w:val="00343EF5"/>
    <w:rsid w:val="003472A6"/>
    <w:rsid w:val="0034756E"/>
    <w:rsid w:val="0035668C"/>
    <w:rsid w:val="00361939"/>
    <w:rsid w:val="0036795E"/>
    <w:rsid w:val="00374E22"/>
    <w:rsid w:val="003776B3"/>
    <w:rsid w:val="00377D93"/>
    <w:rsid w:val="00382173"/>
    <w:rsid w:val="00382B4E"/>
    <w:rsid w:val="00384F21"/>
    <w:rsid w:val="0039026C"/>
    <w:rsid w:val="003A0D0D"/>
    <w:rsid w:val="003A2E41"/>
    <w:rsid w:val="003A5EC2"/>
    <w:rsid w:val="003B088C"/>
    <w:rsid w:val="003B49EE"/>
    <w:rsid w:val="003B56B1"/>
    <w:rsid w:val="003B60D5"/>
    <w:rsid w:val="003B7259"/>
    <w:rsid w:val="003B748F"/>
    <w:rsid w:val="003C019E"/>
    <w:rsid w:val="003C56A7"/>
    <w:rsid w:val="003D23B2"/>
    <w:rsid w:val="003D422E"/>
    <w:rsid w:val="003D6612"/>
    <w:rsid w:val="003D6D5F"/>
    <w:rsid w:val="003D706B"/>
    <w:rsid w:val="003E6137"/>
    <w:rsid w:val="003E67C5"/>
    <w:rsid w:val="003E7725"/>
    <w:rsid w:val="003F459D"/>
    <w:rsid w:val="00407143"/>
    <w:rsid w:val="00410B77"/>
    <w:rsid w:val="00422E99"/>
    <w:rsid w:val="0042601D"/>
    <w:rsid w:val="00426BB0"/>
    <w:rsid w:val="004365D8"/>
    <w:rsid w:val="004574D2"/>
    <w:rsid w:val="004622F5"/>
    <w:rsid w:val="00462548"/>
    <w:rsid w:val="0047198F"/>
    <w:rsid w:val="00473078"/>
    <w:rsid w:val="0047446E"/>
    <w:rsid w:val="00475EDD"/>
    <w:rsid w:val="004827AB"/>
    <w:rsid w:val="00490D18"/>
    <w:rsid w:val="00493F59"/>
    <w:rsid w:val="00495CDC"/>
    <w:rsid w:val="004A26DF"/>
    <w:rsid w:val="004B1659"/>
    <w:rsid w:val="004B2F96"/>
    <w:rsid w:val="004C0BF7"/>
    <w:rsid w:val="004C0EF8"/>
    <w:rsid w:val="004C4C8F"/>
    <w:rsid w:val="004C64EF"/>
    <w:rsid w:val="004C7741"/>
    <w:rsid w:val="004D5BD4"/>
    <w:rsid w:val="004D7896"/>
    <w:rsid w:val="004E0660"/>
    <w:rsid w:val="004E068F"/>
    <w:rsid w:val="004E0D2A"/>
    <w:rsid w:val="004E2C65"/>
    <w:rsid w:val="004E3653"/>
    <w:rsid w:val="004F0BCE"/>
    <w:rsid w:val="004F2E3B"/>
    <w:rsid w:val="004F5068"/>
    <w:rsid w:val="0050155C"/>
    <w:rsid w:val="00504663"/>
    <w:rsid w:val="00511A86"/>
    <w:rsid w:val="00516701"/>
    <w:rsid w:val="005178FC"/>
    <w:rsid w:val="00520ECF"/>
    <w:rsid w:val="00525BFA"/>
    <w:rsid w:val="00536AA4"/>
    <w:rsid w:val="00540D57"/>
    <w:rsid w:val="005418F2"/>
    <w:rsid w:val="00543EE4"/>
    <w:rsid w:val="005451EB"/>
    <w:rsid w:val="0054562D"/>
    <w:rsid w:val="00554A60"/>
    <w:rsid w:val="005556A8"/>
    <w:rsid w:val="00555AFB"/>
    <w:rsid w:val="00560420"/>
    <w:rsid w:val="00564E3D"/>
    <w:rsid w:val="005652FF"/>
    <w:rsid w:val="005722B5"/>
    <w:rsid w:val="00575DB4"/>
    <w:rsid w:val="005764EA"/>
    <w:rsid w:val="00584771"/>
    <w:rsid w:val="005864F5"/>
    <w:rsid w:val="0059707B"/>
    <w:rsid w:val="005A1308"/>
    <w:rsid w:val="005A37C8"/>
    <w:rsid w:val="005A7282"/>
    <w:rsid w:val="005B235C"/>
    <w:rsid w:val="005B5A43"/>
    <w:rsid w:val="005B5B6A"/>
    <w:rsid w:val="005C371D"/>
    <w:rsid w:val="005C4C21"/>
    <w:rsid w:val="005C7D6F"/>
    <w:rsid w:val="005D0EF9"/>
    <w:rsid w:val="005D37B7"/>
    <w:rsid w:val="005D3A37"/>
    <w:rsid w:val="005D7A41"/>
    <w:rsid w:val="005E39F9"/>
    <w:rsid w:val="005E705B"/>
    <w:rsid w:val="005F32B3"/>
    <w:rsid w:val="005F6A13"/>
    <w:rsid w:val="006016D6"/>
    <w:rsid w:val="0060382F"/>
    <w:rsid w:val="0061169F"/>
    <w:rsid w:val="00612914"/>
    <w:rsid w:val="00622E2D"/>
    <w:rsid w:val="00623B9E"/>
    <w:rsid w:val="00626805"/>
    <w:rsid w:val="006343B3"/>
    <w:rsid w:val="0063492C"/>
    <w:rsid w:val="006358D8"/>
    <w:rsid w:val="00636EBE"/>
    <w:rsid w:val="006407EF"/>
    <w:rsid w:val="00650626"/>
    <w:rsid w:val="00653B0D"/>
    <w:rsid w:val="00660045"/>
    <w:rsid w:val="00660129"/>
    <w:rsid w:val="00660139"/>
    <w:rsid w:val="0066074C"/>
    <w:rsid w:val="006612A7"/>
    <w:rsid w:val="00674ECE"/>
    <w:rsid w:val="00680A4F"/>
    <w:rsid w:val="00682874"/>
    <w:rsid w:val="006858EB"/>
    <w:rsid w:val="00685CE8"/>
    <w:rsid w:val="00690938"/>
    <w:rsid w:val="00693F58"/>
    <w:rsid w:val="00695898"/>
    <w:rsid w:val="00697162"/>
    <w:rsid w:val="0069788C"/>
    <w:rsid w:val="006A0D3B"/>
    <w:rsid w:val="006B4BD5"/>
    <w:rsid w:val="006C164D"/>
    <w:rsid w:val="006C1D46"/>
    <w:rsid w:val="006C6DF0"/>
    <w:rsid w:val="006D0027"/>
    <w:rsid w:val="006D6384"/>
    <w:rsid w:val="006E378C"/>
    <w:rsid w:val="006E63D0"/>
    <w:rsid w:val="006E6830"/>
    <w:rsid w:val="006E6993"/>
    <w:rsid w:val="006F0634"/>
    <w:rsid w:val="006F143E"/>
    <w:rsid w:val="006F6F8B"/>
    <w:rsid w:val="00706843"/>
    <w:rsid w:val="00720F16"/>
    <w:rsid w:val="007271FC"/>
    <w:rsid w:val="00731FA3"/>
    <w:rsid w:val="00736BB9"/>
    <w:rsid w:val="00744FAF"/>
    <w:rsid w:val="00745C21"/>
    <w:rsid w:val="00747A7E"/>
    <w:rsid w:val="007513D6"/>
    <w:rsid w:val="00755232"/>
    <w:rsid w:val="00755E05"/>
    <w:rsid w:val="007607BA"/>
    <w:rsid w:val="007614B6"/>
    <w:rsid w:val="00764A85"/>
    <w:rsid w:val="00772473"/>
    <w:rsid w:val="00775424"/>
    <w:rsid w:val="0078317C"/>
    <w:rsid w:val="00784AFD"/>
    <w:rsid w:val="007863B9"/>
    <w:rsid w:val="007A42F6"/>
    <w:rsid w:val="007A5D3D"/>
    <w:rsid w:val="007A7D4B"/>
    <w:rsid w:val="007B23E2"/>
    <w:rsid w:val="007B24FC"/>
    <w:rsid w:val="007B42E9"/>
    <w:rsid w:val="007B4BB6"/>
    <w:rsid w:val="007B75E1"/>
    <w:rsid w:val="007C5114"/>
    <w:rsid w:val="007C70BB"/>
    <w:rsid w:val="007D36D1"/>
    <w:rsid w:val="007D705C"/>
    <w:rsid w:val="007E538C"/>
    <w:rsid w:val="007F0EED"/>
    <w:rsid w:val="007F5AAF"/>
    <w:rsid w:val="00801504"/>
    <w:rsid w:val="008051D3"/>
    <w:rsid w:val="008110F7"/>
    <w:rsid w:val="008117FD"/>
    <w:rsid w:val="00815FA5"/>
    <w:rsid w:val="00824C6F"/>
    <w:rsid w:val="00831E49"/>
    <w:rsid w:val="00836656"/>
    <w:rsid w:val="00841860"/>
    <w:rsid w:val="008501D9"/>
    <w:rsid w:val="00851457"/>
    <w:rsid w:val="0085470F"/>
    <w:rsid w:val="008601E9"/>
    <w:rsid w:val="008612C7"/>
    <w:rsid w:val="00864AB3"/>
    <w:rsid w:val="00865B9C"/>
    <w:rsid w:val="00865F0F"/>
    <w:rsid w:val="008738E0"/>
    <w:rsid w:val="00881C8A"/>
    <w:rsid w:val="00884349"/>
    <w:rsid w:val="00885C7D"/>
    <w:rsid w:val="0089031E"/>
    <w:rsid w:val="008937C4"/>
    <w:rsid w:val="00895CFE"/>
    <w:rsid w:val="008960F6"/>
    <w:rsid w:val="008A08C5"/>
    <w:rsid w:val="008A1659"/>
    <w:rsid w:val="008B0650"/>
    <w:rsid w:val="008B2621"/>
    <w:rsid w:val="008B3B3B"/>
    <w:rsid w:val="008B497A"/>
    <w:rsid w:val="008B4D59"/>
    <w:rsid w:val="008B52AF"/>
    <w:rsid w:val="008D6A52"/>
    <w:rsid w:val="008E1398"/>
    <w:rsid w:val="008E1DF8"/>
    <w:rsid w:val="008F1B44"/>
    <w:rsid w:val="008F44FD"/>
    <w:rsid w:val="00907364"/>
    <w:rsid w:val="00912719"/>
    <w:rsid w:val="009146C0"/>
    <w:rsid w:val="009149B3"/>
    <w:rsid w:val="009163B5"/>
    <w:rsid w:val="009203C1"/>
    <w:rsid w:val="0092214C"/>
    <w:rsid w:val="00923146"/>
    <w:rsid w:val="009272A5"/>
    <w:rsid w:val="009275C2"/>
    <w:rsid w:val="00934946"/>
    <w:rsid w:val="009364A6"/>
    <w:rsid w:val="00937E82"/>
    <w:rsid w:val="00942479"/>
    <w:rsid w:val="0094314D"/>
    <w:rsid w:val="00944420"/>
    <w:rsid w:val="00945BAE"/>
    <w:rsid w:val="009525B6"/>
    <w:rsid w:val="009529B4"/>
    <w:rsid w:val="00955926"/>
    <w:rsid w:val="00961350"/>
    <w:rsid w:val="00971AD4"/>
    <w:rsid w:val="00973BA6"/>
    <w:rsid w:val="00975B1D"/>
    <w:rsid w:val="009772A6"/>
    <w:rsid w:val="00982C1F"/>
    <w:rsid w:val="009901BE"/>
    <w:rsid w:val="00990C53"/>
    <w:rsid w:val="00992E73"/>
    <w:rsid w:val="00993BAC"/>
    <w:rsid w:val="0099506C"/>
    <w:rsid w:val="00995710"/>
    <w:rsid w:val="009969AE"/>
    <w:rsid w:val="009A4647"/>
    <w:rsid w:val="009A70CD"/>
    <w:rsid w:val="009B4D2B"/>
    <w:rsid w:val="009B7CF6"/>
    <w:rsid w:val="009C1D0A"/>
    <w:rsid w:val="009C5A4E"/>
    <w:rsid w:val="009C6A53"/>
    <w:rsid w:val="009C79C2"/>
    <w:rsid w:val="009D116D"/>
    <w:rsid w:val="009E081A"/>
    <w:rsid w:val="009E174B"/>
    <w:rsid w:val="009E4BC0"/>
    <w:rsid w:val="009F1451"/>
    <w:rsid w:val="009F3E47"/>
    <w:rsid w:val="00A008DB"/>
    <w:rsid w:val="00A0672C"/>
    <w:rsid w:val="00A15D07"/>
    <w:rsid w:val="00A17B8C"/>
    <w:rsid w:val="00A224A2"/>
    <w:rsid w:val="00A26890"/>
    <w:rsid w:val="00A35090"/>
    <w:rsid w:val="00A40EF3"/>
    <w:rsid w:val="00A42003"/>
    <w:rsid w:val="00A43B4E"/>
    <w:rsid w:val="00A450B2"/>
    <w:rsid w:val="00A513FF"/>
    <w:rsid w:val="00A534F9"/>
    <w:rsid w:val="00A53CD3"/>
    <w:rsid w:val="00A53EE1"/>
    <w:rsid w:val="00A548EA"/>
    <w:rsid w:val="00A555E2"/>
    <w:rsid w:val="00A5563D"/>
    <w:rsid w:val="00A563F4"/>
    <w:rsid w:val="00A56AA8"/>
    <w:rsid w:val="00A60DA1"/>
    <w:rsid w:val="00A61421"/>
    <w:rsid w:val="00A84F46"/>
    <w:rsid w:val="00A95E9B"/>
    <w:rsid w:val="00A96C1C"/>
    <w:rsid w:val="00A9737C"/>
    <w:rsid w:val="00AA0518"/>
    <w:rsid w:val="00AA5162"/>
    <w:rsid w:val="00AB1849"/>
    <w:rsid w:val="00AB1F9B"/>
    <w:rsid w:val="00AB57E8"/>
    <w:rsid w:val="00AC4EAA"/>
    <w:rsid w:val="00AC52CB"/>
    <w:rsid w:val="00AC7D34"/>
    <w:rsid w:val="00AD10CF"/>
    <w:rsid w:val="00AD3049"/>
    <w:rsid w:val="00AD5116"/>
    <w:rsid w:val="00AE0D42"/>
    <w:rsid w:val="00AE4239"/>
    <w:rsid w:val="00AF410A"/>
    <w:rsid w:val="00AF4F43"/>
    <w:rsid w:val="00B04B2F"/>
    <w:rsid w:val="00B106FB"/>
    <w:rsid w:val="00B17F59"/>
    <w:rsid w:val="00B20404"/>
    <w:rsid w:val="00B20DB7"/>
    <w:rsid w:val="00B21920"/>
    <w:rsid w:val="00B223DB"/>
    <w:rsid w:val="00B23B21"/>
    <w:rsid w:val="00B26086"/>
    <w:rsid w:val="00B26670"/>
    <w:rsid w:val="00B26B2D"/>
    <w:rsid w:val="00B32F53"/>
    <w:rsid w:val="00B44837"/>
    <w:rsid w:val="00B46BF3"/>
    <w:rsid w:val="00B534A4"/>
    <w:rsid w:val="00B545B5"/>
    <w:rsid w:val="00B62848"/>
    <w:rsid w:val="00B65817"/>
    <w:rsid w:val="00B65E58"/>
    <w:rsid w:val="00B70820"/>
    <w:rsid w:val="00B727DA"/>
    <w:rsid w:val="00B72999"/>
    <w:rsid w:val="00B87582"/>
    <w:rsid w:val="00B94757"/>
    <w:rsid w:val="00B97FEF"/>
    <w:rsid w:val="00BA38A6"/>
    <w:rsid w:val="00BA5004"/>
    <w:rsid w:val="00BA5327"/>
    <w:rsid w:val="00BA5F90"/>
    <w:rsid w:val="00BC4121"/>
    <w:rsid w:val="00BC6AF5"/>
    <w:rsid w:val="00BC7584"/>
    <w:rsid w:val="00BD21FE"/>
    <w:rsid w:val="00BD36CF"/>
    <w:rsid w:val="00BD47C1"/>
    <w:rsid w:val="00BE07AE"/>
    <w:rsid w:val="00BE1AF9"/>
    <w:rsid w:val="00BE4971"/>
    <w:rsid w:val="00BE5E66"/>
    <w:rsid w:val="00BF19F0"/>
    <w:rsid w:val="00BF7C6E"/>
    <w:rsid w:val="00C01700"/>
    <w:rsid w:val="00C054C7"/>
    <w:rsid w:val="00C07406"/>
    <w:rsid w:val="00C234FE"/>
    <w:rsid w:val="00C30AEE"/>
    <w:rsid w:val="00C34929"/>
    <w:rsid w:val="00C41568"/>
    <w:rsid w:val="00C427C8"/>
    <w:rsid w:val="00C464A0"/>
    <w:rsid w:val="00C5029A"/>
    <w:rsid w:val="00C56ECD"/>
    <w:rsid w:val="00C636B2"/>
    <w:rsid w:val="00C75E45"/>
    <w:rsid w:val="00C81839"/>
    <w:rsid w:val="00C8202E"/>
    <w:rsid w:val="00C87811"/>
    <w:rsid w:val="00C93366"/>
    <w:rsid w:val="00C937D5"/>
    <w:rsid w:val="00CA09F7"/>
    <w:rsid w:val="00CA6BD9"/>
    <w:rsid w:val="00CA6CA2"/>
    <w:rsid w:val="00CB71FC"/>
    <w:rsid w:val="00CC2507"/>
    <w:rsid w:val="00CC6237"/>
    <w:rsid w:val="00CC7453"/>
    <w:rsid w:val="00CD20AF"/>
    <w:rsid w:val="00CD45A8"/>
    <w:rsid w:val="00CE34E5"/>
    <w:rsid w:val="00CF103E"/>
    <w:rsid w:val="00CF3715"/>
    <w:rsid w:val="00CF72F1"/>
    <w:rsid w:val="00D00C24"/>
    <w:rsid w:val="00D03242"/>
    <w:rsid w:val="00D045EB"/>
    <w:rsid w:val="00D06FFE"/>
    <w:rsid w:val="00D11586"/>
    <w:rsid w:val="00D14572"/>
    <w:rsid w:val="00D147BD"/>
    <w:rsid w:val="00D17EEA"/>
    <w:rsid w:val="00D202F4"/>
    <w:rsid w:val="00D2246D"/>
    <w:rsid w:val="00D2522A"/>
    <w:rsid w:val="00D317D9"/>
    <w:rsid w:val="00D47964"/>
    <w:rsid w:val="00D50B89"/>
    <w:rsid w:val="00D65156"/>
    <w:rsid w:val="00D7112D"/>
    <w:rsid w:val="00D75047"/>
    <w:rsid w:val="00D75A11"/>
    <w:rsid w:val="00D75FA1"/>
    <w:rsid w:val="00D83974"/>
    <w:rsid w:val="00D83B36"/>
    <w:rsid w:val="00D86E0E"/>
    <w:rsid w:val="00D87B74"/>
    <w:rsid w:val="00D930A4"/>
    <w:rsid w:val="00DA3FCE"/>
    <w:rsid w:val="00DB0952"/>
    <w:rsid w:val="00DB22DC"/>
    <w:rsid w:val="00DC061C"/>
    <w:rsid w:val="00DC1146"/>
    <w:rsid w:val="00DC5C94"/>
    <w:rsid w:val="00DD70BB"/>
    <w:rsid w:val="00DE484E"/>
    <w:rsid w:val="00DE6A23"/>
    <w:rsid w:val="00DE71C0"/>
    <w:rsid w:val="00DF2B40"/>
    <w:rsid w:val="00DF4044"/>
    <w:rsid w:val="00E02249"/>
    <w:rsid w:val="00E11752"/>
    <w:rsid w:val="00E1467C"/>
    <w:rsid w:val="00E2660B"/>
    <w:rsid w:val="00E2678A"/>
    <w:rsid w:val="00E276C4"/>
    <w:rsid w:val="00E308A5"/>
    <w:rsid w:val="00E31CDA"/>
    <w:rsid w:val="00E32B5B"/>
    <w:rsid w:val="00E35F5A"/>
    <w:rsid w:val="00E41D26"/>
    <w:rsid w:val="00E42702"/>
    <w:rsid w:val="00E43C59"/>
    <w:rsid w:val="00E44DD7"/>
    <w:rsid w:val="00E5295B"/>
    <w:rsid w:val="00E52980"/>
    <w:rsid w:val="00E54EB0"/>
    <w:rsid w:val="00E5584F"/>
    <w:rsid w:val="00E6111C"/>
    <w:rsid w:val="00E73282"/>
    <w:rsid w:val="00E73A39"/>
    <w:rsid w:val="00E92ACF"/>
    <w:rsid w:val="00EA1669"/>
    <w:rsid w:val="00EA1D12"/>
    <w:rsid w:val="00EA2444"/>
    <w:rsid w:val="00EA57DF"/>
    <w:rsid w:val="00EA6CC8"/>
    <w:rsid w:val="00EB191E"/>
    <w:rsid w:val="00EB2068"/>
    <w:rsid w:val="00EB4F04"/>
    <w:rsid w:val="00EB5345"/>
    <w:rsid w:val="00EC7EA7"/>
    <w:rsid w:val="00ED0418"/>
    <w:rsid w:val="00ED2971"/>
    <w:rsid w:val="00ED3656"/>
    <w:rsid w:val="00ED4A5C"/>
    <w:rsid w:val="00ED79CD"/>
    <w:rsid w:val="00EE11B1"/>
    <w:rsid w:val="00EE1F5E"/>
    <w:rsid w:val="00EF1E34"/>
    <w:rsid w:val="00F0075E"/>
    <w:rsid w:val="00F00F22"/>
    <w:rsid w:val="00F0623A"/>
    <w:rsid w:val="00F06BC1"/>
    <w:rsid w:val="00F07F3B"/>
    <w:rsid w:val="00F12BD9"/>
    <w:rsid w:val="00F141EC"/>
    <w:rsid w:val="00F1725C"/>
    <w:rsid w:val="00F20668"/>
    <w:rsid w:val="00F23FB9"/>
    <w:rsid w:val="00F26109"/>
    <w:rsid w:val="00F329A9"/>
    <w:rsid w:val="00F47731"/>
    <w:rsid w:val="00F5047D"/>
    <w:rsid w:val="00F60211"/>
    <w:rsid w:val="00F836BF"/>
    <w:rsid w:val="00F901B5"/>
    <w:rsid w:val="00F934DF"/>
    <w:rsid w:val="00F948C0"/>
    <w:rsid w:val="00FA0CDD"/>
    <w:rsid w:val="00FA0E32"/>
    <w:rsid w:val="00FA1ABD"/>
    <w:rsid w:val="00FA2030"/>
    <w:rsid w:val="00FB57CE"/>
    <w:rsid w:val="00FB5D00"/>
    <w:rsid w:val="00FB7109"/>
    <w:rsid w:val="00FC0319"/>
    <w:rsid w:val="00FC2398"/>
    <w:rsid w:val="00FC3D44"/>
    <w:rsid w:val="00FD17D6"/>
    <w:rsid w:val="00FE0529"/>
    <w:rsid w:val="00FE4E4B"/>
    <w:rsid w:val="00FE5CC5"/>
    <w:rsid w:val="00FE62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D42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D705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F0EED"/>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7F0EED"/>
    <w:rPr>
      <w:rFonts w:eastAsiaTheme="minorEastAsia"/>
      <w:lang w:val="en-US" w:eastAsia="ja-JP"/>
    </w:rPr>
  </w:style>
  <w:style w:type="paragraph" w:styleId="BalloonText">
    <w:name w:val="Balloon Text"/>
    <w:basedOn w:val="Normal"/>
    <w:link w:val="BalloonTextChar"/>
    <w:uiPriority w:val="99"/>
    <w:semiHidden/>
    <w:unhideWhenUsed/>
    <w:rsid w:val="007F0E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EED"/>
    <w:rPr>
      <w:rFonts w:ascii="Tahoma" w:hAnsi="Tahoma" w:cs="Tahoma"/>
      <w:sz w:val="16"/>
      <w:szCs w:val="16"/>
    </w:rPr>
  </w:style>
  <w:style w:type="character" w:customStyle="1" w:styleId="Heading1Char">
    <w:name w:val="Heading 1 Char"/>
    <w:basedOn w:val="DefaultParagraphFont"/>
    <w:link w:val="Heading1"/>
    <w:uiPriority w:val="9"/>
    <w:rsid w:val="003D422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3D422E"/>
    <w:pPr>
      <w:outlineLvl w:val="9"/>
    </w:pPr>
    <w:rPr>
      <w:lang w:val="en-US" w:eastAsia="ja-JP"/>
    </w:rPr>
  </w:style>
  <w:style w:type="character" w:customStyle="1" w:styleId="Heading2Char">
    <w:name w:val="Heading 2 Char"/>
    <w:basedOn w:val="DefaultParagraphFont"/>
    <w:link w:val="Heading2"/>
    <w:uiPriority w:val="9"/>
    <w:rsid w:val="007D705C"/>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94314D"/>
    <w:pPr>
      <w:spacing w:after="100"/>
    </w:pPr>
  </w:style>
  <w:style w:type="paragraph" w:styleId="TOC2">
    <w:name w:val="toc 2"/>
    <w:basedOn w:val="Normal"/>
    <w:next w:val="Normal"/>
    <w:autoRedefine/>
    <w:uiPriority w:val="39"/>
    <w:unhideWhenUsed/>
    <w:rsid w:val="0094314D"/>
    <w:pPr>
      <w:spacing w:after="100"/>
      <w:ind w:left="220"/>
    </w:pPr>
  </w:style>
  <w:style w:type="character" w:styleId="Hyperlink">
    <w:name w:val="Hyperlink"/>
    <w:basedOn w:val="DefaultParagraphFont"/>
    <w:uiPriority w:val="99"/>
    <w:unhideWhenUsed/>
    <w:rsid w:val="0094314D"/>
    <w:rPr>
      <w:color w:val="0000FF" w:themeColor="hyperlink"/>
      <w:u w:val="single"/>
    </w:rPr>
  </w:style>
  <w:style w:type="paragraph" w:styleId="ListParagraph">
    <w:name w:val="List Paragraph"/>
    <w:basedOn w:val="Normal"/>
    <w:uiPriority w:val="34"/>
    <w:qFormat/>
    <w:rsid w:val="00F07F3B"/>
    <w:pPr>
      <w:ind w:left="720"/>
      <w:contextualSpacing/>
    </w:pPr>
  </w:style>
  <w:style w:type="paragraph" w:styleId="FootnoteText">
    <w:name w:val="footnote text"/>
    <w:basedOn w:val="Normal"/>
    <w:link w:val="FootnoteTextChar"/>
    <w:uiPriority w:val="99"/>
    <w:semiHidden/>
    <w:unhideWhenUsed/>
    <w:rsid w:val="00C818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1839"/>
    <w:rPr>
      <w:sz w:val="20"/>
      <w:szCs w:val="20"/>
    </w:rPr>
  </w:style>
  <w:style w:type="character" w:styleId="FootnoteReference">
    <w:name w:val="footnote reference"/>
    <w:basedOn w:val="DefaultParagraphFont"/>
    <w:uiPriority w:val="99"/>
    <w:semiHidden/>
    <w:unhideWhenUsed/>
    <w:rsid w:val="00C81839"/>
    <w:rPr>
      <w:vertAlign w:val="superscript"/>
    </w:rPr>
  </w:style>
  <w:style w:type="character" w:styleId="FollowedHyperlink">
    <w:name w:val="FollowedHyperlink"/>
    <w:basedOn w:val="DefaultParagraphFont"/>
    <w:uiPriority w:val="99"/>
    <w:semiHidden/>
    <w:unhideWhenUsed/>
    <w:rsid w:val="00BD21FE"/>
    <w:rPr>
      <w:color w:val="800080" w:themeColor="followedHyperlink"/>
      <w:u w:val="single"/>
    </w:rPr>
  </w:style>
  <w:style w:type="paragraph" w:styleId="Header">
    <w:name w:val="header"/>
    <w:basedOn w:val="Normal"/>
    <w:link w:val="HeaderChar"/>
    <w:uiPriority w:val="99"/>
    <w:unhideWhenUsed/>
    <w:rsid w:val="00272B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B88"/>
  </w:style>
  <w:style w:type="paragraph" w:styleId="Footer">
    <w:name w:val="footer"/>
    <w:basedOn w:val="Normal"/>
    <w:link w:val="FooterChar"/>
    <w:uiPriority w:val="99"/>
    <w:unhideWhenUsed/>
    <w:rsid w:val="00272B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B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D42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D705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F0EED"/>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7F0EED"/>
    <w:rPr>
      <w:rFonts w:eastAsiaTheme="minorEastAsia"/>
      <w:lang w:val="en-US" w:eastAsia="ja-JP"/>
    </w:rPr>
  </w:style>
  <w:style w:type="paragraph" w:styleId="BalloonText">
    <w:name w:val="Balloon Text"/>
    <w:basedOn w:val="Normal"/>
    <w:link w:val="BalloonTextChar"/>
    <w:uiPriority w:val="99"/>
    <w:semiHidden/>
    <w:unhideWhenUsed/>
    <w:rsid w:val="007F0E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EED"/>
    <w:rPr>
      <w:rFonts w:ascii="Tahoma" w:hAnsi="Tahoma" w:cs="Tahoma"/>
      <w:sz w:val="16"/>
      <w:szCs w:val="16"/>
    </w:rPr>
  </w:style>
  <w:style w:type="character" w:customStyle="1" w:styleId="Heading1Char">
    <w:name w:val="Heading 1 Char"/>
    <w:basedOn w:val="DefaultParagraphFont"/>
    <w:link w:val="Heading1"/>
    <w:uiPriority w:val="9"/>
    <w:rsid w:val="003D422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3D422E"/>
    <w:pPr>
      <w:outlineLvl w:val="9"/>
    </w:pPr>
    <w:rPr>
      <w:lang w:val="en-US" w:eastAsia="ja-JP"/>
    </w:rPr>
  </w:style>
  <w:style w:type="character" w:customStyle="1" w:styleId="Heading2Char">
    <w:name w:val="Heading 2 Char"/>
    <w:basedOn w:val="DefaultParagraphFont"/>
    <w:link w:val="Heading2"/>
    <w:uiPriority w:val="9"/>
    <w:rsid w:val="007D705C"/>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94314D"/>
    <w:pPr>
      <w:spacing w:after="100"/>
    </w:pPr>
  </w:style>
  <w:style w:type="paragraph" w:styleId="TOC2">
    <w:name w:val="toc 2"/>
    <w:basedOn w:val="Normal"/>
    <w:next w:val="Normal"/>
    <w:autoRedefine/>
    <w:uiPriority w:val="39"/>
    <w:unhideWhenUsed/>
    <w:rsid w:val="0094314D"/>
    <w:pPr>
      <w:spacing w:after="100"/>
      <w:ind w:left="220"/>
    </w:pPr>
  </w:style>
  <w:style w:type="character" w:styleId="Hyperlink">
    <w:name w:val="Hyperlink"/>
    <w:basedOn w:val="DefaultParagraphFont"/>
    <w:uiPriority w:val="99"/>
    <w:unhideWhenUsed/>
    <w:rsid w:val="0094314D"/>
    <w:rPr>
      <w:color w:val="0000FF" w:themeColor="hyperlink"/>
      <w:u w:val="single"/>
    </w:rPr>
  </w:style>
  <w:style w:type="paragraph" w:styleId="ListParagraph">
    <w:name w:val="List Paragraph"/>
    <w:basedOn w:val="Normal"/>
    <w:uiPriority w:val="34"/>
    <w:qFormat/>
    <w:rsid w:val="00F07F3B"/>
    <w:pPr>
      <w:ind w:left="720"/>
      <w:contextualSpacing/>
    </w:pPr>
  </w:style>
  <w:style w:type="paragraph" w:styleId="FootnoteText">
    <w:name w:val="footnote text"/>
    <w:basedOn w:val="Normal"/>
    <w:link w:val="FootnoteTextChar"/>
    <w:uiPriority w:val="99"/>
    <w:semiHidden/>
    <w:unhideWhenUsed/>
    <w:rsid w:val="00C818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1839"/>
    <w:rPr>
      <w:sz w:val="20"/>
      <w:szCs w:val="20"/>
    </w:rPr>
  </w:style>
  <w:style w:type="character" w:styleId="FootnoteReference">
    <w:name w:val="footnote reference"/>
    <w:basedOn w:val="DefaultParagraphFont"/>
    <w:uiPriority w:val="99"/>
    <w:semiHidden/>
    <w:unhideWhenUsed/>
    <w:rsid w:val="00C81839"/>
    <w:rPr>
      <w:vertAlign w:val="superscript"/>
    </w:rPr>
  </w:style>
  <w:style w:type="character" w:styleId="FollowedHyperlink">
    <w:name w:val="FollowedHyperlink"/>
    <w:basedOn w:val="DefaultParagraphFont"/>
    <w:uiPriority w:val="99"/>
    <w:semiHidden/>
    <w:unhideWhenUsed/>
    <w:rsid w:val="00BD21FE"/>
    <w:rPr>
      <w:color w:val="800080" w:themeColor="followedHyperlink"/>
      <w:u w:val="single"/>
    </w:rPr>
  </w:style>
  <w:style w:type="paragraph" w:styleId="Header">
    <w:name w:val="header"/>
    <w:basedOn w:val="Normal"/>
    <w:link w:val="HeaderChar"/>
    <w:uiPriority w:val="99"/>
    <w:unhideWhenUsed/>
    <w:rsid w:val="00272B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B88"/>
  </w:style>
  <w:style w:type="paragraph" w:styleId="Footer">
    <w:name w:val="footer"/>
    <w:basedOn w:val="Normal"/>
    <w:link w:val="FooterChar"/>
    <w:uiPriority w:val="99"/>
    <w:unhideWhenUsed/>
    <w:rsid w:val="00272B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B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24769">
      <w:bodyDiv w:val="1"/>
      <w:marLeft w:val="0"/>
      <w:marRight w:val="0"/>
      <w:marTop w:val="0"/>
      <w:marBottom w:val="0"/>
      <w:divBdr>
        <w:top w:val="none" w:sz="0" w:space="0" w:color="auto"/>
        <w:left w:val="none" w:sz="0" w:space="0" w:color="auto"/>
        <w:bottom w:val="none" w:sz="0" w:space="0" w:color="auto"/>
        <w:right w:val="none" w:sz="0" w:space="0" w:color="auto"/>
      </w:divBdr>
    </w:div>
    <w:div w:id="307364296">
      <w:bodyDiv w:val="1"/>
      <w:marLeft w:val="0"/>
      <w:marRight w:val="0"/>
      <w:marTop w:val="0"/>
      <w:marBottom w:val="0"/>
      <w:divBdr>
        <w:top w:val="none" w:sz="0" w:space="0" w:color="auto"/>
        <w:left w:val="none" w:sz="0" w:space="0" w:color="auto"/>
        <w:bottom w:val="none" w:sz="0" w:space="0" w:color="auto"/>
        <w:right w:val="none" w:sz="0" w:space="0" w:color="auto"/>
      </w:divBdr>
    </w:div>
    <w:div w:id="52791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www.wgea.gov.au/sites/default/files/2013-08-28-Gender-Pay-Gap%20FINAL.pdf" TargetMode="External"/><Relationship Id="rId1" Type="http://schemas.openxmlformats.org/officeDocument/2006/relationships/hyperlink" Target="http://www.abs.gov.au/AUSSTATS/abs@.nsf/DetailsPage/6291.0.55.003Nov%202013?Ope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2014-09-05T00:00:00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034D30-0086-4E57-B0A9-B7830BD81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915</TotalTime>
  <Pages>9</Pages>
  <Words>3133</Words>
  <Characters>17862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Submission DR689 - Finance Sector Union of Australia - Childcare and Early Childhood Learning - Public inquiry</vt:lpstr>
    </vt:vector>
  </TitlesOfParts>
  <Company/>
  <LinksUpToDate>false</LinksUpToDate>
  <CharactersWithSpaces>20954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DR689 - Finance Sector Union of Australia - Childcare and Early Childhood Learning - Public inquiry</dc:title>
  <dc:subject/>
  <dc:creator>Finance Sector Union of Australia</dc:creator>
  <cp:lastModifiedBy>Mark Pimperl</cp:lastModifiedBy>
  <cp:revision>60</cp:revision>
  <cp:lastPrinted>2014-09-04T04:11:00Z</cp:lastPrinted>
  <dcterms:created xsi:type="dcterms:W3CDTF">2014-08-28T03:18:00Z</dcterms:created>
  <dcterms:modified xsi:type="dcterms:W3CDTF">2014-09-10T05:59:00Z</dcterms:modified>
</cp:coreProperties>
</file>