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F41" w:rsidRDefault="00C61F41" w:rsidP="007C27D3">
      <w:pPr>
        <w:rPr>
          <w:rFonts w:ascii="Goudy Old Style" w:hAnsi="Goudy Old Style"/>
          <w:sz w:val="24"/>
        </w:rPr>
        <w:sectPr w:rsidR="00C61F41">
          <w:pgSz w:w="11907" w:h="16840" w:code="9"/>
          <w:pgMar w:top="1352" w:right="1021" w:bottom="426" w:left="1021" w:header="851" w:footer="720" w:gutter="0"/>
          <w:cols w:space="720"/>
          <w:titlePg/>
        </w:sectPr>
      </w:pPr>
      <w:bookmarkStart w:id="0" w:name="_GoBack"/>
      <w:bookmarkEnd w:id="0"/>
    </w:p>
    <w:p w:rsidR="007C27D3" w:rsidRPr="007C27D3" w:rsidRDefault="007C27D3" w:rsidP="007C27D3">
      <w:pPr>
        <w:rPr>
          <w:rFonts w:ascii="Goudy Old Style" w:hAnsi="Goudy Old Style"/>
          <w:sz w:val="24"/>
        </w:rPr>
      </w:pPr>
    </w:p>
    <w:p w:rsidR="007C27D3" w:rsidRPr="007C27D3" w:rsidRDefault="007C27D3" w:rsidP="007C27D3">
      <w:pPr>
        <w:jc w:val="center"/>
        <w:rPr>
          <w:rFonts w:ascii="Goudy Old Style" w:hAnsi="Goudy Old Style"/>
          <w:sz w:val="24"/>
        </w:rPr>
      </w:pPr>
      <w:r w:rsidRPr="007C27D3">
        <w:rPr>
          <w:rFonts w:ascii="Goudy Old Style" w:hAnsi="Goudy Old Style"/>
          <w:noProof/>
          <w:sz w:val="24"/>
        </w:rPr>
        <w:drawing>
          <wp:inline distT="0" distB="0" distL="0" distR="0" wp14:anchorId="517F9969" wp14:editId="272D4489">
            <wp:extent cx="1800000" cy="720000"/>
            <wp:effectExtent l="0" t="0" r="0" b="4445"/>
            <wp:docPr id="1" name="Picture 1" descr="ACE Colour W1197 H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E Colour W1197 H481"/>
                    <pic:cNvPicPr>
                      <a:picLocks noChangeAspect="1" noChangeArrowheads="1"/>
                    </pic:cNvPicPr>
                  </pic:nvPicPr>
                  <pic:blipFill>
                    <a:blip r:embed="rId8" cstate="print"/>
                    <a:srcRect/>
                    <a:stretch>
                      <a:fillRect/>
                    </a:stretch>
                  </pic:blipFill>
                  <pic:spPr bwMode="auto">
                    <a:xfrm>
                      <a:off x="0" y="0"/>
                      <a:ext cx="1800000" cy="720000"/>
                    </a:xfrm>
                    <a:prstGeom prst="rect">
                      <a:avLst/>
                    </a:prstGeom>
                    <a:noFill/>
                    <a:ln w="9525">
                      <a:noFill/>
                      <a:miter lim="800000"/>
                      <a:headEnd/>
                      <a:tailEnd/>
                    </a:ln>
                  </pic:spPr>
                </pic:pic>
              </a:graphicData>
            </a:graphic>
          </wp:inline>
        </w:drawing>
      </w:r>
    </w:p>
    <w:p w:rsidR="007C27D3" w:rsidRPr="007C27D3" w:rsidRDefault="007C27D3" w:rsidP="007C27D3">
      <w:pPr>
        <w:rPr>
          <w:rFonts w:ascii="Goudy Old Style" w:hAnsi="Goudy Old Style"/>
          <w:sz w:val="24"/>
        </w:rPr>
      </w:pPr>
    </w:p>
    <w:p w:rsidR="007C27D3" w:rsidRDefault="007C27D3" w:rsidP="00B6472A">
      <w:pPr>
        <w:jc w:val="center"/>
        <w:rPr>
          <w:rFonts w:ascii="Palatino Linotype" w:hAnsi="Palatino Linotype"/>
          <w:b/>
          <w:sz w:val="28"/>
          <w:szCs w:val="28"/>
        </w:rPr>
      </w:pPr>
      <w:r w:rsidRPr="00C61F41">
        <w:rPr>
          <w:rFonts w:ascii="Palatino Linotype" w:hAnsi="Palatino Linotype"/>
          <w:b/>
          <w:sz w:val="28"/>
          <w:szCs w:val="28"/>
        </w:rPr>
        <w:t>The Australian College of Educators</w:t>
      </w:r>
    </w:p>
    <w:p w:rsidR="00B6472A" w:rsidRDefault="00B6472A" w:rsidP="007C27D3">
      <w:pPr>
        <w:jc w:val="center"/>
        <w:rPr>
          <w:rFonts w:ascii="Palatino Linotype" w:hAnsi="Palatino Linotype"/>
          <w:b/>
          <w:sz w:val="28"/>
          <w:szCs w:val="28"/>
        </w:rPr>
      </w:pPr>
    </w:p>
    <w:p w:rsidR="00B6472A" w:rsidRDefault="00B6472A" w:rsidP="007C27D3">
      <w:pPr>
        <w:jc w:val="center"/>
        <w:rPr>
          <w:rFonts w:ascii="Palatino Linotype" w:hAnsi="Palatino Linotype"/>
          <w:b/>
          <w:sz w:val="28"/>
          <w:szCs w:val="28"/>
        </w:rPr>
      </w:pPr>
      <w:r>
        <w:rPr>
          <w:rFonts w:ascii="Palatino Linotype" w:hAnsi="Palatino Linotype"/>
          <w:b/>
          <w:sz w:val="28"/>
          <w:szCs w:val="28"/>
        </w:rPr>
        <w:t xml:space="preserve">Submission to: </w:t>
      </w:r>
    </w:p>
    <w:p w:rsidR="00B6472A" w:rsidRDefault="00B6472A" w:rsidP="007C27D3">
      <w:pPr>
        <w:jc w:val="center"/>
        <w:rPr>
          <w:rFonts w:ascii="Palatino Linotype" w:hAnsi="Palatino Linotype"/>
          <w:b/>
          <w:sz w:val="28"/>
          <w:szCs w:val="28"/>
        </w:rPr>
      </w:pPr>
    </w:p>
    <w:p w:rsidR="00B6472A" w:rsidRPr="00C61F41" w:rsidRDefault="00B6472A" w:rsidP="00B6472A">
      <w:pPr>
        <w:pBdr>
          <w:top w:val="single" w:sz="4" w:space="1" w:color="auto"/>
          <w:left w:val="single" w:sz="4" w:space="4" w:color="auto"/>
          <w:bottom w:val="single" w:sz="4" w:space="1" w:color="auto"/>
          <w:right w:val="single" w:sz="4" w:space="4" w:color="auto"/>
        </w:pBdr>
        <w:rPr>
          <w:rFonts w:ascii="Palatino Linotype" w:hAnsi="Palatino Linotype"/>
          <w:sz w:val="28"/>
          <w:szCs w:val="28"/>
        </w:rPr>
      </w:pPr>
    </w:p>
    <w:p w:rsidR="00614DD1" w:rsidRPr="00C61F41" w:rsidRDefault="00614DD1" w:rsidP="00C61F41">
      <w:pPr>
        <w:pBdr>
          <w:top w:val="single" w:sz="4" w:space="1" w:color="auto"/>
          <w:left w:val="single" w:sz="4" w:space="4" w:color="auto"/>
          <w:bottom w:val="single" w:sz="4" w:space="1" w:color="auto"/>
          <w:right w:val="single" w:sz="4" w:space="4" w:color="auto"/>
        </w:pBdr>
        <w:jc w:val="center"/>
        <w:rPr>
          <w:rFonts w:ascii="Palatino Linotype" w:hAnsi="Palatino Linotype"/>
          <w:sz w:val="28"/>
          <w:szCs w:val="28"/>
        </w:rPr>
      </w:pPr>
      <w:r w:rsidRPr="00C61F41">
        <w:rPr>
          <w:rFonts w:ascii="Palatino Linotype" w:hAnsi="Palatino Linotype"/>
          <w:sz w:val="28"/>
          <w:szCs w:val="28"/>
        </w:rPr>
        <w:t xml:space="preserve">The Productivity Commission Draft Report on </w:t>
      </w:r>
      <w:r w:rsidR="00B6472A">
        <w:rPr>
          <w:rFonts w:ascii="Palatino Linotype" w:hAnsi="Palatino Linotype"/>
          <w:sz w:val="28"/>
          <w:szCs w:val="28"/>
        </w:rPr>
        <w:t>Childcare and Early Childhood Learning</w:t>
      </w:r>
    </w:p>
    <w:p w:rsidR="00C61F41" w:rsidRPr="00614DD1" w:rsidRDefault="00C61F41" w:rsidP="00614DD1">
      <w:pPr>
        <w:rPr>
          <w:rFonts w:ascii="Palatino Linotype" w:hAnsi="Palatino Linotype"/>
          <w:sz w:val="22"/>
          <w:szCs w:val="22"/>
        </w:rPr>
      </w:pPr>
    </w:p>
    <w:p w:rsidR="00C61F41" w:rsidRPr="00C61F41" w:rsidRDefault="00C61F41" w:rsidP="00C61F41">
      <w:pPr>
        <w:spacing w:after="120"/>
        <w:jc w:val="both"/>
        <w:rPr>
          <w:rFonts w:ascii="Palatino Linotype" w:hAnsi="Palatino Linotype"/>
          <w:b/>
          <w:sz w:val="22"/>
          <w:szCs w:val="22"/>
        </w:rPr>
      </w:pPr>
      <w:r w:rsidRPr="00C61F41">
        <w:rPr>
          <w:rFonts w:ascii="Palatino Linotype" w:hAnsi="Palatino Linotype"/>
          <w:b/>
          <w:sz w:val="22"/>
          <w:szCs w:val="22"/>
        </w:rPr>
        <w:t>Introduction</w:t>
      </w:r>
    </w:p>
    <w:p w:rsidR="00614DD1" w:rsidRPr="00614DD1" w:rsidRDefault="00614DD1" w:rsidP="00C61F41">
      <w:pPr>
        <w:spacing w:after="120"/>
        <w:jc w:val="both"/>
        <w:rPr>
          <w:rFonts w:ascii="Palatino Linotype" w:hAnsi="Palatino Linotype"/>
          <w:sz w:val="22"/>
          <w:szCs w:val="22"/>
        </w:rPr>
      </w:pPr>
      <w:r w:rsidRPr="00614DD1">
        <w:rPr>
          <w:rFonts w:ascii="Palatino Linotype" w:hAnsi="Palatino Linotype"/>
          <w:sz w:val="22"/>
          <w:szCs w:val="22"/>
        </w:rPr>
        <w:t xml:space="preserve">The Australian College of Educators welcomes the opportunity to follow up our initial submission to the inquiry by responding to the draft report. The Australian College of Educators represents educators from those involved in Early Childhood Education </w:t>
      </w:r>
      <w:r w:rsidR="00C61F41">
        <w:rPr>
          <w:rFonts w:ascii="Palatino Linotype" w:hAnsi="Palatino Linotype"/>
          <w:sz w:val="22"/>
          <w:szCs w:val="22"/>
        </w:rPr>
        <w:t xml:space="preserve">through </w:t>
      </w:r>
      <w:r w:rsidRPr="00614DD1">
        <w:rPr>
          <w:rFonts w:ascii="Palatino Linotype" w:hAnsi="Palatino Linotype"/>
          <w:sz w:val="22"/>
          <w:szCs w:val="22"/>
        </w:rPr>
        <w:t>to those in Universiti</w:t>
      </w:r>
      <w:r w:rsidR="00C61F41">
        <w:rPr>
          <w:rFonts w:ascii="Palatino Linotype" w:hAnsi="Palatino Linotype"/>
          <w:sz w:val="22"/>
          <w:szCs w:val="22"/>
        </w:rPr>
        <w:t>es and Vocational Education. College</w:t>
      </w:r>
      <w:r w:rsidRPr="00614DD1">
        <w:rPr>
          <w:rFonts w:ascii="Palatino Linotype" w:hAnsi="Palatino Linotype"/>
          <w:sz w:val="22"/>
          <w:szCs w:val="22"/>
        </w:rPr>
        <w:t xml:space="preserve"> membership also goes across Government, Catholi</w:t>
      </w:r>
      <w:r w:rsidR="00C61F41">
        <w:rPr>
          <w:rFonts w:ascii="Palatino Linotype" w:hAnsi="Palatino Linotype"/>
          <w:sz w:val="22"/>
          <w:szCs w:val="22"/>
        </w:rPr>
        <w:t xml:space="preserve">c and Independent sectors and it has </w:t>
      </w:r>
      <w:r w:rsidRPr="00614DD1">
        <w:rPr>
          <w:rFonts w:ascii="Palatino Linotype" w:hAnsi="Palatino Linotype"/>
          <w:sz w:val="22"/>
          <w:szCs w:val="22"/>
        </w:rPr>
        <w:t>over fifty years’ experience in supporting high quality and equitable education for all.</w:t>
      </w:r>
    </w:p>
    <w:p w:rsidR="00614DD1" w:rsidRPr="00614DD1" w:rsidRDefault="00614DD1" w:rsidP="00C61F41">
      <w:pPr>
        <w:spacing w:after="120"/>
        <w:jc w:val="both"/>
        <w:rPr>
          <w:rFonts w:ascii="Palatino Linotype" w:hAnsi="Palatino Linotype"/>
          <w:sz w:val="22"/>
          <w:szCs w:val="22"/>
        </w:rPr>
      </w:pPr>
      <w:r w:rsidRPr="00614DD1">
        <w:rPr>
          <w:rFonts w:ascii="Palatino Linotype" w:hAnsi="Palatino Linotype"/>
          <w:sz w:val="22"/>
          <w:szCs w:val="22"/>
        </w:rPr>
        <w:t xml:space="preserve">As a general comment on the report, while it is admirable that it covered such a wide range of aspects its length and complexity has made a considered response in the time frame presented difficult, and it </w:t>
      </w:r>
      <w:r w:rsidR="00BF2322">
        <w:rPr>
          <w:rFonts w:ascii="Palatino Linotype" w:hAnsi="Palatino Linotype"/>
          <w:sz w:val="22"/>
          <w:szCs w:val="22"/>
        </w:rPr>
        <w:t>the commission should provide opportunities</w:t>
      </w:r>
      <w:r w:rsidRPr="00614DD1">
        <w:rPr>
          <w:rFonts w:ascii="Palatino Linotype" w:hAnsi="Palatino Linotype"/>
          <w:sz w:val="22"/>
          <w:szCs w:val="22"/>
        </w:rPr>
        <w:t xml:space="preserve"> for </w:t>
      </w:r>
      <w:r w:rsidR="00C61F41">
        <w:rPr>
          <w:rFonts w:ascii="Palatino Linotype" w:hAnsi="Palatino Linotype"/>
          <w:sz w:val="22"/>
          <w:szCs w:val="22"/>
        </w:rPr>
        <w:t>further input</w:t>
      </w:r>
      <w:r w:rsidR="00BF2322">
        <w:rPr>
          <w:rFonts w:ascii="Palatino Linotype" w:hAnsi="Palatino Linotype"/>
          <w:sz w:val="22"/>
          <w:szCs w:val="22"/>
        </w:rPr>
        <w:t xml:space="preserve"> before a final report is prepare</w:t>
      </w:r>
      <w:r w:rsidR="00C61F41">
        <w:rPr>
          <w:rFonts w:ascii="Palatino Linotype" w:hAnsi="Palatino Linotype"/>
          <w:sz w:val="22"/>
          <w:szCs w:val="22"/>
        </w:rPr>
        <w:t>. Particular areas where this could be done</w:t>
      </w:r>
      <w:r w:rsidR="00BF2322">
        <w:rPr>
          <w:rFonts w:ascii="Palatino Linotype" w:hAnsi="Palatino Linotype"/>
          <w:sz w:val="22"/>
          <w:szCs w:val="22"/>
        </w:rPr>
        <w:t>, and where the College could make a contribution,</w:t>
      </w:r>
      <w:r w:rsidR="00C61F41">
        <w:rPr>
          <w:rFonts w:ascii="Palatino Linotype" w:hAnsi="Palatino Linotype"/>
          <w:sz w:val="22"/>
          <w:szCs w:val="22"/>
        </w:rPr>
        <w:t xml:space="preserve"> are indicated below. </w:t>
      </w:r>
      <w:r w:rsidRPr="00614DD1">
        <w:rPr>
          <w:rFonts w:ascii="Palatino Linotype" w:hAnsi="Palatino Linotype"/>
          <w:sz w:val="22"/>
          <w:szCs w:val="22"/>
        </w:rPr>
        <w:t>The College sees particular sections</w:t>
      </w:r>
      <w:r w:rsidR="00C61F41">
        <w:rPr>
          <w:rFonts w:ascii="Palatino Linotype" w:hAnsi="Palatino Linotype"/>
          <w:sz w:val="22"/>
          <w:szCs w:val="22"/>
        </w:rPr>
        <w:t>,</w:t>
      </w:r>
      <w:r w:rsidRPr="00614DD1">
        <w:rPr>
          <w:rFonts w:ascii="Palatino Linotype" w:hAnsi="Palatino Linotype"/>
          <w:sz w:val="22"/>
          <w:szCs w:val="22"/>
        </w:rPr>
        <w:t xml:space="preserve"> </w:t>
      </w:r>
      <w:r w:rsidR="00C61F41">
        <w:rPr>
          <w:rFonts w:ascii="Palatino Linotype" w:hAnsi="Palatino Linotype"/>
          <w:sz w:val="22"/>
          <w:szCs w:val="22"/>
        </w:rPr>
        <w:t>in particular</w:t>
      </w:r>
      <w:r w:rsidRPr="00614DD1">
        <w:rPr>
          <w:rFonts w:ascii="Palatino Linotype" w:hAnsi="Palatino Linotype"/>
          <w:sz w:val="22"/>
          <w:szCs w:val="22"/>
        </w:rPr>
        <w:t xml:space="preserve"> Section 5 Chil</w:t>
      </w:r>
      <w:r w:rsidR="00C61F41">
        <w:rPr>
          <w:rFonts w:ascii="Palatino Linotype" w:hAnsi="Palatino Linotype"/>
          <w:sz w:val="22"/>
          <w:szCs w:val="22"/>
        </w:rPr>
        <w:t xml:space="preserve">dhood learning and development </w:t>
      </w:r>
      <w:r w:rsidRPr="00614DD1">
        <w:rPr>
          <w:rFonts w:ascii="Palatino Linotype" w:hAnsi="Palatino Linotype"/>
          <w:sz w:val="22"/>
          <w:szCs w:val="22"/>
        </w:rPr>
        <w:t>to be worth further exploration, and would be willing to contribute to this.</w:t>
      </w:r>
    </w:p>
    <w:p w:rsidR="00C61F41" w:rsidRDefault="00614DD1" w:rsidP="00C61F41">
      <w:pPr>
        <w:spacing w:after="120"/>
        <w:jc w:val="both"/>
        <w:rPr>
          <w:rFonts w:ascii="Palatino Linotype" w:hAnsi="Palatino Linotype"/>
          <w:sz w:val="22"/>
          <w:szCs w:val="22"/>
        </w:rPr>
      </w:pPr>
      <w:r w:rsidRPr="00614DD1">
        <w:rPr>
          <w:rFonts w:ascii="Palatino Linotype" w:hAnsi="Palatino Linotype"/>
          <w:sz w:val="22"/>
          <w:szCs w:val="22"/>
        </w:rPr>
        <w:t xml:space="preserve">We see Early Childhood Education as developing into a particularly important area in the contemporary world where working parents are increasingly relying on outside organisations to provide education and care for their very young children, while at the same </w:t>
      </w:r>
      <w:proofErr w:type="gramStart"/>
      <w:r w:rsidRPr="00614DD1">
        <w:rPr>
          <w:rFonts w:ascii="Palatino Linotype" w:hAnsi="Palatino Linotype"/>
          <w:sz w:val="22"/>
          <w:szCs w:val="22"/>
        </w:rPr>
        <w:t>time</w:t>
      </w:r>
      <w:proofErr w:type="gramEnd"/>
      <w:r w:rsidRPr="00614DD1">
        <w:rPr>
          <w:rFonts w:ascii="Palatino Linotype" w:hAnsi="Palatino Linotype"/>
          <w:sz w:val="22"/>
          <w:szCs w:val="22"/>
        </w:rPr>
        <w:t xml:space="preserve"> there is a growing awareness of how crucial </w:t>
      </w:r>
      <w:r w:rsidR="00BF2322">
        <w:rPr>
          <w:rFonts w:ascii="Palatino Linotype" w:hAnsi="Palatino Linotype"/>
          <w:sz w:val="22"/>
          <w:szCs w:val="22"/>
        </w:rPr>
        <w:t xml:space="preserve">the early years of life have on the social, </w:t>
      </w:r>
      <w:r w:rsidRPr="00614DD1">
        <w:rPr>
          <w:rFonts w:ascii="Palatino Linotype" w:hAnsi="Palatino Linotype"/>
          <w:sz w:val="22"/>
          <w:szCs w:val="22"/>
        </w:rPr>
        <w:t>emotional and intellectual develo</w:t>
      </w:r>
      <w:r w:rsidR="00BF2322">
        <w:rPr>
          <w:rFonts w:ascii="Palatino Linotype" w:hAnsi="Palatino Linotype"/>
          <w:sz w:val="22"/>
          <w:szCs w:val="22"/>
        </w:rPr>
        <w:t>pment</w:t>
      </w:r>
      <w:r w:rsidRPr="00614DD1">
        <w:rPr>
          <w:rFonts w:ascii="Palatino Linotype" w:hAnsi="Palatino Linotype"/>
          <w:sz w:val="22"/>
          <w:szCs w:val="22"/>
        </w:rPr>
        <w:t>.</w:t>
      </w:r>
    </w:p>
    <w:p w:rsidR="00614DD1" w:rsidRPr="00C61F41" w:rsidRDefault="00614DD1" w:rsidP="00C61F41">
      <w:pPr>
        <w:spacing w:after="120"/>
        <w:jc w:val="both"/>
        <w:rPr>
          <w:rFonts w:ascii="Palatino Linotype" w:hAnsi="Palatino Linotype"/>
          <w:b/>
          <w:i/>
          <w:sz w:val="22"/>
          <w:szCs w:val="22"/>
        </w:rPr>
      </w:pPr>
      <w:r w:rsidRPr="00614DD1">
        <w:rPr>
          <w:rFonts w:ascii="Palatino Linotype" w:hAnsi="Palatino Linotype"/>
          <w:sz w:val="22"/>
          <w:szCs w:val="22"/>
        </w:rPr>
        <w:t xml:space="preserve"> </w:t>
      </w:r>
      <w:r w:rsidRPr="00C61F41">
        <w:rPr>
          <w:rFonts w:ascii="Palatino Linotype" w:hAnsi="Palatino Linotype"/>
          <w:b/>
          <w:i/>
          <w:sz w:val="22"/>
          <w:szCs w:val="22"/>
        </w:rPr>
        <w:t>Care, education</w:t>
      </w:r>
      <w:r w:rsidR="00BF2322">
        <w:rPr>
          <w:rFonts w:ascii="Palatino Linotype" w:hAnsi="Palatino Linotype"/>
          <w:b/>
          <w:i/>
          <w:sz w:val="22"/>
          <w:szCs w:val="22"/>
        </w:rPr>
        <w:t>, social</w:t>
      </w:r>
      <w:r w:rsidRPr="00C61F41">
        <w:rPr>
          <w:rFonts w:ascii="Palatino Linotype" w:hAnsi="Palatino Linotype"/>
          <w:b/>
          <w:i/>
          <w:sz w:val="22"/>
          <w:szCs w:val="22"/>
        </w:rPr>
        <w:t xml:space="preserve"> and emotional development cannot be separated. As educators who work at all levels we recognise the important role early education plays in success at later stages in a child’s education.</w:t>
      </w:r>
    </w:p>
    <w:p w:rsidR="00614DD1" w:rsidRPr="00C61F41" w:rsidRDefault="00614DD1" w:rsidP="00C61F41">
      <w:pPr>
        <w:spacing w:after="120"/>
        <w:jc w:val="both"/>
        <w:rPr>
          <w:rFonts w:ascii="Palatino Linotype" w:hAnsi="Palatino Linotype"/>
          <w:b/>
          <w:i/>
          <w:sz w:val="22"/>
          <w:szCs w:val="22"/>
        </w:rPr>
      </w:pPr>
      <w:r w:rsidRPr="00C61F41">
        <w:rPr>
          <w:rFonts w:ascii="Palatino Linotype" w:hAnsi="Palatino Linotype"/>
          <w:b/>
          <w:i/>
          <w:sz w:val="22"/>
          <w:szCs w:val="22"/>
        </w:rPr>
        <w:t xml:space="preserve">The College </w:t>
      </w:r>
      <w:r w:rsidR="00C61F41">
        <w:rPr>
          <w:rFonts w:ascii="Palatino Linotype" w:hAnsi="Palatino Linotype"/>
          <w:b/>
          <w:i/>
          <w:sz w:val="22"/>
          <w:szCs w:val="22"/>
        </w:rPr>
        <w:t>welcomes the fact that</w:t>
      </w:r>
      <w:r w:rsidRPr="00C61F41">
        <w:rPr>
          <w:rFonts w:ascii="Palatino Linotype" w:hAnsi="Palatino Linotype"/>
          <w:b/>
          <w:i/>
          <w:sz w:val="22"/>
          <w:szCs w:val="22"/>
        </w:rPr>
        <w:t xml:space="preserve"> that in general the report recognises the value of the National Quality Framework. As time goes on initial concerns about the difficulties of implementation are receding as centres are becoming more accustomed to meeting its requirements.</w:t>
      </w:r>
    </w:p>
    <w:p w:rsidR="00614DD1" w:rsidRPr="00614DD1" w:rsidRDefault="00614DD1" w:rsidP="00C61F41">
      <w:pPr>
        <w:spacing w:after="120"/>
        <w:jc w:val="both"/>
        <w:rPr>
          <w:rFonts w:ascii="Palatino Linotype" w:hAnsi="Palatino Linotype"/>
          <w:sz w:val="22"/>
          <w:szCs w:val="22"/>
        </w:rPr>
      </w:pPr>
      <w:r w:rsidRPr="00C61F41">
        <w:rPr>
          <w:rFonts w:ascii="Palatino Linotype" w:hAnsi="Palatino Linotype"/>
          <w:b/>
          <w:i/>
          <w:sz w:val="22"/>
          <w:szCs w:val="22"/>
        </w:rPr>
        <w:t xml:space="preserve">However the College sees the present Quality Framework as a </w:t>
      </w:r>
      <w:r w:rsidRPr="00C61F41">
        <w:rPr>
          <w:rFonts w:ascii="Palatino Linotype" w:hAnsi="Palatino Linotype"/>
          <w:b/>
          <w:i/>
          <w:sz w:val="22"/>
          <w:szCs w:val="22"/>
          <w:u w:val="single"/>
        </w:rPr>
        <w:t>minimum</w:t>
      </w:r>
      <w:r w:rsidRPr="00C61F41">
        <w:rPr>
          <w:rFonts w:ascii="Palatino Linotype" w:hAnsi="Palatino Linotype"/>
          <w:b/>
          <w:i/>
          <w:sz w:val="22"/>
          <w:szCs w:val="22"/>
        </w:rPr>
        <w:t>, and maintains that there should be a long term strategy to further increase the qualifications of those in this area, as well as the salaries commensurate with these qualifications</w:t>
      </w:r>
      <w:r w:rsidRPr="00614DD1">
        <w:rPr>
          <w:rFonts w:ascii="Palatino Linotype" w:hAnsi="Palatino Linotype"/>
          <w:sz w:val="22"/>
          <w:szCs w:val="22"/>
        </w:rPr>
        <w:t>.</w:t>
      </w:r>
    </w:p>
    <w:p w:rsidR="00C61F41" w:rsidRDefault="00C61F41" w:rsidP="00C61F41">
      <w:pPr>
        <w:spacing w:after="120"/>
        <w:jc w:val="both"/>
        <w:rPr>
          <w:rFonts w:ascii="Palatino Linotype" w:hAnsi="Palatino Linotype"/>
          <w:sz w:val="22"/>
          <w:szCs w:val="22"/>
        </w:rPr>
      </w:pPr>
    </w:p>
    <w:p w:rsidR="00614DD1" w:rsidRPr="00C61F41" w:rsidRDefault="00614DD1" w:rsidP="00C61F41">
      <w:pPr>
        <w:spacing w:after="120"/>
        <w:jc w:val="both"/>
        <w:rPr>
          <w:rFonts w:ascii="Palatino Linotype" w:hAnsi="Palatino Linotype"/>
          <w:b/>
          <w:sz w:val="22"/>
          <w:szCs w:val="22"/>
        </w:rPr>
      </w:pPr>
      <w:r w:rsidRPr="00C61F41">
        <w:rPr>
          <w:rFonts w:ascii="Palatino Linotype" w:hAnsi="Palatino Linotype"/>
          <w:b/>
          <w:sz w:val="22"/>
          <w:szCs w:val="22"/>
        </w:rPr>
        <w:lastRenderedPageBreak/>
        <w:t>The College approach to this submission</w:t>
      </w:r>
    </w:p>
    <w:p w:rsidR="00614DD1" w:rsidRPr="00614DD1" w:rsidRDefault="00614DD1" w:rsidP="00C61F41">
      <w:pPr>
        <w:spacing w:after="120"/>
        <w:jc w:val="both"/>
        <w:rPr>
          <w:rFonts w:ascii="Palatino Linotype" w:hAnsi="Palatino Linotype"/>
          <w:sz w:val="22"/>
          <w:szCs w:val="22"/>
        </w:rPr>
      </w:pPr>
      <w:r w:rsidRPr="00614DD1">
        <w:rPr>
          <w:rFonts w:ascii="Palatino Linotype" w:hAnsi="Palatino Linotype"/>
          <w:sz w:val="22"/>
          <w:szCs w:val="22"/>
        </w:rPr>
        <w:t xml:space="preserve">The focus will be on the educational issues covered in this report, but using ‘education’ in terms of </w:t>
      </w:r>
      <w:r w:rsidR="00BF2322">
        <w:rPr>
          <w:rFonts w:ascii="Palatino Linotype" w:hAnsi="Palatino Linotype"/>
          <w:sz w:val="22"/>
          <w:szCs w:val="22"/>
        </w:rPr>
        <w:t xml:space="preserve">holistic well-being, encompassing </w:t>
      </w:r>
      <w:r w:rsidRPr="00614DD1">
        <w:rPr>
          <w:rFonts w:ascii="Palatino Linotype" w:hAnsi="Palatino Linotype"/>
          <w:sz w:val="22"/>
          <w:szCs w:val="22"/>
        </w:rPr>
        <w:t>intel</w:t>
      </w:r>
      <w:r w:rsidR="00BF2322">
        <w:rPr>
          <w:rFonts w:ascii="Palatino Linotype" w:hAnsi="Palatino Linotype"/>
          <w:sz w:val="22"/>
          <w:szCs w:val="22"/>
        </w:rPr>
        <w:t>lectual,</w:t>
      </w:r>
      <w:r w:rsidRPr="00614DD1">
        <w:rPr>
          <w:rFonts w:ascii="Palatino Linotype" w:hAnsi="Palatino Linotype"/>
          <w:sz w:val="22"/>
          <w:szCs w:val="22"/>
        </w:rPr>
        <w:t xml:space="preserve"> emotional</w:t>
      </w:r>
      <w:r w:rsidR="00BF2322">
        <w:rPr>
          <w:rFonts w:ascii="Palatino Linotype" w:hAnsi="Palatino Linotype"/>
          <w:sz w:val="22"/>
          <w:szCs w:val="22"/>
        </w:rPr>
        <w:t>, social and physical</w:t>
      </w:r>
      <w:r w:rsidRPr="00614DD1">
        <w:rPr>
          <w:rFonts w:ascii="Palatino Linotype" w:hAnsi="Palatino Linotype"/>
          <w:sz w:val="22"/>
          <w:szCs w:val="22"/>
        </w:rPr>
        <w:t xml:space="preserve"> </w:t>
      </w:r>
      <w:r w:rsidR="00BF2322">
        <w:rPr>
          <w:rFonts w:ascii="Palatino Linotype" w:hAnsi="Palatino Linotype"/>
          <w:sz w:val="22"/>
          <w:szCs w:val="22"/>
        </w:rPr>
        <w:t>developmen</w:t>
      </w:r>
      <w:r w:rsidR="00BB0189">
        <w:rPr>
          <w:rFonts w:ascii="Palatino Linotype" w:hAnsi="Palatino Linotype"/>
          <w:sz w:val="22"/>
          <w:szCs w:val="22"/>
        </w:rPr>
        <w:t>t</w:t>
      </w:r>
      <w:r w:rsidR="00B6472A">
        <w:rPr>
          <w:rFonts w:ascii="Palatino Linotype" w:hAnsi="Palatino Linotype"/>
          <w:sz w:val="22"/>
          <w:szCs w:val="22"/>
        </w:rPr>
        <w:t>. Issues of fu</w:t>
      </w:r>
      <w:r w:rsidRPr="00614DD1">
        <w:rPr>
          <w:rFonts w:ascii="Palatino Linotype" w:hAnsi="Palatino Linotype"/>
          <w:sz w:val="22"/>
          <w:szCs w:val="22"/>
        </w:rPr>
        <w:t xml:space="preserve">nding, except where the College perceives there </w:t>
      </w:r>
      <w:proofErr w:type="gramStart"/>
      <w:r w:rsidRPr="00614DD1">
        <w:rPr>
          <w:rFonts w:ascii="Palatino Linotype" w:hAnsi="Palatino Linotype"/>
          <w:sz w:val="22"/>
          <w:szCs w:val="22"/>
        </w:rPr>
        <w:t>are</w:t>
      </w:r>
      <w:proofErr w:type="gramEnd"/>
      <w:r w:rsidRPr="00614DD1">
        <w:rPr>
          <w:rFonts w:ascii="Palatino Linotype" w:hAnsi="Palatino Linotype"/>
          <w:sz w:val="22"/>
          <w:szCs w:val="22"/>
        </w:rPr>
        <w:t xml:space="preserve"> equity or quality issues involved</w:t>
      </w:r>
      <w:r w:rsidR="00B6472A">
        <w:rPr>
          <w:rFonts w:ascii="Palatino Linotype" w:hAnsi="Palatino Linotype"/>
          <w:sz w:val="22"/>
          <w:szCs w:val="22"/>
        </w:rPr>
        <w:t>,</w:t>
      </w:r>
      <w:r w:rsidRPr="00614DD1">
        <w:rPr>
          <w:rFonts w:ascii="Palatino Linotype" w:hAnsi="Palatino Linotype"/>
          <w:sz w:val="22"/>
          <w:szCs w:val="22"/>
        </w:rPr>
        <w:t xml:space="preserve"> will be left to those better qualified in these areas.</w:t>
      </w:r>
    </w:p>
    <w:p w:rsidR="00614DD1" w:rsidRPr="00614DD1" w:rsidRDefault="00614DD1" w:rsidP="00C61F41">
      <w:pPr>
        <w:spacing w:after="120"/>
        <w:jc w:val="both"/>
        <w:rPr>
          <w:rFonts w:ascii="Palatino Linotype" w:hAnsi="Palatino Linotype"/>
          <w:sz w:val="22"/>
          <w:szCs w:val="22"/>
        </w:rPr>
      </w:pPr>
      <w:r w:rsidRPr="00614DD1">
        <w:rPr>
          <w:rFonts w:ascii="Palatino Linotype" w:hAnsi="Palatino Linotype"/>
          <w:sz w:val="22"/>
          <w:szCs w:val="22"/>
        </w:rPr>
        <w:t>We will follow the headings as in the draft report.</w:t>
      </w:r>
    </w:p>
    <w:p w:rsidR="00614DD1" w:rsidRPr="00614DD1" w:rsidRDefault="00614DD1" w:rsidP="00C61F41">
      <w:pPr>
        <w:spacing w:after="120"/>
        <w:jc w:val="both"/>
        <w:rPr>
          <w:rFonts w:ascii="Palatino Linotype" w:hAnsi="Palatino Linotype"/>
          <w:b/>
          <w:sz w:val="22"/>
          <w:szCs w:val="22"/>
        </w:rPr>
      </w:pPr>
      <w:r w:rsidRPr="00614DD1">
        <w:rPr>
          <w:rFonts w:ascii="Palatino Linotype" w:hAnsi="Palatino Linotype"/>
          <w:b/>
          <w:sz w:val="22"/>
          <w:szCs w:val="22"/>
        </w:rPr>
        <w:t>Families using mainstream services — improving the accessibility, flexibility and affordability</w:t>
      </w:r>
    </w:p>
    <w:p w:rsidR="00614DD1" w:rsidRPr="00614DD1" w:rsidRDefault="00614DD1" w:rsidP="00C61F41">
      <w:pPr>
        <w:spacing w:after="120"/>
        <w:jc w:val="both"/>
        <w:rPr>
          <w:rFonts w:ascii="Palatino Linotype" w:hAnsi="Palatino Linotype"/>
          <w:sz w:val="22"/>
          <w:szCs w:val="22"/>
        </w:rPr>
      </w:pPr>
      <w:r w:rsidRPr="00614DD1">
        <w:rPr>
          <w:rFonts w:ascii="Palatino Linotype" w:hAnsi="Palatino Linotype"/>
          <w:sz w:val="22"/>
          <w:szCs w:val="22"/>
        </w:rPr>
        <w:t>The College feels that these are generally well thought out measures ensuring equitable access to childcare.</w:t>
      </w:r>
    </w:p>
    <w:p w:rsidR="00614DD1" w:rsidRPr="00614DD1" w:rsidRDefault="00614DD1" w:rsidP="00C61F41">
      <w:pPr>
        <w:spacing w:after="120"/>
        <w:jc w:val="both"/>
        <w:rPr>
          <w:rFonts w:ascii="Palatino Linotype" w:hAnsi="Palatino Linotype"/>
          <w:sz w:val="22"/>
          <w:szCs w:val="22"/>
        </w:rPr>
      </w:pPr>
      <w:r w:rsidRPr="00614DD1">
        <w:rPr>
          <w:rFonts w:ascii="Palatino Linotype" w:hAnsi="Palatino Linotype"/>
          <w:sz w:val="22"/>
          <w:szCs w:val="22"/>
        </w:rPr>
        <w:t>However we have concerns regarding Recommendations 8.5 and 8.7. There are many difficulties with a Government being involved in this area and these provisions would compete with Family Day Care (FDC) schemes. The</w:t>
      </w:r>
      <w:r w:rsidR="00BF2322">
        <w:rPr>
          <w:rFonts w:ascii="Palatino Linotype" w:hAnsi="Palatino Linotype"/>
          <w:sz w:val="22"/>
          <w:szCs w:val="22"/>
        </w:rPr>
        <w:t xml:space="preserve"> FDC sector has increased </w:t>
      </w:r>
      <w:r w:rsidRPr="00614DD1">
        <w:rPr>
          <w:rFonts w:ascii="Palatino Linotype" w:hAnsi="Palatino Linotype"/>
          <w:sz w:val="22"/>
          <w:szCs w:val="22"/>
        </w:rPr>
        <w:t>significantly in capacity since the NQF was i</w:t>
      </w:r>
      <w:r w:rsidR="00BF2322">
        <w:rPr>
          <w:rFonts w:ascii="Palatino Linotype" w:hAnsi="Palatino Linotype"/>
          <w:sz w:val="22"/>
          <w:szCs w:val="22"/>
        </w:rPr>
        <w:t>ntroduced and it would be unfortunate</w:t>
      </w:r>
      <w:r w:rsidRPr="00614DD1">
        <w:rPr>
          <w:rFonts w:ascii="Palatino Linotype" w:hAnsi="Palatino Linotype"/>
          <w:sz w:val="22"/>
          <w:szCs w:val="22"/>
        </w:rPr>
        <w:t xml:space="preserve"> to undermine this in any way,</w:t>
      </w:r>
    </w:p>
    <w:p w:rsidR="00614DD1" w:rsidRPr="00614DD1" w:rsidRDefault="00614DD1" w:rsidP="00C61F41">
      <w:pPr>
        <w:spacing w:after="120"/>
        <w:jc w:val="both"/>
        <w:rPr>
          <w:rFonts w:ascii="Palatino Linotype" w:hAnsi="Palatino Linotype"/>
          <w:b/>
          <w:sz w:val="22"/>
          <w:szCs w:val="22"/>
        </w:rPr>
      </w:pPr>
      <w:r w:rsidRPr="00614DD1">
        <w:rPr>
          <w:rFonts w:ascii="Palatino Linotype" w:hAnsi="Palatino Linotype"/>
          <w:b/>
          <w:sz w:val="22"/>
          <w:szCs w:val="22"/>
        </w:rPr>
        <w:t>Additional needs children and services — improving the accessibility, flexibility and affordability</w:t>
      </w:r>
    </w:p>
    <w:p w:rsidR="00614DD1" w:rsidRPr="00614DD1" w:rsidRDefault="00614DD1" w:rsidP="00C61F41">
      <w:pPr>
        <w:spacing w:after="120"/>
        <w:jc w:val="both"/>
        <w:rPr>
          <w:rFonts w:ascii="Palatino Linotype" w:hAnsi="Palatino Linotype"/>
          <w:sz w:val="22"/>
          <w:szCs w:val="22"/>
        </w:rPr>
      </w:pPr>
      <w:r w:rsidRPr="00614DD1">
        <w:rPr>
          <w:rFonts w:ascii="Palatino Linotype" w:hAnsi="Palatino Linotype"/>
          <w:sz w:val="22"/>
          <w:szCs w:val="22"/>
        </w:rPr>
        <w:t>The College believes that the commission has done an excellent job in this area, both in its research and its recommendations.</w:t>
      </w:r>
    </w:p>
    <w:p w:rsidR="00614DD1" w:rsidRPr="00614DD1" w:rsidRDefault="00614DD1" w:rsidP="00C61F41">
      <w:pPr>
        <w:spacing w:after="120"/>
        <w:jc w:val="both"/>
        <w:rPr>
          <w:rFonts w:ascii="Palatino Linotype" w:hAnsi="Palatino Linotype"/>
          <w:sz w:val="22"/>
          <w:szCs w:val="22"/>
        </w:rPr>
      </w:pPr>
      <w:r w:rsidRPr="00614DD1">
        <w:rPr>
          <w:rFonts w:ascii="Palatino Linotype" w:hAnsi="Palatino Linotype"/>
          <w:sz w:val="22"/>
          <w:szCs w:val="22"/>
        </w:rPr>
        <w:t>In regard to Recommendation 5.2 the College would recommend research of integrated service models that currently exist within communities such as Early Childhood Hubs.</w:t>
      </w:r>
    </w:p>
    <w:p w:rsidR="00614DD1" w:rsidRPr="00614DD1" w:rsidRDefault="00614DD1" w:rsidP="00C61F41">
      <w:pPr>
        <w:spacing w:after="120"/>
        <w:jc w:val="both"/>
        <w:rPr>
          <w:rFonts w:ascii="Palatino Linotype" w:hAnsi="Palatino Linotype"/>
          <w:b/>
          <w:sz w:val="22"/>
          <w:szCs w:val="22"/>
          <w:lang w:val="en-US"/>
        </w:rPr>
      </w:pPr>
      <w:r w:rsidRPr="00614DD1">
        <w:rPr>
          <w:rFonts w:ascii="Palatino Linotype" w:hAnsi="Palatino Linotype"/>
          <w:b/>
          <w:sz w:val="22"/>
          <w:szCs w:val="22"/>
          <w:lang w:val="en-US"/>
        </w:rPr>
        <w:t>Preschool — supporting universal access</w:t>
      </w:r>
    </w:p>
    <w:p w:rsidR="00614DD1" w:rsidRPr="00614DD1" w:rsidRDefault="00614DD1" w:rsidP="00C61F41">
      <w:pPr>
        <w:spacing w:after="120"/>
        <w:jc w:val="both"/>
        <w:rPr>
          <w:rFonts w:ascii="Palatino Linotype" w:hAnsi="Palatino Linotype"/>
          <w:sz w:val="22"/>
          <w:szCs w:val="22"/>
          <w:lang w:val="en-US"/>
        </w:rPr>
      </w:pPr>
      <w:r w:rsidRPr="00614DD1">
        <w:rPr>
          <w:rFonts w:ascii="Palatino Linotype" w:hAnsi="Palatino Linotype"/>
          <w:sz w:val="22"/>
          <w:szCs w:val="22"/>
          <w:lang w:val="en-US"/>
        </w:rPr>
        <w:t>While there is value in forming links between Preschools and primary schools and co-locating the two, and while we support universal access there are dangers in removing Preschools from the Early Childhood Framework</w:t>
      </w:r>
      <w:r w:rsidR="00B6472A">
        <w:rPr>
          <w:rFonts w:ascii="Palatino Linotype" w:hAnsi="Palatino Linotype"/>
          <w:sz w:val="22"/>
          <w:szCs w:val="22"/>
          <w:lang w:val="en-US"/>
        </w:rPr>
        <w:t xml:space="preserve"> </w:t>
      </w:r>
      <w:r w:rsidRPr="00614DD1">
        <w:rPr>
          <w:rFonts w:ascii="Palatino Linotype" w:hAnsi="Palatino Linotype"/>
          <w:sz w:val="22"/>
          <w:szCs w:val="22"/>
          <w:lang w:val="en-US"/>
        </w:rPr>
        <w:t xml:space="preserve">as their identity and role could be </w:t>
      </w:r>
      <w:proofErr w:type="gramStart"/>
      <w:r w:rsidRPr="00614DD1">
        <w:rPr>
          <w:rFonts w:ascii="Palatino Linotype" w:hAnsi="Palatino Linotype"/>
          <w:sz w:val="22"/>
          <w:szCs w:val="22"/>
          <w:lang w:val="en-US"/>
        </w:rPr>
        <w:t>subsumed  by</w:t>
      </w:r>
      <w:proofErr w:type="gramEnd"/>
      <w:r w:rsidRPr="00614DD1">
        <w:rPr>
          <w:rFonts w:ascii="Palatino Linotype" w:hAnsi="Palatino Linotype"/>
          <w:sz w:val="22"/>
          <w:szCs w:val="22"/>
          <w:lang w:val="en-US"/>
        </w:rPr>
        <w:t xml:space="preserve"> the formal education sector.</w:t>
      </w:r>
    </w:p>
    <w:p w:rsidR="00614DD1" w:rsidRPr="00614DD1" w:rsidRDefault="00614DD1" w:rsidP="00C61F41">
      <w:pPr>
        <w:spacing w:after="120"/>
        <w:jc w:val="both"/>
        <w:rPr>
          <w:rFonts w:ascii="Palatino Linotype" w:hAnsi="Palatino Linotype"/>
          <w:b/>
          <w:sz w:val="22"/>
          <w:szCs w:val="22"/>
        </w:rPr>
      </w:pPr>
      <w:r w:rsidRPr="00614DD1">
        <w:rPr>
          <w:rFonts w:ascii="Palatino Linotype" w:hAnsi="Palatino Linotype"/>
          <w:b/>
          <w:sz w:val="22"/>
          <w:szCs w:val="22"/>
        </w:rPr>
        <w:t>Outside school hours care — improving the accessibility, flexibility and affordability</w:t>
      </w:r>
    </w:p>
    <w:p w:rsidR="00614DD1" w:rsidRPr="00614DD1" w:rsidRDefault="00614DD1" w:rsidP="00C61F41">
      <w:pPr>
        <w:spacing w:after="120"/>
        <w:jc w:val="both"/>
        <w:rPr>
          <w:rFonts w:ascii="Palatino Linotype" w:hAnsi="Palatino Linotype"/>
          <w:sz w:val="22"/>
          <w:szCs w:val="22"/>
        </w:rPr>
      </w:pPr>
      <w:r w:rsidRPr="00614DD1">
        <w:rPr>
          <w:rFonts w:ascii="Palatino Linotype" w:hAnsi="Palatino Linotype"/>
          <w:sz w:val="22"/>
          <w:szCs w:val="22"/>
        </w:rPr>
        <w:t>With regard to Recommendation 7.4 the College does not see any value in undoing the progress that has been made in this area as the NQF has been implemented. An implication of 7.4, which we reject, is that no particular qualifications are necessary for this role.</w:t>
      </w:r>
    </w:p>
    <w:p w:rsidR="00614DD1" w:rsidRPr="00614DD1" w:rsidRDefault="00614DD1" w:rsidP="00C61F41">
      <w:pPr>
        <w:spacing w:after="120"/>
        <w:jc w:val="both"/>
        <w:rPr>
          <w:rFonts w:ascii="Palatino Linotype" w:hAnsi="Palatino Linotype"/>
          <w:b/>
          <w:sz w:val="22"/>
          <w:szCs w:val="22"/>
        </w:rPr>
      </w:pPr>
      <w:r w:rsidRPr="00614DD1">
        <w:rPr>
          <w:rFonts w:ascii="Palatino Linotype" w:hAnsi="Palatino Linotype"/>
          <w:b/>
          <w:sz w:val="22"/>
          <w:szCs w:val="22"/>
        </w:rPr>
        <w:t>Removal of ECEC assistance to some providers</w:t>
      </w:r>
    </w:p>
    <w:p w:rsidR="00614DD1" w:rsidRPr="00614DD1" w:rsidRDefault="00614DD1" w:rsidP="00C61F41">
      <w:pPr>
        <w:spacing w:after="120"/>
        <w:jc w:val="both"/>
        <w:rPr>
          <w:rFonts w:ascii="Palatino Linotype" w:hAnsi="Palatino Linotype"/>
          <w:sz w:val="22"/>
          <w:szCs w:val="22"/>
        </w:rPr>
      </w:pPr>
      <w:proofErr w:type="gramStart"/>
      <w:r w:rsidRPr="00614DD1">
        <w:rPr>
          <w:rFonts w:ascii="Palatino Linotype" w:hAnsi="Palatino Linotype"/>
          <w:sz w:val="22"/>
          <w:szCs w:val="22"/>
        </w:rPr>
        <w:t>With regard to Recommendation 10.1, the Not for Profit Sector has played a vital role in providing ECEC and should continue to be supported by tax exemptions.</w:t>
      </w:r>
      <w:proofErr w:type="gramEnd"/>
    </w:p>
    <w:p w:rsidR="00614DD1" w:rsidRPr="00614DD1" w:rsidRDefault="00614DD1" w:rsidP="00C61F41">
      <w:pPr>
        <w:spacing w:after="120"/>
        <w:jc w:val="both"/>
        <w:rPr>
          <w:rFonts w:ascii="Palatino Linotype" w:hAnsi="Palatino Linotype"/>
          <w:b/>
          <w:sz w:val="22"/>
          <w:szCs w:val="22"/>
        </w:rPr>
      </w:pPr>
      <w:r w:rsidRPr="00614DD1">
        <w:rPr>
          <w:rFonts w:ascii="Palatino Linotype" w:hAnsi="Palatino Linotype"/>
          <w:b/>
          <w:sz w:val="22"/>
          <w:szCs w:val="22"/>
        </w:rPr>
        <w:t>Workforce participation</w:t>
      </w:r>
    </w:p>
    <w:p w:rsidR="00614DD1" w:rsidRPr="00614DD1" w:rsidRDefault="00614DD1" w:rsidP="00C61F41">
      <w:pPr>
        <w:spacing w:after="120"/>
        <w:jc w:val="both"/>
        <w:rPr>
          <w:rFonts w:ascii="Palatino Linotype" w:hAnsi="Palatino Linotype"/>
          <w:sz w:val="22"/>
          <w:szCs w:val="22"/>
        </w:rPr>
      </w:pPr>
      <w:r w:rsidRPr="00614DD1">
        <w:rPr>
          <w:rFonts w:ascii="Palatino Linotype" w:hAnsi="Palatino Linotype"/>
          <w:sz w:val="22"/>
          <w:szCs w:val="22"/>
        </w:rPr>
        <w:t>The College strongly supports Recommendation 6.1</w:t>
      </w:r>
    </w:p>
    <w:p w:rsidR="00614DD1" w:rsidRPr="00614DD1" w:rsidRDefault="00614DD1" w:rsidP="00C61F41">
      <w:pPr>
        <w:spacing w:after="120"/>
        <w:jc w:val="both"/>
        <w:rPr>
          <w:rFonts w:ascii="Palatino Linotype" w:hAnsi="Palatino Linotype"/>
          <w:b/>
          <w:sz w:val="22"/>
          <w:szCs w:val="22"/>
        </w:rPr>
      </w:pPr>
      <w:r w:rsidRPr="00614DD1">
        <w:rPr>
          <w:rFonts w:ascii="Palatino Linotype" w:hAnsi="Palatino Linotype"/>
          <w:b/>
          <w:sz w:val="22"/>
          <w:szCs w:val="22"/>
        </w:rPr>
        <w:t>Quality assurance processes and regulation of ECEC</w:t>
      </w:r>
    </w:p>
    <w:p w:rsidR="00614DD1" w:rsidRPr="00614DD1" w:rsidRDefault="00614DD1" w:rsidP="00C61F41">
      <w:pPr>
        <w:spacing w:after="120"/>
        <w:jc w:val="both"/>
        <w:rPr>
          <w:rFonts w:ascii="Palatino Linotype" w:hAnsi="Palatino Linotype"/>
          <w:sz w:val="22"/>
          <w:szCs w:val="22"/>
        </w:rPr>
      </w:pPr>
      <w:r w:rsidRPr="00614DD1">
        <w:rPr>
          <w:rFonts w:ascii="Palatino Linotype" w:hAnsi="Palatino Linotype"/>
          <w:sz w:val="22"/>
          <w:szCs w:val="22"/>
        </w:rPr>
        <w:t>In general, while the College has no problems with introducing efficiencies this should not involve any weakening of the NQF.</w:t>
      </w:r>
    </w:p>
    <w:p w:rsidR="00614DD1" w:rsidRPr="00614DD1" w:rsidRDefault="00614DD1" w:rsidP="00C61F41">
      <w:pPr>
        <w:spacing w:after="120"/>
        <w:jc w:val="both"/>
        <w:rPr>
          <w:rFonts w:ascii="Palatino Linotype" w:hAnsi="Palatino Linotype"/>
          <w:sz w:val="22"/>
          <w:szCs w:val="22"/>
        </w:rPr>
      </w:pPr>
      <w:r w:rsidRPr="00614DD1">
        <w:rPr>
          <w:rFonts w:ascii="Palatino Linotype" w:hAnsi="Palatino Linotype"/>
          <w:sz w:val="22"/>
          <w:szCs w:val="22"/>
        </w:rPr>
        <w:lastRenderedPageBreak/>
        <w:t>The College is strongly opposed to Recommendation 7.2 reducing the necessary qualifications for educators working in the birth to 36 months area. Where children of this age are absent for periods from their parents, specialist training is even more important, as mental and emotional development in this period is a strong determinant of their future.</w:t>
      </w:r>
    </w:p>
    <w:p w:rsidR="00614DD1" w:rsidRPr="00614DD1" w:rsidRDefault="00614DD1" w:rsidP="00C61F41">
      <w:pPr>
        <w:spacing w:after="120"/>
        <w:jc w:val="both"/>
        <w:rPr>
          <w:rFonts w:ascii="Palatino Linotype" w:hAnsi="Palatino Linotype"/>
          <w:sz w:val="22"/>
          <w:szCs w:val="22"/>
        </w:rPr>
      </w:pPr>
      <w:r w:rsidRPr="00614DD1">
        <w:rPr>
          <w:rFonts w:ascii="Palatino Linotype" w:hAnsi="Palatino Linotype"/>
          <w:sz w:val="22"/>
          <w:szCs w:val="22"/>
        </w:rPr>
        <w:t>The College strongly supports Recommendation 11.1 regarding oversight of Registered Training organisations to ensure consistently high standards of delivery of ECEC-related training.</w:t>
      </w:r>
    </w:p>
    <w:p w:rsidR="00614DD1" w:rsidRPr="00614DD1" w:rsidRDefault="00614DD1" w:rsidP="00C61F41">
      <w:pPr>
        <w:spacing w:after="120"/>
        <w:jc w:val="both"/>
        <w:rPr>
          <w:rFonts w:ascii="Palatino Linotype" w:hAnsi="Palatino Linotype"/>
          <w:b/>
          <w:sz w:val="22"/>
          <w:szCs w:val="22"/>
        </w:rPr>
      </w:pPr>
      <w:r w:rsidRPr="00614DD1">
        <w:rPr>
          <w:rFonts w:ascii="Palatino Linotype" w:hAnsi="Palatino Linotype"/>
          <w:b/>
          <w:sz w:val="22"/>
          <w:szCs w:val="22"/>
        </w:rPr>
        <w:t>Ongoing support for evaluation and program assessment</w:t>
      </w:r>
    </w:p>
    <w:p w:rsidR="00614DD1" w:rsidRPr="00614DD1" w:rsidRDefault="00614DD1" w:rsidP="00C61F41">
      <w:pPr>
        <w:spacing w:after="120"/>
        <w:jc w:val="both"/>
        <w:rPr>
          <w:rFonts w:ascii="Palatino Linotype" w:hAnsi="Palatino Linotype"/>
          <w:sz w:val="22"/>
          <w:szCs w:val="22"/>
        </w:rPr>
      </w:pPr>
      <w:r w:rsidRPr="00614DD1">
        <w:rPr>
          <w:rFonts w:ascii="Palatino Linotype" w:hAnsi="Palatino Linotype"/>
          <w:sz w:val="22"/>
          <w:szCs w:val="22"/>
        </w:rPr>
        <w:t>The College believes that this is crucial to the success of ECEC and with its cross sectoral composition is in a po</w:t>
      </w:r>
      <w:r w:rsidR="00BF2322">
        <w:rPr>
          <w:rFonts w:ascii="Palatino Linotype" w:hAnsi="Palatino Linotype"/>
          <w:sz w:val="22"/>
          <w:szCs w:val="22"/>
        </w:rPr>
        <w:t>sition to offer support for this</w:t>
      </w:r>
      <w:r w:rsidRPr="00614DD1">
        <w:rPr>
          <w:rFonts w:ascii="Palatino Linotype" w:hAnsi="Palatino Linotype"/>
          <w:sz w:val="22"/>
          <w:szCs w:val="22"/>
        </w:rPr>
        <w:t xml:space="preserve"> process.</w:t>
      </w:r>
    </w:p>
    <w:p w:rsidR="00614DD1" w:rsidRPr="00614DD1" w:rsidRDefault="00614DD1" w:rsidP="00C61F41">
      <w:pPr>
        <w:spacing w:after="120"/>
        <w:jc w:val="both"/>
        <w:rPr>
          <w:rFonts w:ascii="Palatino Linotype" w:hAnsi="Palatino Linotype"/>
          <w:sz w:val="22"/>
          <w:szCs w:val="22"/>
        </w:rPr>
      </w:pPr>
    </w:p>
    <w:p w:rsidR="00614DD1" w:rsidRPr="00614DD1" w:rsidRDefault="00614DD1" w:rsidP="00C61F41">
      <w:pPr>
        <w:spacing w:after="120"/>
        <w:rPr>
          <w:rFonts w:ascii="Palatino Linotype" w:hAnsi="Palatino Linotype"/>
          <w:sz w:val="22"/>
          <w:szCs w:val="22"/>
        </w:rPr>
      </w:pPr>
    </w:p>
    <w:p w:rsidR="00EC4447" w:rsidRPr="00614DD1" w:rsidRDefault="00EC4447" w:rsidP="00C61F41">
      <w:pPr>
        <w:spacing w:after="120"/>
        <w:rPr>
          <w:rFonts w:ascii="Palatino Linotype" w:hAnsi="Palatino Linotype"/>
          <w:sz w:val="22"/>
          <w:szCs w:val="22"/>
        </w:rPr>
      </w:pPr>
    </w:p>
    <w:sectPr w:rsidR="00EC4447" w:rsidRPr="00614DD1" w:rsidSect="00C61F41">
      <w:type w:val="continuous"/>
      <w:pgSz w:w="11907" w:h="16840" w:code="9"/>
      <w:pgMar w:top="1440" w:right="1440" w:bottom="1440" w:left="1440" w:header="851"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47A" w:rsidRDefault="00F7147A">
      <w:r>
        <w:separator/>
      </w:r>
    </w:p>
  </w:endnote>
  <w:endnote w:type="continuationSeparator" w:id="0">
    <w:p w:rsidR="00F7147A" w:rsidRDefault="00F71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Old Style">
    <w:panose1 w:val="0202050205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47A" w:rsidRDefault="00F7147A">
      <w:r>
        <w:separator/>
      </w:r>
    </w:p>
  </w:footnote>
  <w:footnote w:type="continuationSeparator" w:id="0">
    <w:p w:rsidR="00F7147A" w:rsidRDefault="00F714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2"/>
  </w:num>
  <w:num w:numId="2">
    <w:abstractNumId w:val="19"/>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1"/>
  </w:num>
  <w:num w:numId="18">
    <w:abstractNumId w:val="8"/>
  </w:num>
  <w:num w:numId="19">
    <w:abstractNumId w:val="15"/>
  </w:num>
  <w:num w:numId="20">
    <w:abstractNumId w:val="5"/>
  </w:num>
  <w:num w:numId="21">
    <w:abstractNumId w:val="4"/>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916DA"/>
    <w:rsid w:val="000A6AB7"/>
    <w:rsid w:val="0019530F"/>
    <w:rsid w:val="001B0A41"/>
    <w:rsid w:val="001C5C7C"/>
    <w:rsid w:val="00221C86"/>
    <w:rsid w:val="00231C06"/>
    <w:rsid w:val="002D6079"/>
    <w:rsid w:val="0038143D"/>
    <w:rsid w:val="003C5524"/>
    <w:rsid w:val="004149E7"/>
    <w:rsid w:val="00423861"/>
    <w:rsid w:val="00423BFB"/>
    <w:rsid w:val="00480079"/>
    <w:rsid w:val="0048038E"/>
    <w:rsid w:val="004B21E0"/>
    <w:rsid w:val="004B6E74"/>
    <w:rsid w:val="00534A5B"/>
    <w:rsid w:val="00614436"/>
    <w:rsid w:val="00614DD1"/>
    <w:rsid w:val="00626C39"/>
    <w:rsid w:val="006349CF"/>
    <w:rsid w:val="007265D4"/>
    <w:rsid w:val="007C27D3"/>
    <w:rsid w:val="007C3E81"/>
    <w:rsid w:val="00810726"/>
    <w:rsid w:val="00820633"/>
    <w:rsid w:val="00843256"/>
    <w:rsid w:val="00863610"/>
    <w:rsid w:val="00885AF4"/>
    <w:rsid w:val="00947B19"/>
    <w:rsid w:val="00A17B13"/>
    <w:rsid w:val="00B2649B"/>
    <w:rsid w:val="00B6472A"/>
    <w:rsid w:val="00BB0189"/>
    <w:rsid w:val="00BF2322"/>
    <w:rsid w:val="00C30326"/>
    <w:rsid w:val="00C61F41"/>
    <w:rsid w:val="00C638DA"/>
    <w:rsid w:val="00C969D3"/>
    <w:rsid w:val="00CC04C4"/>
    <w:rsid w:val="00D528F3"/>
    <w:rsid w:val="00DC03C7"/>
    <w:rsid w:val="00E0213B"/>
    <w:rsid w:val="00E33CD7"/>
    <w:rsid w:val="00E7598B"/>
    <w:rsid w:val="00E958E6"/>
    <w:rsid w:val="00EC4447"/>
    <w:rsid w:val="00EC75E2"/>
    <w:rsid w:val="00F51EC1"/>
    <w:rsid w:val="00F714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0</TotalTime>
  <Pages>3</Pages>
  <Words>854</Words>
  <Characters>4795</Characters>
  <Application>Microsoft Office Word</Application>
  <DocSecurity>0</DocSecurity>
  <Lines>111</Lines>
  <Paragraphs>40</Paragraphs>
  <ScaleCrop>false</ScaleCrop>
  <HeadingPairs>
    <vt:vector size="2" baseType="variant">
      <vt:variant>
        <vt:lpstr>Title</vt:lpstr>
      </vt:variant>
      <vt:variant>
        <vt:i4>1</vt:i4>
      </vt:variant>
    </vt:vector>
  </HeadingPairs>
  <TitlesOfParts>
    <vt:vector size="1" baseType="lpstr">
      <vt:lpstr>Submission DR703 - Australian College of Educators - Childcare and Early Childhood Learning - Public inquiry</vt:lpstr>
    </vt:vector>
  </TitlesOfParts>
  <Company/>
  <LinksUpToDate>false</LinksUpToDate>
  <CharactersWithSpaces>5609</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DR703 - Australian College of Educators - Childcare and Early Childhood Learning - Public inquiry</dc:title>
  <dc:creator>Australian College of Educators</dc:creator>
  <cp:lastModifiedBy>Mark Pimperl</cp:lastModifiedBy>
  <cp:revision>3</cp:revision>
  <cp:lastPrinted>2004-07-01T12:55:00Z</cp:lastPrinted>
  <dcterms:created xsi:type="dcterms:W3CDTF">2014-09-09T01:00:00Z</dcterms:created>
  <dcterms:modified xsi:type="dcterms:W3CDTF">2014-09-10T22:46:00Z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