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F838F" w14:textId="77777777" w:rsidR="00C56629" w:rsidRPr="00674C47" w:rsidRDefault="00055AD8" w:rsidP="00EF6401">
      <w:pPr>
        <w:spacing w:after="240" w:line="276" w:lineRule="auto"/>
        <w:jc w:val="center"/>
        <w:rPr>
          <w:rFonts w:asciiTheme="minorHAnsi" w:hAnsiTheme="minorHAnsi"/>
          <w:b/>
          <w:sz w:val="24"/>
          <w:szCs w:val="24"/>
        </w:rPr>
      </w:pPr>
      <w:bookmarkStart w:id="0" w:name="_GoBack"/>
      <w:bookmarkEnd w:id="0"/>
      <w:r w:rsidRPr="00674C47">
        <w:rPr>
          <w:rFonts w:asciiTheme="minorHAnsi" w:hAnsiTheme="minorHAnsi"/>
          <w:b/>
          <w:sz w:val="24"/>
          <w:szCs w:val="24"/>
        </w:rPr>
        <w:t xml:space="preserve">Submission </w:t>
      </w:r>
      <w:r w:rsidR="00C56629" w:rsidRPr="00674C47">
        <w:rPr>
          <w:rFonts w:asciiTheme="minorHAnsi" w:hAnsiTheme="minorHAnsi"/>
          <w:b/>
          <w:sz w:val="24"/>
          <w:szCs w:val="24"/>
        </w:rPr>
        <w:t xml:space="preserve">in response </w:t>
      </w:r>
      <w:r w:rsidRPr="00674C47">
        <w:rPr>
          <w:rFonts w:asciiTheme="minorHAnsi" w:hAnsiTheme="minorHAnsi"/>
          <w:b/>
          <w:sz w:val="24"/>
          <w:szCs w:val="24"/>
        </w:rPr>
        <w:t>to the Product</w:t>
      </w:r>
      <w:r w:rsidR="00C56629" w:rsidRPr="00674C47">
        <w:rPr>
          <w:rFonts w:asciiTheme="minorHAnsi" w:hAnsiTheme="minorHAnsi"/>
          <w:b/>
          <w:sz w:val="24"/>
          <w:szCs w:val="24"/>
        </w:rPr>
        <w:t>ivity Commission’s Draft Report</w:t>
      </w:r>
    </w:p>
    <w:p w14:paraId="3578C852" w14:textId="21BF1BFB" w:rsidR="00EC4447" w:rsidRPr="00674C47" w:rsidRDefault="00C56629" w:rsidP="00EF6401">
      <w:pPr>
        <w:spacing w:after="240" w:line="276" w:lineRule="auto"/>
        <w:jc w:val="center"/>
        <w:rPr>
          <w:rFonts w:asciiTheme="minorHAnsi" w:hAnsiTheme="minorHAnsi"/>
          <w:b/>
          <w:sz w:val="24"/>
          <w:szCs w:val="24"/>
        </w:rPr>
      </w:pPr>
      <w:r w:rsidRPr="00674C47">
        <w:rPr>
          <w:rFonts w:asciiTheme="minorHAnsi" w:hAnsiTheme="minorHAnsi"/>
          <w:b/>
          <w:sz w:val="24"/>
          <w:szCs w:val="24"/>
        </w:rPr>
        <w:t>By: The C</w:t>
      </w:r>
      <w:r w:rsidR="00055AD8" w:rsidRPr="00674C47">
        <w:rPr>
          <w:rFonts w:asciiTheme="minorHAnsi" w:hAnsiTheme="minorHAnsi"/>
          <w:b/>
          <w:sz w:val="24"/>
          <w:szCs w:val="24"/>
        </w:rPr>
        <w:t>hildren of Gowrie SA Child Centre</w:t>
      </w:r>
    </w:p>
    <w:p w14:paraId="75A9D272" w14:textId="77777777" w:rsidR="00055AD8" w:rsidRPr="00674C47" w:rsidRDefault="00055AD8" w:rsidP="00EF6401">
      <w:pPr>
        <w:spacing w:after="240" w:line="276" w:lineRule="auto"/>
        <w:rPr>
          <w:rFonts w:asciiTheme="minorHAnsi" w:hAnsiTheme="minorHAnsi"/>
          <w:b/>
          <w:sz w:val="24"/>
          <w:szCs w:val="24"/>
        </w:rPr>
      </w:pPr>
    </w:p>
    <w:p w14:paraId="0EFB4565" w14:textId="6BA2978A" w:rsidR="00055AD8" w:rsidRPr="00674C47" w:rsidRDefault="00055AD8" w:rsidP="00A61A82">
      <w:pPr>
        <w:spacing w:after="240" w:line="276" w:lineRule="auto"/>
        <w:ind w:firstLine="720"/>
        <w:jc w:val="both"/>
        <w:rPr>
          <w:rFonts w:asciiTheme="minorHAnsi" w:hAnsiTheme="minorHAnsi"/>
          <w:sz w:val="24"/>
          <w:szCs w:val="24"/>
        </w:rPr>
      </w:pPr>
      <w:r w:rsidRPr="00674C47">
        <w:rPr>
          <w:rFonts w:asciiTheme="minorHAnsi" w:hAnsiTheme="minorHAnsi"/>
          <w:sz w:val="24"/>
          <w:szCs w:val="24"/>
        </w:rPr>
        <w:t xml:space="preserve">In addition to providing a submission on behalf of the Gowrie SA organisation and its stakeholders, educators have endeavoured to capture the views and responses of a number of children currently attending the centre. </w:t>
      </w:r>
      <w:r w:rsidR="00C56629" w:rsidRPr="00674C47">
        <w:rPr>
          <w:rFonts w:asciiTheme="minorHAnsi" w:hAnsiTheme="minorHAnsi"/>
          <w:sz w:val="24"/>
          <w:szCs w:val="24"/>
        </w:rPr>
        <w:t xml:space="preserve">Children’s right to active citizenship in their lives and society can be supported when adults engage in sensitive consultation with them (Harris &amp; </w:t>
      </w:r>
      <w:proofErr w:type="spellStart"/>
      <w:r w:rsidR="00C56629" w:rsidRPr="00674C47">
        <w:rPr>
          <w:rFonts w:asciiTheme="minorHAnsi" w:hAnsiTheme="minorHAnsi"/>
          <w:sz w:val="24"/>
          <w:szCs w:val="24"/>
        </w:rPr>
        <w:t>Manatakis</w:t>
      </w:r>
      <w:proofErr w:type="spellEnd"/>
      <w:r w:rsidR="00C56629" w:rsidRPr="00674C47">
        <w:rPr>
          <w:rFonts w:asciiTheme="minorHAnsi" w:hAnsiTheme="minorHAnsi"/>
          <w:sz w:val="24"/>
          <w:szCs w:val="24"/>
        </w:rPr>
        <w:t xml:space="preserve"> 2013). </w:t>
      </w:r>
      <w:r w:rsidRPr="00674C47">
        <w:rPr>
          <w:rFonts w:asciiTheme="minorHAnsi" w:hAnsiTheme="minorHAnsi"/>
          <w:sz w:val="24"/>
          <w:szCs w:val="24"/>
        </w:rPr>
        <w:t>The views expressed below are the words of children interviewed by their educato</w:t>
      </w:r>
      <w:r w:rsidR="00C56629" w:rsidRPr="00674C47">
        <w:rPr>
          <w:rFonts w:asciiTheme="minorHAnsi" w:hAnsiTheme="minorHAnsi"/>
          <w:sz w:val="24"/>
          <w:szCs w:val="24"/>
        </w:rPr>
        <w:t>rs, between the ages of three and</w:t>
      </w:r>
      <w:r w:rsidRPr="00674C47">
        <w:rPr>
          <w:rFonts w:asciiTheme="minorHAnsi" w:hAnsiTheme="minorHAnsi"/>
          <w:sz w:val="24"/>
          <w:szCs w:val="24"/>
        </w:rPr>
        <w:t xml:space="preserve"> five years. Their names have been changed to protect their anonymity.</w:t>
      </w:r>
      <w:r w:rsidR="00CE28E5" w:rsidRPr="00674C47">
        <w:rPr>
          <w:rFonts w:asciiTheme="minorHAnsi" w:hAnsiTheme="minorHAnsi"/>
          <w:sz w:val="24"/>
          <w:szCs w:val="24"/>
        </w:rPr>
        <w:t xml:space="preserve"> Drawing on the work of </w:t>
      </w:r>
      <w:r w:rsidR="008763D3" w:rsidRPr="00674C47">
        <w:rPr>
          <w:rFonts w:asciiTheme="minorHAnsi" w:hAnsiTheme="minorHAnsi"/>
          <w:sz w:val="24"/>
          <w:szCs w:val="24"/>
        </w:rPr>
        <w:t>(Clark 2011</w:t>
      </w:r>
      <w:r w:rsidR="00CE28E5" w:rsidRPr="00674C47">
        <w:rPr>
          <w:rFonts w:asciiTheme="minorHAnsi" w:hAnsiTheme="minorHAnsi"/>
          <w:sz w:val="24"/>
          <w:szCs w:val="24"/>
        </w:rPr>
        <w:t xml:space="preserve">) child consultations were carried out within the frame of </w:t>
      </w:r>
      <w:r w:rsidR="00A61A82" w:rsidRPr="00674C47">
        <w:rPr>
          <w:rFonts w:asciiTheme="minorHAnsi" w:hAnsiTheme="minorHAnsi"/>
          <w:sz w:val="24"/>
          <w:szCs w:val="24"/>
        </w:rPr>
        <w:t xml:space="preserve">a tea party, using the process to engage the children. The draft recommendations, findings and information requests were used to develop simple questions related to the children’s experiences and asked by educators in a </w:t>
      </w:r>
      <w:r w:rsidR="008763D3" w:rsidRPr="00674C47">
        <w:rPr>
          <w:rFonts w:asciiTheme="minorHAnsi" w:hAnsiTheme="minorHAnsi"/>
          <w:sz w:val="24"/>
          <w:szCs w:val="24"/>
        </w:rPr>
        <w:t>semi-structured interview style (Clark 2011). T</w:t>
      </w:r>
      <w:r w:rsidR="00A61A82" w:rsidRPr="00674C47">
        <w:rPr>
          <w:rFonts w:asciiTheme="minorHAnsi" w:hAnsiTheme="minorHAnsi"/>
          <w:sz w:val="24"/>
          <w:szCs w:val="24"/>
        </w:rPr>
        <w:t>heir responses are recorded below w</w:t>
      </w:r>
      <w:r w:rsidR="00ED7F1E" w:rsidRPr="00674C47">
        <w:rPr>
          <w:rFonts w:asciiTheme="minorHAnsi" w:hAnsiTheme="minorHAnsi"/>
          <w:sz w:val="24"/>
          <w:szCs w:val="24"/>
        </w:rPr>
        <w:t>ith educator interpretation to provide context.</w:t>
      </w:r>
    </w:p>
    <w:p w14:paraId="58A1EF68" w14:textId="77777777" w:rsidR="00ED7F1E" w:rsidRDefault="00ED7F1E" w:rsidP="00ED7F1E">
      <w:pPr>
        <w:pStyle w:val="Default"/>
        <w:spacing w:before="120" w:line="276" w:lineRule="auto"/>
        <w:jc w:val="both"/>
        <w:rPr>
          <w:rFonts w:asciiTheme="minorHAnsi" w:hAnsiTheme="minorHAnsi" w:cstheme="minorHAnsi"/>
          <w:iCs/>
        </w:rPr>
      </w:pPr>
      <w:r w:rsidRPr="00674C47">
        <w:rPr>
          <w:rFonts w:asciiTheme="minorHAnsi" w:hAnsiTheme="minorHAnsi" w:cstheme="minorHAnsi"/>
        </w:rPr>
        <w:t xml:space="preserve">INFORMATION REQUEST 12.1: </w:t>
      </w:r>
      <w:r w:rsidRPr="00674C47">
        <w:rPr>
          <w:rFonts w:asciiTheme="minorHAnsi" w:hAnsiTheme="minorHAnsi" w:cstheme="minorHAnsi"/>
          <w:iCs/>
        </w:rPr>
        <w:t>The Commission seeks views on the effect on families of having a per child subsidy rate that is not adjusted for the number of children in a family accessing ECEC services.</w:t>
      </w:r>
    </w:p>
    <w:p w14:paraId="1EB5DFB9" w14:textId="77777777" w:rsidR="001647FE" w:rsidRPr="001647FE" w:rsidRDefault="001647FE" w:rsidP="00ED7F1E">
      <w:pPr>
        <w:pStyle w:val="Default"/>
        <w:spacing w:before="120" w:line="276" w:lineRule="auto"/>
        <w:jc w:val="both"/>
        <w:rPr>
          <w:rFonts w:asciiTheme="minorHAnsi" w:hAnsiTheme="minorHAnsi" w:cstheme="minorHAnsi"/>
          <w:sz w:val="22"/>
        </w:rPr>
      </w:pPr>
    </w:p>
    <w:p w14:paraId="576A6011" w14:textId="16A324B6" w:rsidR="00055AD8" w:rsidRPr="00674C47" w:rsidRDefault="00ED7F1E" w:rsidP="0045725A">
      <w:pPr>
        <w:spacing w:line="276" w:lineRule="auto"/>
        <w:jc w:val="both"/>
        <w:rPr>
          <w:rFonts w:asciiTheme="minorHAnsi" w:hAnsiTheme="minorHAnsi"/>
          <w:sz w:val="24"/>
          <w:szCs w:val="24"/>
        </w:rPr>
      </w:pPr>
      <w:r w:rsidRPr="00674C47">
        <w:rPr>
          <w:rFonts w:asciiTheme="minorHAnsi" w:hAnsiTheme="minorHAnsi"/>
          <w:sz w:val="24"/>
          <w:szCs w:val="24"/>
        </w:rPr>
        <w:tab/>
        <w:t>Of children interviewed, two children have families where two sibl</w:t>
      </w:r>
      <w:r w:rsidR="006C0061" w:rsidRPr="00674C47">
        <w:rPr>
          <w:rFonts w:asciiTheme="minorHAnsi" w:hAnsiTheme="minorHAnsi"/>
          <w:sz w:val="24"/>
          <w:szCs w:val="24"/>
        </w:rPr>
        <w:t>ings are accessing long day care</w:t>
      </w:r>
      <w:r w:rsidRPr="00674C47">
        <w:rPr>
          <w:rFonts w:asciiTheme="minorHAnsi" w:hAnsiTheme="minorHAnsi"/>
          <w:sz w:val="24"/>
          <w:szCs w:val="24"/>
        </w:rPr>
        <w:t xml:space="preserve">, and one child has a family where two out of three siblings are accessing long day care. </w:t>
      </w:r>
      <w:r w:rsidR="00407142" w:rsidRPr="00674C47">
        <w:rPr>
          <w:rFonts w:asciiTheme="minorHAnsi" w:hAnsiTheme="minorHAnsi"/>
          <w:sz w:val="24"/>
          <w:szCs w:val="24"/>
        </w:rPr>
        <w:t xml:space="preserve">As </w:t>
      </w:r>
      <w:r w:rsidR="008763D3" w:rsidRPr="00674C47">
        <w:rPr>
          <w:rFonts w:ascii="Calibri" w:eastAsia="Calibri" w:hAnsi="Calibri"/>
          <w:sz w:val="24"/>
          <w:szCs w:val="24"/>
          <w:lang w:eastAsia="en-US"/>
        </w:rPr>
        <w:t xml:space="preserve">Kai and Marcus commented, “sometimes I go to Gowrie with my sister”; “I see my brother”. </w:t>
      </w:r>
      <w:r w:rsidRPr="00674C47">
        <w:rPr>
          <w:rFonts w:asciiTheme="minorHAnsi" w:hAnsiTheme="minorHAnsi"/>
          <w:sz w:val="24"/>
          <w:szCs w:val="24"/>
        </w:rPr>
        <w:t xml:space="preserve">All families make use of some form of government subsidy to support long day care fees, and for these particular families, </w:t>
      </w:r>
      <w:r w:rsidR="008973F7" w:rsidRPr="00674C47">
        <w:rPr>
          <w:rFonts w:asciiTheme="minorHAnsi" w:hAnsiTheme="minorHAnsi"/>
          <w:sz w:val="24"/>
          <w:szCs w:val="24"/>
        </w:rPr>
        <w:t>a per child subsidy rate without adjustment would have implications</w:t>
      </w:r>
      <w:r w:rsidR="0045725A" w:rsidRPr="00674C47">
        <w:rPr>
          <w:rFonts w:asciiTheme="minorHAnsi" w:hAnsiTheme="minorHAnsi"/>
          <w:sz w:val="24"/>
          <w:szCs w:val="24"/>
        </w:rPr>
        <w:t>.</w:t>
      </w:r>
    </w:p>
    <w:p w14:paraId="7C80E064" w14:textId="77777777" w:rsidR="00ED7F1E" w:rsidRPr="00674C47" w:rsidRDefault="00ED7F1E" w:rsidP="00ED7F1E">
      <w:pPr>
        <w:spacing w:line="276" w:lineRule="auto"/>
        <w:rPr>
          <w:rFonts w:asciiTheme="minorHAnsi" w:hAnsiTheme="minorHAnsi"/>
          <w:sz w:val="24"/>
          <w:szCs w:val="24"/>
        </w:rPr>
      </w:pPr>
    </w:p>
    <w:p w14:paraId="772D4B85" w14:textId="77777777" w:rsidR="008973F7" w:rsidRDefault="006C0061" w:rsidP="0016455D">
      <w:pPr>
        <w:spacing w:line="276" w:lineRule="auto"/>
        <w:jc w:val="both"/>
        <w:rPr>
          <w:rFonts w:asciiTheme="minorHAnsi" w:hAnsiTheme="minorHAnsi"/>
          <w:sz w:val="24"/>
          <w:szCs w:val="24"/>
        </w:rPr>
      </w:pPr>
      <w:r w:rsidRPr="00674C47">
        <w:rPr>
          <w:rFonts w:asciiTheme="minorHAnsi" w:hAnsiTheme="minorHAnsi"/>
          <w:sz w:val="24"/>
          <w:szCs w:val="24"/>
        </w:rPr>
        <w:t xml:space="preserve">DRAFT FINDINGS 5.2: Participation in a preschool program in the year before starting formal schooling provides benefits in terms of child development and a successful transition to school. Any </w:t>
      </w:r>
      <w:proofErr w:type="gramStart"/>
      <w:r w:rsidRPr="00674C47">
        <w:rPr>
          <w:rFonts w:asciiTheme="minorHAnsi" w:hAnsiTheme="minorHAnsi"/>
          <w:sz w:val="24"/>
          <w:szCs w:val="24"/>
        </w:rPr>
        <w:t>decision</w:t>
      </w:r>
      <w:proofErr w:type="gramEnd"/>
      <w:r w:rsidRPr="00674C47">
        <w:rPr>
          <w:rFonts w:asciiTheme="minorHAnsi" w:hAnsiTheme="minorHAnsi"/>
          <w:sz w:val="24"/>
          <w:szCs w:val="24"/>
        </w:rPr>
        <w:t xml:space="preserve"> to extend the universal access arrangement to younger children should be based on an analysis of the effectiveness of the existing arrangements in improving development outcomes and from evidence drawn from relevant Australian and overseas research. This would assist in determining how preschool should ultimately be integrated into the school based education system.</w:t>
      </w:r>
    </w:p>
    <w:p w14:paraId="6D778F00" w14:textId="77777777" w:rsidR="001647FE" w:rsidRPr="001647FE" w:rsidRDefault="001647FE" w:rsidP="0016455D">
      <w:pPr>
        <w:spacing w:line="276" w:lineRule="auto"/>
        <w:jc w:val="both"/>
        <w:rPr>
          <w:rFonts w:asciiTheme="minorHAnsi" w:hAnsiTheme="minorHAnsi"/>
          <w:sz w:val="22"/>
          <w:szCs w:val="24"/>
        </w:rPr>
      </w:pPr>
    </w:p>
    <w:p w14:paraId="72D7E851" w14:textId="7D18EDAA" w:rsidR="005F174A" w:rsidRPr="00674C47" w:rsidRDefault="0016455D" w:rsidP="005F174A">
      <w:pPr>
        <w:spacing w:line="276" w:lineRule="auto"/>
        <w:jc w:val="both"/>
        <w:rPr>
          <w:rFonts w:asciiTheme="minorHAnsi" w:hAnsiTheme="minorHAnsi"/>
          <w:sz w:val="24"/>
          <w:szCs w:val="24"/>
        </w:rPr>
      </w:pPr>
      <w:r w:rsidRPr="00674C47">
        <w:rPr>
          <w:rFonts w:asciiTheme="minorHAnsi" w:hAnsiTheme="minorHAnsi"/>
          <w:sz w:val="24"/>
          <w:szCs w:val="24"/>
        </w:rPr>
        <w:tab/>
      </w:r>
      <w:r w:rsidR="005F174A" w:rsidRPr="00674C47">
        <w:rPr>
          <w:rFonts w:asciiTheme="minorHAnsi" w:hAnsiTheme="minorHAnsi"/>
          <w:sz w:val="24"/>
          <w:szCs w:val="24"/>
        </w:rPr>
        <w:t xml:space="preserve">Basically: “Yeah, it’s important to go to </w:t>
      </w:r>
      <w:proofErr w:type="spellStart"/>
      <w:r w:rsidR="005F174A" w:rsidRPr="00674C47">
        <w:rPr>
          <w:rFonts w:asciiTheme="minorHAnsi" w:hAnsiTheme="minorHAnsi"/>
          <w:sz w:val="24"/>
          <w:szCs w:val="24"/>
        </w:rPr>
        <w:t>kindy</w:t>
      </w:r>
      <w:proofErr w:type="spellEnd"/>
      <w:r w:rsidR="005F174A" w:rsidRPr="00674C47">
        <w:rPr>
          <w:rFonts w:asciiTheme="minorHAnsi" w:hAnsiTheme="minorHAnsi"/>
          <w:sz w:val="24"/>
          <w:szCs w:val="24"/>
        </w:rPr>
        <w:t xml:space="preserve"> before school” (Blake</w:t>
      </w:r>
      <w:proofErr w:type="gramStart"/>
      <w:r w:rsidR="005F174A" w:rsidRPr="00674C47">
        <w:rPr>
          <w:rFonts w:asciiTheme="minorHAnsi" w:hAnsiTheme="minorHAnsi"/>
          <w:sz w:val="24"/>
          <w:szCs w:val="24"/>
        </w:rPr>
        <w:t>),</w:t>
      </w:r>
      <w:proofErr w:type="gramEnd"/>
      <w:r w:rsidR="005F174A" w:rsidRPr="00674C47">
        <w:rPr>
          <w:rFonts w:asciiTheme="minorHAnsi" w:hAnsiTheme="minorHAnsi"/>
          <w:sz w:val="24"/>
          <w:szCs w:val="24"/>
        </w:rPr>
        <w:t xml:space="preserve"> agreed with by an enthusiastic “yes!” from </w:t>
      </w:r>
      <w:r w:rsidR="00FE320E" w:rsidRPr="00674C47">
        <w:rPr>
          <w:rFonts w:asciiTheme="minorHAnsi" w:hAnsiTheme="minorHAnsi"/>
          <w:sz w:val="24"/>
          <w:szCs w:val="24"/>
        </w:rPr>
        <w:t>Connor.</w:t>
      </w:r>
    </w:p>
    <w:p w14:paraId="56897E85" w14:textId="761B090F" w:rsidR="00050502" w:rsidRPr="00674C47" w:rsidRDefault="0016455D" w:rsidP="005F174A">
      <w:pPr>
        <w:spacing w:line="276" w:lineRule="auto"/>
        <w:ind w:firstLine="720"/>
        <w:jc w:val="both"/>
        <w:rPr>
          <w:rFonts w:ascii="Calibri" w:eastAsia="Calibri" w:hAnsi="Calibri"/>
          <w:sz w:val="24"/>
          <w:szCs w:val="24"/>
          <w:lang w:eastAsia="en-US"/>
        </w:rPr>
      </w:pPr>
      <w:r w:rsidRPr="00674C47">
        <w:rPr>
          <w:rFonts w:asciiTheme="minorHAnsi" w:hAnsiTheme="minorHAnsi"/>
          <w:sz w:val="24"/>
          <w:szCs w:val="24"/>
        </w:rPr>
        <w:t>When children were asked, “What do you like about going to Gowrie SA?” play was a key theme. Marcus highlighted “I just like to play</w:t>
      </w:r>
      <w:r w:rsidRPr="00674C47">
        <w:rPr>
          <w:rFonts w:ascii="Calibri" w:eastAsia="Calibri" w:hAnsi="Calibri"/>
          <w:sz w:val="24"/>
          <w:szCs w:val="24"/>
          <w:lang w:eastAsia="en-US"/>
        </w:rPr>
        <w:t xml:space="preserve"> with toys and if there’s something trouble I just say stop…when I play with the tea party with someone I say that’s ok.” And Kai and Chris valued “playing </w:t>
      </w:r>
      <w:r w:rsidRPr="00674C47">
        <w:rPr>
          <w:rFonts w:ascii="Calibri" w:eastAsia="Calibri" w:hAnsi="Calibri"/>
          <w:sz w:val="24"/>
          <w:szCs w:val="24"/>
          <w:lang w:eastAsia="en-US"/>
        </w:rPr>
        <w:lastRenderedPageBreak/>
        <w:t xml:space="preserve">football with Lachlan”; “I love playing with Lachlan in the soccer”. </w:t>
      </w:r>
      <w:r w:rsidR="00255352" w:rsidRPr="00674C47">
        <w:rPr>
          <w:rFonts w:ascii="Calibri" w:eastAsia="Calibri" w:hAnsi="Calibri"/>
          <w:sz w:val="24"/>
          <w:szCs w:val="24"/>
          <w:lang w:eastAsia="en-US"/>
        </w:rPr>
        <w:t>The importance of play for children’s development in the presc</w:t>
      </w:r>
      <w:r w:rsidR="00EE556E" w:rsidRPr="00674C47">
        <w:rPr>
          <w:rFonts w:ascii="Calibri" w:eastAsia="Calibri" w:hAnsi="Calibri"/>
          <w:sz w:val="24"/>
          <w:szCs w:val="24"/>
          <w:lang w:eastAsia="en-US"/>
        </w:rPr>
        <w:t>hool years is widely recognised</w:t>
      </w:r>
      <w:r w:rsidR="00255352" w:rsidRPr="00674C47">
        <w:rPr>
          <w:rFonts w:ascii="Calibri" w:eastAsia="Calibri" w:hAnsi="Calibri"/>
          <w:sz w:val="24"/>
          <w:szCs w:val="24"/>
          <w:lang w:eastAsia="en-US"/>
        </w:rPr>
        <w:t xml:space="preserve">, and participation in preschool programs is a major vehicle for children to engage in play that is scaffolded and intentionally planned for under the Early Years Learning Framework (Leggett &amp; Ford 2013). For these children, attending an integrated preschool program in a community child centre also provides them opportunities to develop their social competence, a key indicator of school readiness </w:t>
      </w:r>
      <w:r w:rsidR="00CA65B9" w:rsidRPr="00674C47">
        <w:rPr>
          <w:rFonts w:ascii="Calibri" w:eastAsia="Calibri" w:hAnsi="Calibri"/>
          <w:sz w:val="24"/>
          <w:szCs w:val="24"/>
          <w:lang w:eastAsia="en-US"/>
        </w:rPr>
        <w:t>(</w:t>
      </w:r>
      <w:proofErr w:type="spellStart"/>
      <w:r w:rsidR="00CA65B9" w:rsidRPr="00674C47">
        <w:rPr>
          <w:rFonts w:ascii="Calibri" w:eastAsia="Calibri" w:hAnsi="Calibri"/>
          <w:sz w:val="24"/>
          <w:szCs w:val="24"/>
          <w:lang w:eastAsia="en-US"/>
        </w:rPr>
        <w:t>Ziv</w:t>
      </w:r>
      <w:proofErr w:type="spellEnd"/>
      <w:r w:rsidR="00CA65B9" w:rsidRPr="00674C47">
        <w:rPr>
          <w:rFonts w:ascii="Calibri" w:eastAsia="Calibri" w:hAnsi="Calibri"/>
          <w:sz w:val="24"/>
          <w:szCs w:val="24"/>
          <w:lang w:eastAsia="en-US"/>
        </w:rPr>
        <w:t xml:space="preserve"> 2013</w:t>
      </w:r>
      <w:r w:rsidR="00255352" w:rsidRPr="00674C47">
        <w:rPr>
          <w:rFonts w:ascii="Calibri" w:eastAsia="Calibri" w:hAnsi="Calibri"/>
          <w:sz w:val="24"/>
          <w:szCs w:val="24"/>
          <w:lang w:eastAsia="en-US"/>
        </w:rPr>
        <w:t xml:space="preserve">), as Fang Hua </w:t>
      </w:r>
      <w:r w:rsidR="005F174A" w:rsidRPr="00674C47">
        <w:rPr>
          <w:rFonts w:ascii="Calibri" w:eastAsia="Calibri" w:hAnsi="Calibri"/>
          <w:sz w:val="24"/>
          <w:szCs w:val="24"/>
          <w:lang w:eastAsia="en-US"/>
        </w:rPr>
        <w:t>and Connor said</w:t>
      </w:r>
      <w:r w:rsidR="00255352" w:rsidRPr="00674C47">
        <w:rPr>
          <w:rFonts w:ascii="Calibri" w:eastAsia="Calibri" w:hAnsi="Calibri"/>
          <w:sz w:val="24"/>
          <w:szCs w:val="24"/>
          <w:lang w:eastAsia="en-US"/>
        </w:rPr>
        <w:t>, “Um I playing um Frozen with Bella”</w:t>
      </w:r>
      <w:r w:rsidR="005F174A" w:rsidRPr="00674C47">
        <w:rPr>
          <w:rFonts w:ascii="Calibri" w:eastAsia="Calibri" w:hAnsi="Calibri"/>
          <w:sz w:val="24"/>
          <w:szCs w:val="24"/>
          <w:lang w:eastAsia="en-US"/>
        </w:rPr>
        <w:t>; “I like playing ghosts with my friend Chris”</w:t>
      </w:r>
      <w:r w:rsidR="00CA65B9" w:rsidRPr="00674C47">
        <w:rPr>
          <w:rFonts w:ascii="Calibri" w:eastAsia="Calibri" w:hAnsi="Calibri"/>
          <w:sz w:val="24"/>
          <w:szCs w:val="24"/>
          <w:lang w:eastAsia="en-US"/>
        </w:rPr>
        <w:t>.</w:t>
      </w:r>
      <w:r w:rsidR="005F174A" w:rsidRPr="00674C47">
        <w:rPr>
          <w:rFonts w:ascii="Calibri" w:eastAsia="Calibri" w:hAnsi="Calibri"/>
          <w:sz w:val="24"/>
          <w:szCs w:val="24"/>
          <w:lang w:eastAsia="en-US"/>
        </w:rPr>
        <w:t xml:space="preserve"> </w:t>
      </w:r>
      <w:proofErr w:type="spellStart"/>
      <w:r w:rsidR="00050502" w:rsidRPr="00674C47">
        <w:rPr>
          <w:rFonts w:ascii="Calibri" w:eastAsia="Calibri" w:hAnsi="Calibri"/>
          <w:sz w:val="24"/>
          <w:szCs w:val="24"/>
          <w:lang w:eastAsia="en-US"/>
        </w:rPr>
        <w:t>Taehan</w:t>
      </w:r>
      <w:proofErr w:type="spellEnd"/>
      <w:r w:rsidR="00050502" w:rsidRPr="00674C47">
        <w:rPr>
          <w:rFonts w:ascii="Calibri" w:eastAsia="Calibri" w:hAnsi="Calibri"/>
          <w:sz w:val="24"/>
          <w:szCs w:val="24"/>
          <w:lang w:eastAsia="en-US"/>
        </w:rPr>
        <w:t xml:space="preserve"> agreed that “yes”, learning happens at Gowrie, like “Mathematics”, and according to Connor, how to take care of your wellbeing: “It’s hot in here. Hey so I took my hat off, and my jumper”</w:t>
      </w:r>
      <w:r w:rsidR="005F174A" w:rsidRPr="00674C47">
        <w:rPr>
          <w:rFonts w:ascii="Calibri" w:eastAsia="Calibri" w:hAnsi="Calibri"/>
          <w:sz w:val="24"/>
          <w:szCs w:val="24"/>
          <w:lang w:eastAsia="en-US"/>
        </w:rPr>
        <w:t>.</w:t>
      </w:r>
    </w:p>
    <w:p w14:paraId="1FB71C70" w14:textId="15B4DCDB" w:rsidR="006C0061" w:rsidRPr="00674C47" w:rsidRDefault="0007446F" w:rsidP="00050502">
      <w:pPr>
        <w:spacing w:line="276" w:lineRule="auto"/>
        <w:ind w:firstLine="720"/>
        <w:jc w:val="both"/>
        <w:rPr>
          <w:rFonts w:asciiTheme="minorHAnsi" w:hAnsiTheme="minorHAnsi"/>
          <w:sz w:val="24"/>
          <w:szCs w:val="24"/>
        </w:rPr>
      </w:pPr>
      <w:r w:rsidRPr="00674C47">
        <w:rPr>
          <w:rFonts w:ascii="Calibri" w:eastAsia="Calibri" w:hAnsi="Calibri"/>
          <w:sz w:val="24"/>
          <w:szCs w:val="24"/>
          <w:lang w:eastAsia="en-US"/>
        </w:rPr>
        <w:t>When asked, “</w:t>
      </w:r>
      <w:proofErr w:type="gramStart"/>
      <w:r w:rsidRPr="00674C47">
        <w:rPr>
          <w:rFonts w:ascii="Calibri" w:eastAsia="Calibri" w:hAnsi="Calibri"/>
          <w:sz w:val="24"/>
          <w:szCs w:val="24"/>
          <w:lang w:eastAsia="en-US"/>
        </w:rPr>
        <w:t>and</w:t>
      </w:r>
      <w:proofErr w:type="gramEnd"/>
      <w:r w:rsidRPr="00674C47">
        <w:rPr>
          <w:rFonts w:ascii="Calibri" w:eastAsia="Calibri" w:hAnsi="Calibri"/>
          <w:sz w:val="24"/>
          <w:szCs w:val="24"/>
          <w:lang w:eastAsia="en-US"/>
        </w:rPr>
        <w:t xml:space="preserve"> Mason, do you learn things at Gowrie SA?” he nodded immediately and enthusiastically, “Yup”. “I learn playing with people…like, uh, things that are hard” (Mason). As a recently transitioned child into an integrated 3-5 year old and preschool room, Mason demonstrates the opportunities he has to engage with challenges, and engage in scaffolded learning with older children.</w:t>
      </w:r>
    </w:p>
    <w:p w14:paraId="6CF9C6F1" w14:textId="77777777" w:rsidR="0016455D" w:rsidRPr="00674C47" w:rsidRDefault="0016455D" w:rsidP="00ED7F1E">
      <w:pPr>
        <w:spacing w:line="276" w:lineRule="auto"/>
        <w:rPr>
          <w:rFonts w:asciiTheme="minorHAnsi" w:hAnsiTheme="minorHAnsi"/>
          <w:sz w:val="24"/>
          <w:szCs w:val="24"/>
        </w:rPr>
      </w:pPr>
    </w:p>
    <w:p w14:paraId="4ECAB68D" w14:textId="77777777" w:rsidR="006C0061" w:rsidRDefault="006C0061" w:rsidP="001647FE">
      <w:pPr>
        <w:spacing w:line="276" w:lineRule="auto"/>
        <w:jc w:val="both"/>
        <w:rPr>
          <w:rFonts w:asciiTheme="minorHAnsi" w:hAnsiTheme="minorHAnsi"/>
          <w:sz w:val="24"/>
          <w:szCs w:val="24"/>
        </w:rPr>
      </w:pPr>
      <w:r w:rsidRPr="00674C47">
        <w:rPr>
          <w:rFonts w:asciiTheme="minorHAnsi" w:hAnsiTheme="minorHAnsi"/>
          <w:sz w:val="24"/>
          <w:szCs w:val="24"/>
        </w:rPr>
        <w:t xml:space="preserve">DRAFT RECOMMENDATION 12.9: </w:t>
      </w:r>
      <w:r w:rsidR="000F6F3A" w:rsidRPr="00674C47">
        <w:rPr>
          <w:rFonts w:asciiTheme="minorHAnsi" w:hAnsiTheme="minorHAnsi"/>
          <w:sz w:val="24"/>
          <w:szCs w:val="24"/>
        </w:rPr>
        <w:t>The Australian Government should negotiate with the state and territory governments to incorporate their funding for preschool into the funding for schools, and encourage extension of school services to include preschool.</w:t>
      </w:r>
    </w:p>
    <w:p w14:paraId="7587954D" w14:textId="77777777" w:rsidR="001647FE" w:rsidRPr="001647FE" w:rsidRDefault="001647FE" w:rsidP="001647FE">
      <w:pPr>
        <w:spacing w:line="276" w:lineRule="auto"/>
        <w:jc w:val="both"/>
        <w:rPr>
          <w:rFonts w:asciiTheme="minorHAnsi" w:hAnsiTheme="minorHAnsi"/>
          <w:sz w:val="22"/>
          <w:szCs w:val="24"/>
        </w:rPr>
      </w:pPr>
    </w:p>
    <w:p w14:paraId="51CA0C19" w14:textId="3F2827FE" w:rsidR="000F6F3A" w:rsidRPr="00674C47" w:rsidRDefault="00280269" w:rsidP="00280269">
      <w:pPr>
        <w:spacing w:line="276" w:lineRule="auto"/>
        <w:jc w:val="both"/>
        <w:rPr>
          <w:rFonts w:asciiTheme="minorHAnsi" w:hAnsiTheme="minorHAnsi"/>
          <w:sz w:val="24"/>
          <w:szCs w:val="24"/>
        </w:rPr>
      </w:pPr>
      <w:r w:rsidRPr="00674C47">
        <w:rPr>
          <w:rFonts w:asciiTheme="minorHAnsi" w:hAnsiTheme="minorHAnsi"/>
          <w:sz w:val="24"/>
          <w:szCs w:val="24"/>
        </w:rPr>
        <w:tab/>
      </w:r>
      <w:r w:rsidR="0054608D" w:rsidRPr="00674C47">
        <w:rPr>
          <w:rFonts w:asciiTheme="minorHAnsi" w:hAnsiTheme="minorHAnsi"/>
          <w:sz w:val="24"/>
          <w:szCs w:val="24"/>
        </w:rPr>
        <w:t>Children spoke about the experiences of their siblings who have entered formal schooling “but my sister goes to school”</w:t>
      </w:r>
      <w:r w:rsidR="00A9118B" w:rsidRPr="00674C47">
        <w:rPr>
          <w:rFonts w:asciiTheme="minorHAnsi" w:hAnsiTheme="minorHAnsi"/>
          <w:sz w:val="24"/>
          <w:szCs w:val="24"/>
        </w:rPr>
        <w:t xml:space="preserve"> (Chris</w:t>
      </w:r>
      <w:r w:rsidR="0054608D" w:rsidRPr="00674C47">
        <w:rPr>
          <w:rFonts w:asciiTheme="minorHAnsi" w:hAnsiTheme="minorHAnsi"/>
          <w:sz w:val="24"/>
          <w:szCs w:val="24"/>
        </w:rPr>
        <w:t>)</w:t>
      </w:r>
      <w:r w:rsidR="00A9118B" w:rsidRPr="00674C47">
        <w:rPr>
          <w:rFonts w:asciiTheme="minorHAnsi" w:hAnsiTheme="minorHAnsi"/>
          <w:sz w:val="24"/>
          <w:szCs w:val="24"/>
        </w:rPr>
        <w:t>; “</w:t>
      </w:r>
      <w:r w:rsidR="0009042A" w:rsidRPr="00674C47">
        <w:rPr>
          <w:rFonts w:asciiTheme="minorHAnsi" w:hAnsiTheme="minorHAnsi"/>
          <w:sz w:val="24"/>
          <w:szCs w:val="24"/>
        </w:rPr>
        <w:t xml:space="preserve">my sister goes to </w:t>
      </w:r>
      <w:r w:rsidR="00A9118B" w:rsidRPr="00674C47">
        <w:rPr>
          <w:rFonts w:asciiTheme="minorHAnsi" w:hAnsiTheme="minorHAnsi"/>
          <w:sz w:val="24"/>
          <w:szCs w:val="24"/>
        </w:rPr>
        <w:t>school right behind these houses” (Melissa)</w:t>
      </w:r>
      <w:r w:rsidR="0054608D" w:rsidRPr="00674C47">
        <w:rPr>
          <w:rFonts w:asciiTheme="minorHAnsi" w:hAnsiTheme="minorHAnsi"/>
          <w:sz w:val="24"/>
          <w:szCs w:val="24"/>
        </w:rPr>
        <w:t xml:space="preserve">. This highlights the importance of strengthening connections between early education settings and schools, whether they are preschools, long day care, or others, to support children’s sense of community </w:t>
      </w:r>
      <w:r w:rsidR="00235CCF" w:rsidRPr="00674C47">
        <w:rPr>
          <w:rFonts w:asciiTheme="minorHAnsi" w:hAnsiTheme="minorHAnsi"/>
          <w:sz w:val="24"/>
          <w:szCs w:val="24"/>
        </w:rPr>
        <w:t xml:space="preserve">and effectiveness of school transitions (Lee </w:t>
      </w:r>
      <w:r w:rsidR="00B81C1B" w:rsidRPr="00674C47">
        <w:rPr>
          <w:rFonts w:asciiTheme="minorHAnsi" w:hAnsiTheme="minorHAnsi"/>
          <w:sz w:val="24"/>
          <w:szCs w:val="24"/>
        </w:rPr>
        <w:t>&amp; Goh 2012</w:t>
      </w:r>
      <w:r w:rsidR="00235CCF" w:rsidRPr="00674C47">
        <w:rPr>
          <w:rFonts w:asciiTheme="minorHAnsi" w:hAnsiTheme="minorHAnsi"/>
          <w:sz w:val="24"/>
          <w:szCs w:val="24"/>
        </w:rPr>
        <w:t>).</w:t>
      </w:r>
      <w:r w:rsidR="00C8075E" w:rsidRPr="00674C47">
        <w:rPr>
          <w:rFonts w:asciiTheme="minorHAnsi" w:hAnsiTheme="minorHAnsi"/>
          <w:sz w:val="24"/>
          <w:szCs w:val="24"/>
        </w:rPr>
        <w:t xml:space="preserve"> This is especially true as “when I grow up I’m going to go to school” (Connor).</w:t>
      </w:r>
    </w:p>
    <w:p w14:paraId="689A61E1" w14:textId="77777777" w:rsidR="0054608D" w:rsidRPr="00674C47" w:rsidRDefault="0054608D" w:rsidP="00280269">
      <w:pPr>
        <w:spacing w:line="276" w:lineRule="auto"/>
        <w:jc w:val="both"/>
        <w:rPr>
          <w:rFonts w:asciiTheme="minorHAnsi" w:hAnsiTheme="minorHAnsi"/>
          <w:sz w:val="24"/>
          <w:szCs w:val="24"/>
        </w:rPr>
      </w:pPr>
    </w:p>
    <w:p w14:paraId="360F9372" w14:textId="1C48155A" w:rsidR="00F27CA9" w:rsidRDefault="00F27CA9" w:rsidP="001647FE">
      <w:pPr>
        <w:spacing w:line="276" w:lineRule="auto"/>
        <w:jc w:val="both"/>
        <w:rPr>
          <w:rFonts w:asciiTheme="minorHAnsi" w:hAnsiTheme="minorHAnsi"/>
          <w:sz w:val="24"/>
          <w:szCs w:val="24"/>
        </w:rPr>
      </w:pPr>
      <w:r w:rsidRPr="00674C47">
        <w:rPr>
          <w:rFonts w:asciiTheme="minorHAnsi" w:hAnsiTheme="minorHAnsi"/>
          <w:sz w:val="24"/>
          <w:szCs w:val="24"/>
        </w:rPr>
        <w:t>INFORMATION REQUEST 5.1: What are the optimal hours of attendance at preschool to ensure children’s development, and what is the basis for this?</w:t>
      </w:r>
    </w:p>
    <w:p w14:paraId="70CFF8C5" w14:textId="77777777" w:rsidR="001647FE" w:rsidRPr="001647FE" w:rsidRDefault="001647FE" w:rsidP="00ED7F1E">
      <w:pPr>
        <w:spacing w:line="276" w:lineRule="auto"/>
        <w:rPr>
          <w:rFonts w:asciiTheme="minorHAnsi" w:hAnsiTheme="minorHAnsi"/>
          <w:sz w:val="22"/>
          <w:szCs w:val="24"/>
        </w:rPr>
      </w:pPr>
    </w:p>
    <w:p w14:paraId="15FB1020" w14:textId="6367F81F" w:rsidR="00280269" w:rsidRPr="00674C47" w:rsidRDefault="00280269" w:rsidP="00280269">
      <w:pPr>
        <w:spacing w:line="276" w:lineRule="auto"/>
        <w:jc w:val="both"/>
        <w:rPr>
          <w:rFonts w:asciiTheme="minorHAnsi" w:hAnsiTheme="minorHAnsi"/>
          <w:sz w:val="24"/>
          <w:szCs w:val="24"/>
        </w:rPr>
      </w:pPr>
      <w:r w:rsidRPr="00674C47">
        <w:rPr>
          <w:rFonts w:asciiTheme="minorHAnsi" w:hAnsiTheme="minorHAnsi"/>
          <w:sz w:val="24"/>
          <w:szCs w:val="24"/>
        </w:rPr>
        <w:tab/>
        <w:t>Generally the children interviewed attended 2-3 days of care a week, with all interviewed children who access preschool accessing 15 hours a week. Children’s reflections on how much time they spend at Gowrie SA</w:t>
      </w:r>
      <w:r w:rsidR="0021259C" w:rsidRPr="00674C47">
        <w:rPr>
          <w:rFonts w:asciiTheme="minorHAnsi" w:hAnsiTheme="minorHAnsi"/>
          <w:sz w:val="24"/>
          <w:szCs w:val="24"/>
        </w:rPr>
        <w:t>, and what those hours of attendance mean to them,</w:t>
      </w:r>
      <w:r w:rsidRPr="00674C47">
        <w:rPr>
          <w:rFonts w:asciiTheme="minorHAnsi" w:hAnsiTheme="minorHAnsi"/>
          <w:sz w:val="24"/>
          <w:szCs w:val="24"/>
        </w:rPr>
        <w:t xml:space="preserve"> are as follows: </w:t>
      </w:r>
      <w:r w:rsidR="0021259C" w:rsidRPr="00674C47">
        <w:rPr>
          <w:rFonts w:asciiTheme="minorHAnsi" w:hAnsiTheme="minorHAnsi"/>
          <w:sz w:val="24"/>
          <w:szCs w:val="24"/>
        </w:rPr>
        <w:t>“I come two-thirty-one” (</w:t>
      </w:r>
      <w:proofErr w:type="spellStart"/>
      <w:r w:rsidR="0021259C" w:rsidRPr="00674C47">
        <w:rPr>
          <w:rFonts w:asciiTheme="minorHAnsi" w:hAnsiTheme="minorHAnsi"/>
          <w:sz w:val="24"/>
          <w:szCs w:val="24"/>
        </w:rPr>
        <w:t>Taehan</w:t>
      </w:r>
      <w:proofErr w:type="spellEnd"/>
      <w:r w:rsidR="0021259C" w:rsidRPr="00674C47">
        <w:rPr>
          <w:rFonts w:asciiTheme="minorHAnsi" w:hAnsiTheme="minorHAnsi"/>
          <w:sz w:val="24"/>
          <w:szCs w:val="24"/>
        </w:rPr>
        <w:t xml:space="preserve">); “I come two-thirteen” (Mason); </w:t>
      </w:r>
      <w:r w:rsidRPr="00674C47">
        <w:rPr>
          <w:rFonts w:asciiTheme="minorHAnsi" w:hAnsiTheme="minorHAnsi"/>
          <w:sz w:val="24"/>
          <w:szCs w:val="24"/>
        </w:rPr>
        <w:t xml:space="preserve">“I only go once a week” (Christina); </w:t>
      </w:r>
      <w:r w:rsidR="0021259C" w:rsidRPr="00674C47">
        <w:rPr>
          <w:rFonts w:asciiTheme="minorHAnsi" w:hAnsiTheme="minorHAnsi"/>
          <w:sz w:val="24"/>
          <w:szCs w:val="24"/>
        </w:rPr>
        <w:t>“</w:t>
      </w:r>
      <w:proofErr w:type="spellStart"/>
      <w:r w:rsidR="0021259C" w:rsidRPr="00674C47">
        <w:rPr>
          <w:rFonts w:asciiTheme="minorHAnsi" w:hAnsiTheme="minorHAnsi"/>
          <w:sz w:val="24"/>
          <w:szCs w:val="24"/>
        </w:rPr>
        <w:t>er</w:t>
      </w:r>
      <w:proofErr w:type="spellEnd"/>
      <w:r w:rsidR="0021259C" w:rsidRPr="00674C47">
        <w:rPr>
          <w:rFonts w:asciiTheme="minorHAnsi" w:hAnsiTheme="minorHAnsi"/>
          <w:sz w:val="24"/>
          <w:szCs w:val="24"/>
        </w:rPr>
        <w:t xml:space="preserve">, one day a week, </w:t>
      </w:r>
      <w:proofErr w:type="spellStart"/>
      <w:r w:rsidR="0021259C" w:rsidRPr="00674C47">
        <w:rPr>
          <w:rFonts w:asciiTheme="minorHAnsi" w:hAnsiTheme="minorHAnsi"/>
          <w:sz w:val="24"/>
          <w:szCs w:val="24"/>
        </w:rPr>
        <w:t>kindy’s</w:t>
      </w:r>
      <w:proofErr w:type="spellEnd"/>
      <w:r w:rsidR="0021259C" w:rsidRPr="00674C47">
        <w:rPr>
          <w:rFonts w:asciiTheme="minorHAnsi" w:hAnsiTheme="minorHAnsi"/>
          <w:sz w:val="24"/>
          <w:szCs w:val="24"/>
        </w:rPr>
        <w:t xml:space="preserve"> two days a week” (Blake); </w:t>
      </w:r>
      <w:r w:rsidR="005C7F3C" w:rsidRPr="00674C47">
        <w:rPr>
          <w:rFonts w:asciiTheme="minorHAnsi" w:hAnsiTheme="minorHAnsi"/>
          <w:sz w:val="24"/>
          <w:szCs w:val="24"/>
        </w:rPr>
        <w:t xml:space="preserve">“I think three days is good” (Connor); </w:t>
      </w:r>
      <w:r w:rsidRPr="00674C47">
        <w:rPr>
          <w:rFonts w:asciiTheme="minorHAnsi" w:hAnsiTheme="minorHAnsi"/>
          <w:sz w:val="24"/>
          <w:szCs w:val="24"/>
        </w:rPr>
        <w:t>“</w:t>
      </w:r>
      <w:r w:rsidRPr="00674C47">
        <w:rPr>
          <w:rFonts w:ascii="Calibri" w:eastAsia="Calibri" w:hAnsi="Calibri"/>
          <w:sz w:val="24"/>
          <w:szCs w:val="24"/>
          <w:lang w:eastAsia="en-US"/>
        </w:rPr>
        <w:t>but sometimes I stay home. But sometimes I</w:t>
      </w:r>
      <w:r w:rsidR="008763D3" w:rsidRPr="00674C47">
        <w:rPr>
          <w:rFonts w:ascii="Calibri" w:eastAsia="Calibri" w:hAnsi="Calibri"/>
          <w:sz w:val="24"/>
          <w:szCs w:val="24"/>
          <w:lang w:eastAsia="en-US"/>
        </w:rPr>
        <w:t xml:space="preserve"> go to Gowrie </w:t>
      </w:r>
      <w:r w:rsidRPr="00674C47">
        <w:rPr>
          <w:rFonts w:ascii="Calibri" w:eastAsia="Calibri" w:hAnsi="Calibri"/>
          <w:sz w:val="24"/>
          <w:szCs w:val="24"/>
          <w:lang w:eastAsia="en-US"/>
        </w:rPr>
        <w:t>with my sister” (Kai)</w:t>
      </w:r>
      <w:r w:rsidR="008763D3" w:rsidRPr="00674C47">
        <w:rPr>
          <w:rFonts w:ascii="Calibri" w:eastAsia="Calibri" w:hAnsi="Calibri"/>
          <w:sz w:val="24"/>
          <w:szCs w:val="24"/>
          <w:lang w:eastAsia="en-US"/>
        </w:rPr>
        <w:t xml:space="preserve">. “Sometimes I see Bella not come” (Kai) [because] “she stay home” (Fang Hua). Lachlan explained </w:t>
      </w:r>
      <w:r w:rsidR="008763D3" w:rsidRPr="00674C47">
        <w:rPr>
          <w:rFonts w:asciiTheme="minorHAnsi" w:hAnsiTheme="minorHAnsi"/>
          <w:sz w:val="24"/>
          <w:szCs w:val="24"/>
        </w:rPr>
        <w:t>“I go here two days”, and when asked “is that a lot or is that ok?” he nodded saying “that’s ok”.</w:t>
      </w:r>
    </w:p>
    <w:p w14:paraId="17B4B78B" w14:textId="0AF1FE08" w:rsidR="00280269" w:rsidRPr="00674C47" w:rsidRDefault="00280269" w:rsidP="00ED7F1E">
      <w:pPr>
        <w:spacing w:line="276" w:lineRule="auto"/>
        <w:rPr>
          <w:rFonts w:asciiTheme="minorHAnsi" w:hAnsiTheme="minorHAnsi"/>
          <w:sz w:val="24"/>
          <w:szCs w:val="24"/>
        </w:rPr>
      </w:pPr>
    </w:p>
    <w:p w14:paraId="6FD7E488" w14:textId="23EDDC21" w:rsidR="0045725A" w:rsidRDefault="0045725A" w:rsidP="00FC27E8">
      <w:pPr>
        <w:spacing w:line="276" w:lineRule="auto"/>
        <w:jc w:val="both"/>
        <w:rPr>
          <w:rFonts w:asciiTheme="minorHAnsi" w:hAnsiTheme="minorHAnsi"/>
          <w:sz w:val="24"/>
          <w:szCs w:val="24"/>
        </w:rPr>
      </w:pPr>
      <w:r w:rsidRPr="00674C47">
        <w:rPr>
          <w:rFonts w:asciiTheme="minorHAnsi" w:hAnsiTheme="minorHAnsi"/>
          <w:sz w:val="24"/>
          <w:szCs w:val="24"/>
        </w:rPr>
        <w:t>DRAFT RECOMMENDATION 7.9: Dedicated preschools should be removed from the scope of the National Quality Framework and regulated by state and territory governments under the relevant education legislation…Long day care services that deliver preschool programs should remain within the National Quality Framework.</w:t>
      </w:r>
    </w:p>
    <w:p w14:paraId="25D82A00" w14:textId="77777777" w:rsidR="001647FE" w:rsidRPr="001647FE" w:rsidRDefault="001647FE" w:rsidP="00FC27E8">
      <w:pPr>
        <w:spacing w:line="276" w:lineRule="auto"/>
        <w:jc w:val="both"/>
        <w:rPr>
          <w:rFonts w:asciiTheme="minorHAnsi" w:hAnsiTheme="minorHAnsi"/>
          <w:sz w:val="22"/>
          <w:szCs w:val="24"/>
        </w:rPr>
      </w:pPr>
    </w:p>
    <w:p w14:paraId="31870594" w14:textId="7828A3D0" w:rsidR="0045725A" w:rsidRPr="00674C47" w:rsidRDefault="00BE4F0B" w:rsidP="00BE4F0B">
      <w:pPr>
        <w:spacing w:line="276" w:lineRule="auto"/>
        <w:jc w:val="both"/>
        <w:rPr>
          <w:rFonts w:asciiTheme="minorHAnsi" w:hAnsiTheme="minorHAnsi"/>
          <w:sz w:val="24"/>
          <w:szCs w:val="24"/>
        </w:rPr>
      </w:pPr>
      <w:r w:rsidRPr="00674C47">
        <w:rPr>
          <w:rFonts w:asciiTheme="minorHAnsi" w:hAnsiTheme="minorHAnsi"/>
          <w:sz w:val="24"/>
          <w:szCs w:val="24"/>
        </w:rPr>
        <w:tab/>
        <w:t xml:space="preserve">The recommendation that quality regulation of dedicated preschools and long day care services should be separately </w:t>
      </w:r>
      <w:proofErr w:type="gramStart"/>
      <w:r w:rsidRPr="00674C47">
        <w:rPr>
          <w:rFonts w:asciiTheme="minorHAnsi" w:hAnsiTheme="minorHAnsi"/>
          <w:sz w:val="24"/>
          <w:szCs w:val="24"/>
        </w:rPr>
        <w:t>governed,</w:t>
      </w:r>
      <w:proofErr w:type="gramEnd"/>
      <w:r w:rsidRPr="00674C47">
        <w:rPr>
          <w:rFonts w:asciiTheme="minorHAnsi" w:hAnsiTheme="minorHAnsi"/>
          <w:sz w:val="24"/>
          <w:szCs w:val="24"/>
        </w:rPr>
        <w:t xml:space="preserve"> has implications for the experience of children in particular circumstances. In conversation with Lachlan about his four year old sister he said “Jenna goes to </w:t>
      </w:r>
      <w:proofErr w:type="spellStart"/>
      <w:r w:rsidRPr="00674C47">
        <w:rPr>
          <w:rFonts w:asciiTheme="minorHAnsi" w:hAnsiTheme="minorHAnsi"/>
          <w:sz w:val="24"/>
          <w:szCs w:val="24"/>
        </w:rPr>
        <w:t>kindy</w:t>
      </w:r>
      <w:proofErr w:type="spellEnd"/>
      <w:r w:rsidRPr="00674C47">
        <w:rPr>
          <w:rFonts w:asciiTheme="minorHAnsi" w:hAnsiTheme="minorHAnsi"/>
          <w:sz w:val="24"/>
          <w:szCs w:val="24"/>
        </w:rPr>
        <w:t>, and to here.” Currently accessing preschool split between dedicated preschool and an integrated preschool program, were the quality frameworks different for each site, Jen</w:t>
      </w:r>
      <w:r w:rsidR="00235CCF" w:rsidRPr="00674C47">
        <w:rPr>
          <w:rFonts w:asciiTheme="minorHAnsi" w:hAnsiTheme="minorHAnsi"/>
          <w:sz w:val="24"/>
          <w:szCs w:val="24"/>
        </w:rPr>
        <w:t>na may potentially experience disconnection or contradiction</w:t>
      </w:r>
      <w:r w:rsidRPr="00674C47">
        <w:rPr>
          <w:rFonts w:asciiTheme="minorHAnsi" w:hAnsiTheme="minorHAnsi"/>
          <w:sz w:val="24"/>
          <w:szCs w:val="24"/>
        </w:rPr>
        <w:t xml:space="preserve"> between the pedagogies and practices on each day she attends.</w:t>
      </w:r>
      <w:r w:rsidR="0021259C" w:rsidRPr="00674C47">
        <w:rPr>
          <w:rFonts w:asciiTheme="minorHAnsi" w:hAnsiTheme="minorHAnsi"/>
          <w:sz w:val="24"/>
          <w:szCs w:val="24"/>
        </w:rPr>
        <w:t xml:space="preserve"> Even for Blake, who attends “</w:t>
      </w:r>
      <w:proofErr w:type="spellStart"/>
      <w:r w:rsidR="0021259C" w:rsidRPr="00674C47">
        <w:rPr>
          <w:rFonts w:asciiTheme="minorHAnsi" w:hAnsiTheme="minorHAnsi"/>
          <w:sz w:val="24"/>
          <w:szCs w:val="24"/>
        </w:rPr>
        <w:t>er</w:t>
      </w:r>
      <w:proofErr w:type="spellEnd"/>
      <w:r w:rsidR="0021259C" w:rsidRPr="00674C47">
        <w:rPr>
          <w:rFonts w:asciiTheme="minorHAnsi" w:hAnsiTheme="minorHAnsi"/>
          <w:sz w:val="24"/>
          <w:szCs w:val="24"/>
        </w:rPr>
        <w:t xml:space="preserve">, one day a week, </w:t>
      </w:r>
      <w:proofErr w:type="spellStart"/>
      <w:r w:rsidR="0021259C" w:rsidRPr="00674C47">
        <w:rPr>
          <w:rFonts w:asciiTheme="minorHAnsi" w:hAnsiTheme="minorHAnsi"/>
          <w:sz w:val="24"/>
          <w:szCs w:val="24"/>
        </w:rPr>
        <w:t>kindy’s</w:t>
      </w:r>
      <w:proofErr w:type="spellEnd"/>
      <w:r w:rsidR="0021259C" w:rsidRPr="00674C47">
        <w:rPr>
          <w:rFonts w:asciiTheme="minorHAnsi" w:hAnsiTheme="minorHAnsi"/>
          <w:sz w:val="24"/>
          <w:szCs w:val="24"/>
        </w:rPr>
        <w:t xml:space="preserve"> two days a week”; may </w:t>
      </w:r>
      <w:r w:rsidR="00E4391B" w:rsidRPr="00674C47">
        <w:rPr>
          <w:rFonts w:asciiTheme="minorHAnsi" w:hAnsiTheme="minorHAnsi"/>
          <w:sz w:val="24"/>
          <w:szCs w:val="24"/>
        </w:rPr>
        <w:t>experience a change in the continuity.</w:t>
      </w:r>
    </w:p>
    <w:p w14:paraId="76FFF259" w14:textId="77777777" w:rsidR="00BE4F0B" w:rsidRPr="00674C47" w:rsidRDefault="00BE4F0B" w:rsidP="00BE4F0B">
      <w:pPr>
        <w:spacing w:line="276" w:lineRule="auto"/>
        <w:jc w:val="both"/>
        <w:rPr>
          <w:rFonts w:asciiTheme="minorHAnsi" w:hAnsiTheme="minorHAnsi"/>
          <w:sz w:val="24"/>
          <w:szCs w:val="24"/>
        </w:rPr>
      </w:pPr>
    </w:p>
    <w:p w14:paraId="77229DE6" w14:textId="4840602A" w:rsidR="0045725A" w:rsidRDefault="0045725A" w:rsidP="00FC27E8">
      <w:pPr>
        <w:spacing w:line="276" w:lineRule="auto"/>
        <w:jc w:val="both"/>
        <w:rPr>
          <w:rFonts w:asciiTheme="minorHAnsi" w:hAnsiTheme="minorHAnsi"/>
          <w:sz w:val="24"/>
          <w:szCs w:val="24"/>
        </w:rPr>
      </w:pPr>
      <w:r w:rsidRPr="00674C47">
        <w:rPr>
          <w:rFonts w:asciiTheme="minorHAnsi" w:hAnsiTheme="minorHAnsi"/>
          <w:sz w:val="24"/>
          <w:szCs w:val="24"/>
        </w:rPr>
        <w:t>DRAFT RECOMMENDATION 6.1: The Fair Work Ombudsman, and employer and employee associations should trial innovative approaches to</w:t>
      </w:r>
      <w:r w:rsidR="00FC27E8" w:rsidRPr="00674C47">
        <w:rPr>
          <w:rFonts w:asciiTheme="minorHAnsi" w:hAnsiTheme="minorHAnsi"/>
          <w:sz w:val="24"/>
          <w:szCs w:val="24"/>
        </w:rPr>
        <w:t xml:space="preserve"> increase awareness about the ‘right to request flexible work arrangements’, and individual flexibility arrangements under the Fair Work Act 2009 and National Employment Standards; promote positive attitudes among employers, employees and the wider community towards parents, particularly fathers, taking up flexible work and other family-friendly arrangements.</w:t>
      </w:r>
    </w:p>
    <w:p w14:paraId="11242506" w14:textId="77777777" w:rsidR="00676393" w:rsidRPr="00676393" w:rsidRDefault="00676393" w:rsidP="00FC27E8">
      <w:pPr>
        <w:spacing w:line="276" w:lineRule="auto"/>
        <w:jc w:val="both"/>
        <w:rPr>
          <w:rFonts w:asciiTheme="minorHAnsi" w:hAnsiTheme="minorHAnsi"/>
          <w:sz w:val="22"/>
          <w:szCs w:val="24"/>
        </w:rPr>
      </w:pPr>
    </w:p>
    <w:p w14:paraId="45B541EE" w14:textId="3D4FBF7D" w:rsidR="0045725A" w:rsidRPr="00FD1D87" w:rsidRDefault="00280269" w:rsidP="00FD1D87">
      <w:pPr>
        <w:spacing w:line="276" w:lineRule="auto"/>
        <w:ind w:firstLine="720"/>
        <w:jc w:val="both"/>
        <w:rPr>
          <w:rFonts w:ascii="Calibri" w:eastAsia="Calibri" w:hAnsi="Calibri"/>
          <w:sz w:val="24"/>
          <w:szCs w:val="24"/>
          <w:lang w:eastAsia="en-US"/>
        </w:rPr>
      </w:pPr>
      <w:r w:rsidRPr="00674C47">
        <w:rPr>
          <w:rFonts w:ascii="Calibri" w:eastAsia="Calibri" w:hAnsi="Calibri"/>
          <w:sz w:val="24"/>
          <w:szCs w:val="24"/>
          <w:lang w:eastAsia="en-US"/>
        </w:rPr>
        <w:t xml:space="preserve">Marcus initiated a comment that “I don’t go when I’m sick, so I was sick last night with a cough and then I was feeling better. And then um I like had a sore and um </w:t>
      </w:r>
      <w:proofErr w:type="spellStart"/>
      <w:r w:rsidRPr="00674C47">
        <w:rPr>
          <w:rFonts w:ascii="Calibri" w:eastAsia="Calibri" w:hAnsi="Calibri"/>
          <w:sz w:val="24"/>
          <w:szCs w:val="24"/>
          <w:lang w:eastAsia="en-US"/>
        </w:rPr>
        <w:t>um</w:t>
      </w:r>
      <w:proofErr w:type="spellEnd"/>
      <w:r w:rsidRPr="00674C47">
        <w:rPr>
          <w:rFonts w:ascii="Calibri" w:eastAsia="Calibri" w:hAnsi="Calibri"/>
          <w:sz w:val="24"/>
          <w:szCs w:val="24"/>
          <w:lang w:eastAsia="en-US"/>
        </w:rPr>
        <w:t xml:space="preserve"> we had a play and I just saw my brother.” The implication of this is that his parents (one of whom works full time and one of whom is currently on parental leave from work), require flexibility in their working arrangements to be able to stay home with him and his brother when they are sick.</w:t>
      </w:r>
    </w:p>
    <w:p w14:paraId="0FE90111" w14:textId="77777777" w:rsidR="0045725A" w:rsidRPr="00674C47" w:rsidRDefault="0045725A" w:rsidP="00ED7F1E">
      <w:pPr>
        <w:spacing w:line="276" w:lineRule="auto"/>
        <w:rPr>
          <w:rFonts w:asciiTheme="minorHAnsi" w:hAnsiTheme="minorHAnsi"/>
          <w:sz w:val="24"/>
          <w:szCs w:val="24"/>
        </w:rPr>
      </w:pPr>
    </w:p>
    <w:p w14:paraId="73F538A4" w14:textId="7DFE8DA8" w:rsidR="0045725A" w:rsidRDefault="00FD1D87" w:rsidP="00ED7F1E">
      <w:pPr>
        <w:spacing w:line="276" w:lineRule="auto"/>
        <w:rPr>
          <w:rFonts w:asciiTheme="minorHAnsi" w:hAnsiTheme="minorHAnsi"/>
          <w:sz w:val="24"/>
          <w:szCs w:val="24"/>
        </w:rPr>
      </w:pPr>
      <w:r>
        <w:rPr>
          <w:rFonts w:asciiTheme="minorHAnsi" w:hAnsiTheme="minorHAnsi"/>
          <w:sz w:val="24"/>
          <w:szCs w:val="24"/>
        </w:rPr>
        <w:t xml:space="preserve">In regards to </w:t>
      </w:r>
      <w:r w:rsidR="0045725A" w:rsidRPr="00674C47">
        <w:rPr>
          <w:rFonts w:asciiTheme="minorHAnsi" w:hAnsiTheme="minorHAnsi"/>
          <w:sz w:val="24"/>
          <w:szCs w:val="24"/>
        </w:rPr>
        <w:t>DRAFT RECOMMENDATION 7.2</w:t>
      </w:r>
      <w:r>
        <w:rPr>
          <w:rFonts w:asciiTheme="minorHAnsi" w:hAnsiTheme="minorHAnsi"/>
          <w:sz w:val="24"/>
          <w:szCs w:val="24"/>
        </w:rPr>
        <w:t>, and 7.5, children spoke about the relationships they and their parents had with their educators.</w:t>
      </w:r>
    </w:p>
    <w:p w14:paraId="5199B791" w14:textId="77777777" w:rsidR="00676393" w:rsidRPr="00676393" w:rsidRDefault="00676393" w:rsidP="00ED7F1E">
      <w:pPr>
        <w:spacing w:line="276" w:lineRule="auto"/>
        <w:rPr>
          <w:rFonts w:asciiTheme="minorHAnsi" w:hAnsiTheme="minorHAnsi"/>
          <w:sz w:val="22"/>
          <w:szCs w:val="24"/>
        </w:rPr>
      </w:pPr>
    </w:p>
    <w:p w14:paraId="68AF72F9" w14:textId="61206949" w:rsidR="0045725A" w:rsidRPr="00674C47" w:rsidRDefault="00FD1D87" w:rsidP="00FD1D87">
      <w:pPr>
        <w:spacing w:line="276" w:lineRule="auto"/>
        <w:ind w:firstLine="720"/>
        <w:jc w:val="both"/>
        <w:rPr>
          <w:rFonts w:asciiTheme="minorHAnsi" w:hAnsiTheme="minorHAnsi"/>
          <w:sz w:val="24"/>
          <w:szCs w:val="24"/>
        </w:rPr>
      </w:pPr>
      <w:r>
        <w:rPr>
          <w:rFonts w:asciiTheme="minorHAnsi" w:hAnsiTheme="minorHAnsi"/>
          <w:sz w:val="24"/>
          <w:szCs w:val="24"/>
        </w:rPr>
        <w:t>Connor talked about “Jess, Jamie, Sophie and Rose” who are full time permanent educators in his room.</w:t>
      </w:r>
      <w:r w:rsidR="00674C47" w:rsidRPr="00674C47">
        <w:rPr>
          <w:rFonts w:asciiTheme="minorHAnsi" w:hAnsiTheme="minorHAnsi"/>
          <w:sz w:val="24"/>
          <w:szCs w:val="24"/>
        </w:rPr>
        <w:t xml:space="preserve"> </w:t>
      </w:r>
      <w:r>
        <w:rPr>
          <w:rFonts w:asciiTheme="minorHAnsi" w:hAnsiTheme="minorHAnsi"/>
          <w:sz w:val="24"/>
          <w:szCs w:val="24"/>
        </w:rPr>
        <w:t xml:space="preserve">Blake responded with </w:t>
      </w:r>
      <w:r w:rsidR="00674C47" w:rsidRPr="00674C47">
        <w:rPr>
          <w:rFonts w:asciiTheme="minorHAnsi" w:hAnsiTheme="minorHAnsi"/>
          <w:sz w:val="24"/>
          <w:szCs w:val="24"/>
        </w:rPr>
        <w:t>“</w:t>
      </w:r>
      <w:r>
        <w:rPr>
          <w:rFonts w:asciiTheme="minorHAnsi" w:hAnsiTheme="minorHAnsi"/>
          <w:sz w:val="24"/>
          <w:szCs w:val="24"/>
        </w:rPr>
        <w:t>m</w:t>
      </w:r>
      <w:r w:rsidR="00674C47" w:rsidRPr="00674C47">
        <w:rPr>
          <w:rFonts w:asciiTheme="minorHAnsi" w:hAnsiTheme="minorHAnsi"/>
          <w:sz w:val="24"/>
          <w:szCs w:val="24"/>
        </w:rPr>
        <w:t xml:space="preserve">y mum doesn’t </w:t>
      </w:r>
      <w:r>
        <w:rPr>
          <w:rFonts w:asciiTheme="minorHAnsi" w:hAnsiTheme="minorHAnsi"/>
          <w:sz w:val="24"/>
          <w:szCs w:val="24"/>
        </w:rPr>
        <w:t>know Sophie</w:t>
      </w:r>
      <w:r w:rsidR="00674C47" w:rsidRPr="00674C47">
        <w:rPr>
          <w:rFonts w:asciiTheme="minorHAnsi" w:hAnsiTheme="minorHAnsi"/>
          <w:sz w:val="24"/>
          <w:szCs w:val="24"/>
        </w:rPr>
        <w:t>”</w:t>
      </w:r>
      <w:r>
        <w:rPr>
          <w:rFonts w:asciiTheme="minorHAnsi" w:hAnsiTheme="minorHAnsi"/>
          <w:sz w:val="24"/>
          <w:szCs w:val="24"/>
        </w:rPr>
        <w:t>, and Connor reassured him with “but my mum knows Sophie</w:t>
      </w:r>
      <w:r w:rsidR="00674C47" w:rsidRPr="00674C47">
        <w:rPr>
          <w:rFonts w:asciiTheme="minorHAnsi" w:hAnsiTheme="minorHAnsi"/>
          <w:sz w:val="24"/>
          <w:szCs w:val="24"/>
        </w:rPr>
        <w:t>”</w:t>
      </w:r>
      <w:r>
        <w:rPr>
          <w:rFonts w:asciiTheme="minorHAnsi" w:hAnsiTheme="minorHAnsi"/>
          <w:sz w:val="24"/>
          <w:szCs w:val="24"/>
        </w:rPr>
        <w:t xml:space="preserve">. When asked if their parents had lots of conversations with their primary educators, Connor and Blake said “Yes”, “Jess and Jamie”. This highlights the importance of ensuring that decisions around staffing requirements include </w:t>
      </w:r>
      <w:r w:rsidR="00AD086D">
        <w:rPr>
          <w:rFonts w:asciiTheme="minorHAnsi" w:hAnsiTheme="minorHAnsi"/>
          <w:sz w:val="24"/>
          <w:szCs w:val="24"/>
        </w:rPr>
        <w:t xml:space="preserve">creating conditions to develop </w:t>
      </w:r>
      <w:r>
        <w:rPr>
          <w:rFonts w:asciiTheme="minorHAnsi" w:hAnsiTheme="minorHAnsi"/>
          <w:sz w:val="24"/>
          <w:szCs w:val="24"/>
        </w:rPr>
        <w:t>relationships between</w:t>
      </w:r>
      <w:r w:rsidR="00AD086D">
        <w:rPr>
          <w:rFonts w:asciiTheme="minorHAnsi" w:hAnsiTheme="minorHAnsi"/>
          <w:sz w:val="24"/>
          <w:szCs w:val="24"/>
        </w:rPr>
        <w:t xml:space="preserve"> educators and parents, and their children.</w:t>
      </w:r>
    </w:p>
    <w:p w14:paraId="6F11E341" w14:textId="68223B86" w:rsidR="00F27CA9" w:rsidRDefault="003A22A8" w:rsidP="006C5894">
      <w:pPr>
        <w:spacing w:line="276" w:lineRule="auto"/>
        <w:ind w:firstLine="720"/>
        <w:jc w:val="both"/>
        <w:rPr>
          <w:rFonts w:asciiTheme="minorHAnsi" w:hAnsiTheme="minorHAnsi"/>
          <w:sz w:val="24"/>
          <w:szCs w:val="24"/>
        </w:rPr>
      </w:pPr>
      <w:r>
        <w:rPr>
          <w:rFonts w:ascii="Calibri" w:eastAsia="Calibri" w:hAnsi="Calibri"/>
          <w:sz w:val="24"/>
          <w:szCs w:val="24"/>
          <w:lang w:eastAsia="en-US"/>
        </w:rPr>
        <w:t xml:space="preserve">When discussing learning they engage in at Gowrie SA, </w:t>
      </w:r>
      <w:r w:rsidR="00674C47" w:rsidRPr="00674C47">
        <w:rPr>
          <w:rFonts w:ascii="Calibri" w:eastAsia="Calibri" w:hAnsi="Calibri"/>
          <w:sz w:val="24"/>
          <w:szCs w:val="24"/>
          <w:lang w:eastAsia="en-US"/>
        </w:rPr>
        <w:t>Christina and Connor spoke about “my learning story folder”, and “I made a book to put on the tree with no leaves. But everyone else made their own books. We read the monster books first”.</w:t>
      </w:r>
      <w:r>
        <w:rPr>
          <w:rFonts w:ascii="Calibri" w:eastAsia="Calibri" w:hAnsi="Calibri"/>
          <w:sz w:val="24"/>
          <w:szCs w:val="24"/>
          <w:lang w:eastAsia="en-US"/>
        </w:rPr>
        <w:t xml:space="preserve"> The quality of early childhood curriculums is supported by the presence of degree qualified teacher educators, who </w:t>
      </w:r>
      <w:r w:rsidR="006C5894">
        <w:rPr>
          <w:rFonts w:ascii="Calibri" w:eastAsia="Calibri" w:hAnsi="Calibri"/>
          <w:sz w:val="24"/>
          <w:szCs w:val="24"/>
          <w:lang w:eastAsia="en-US"/>
        </w:rPr>
        <w:t>can ‘guide and move the profession forward’ (</w:t>
      </w:r>
      <w:proofErr w:type="spellStart"/>
      <w:r w:rsidR="006C5894">
        <w:rPr>
          <w:rFonts w:ascii="Calibri" w:eastAsia="Calibri" w:hAnsi="Calibri"/>
          <w:sz w:val="24"/>
          <w:szCs w:val="24"/>
          <w:lang w:eastAsia="en-US"/>
        </w:rPr>
        <w:t>Stamopoulis</w:t>
      </w:r>
      <w:proofErr w:type="spellEnd"/>
      <w:r w:rsidR="006C5894">
        <w:rPr>
          <w:rFonts w:ascii="Calibri" w:eastAsia="Calibri" w:hAnsi="Calibri"/>
          <w:sz w:val="24"/>
          <w:szCs w:val="24"/>
          <w:lang w:eastAsia="en-US"/>
        </w:rPr>
        <w:t xml:space="preserve"> 2012, p. 42). Christina and Connor’s p</w:t>
      </w:r>
      <w:r>
        <w:rPr>
          <w:rFonts w:ascii="Calibri" w:eastAsia="Calibri" w:hAnsi="Calibri"/>
          <w:sz w:val="24"/>
          <w:szCs w:val="24"/>
          <w:lang w:eastAsia="en-US"/>
        </w:rPr>
        <w:t>lanne</w:t>
      </w:r>
      <w:r w:rsidR="006C5894">
        <w:rPr>
          <w:rFonts w:ascii="Calibri" w:eastAsia="Calibri" w:hAnsi="Calibri"/>
          <w:sz w:val="24"/>
          <w:szCs w:val="24"/>
          <w:lang w:eastAsia="en-US"/>
        </w:rPr>
        <w:t>d experiences and documented learning were implemented by a team of educators with diploma as well as degree qualifications.</w:t>
      </w:r>
      <w:r w:rsidR="006C5894">
        <w:rPr>
          <w:rFonts w:asciiTheme="minorHAnsi" w:hAnsiTheme="minorHAnsi"/>
          <w:sz w:val="24"/>
          <w:szCs w:val="24"/>
        </w:rPr>
        <w:t xml:space="preserve"> Kai also responded to the question “are there children who need lots of support?</w:t>
      </w:r>
      <w:proofErr w:type="gramStart"/>
      <w:r w:rsidR="006C5894">
        <w:rPr>
          <w:rFonts w:asciiTheme="minorHAnsi" w:hAnsiTheme="minorHAnsi"/>
          <w:sz w:val="24"/>
          <w:szCs w:val="24"/>
        </w:rPr>
        <w:t>”,</w:t>
      </w:r>
      <w:proofErr w:type="gramEnd"/>
      <w:r w:rsidR="006C5894">
        <w:rPr>
          <w:rFonts w:asciiTheme="minorHAnsi" w:hAnsiTheme="minorHAnsi"/>
          <w:sz w:val="24"/>
          <w:szCs w:val="24"/>
        </w:rPr>
        <w:t xml:space="preserve"> with </w:t>
      </w:r>
      <w:r w:rsidR="00674C47">
        <w:rPr>
          <w:rFonts w:asciiTheme="minorHAnsi" w:hAnsiTheme="minorHAnsi"/>
          <w:sz w:val="24"/>
          <w:szCs w:val="24"/>
        </w:rPr>
        <w:t>“</w:t>
      </w:r>
      <w:r w:rsidR="006C5894">
        <w:rPr>
          <w:rFonts w:asciiTheme="minorHAnsi" w:hAnsiTheme="minorHAnsi"/>
          <w:sz w:val="24"/>
          <w:szCs w:val="24"/>
        </w:rPr>
        <w:t>h</w:t>
      </w:r>
      <w:r w:rsidR="00674C47">
        <w:rPr>
          <w:rFonts w:asciiTheme="minorHAnsi" w:hAnsiTheme="minorHAnsi"/>
          <w:sz w:val="24"/>
          <w:szCs w:val="24"/>
        </w:rPr>
        <w:t>ow bout [child with additional needs]? We call the teacher when they need help”</w:t>
      </w:r>
      <w:r w:rsidR="006C5894">
        <w:rPr>
          <w:rFonts w:asciiTheme="minorHAnsi" w:hAnsiTheme="minorHAnsi"/>
          <w:sz w:val="24"/>
          <w:szCs w:val="24"/>
        </w:rPr>
        <w:t>. This also highlights the importance of professional knowledge of children’s development from birth, and knowledge of inclusive practices in early education settings.</w:t>
      </w:r>
    </w:p>
    <w:p w14:paraId="27F285B7" w14:textId="77777777" w:rsidR="000F343B" w:rsidRDefault="000F343B" w:rsidP="000F343B">
      <w:pPr>
        <w:spacing w:line="276" w:lineRule="auto"/>
        <w:jc w:val="both"/>
        <w:rPr>
          <w:rFonts w:asciiTheme="minorHAnsi" w:hAnsiTheme="minorHAnsi"/>
          <w:sz w:val="24"/>
          <w:szCs w:val="24"/>
        </w:rPr>
      </w:pPr>
    </w:p>
    <w:p w14:paraId="1E008F88" w14:textId="553915A6" w:rsidR="000F343B" w:rsidRPr="00674C47" w:rsidRDefault="000F343B" w:rsidP="000F343B">
      <w:pPr>
        <w:spacing w:line="276" w:lineRule="auto"/>
        <w:jc w:val="both"/>
        <w:rPr>
          <w:rFonts w:asciiTheme="minorHAnsi" w:hAnsiTheme="minorHAnsi"/>
          <w:sz w:val="24"/>
          <w:szCs w:val="24"/>
        </w:rPr>
      </w:pPr>
      <w:r>
        <w:rPr>
          <w:rFonts w:asciiTheme="minorHAnsi" w:hAnsiTheme="minorHAnsi"/>
          <w:sz w:val="24"/>
          <w:szCs w:val="24"/>
        </w:rPr>
        <w:t>Thanks go to the children who contributed their thoughts, reflections and experiences to provide a snapshot of how the recommendations of the Productivity Commission can influence the early education experiences of children like themselves.</w:t>
      </w:r>
    </w:p>
    <w:p w14:paraId="75210E4F" w14:textId="77777777" w:rsidR="00770E32" w:rsidRPr="00674C47" w:rsidRDefault="00770E32" w:rsidP="00EF6401">
      <w:pPr>
        <w:spacing w:after="240" w:line="276" w:lineRule="auto"/>
        <w:rPr>
          <w:sz w:val="24"/>
          <w:szCs w:val="24"/>
        </w:rPr>
      </w:pPr>
    </w:p>
    <w:p w14:paraId="102EE869" w14:textId="77777777" w:rsidR="00F6743B" w:rsidRPr="00674C47" w:rsidRDefault="00F6743B" w:rsidP="00EF6401">
      <w:pPr>
        <w:spacing w:after="240" w:line="276" w:lineRule="auto"/>
        <w:rPr>
          <w:rFonts w:asciiTheme="minorHAnsi" w:hAnsiTheme="minorHAnsi"/>
          <w:b/>
          <w:sz w:val="24"/>
          <w:szCs w:val="24"/>
        </w:rPr>
      </w:pPr>
      <w:r w:rsidRPr="00674C47">
        <w:rPr>
          <w:rFonts w:asciiTheme="minorHAnsi" w:hAnsiTheme="minorHAnsi"/>
          <w:b/>
          <w:sz w:val="24"/>
          <w:szCs w:val="24"/>
        </w:rPr>
        <w:t>References</w:t>
      </w:r>
    </w:p>
    <w:p w14:paraId="579C8B5B" w14:textId="7C838C73" w:rsidR="008763D3" w:rsidRPr="00674C47" w:rsidRDefault="008763D3" w:rsidP="00EF6401">
      <w:pPr>
        <w:spacing w:after="240" w:line="276" w:lineRule="auto"/>
        <w:rPr>
          <w:rFonts w:asciiTheme="minorHAnsi" w:hAnsiTheme="minorHAnsi"/>
          <w:sz w:val="24"/>
          <w:szCs w:val="24"/>
        </w:rPr>
      </w:pPr>
      <w:proofErr w:type="gramStart"/>
      <w:r w:rsidRPr="00674C47">
        <w:rPr>
          <w:rFonts w:asciiTheme="minorHAnsi" w:hAnsiTheme="minorHAnsi"/>
          <w:sz w:val="24"/>
          <w:szCs w:val="24"/>
        </w:rPr>
        <w:t>Clark, A 2011, ‘Breaking methodological boundaries?</w:t>
      </w:r>
      <w:proofErr w:type="gramEnd"/>
      <w:r w:rsidRPr="00674C47">
        <w:rPr>
          <w:rFonts w:asciiTheme="minorHAnsi" w:hAnsiTheme="minorHAnsi"/>
          <w:sz w:val="24"/>
          <w:szCs w:val="24"/>
        </w:rPr>
        <w:t xml:space="preserve"> </w:t>
      </w:r>
      <w:proofErr w:type="gramStart"/>
      <w:r w:rsidRPr="00674C47">
        <w:rPr>
          <w:rFonts w:asciiTheme="minorHAnsi" w:hAnsiTheme="minorHAnsi"/>
          <w:sz w:val="24"/>
          <w:szCs w:val="24"/>
        </w:rPr>
        <w:t xml:space="preserve">Exploring visual, participatory methods with adults and young children’, </w:t>
      </w:r>
      <w:r w:rsidRPr="00674C47">
        <w:rPr>
          <w:rFonts w:asciiTheme="minorHAnsi" w:hAnsiTheme="minorHAnsi"/>
          <w:i/>
          <w:sz w:val="24"/>
          <w:szCs w:val="24"/>
        </w:rPr>
        <w:t>European Early Childhood Education Research Journal</w:t>
      </w:r>
      <w:r w:rsidRPr="00674C47">
        <w:rPr>
          <w:rFonts w:asciiTheme="minorHAnsi" w:hAnsiTheme="minorHAnsi"/>
          <w:sz w:val="24"/>
          <w:szCs w:val="24"/>
        </w:rPr>
        <w:t>, vol. 19, no. 3, pp. 321-330.</w:t>
      </w:r>
      <w:proofErr w:type="gramEnd"/>
    </w:p>
    <w:p w14:paraId="6ADC7CE9" w14:textId="04245BB6" w:rsidR="00C56629" w:rsidRPr="00674C47" w:rsidRDefault="00C56629" w:rsidP="00EF6401">
      <w:pPr>
        <w:spacing w:after="240" w:line="276" w:lineRule="auto"/>
        <w:rPr>
          <w:rFonts w:asciiTheme="minorHAnsi" w:hAnsiTheme="minorHAnsi"/>
          <w:sz w:val="24"/>
          <w:szCs w:val="24"/>
        </w:rPr>
      </w:pPr>
      <w:r w:rsidRPr="00674C47">
        <w:rPr>
          <w:rFonts w:asciiTheme="minorHAnsi" w:hAnsiTheme="minorHAnsi"/>
          <w:sz w:val="24"/>
          <w:szCs w:val="24"/>
        </w:rPr>
        <w:t xml:space="preserve">Harris, P &amp; </w:t>
      </w:r>
      <w:proofErr w:type="spellStart"/>
      <w:r w:rsidRPr="00674C47">
        <w:rPr>
          <w:rFonts w:asciiTheme="minorHAnsi" w:hAnsiTheme="minorHAnsi"/>
          <w:sz w:val="24"/>
          <w:szCs w:val="24"/>
        </w:rPr>
        <w:t>Manatakis</w:t>
      </w:r>
      <w:proofErr w:type="spellEnd"/>
      <w:r w:rsidRPr="00674C47">
        <w:rPr>
          <w:rFonts w:asciiTheme="minorHAnsi" w:hAnsiTheme="minorHAnsi"/>
          <w:sz w:val="24"/>
          <w:szCs w:val="24"/>
        </w:rPr>
        <w:t xml:space="preserve">, </w:t>
      </w:r>
      <w:proofErr w:type="gramStart"/>
      <w:r w:rsidRPr="00674C47">
        <w:rPr>
          <w:rFonts w:asciiTheme="minorHAnsi" w:hAnsiTheme="minorHAnsi"/>
          <w:sz w:val="24"/>
          <w:szCs w:val="24"/>
        </w:rPr>
        <w:t>H</w:t>
      </w:r>
      <w:proofErr w:type="gramEnd"/>
      <w:r w:rsidRPr="00674C47">
        <w:rPr>
          <w:rFonts w:asciiTheme="minorHAnsi" w:hAnsiTheme="minorHAnsi"/>
          <w:sz w:val="24"/>
          <w:szCs w:val="24"/>
        </w:rPr>
        <w:t xml:space="preserve"> 2013, </w:t>
      </w:r>
      <w:r w:rsidRPr="00674C47">
        <w:rPr>
          <w:rFonts w:asciiTheme="minorHAnsi" w:hAnsiTheme="minorHAnsi"/>
          <w:i/>
          <w:sz w:val="24"/>
          <w:szCs w:val="24"/>
        </w:rPr>
        <w:t>Children as citizens: engaging with the child’s voice in educational settings</w:t>
      </w:r>
      <w:r w:rsidRPr="00674C47">
        <w:rPr>
          <w:rFonts w:asciiTheme="minorHAnsi" w:hAnsiTheme="minorHAnsi"/>
          <w:sz w:val="24"/>
          <w:szCs w:val="24"/>
        </w:rPr>
        <w:t>, Routledge Research in Early Childhood Education, New York.</w:t>
      </w:r>
    </w:p>
    <w:p w14:paraId="0C25BFDD" w14:textId="4D4C01FB" w:rsidR="00235CCF" w:rsidRPr="00674C47" w:rsidRDefault="00235CCF" w:rsidP="00EF6401">
      <w:pPr>
        <w:spacing w:after="240" w:line="276" w:lineRule="auto"/>
        <w:rPr>
          <w:rFonts w:asciiTheme="minorHAnsi" w:hAnsiTheme="minorHAnsi"/>
          <w:sz w:val="24"/>
          <w:szCs w:val="24"/>
        </w:rPr>
      </w:pPr>
      <w:r w:rsidRPr="00674C47">
        <w:rPr>
          <w:rFonts w:asciiTheme="minorHAnsi" w:hAnsiTheme="minorHAnsi"/>
          <w:sz w:val="24"/>
          <w:szCs w:val="24"/>
        </w:rPr>
        <w:t xml:space="preserve">Lee, S &amp; Goh, G 2012, ‘Action research to address the transition from kindergarten to primary school: children’s authentic learning, construction play and pretend play’, </w:t>
      </w:r>
      <w:r w:rsidRPr="00674C47">
        <w:rPr>
          <w:rFonts w:asciiTheme="minorHAnsi" w:hAnsiTheme="minorHAnsi"/>
          <w:i/>
          <w:sz w:val="24"/>
          <w:szCs w:val="24"/>
        </w:rPr>
        <w:t>Early Childhood Research and Practice</w:t>
      </w:r>
      <w:r w:rsidRPr="00674C47">
        <w:rPr>
          <w:rFonts w:asciiTheme="minorHAnsi" w:hAnsiTheme="minorHAnsi"/>
          <w:sz w:val="24"/>
          <w:szCs w:val="24"/>
        </w:rPr>
        <w:t xml:space="preserve">, vol. 14, no. 1, pp. </w:t>
      </w:r>
      <w:r w:rsidR="003C3E6F" w:rsidRPr="00674C47">
        <w:rPr>
          <w:rFonts w:asciiTheme="minorHAnsi" w:hAnsiTheme="minorHAnsi"/>
          <w:sz w:val="24"/>
          <w:szCs w:val="24"/>
        </w:rPr>
        <w:t>1-16.</w:t>
      </w:r>
    </w:p>
    <w:p w14:paraId="24767893" w14:textId="3FB16986" w:rsidR="00255352" w:rsidRPr="00674C47" w:rsidRDefault="00255352" w:rsidP="00EF6401">
      <w:pPr>
        <w:spacing w:after="240" w:line="276" w:lineRule="auto"/>
        <w:rPr>
          <w:rFonts w:asciiTheme="minorHAnsi" w:hAnsiTheme="minorHAnsi"/>
          <w:sz w:val="24"/>
          <w:szCs w:val="24"/>
        </w:rPr>
      </w:pPr>
      <w:r w:rsidRPr="00674C47">
        <w:rPr>
          <w:rFonts w:asciiTheme="minorHAnsi" w:hAnsiTheme="minorHAnsi"/>
          <w:sz w:val="24"/>
          <w:szCs w:val="24"/>
        </w:rPr>
        <w:t xml:space="preserve">Leggett, N &amp; Ford, M 2013, ‘A fine balance: understanding the roles educators and children play as intentional teachers and intentional learners within the Early Years Learning Framework’, </w:t>
      </w:r>
      <w:r w:rsidRPr="00674C47">
        <w:rPr>
          <w:rFonts w:asciiTheme="minorHAnsi" w:hAnsiTheme="minorHAnsi"/>
          <w:i/>
          <w:sz w:val="24"/>
          <w:szCs w:val="24"/>
        </w:rPr>
        <w:t>Australian Journal of Early Childhood</w:t>
      </w:r>
      <w:r w:rsidRPr="00674C47">
        <w:rPr>
          <w:rFonts w:asciiTheme="minorHAnsi" w:hAnsiTheme="minorHAnsi"/>
          <w:sz w:val="24"/>
          <w:szCs w:val="24"/>
        </w:rPr>
        <w:t>, vol. 38, no. 4, pp. 42-50.</w:t>
      </w:r>
    </w:p>
    <w:p w14:paraId="06D50C16" w14:textId="363D5B18" w:rsidR="00C56629" w:rsidRDefault="00F6743B" w:rsidP="00EF6401">
      <w:pPr>
        <w:spacing w:after="240" w:line="276" w:lineRule="auto"/>
        <w:rPr>
          <w:rFonts w:asciiTheme="minorHAnsi" w:hAnsiTheme="minorHAnsi"/>
          <w:sz w:val="24"/>
          <w:szCs w:val="24"/>
        </w:rPr>
      </w:pPr>
      <w:proofErr w:type="gramStart"/>
      <w:r w:rsidRPr="00674C47">
        <w:rPr>
          <w:rFonts w:asciiTheme="minorHAnsi" w:hAnsiTheme="minorHAnsi"/>
          <w:sz w:val="24"/>
          <w:szCs w:val="24"/>
        </w:rPr>
        <w:t xml:space="preserve">Productivity Commission 2014, </w:t>
      </w:r>
      <w:r w:rsidRPr="00674C47">
        <w:rPr>
          <w:rFonts w:asciiTheme="minorHAnsi" w:hAnsiTheme="minorHAnsi"/>
          <w:i/>
          <w:sz w:val="24"/>
          <w:szCs w:val="24"/>
        </w:rPr>
        <w:t>Childcare and Early Childhood Learning</w:t>
      </w:r>
      <w:r w:rsidRPr="00674C47">
        <w:rPr>
          <w:rFonts w:asciiTheme="minorHAnsi" w:hAnsiTheme="minorHAnsi"/>
          <w:sz w:val="24"/>
          <w:szCs w:val="24"/>
        </w:rPr>
        <w:t>, Draft Report, Canberra.</w:t>
      </w:r>
      <w:proofErr w:type="gramEnd"/>
    </w:p>
    <w:p w14:paraId="32AD0782" w14:textId="7C751A1F" w:rsidR="00676393" w:rsidRPr="00674C47" w:rsidRDefault="00676393" w:rsidP="00EF6401">
      <w:pPr>
        <w:spacing w:after="240" w:line="276" w:lineRule="auto"/>
        <w:rPr>
          <w:rFonts w:asciiTheme="minorHAnsi" w:hAnsiTheme="minorHAnsi"/>
          <w:sz w:val="24"/>
          <w:szCs w:val="24"/>
        </w:rPr>
      </w:pPr>
      <w:proofErr w:type="spellStart"/>
      <w:proofErr w:type="gramStart"/>
      <w:r>
        <w:rPr>
          <w:rFonts w:asciiTheme="minorHAnsi" w:hAnsiTheme="minorHAnsi"/>
          <w:sz w:val="24"/>
          <w:szCs w:val="24"/>
        </w:rPr>
        <w:t>Stamopoulis</w:t>
      </w:r>
      <w:proofErr w:type="spellEnd"/>
      <w:r>
        <w:rPr>
          <w:rFonts w:asciiTheme="minorHAnsi" w:hAnsiTheme="minorHAnsi"/>
          <w:sz w:val="24"/>
          <w:szCs w:val="24"/>
        </w:rPr>
        <w:t xml:space="preserve">, </w:t>
      </w:r>
      <w:r w:rsidR="00D632B3">
        <w:rPr>
          <w:rFonts w:asciiTheme="minorHAnsi" w:hAnsiTheme="minorHAnsi"/>
          <w:sz w:val="24"/>
          <w:szCs w:val="24"/>
        </w:rPr>
        <w:t>E 2012</w:t>
      </w:r>
      <w:r>
        <w:rPr>
          <w:rFonts w:asciiTheme="minorHAnsi" w:hAnsiTheme="minorHAnsi"/>
          <w:sz w:val="24"/>
          <w:szCs w:val="24"/>
        </w:rPr>
        <w:t xml:space="preserve">, ‘Reframing early childhood leadership’, </w:t>
      </w:r>
      <w:r w:rsidRPr="00676393">
        <w:rPr>
          <w:rFonts w:asciiTheme="minorHAnsi" w:hAnsiTheme="minorHAnsi"/>
          <w:i/>
          <w:sz w:val="24"/>
          <w:szCs w:val="24"/>
        </w:rPr>
        <w:t>Australasian Journal of Early Childhood</w:t>
      </w:r>
      <w:r>
        <w:rPr>
          <w:rFonts w:asciiTheme="minorHAnsi" w:hAnsiTheme="minorHAnsi"/>
          <w:sz w:val="24"/>
          <w:szCs w:val="24"/>
        </w:rPr>
        <w:t xml:space="preserve">, vol. </w:t>
      </w:r>
      <w:r w:rsidR="00D632B3">
        <w:rPr>
          <w:rFonts w:asciiTheme="minorHAnsi" w:hAnsiTheme="minorHAnsi"/>
          <w:sz w:val="24"/>
          <w:szCs w:val="24"/>
        </w:rPr>
        <w:t>37</w:t>
      </w:r>
      <w:r>
        <w:rPr>
          <w:rFonts w:asciiTheme="minorHAnsi" w:hAnsiTheme="minorHAnsi"/>
          <w:sz w:val="24"/>
          <w:szCs w:val="24"/>
        </w:rPr>
        <w:t xml:space="preserve">, no. </w:t>
      </w:r>
      <w:r w:rsidR="00D632B3">
        <w:rPr>
          <w:rFonts w:asciiTheme="minorHAnsi" w:hAnsiTheme="minorHAnsi"/>
          <w:sz w:val="24"/>
          <w:szCs w:val="24"/>
        </w:rPr>
        <w:t>2</w:t>
      </w:r>
      <w:r>
        <w:rPr>
          <w:rFonts w:asciiTheme="minorHAnsi" w:hAnsiTheme="minorHAnsi"/>
          <w:sz w:val="24"/>
          <w:szCs w:val="24"/>
        </w:rPr>
        <w:t>, pp. 42-48.</w:t>
      </w:r>
      <w:proofErr w:type="gramEnd"/>
    </w:p>
    <w:p w14:paraId="5EAA5A95" w14:textId="26887446" w:rsidR="00CA65B9" w:rsidRPr="00674C47" w:rsidRDefault="00CA65B9" w:rsidP="00EF6401">
      <w:pPr>
        <w:spacing w:after="240" w:line="276" w:lineRule="auto"/>
        <w:rPr>
          <w:rFonts w:asciiTheme="minorHAnsi" w:hAnsiTheme="minorHAnsi"/>
          <w:sz w:val="24"/>
          <w:szCs w:val="24"/>
        </w:rPr>
      </w:pPr>
      <w:proofErr w:type="spellStart"/>
      <w:proofErr w:type="gramStart"/>
      <w:r w:rsidRPr="00674C47">
        <w:rPr>
          <w:rFonts w:asciiTheme="minorHAnsi" w:hAnsiTheme="minorHAnsi"/>
          <w:sz w:val="24"/>
          <w:szCs w:val="24"/>
        </w:rPr>
        <w:t>Ziv</w:t>
      </w:r>
      <w:proofErr w:type="spellEnd"/>
      <w:r w:rsidRPr="00674C47">
        <w:rPr>
          <w:rFonts w:asciiTheme="minorHAnsi" w:hAnsiTheme="minorHAnsi"/>
          <w:sz w:val="24"/>
          <w:szCs w:val="24"/>
        </w:rPr>
        <w:t xml:space="preserve">, Y 2013, ‘Social information processing patterns, social skills, and school readiness in preschool children’, </w:t>
      </w:r>
      <w:r w:rsidRPr="00674C47">
        <w:rPr>
          <w:rFonts w:asciiTheme="minorHAnsi" w:hAnsiTheme="minorHAnsi"/>
          <w:i/>
          <w:sz w:val="24"/>
          <w:szCs w:val="24"/>
        </w:rPr>
        <w:t>Journal of Experimental Child Psychology</w:t>
      </w:r>
      <w:r w:rsidRPr="00674C47">
        <w:rPr>
          <w:rFonts w:asciiTheme="minorHAnsi" w:hAnsiTheme="minorHAnsi"/>
          <w:sz w:val="24"/>
          <w:szCs w:val="24"/>
        </w:rPr>
        <w:t>, vol. 114, no. 1, pp. 306-320.</w:t>
      </w:r>
      <w:proofErr w:type="gramEnd"/>
    </w:p>
    <w:sectPr w:rsidR="00CA65B9" w:rsidRPr="00674C47" w:rsidSect="003B47E9">
      <w:headerReference w:type="default" r:id="rId8"/>
      <w:headerReference w:type="first" r:id="rId9"/>
      <w:footerReference w:type="first" r:id="rId10"/>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1D737" w14:textId="77777777" w:rsidR="00B9631B" w:rsidRDefault="00B9631B">
      <w:r>
        <w:separator/>
      </w:r>
    </w:p>
  </w:endnote>
  <w:endnote w:type="continuationSeparator" w:id="0">
    <w:p w14:paraId="246F091E" w14:textId="77777777" w:rsidR="00B9631B" w:rsidRDefault="00B9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FB3A3" w14:textId="0BF20830" w:rsidR="00734170" w:rsidRDefault="00734170">
    <w:pPr>
      <w:pStyle w:val="Footer"/>
    </w:pPr>
    <w:r w:rsidRPr="00210D1C">
      <w:rPr>
        <w:noProof/>
      </w:rPr>
      <w:drawing>
        <wp:anchor distT="0" distB="0" distL="114300" distR="114300" simplePos="0" relativeHeight="251675136" behindDoc="0" locked="0" layoutInCell="1" allowOverlap="1" wp14:anchorId="68DAA370" wp14:editId="2058ADCD">
          <wp:simplePos x="0" y="0"/>
          <wp:positionH relativeFrom="column">
            <wp:posOffset>-562611</wp:posOffset>
          </wp:positionH>
          <wp:positionV relativeFrom="paragraph">
            <wp:posOffset>120650</wp:posOffset>
          </wp:positionV>
          <wp:extent cx="7339605" cy="742950"/>
          <wp:effectExtent l="0" t="0" r="0" b="0"/>
          <wp:wrapNone/>
          <wp:docPr id="15" name="Picture 2" descr="Letterhead Footer Child Cen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oter Child Centre.jpg"/>
                  <pic:cNvPicPr/>
                </pic:nvPicPr>
                <pic:blipFill>
                  <a:blip r:embed="rId1">
                    <a:extLst>
                      <a:ext uri="{28A0092B-C50C-407E-A947-70E740481C1C}">
                        <a14:useLocalDpi xmlns:a14="http://schemas.microsoft.com/office/drawing/2010/main" val="0"/>
                      </a:ext>
                    </a:extLst>
                  </a:blip>
                  <a:stretch>
                    <a:fillRect/>
                  </a:stretch>
                </pic:blipFill>
                <pic:spPr>
                  <a:xfrm>
                    <a:off x="0" y="0"/>
                    <a:ext cx="7453306" cy="754459"/>
                  </a:xfrm>
                  <a:prstGeom prst="rect">
                    <a:avLst/>
                  </a:prstGeom>
                </pic:spPr>
              </pic:pic>
            </a:graphicData>
          </a:graphic>
          <wp14:sizeRelH relativeFrom="page">
            <wp14:pctWidth>0</wp14:pctWidth>
          </wp14:sizeRelH>
          <wp14:sizeRelV relativeFrom="page">
            <wp14:pctHeight>0</wp14:pctHeight>
          </wp14:sizeRelV>
        </wp:anchor>
      </w:drawing>
    </w:r>
  </w:p>
  <w:p w14:paraId="50DB4AD5" w14:textId="62CDCB02" w:rsidR="00734170" w:rsidRDefault="00734170">
    <w:pPr>
      <w:pStyle w:val="Footer"/>
    </w:pPr>
  </w:p>
  <w:p w14:paraId="07D2A653" w14:textId="16554078" w:rsidR="00734170" w:rsidRDefault="00734170">
    <w:pPr>
      <w:pStyle w:val="Footer"/>
    </w:pPr>
  </w:p>
  <w:p w14:paraId="28CE9EBE" w14:textId="525D8D18" w:rsidR="00734170" w:rsidRDefault="00734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26E6D" w14:textId="77777777" w:rsidR="00B9631B" w:rsidRDefault="00B9631B">
      <w:r>
        <w:separator/>
      </w:r>
    </w:p>
  </w:footnote>
  <w:footnote w:type="continuationSeparator" w:id="0">
    <w:p w14:paraId="57D8E0E2" w14:textId="77777777" w:rsidR="00B9631B" w:rsidRDefault="00B96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78304" w14:textId="075306FC" w:rsidR="001647FE" w:rsidRDefault="001647FE">
    <w:pPr>
      <w:pStyle w:val="Header"/>
    </w:pPr>
    <w:r>
      <w:rPr>
        <w:noProof/>
      </w:rPr>
      <w:drawing>
        <wp:anchor distT="0" distB="0" distL="114300" distR="114300" simplePos="0" relativeHeight="251646464" behindDoc="0" locked="0" layoutInCell="1" allowOverlap="1" wp14:anchorId="3783CCD6" wp14:editId="7D12A6B9">
          <wp:simplePos x="0" y="0"/>
          <wp:positionH relativeFrom="column">
            <wp:posOffset>-543560</wp:posOffset>
          </wp:positionH>
          <wp:positionV relativeFrom="paragraph">
            <wp:posOffset>-445135</wp:posOffset>
          </wp:positionV>
          <wp:extent cx="7353300" cy="1277566"/>
          <wp:effectExtent l="0" t="0" r="0" b="0"/>
          <wp:wrapNone/>
          <wp:docPr id="2" name="Picture 2" descr="Letterhead Top Banner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op Banner V2.png"/>
                  <pic:cNvPicPr/>
                </pic:nvPicPr>
                <pic:blipFill>
                  <a:blip r:embed="rId1">
                    <a:extLst>
                      <a:ext uri="{28A0092B-C50C-407E-A947-70E740481C1C}">
                        <a14:useLocalDpi xmlns:a14="http://schemas.microsoft.com/office/drawing/2010/main" val="0"/>
                      </a:ext>
                    </a:extLst>
                  </a:blip>
                  <a:srcRect l="7369" t="36301" r="21282"/>
                  <a:stretch>
                    <a:fillRect/>
                  </a:stretch>
                </pic:blipFill>
                <pic:spPr>
                  <a:xfrm>
                    <a:off x="0" y="0"/>
                    <a:ext cx="7389220" cy="1283807"/>
                  </a:xfrm>
                  <a:prstGeom prst="rect">
                    <a:avLst/>
                  </a:prstGeom>
                </pic:spPr>
              </pic:pic>
            </a:graphicData>
          </a:graphic>
          <wp14:sizeRelH relativeFrom="page">
            <wp14:pctWidth>0</wp14:pctWidth>
          </wp14:sizeRelH>
          <wp14:sizeRelV relativeFrom="page">
            <wp14:pctHeight>0</wp14:pctHeight>
          </wp14:sizeRelV>
        </wp:anchor>
      </w:drawing>
    </w:r>
  </w:p>
  <w:p w14:paraId="454A2365" w14:textId="79319460" w:rsidR="001647FE" w:rsidRDefault="001647FE">
    <w:pPr>
      <w:pStyle w:val="Header"/>
    </w:pPr>
  </w:p>
  <w:p w14:paraId="483CA5BE" w14:textId="3EE3EBFB" w:rsidR="001647FE" w:rsidRDefault="001647FE">
    <w:pPr>
      <w:pStyle w:val="Header"/>
    </w:pPr>
  </w:p>
  <w:p w14:paraId="59AF51DF" w14:textId="6CE36B2D" w:rsidR="001647FE" w:rsidRDefault="001647FE">
    <w:pPr>
      <w:pStyle w:val="Header"/>
    </w:pPr>
  </w:p>
  <w:p w14:paraId="35E4CEC6" w14:textId="0E0EC030" w:rsidR="001647FE" w:rsidRDefault="001647FE">
    <w:pPr>
      <w:pStyle w:val="Header"/>
    </w:pPr>
  </w:p>
  <w:p w14:paraId="25DD57F3" w14:textId="1EAC7861" w:rsidR="001647FE" w:rsidRDefault="001647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B86AA" w14:textId="45F11447" w:rsidR="001647FE" w:rsidRDefault="001647FE">
    <w:pPr>
      <w:pStyle w:val="Header"/>
    </w:pPr>
    <w:r>
      <w:rPr>
        <w:noProof/>
      </w:rPr>
      <w:drawing>
        <wp:anchor distT="0" distB="0" distL="114300" distR="114300" simplePos="0" relativeHeight="251649536" behindDoc="0" locked="0" layoutInCell="1" allowOverlap="1" wp14:anchorId="7AC0CD53" wp14:editId="09A0390E">
          <wp:simplePos x="0" y="0"/>
          <wp:positionH relativeFrom="column">
            <wp:posOffset>-581025</wp:posOffset>
          </wp:positionH>
          <wp:positionV relativeFrom="paragraph">
            <wp:posOffset>-460375</wp:posOffset>
          </wp:positionV>
          <wp:extent cx="7353300" cy="1277566"/>
          <wp:effectExtent l="0" t="0" r="0" b="0"/>
          <wp:wrapNone/>
          <wp:docPr id="4" name="Picture 4" descr="Letterhead Top Banner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op Banner V2.png"/>
                  <pic:cNvPicPr/>
                </pic:nvPicPr>
                <pic:blipFill>
                  <a:blip r:embed="rId1">
                    <a:extLst>
                      <a:ext uri="{28A0092B-C50C-407E-A947-70E740481C1C}">
                        <a14:useLocalDpi xmlns:a14="http://schemas.microsoft.com/office/drawing/2010/main" val="0"/>
                      </a:ext>
                    </a:extLst>
                  </a:blip>
                  <a:srcRect l="7369" t="36301" r="21282"/>
                  <a:stretch>
                    <a:fillRect/>
                  </a:stretch>
                </pic:blipFill>
                <pic:spPr>
                  <a:xfrm>
                    <a:off x="0" y="0"/>
                    <a:ext cx="7353300" cy="1277566"/>
                  </a:xfrm>
                  <a:prstGeom prst="rect">
                    <a:avLst/>
                  </a:prstGeom>
                </pic:spPr>
              </pic:pic>
            </a:graphicData>
          </a:graphic>
          <wp14:sizeRelH relativeFrom="page">
            <wp14:pctWidth>0</wp14:pctWidth>
          </wp14:sizeRelH>
          <wp14:sizeRelV relativeFrom="page">
            <wp14:pctHeight>0</wp14:pctHeight>
          </wp14:sizeRelV>
        </wp:anchor>
      </w:drawing>
    </w:r>
  </w:p>
  <w:p w14:paraId="3D4A0C03" w14:textId="77777777" w:rsidR="001647FE" w:rsidRDefault="001647FE">
    <w:pPr>
      <w:pStyle w:val="Header"/>
    </w:pPr>
  </w:p>
  <w:p w14:paraId="5CBBAA47" w14:textId="77777777" w:rsidR="001647FE" w:rsidRDefault="001647FE">
    <w:pPr>
      <w:pStyle w:val="Header"/>
    </w:pPr>
  </w:p>
  <w:p w14:paraId="268041CF" w14:textId="77777777" w:rsidR="001647FE" w:rsidRDefault="001647FE">
    <w:pPr>
      <w:pStyle w:val="Header"/>
    </w:pPr>
  </w:p>
  <w:p w14:paraId="216957C6" w14:textId="0CAF8E41" w:rsidR="001647FE" w:rsidRDefault="001647FE">
    <w:pPr>
      <w:pStyle w:val="Header"/>
    </w:pPr>
  </w:p>
  <w:p w14:paraId="6689209C" w14:textId="673AAEF3" w:rsidR="001647FE" w:rsidRDefault="001647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0502"/>
    <w:rsid w:val="00055AD8"/>
    <w:rsid w:val="00056210"/>
    <w:rsid w:val="0007446F"/>
    <w:rsid w:val="000814C9"/>
    <w:rsid w:val="0009042A"/>
    <w:rsid w:val="000916DA"/>
    <w:rsid w:val="000F343B"/>
    <w:rsid w:val="000F6F3A"/>
    <w:rsid w:val="00110CA0"/>
    <w:rsid w:val="0016455D"/>
    <w:rsid w:val="001647FE"/>
    <w:rsid w:val="0019530F"/>
    <w:rsid w:val="001B0A41"/>
    <w:rsid w:val="001C5C7C"/>
    <w:rsid w:val="0021259C"/>
    <w:rsid w:val="00221C86"/>
    <w:rsid w:val="00231C06"/>
    <w:rsid w:val="00235CCF"/>
    <w:rsid w:val="00255352"/>
    <w:rsid w:val="00280269"/>
    <w:rsid w:val="002C164B"/>
    <w:rsid w:val="002D6079"/>
    <w:rsid w:val="00313B53"/>
    <w:rsid w:val="003A22A8"/>
    <w:rsid w:val="003B47E9"/>
    <w:rsid w:val="003C3E6F"/>
    <w:rsid w:val="003C5524"/>
    <w:rsid w:val="0040290A"/>
    <w:rsid w:val="00407142"/>
    <w:rsid w:val="004149E7"/>
    <w:rsid w:val="00423861"/>
    <w:rsid w:val="00423BFB"/>
    <w:rsid w:val="0045725A"/>
    <w:rsid w:val="00480079"/>
    <w:rsid w:val="0048038E"/>
    <w:rsid w:val="004B21E0"/>
    <w:rsid w:val="004B6E74"/>
    <w:rsid w:val="00517846"/>
    <w:rsid w:val="00534A5B"/>
    <w:rsid w:val="0054608D"/>
    <w:rsid w:val="005C7F3C"/>
    <w:rsid w:val="005E380A"/>
    <w:rsid w:val="005F174A"/>
    <w:rsid w:val="00626C39"/>
    <w:rsid w:val="006349CF"/>
    <w:rsid w:val="00647AE3"/>
    <w:rsid w:val="00674C47"/>
    <w:rsid w:val="00676393"/>
    <w:rsid w:val="006C0061"/>
    <w:rsid w:val="006C5894"/>
    <w:rsid w:val="006E2B9E"/>
    <w:rsid w:val="007265D4"/>
    <w:rsid w:val="00734170"/>
    <w:rsid w:val="007652DD"/>
    <w:rsid w:val="00770E32"/>
    <w:rsid w:val="007C3E81"/>
    <w:rsid w:val="00810726"/>
    <w:rsid w:val="00815E1D"/>
    <w:rsid w:val="00820633"/>
    <w:rsid w:val="00843256"/>
    <w:rsid w:val="008706AE"/>
    <w:rsid w:val="008763D3"/>
    <w:rsid w:val="00885AF4"/>
    <w:rsid w:val="008973F7"/>
    <w:rsid w:val="008A6344"/>
    <w:rsid w:val="008C2509"/>
    <w:rsid w:val="0092155D"/>
    <w:rsid w:val="00947B19"/>
    <w:rsid w:val="00A17B13"/>
    <w:rsid w:val="00A61A82"/>
    <w:rsid w:val="00A9118B"/>
    <w:rsid w:val="00AD086D"/>
    <w:rsid w:val="00AD516F"/>
    <w:rsid w:val="00B2649B"/>
    <w:rsid w:val="00B81C1B"/>
    <w:rsid w:val="00B9631B"/>
    <w:rsid w:val="00BE4F0B"/>
    <w:rsid w:val="00C56629"/>
    <w:rsid w:val="00C638DA"/>
    <w:rsid w:val="00C8075E"/>
    <w:rsid w:val="00C969D3"/>
    <w:rsid w:val="00CA65B9"/>
    <w:rsid w:val="00CE28E5"/>
    <w:rsid w:val="00D528F3"/>
    <w:rsid w:val="00D632B3"/>
    <w:rsid w:val="00DC03C7"/>
    <w:rsid w:val="00E01B25"/>
    <w:rsid w:val="00E0213B"/>
    <w:rsid w:val="00E33CD7"/>
    <w:rsid w:val="00E4239E"/>
    <w:rsid w:val="00E4391B"/>
    <w:rsid w:val="00E7598B"/>
    <w:rsid w:val="00E958E6"/>
    <w:rsid w:val="00EC4447"/>
    <w:rsid w:val="00EC75E2"/>
    <w:rsid w:val="00ED7F1E"/>
    <w:rsid w:val="00EE556E"/>
    <w:rsid w:val="00EF6401"/>
    <w:rsid w:val="00F27CA9"/>
    <w:rsid w:val="00F51EC1"/>
    <w:rsid w:val="00F6743B"/>
    <w:rsid w:val="00F73BBE"/>
    <w:rsid w:val="00FC27E8"/>
    <w:rsid w:val="00FD1D87"/>
    <w:rsid w:val="00FE32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6D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rsid w:val="003B47E9"/>
    <w:pPr>
      <w:keepNext/>
      <w:spacing w:before="240" w:after="60"/>
      <w:outlineLvl w:val="0"/>
    </w:pPr>
    <w:rPr>
      <w:rFonts w:ascii="Arial" w:hAnsi="Arial"/>
      <w:b/>
      <w:kern w:val="28"/>
      <w:sz w:val="28"/>
    </w:rPr>
  </w:style>
  <w:style w:type="paragraph" w:styleId="Heading2">
    <w:name w:val="heading 2"/>
    <w:basedOn w:val="Normal"/>
    <w:next w:val="Normal"/>
    <w:qFormat/>
    <w:rsid w:val="003B47E9"/>
    <w:pPr>
      <w:keepNext/>
      <w:spacing w:before="240" w:after="60"/>
      <w:outlineLvl w:val="1"/>
    </w:pPr>
    <w:rPr>
      <w:rFonts w:ascii="Arial" w:hAnsi="Arial"/>
      <w:b/>
      <w:i/>
      <w:sz w:val="24"/>
    </w:rPr>
  </w:style>
  <w:style w:type="paragraph" w:styleId="Heading3">
    <w:name w:val="heading 3"/>
    <w:basedOn w:val="Normal"/>
    <w:qFormat/>
    <w:rsid w:val="003B47E9"/>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rsid w:val="003B47E9"/>
    <w:pPr>
      <w:keepNext/>
      <w:spacing w:after="240"/>
      <w:outlineLvl w:val="3"/>
    </w:pPr>
    <w:rPr>
      <w:rFonts w:ascii="GoudyOlSt BT" w:hAnsi="GoudyOlSt BT"/>
      <w:b/>
      <w:sz w:val="60"/>
    </w:rPr>
  </w:style>
  <w:style w:type="paragraph" w:styleId="Heading5">
    <w:name w:val="heading 5"/>
    <w:basedOn w:val="Normal"/>
    <w:next w:val="Normal"/>
    <w:qFormat/>
    <w:rsid w:val="003B47E9"/>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47E9"/>
    <w:pPr>
      <w:tabs>
        <w:tab w:val="center" w:pos="4153"/>
        <w:tab w:val="right" w:pos="8306"/>
      </w:tabs>
    </w:pPr>
  </w:style>
  <w:style w:type="paragraph" w:styleId="Footer">
    <w:name w:val="footer"/>
    <w:basedOn w:val="Normal"/>
    <w:rsid w:val="003B47E9"/>
    <w:pPr>
      <w:tabs>
        <w:tab w:val="center" w:pos="4153"/>
        <w:tab w:val="right" w:pos="8306"/>
      </w:tabs>
    </w:pPr>
  </w:style>
  <w:style w:type="paragraph" w:styleId="BodyText">
    <w:name w:val="Body Text"/>
    <w:basedOn w:val="Normal"/>
    <w:rsid w:val="003B47E9"/>
    <w:pPr>
      <w:spacing w:after="120"/>
    </w:pPr>
  </w:style>
  <w:style w:type="paragraph" w:customStyle="1" w:styleId="Bulletform">
    <w:name w:val="Bullet form"/>
    <w:basedOn w:val="Circulartext"/>
    <w:rsid w:val="003B47E9"/>
    <w:pPr>
      <w:numPr>
        <w:numId w:val="2"/>
      </w:numPr>
      <w:spacing w:before="120"/>
      <w:ind w:left="714" w:hanging="357"/>
    </w:pPr>
  </w:style>
  <w:style w:type="paragraph" w:customStyle="1" w:styleId="Circulartext2">
    <w:name w:val="Circular text 2"/>
    <w:basedOn w:val="Circulartext"/>
    <w:rsid w:val="003B47E9"/>
    <w:pPr>
      <w:tabs>
        <w:tab w:val="left" w:pos="4536"/>
      </w:tabs>
      <w:jc w:val="left"/>
    </w:pPr>
    <w:rPr>
      <w:szCs w:val="28"/>
    </w:rPr>
  </w:style>
  <w:style w:type="character" w:styleId="Hyperlink">
    <w:name w:val="Hyperlink"/>
    <w:rsid w:val="003B47E9"/>
    <w:rPr>
      <w:color w:val="0000FF"/>
      <w:u w:val="single"/>
    </w:rPr>
  </w:style>
  <w:style w:type="paragraph" w:customStyle="1" w:styleId="CircularBullet1">
    <w:name w:val="CircularBullet 1"/>
    <w:basedOn w:val="Circulartext"/>
    <w:rsid w:val="003B47E9"/>
    <w:pPr>
      <w:numPr>
        <w:numId w:val="6"/>
      </w:numPr>
      <w:spacing w:before="120"/>
    </w:pPr>
  </w:style>
  <w:style w:type="paragraph" w:customStyle="1" w:styleId="Circulartext">
    <w:name w:val="Circular text"/>
    <w:basedOn w:val="BodyText"/>
    <w:rsid w:val="003B47E9"/>
    <w:pPr>
      <w:spacing w:before="240" w:after="0"/>
      <w:jc w:val="both"/>
    </w:pPr>
    <w:rPr>
      <w:rFonts w:ascii="GoudyOlSt BT" w:hAnsi="GoudyOlSt BT"/>
      <w:sz w:val="24"/>
    </w:rPr>
  </w:style>
  <w:style w:type="paragraph" w:customStyle="1" w:styleId="CircularH2">
    <w:name w:val="Circular H2"/>
    <w:basedOn w:val="Heading5"/>
    <w:next w:val="Circulartext"/>
    <w:rsid w:val="003B47E9"/>
  </w:style>
  <w:style w:type="paragraph" w:customStyle="1" w:styleId="CircularH1">
    <w:name w:val="Circular H1"/>
    <w:basedOn w:val="Heading4"/>
    <w:next w:val="Circulartext"/>
    <w:rsid w:val="003B47E9"/>
    <w:pPr>
      <w:spacing w:before="360"/>
    </w:pPr>
  </w:style>
  <w:style w:type="character" w:styleId="FollowedHyperlink">
    <w:name w:val="FollowedHyperlink"/>
    <w:rsid w:val="003B47E9"/>
    <w:rPr>
      <w:color w:val="800080"/>
      <w:u w:val="single"/>
    </w:rPr>
  </w:style>
  <w:style w:type="paragraph" w:customStyle="1" w:styleId="CircularBullet2">
    <w:name w:val="CircularBullet 2"/>
    <w:basedOn w:val="CircularBullet1"/>
    <w:rsid w:val="003B47E9"/>
    <w:pPr>
      <w:numPr>
        <w:ilvl w:val="1"/>
        <w:numId w:val="12"/>
      </w:numPr>
    </w:pPr>
  </w:style>
  <w:style w:type="paragraph" w:customStyle="1" w:styleId="Dtext">
    <w:name w:val="Dtext"/>
    <w:basedOn w:val="Normal"/>
    <w:rsid w:val="003B47E9"/>
    <w:pPr>
      <w:spacing w:after="240" w:line="480" w:lineRule="atLeast"/>
      <w:jc w:val="both"/>
    </w:pPr>
    <w:rPr>
      <w:sz w:val="24"/>
    </w:rPr>
  </w:style>
  <w:style w:type="paragraph" w:customStyle="1" w:styleId="CircularBullet3">
    <w:name w:val="CircularBullet 3"/>
    <w:basedOn w:val="Circulartext"/>
    <w:rsid w:val="003B47E9"/>
    <w:pPr>
      <w:numPr>
        <w:ilvl w:val="2"/>
        <w:numId w:val="19"/>
      </w:numPr>
      <w:spacing w:before="120"/>
    </w:pPr>
  </w:style>
  <w:style w:type="paragraph" w:customStyle="1" w:styleId="Circularheading2">
    <w:name w:val="Circular heading 2"/>
    <w:basedOn w:val="Heading5"/>
    <w:next w:val="Circulartext"/>
    <w:rsid w:val="003B47E9"/>
  </w:style>
  <w:style w:type="paragraph" w:styleId="ListNumber">
    <w:name w:val="List Number"/>
    <w:basedOn w:val="Normal"/>
    <w:rsid w:val="003B47E9"/>
    <w:pPr>
      <w:spacing w:before="120" w:line="320" w:lineRule="exact"/>
      <w:ind w:left="340" w:hanging="340"/>
      <w:jc w:val="both"/>
    </w:pPr>
    <w:rPr>
      <w:sz w:val="26"/>
      <w:lang w:eastAsia="en-US"/>
    </w:rPr>
  </w:style>
  <w:style w:type="paragraph" w:styleId="BalloonText">
    <w:name w:val="Balloon Text"/>
    <w:basedOn w:val="Normal"/>
    <w:semiHidden/>
    <w:rsid w:val="003B47E9"/>
    <w:rPr>
      <w:rFonts w:ascii="Tahoma" w:hAnsi="Tahoma" w:cs="Tahoma"/>
      <w:sz w:val="16"/>
      <w:szCs w:val="16"/>
    </w:rPr>
  </w:style>
  <w:style w:type="paragraph" w:styleId="NormalWeb">
    <w:name w:val="Normal (Web)"/>
    <w:basedOn w:val="Normal"/>
    <w:rsid w:val="003B47E9"/>
    <w:pPr>
      <w:spacing w:before="100" w:beforeAutospacing="1" w:after="225"/>
    </w:pPr>
    <w:rPr>
      <w:rFonts w:ascii="Verdana" w:hAnsi="Verdana"/>
      <w:color w:val="000000"/>
      <w:sz w:val="24"/>
      <w:szCs w:val="24"/>
    </w:rPr>
  </w:style>
  <w:style w:type="character" w:styleId="CommentReference">
    <w:name w:val="annotation reference"/>
    <w:semiHidden/>
    <w:rsid w:val="003B47E9"/>
    <w:rPr>
      <w:sz w:val="16"/>
      <w:szCs w:val="16"/>
    </w:rPr>
  </w:style>
  <w:style w:type="paragraph" w:styleId="CommentText">
    <w:name w:val="annotation text"/>
    <w:basedOn w:val="Normal"/>
    <w:semiHidden/>
    <w:rsid w:val="003B47E9"/>
  </w:style>
  <w:style w:type="paragraph" w:styleId="CommentSubject">
    <w:name w:val="annotation subject"/>
    <w:basedOn w:val="CommentText"/>
    <w:next w:val="CommentText"/>
    <w:semiHidden/>
    <w:rsid w:val="003B47E9"/>
    <w:rPr>
      <w:b/>
      <w:bCs/>
    </w:rPr>
  </w:style>
  <w:style w:type="paragraph" w:customStyle="1" w:styleId="Default">
    <w:name w:val="Default"/>
    <w:rsid w:val="00ED7F1E"/>
    <w:pPr>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rsid w:val="003B47E9"/>
    <w:pPr>
      <w:keepNext/>
      <w:spacing w:before="240" w:after="60"/>
      <w:outlineLvl w:val="0"/>
    </w:pPr>
    <w:rPr>
      <w:rFonts w:ascii="Arial" w:hAnsi="Arial"/>
      <w:b/>
      <w:kern w:val="28"/>
      <w:sz w:val="28"/>
    </w:rPr>
  </w:style>
  <w:style w:type="paragraph" w:styleId="Heading2">
    <w:name w:val="heading 2"/>
    <w:basedOn w:val="Normal"/>
    <w:next w:val="Normal"/>
    <w:qFormat/>
    <w:rsid w:val="003B47E9"/>
    <w:pPr>
      <w:keepNext/>
      <w:spacing w:before="240" w:after="60"/>
      <w:outlineLvl w:val="1"/>
    </w:pPr>
    <w:rPr>
      <w:rFonts w:ascii="Arial" w:hAnsi="Arial"/>
      <w:b/>
      <w:i/>
      <w:sz w:val="24"/>
    </w:rPr>
  </w:style>
  <w:style w:type="paragraph" w:styleId="Heading3">
    <w:name w:val="heading 3"/>
    <w:basedOn w:val="Normal"/>
    <w:qFormat/>
    <w:rsid w:val="003B47E9"/>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rsid w:val="003B47E9"/>
    <w:pPr>
      <w:keepNext/>
      <w:spacing w:after="240"/>
      <w:outlineLvl w:val="3"/>
    </w:pPr>
    <w:rPr>
      <w:rFonts w:ascii="GoudyOlSt BT" w:hAnsi="GoudyOlSt BT"/>
      <w:b/>
      <w:sz w:val="60"/>
    </w:rPr>
  </w:style>
  <w:style w:type="paragraph" w:styleId="Heading5">
    <w:name w:val="heading 5"/>
    <w:basedOn w:val="Normal"/>
    <w:next w:val="Normal"/>
    <w:qFormat/>
    <w:rsid w:val="003B47E9"/>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47E9"/>
    <w:pPr>
      <w:tabs>
        <w:tab w:val="center" w:pos="4153"/>
        <w:tab w:val="right" w:pos="8306"/>
      </w:tabs>
    </w:pPr>
  </w:style>
  <w:style w:type="paragraph" w:styleId="Footer">
    <w:name w:val="footer"/>
    <w:basedOn w:val="Normal"/>
    <w:rsid w:val="003B47E9"/>
    <w:pPr>
      <w:tabs>
        <w:tab w:val="center" w:pos="4153"/>
        <w:tab w:val="right" w:pos="8306"/>
      </w:tabs>
    </w:pPr>
  </w:style>
  <w:style w:type="paragraph" w:styleId="BodyText">
    <w:name w:val="Body Text"/>
    <w:basedOn w:val="Normal"/>
    <w:rsid w:val="003B47E9"/>
    <w:pPr>
      <w:spacing w:after="120"/>
    </w:pPr>
  </w:style>
  <w:style w:type="paragraph" w:customStyle="1" w:styleId="Bulletform">
    <w:name w:val="Bullet form"/>
    <w:basedOn w:val="Circulartext"/>
    <w:rsid w:val="003B47E9"/>
    <w:pPr>
      <w:numPr>
        <w:numId w:val="2"/>
      </w:numPr>
      <w:spacing w:before="120"/>
      <w:ind w:left="714" w:hanging="357"/>
    </w:pPr>
  </w:style>
  <w:style w:type="paragraph" w:customStyle="1" w:styleId="Circulartext2">
    <w:name w:val="Circular text 2"/>
    <w:basedOn w:val="Circulartext"/>
    <w:rsid w:val="003B47E9"/>
    <w:pPr>
      <w:tabs>
        <w:tab w:val="left" w:pos="4536"/>
      </w:tabs>
      <w:jc w:val="left"/>
    </w:pPr>
    <w:rPr>
      <w:szCs w:val="28"/>
    </w:rPr>
  </w:style>
  <w:style w:type="character" w:styleId="Hyperlink">
    <w:name w:val="Hyperlink"/>
    <w:rsid w:val="003B47E9"/>
    <w:rPr>
      <w:color w:val="0000FF"/>
      <w:u w:val="single"/>
    </w:rPr>
  </w:style>
  <w:style w:type="paragraph" w:customStyle="1" w:styleId="CircularBullet1">
    <w:name w:val="CircularBullet 1"/>
    <w:basedOn w:val="Circulartext"/>
    <w:rsid w:val="003B47E9"/>
    <w:pPr>
      <w:numPr>
        <w:numId w:val="6"/>
      </w:numPr>
      <w:spacing w:before="120"/>
    </w:pPr>
  </w:style>
  <w:style w:type="paragraph" w:customStyle="1" w:styleId="Circulartext">
    <w:name w:val="Circular text"/>
    <w:basedOn w:val="BodyText"/>
    <w:rsid w:val="003B47E9"/>
    <w:pPr>
      <w:spacing w:before="240" w:after="0"/>
      <w:jc w:val="both"/>
    </w:pPr>
    <w:rPr>
      <w:rFonts w:ascii="GoudyOlSt BT" w:hAnsi="GoudyOlSt BT"/>
      <w:sz w:val="24"/>
    </w:rPr>
  </w:style>
  <w:style w:type="paragraph" w:customStyle="1" w:styleId="CircularH2">
    <w:name w:val="Circular H2"/>
    <w:basedOn w:val="Heading5"/>
    <w:next w:val="Circulartext"/>
    <w:rsid w:val="003B47E9"/>
  </w:style>
  <w:style w:type="paragraph" w:customStyle="1" w:styleId="CircularH1">
    <w:name w:val="Circular H1"/>
    <w:basedOn w:val="Heading4"/>
    <w:next w:val="Circulartext"/>
    <w:rsid w:val="003B47E9"/>
    <w:pPr>
      <w:spacing w:before="360"/>
    </w:pPr>
  </w:style>
  <w:style w:type="character" w:styleId="FollowedHyperlink">
    <w:name w:val="FollowedHyperlink"/>
    <w:rsid w:val="003B47E9"/>
    <w:rPr>
      <w:color w:val="800080"/>
      <w:u w:val="single"/>
    </w:rPr>
  </w:style>
  <w:style w:type="paragraph" w:customStyle="1" w:styleId="CircularBullet2">
    <w:name w:val="CircularBullet 2"/>
    <w:basedOn w:val="CircularBullet1"/>
    <w:rsid w:val="003B47E9"/>
    <w:pPr>
      <w:numPr>
        <w:ilvl w:val="1"/>
        <w:numId w:val="12"/>
      </w:numPr>
    </w:pPr>
  </w:style>
  <w:style w:type="paragraph" w:customStyle="1" w:styleId="Dtext">
    <w:name w:val="Dtext"/>
    <w:basedOn w:val="Normal"/>
    <w:rsid w:val="003B47E9"/>
    <w:pPr>
      <w:spacing w:after="240" w:line="480" w:lineRule="atLeast"/>
      <w:jc w:val="both"/>
    </w:pPr>
    <w:rPr>
      <w:sz w:val="24"/>
    </w:rPr>
  </w:style>
  <w:style w:type="paragraph" w:customStyle="1" w:styleId="CircularBullet3">
    <w:name w:val="CircularBullet 3"/>
    <w:basedOn w:val="Circulartext"/>
    <w:rsid w:val="003B47E9"/>
    <w:pPr>
      <w:numPr>
        <w:ilvl w:val="2"/>
        <w:numId w:val="19"/>
      </w:numPr>
      <w:spacing w:before="120"/>
    </w:pPr>
  </w:style>
  <w:style w:type="paragraph" w:customStyle="1" w:styleId="Circularheading2">
    <w:name w:val="Circular heading 2"/>
    <w:basedOn w:val="Heading5"/>
    <w:next w:val="Circulartext"/>
    <w:rsid w:val="003B47E9"/>
  </w:style>
  <w:style w:type="paragraph" w:styleId="ListNumber">
    <w:name w:val="List Number"/>
    <w:basedOn w:val="Normal"/>
    <w:rsid w:val="003B47E9"/>
    <w:pPr>
      <w:spacing w:before="120" w:line="320" w:lineRule="exact"/>
      <w:ind w:left="340" w:hanging="340"/>
      <w:jc w:val="both"/>
    </w:pPr>
    <w:rPr>
      <w:sz w:val="26"/>
      <w:lang w:eastAsia="en-US"/>
    </w:rPr>
  </w:style>
  <w:style w:type="paragraph" w:styleId="BalloonText">
    <w:name w:val="Balloon Text"/>
    <w:basedOn w:val="Normal"/>
    <w:semiHidden/>
    <w:rsid w:val="003B47E9"/>
    <w:rPr>
      <w:rFonts w:ascii="Tahoma" w:hAnsi="Tahoma" w:cs="Tahoma"/>
      <w:sz w:val="16"/>
      <w:szCs w:val="16"/>
    </w:rPr>
  </w:style>
  <w:style w:type="paragraph" w:styleId="NormalWeb">
    <w:name w:val="Normal (Web)"/>
    <w:basedOn w:val="Normal"/>
    <w:rsid w:val="003B47E9"/>
    <w:pPr>
      <w:spacing w:before="100" w:beforeAutospacing="1" w:after="225"/>
    </w:pPr>
    <w:rPr>
      <w:rFonts w:ascii="Verdana" w:hAnsi="Verdana"/>
      <w:color w:val="000000"/>
      <w:sz w:val="24"/>
      <w:szCs w:val="24"/>
    </w:rPr>
  </w:style>
  <w:style w:type="character" w:styleId="CommentReference">
    <w:name w:val="annotation reference"/>
    <w:semiHidden/>
    <w:rsid w:val="003B47E9"/>
    <w:rPr>
      <w:sz w:val="16"/>
      <w:szCs w:val="16"/>
    </w:rPr>
  </w:style>
  <w:style w:type="paragraph" w:styleId="CommentText">
    <w:name w:val="annotation text"/>
    <w:basedOn w:val="Normal"/>
    <w:semiHidden/>
    <w:rsid w:val="003B47E9"/>
  </w:style>
  <w:style w:type="paragraph" w:styleId="CommentSubject">
    <w:name w:val="annotation subject"/>
    <w:basedOn w:val="CommentText"/>
    <w:next w:val="CommentText"/>
    <w:semiHidden/>
    <w:rsid w:val="003B47E9"/>
    <w:rPr>
      <w:b/>
      <w:bCs/>
    </w:rPr>
  </w:style>
  <w:style w:type="paragraph" w:customStyle="1" w:styleId="Default">
    <w:name w:val="Default"/>
    <w:rsid w:val="00ED7F1E"/>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4</Pages>
  <Words>1681</Words>
  <Characters>9143</Characters>
  <Application>Microsoft Office Word</Application>
  <DocSecurity>0</DocSecurity>
  <Lines>186</Lines>
  <Paragraphs>59</Paragraphs>
  <ScaleCrop>false</ScaleCrop>
  <HeadingPairs>
    <vt:vector size="2" baseType="variant">
      <vt:variant>
        <vt:lpstr>Title</vt:lpstr>
      </vt:variant>
      <vt:variant>
        <vt:i4>1</vt:i4>
      </vt:variant>
    </vt:vector>
  </HeadingPairs>
  <TitlesOfParts>
    <vt:vector size="1" baseType="lpstr">
      <vt:lpstr>Submission DR709 - The Children of Gowrie SA - Childcare and Early Childhood Learning - Public inquiry</vt:lpstr>
    </vt:vector>
  </TitlesOfParts>
  <Company/>
  <LinksUpToDate>false</LinksUpToDate>
  <CharactersWithSpaces>10765</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DR709 - The Children of Gowrie SA - Childcare and Early Childhood Learning - Public inquiry</dc:title>
  <dc:creator>The Children of Gowrie SA</dc:creator>
  <cp:lastModifiedBy>Mark Pimperl</cp:lastModifiedBy>
  <cp:revision>4</cp:revision>
  <cp:lastPrinted>2004-07-01T12:55:00Z</cp:lastPrinted>
  <dcterms:created xsi:type="dcterms:W3CDTF">2014-09-09T02:21:00Z</dcterms:created>
  <dcterms:modified xsi:type="dcterms:W3CDTF">2014-09-10T23:02:00Z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