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D5F16F" w14:textId="5D31FE87" w:rsidR="0055522C" w:rsidRDefault="00B764ED" w:rsidP="00694ED9">
      <w:pPr>
        <w:pStyle w:val="Title"/>
      </w:pPr>
      <w:r>
        <w:rPr>
          <w:noProof/>
        </w:rPr>
        <mc:AlternateContent>
          <mc:Choice Requires="wpg">
            <w:drawing>
              <wp:anchor distT="0" distB="0" distL="114300" distR="114300" simplePos="0" relativeHeight="251657728" behindDoc="0" locked="0" layoutInCell="1" allowOverlap="1" wp14:anchorId="1672A5F5" wp14:editId="10A79CFE">
                <wp:simplePos x="0" y="0"/>
                <wp:positionH relativeFrom="column">
                  <wp:posOffset>-662940</wp:posOffset>
                </wp:positionH>
                <wp:positionV relativeFrom="paragraph">
                  <wp:posOffset>-682625</wp:posOffset>
                </wp:positionV>
                <wp:extent cx="7085330" cy="10200640"/>
                <wp:effectExtent l="6350" t="1905"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5330" cy="10200640"/>
                          <a:chOff x="0" y="0"/>
                          <a:chExt cx="7085027" cy="10200904"/>
                        </a:xfrm>
                      </wpg:grpSpPr>
                      <wpg:grpSp>
                        <wpg:cNvPr id="2" name="Group 8"/>
                        <wpg:cNvGrpSpPr>
                          <a:grpSpLocks/>
                        </wpg:cNvGrpSpPr>
                        <wpg:grpSpPr bwMode="auto">
                          <a:xfrm>
                            <a:off x="0" y="0"/>
                            <a:ext cx="7077528" cy="10200904"/>
                            <a:chOff x="0" y="0"/>
                            <a:chExt cx="7077528" cy="10200904"/>
                          </a:xfrm>
                        </wpg:grpSpPr>
                        <wps:wsp>
                          <wps:cNvPr id="3" name="Rectangle 1"/>
                          <wps:cNvSpPr>
                            <a:spLocks noChangeArrowheads="1"/>
                          </wps:cNvSpPr>
                          <wps:spPr bwMode="auto">
                            <a:xfrm>
                              <a:off x="0" y="0"/>
                              <a:ext cx="7077528" cy="10200904"/>
                            </a:xfrm>
                            <a:prstGeom prst="rect">
                              <a:avLst/>
                            </a:prstGeom>
                            <a:solidFill>
                              <a:srgbClr val="00B5D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826327" y="2529444"/>
                              <a:ext cx="1662546" cy="1246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5"/>
                          <wps:cNvSpPr>
                            <a:spLocks noChangeArrowheads="1"/>
                          </wps:cNvSpPr>
                          <wps:spPr bwMode="auto">
                            <a:xfrm>
                              <a:off x="1163782" y="4405746"/>
                              <a:ext cx="5011387" cy="1959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CD59259" w14:textId="77777777" w:rsidR="00F729D6" w:rsidRPr="00E83F06" w:rsidRDefault="00F729D6" w:rsidP="00E83F06">
                                <w:pPr>
                                  <w:jc w:val="center"/>
                                  <w:rPr>
                                    <w:rFonts w:ascii="Helvetica Neue" w:hAnsi="Helvetica Neue" w:cs="Kalinga"/>
                                    <w:b/>
                                    <w:color w:val="FFFFFF"/>
                                    <w:sz w:val="40"/>
                                  </w:rPr>
                                </w:pPr>
                                <w:r w:rsidRPr="00E83F06">
                                  <w:rPr>
                                    <w:rFonts w:ascii="Helvetica Neue" w:hAnsi="Helvetica Neue" w:cs="Kalinga"/>
                                    <w:b/>
                                    <w:color w:val="FFFFFF"/>
                                    <w:sz w:val="40"/>
                                  </w:rPr>
                                  <w:t>A Submission to the</w:t>
                                </w:r>
                              </w:p>
                              <w:p w14:paraId="085C5898" w14:textId="77777777" w:rsidR="00F729D6" w:rsidRPr="00E83F06" w:rsidRDefault="00F729D6" w:rsidP="00E83F06">
                                <w:pPr>
                                  <w:jc w:val="center"/>
                                  <w:rPr>
                                    <w:rFonts w:ascii="Helvetica Neue" w:hAnsi="Helvetica Neue" w:cs="Kalinga"/>
                                    <w:b/>
                                    <w:color w:val="FFFFFF"/>
                                    <w:sz w:val="40"/>
                                  </w:rPr>
                                </w:pPr>
                                <w:r w:rsidRPr="00E83F06">
                                  <w:rPr>
                                    <w:rFonts w:ascii="Helvetica Neue" w:hAnsi="Helvetica Neue" w:cs="Kalinga"/>
                                    <w:b/>
                                    <w:color w:val="FFFFFF"/>
                                    <w:sz w:val="40"/>
                                  </w:rPr>
                                  <w:t>Productivity Commission</w:t>
                                </w:r>
                              </w:p>
                              <w:p w14:paraId="59BF8726" w14:textId="77777777" w:rsidR="00F729D6" w:rsidRPr="00A43EAB" w:rsidRDefault="00F729D6" w:rsidP="00E83F06">
                                <w:pPr>
                                  <w:jc w:val="center"/>
                                  <w:rPr>
                                    <w:rFonts w:ascii="Helvetica Neue" w:hAnsi="Helvetica Neue" w:cs="Kalinga"/>
                                    <w:b/>
                                    <w:color w:val="FFFFFF"/>
                                    <w:sz w:val="40"/>
                                  </w:rPr>
                                </w:pPr>
                                <w:r w:rsidRPr="00E83F06">
                                  <w:rPr>
                                    <w:rFonts w:ascii="Helvetica Neue" w:hAnsi="Helvetica Neue" w:cs="Kalinga"/>
                                    <w:b/>
                                    <w:color w:val="FFFFFF"/>
                                    <w:sz w:val="40"/>
                                  </w:rPr>
                                  <w:t>Childcare and Early Learning Report</w:t>
                                </w:r>
                              </w:p>
                              <w:p w14:paraId="23B0A508" w14:textId="77777777" w:rsidR="00F729D6" w:rsidRPr="00A43EAB" w:rsidRDefault="00F729D6" w:rsidP="00005D30">
                                <w:pPr>
                                  <w:jc w:val="center"/>
                                  <w:rPr>
                                    <w:rFonts w:ascii="Helvetica Neue" w:hAnsi="Helvetica Neue" w:cs="Kalinga"/>
                                    <w:color w:val="FFFFFF"/>
                                    <w:sz w:val="32"/>
                                  </w:rPr>
                                </w:pPr>
                              </w:p>
                              <w:p w14:paraId="4AB7F0C8" w14:textId="77777777" w:rsidR="00F729D6" w:rsidRPr="00A43EAB" w:rsidRDefault="00F729D6" w:rsidP="00005D30">
                                <w:pPr>
                                  <w:jc w:val="center"/>
                                  <w:rPr>
                                    <w:rFonts w:ascii="Helvetica Neue" w:hAnsi="Helvetica Neue" w:cs="Kalinga"/>
                                    <w:color w:val="FFFFFF"/>
                                    <w:sz w:val="32"/>
                                  </w:rPr>
                                </w:pPr>
                              </w:p>
                              <w:p w14:paraId="0D9D106F" w14:textId="417F4574" w:rsidR="00F729D6" w:rsidRPr="00A43EAB" w:rsidRDefault="009177F8" w:rsidP="00005D30">
                                <w:pPr>
                                  <w:jc w:val="center"/>
                                  <w:rPr>
                                    <w:rFonts w:ascii="Helvetica Neue" w:hAnsi="Helvetica Neue" w:cs="Kalinga"/>
                                    <w:color w:val="FFFFFF"/>
                                    <w:sz w:val="32"/>
                                  </w:rPr>
                                </w:pPr>
                                <w:r>
                                  <w:rPr>
                                    <w:rFonts w:ascii="Helvetica Neue" w:hAnsi="Helvetica Neue" w:cs="Kalinga"/>
                                    <w:color w:val="FFFFFF"/>
                                    <w:sz w:val="32"/>
                                  </w:rPr>
                                  <w:t>5</w:t>
                                </w:r>
                                <w:r w:rsidR="00F729D6" w:rsidRPr="00A43EAB">
                                  <w:rPr>
                                    <w:rFonts w:ascii="Helvetica Neue" w:hAnsi="Helvetica Neue" w:cs="Kalinga"/>
                                    <w:color w:val="FFFFFF"/>
                                    <w:sz w:val="32"/>
                                  </w:rPr>
                                  <w:t xml:space="preserve"> September 2014</w:t>
                                </w:r>
                              </w:p>
                            </w:txbxContent>
                          </wps:txbx>
                          <wps:bodyPr rot="0" vert="horz" wrap="square" lIns="91440" tIns="45720" rIns="91440" bIns="45720" anchor="ctr" anchorCtr="0" upright="1">
                            <a:noAutofit/>
                          </wps:bodyPr>
                        </wps:wsp>
                      </wpg:grpSp>
                      <wps:wsp>
                        <wps:cNvPr id="6" name="Rectangle 9"/>
                        <wps:cNvSpPr>
                          <a:spLocks noChangeArrowheads="1"/>
                        </wps:cNvSpPr>
                        <wps:spPr bwMode="auto">
                          <a:xfrm>
                            <a:off x="0" y="1232452"/>
                            <a:ext cx="7077075" cy="177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Rectangle 10"/>
                        <wps:cNvSpPr>
                          <a:spLocks noChangeArrowheads="1"/>
                        </wps:cNvSpPr>
                        <wps:spPr bwMode="auto">
                          <a:xfrm>
                            <a:off x="0" y="1335819"/>
                            <a:ext cx="7077075" cy="177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Rectangle 11"/>
                        <wps:cNvSpPr>
                          <a:spLocks noChangeArrowheads="1"/>
                        </wps:cNvSpPr>
                        <wps:spPr bwMode="auto">
                          <a:xfrm>
                            <a:off x="7952" y="8865704"/>
                            <a:ext cx="7077075" cy="177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2"/>
                        <wps:cNvSpPr>
                          <a:spLocks noChangeArrowheads="1"/>
                        </wps:cNvSpPr>
                        <wps:spPr bwMode="auto">
                          <a:xfrm>
                            <a:off x="7952" y="8969071"/>
                            <a:ext cx="7077075" cy="177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52.2pt;margin-top:-53.75pt;width:557.9pt;height:803.2pt;z-index:251657728" coordsize="70850,10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">
                <v:group id="Group 8" o:spid="_x0000_s1027" style="position:absolute;width:70775;height:102009" coordsize="70775,102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 o:spid="_x0000_s1028" style="position:absolute;width:70775;height:102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igcIA&#10;AADaAAAADwAAAGRycy9kb3ducmV2LnhtbESPzWrDMBCE74W+g9hCbrXstA3BsWJCSqGHQmh+7ou1&#10;tkyslbHU2Hn7KhDIcZiZb5iinGwnLjT41rGCLElBEFdOt9woOB6+XpcgfEDW2DkmBVfyUK6fnwrM&#10;tRv5ly770IgIYZ+jAhNCn0vpK0MWfeJ64ujVbrAYohwaqQccI9x2cp6mC2mx5bhgsKetoeq8/7MK&#10;frAzNW8y357et/Px86PenblWavYybVYgAk3hEb63v7WCN7hd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SKBwgAAANoAAAAPAAAAAAAAAAAAAAAAAJgCAABkcnMvZG93&#10;bnJldi54bWxQSwUGAAAAAAQABAD1AAAAhwMAAAAA&#10;" fillcolor="#00b5d6"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8263;top:25294;width:16625;height:1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QKfnEAAAA2gAAAA8AAABkcnMvZG93bnJldi54bWxEj0FrwkAUhO8F/8PyhF6KbpQiEl1FRWkv&#10;bTHqwdsj+0yi2bchuzXrv+8WCj0OM/MNM18GU4s7ta6yrGA0TEAQ51ZXXCg4HnaDKQjnkTXWlknB&#10;gxwsF72nOabadryne+YLESHsUlRQet+kUrq8JINuaBvi6F1sa9BH2RZSt9hFuKnlOEkm0mDFcaHE&#10;hjYl5bfs2yjYfBRv3aM6fWZf24nR+2tYv5yDUs/9sJqB8BT8f/iv/a4VvMLvlXgD5O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QKfnEAAAA2gAAAA8AAAAAAAAAAAAAAAAA&#10;nwIAAGRycy9kb3ducmV2LnhtbFBLBQYAAAAABAAEAPcAAACQAwAAAAA=&#10;">
                    <v:imagedata r:id="rId12" o:title=""/>
                    <v:path arrowok="t"/>
                  </v:shape>
                  <v:rect id="Rectangle 5" o:spid="_x0000_s1030" style="position:absolute;left:11637;top:44057;width:50114;height:19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v:textbox>
                      <w:txbxContent>
                        <w:p w14:paraId="5CD59259" w14:textId="77777777" w:rsidR="00F729D6" w:rsidRPr="00E83F06" w:rsidRDefault="00F729D6" w:rsidP="00E83F06">
                          <w:pPr>
                            <w:jc w:val="center"/>
                            <w:rPr>
                              <w:rFonts w:ascii="Helvetica Neue" w:hAnsi="Helvetica Neue" w:cs="Kalinga"/>
                              <w:b/>
                              <w:color w:val="FFFFFF"/>
                              <w:sz w:val="40"/>
                            </w:rPr>
                          </w:pPr>
                          <w:bookmarkStart w:id="103" w:name="_GoBack"/>
                          <w:r w:rsidRPr="00E83F06">
                            <w:rPr>
                              <w:rFonts w:ascii="Helvetica Neue" w:hAnsi="Helvetica Neue" w:cs="Kalinga"/>
                              <w:b/>
                              <w:color w:val="FFFFFF"/>
                              <w:sz w:val="40"/>
                            </w:rPr>
                            <w:t>A Submission to the</w:t>
                          </w:r>
                        </w:p>
                        <w:p w14:paraId="085C5898" w14:textId="77777777" w:rsidR="00F729D6" w:rsidRPr="00E83F06" w:rsidRDefault="00F729D6" w:rsidP="00E83F06">
                          <w:pPr>
                            <w:jc w:val="center"/>
                            <w:rPr>
                              <w:rFonts w:ascii="Helvetica Neue" w:hAnsi="Helvetica Neue" w:cs="Kalinga"/>
                              <w:b/>
                              <w:color w:val="FFFFFF"/>
                              <w:sz w:val="40"/>
                            </w:rPr>
                          </w:pPr>
                          <w:r w:rsidRPr="00E83F06">
                            <w:rPr>
                              <w:rFonts w:ascii="Helvetica Neue" w:hAnsi="Helvetica Neue" w:cs="Kalinga"/>
                              <w:b/>
                              <w:color w:val="FFFFFF"/>
                              <w:sz w:val="40"/>
                            </w:rPr>
                            <w:t>Productivity Commission</w:t>
                          </w:r>
                        </w:p>
                        <w:p w14:paraId="59BF8726" w14:textId="77777777" w:rsidR="00F729D6" w:rsidRPr="00A43EAB" w:rsidRDefault="00F729D6" w:rsidP="00E83F06">
                          <w:pPr>
                            <w:jc w:val="center"/>
                            <w:rPr>
                              <w:rFonts w:ascii="Helvetica Neue" w:hAnsi="Helvetica Neue" w:cs="Kalinga"/>
                              <w:b/>
                              <w:color w:val="FFFFFF"/>
                              <w:sz w:val="40"/>
                            </w:rPr>
                          </w:pPr>
                          <w:r w:rsidRPr="00E83F06">
                            <w:rPr>
                              <w:rFonts w:ascii="Helvetica Neue" w:hAnsi="Helvetica Neue" w:cs="Kalinga"/>
                              <w:b/>
                              <w:color w:val="FFFFFF"/>
                              <w:sz w:val="40"/>
                            </w:rPr>
                            <w:t>Childcare and Early Learning Report</w:t>
                          </w:r>
                        </w:p>
                        <w:p w14:paraId="23B0A508" w14:textId="77777777" w:rsidR="00F729D6" w:rsidRPr="00A43EAB" w:rsidRDefault="00F729D6" w:rsidP="00005D30">
                          <w:pPr>
                            <w:jc w:val="center"/>
                            <w:rPr>
                              <w:rFonts w:ascii="Helvetica Neue" w:hAnsi="Helvetica Neue" w:cs="Kalinga"/>
                              <w:color w:val="FFFFFF"/>
                              <w:sz w:val="32"/>
                            </w:rPr>
                          </w:pPr>
                        </w:p>
                        <w:bookmarkEnd w:id="103"/>
                        <w:p w14:paraId="4AB7F0C8" w14:textId="77777777" w:rsidR="00F729D6" w:rsidRPr="00A43EAB" w:rsidRDefault="00F729D6" w:rsidP="00005D30">
                          <w:pPr>
                            <w:jc w:val="center"/>
                            <w:rPr>
                              <w:rFonts w:ascii="Helvetica Neue" w:hAnsi="Helvetica Neue" w:cs="Kalinga"/>
                              <w:color w:val="FFFFFF"/>
                              <w:sz w:val="32"/>
                            </w:rPr>
                          </w:pPr>
                        </w:p>
                        <w:p w14:paraId="0D9D106F" w14:textId="417F4574" w:rsidR="00F729D6" w:rsidRPr="00A43EAB" w:rsidRDefault="009177F8" w:rsidP="00005D30">
                          <w:pPr>
                            <w:jc w:val="center"/>
                            <w:rPr>
                              <w:rFonts w:ascii="Helvetica Neue" w:hAnsi="Helvetica Neue" w:cs="Kalinga"/>
                              <w:color w:val="FFFFFF"/>
                              <w:sz w:val="32"/>
                            </w:rPr>
                          </w:pPr>
                          <w:r>
                            <w:rPr>
                              <w:rFonts w:ascii="Helvetica Neue" w:hAnsi="Helvetica Neue" w:cs="Kalinga"/>
                              <w:color w:val="FFFFFF"/>
                              <w:sz w:val="32"/>
                            </w:rPr>
                            <w:t>5</w:t>
                          </w:r>
                          <w:r w:rsidR="00F729D6" w:rsidRPr="00A43EAB">
                            <w:rPr>
                              <w:rFonts w:ascii="Helvetica Neue" w:hAnsi="Helvetica Neue" w:cs="Kalinga"/>
                              <w:color w:val="FFFFFF"/>
                              <w:sz w:val="32"/>
                            </w:rPr>
                            <w:t xml:space="preserve"> September 2014</w:t>
                          </w:r>
                        </w:p>
                      </w:txbxContent>
                    </v:textbox>
                  </v:rect>
                </v:group>
                <v:rect id="Rectangle 9" o:spid="_x0000_s1031" style="position:absolute;top:12324;width:70770;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AoLwA&#10;AADaAAAADwAAAGRycy9kb3ducmV2LnhtbESPSwvCMBCE74L/IazgTVMfiFSjqCB69YHntVnbYrMp&#10;SdT6740geBxm5htmvmxMJZ7kfGlZwaCfgCDOrC45V3A+bXtTED4ga6wsk4I3eVgu2q05ptq++EDP&#10;Y8hFhLBPUUERQp1K6bOCDPq+rYmjd7POYIjS5VI7fEW4qeQwSSbSYMlxocCaNgVl9+PDKJBhR/dT&#10;M7zwKBnjde1u50stlep2mtUMRKAm/MO/9l4rmMD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vMCgvAAAANoAAAAPAAAAAAAAAAAAAAAAAJgCAABkcnMvZG93bnJldi54&#10;bWxQSwUGAAAAAAQABAD1AAAAgQMAAAAA&#10;" stroked="f" strokeweight="2pt"/>
                <v:rect id="Rectangle 10" o:spid="_x0000_s1032" style="position:absolute;top:13358;width:70770;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O78A&#10;AADaAAAADwAAAGRycy9kb3ducmV2LnhtbESPQYvCMBSE78L+h/AWvGm6KirdRlkXFr1qxfPb5tmW&#10;Ni8liVr/vREEj8PMfMNk69604krO15YVfI0TEMSF1TWXCo7532gJwgdkja1lUnAnD+vVxyDDVNsb&#10;7+l6CKWIEPYpKqhC6FIpfVGRQT+2HXH0ztYZDFG6UmqHtwg3rZwkyVwarDkuVNjRb0VFc7gYBTJs&#10;qcn7yYmnyQz/N+58PHVSqeFn//MNIlAf3uFXe6cVLOB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GU7vwAAANoAAAAPAAAAAAAAAAAAAAAAAJgCAABkcnMvZG93bnJl&#10;di54bWxQSwUGAAAAAAQABAD1AAAAhAMAAAAA&#10;" stroked="f" strokeweight="2pt"/>
                <v:rect id="Rectangle 11" o:spid="_x0000_s1033" style="position:absolute;left:79;top:88657;width:70771;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SbkA&#10;AADaAAAADwAAAGRycy9kb3ducmV2LnhtbERPSwrCMBDdC94hjOBOUz+IVKOoILpVi+uxGdtiMylJ&#10;1Hp7sxBcPt5/uW5NLV7kfGVZwWiYgCDOra64UJBd9oM5CB+QNdaWScGHPKxX3c4SU23ffKLXORQi&#10;hrBPUUEZQpNK6fOSDPqhbYgjd7fOYIjQFVI7fMdwU8txksykwYpjQ4kN7UrKH+enUSDDgR6Xdnzl&#10;STLF29bds2sjler32s0CRKA2/MU/91EriFvjlXgD5O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Wb/FJuQAAANoAAAAPAAAAAAAAAAAAAAAAAJgCAABkcnMvZG93bnJldi54bWxQ&#10;SwUGAAAAAAQABAD1AAAAfgMAAAAA&#10;" stroked="f" strokeweight="2pt"/>
                <v:rect id="Rectangle 12" o:spid="_x0000_s1034" style="position:absolute;left:79;top:89690;width:70771;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0r8A&#10;AADaAAAADwAAAGRycy9kb3ducmV2LnhtbESPQYvCMBSE78L+h/AWvGm6KqLdRlkXFr1qxfPb5tmW&#10;Ni8liVr/vREEj8PMfMNk69604krO15YVfI0TEMSF1TWXCo7532gBwgdkja1lUnAnD+vVxyDDVNsb&#10;7+l6CKWIEPYpKqhC6FIpfVGRQT+2HXH0ztYZDFG6UmqHtwg3rZwkyVwarDkuVNjRb0VFc7gYBTJs&#10;qcn7yYmnyQz/N+58PHVSqeFn//MNIlAf3uFXe6cVLOF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1TSvwAAANoAAAAPAAAAAAAAAAAAAAAAAJgCAABkcnMvZG93bnJl&#10;di54bWxQSwUGAAAAAAQABAD1AAAAhAMAAAAA&#10;" stroked="f" strokeweight="2pt"/>
              </v:group>
            </w:pict>
          </mc:Fallback>
        </mc:AlternateContent>
      </w:r>
    </w:p>
    <w:p w14:paraId="149C190D" w14:textId="77777777" w:rsidR="001A73BD" w:rsidRDefault="001A73BD" w:rsidP="00005D30">
      <w:pPr>
        <w:pStyle w:val="Heading3"/>
        <w:sectPr w:rsidR="001A73BD" w:rsidSect="00B7385B">
          <w:headerReference w:type="default" r:id="rId13"/>
          <w:pgSz w:w="11906" w:h="16838"/>
          <w:pgMar w:top="1418" w:right="1418" w:bottom="1361" w:left="1474" w:header="709" w:footer="709" w:gutter="0"/>
          <w:pgNumType w:start="1"/>
          <w:cols w:space="708"/>
          <w:docGrid w:linePitch="360"/>
        </w:sectPr>
      </w:pPr>
    </w:p>
    <w:p w14:paraId="4379C696" w14:textId="77777777" w:rsidR="00782C01" w:rsidRPr="00005D30" w:rsidRDefault="00E83F06" w:rsidP="00005D30">
      <w:pPr>
        <w:pStyle w:val="Heading1"/>
      </w:pPr>
      <w:r>
        <w:lastRenderedPageBreak/>
        <w:t>Introduction</w:t>
      </w:r>
    </w:p>
    <w:p w14:paraId="31C4518B" w14:textId="77777777" w:rsidR="007A0BC6" w:rsidRDefault="007A0BC6" w:rsidP="00B7385B">
      <w:pPr>
        <w:pStyle w:val="BodyText"/>
        <w:spacing w:after="240"/>
      </w:pPr>
    </w:p>
    <w:p w14:paraId="3AB186D2" w14:textId="7404C93C" w:rsidR="00E857B1" w:rsidRDefault="00E857B1" w:rsidP="00E857B1">
      <w:pPr>
        <w:pStyle w:val="BodyText"/>
        <w:spacing w:after="240"/>
      </w:pPr>
      <w:r>
        <w:t>Catholic Education Diocese of Parramatta (</w:t>
      </w:r>
      <w:proofErr w:type="spellStart"/>
      <w:r>
        <w:t>CEDP</w:t>
      </w:r>
      <w:proofErr w:type="spellEnd"/>
      <w:r>
        <w:t xml:space="preserve">) welcomes the opportunity to comment on the Productivity Commission’s Draft Report and to provide a Catholic perspective on early childhood education and care in Western Sydney – one of the fastest growing areas of education in Australia. </w:t>
      </w:r>
    </w:p>
    <w:p w14:paraId="53790E4C" w14:textId="19BF7DCC" w:rsidR="00E83F06" w:rsidRDefault="00E857B1" w:rsidP="00B7385B">
      <w:pPr>
        <w:pStyle w:val="BodyText"/>
        <w:spacing w:after="240"/>
      </w:pPr>
      <w:r>
        <w:t xml:space="preserve">Our understanding of the </w:t>
      </w:r>
      <w:r w:rsidR="00E83F06">
        <w:t xml:space="preserve">purpose of the Productivity Commission inquiring into Child Care and Early Childhood Learning is </w:t>
      </w:r>
      <w:r>
        <w:t>because of the Australian Government’s commitment to:</w:t>
      </w:r>
    </w:p>
    <w:p w14:paraId="66265A6A" w14:textId="6249AEBC" w:rsidR="00E83F06" w:rsidRDefault="00E83F06" w:rsidP="00B7385B">
      <w:pPr>
        <w:pStyle w:val="BodyText2"/>
        <w:spacing w:after="240"/>
      </w:pPr>
      <w:r>
        <w:t>“</w:t>
      </w:r>
      <w:r w:rsidR="00E857B1">
        <w:t>…</w:t>
      </w:r>
      <w:r>
        <w:t>establishing a sustainable future for a more flexible, affordable and accessible child care and early childhood learning market that helps underpin the national economy and supports the community, especially parent’s choices to participate in work and learning and children’s growth, welfare, learning and development” (Productivity Commission, 2014, p. v)</w:t>
      </w:r>
    </w:p>
    <w:p w14:paraId="66E970FF" w14:textId="2B17A2D7" w:rsidR="00E83F06" w:rsidRDefault="00E857B1" w:rsidP="00B7385B">
      <w:pPr>
        <w:pStyle w:val="BodyText"/>
        <w:spacing w:after="240"/>
      </w:pPr>
      <w:r>
        <w:t>Most Rev</w:t>
      </w:r>
      <w:r w:rsidR="00E83F06">
        <w:t xml:space="preserve"> Anthony Fisher </w:t>
      </w:r>
      <w:r>
        <w:t xml:space="preserve">OP </w:t>
      </w:r>
      <w:r w:rsidR="00E83F06">
        <w:t xml:space="preserve">is the </w:t>
      </w:r>
      <w:r>
        <w:t xml:space="preserve">Bishop </w:t>
      </w:r>
      <w:r w:rsidR="00E83F06">
        <w:t xml:space="preserve">of </w:t>
      </w:r>
      <w:r>
        <w:t xml:space="preserve">Parramatta </w:t>
      </w:r>
      <w:r w:rsidR="00E83F06">
        <w:t xml:space="preserve">and guides </w:t>
      </w:r>
      <w:proofErr w:type="spellStart"/>
      <w:r w:rsidR="00E83F06">
        <w:t>CEDP</w:t>
      </w:r>
      <w:proofErr w:type="spellEnd"/>
      <w:r w:rsidR="00E83F06">
        <w:t xml:space="preserve"> in the education and formation of students. The Bishop is also the chair of the NSW Catholic Education Commission. (Refer to the </w:t>
      </w:r>
      <w:proofErr w:type="spellStart"/>
      <w:r w:rsidR="00E83F06">
        <w:t>CECNSW</w:t>
      </w:r>
      <w:proofErr w:type="spellEnd"/>
      <w:r w:rsidR="00E83F06">
        <w:t xml:space="preserve"> submission to the Productivity Commission Child Care and Early Learning Report.)</w:t>
      </w:r>
    </w:p>
    <w:p w14:paraId="24A0D7B5" w14:textId="21D5EF67" w:rsidR="00E83F06" w:rsidRDefault="00E83F06" w:rsidP="00B7385B">
      <w:pPr>
        <w:pStyle w:val="BodyText"/>
        <w:spacing w:after="240"/>
      </w:pPr>
      <w:proofErr w:type="spellStart"/>
      <w:r>
        <w:t>CEDP</w:t>
      </w:r>
      <w:proofErr w:type="spellEnd"/>
      <w:r>
        <w:t xml:space="preserve"> is a leader in education providing high quality Catholic </w:t>
      </w:r>
      <w:r w:rsidR="00E857B1">
        <w:t xml:space="preserve">schooling </w:t>
      </w:r>
      <w:r>
        <w:t>for</w:t>
      </w:r>
      <w:r w:rsidR="00E857B1">
        <w:t xml:space="preserve"> more than</w:t>
      </w:r>
      <w:r>
        <w:t xml:space="preserve"> 43,000 students in 22 secondary and 56 primary schools within the Western Sydney area. </w:t>
      </w:r>
      <w:proofErr w:type="spellStart"/>
      <w:r>
        <w:t>CEDP</w:t>
      </w:r>
      <w:proofErr w:type="spellEnd"/>
      <w:r>
        <w:t xml:space="preserve"> employs over </w:t>
      </w:r>
      <w:proofErr w:type="spellStart"/>
      <w:r w:rsidR="00E857B1">
        <w:t>over</w:t>
      </w:r>
      <w:proofErr w:type="spellEnd"/>
      <w:r>
        <w:t xml:space="preserve"> 4,500 teachers</w:t>
      </w:r>
      <w:r w:rsidR="00E857B1">
        <w:t xml:space="preserve"> and staff</w:t>
      </w:r>
      <w:r>
        <w:t xml:space="preserve">. </w:t>
      </w:r>
    </w:p>
    <w:p w14:paraId="497FF1E7" w14:textId="5E557A7B" w:rsidR="008422BF" w:rsidRDefault="00E83F06" w:rsidP="00B7385B">
      <w:pPr>
        <w:pStyle w:val="BodyText"/>
        <w:spacing w:after="240"/>
      </w:pPr>
      <w:r>
        <w:t>To support the families and our student</w:t>
      </w:r>
      <w:r w:rsidR="002D0F01">
        <w:t>s (</w:t>
      </w:r>
      <w:r>
        <w:t>in particular those in disadvantaged areas</w:t>
      </w:r>
      <w:r w:rsidR="002D0F01">
        <w:t>)</w:t>
      </w:r>
      <w:r>
        <w:t xml:space="preserve">, </w:t>
      </w:r>
      <w:proofErr w:type="spellStart"/>
      <w:r>
        <w:t>CEDP</w:t>
      </w:r>
      <w:proofErr w:type="spellEnd"/>
      <w:r>
        <w:t xml:space="preserve"> operates</w:t>
      </w:r>
      <w:r w:rsidR="008422BF">
        <w:t xml:space="preserve"> </w:t>
      </w:r>
      <w:r w:rsidR="00E857B1">
        <w:t>four</w:t>
      </w:r>
      <w:r w:rsidR="009177F8">
        <w:t xml:space="preserve"> (4)</w:t>
      </w:r>
      <w:r w:rsidR="00E857B1">
        <w:t xml:space="preserve"> </w:t>
      </w:r>
      <w:r>
        <w:t>Catholic Early Learning Centres</w:t>
      </w:r>
      <w:r w:rsidR="00564F90">
        <w:t xml:space="preserve"> (</w:t>
      </w:r>
      <w:r>
        <w:t>preschools)</w:t>
      </w:r>
      <w:r w:rsidR="009523A6">
        <w:t>,</w:t>
      </w:r>
      <w:r>
        <w:t xml:space="preserve"> </w:t>
      </w:r>
      <w:r w:rsidR="009177F8">
        <w:t xml:space="preserve">nineteen (19) </w:t>
      </w:r>
      <w:r w:rsidR="008422BF">
        <w:t>Catholic Out of School Hours Care</w:t>
      </w:r>
      <w:r w:rsidR="009523A6">
        <w:t xml:space="preserve"> and </w:t>
      </w:r>
      <w:r w:rsidR="00E857B1">
        <w:t xml:space="preserve">seven </w:t>
      </w:r>
      <w:r w:rsidR="009523A6">
        <w:t>Catholic Vacation Care Programs</w:t>
      </w:r>
      <w:r w:rsidR="008422BF">
        <w:t>.</w:t>
      </w:r>
    </w:p>
    <w:p w14:paraId="4C6FF8C5" w14:textId="77777777" w:rsidR="008422BF" w:rsidRDefault="008422BF" w:rsidP="00B7385B">
      <w:pPr>
        <w:pStyle w:val="BodyText"/>
        <w:spacing w:after="240"/>
      </w:pPr>
      <w:proofErr w:type="spellStart"/>
      <w:r>
        <w:t>CEDP</w:t>
      </w:r>
      <w:proofErr w:type="spellEnd"/>
      <w:r>
        <w:t xml:space="preserve"> </w:t>
      </w:r>
      <w:r w:rsidR="00E83F06">
        <w:t>offe</w:t>
      </w:r>
      <w:r>
        <w:t>rs:</w:t>
      </w:r>
    </w:p>
    <w:p w14:paraId="7EA76CD6" w14:textId="65944B58" w:rsidR="008422BF" w:rsidRDefault="00E83F06" w:rsidP="00B7385B">
      <w:pPr>
        <w:pStyle w:val="BodyText"/>
        <w:numPr>
          <w:ilvl w:val="0"/>
          <w:numId w:val="18"/>
        </w:numPr>
        <w:spacing w:after="240"/>
      </w:pPr>
      <w:r>
        <w:t xml:space="preserve">700 places across the week to approximately 300 families </w:t>
      </w:r>
      <w:r w:rsidR="008422BF">
        <w:t>in our system of preschools (</w:t>
      </w:r>
      <w:r w:rsidR="005461A5">
        <w:t xml:space="preserve">3 to 5 </w:t>
      </w:r>
      <w:r w:rsidR="008422BF">
        <w:t xml:space="preserve"> year old children</w:t>
      </w:r>
      <w:r w:rsidR="00E857B1">
        <w:t>)</w:t>
      </w:r>
      <w:r>
        <w:t xml:space="preserve"> </w:t>
      </w:r>
    </w:p>
    <w:p w14:paraId="780754AF" w14:textId="051B63A3" w:rsidR="008422BF" w:rsidRDefault="008422BF" w:rsidP="00B7385B">
      <w:pPr>
        <w:pStyle w:val="BodyText"/>
        <w:numPr>
          <w:ilvl w:val="0"/>
          <w:numId w:val="18"/>
        </w:numPr>
        <w:spacing w:after="240"/>
      </w:pPr>
      <w:r>
        <w:t>5,000 places across the week to approximately 1</w:t>
      </w:r>
      <w:r w:rsidR="00E857B1">
        <w:t>,</w:t>
      </w:r>
      <w:r>
        <w:t xml:space="preserve">400 families in </w:t>
      </w:r>
      <w:proofErr w:type="spellStart"/>
      <w:r>
        <w:t>OSHC</w:t>
      </w:r>
      <w:proofErr w:type="spellEnd"/>
    </w:p>
    <w:p w14:paraId="4C48C305" w14:textId="10EA9F43" w:rsidR="009523A6" w:rsidRDefault="009523A6" w:rsidP="00B7385B">
      <w:pPr>
        <w:pStyle w:val="BodyText"/>
        <w:numPr>
          <w:ilvl w:val="0"/>
          <w:numId w:val="18"/>
        </w:numPr>
        <w:spacing w:after="240"/>
      </w:pPr>
      <w:r>
        <w:t>2,360 children access vacation care each school holidays</w:t>
      </w:r>
    </w:p>
    <w:p w14:paraId="1E6E83FD" w14:textId="3D350BC2" w:rsidR="009523A6" w:rsidRDefault="009523A6" w:rsidP="00B7385B">
      <w:pPr>
        <w:pStyle w:val="BodyText"/>
        <w:spacing w:after="240"/>
      </w:pPr>
      <w:r>
        <w:t xml:space="preserve">Strategic </w:t>
      </w:r>
      <w:r w:rsidR="00E857B1">
        <w:t xml:space="preserve">planning </w:t>
      </w:r>
      <w:r>
        <w:t xml:space="preserve">for </w:t>
      </w:r>
      <w:proofErr w:type="spellStart"/>
      <w:r>
        <w:t>CEDP</w:t>
      </w:r>
      <w:proofErr w:type="spellEnd"/>
      <w:r>
        <w:t xml:space="preserve"> </w:t>
      </w:r>
      <w:r w:rsidR="00E857B1">
        <w:t>indicates</w:t>
      </w:r>
      <w:r>
        <w:t xml:space="preserve"> </w:t>
      </w:r>
      <w:r w:rsidR="00E857B1">
        <w:t>the need to</w:t>
      </w:r>
      <w:r>
        <w:t xml:space="preserve"> continue to grow to meet </w:t>
      </w:r>
      <w:r w:rsidR="002D0F01">
        <w:t>a</w:t>
      </w:r>
      <w:r>
        <w:t xml:space="preserve"> widening gap between demand for care and available supply of high quality services.</w:t>
      </w:r>
      <w:r w:rsidR="00E857B1">
        <w:t xml:space="preserve"> </w:t>
      </w:r>
    </w:p>
    <w:p w14:paraId="10CA4D57" w14:textId="3710D9EF" w:rsidR="00E83F06" w:rsidRDefault="00E83F06" w:rsidP="00B7385B">
      <w:pPr>
        <w:pStyle w:val="BodyText"/>
        <w:spacing w:after="240"/>
      </w:pPr>
      <w:r>
        <w:t>In this submission</w:t>
      </w:r>
      <w:r w:rsidR="009523A6">
        <w:t>,</w:t>
      </w:r>
      <w:r>
        <w:t xml:space="preserve"> </w:t>
      </w:r>
      <w:proofErr w:type="spellStart"/>
      <w:r>
        <w:t>CEDP</w:t>
      </w:r>
      <w:proofErr w:type="spellEnd"/>
      <w:r>
        <w:t xml:space="preserve"> has identified </w:t>
      </w:r>
      <w:r w:rsidR="00E857B1">
        <w:t xml:space="preserve">a number of </w:t>
      </w:r>
      <w:r>
        <w:t>critical issues that will significantly impact the affordability, accessibility, flexibility and delivery of high quality education and care if the underpinning principles of the Productivity Commission’s recommendations were to be adopted.</w:t>
      </w:r>
    </w:p>
    <w:p w14:paraId="3C05C092" w14:textId="1C85721B" w:rsidR="008C0FD4" w:rsidRDefault="00E83F06" w:rsidP="00B7385B">
      <w:pPr>
        <w:pStyle w:val="BodyText"/>
        <w:spacing w:after="240"/>
      </w:pPr>
      <w:r>
        <w:t xml:space="preserve">It is in these areas of both dedicated preschools and </w:t>
      </w:r>
      <w:proofErr w:type="spellStart"/>
      <w:r>
        <w:t>OSHC</w:t>
      </w:r>
      <w:proofErr w:type="spellEnd"/>
      <w:r>
        <w:t xml:space="preserve"> that this submission is focused. The </w:t>
      </w:r>
      <w:r w:rsidR="00E857B1">
        <w:t>underlying consideration</w:t>
      </w:r>
      <w:r>
        <w:t xml:space="preserve"> is that the Draft Report is based on a market philosophy which has been repeatedly shown to be fundamentally flawed when applied to education services (</w:t>
      </w:r>
      <w:proofErr w:type="spellStart"/>
      <w:r>
        <w:t>Ozga</w:t>
      </w:r>
      <w:proofErr w:type="spellEnd"/>
      <w:r>
        <w:t>, 2000, p. 24-6).</w:t>
      </w:r>
    </w:p>
    <w:p w14:paraId="43B98332" w14:textId="77777777" w:rsidR="00E83F06" w:rsidRDefault="00E83F06" w:rsidP="00E83F06">
      <w:pPr>
        <w:pStyle w:val="Heading1"/>
      </w:pPr>
      <w:r>
        <w:br w:type="page"/>
      </w:r>
      <w:r>
        <w:lastRenderedPageBreak/>
        <w:t>Background</w:t>
      </w:r>
    </w:p>
    <w:p w14:paraId="3EEAED0E" w14:textId="77777777" w:rsidR="007A0BC6" w:rsidRDefault="007A0BC6" w:rsidP="00B7385B">
      <w:pPr>
        <w:pStyle w:val="BodyText"/>
        <w:spacing w:before="0" w:after="240"/>
      </w:pPr>
    </w:p>
    <w:p w14:paraId="55950E66" w14:textId="467725D6" w:rsidR="00E83F06" w:rsidRDefault="00E83F06" w:rsidP="00B7385B">
      <w:pPr>
        <w:pStyle w:val="BodyText"/>
        <w:spacing w:before="0" w:after="240"/>
      </w:pPr>
      <w:r>
        <w:t xml:space="preserve">In 2010 </w:t>
      </w:r>
      <w:proofErr w:type="spellStart"/>
      <w:r>
        <w:t>CEDP</w:t>
      </w:r>
      <w:proofErr w:type="spellEnd"/>
      <w:r>
        <w:t xml:space="preserve"> commenced the establishment of not-for-profit</w:t>
      </w:r>
      <w:r w:rsidR="00E857B1">
        <w:t xml:space="preserve">, </w:t>
      </w:r>
      <w:r>
        <w:t xml:space="preserve">community-based preschools </w:t>
      </w:r>
      <w:r w:rsidR="007A0BC6">
        <w:t xml:space="preserve">that are </w:t>
      </w:r>
      <w:r>
        <w:t xml:space="preserve">co-located within school precincts and the establishment of </w:t>
      </w:r>
      <w:proofErr w:type="spellStart"/>
      <w:r>
        <w:t>OSHC</w:t>
      </w:r>
      <w:proofErr w:type="spellEnd"/>
      <w:r>
        <w:t xml:space="preserve"> services that operate within existing Catholic primary school buildings. </w:t>
      </w:r>
    </w:p>
    <w:p w14:paraId="52563080" w14:textId="77777777" w:rsidR="00E83F06" w:rsidRDefault="00E83F06" w:rsidP="00B7385B">
      <w:pPr>
        <w:pStyle w:val="BodyText"/>
        <w:spacing w:before="0" w:after="240"/>
      </w:pPr>
      <w:r>
        <w:t xml:space="preserve">The current governance model for operating </w:t>
      </w:r>
      <w:proofErr w:type="spellStart"/>
      <w:r>
        <w:t>CEDP’s</w:t>
      </w:r>
      <w:proofErr w:type="spellEnd"/>
      <w:r>
        <w:t xml:space="preserve"> Early Childhood services has the Trustees of the Roman Catholic Church for the Diocese of Parramatta as the service provider. </w:t>
      </w:r>
      <w:proofErr w:type="spellStart"/>
      <w:r>
        <w:t>CEDP</w:t>
      </w:r>
      <w:r w:rsidR="0018019B">
        <w:t>’</w:t>
      </w:r>
      <w:r>
        <w:t>s</w:t>
      </w:r>
      <w:proofErr w:type="spellEnd"/>
      <w:r>
        <w:t xml:space="preserve"> management structure is responsible for operating these high quality compliant services rather than the school principals. </w:t>
      </w:r>
    </w:p>
    <w:p w14:paraId="4F8F8959" w14:textId="63F36D23" w:rsidR="007A0BC6" w:rsidRDefault="00E83F06" w:rsidP="00B7385B">
      <w:pPr>
        <w:pStyle w:val="BodyText"/>
        <w:spacing w:before="0" w:after="240"/>
      </w:pPr>
      <w:r>
        <w:t>To offer high quality</w:t>
      </w:r>
      <w:r w:rsidR="00E857B1">
        <w:t>, equitable</w:t>
      </w:r>
      <w:r>
        <w:t xml:space="preserve"> education and care at affordable pricing to families, </w:t>
      </w:r>
      <w:proofErr w:type="spellStart"/>
      <w:r>
        <w:t>CEDP</w:t>
      </w:r>
      <w:proofErr w:type="spellEnd"/>
      <w:r>
        <w:t xml:space="preserve"> applies economies of scales within its organisational structure and offers differential fee structures favouring those </w:t>
      </w:r>
      <w:r w:rsidR="00E857B1">
        <w:t>in the greatest need</w:t>
      </w:r>
      <w:r>
        <w:t xml:space="preserve">. </w:t>
      </w:r>
    </w:p>
    <w:p w14:paraId="5094F5EB" w14:textId="77777777" w:rsidR="00E83F06" w:rsidRDefault="00E83F06" w:rsidP="00B7385B">
      <w:pPr>
        <w:pStyle w:val="BodyText"/>
        <w:spacing w:before="0" w:after="240"/>
      </w:pPr>
      <w:r>
        <w:t xml:space="preserve">This Early Childhood model has provided high quality education and care to all children including the disadvantaged at minimal cost to their families. </w:t>
      </w:r>
    </w:p>
    <w:p w14:paraId="7DAB295C" w14:textId="0CAED539" w:rsidR="007A0BC6" w:rsidRDefault="00E83F06" w:rsidP="00B7385B">
      <w:pPr>
        <w:pStyle w:val="BodyText"/>
        <w:spacing w:before="0" w:after="240"/>
      </w:pPr>
      <w:r>
        <w:t>The Productivity Commission report refers to the governance model of dedicated preschools in Tasmania and Western Australia where the principal has direct responsibility over the operation of dedicated preschools</w:t>
      </w:r>
      <w:r w:rsidR="0039536B">
        <w:t xml:space="preserve"> attached to primary schools</w:t>
      </w:r>
      <w:r>
        <w:t xml:space="preserve">. Additionally, </w:t>
      </w:r>
      <w:r w:rsidR="0039536B">
        <w:t xml:space="preserve">the report </w:t>
      </w:r>
      <w:r>
        <w:t>recommends that principal</w:t>
      </w:r>
      <w:r w:rsidR="0039536B">
        <w:t>s</w:t>
      </w:r>
      <w:r>
        <w:t xml:space="preserve"> be directly responsible for the provision of </w:t>
      </w:r>
      <w:proofErr w:type="spellStart"/>
      <w:r>
        <w:t>OSHC</w:t>
      </w:r>
      <w:proofErr w:type="spellEnd"/>
      <w:r>
        <w:t xml:space="preserve"> services.</w:t>
      </w:r>
      <w:r w:rsidR="00E857B1">
        <w:t xml:space="preserve"> </w:t>
      </w:r>
    </w:p>
    <w:p w14:paraId="2A5EAB54" w14:textId="2A36A8B3" w:rsidR="00E83F06" w:rsidRDefault="00E83F06" w:rsidP="00B7385B">
      <w:pPr>
        <w:pStyle w:val="BodyText"/>
        <w:spacing w:before="0" w:after="240"/>
      </w:pPr>
      <w:proofErr w:type="spellStart"/>
      <w:r>
        <w:t>CEDP</w:t>
      </w:r>
      <w:proofErr w:type="spellEnd"/>
      <w:r>
        <w:t xml:space="preserve"> has genuine concerns about restructuring its current governance model </w:t>
      </w:r>
      <w:r w:rsidR="002D0F01">
        <w:t>in</w:t>
      </w:r>
      <w:r>
        <w:t>to a school</w:t>
      </w:r>
      <w:r w:rsidR="00E857B1">
        <w:t>-based</w:t>
      </w:r>
      <w:r>
        <w:t xml:space="preserve"> governance model </w:t>
      </w:r>
      <w:r w:rsidR="00E857B1">
        <w:t xml:space="preserve">because it </w:t>
      </w:r>
      <w:r>
        <w:t>will not support the continuation of applying the same level of economies of scale, therefore increasing fees for families and potentia</w:t>
      </w:r>
      <w:r w:rsidR="00EC06DC">
        <w:t>l</w:t>
      </w:r>
      <w:r>
        <w:t>l</w:t>
      </w:r>
      <w:r w:rsidR="00EC06DC">
        <w:t>y</w:t>
      </w:r>
      <w:r>
        <w:t xml:space="preserve"> introducing industrial ramifications for the school sector.</w:t>
      </w:r>
    </w:p>
    <w:p w14:paraId="0CDF8791" w14:textId="77777777" w:rsidR="007A0BC6" w:rsidRDefault="007A0BC6" w:rsidP="00B7385B">
      <w:pPr>
        <w:pStyle w:val="BodyText"/>
        <w:spacing w:before="0" w:after="240"/>
      </w:pPr>
      <w:r>
        <w:br w:type="page"/>
      </w:r>
    </w:p>
    <w:p w14:paraId="7660752D" w14:textId="6033D945" w:rsidR="00564F90" w:rsidRDefault="00564F90" w:rsidP="00564F90">
      <w:pPr>
        <w:pStyle w:val="Heading1"/>
      </w:pPr>
      <w:r>
        <w:t xml:space="preserve">Australia ranked 30 out </w:t>
      </w:r>
      <w:r w:rsidR="007A0BC6">
        <w:t xml:space="preserve">of </w:t>
      </w:r>
      <w:r>
        <w:t xml:space="preserve">34 </w:t>
      </w:r>
      <w:r w:rsidR="007A0BC6">
        <w:t xml:space="preserve">in </w:t>
      </w:r>
      <w:r>
        <w:t>Early Learning Education</w:t>
      </w:r>
    </w:p>
    <w:p w14:paraId="6D7C45B1" w14:textId="77777777" w:rsidR="00937247" w:rsidRDefault="00937247" w:rsidP="00B7385B">
      <w:pPr>
        <w:pStyle w:val="BodyText"/>
        <w:spacing w:before="0" w:after="240"/>
      </w:pPr>
    </w:p>
    <w:p w14:paraId="538A8B5D" w14:textId="402304EF" w:rsidR="00E83F06" w:rsidRPr="002D0F01" w:rsidRDefault="00E83F06" w:rsidP="00B7385B">
      <w:pPr>
        <w:pStyle w:val="BodyText"/>
        <w:spacing w:before="0" w:after="240"/>
        <w:rPr>
          <w:szCs w:val="22"/>
        </w:rPr>
      </w:pPr>
      <w:r w:rsidRPr="002D0F01">
        <w:rPr>
          <w:szCs w:val="22"/>
        </w:rPr>
        <w:t xml:space="preserve">Australia’s level of commitment to </w:t>
      </w:r>
      <w:r w:rsidR="007303E4" w:rsidRPr="002D0F01">
        <w:rPr>
          <w:szCs w:val="22"/>
        </w:rPr>
        <w:t>funding</w:t>
      </w:r>
      <w:r w:rsidRPr="002D0F01">
        <w:rPr>
          <w:szCs w:val="22"/>
        </w:rPr>
        <w:t xml:space="preserve"> high quality early learning </w:t>
      </w:r>
      <w:r w:rsidR="007303E4" w:rsidRPr="002D0F01">
        <w:rPr>
          <w:szCs w:val="22"/>
        </w:rPr>
        <w:t>education</w:t>
      </w:r>
      <w:r w:rsidRPr="002D0F01">
        <w:rPr>
          <w:szCs w:val="22"/>
        </w:rPr>
        <w:t xml:space="preserve"> for children at the age of </w:t>
      </w:r>
      <w:r w:rsidR="001A3034">
        <w:rPr>
          <w:szCs w:val="22"/>
        </w:rPr>
        <w:t>3</w:t>
      </w:r>
      <w:r w:rsidR="00E857B1">
        <w:rPr>
          <w:szCs w:val="22"/>
        </w:rPr>
        <w:t xml:space="preserve"> to </w:t>
      </w:r>
      <w:r w:rsidR="001A3034">
        <w:rPr>
          <w:szCs w:val="22"/>
        </w:rPr>
        <w:t>5</w:t>
      </w:r>
      <w:r w:rsidRPr="002D0F01">
        <w:rPr>
          <w:szCs w:val="22"/>
        </w:rPr>
        <w:t xml:space="preserve"> years falls significantly below the OECD average (</w:t>
      </w:r>
      <w:proofErr w:type="spellStart"/>
      <w:r w:rsidRPr="002D0F01">
        <w:rPr>
          <w:szCs w:val="22"/>
        </w:rPr>
        <w:t>ARACY</w:t>
      </w:r>
      <w:proofErr w:type="spellEnd"/>
      <w:r w:rsidRPr="002D0F01">
        <w:rPr>
          <w:szCs w:val="22"/>
        </w:rPr>
        <w:t xml:space="preserve">, 2013). </w:t>
      </w:r>
    </w:p>
    <w:p w14:paraId="05115691" w14:textId="77777777" w:rsidR="00E83F06" w:rsidRPr="002D0F01" w:rsidRDefault="00E83F06" w:rsidP="00B7385B">
      <w:pPr>
        <w:pStyle w:val="BodyText"/>
        <w:spacing w:before="0" w:after="240"/>
        <w:rPr>
          <w:szCs w:val="22"/>
        </w:rPr>
      </w:pPr>
      <w:r w:rsidRPr="00125008">
        <w:rPr>
          <w:szCs w:val="22"/>
        </w:rPr>
        <w:t>Australian and international research recognises the important educational and social benefits to children accessing high quality education and care preschool programs</w:t>
      </w:r>
      <w:r w:rsidRPr="00B7385B">
        <w:rPr>
          <w:szCs w:val="22"/>
        </w:rPr>
        <w:t xml:space="preserve"> with a focus on 3 to 5 year old children. It is timely that early childhood </w:t>
      </w:r>
      <w:r w:rsidR="0039536B" w:rsidRPr="00B7385B">
        <w:rPr>
          <w:szCs w:val="22"/>
        </w:rPr>
        <w:t xml:space="preserve">education </w:t>
      </w:r>
      <w:r w:rsidRPr="00B7385B">
        <w:rPr>
          <w:szCs w:val="22"/>
        </w:rPr>
        <w:t xml:space="preserve">be recognised as a government </w:t>
      </w:r>
      <w:r w:rsidRPr="00B7385B">
        <w:rPr>
          <w:b/>
          <w:szCs w:val="22"/>
        </w:rPr>
        <w:t>investment</w:t>
      </w:r>
      <w:r w:rsidRPr="002D0F01">
        <w:rPr>
          <w:szCs w:val="22"/>
        </w:rPr>
        <w:t xml:space="preserve"> rather than </w:t>
      </w:r>
      <w:r w:rsidR="002D0F01">
        <w:rPr>
          <w:szCs w:val="22"/>
        </w:rPr>
        <w:t>an</w:t>
      </w:r>
      <w:r w:rsidRPr="002D0F01">
        <w:rPr>
          <w:szCs w:val="22"/>
        </w:rPr>
        <w:t xml:space="preserve"> </w:t>
      </w:r>
      <w:r w:rsidRPr="00B7385B">
        <w:rPr>
          <w:b/>
          <w:szCs w:val="22"/>
        </w:rPr>
        <w:t>expenditure</w:t>
      </w:r>
      <w:r w:rsidRPr="002D0F01">
        <w:rPr>
          <w:szCs w:val="22"/>
        </w:rPr>
        <w:t xml:space="preserve">. </w:t>
      </w:r>
    </w:p>
    <w:p w14:paraId="05329BBF" w14:textId="77777777" w:rsidR="009C4BB3" w:rsidRDefault="006931F8" w:rsidP="006931F8">
      <w:pPr>
        <w:pStyle w:val="BodyText"/>
        <w:spacing w:before="0" w:after="240"/>
        <w:rPr>
          <w:szCs w:val="22"/>
        </w:rPr>
      </w:pPr>
      <w:r w:rsidRPr="002D0F01">
        <w:rPr>
          <w:szCs w:val="22"/>
        </w:rPr>
        <w:t xml:space="preserve">James Heckman (cited Katz &amp; Redmond, 2009) </w:t>
      </w:r>
      <w:r w:rsidR="002D0F01">
        <w:rPr>
          <w:szCs w:val="22"/>
        </w:rPr>
        <w:t>shows that</w:t>
      </w:r>
      <w:r w:rsidRPr="002D0F01">
        <w:rPr>
          <w:szCs w:val="22"/>
        </w:rPr>
        <w:t xml:space="preserve"> to invest in early years </w:t>
      </w:r>
      <w:r w:rsidR="005B4D24">
        <w:rPr>
          <w:szCs w:val="22"/>
        </w:rPr>
        <w:t>education i</w:t>
      </w:r>
      <w:r w:rsidRPr="002D0F01">
        <w:rPr>
          <w:szCs w:val="22"/>
        </w:rPr>
        <w:t xml:space="preserve">s a means to minimise negative social behaviour in later years. </w:t>
      </w:r>
      <w:r w:rsidR="005B4D24">
        <w:rPr>
          <w:szCs w:val="22"/>
        </w:rPr>
        <w:t xml:space="preserve">Early </w:t>
      </w:r>
      <w:r w:rsidRPr="002D0F01">
        <w:rPr>
          <w:szCs w:val="22"/>
        </w:rPr>
        <w:t xml:space="preserve">years </w:t>
      </w:r>
      <w:r w:rsidR="005B4D24">
        <w:rPr>
          <w:szCs w:val="22"/>
        </w:rPr>
        <w:t xml:space="preserve">education </w:t>
      </w:r>
      <w:r w:rsidRPr="002D0F01">
        <w:rPr>
          <w:szCs w:val="22"/>
        </w:rPr>
        <w:t>is a foundation</w:t>
      </w:r>
      <w:r w:rsidR="005B4D24">
        <w:rPr>
          <w:szCs w:val="22"/>
        </w:rPr>
        <w:t xml:space="preserve"> </w:t>
      </w:r>
      <w:r w:rsidRPr="002D0F01">
        <w:rPr>
          <w:szCs w:val="22"/>
        </w:rPr>
        <w:t xml:space="preserve">for concept and knowledge development </w:t>
      </w:r>
      <w:r w:rsidR="005B4D24">
        <w:rPr>
          <w:szCs w:val="22"/>
        </w:rPr>
        <w:t>which</w:t>
      </w:r>
      <w:r w:rsidRPr="002D0F01">
        <w:rPr>
          <w:szCs w:val="22"/>
        </w:rPr>
        <w:t xml:space="preserve"> is strengthened in </w:t>
      </w:r>
      <w:r w:rsidR="005B4D24">
        <w:rPr>
          <w:szCs w:val="22"/>
        </w:rPr>
        <w:t xml:space="preserve">the </w:t>
      </w:r>
      <w:r w:rsidRPr="002D0F01">
        <w:rPr>
          <w:szCs w:val="22"/>
        </w:rPr>
        <w:t xml:space="preserve">formal school years. </w:t>
      </w:r>
    </w:p>
    <w:p w14:paraId="018DA22B" w14:textId="77777777" w:rsidR="006931F8" w:rsidRPr="00B7385B" w:rsidRDefault="006931F8" w:rsidP="006931F8">
      <w:pPr>
        <w:pStyle w:val="BodyText"/>
        <w:spacing w:before="0" w:after="240"/>
        <w:rPr>
          <w:szCs w:val="22"/>
        </w:rPr>
      </w:pPr>
      <w:r w:rsidRPr="002D0F01">
        <w:rPr>
          <w:szCs w:val="22"/>
        </w:rPr>
        <w:t>Without access to early years learning environments to build these foundational skills and attitudes, government expenditure on intervention services and community support will continue to remain a financial burden on society. Research suppor</w:t>
      </w:r>
      <w:r w:rsidRPr="00125008">
        <w:rPr>
          <w:szCs w:val="22"/>
        </w:rPr>
        <w:t>ts the importance of investing in the early years as a way of building equitable opportunities for all children and improving the overall educational and social outcomes for Australia.</w:t>
      </w:r>
    </w:p>
    <w:p w14:paraId="3192EC71" w14:textId="77777777" w:rsidR="006931F8" w:rsidRPr="005B4D24" w:rsidRDefault="006931F8" w:rsidP="006931F8">
      <w:pPr>
        <w:pStyle w:val="BodyText"/>
        <w:spacing w:before="0" w:after="240"/>
        <w:rPr>
          <w:szCs w:val="22"/>
        </w:rPr>
      </w:pPr>
      <w:r w:rsidRPr="00B7385B">
        <w:rPr>
          <w:szCs w:val="22"/>
        </w:rPr>
        <w:t xml:space="preserve">The High Scope Perry Preschool Study </w:t>
      </w:r>
      <w:r w:rsidR="005B4D24" w:rsidRPr="00DD7EDA">
        <w:rPr>
          <w:szCs w:val="22"/>
        </w:rPr>
        <w:t>(</w:t>
      </w:r>
      <w:proofErr w:type="spellStart"/>
      <w:r w:rsidR="005B4D24" w:rsidRPr="00DD7EDA">
        <w:rPr>
          <w:szCs w:val="22"/>
        </w:rPr>
        <w:t>CCCC</w:t>
      </w:r>
      <w:proofErr w:type="spellEnd"/>
      <w:r w:rsidR="005B4D24" w:rsidRPr="00DD7EDA">
        <w:rPr>
          <w:szCs w:val="22"/>
        </w:rPr>
        <w:t xml:space="preserve"> NSW, </w:t>
      </w:r>
      <w:proofErr w:type="spellStart"/>
      <w:r w:rsidR="005B4D24" w:rsidRPr="00DD7EDA">
        <w:rPr>
          <w:szCs w:val="22"/>
        </w:rPr>
        <w:t>CCP</w:t>
      </w:r>
      <w:proofErr w:type="spellEnd"/>
      <w:r w:rsidR="005B4D24" w:rsidRPr="00DD7EDA">
        <w:rPr>
          <w:szCs w:val="22"/>
        </w:rPr>
        <w:t xml:space="preserve"> &amp; </w:t>
      </w:r>
      <w:proofErr w:type="spellStart"/>
      <w:r w:rsidR="005B4D24" w:rsidRPr="00DD7EDA">
        <w:rPr>
          <w:szCs w:val="22"/>
        </w:rPr>
        <w:t>PACCS</w:t>
      </w:r>
      <w:proofErr w:type="spellEnd"/>
      <w:r w:rsidR="005B4D24" w:rsidRPr="00DD7EDA">
        <w:rPr>
          <w:szCs w:val="22"/>
        </w:rPr>
        <w:t>, 2014)</w:t>
      </w:r>
      <w:r w:rsidR="005B4D24">
        <w:rPr>
          <w:szCs w:val="22"/>
        </w:rPr>
        <w:t xml:space="preserve"> </w:t>
      </w:r>
      <w:r w:rsidRPr="005B4D24">
        <w:rPr>
          <w:szCs w:val="22"/>
        </w:rPr>
        <w:t xml:space="preserve">highlights the </w:t>
      </w:r>
      <w:r w:rsidR="005B4D24">
        <w:rPr>
          <w:szCs w:val="22"/>
        </w:rPr>
        <w:t xml:space="preserve">strategic importance of government social policy </w:t>
      </w:r>
      <w:r w:rsidRPr="005B4D24">
        <w:rPr>
          <w:szCs w:val="22"/>
        </w:rPr>
        <w:t xml:space="preserve">investment </w:t>
      </w:r>
      <w:r w:rsidR="005B4D24">
        <w:rPr>
          <w:szCs w:val="22"/>
        </w:rPr>
        <w:t>i</w:t>
      </w:r>
      <w:r w:rsidRPr="005B4D24">
        <w:rPr>
          <w:szCs w:val="22"/>
        </w:rPr>
        <w:t>n education. A cost benefit analysis of the findings demonstrates that for every dollar of government spending on investment in preschool programs the state will benefit up to $17.00 in public return.</w:t>
      </w:r>
    </w:p>
    <w:p w14:paraId="6C8573F4" w14:textId="77777777" w:rsidR="006931F8" w:rsidRPr="002D0F01" w:rsidRDefault="006931F8" w:rsidP="006931F8">
      <w:pPr>
        <w:pStyle w:val="BodyText"/>
        <w:spacing w:before="0" w:after="240"/>
        <w:rPr>
          <w:szCs w:val="22"/>
        </w:rPr>
      </w:pPr>
      <w:r w:rsidRPr="00125008">
        <w:rPr>
          <w:szCs w:val="22"/>
        </w:rPr>
        <w:t xml:space="preserve">If the Government fails to invest in the Early Childhood Education and Care, </w:t>
      </w:r>
      <w:proofErr w:type="spellStart"/>
      <w:r w:rsidRPr="00125008">
        <w:rPr>
          <w:szCs w:val="22"/>
        </w:rPr>
        <w:t>CEDP</w:t>
      </w:r>
      <w:proofErr w:type="spellEnd"/>
      <w:r w:rsidRPr="00125008">
        <w:rPr>
          <w:szCs w:val="22"/>
        </w:rPr>
        <w:t xml:space="preserve"> will b</w:t>
      </w:r>
      <w:r w:rsidRPr="00B7385B">
        <w:rPr>
          <w:szCs w:val="22"/>
        </w:rPr>
        <w:t xml:space="preserve">e forced to increase fees </w:t>
      </w:r>
      <w:r w:rsidR="005B4D24">
        <w:rPr>
          <w:szCs w:val="22"/>
        </w:rPr>
        <w:t>putting</w:t>
      </w:r>
      <w:r w:rsidRPr="005B4D24">
        <w:rPr>
          <w:szCs w:val="22"/>
        </w:rPr>
        <w:t xml:space="preserve"> financial pressure on families </w:t>
      </w:r>
      <w:r w:rsidR="005B4D24">
        <w:rPr>
          <w:szCs w:val="22"/>
        </w:rPr>
        <w:t xml:space="preserve">least able to afford it and they </w:t>
      </w:r>
      <w:r w:rsidRPr="005B4D24">
        <w:rPr>
          <w:szCs w:val="22"/>
        </w:rPr>
        <w:t xml:space="preserve">may choose not to engage in </w:t>
      </w:r>
      <w:r w:rsidR="005B4D24">
        <w:rPr>
          <w:szCs w:val="22"/>
        </w:rPr>
        <w:t xml:space="preserve">the </w:t>
      </w:r>
      <w:r w:rsidRPr="005B4D24">
        <w:rPr>
          <w:szCs w:val="22"/>
        </w:rPr>
        <w:t xml:space="preserve">workforce </w:t>
      </w:r>
      <w:r w:rsidR="005B4D24">
        <w:rPr>
          <w:szCs w:val="22"/>
        </w:rPr>
        <w:t>as a result</w:t>
      </w:r>
      <w:r w:rsidRPr="002D0F01">
        <w:rPr>
          <w:szCs w:val="22"/>
        </w:rPr>
        <w:t xml:space="preserve">. </w:t>
      </w:r>
    </w:p>
    <w:p w14:paraId="56BE593A" w14:textId="1A8108A3" w:rsidR="00E83F06" w:rsidRPr="00B7385B" w:rsidRDefault="00E83F06" w:rsidP="00B7385B">
      <w:pPr>
        <w:pStyle w:val="BodyText"/>
        <w:spacing w:before="0" w:after="240"/>
        <w:rPr>
          <w:szCs w:val="22"/>
        </w:rPr>
      </w:pPr>
      <w:r w:rsidRPr="002D0F01">
        <w:rPr>
          <w:szCs w:val="22"/>
        </w:rPr>
        <w:t>The University of Melbourne has conducted research into the educational benefits of children accessing preschool programs. The resear</w:t>
      </w:r>
      <w:r w:rsidRPr="00125008">
        <w:rPr>
          <w:szCs w:val="22"/>
        </w:rPr>
        <w:t>ch has shown children who access preschool programs benefit</w:t>
      </w:r>
      <w:r w:rsidRPr="00B7385B">
        <w:rPr>
          <w:szCs w:val="22"/>
        </w:rPr>
        <w:t xml:space="preserve"> from a 15-20 point advantage in National Assessment Program - Literacy and Numeracy </w:t>
      </w:r>
      <w:r w:rsidR="00E857B1">
        <w:rPr>
          <w:szCs w:val="22"/>
        </w:rPr>
        <w:t>(</w:t>
      </w:r>
      <w:proofErr w:type="spellStart"/>
      <w:r w:rsidR="00E857B1">
        <w:rPr>
          <w:szCs w:val="22"/>
        </w:rPr>
        <w:t>NAPLAN</w:t>
      </w:r>
      <w:proofErr w:type="spellEnd"/>
      <w:r w:rsidR="00E857B1">
        <w:rPr>
          <w:szCs w:val="22"/>
        </w:rPr>
        <w:t xml:space="preserve">) </w:t>
      </w:r>
      <w:r w:rsidRPr="00B7385B">
        <w:rPr>
          <w:szCs w:val="22"/>
        </w:rPr>
        <w:t xml:space="preserve">testing in the third year of school </w:t>
      </w:r>
      <w:r w:rsidR="00562CD5" w:rsidRPr="00B7385B">
        <w:rPr>
          <w:szCs w:val="22"/>
        </w:rPr>
        <w:t xml:space="preserve">(Community Child Care Co-operative NSW, Cred Community Planning &amp; Australian Community Children’s Services NSW, 2014). </w:t>
      </w:r>
    </w:p>
    <w:p w14:paraId="5F71F8C9" w14:textId="06D18680" w:rsidR="006931F8" w:rsidRPr="00B7385B" w:rsidRDefault="006931F8" w:rsidP="006931F8">
      <w:pPr>
        <w:pStyle w:val="BodyText"/>
        <w:spacing w:before="0" w:after="240"/>
        <w:rPr>
          <w:szCs w:val="22"/>
        </w:rPr>
      </w:pPr>
      <w:r w:rsidRPr="00B7385B">
        <w:rPr>
          <w:szCs w:val="22"/>
        </w:rPr>
        <w:t xml:space="preserve">The recent </w:t>
      </w:r>
      <w:r w:rsidR="005B4D24">
        <w:rPr>
          <w:szCs w:val="22"/>
        </w:rPr>
        <w:t>push</w:t>
      </w:r>
      <w:r w:rsidRPr="005B4D24">
        <w:rPr>
          <w:szCs w:val="22"/>
        </w:rPr>
        <w:t xml:space="preserve"> from the Australian Primary Principals’ Association to implement a consistent national entry age for school enrolment of an average of five and half years, highlights the importance of preschool education. The highest performing educa</w:t>
      </w:r>
      <w:r w:rsidR="003B7727" w:rsidRPr="00125008">
        <w:rPr>
          <w:szCs w:val="22"/>
        </w:rPr>
        <w:t>tion systems in the world recog</w:t>
      </w:r>
      <w:r w:rsidRPr="00B7385B">
        <w:rPr>
          <w:szCs w:val="22"/>
        </w:rPr>
        <w:t>nise the value of extending play</w:t>
      </w:r>
      <w:r w:rsidR="005B4D24">
        <w:rPr>
          <w:szCs w:val="22"/>
        </w:rPr>
        <w:t>-</w:t>
      </w:r>
      <w:r w:rsidRPr="005B4D24">
        <w:rPr>
          <w:szCs w:val="22"/>
        </w:rPr>
        <w:t>based learning up to the age of seven years.</w:t>
      </w:r>
      <w:r w:rsidR="00E857B1">
        <w:rPr>
          <w:szCs w:val="22"/>
        </w:rPr>
        <w:t xml:space="preserve"> </w:t>
      </w:r>
      <w:r w:rsidRPr="005B4D24">
        <w:rPr>
          <w:szCs w:val="22"/>
        </w:rPr>
        <w:t>Research has shown this i</w:t>
      </w:r>
      <w:r w:rsidRPr="00125008">
        <w:rPr>
          <w:szCs w:val="22"/>
        </w:rPr>
        <w:t>s particularly important for children from disadvantag</w:t>
      </w:r>
      <w:r w:rsidRPr="00B7385B">
        <w:rPr>
          <w:szCs w:val="22"/>
        </w:rPr>
        <w:t>ed backgrounds who are often sent to formal schooling too early to avoid high childcare expenses (</w:t>
      </w:r>
      <w:proofErr w:type="spellStart"/>
      <w:r w:rsidRPr="00B7385B">
        <w:rPr>
          <w:szCs w:val="22"/>
        </w:rPr>
        <w:t>McNeilage</w:t>
      </w:r>
      <w:proofErr w:type="spellEnd"/>
      <w:r w:rsidRPr="00B7385B">
        <w:rPr>
          <w:szCs w:val="22"/>
        </w:rPr>
        <w:t>, 2014).</w:t>
      </w:r>
      <w:r w:rsidR="00E857B1">
        <w:rPr>
          <w:szCs w:val="22"/>
        </w:rPr>
        <w:t xml:space="preserve"> </w:t>
      </w:r>
    </w:p>
    <w:p w14:paraId="32621462" w14:textId="05DB070C" w:rsidR="006931F8" w:rsidRDefault="006931F8" w:rsidP="00B7385B">
      <w:pPr>
        <w:pStyle w:val="BodyText"/>
        <w:spacing w:before="0" w:after="240"/>
        <w:rPr>
          <w:szCs w:val="22"/>
        </w:rPr>
      </w:pPr>
    </w:p>
    <w:p w14:paraId="77B4B383" w14:textId="77777777" w:rsidR="006931F8" w:rsidRDefault="006931F8" w:rsidP="00B7385B">
      <w:pPr>
        <w:pStyle w:val="BodyText"/>
        <w:spacing w:before="0" w:after="240"/>
        <w:rPr>
          <w:szCs w:val="22"/>
        </w:rPr>
      </w:pPr>
    </w:p>
    <w:p w14:paraId="6A57A678" w14:textId="77777777" w:rsidR="006931F8" w:rsidRDefault="006931F8" w:rsidP="00B7385B">
      <w:pPr>
        <w:pStyle w:val="BodyText"/>
        <w:spacing w:before="0" w:after="240"/>
        <w:rPr>
          <w:szCs w:val="22"/>
        </w:rPr>
      </w:pPr>
    </w:p>
    <w:p w14:paraId="3F9A296D" w14:textId="77777777" w:rsidR="006931F8" w:rsidRDefault="006931F8" w:rsidP="00B7385B">
      <w:pPr>
        <w:pStyle w:val="BodyText"/>
        <w:spacing w:before="0" w:after="240"/>
        <w:rPr>
          <w:szCs w:val="22"/>
        </w:rPr>
      </w:pPr>
    </w:p>
    <w:p w14:paraId="183420A7" w14:textId="2F21894F" w:rsidR="00E83F06" w:rsidRPr="00B7385B" w:rsidRDefault="00E83F06" w:rsidP="00B7385B">
      <w:pPr>
        <w:pStyle w:val="BodyText"/>
        <w:spacing w:before="0" w:after="240"/>
        <w:rPr>
          <w:szCs w:val="22"/>
        </w:rPr>
      </w:pPr>
      <w:r w:rsidRPr="005B4D24">
        <w:rPr>
          <w:szCs w:val="22"/>
        </w:rPr>
        <w:t xml:space="preserve">It has been necessary for </w:t>
      </w:r>
      <w:proofErr w:type="spellStart"/>
      <w:r w:rsidRPr="005B4D24">
        <w:rPr>
          <w:szCs w:val="22"/>
        </w:rPr>
        <w:t>CEDP</w:t>
      </w:r>
      <w:proofErr w:type="spellEnd"/>
      <w:r w:rsidRPr="005B4D24">
        <w:rPr>
          <w:szCs w:val="22"/>
        </w:rPr>
        <w:t xml:space="preserve"> to expand its Early Childhood Education and Care services since the implementation of the National Quality Framework.</w:t>
      </w:r>
      <w:r w:rsidR="00E857B1">
        <w:rPr>
          <w:szCs w:val="22"/>
        </w:rPr>
        <w:t xml:space="preserve"> </w:t>
      </w:r>
      <w:r w:rsidRPr="005B4D24">
        <w:rPr>
          <w:szCs w:val="22"/>
        </w:rPr>
        <w:t>The regulatory requirements have im</w:t>
      </w:r>
      <w:r w:rsidRPr="00125008">
        <w:rPr>
          <w:szCs w:val="22"/>
        </w:rPr>
        <w:t>pacted on many private providers making them no longer</w:t>
      </w:r>
      <w:r w:rsidRPr="00B7385B">
        <w:rPr>
          <w:szCs w:val="22"/>
        </w:rPr>
        <w:t xml:space="preserve"> financially viable and having no option but to cease operation. To support our families, it was necessary for </w:t>
      </w:r>
      <w:proofErr w:type="spellStart"/>
      <w:r w:rsidRPr="00B7385B">
        <w:rPr>
          <w:szCs w:val="22"/>
        </w:rPr>
        <w:t>CEDP</w:t>
      </w:r>
      <w:proofErr w:type="spellEnd"/>
      <w:r w:rsidRPr="00B7385B">
        <w:rPr>
          <w:szCs w:val="22"/>
        </w:rPr>
        <w:t xml:space="preserve"> to immediately respond to the lack of available placements in Early Childhood services. This was necessary to meet the demands for education and care for students and to provide continuation of services to families in a sector where demand is not met by supply.</w:t>
      </w:r>
    </w:p>
    <w:p w14:paraId="22D56948" w14:textId="01AC04C3" w:rsidR="003B7727" w:rsidRDefault="00E83F06" w:rsidP="00B7385B">
      <w:pPr>
        <w:pStyle w:val="BodyText"/>
        <w:spacing w:before="0" w:after="240"/>
        <w:rPr>
          <w:szCs w:val="22"/>
        </w:rPr>
      </w:pPr>
      <w:proofErr w:type="spellStart"/>
      <w:r w:rsidRPr="00B7385B">
        <w:rPr>
          <w:szCs w:val="22"/>
        </w:rPr>
        <w:t>CEDP</w:t>
      </w:r>
      <w:proofErr w:type="spellEnd"/>
      <w:r w:rsidRPr="00B7385B">
        <w:rPr>
          <w:szCs w:val="22"/>
        </w:rPr>
        <w:t xml:space="preserve"> is supporting the education and care sector by providing preschools and </w:t>
      </w:r>
      <w:proofErr w:type="spellStart"/>
      <w:r w:rsidRPr="00B7385B">
        <w:rPr>
          <w:szCs w:val="22"/>
        </w:rPr>
        <w:t>OSHC</w:t>
      </w:r>
      <w:proofErr w:type="spellEnd"/>
      <w:r w:rsidRPr="00B7385B">
        <w:rPr>
          <w:szCs w:val="22"/>
        </w:rPr>
        <w:t xml:space="preserve"> services reduc</w:t>
      </w:r>
      <w:r w:rsidR="005461A5">
        <w:rPr>
          <w:szCs w:val="22"/>
        </w:rPr>
        <w:t>ing</w:t>
      </w:r>
      <w:r w:rsidRPr="00B7385B">
        <w:rPr>
          <w:szCs w:val="22"/>
        </w:rPr>
        <w:t xml:space="preserve"> </w:t>
      </w:r>
      <w:r w:rsidR="005461A5">
        <w:rPr>
          <w:szCs w:val="22"/>
        </w:rPr>
        <w:t>strain</w:t>
      </w:r>
      <w:r w:rsidR="005461A5" w:rsidRPr="00B7385B">
        <w:rPr>
          <w:szCs w:val="22"/>
        </w:rPr>
        <w:t xml:space="preserve"> </w:t>
      </w:r>
      <w:r w:rsidRPr="00B7385B">
        <w:rPr>
          <w:szCs w:val="22"/>
        </w:rPr>
        <w:t>on a</w:t>
      </w:r>
      <w:r w:rsidR="005461A5">
        <w:rPr>
          <w:szCs w:val="22"/>
        </w:rPr>
        <w:t>n already</w:t>
      </w:r>
      <w:r w:rsidRPr="00B7385B">
        <w:rPr>
          <w:szCs w:val="22"/>
        </w:rPr>
        <w:t xml:space="preserve"> </w:t>
      </w:r>
      <w:r w:rsidR="005461A5">
        <w:rPr>
          <w:szCs w:val="22"/>
        </w:rPr>
        <w:t xml:space="preserve">pressurised </w:t>
      </w:r>
      <w:r w:rsidRPr="00B7385B">
        <w:rPr>
          <w:szCs w:val="22"/>
        </w:rPr>
        <w:t>sector.</w:t>
      </w:r>
      <w:r w:rsidR="00E857B1">
        <w:rPr>
          <w:szCs w:val="22"/>
        </w:rPr>
        <w:t xml:space="preserve"> </w:t>
      </w:r>
    </w:p>
    <w:p w14:paraId="7034B4FD" w14:textId="3F3F5CA5" w:rsidR="00E83F06" w:rsidRPr="00B7385B" w:rsidRDefault="00E83F06" w:rsidP="00B7385B">
      <w:pPr>
        <w:pStyle w:val="BodyText"/>
        <w:spacing w:before="0" w:after="240"/>
        <w:rPr>
          <w:szCs w:val="22"/>
        </w:rPr>
      </w:pPr>
      <w:proofErr w:type="spellStart"/>
      <w:r w:rsidRPr="002D0F01">
        <w:rPr>
          <w:szCs w:val="22"/>
        </w:rPr>
        <w:t>CEDP</w:t>
      </w:r>
      <w:proofErr w:type="spellEnd"/>
      <w:r w:rsidRPr="002D0F01">
        <w:rPr>
          <w:szCs w:val="22"/>
        </w:rPr>
        <w:t xml:space="preserve"> did not enter into the education and care sector for financial benefit.</w:t>
      </w:r>
      <w:r w:rsidR="00E857B1">
        <w:rPr>
          <w:szCs w:val="22"/>
        </w:rPr>
        <w:t xml:space="preserve"> </w:t>
      </w:r>
      <w:r w:rsidRPr="002D0F01">
        <w:rPr>
          <w:szCs w:val="22"/>
        </w:rPr>
        <w:t>We have recognised that families require these services not only to support individual families’ workforce need</w:t>
      </w:r>
      <w:r w:rsidRPr="00125008">
        <w:rPr>
          <w:szCs w:val="22"/>
        </w:rPr>
        <w:t>s but more importantly to provide our families with af</w:t>
      </w:r>
      <w:r w:rsidRPr="00B7385B">
        <w:rPr>
          <w:szCs w:val="22"/>
        </w:rPr>
        <w:t>fordable education and care services beyond formal schooling.</w:t>
      </w:r>
    </w:p>
    <w:p w14:paraId="311032D7" w14:textId="7CD1FB6F" w:rsidR="003E4541" w:rsidRPr="005B4D24" w:rsidRDefault="00E83F06" w:rsidP="00B7385B">
      <w:pPr>
        <w:pStyle w:val="BodyText"/>
        <w:spacing w:before="0" w:after="240"/>
        <w:rPr>
          <w:szCs w:val="22"/>
        </w:rPr>
      </w:pPr>
      <w:r w:rsidRPr="00B7385B">
        <w:rPr>
          <w:szCs w:val="22"/>
        </w:rPr>
        <w:t xml:space="preserve">The Australian Government is urged to improve </w:t>
      </w:r>
      <w:r w:rsidR="005B4D24">
        <w:rPr>
          <w:szCs w:val="22"/>
        </w:rPr>
        <w:t>investment</w:t>
      </w:r>
      <w:r w:rsidR="005B4D24" w:rsidRPr="005B4D24">
        <w:rPr>
          <w:szCs w:val="22"/>
        </w:rPr>
        <w:t xml:space="preserve"> </w:t>
      </w:r>
      <w:r w:rsidRPr="005B4D24">
        <w:rPr>
          <w:szCs w:val="22"/>
        </w:rPr>
        <w:t xml:space="preserve">in the early childhood education and care sector </w:t>
      </w:r>
      <w:r w:rsidR="005B4D24">
        <w:rPr>
          <w:szCs w:val="22"/>
        </w:rPr>
        <w:t xml:space="preserve">to match OECD equivalent countries </w:t>
      </w:r>
      <w:r w:rsidRPr="005B4D24">
        <w:rPr>
          <w:szCs w:val="22"/>
        </w:rPr>
        <w:t xml:space="preserve">in order to improve </w:t>
      </w:r>
      <w:r w:rsidR="005B4D24">
        <w:rPr>
          <w:szCs w:val="22"/>
        </w:rPr>
        <w:t>affordability, flexibility and accessibility for Western Sydney families</w:t>
      </w:r>
      <w:r w:rsidRPr="005B4D24">
        <w:rPr>
          <w:szCs w:val="22"/>
        </w:rPr>
        <w:t>.</w:t>
      </w:r>
      <w:r w:rsidR="00E857B1">
        <w:rPr>
          <w:szCs w:val="22"/>
        </w:rPr>
        <w:t xml:space="preserve"> </w:t>
      </w:r>
    </w:p>
    <w:p w14:paraId="557B2F5B" w14:textId="77777777" w:rsidR="00E83F06" w:rsidRDefault="003E4541" w:rsidP="00B7385B">
      <w:r w:rsidRPr="00B7385B">
        <w:rPr>
          <w:rFonts w:ascii="Arial" w:hAnsi="Arial" w:cs="Arial"/>
          <w:sz w:val="22"/>
          <w:szCs w:val="22"/>
        </w:rPr>
        <w:br w:type="page"/>
      </w:r>
    </w:p>
    <w:p w14:paraId="71D49A4F" w14:textId="77777777" w:rsidR="0018019B" w:rsidRDefault="0018019B" w:rsidP="00B7385B">
      <w:pPr>
        <w:pStyle w:val="Heading1"/>
        <w:spacing w:before="0"/>
      </w:pPr>
      <w:r>
        <w:t>Removal of Eligibility of Not-for-Profit providers to Fringe Benefits, Tax Exemptions, Rebates and Payroll Exemptions</w:t>
      </w:r>
    </w:p>
    <w:p w14:paraId="0430CA41" w14:textId="77777777" w:rsidR="0018019B" w:rsidRDefault="0018019B" w:rsidP="00B7385B"/>
    <w:p w14:paraId="5ECBD556" w14:textId="77777777" w:rsidR="00E83F06" w:rsidRPr="00B7385B" w:rsidRDefault="00E83F06" w:rsidP="00B7385B">
      <w:pPr>
        <w:spacing w:after="240"/>
        <w:rPr>
          <w:rFonts w:ascii="Arial" w:hAnsi="Arial" w:cs="Arial"/>
          <w:sz w:val="22"/>
          <w:szCs w:val="22"/>
        </w:rPr>
      </w:pPr>
      <w:r w:rsidRPr="00B7385B">
        <w:rPr>
          <w:rFonts w:ascii="Arial" w:hAnsi="Arial" w:cs="Arial"/>
          <w:sz w:val="22"/>
          <w:szCs w:val="22"/>
        </w:rPr>
        <w:t xml:space="preserve">In Australia, registration and operation of dedicated preschools remains primarily with the not-for-profit community sector or public institutions. </w:t>
      </w:r>
      <w:proofErr w:type="spellStart"/>
      <w:r w:rsidRPr="00B7385B">
        <w:rPr>
          <w:rFonts w:ascii="Arial" w:hAnsi="Arial" w:cs="Arial"/>
          <w:sz w:val="22"/>
          <w:szCs w:val="22"/>
        </w:rPr>
        <w:t>CEDP</w:t>
      </w:r>
      <w:proofErr w:type="spellEnd"/>
      <w:r w:rsidRPr="00B7385B">
        <w:rPr>
          <w:rFonts w:ascii="Arial" w:hAnsi="Arial" w:cs="Arial"/>
          <w:sz w:val="22"/>
          <w:szCs w:val="22"/>
        </w:rPr>
        <w:t xml:space="preserve"> plays an important role in owning and operating both preschool and </w:t>
      </w:r>
      <w:proofErr w:type="spellStart"/>
      <w:r w:rsidRPr="00B7385B">
        <w:rPr>
          <w:rFonts w:ascii="Arial" w:hAnsi="Arial" w:cs="Arial"/>
          <w:sz w:val="22"/>
          <w:szCs w:val="22"/>
        </w:rPr>
        <w:t>OSHC</w:t>
      </w:r>
      <w:proofErr w:type="spellEnd"/>
      <w:r w:rsidRPr="00B7385B">
        <w:rPr>
          <w:rFonts w:ascii="Arial" w:hAnsi="Arial" w:cs="Arial"/>
          <w:sz w:val="22"/>
          <w:szCs w:val="22"/>
        </w:rPr>
        <w:t xml:space="preserve"> services. </w:t>
      </w:r>
    </w:p>
    <w:p w14:paraId="4CC42726" w14:textId="2643839F" w:rsidR="00E83F06" w:rsidRPr="005B4D24" w:rsidRDefault="00E83F06" w:rsidP="00B7385B">
      <w:pPr>
        <w:pStyle w:val="BodyText"/>
        <w:spacing w:after="240"/>
        <w:rPr>
          <w:szCs w:val="22"/>
        </w:rPr>
      </w:pPr>
      <w:r w:rsidRPr="002D0F01">
        <w:rPr>
          <w:szCs w:val="22"/>
        </w:rPr>
        <w:t>Throughout the implementation of the National Quality Framework</w:t>
      </w:r>
      <w:r w:rsidR="005B4D24">
        <w:rPr>
          <w:szCs w:val="22"/>
        </w:rPr>
        <w:t>,</w:t>
      </w:r>
      <w:r w:rsidRPr="002D0F01">
        <w:rPr>
          <w:szCs w:val="22"/>
        </w:rPr>
        <w:t xml:space="preserve"> not-for-profit providers of Early Childhood Education and Care hav</w:t>
      </w:r>
      <w:r w:rsidRPr="005B4D24">
        <w:rPr>
          <w:szCs w:val="22"/>
        </w:rPr>
        <w:t xml:space="preserve">e frequently </w:t>
      </w:r>
      <w:r w:rsidR="005B4D24">
        <w:rPr>
          <w:szCs w:val="22"/>
        </w:rPr>
        <w:t xml:space="preserve">been </w:t>
      </w:r>
      <w:r w:rsidRPr="005B4D24">
        <w:rPr>
          <w:szCs w:val="22"/>
        </w:rPr>
        <w:t xml:space="preserve">shown to provide higher quality education and care to young children. </w:t>
      </w:r>
      <w:r w:rsidR="00E857B1">
        <w:rPr>
          <w:szCs w:val="22"/>
        </w:rPr>
        <w:t xml:space="preserve">Eight four (84) </w:t>
      </w:r>
      <w:proofErr w:type="spellStart"/>
      <w:r w:rsidR="00E857B1">
        <w:rPr>
          <w:szCs w:val="22"/>
        </w:rPr>
        <w:t>percent</w:t>
      </w:r>
      <w:proofErr w:type="spellEnd"/>
      <w:r w:rsidR="00E857B1">
        <w:rPr>
          <w:szCs w:val="22"/>
        </w:rPr>
        <w:t xml:space="preserve"> </w:t>
      </w:r>
      <w:r w:rsidRPr="005B4D24">
        <w:rPr>
          <w:szCs w:val="22"/>
        </w:rPr>
        <w:t>of services rated as exceeding the National Quality Standards by November 2013 were not-for-profit or community based services</w:t>
      </w:r>
      <w:r w:rsidR="00873905">
        <w:rPr>
          <w:szCs w:val="22"/>
        </w:rPr>
        <w:t>.</w:t>
      </w:r>
      <w:r w:rsidRPr="002D0F01">
        <w:rPr>
          <w:szCs w:val="22"/>
        </w:rPr>
        <w:t xml:space="preserve"> </w:t>
      </w:r>
      <w:r w:rsidR="00562CD5" w:rsidRPr="005B4D24">
        <w:rPr>
          <w:szCs w:val="22"/>
        </w:rPr>
        <w:t>(</w:t>
      </w:r>
      <w:proofErr w:type="spellStart"/>
      <w:r w:rsidR="00562CD5" w:rsidRPr="005B4D24">
        <w:rPr>
          <w:szCs w:val="22"/>
        </w:rPr>
        <w:t>CCCC</w:t>
      </w:r>
      <w:proofErr w:type="spellEnd"/>
      <w:r w:rsidR="00562CD5" w:rsidRPr="005B4D24">
        <w:rPr>
          <w:szCs w:val="22"/>
        </w:rPr>
        <w:t xml:space="preserve"> NSW, </w:t>
      </w:r>
      <w:proofErr w:type="spellStart"/>
      <w:r w:rsidR="00562CD5" w:rsidRPr="005B4D24">
        <w:rPr>
          <w:szCs w:val="22"/>
        </w:rPr>
        <w:t>CCP</w:t>
      </w:r>
      <w:proofErr w:type="spellEnd"/>
      <w:r w:rsidR="00562CD5" w:rsidRPr="005B4D24">
        <w:rPr>
          <w:szCs w:val="22"/>
        </w:rPr>
        <w:t xml:space="preserve"> &amp; </w:t>
      </w:r>
      <w:proofErr w:type="spellStart"/>
      <w:r w:rsidR="00562CD5" w:rsidRPr="005B4D24">
        <w:rPr>
          <w:szCs w:val="22"/>
        </w:rPr>
        <w:t>PACCS</w:t>
      </w:r>
      <w:proofErr w:type="spellEnd"/>
      <w:r w:rsidR="00562CD5" w:rsidRPr="005B4D24">
        <w:rPr>
          <w:szCs w:val="22"/>
        </w:rPr>
        <w:t>, 2014).</w:t>
      </w:r>
    </w:p>
    <w:p w14:paraId="1C1EADA8" w14:textId="77777777" w:rsidR="00E83F06" w:rsidRPr="00B7385B" w:rsidRDefault="00E83F06" w:rsidP="00B7385B">
      <w:pPr>
        <w:pStyle w:val="BodyText"/>
        <w:spacing w:after="240"/>
        <w:rPr>
          <w:szCs w:val="22"/>
        </w:rPr>
      </w:pPr>
      <w:proofErr w:type="spellStart"/>
      <w:r w:rsidRPr="00125008">
        <w:rPr>
          <w:szCs w:val="22"/>
        </w:rPr>
        <w:t>CEDP</w:t>
      </w:r>
      <w:proofErr w:type="spellEnd"/>
      <w:r w:rsidRPr="00125008">
        <w:rPr>
          <w:szCs w:val="22"/>
        </w:rPr>
        <w:t xml:space="preserve"> does not support Draft Recommendation 10.1 of the report, which calls fo</w:t>
      </w:r>
      <w:r w:rsidRPr="00B7385B">
        <w:rPr>
          <w:szCs w:val="22"/>
        </w:rPr>
        <w:t>r the removal of eligibility of not-for profit</w:t>
      </w:r>
      <w:r w:rsidR="00562CD5" w:rsidRPr="00B7385B">
        <w:rPr>
          <w:szCs w:val="22"/>
        </w:rPr>
        <w:t xml:space="preserve"> early childhood</w:t>
      </w:r>
      <w:r w:rsidRPr="00B7385B">
        <w:rPr>
          <w:szCs w:val="22"/>
        </w:rPr>
        <w:t xml:space="preserve"> providers to Fringe Benefit Tax exemptions and rebates and to payroll exemptions. Neither does it support a recommendation for the removal of concessions for employer provided </w:t>
      </w:r>
      <w:proofErr w:type="spellStart"/>
      <w:r w:rsidRPr="00B7385B">
        <w:rPr>
          <w:szCs w:val="22"/>
        </w:rPr>
        <w:t>ECEC</w:t>
      </w:r>
      <w:proofErr w:type="spellEnd"/>
      <w:r w:rsidRPr="00B7385B">
        <w:rPr>
          <w:szCs w:val="22"/>
        </w:rPr>
        <w:t xml:space="preserve"> services. </w:t>
      </w:r>
    </w:p>
    <w:p w14:paraId="5FF8B921" w14:textId="77777777" w:rsidR="007B3CA4" w:rsidRDefault="00873905" w:rsidP="00B7385B">
      <w:pPr>
        <w:pStyle w:val="BodyText"/>
        <w:spacing w:after="240"/>
        <w:rPr>
          <w:szCs w:val="22"/>
        </w:rPr>
      </w:pPr>
      <w:r>
        <w:rPr>
          <w:szCs w:val="22"/>
        </w:rPr>
        <w:t xml:space="preserve">Recommendations under the </w:t>
      </w:r>
      <w:r w:rsidRPr="00B7385B">
        <w:rPr>
          <w:i/>
          <w:szCs w:val="22"/>
        </w:rPr>
        <w:t xml:space="preserve">Henry Tax Review in 2010 </w:t>
      </w:r>
      <w:r>
        <w:rPr>
          <w:szCs w:val="22"/>
        </w:rPr>
        <w:t xml:space="preserve">to remove </w:t>
      </w:r>
      <w:r w:rsidR="007B3CA4" w:rsidRPr="000E142A">
        <w:rPr>
          <w:szCs w:val="22"/>
        </w:rPr>
        <w:t xml:space="preserve">not-for-profit organisations from tax concessions and benefits were rejected as it posed significant risk to the financial viability of services, leading to service closures and increased unemployment rates. </w:t>
      </w:r>
    </w:p>
    <w:p w14:paraId="63E3228B" w14:textId="77777777" w:rsidR="00E83F06" w:rsidRPr="00125008" w:rsidRDefault="00E83F06" w:rsidP="00B7385B">
      <w:pPr>
        <w:pStyle w:val="BodyText"/>
        <w:spacing w:after="240"/>
        <w:rPr>
          <w:szCs w:val="22"/>
        </w:rPr>
      </w:pPr>
      <w:proofErr w:type="spellStart"/>
      <w:r w:rsidRPr="005B4D24">
        <w:rPr>
          <w:szCs w:val="22"/>
        </w:rPr>
        <w:t>CEDP</w:t>
      </w:r>
      <w:proofErr w:type="spellEnd"/>
      <w:r w:rsidRPr="005B4D24">
        <w:rPr>
          <w:szCs w:val="22"/>
        </w:rPr>
        <w:t xml:space="preserve"> advises that if it was to allocate the full direct costs of the running of these services or outsource these services currently operating through </w:t>
      </w:r>
      <w:proofErr w:type="spellStart"/>
      <w:r w:rsidRPr="005B4D24">
        <w:rPr>
          <w:szCs w:val="22"/>
        </w:rPr>
        <w:t>CEDP</w:t>
      </w:r>
      <w:proofErr w:type="spellEnd"/>
      <w:r w:rsidRPr="005B4D24">
        <w:rPr>
          <w:szCs w:val="22"/>
        </w:rPr>
        <w:t xml:space="preserve"> economies of scale, these services would not be financially viable.</w:t>
      </w:r>
      <w:r w:rsidRPr="00125008">
        <w:rPr>
          <w:szCs w:val="22"/>
        </w:rPr>
        <w:t xml:space="preserve"> </w:t>
      </w:r>
    </w:p>
    <w:p w14:paraId="1BB11C7E" w14:textId="77777777" w:rsidR="00E83F06" w:rsidRDefault="008679C3" w:rsidP="008679C3">
      <w:pPr>
        <w:pStyle w:val="Heading1"/>
      </w:pPr>
      <w:r>
        <w:br w:type="page"/>
      </w:r>
      <w:r w:rsidR="00E83F06">
        <w:t>Productivity Commission Overlooks the Human Element</w:t>
      </w:r>
    </w:p>
    <w:p w14:paraId="749EDA1F" w14:textId="77777777" w:rsidR="00E83F06" w:rsidRDefault="00E83F06" w:rsidP="00B7385B">
      <w:pPr>
        <w:pStyle w:val="Heading2"/>
        <w:spacing w:before="480"/>
        <w:ind w:left="578" w:hanging="578"/>
      </w:pPr>
      <w:r>
        <w:t>Dedicated Preschools</w:t>
      </w:r>
    </w:p>
    <w:p w14:paraId="0D22DAFD" w14:textId="050965B9" w:rsidR="00A619F9" w:rsidRDefault="00E83F06" w:rsidP="00B7385B">
      <w:pPr>
        <w:pStyle w:val="BodyText"/>
        <w:spacing w:before="240" w:after="240"/>
        <w:rPr>
          <w:szCs w:val="22"/>
        </w:rPr>
      </w:pPr>
      <w:r w:rsidRPr="002D0F01">
        <w:rPr>
          <w:szCs w:val="22"/>
        </w:rPr>
        <w:t xml:space="preserve">In the 2014 Universal Access funding agreement, the </w:t>
      </w:r>
      <w:r w:rsidR="005B4D24">
        <w:rPr>
          <w:szCs w:val="22"/>
        </w:rPr>
        <w:t xml:space="preserve">NSW </w:t>
      </w:r>
      <w:r w:rsidRPr="002D0F01">
        <w:rPr>
          <w:szCs w:val="22"/>
        </w:rPr>
        <w:t xml:space="preserve">Department of Education and </w:t>
      </w:r>
      <w:r w:rsidR="001A3034" w:rsidRPr="005B4D24">
        <w:rPr>
          <w:szCs w:val="22"/>
        </w:rPr>
        <w:t>Communities</w:t>
      </w:r>
      <w:r w:rsidRPr="005B4D24">
        <w:rPr>
          <w:szCs w:val="22"/>
        </w:rPr>
        <w:t xml:space="preserve"> abolished funding for 3</w:t>
      </w:r>
      <w:r w:rsidR="00E857B1">
        <w:rPr>
          <w:szCs w:val="22"/>
        </w:rPr>
        <w:t>-</w:t>
      </w:r>
      <w:r w:rsidRPr="005B4D24">
        <w:rPr>
          <w:szCs w:val="22"/>
        </w:rPr>
        <w:t>year</w:t>
      </w:r>
      <w:r w:rsidR="00E857B1">
        <w:rPr>
          <w:szCs w:val="22"/>
        </w:rPr>
        <w:t>-</w:t>
      </w:r>
      <w:r w:rsidRPr="005B4D24">
        <w:rPr>
          <w:szCs w:val="22"/>
        </w:rPr>
        <w:t xml:space="preserve">old children that do not attract equity funding. </w:t>
      </w:r>
    </w:p>
    <w:p w14:paraId="0D37DBFA" w14:textId="3C4A707B" w:rsidR="00E83F06" w:rsidRPr="002D0F01" w:rsidRDefault="00E83F06" w:rsidP="00B7385B">
      <w:pPr>
        <w:pStyle w:val="BodyText"/>
        <w:spacing w:before="240" w:after="240"/>
        <w:rPr>
          <w:szCs w:val="22"/>
        </w:rPr>
      </w:pPr>
      <w:r w:rsidRPr="002D0F01">
        <w:rPr>
          <w:szCs w:val="22"/>
        </w:rPr>
        <w:t xml:space="preserve">This funding reduction has significantly increased the cost to families that choose to </w:t>
      </w:r>
      <w:r w:rsidR="008679C3" w:rsidRPr="005B4D24">
        <w:rPr>
          <w:szCs w:val="22"/>
        </w:rPr>
        <w:t>enrol</w:t>
      </w:r>
      <w:r w:rsidRPr="005B4D24">
        <w:rPr>
          <w:szCs w:val="22"/>
        </w:rPr>
        <w:t xml:space="preserve"> their non-funded 3</w:t>
      </w:r>
      <w:r w:rsidR="00E857B1">
        <w:rPr>
          <w:szCs w:val="22"/>
        </w:rPr>
        <w:t>-</w:t>
      </w:r>
      <w:r w:rsidRPr="005B4D24">
        <w:rPr>
          <w:szCs w:val="22"/>
        </w:rPr>
        <w:t>year</w:t>
      </w:r>
      <w:r w:rsidR="00E857B1">
        <w:rPr>
          <w:szCs w:val="22"/>
        </w:rPr>
        <w:t>-</w:t>
      </w:r>
      <w:r w:rsidRPr="005B4D24">
        <w:rPr>
          <w:szCs w:val="22"/>
        </w:rPr>
        <w:t>old children in dedicated preschool services. The fami</w:t>
      </w:r>
      <w:r w:rsidRPr="00125008">
        <w:rPr>
          <w:szCs w:val="22"/>
        </w:rPr>
        <w:t xml:space="preserve">lies are the poorer </w:t>
      </w:r>
      <w:r w:rsidR="005B4D24">
        <w:rPr>
          <w:szCs w:val="22"/>
        </w:rPr>
        <w:t>for</w:t>
      </w:r>
      <w:r w:rsidRPr="005B4D24">
        <w:rPr>
          <w:szCs w:val="22"/>
        </w:rPr>
        <w:t xml:space="preserve"> this funding reduction as non-funded 3</w:t>
      </w:r>
      <w:r w:rsidR="00E857B1">
        <w:rPr>
          <w:szCs w:val="22"/>
        </w:rPr>
        <w:t>-</w:t>
      </w:r>
      <w:r w:rsidRPr="005B4D24">
        <w:rPr>
          <w:szCs w:val="22"/>
        </w:rPr>
        <w:t>year</w:t>
      </w:r>
      <w:r w:rsidR="00E857B1">
        <w:rPr>
          <w:szCs w:val="22"/>
        </w:rPr>
        <w:t>-</w:t>
      </w:r>
      <w:r w:rsidRPr="005B4D24">
        <w:rPr>
          <w:szCs w:val="22"/>
        </w:rPr>
        <w:t xml:space="preserve">old children now attract a fee that is consistent with Long Day Care without attracting the Child Care </w:t>
      </w:r>
      <w:r w:rsidR="00A619F9">
        <w:rPr>
          <w:szCs w:val="22"/>
        </w:rPr>
        <w:t xml:space="preserve">Benefit for approved services and the Child Care </w:t>
      </w:r>
      <w:r w:rsidRPr="002D0F01">
        <w:rPr>
          <w:szCs w:val="22"/>
        </w:rPr>
        <w:t xml:space="preserve">Rebate. </w:t>
      </w:r>
    </w:p>
    <w:p w14:paraId="32FEC4E9" w14:textId="069C9705" w:rsidR="00E83F06" w:rsidRPr="005B4D24" w:rsidRDefault="00E83F06" w:rsidP="00B7385B">
      <w:pPr>
        <w:pStyle w:val="BodyText"/>
        <w:spacing w:before="0" w:after="240"/>
        <w:rPr>
          <w:szCs w:val="22"/>
        </w:rPr>
      </w:pPr>
      <w:r w:rsidRPr="005B4D24">
        <w:rPr>
          <w:szCs w:val="22"/>
        </w:rPr>
        <w:t>The Universal Access funding agreement excludes a range of vulnerable and disadvantaged children</w:t>
      </w:r>
      <w:r w:rsidR="00A619F9">
        <w:rPr>
          <w:szCs w:val="22"/>
        </w:rPr>
        <w:t>.</w:t>
      </w:r>
      <w:r w:rsidR="00E857B1">
        <w:rPr>
          <w:szCs w:val="22"/>
        </w:rPr>
        <w:t xml:space="preserve"> </w:t>
      </w:r>
      <w:r w:rsidR="00A619F9">
        <w:rPr>
          <w:szCs w:val="22"/>
        </w:rPr>
        <w:t>F</w:t>
      </w:r>
      <w:r w:rsidRPr="005B4D24">
        <w:rPr>
          <w:szCs w:val="22"/>
        </w:rPr>
        <w:t xml:space="preserve">or instance, </w:t>
      </w:r>
      <w:r w:rsidR="005B4D24">
        <w:rPr>
          <w:szCs w:val="22"/>
        </w:rPr>
        <w:t xml:space="preserve">families with </w:t>
      </w:r>
      <w:r w:rsidRPr="005B4D24">
        <w:rPr>
          <w:szCs w:val="22"/>
        </w:rPr>
        <w:t>3</w:t>
      </w:r>
      <w:r w:rsidR="00E857B1">
        <w:rPr>
          <w:szCs w:val="22"/>
        </w:rPr>
        <w:t>-</w:t>
      </w:r>
      <w:r w:rsidRPr="005B4D24">
        <w:rPr>
          <w:szCs w:val="22"/>
        </w:rPr>
        <w:t>year</w:t>
      </w:r>
      <w:r w:rsidR="00E857B1">
        <w:rPr>
          <w:szCs w:val="22"/>
        </w:rPr>
        <w:t>-</w:t>
      </w:r>
      <w:r w:rsidRPr="005B4D24">
        <w:rPr>
          <w:szCs w:val="22"/>
        </w:rPr>
        <w:t xml:space="preserve">old children from Language Backgrounds </w:t>
      </w:r>
      <w:r w:rsidR="00E857B1">
        <w:rPr>
          <w:szCs w:val="22"/>
        </w:rPr>
        <w:t>o</w:t>
      </w:r>
      <w:r w:rsidR="00E857B1" w:rsidRPr="005B4D24">
        <w:rPr>
          <w:szCs w:val="22"/>
        </w:rPr>
        <w:t xml:space="preserve">ther </w:t>
      </w:r>
      <w:r w:rsidR="00E857B1">
        <w:rPr>
          <w:szCs w:val="22"/>
        </w:rPr>
        <w:t>than</w:t>
      </w:r>
      <w:r w:rsidR="00E857B1" w:rsidRPr="005B4D24">
        <w:rPr>
          <w:szCs w:val="22"/>
        </w:rPr>
        <w:t xml:space="preserve"> </w:t>
      </w:r>
      <w:r w:rsidRPr="005B4D24">
        <w:rPr>
          <w:szCs w:val="22"/>
        </w:rPr>
        <w:t xml:space="preserve">English </w:t>
      </w:r>
      <w:r w:rsidR="00E857B1">
        <w:rPr>
          <w:szCs w:val="22"/>
        </w:rPr>
        <w:t>(</w:t>
      </w:r>
      <w:proofErr w:type="spellStart"/>
      <w:r w:rsidR="00E857B1">
        <w:rPr>
          <w:szCs w:val="22"/>
        </w:rPr>
        <w:t>LBOTE</w:t>
      </w:r>
      <w:proofErr w:type="spellEnd"/>
      <w:r w:rsidR="00E857B1">
        <w:rPr>
          <w:szCs w:val="22"/>
        </w:rPr>
        <w:t xml:space="preserve">) </w:t>
      </w:r>
      <w:r w:rsidRPr="005B4D24">
        <w:rPr>
          <w:szCs w:val="22"/>
        </w:rPr>
        <w:t>and</w:t>
      </w:r>
      <w:r w:rsidR="005B4D24">
        <w:rPr>
          <w:szCs w:val="22"/>
        </w:rPr>
        <w:t>/or</w:t>
      </w:r>
      <w:r w:rsidRPr="005B4D24">
        <w:rPr>
          <w:szCs w:val="22"/>
        </w:rPr>
        <w:t xml:space="preserve"> 3</w:t>
      </w:r>
      <w:r w:rsidR="00E857B1">
        <w:rPr>
          <w:szCs w:val="22"/>
        </w:rPr>
        <w:t>-</w:t>
      </w:r>
      <w:r w:rsidRPr="005B4D24">
        <w:rPr>
          <w:szCs w:val="22"/>
        </w:rPr>
        <w:t>year</w:t>
      </w:r>
      <w:r w:rsidR="00E857B1">
        <w:rPr>
          <w:szCs w:val="22"/>
        </w:rPr>
        <w:t>-</w:t>
      </w:r>
      <w:r w:rsidRPr="005B4D24">
        <w:rPr>
          <w:szCs w:val="22"/>
        </w:rPr>
        <w:t>old children with learning disabilities who do not attract equity funding</w:t>
      </w:r>
      <w:r w:rsidR="005B4D24">
        <w:rPr>
          <w:szCs w:val="22"/>
        </w:rPr>
        <w:t>,</w:t>
      </w:r>
      <w:r w:rsidRPr="005B4D24">
        <w:rPr>
          <w:szCs w:val="22"/>
        </w:rPr>
        <w:t xml:space="preserve"> are not able to </w:t>
      </w:r>
      <w:r w:rsidR="00A619F9">
        <w:rPr>
          <w:szCs w:val="22"/>
        </w:rPr>
        <w:t>afford</w:t>
      </w:r>
      <w:r w:rsidR="00A619F9" w:rsidRPr="002D0F01">
        <w:rPr>
          <w:szCs w:val="22"/>
        </w:rPr>
        <w:t xml:space="preserve"> </w:t>
      </w:r>
      <w:r w:rsidRPr="005B4D24">
        <w:rPr>
          <w:szCs w:val="22"/>
        </w:rPr>
        <w:t>preschool places</w:t>
      </w:r>
      <w:r w:rsidR="00472A12">
        <w:rPr>
          <w:szCs w:val="22"/>
        </w:rPr>
        <w:t>.</w:t>
      </w:r>
      <w:r w:rsidR="00E857B1">
        <w:rPr>
          <w:szCs w:val="22"/>
        </w:rPr>
        <w:t xml:space="preserve"> </w:t>
      </w:r>
    </w:p>
    <w:p w14:paraId="72D4F63C" w14:textId="7BE0D11C" w:rsidR="00E83F06" w:rsidRPr="005B4D24" w:rsidRDefault="00E83F06" w:rsidP="00B7385B">
      <w:pPr>
        <w:pStyle w:val="BodyText"/>
        <w:spacing w:before="0" w:after="240"/>
        <w:rPr>
          <w:szCs w:val="22"/>
        </w:rPr>
      </w:pPr>
      <w:r w:rsidRPr="00125008">
        <w:rPr>
          <w:szCs w:val="22"/>
        </w:rPr>
        <w:t>Prior to these changes, the government provided funding to dedic</w:t>
      </w:r>
      <w:r w:rsidRPr="00B7385B">
        <w:rPr>
          <w:szCs w:val="22"/>
        </w:rPr>
        <w:t>ated preschool places for 3</w:t>
      </w:r>
      <w:r w:rsidR="00E857B1">
        <w:rPr>
          <w:szCs w:val="22"/>
        </w:rPr>
        <w:t xml:space="preserve"> to </w:t>
      </w:r>
      <w:r w:rsidRPr="00B7385B">
        <w:rPr>
          <w:szCs w:val="22"/>
        </w:rPr>
        <w:t>5 year old children.</w:t>
      </w:r>
      <w:r w:rsidR="00E857B1">
        <w:rPr>
          <w:szCs w:val="22"/>
        </w:rPr>
        <w:t xml:space="preserve"> </w:t>
      </w:r>
      <w:r w:rsidRPr="00B7385B">
        <w:rPr>
          <w:szCs w:val="22"/>
        </w:rPr>
        <w:t xml:space="preserve">This </w:t>
      </w:r>
      <w:r w:rsidR="00263482">
        <w:rPr>
          <w:szCs w:val="22"/>
        </w:rPr>
        <w:t xml:space="preserve">funding </w:t>
      </w:r>
      <w:r w:rsidRPr="002D0F01">
        <w:rPr>
          <w:szCs w:val="22"/>
        </w:rPr>
        <w:t>supported viable services as the 3</w:t>
      </w:r>
      <w:r w:rsidR="00E857B1">
        <w:rPr>
          <w:szCs w:val="22"/>
        </w:rPr>
        <w:t>-</w:t>
      </w:r>
      <w:r w:rsidRPr="002D0F01">
        <w:rPr>
          <w:szCs w:val="22"/>
        </w:rPr>
        <w:t>year old</w:t>
      </w:r>
      <w:r w:rsidR="00E857B1">
        <w:rPr>
          <w:szCs w:val="22"/>
        </w:rPr>
        <w:t>-</w:t>
      </w:r>
      <w:r w:rsidRPr="002D0F01">
        <w:rPr>
          <w:szCs w:val="22"/>
        </w:rPr>
        <w:t xml:space="preserve">children </w:t>
      </w:r>
      <w:r w:rsidRPr="005B4D24">
        <w:rPr>
          <w:szCs w:val="22"/>
        </w:rPr>
        <w:t>re-enrolled for an additional preschool program in the following year.</w:t>
      </w:r>
      <w:r w:rsidR="00E857B1">
        <w:rPr>
          <w:szCs w:val="22"/>
        </w:rPr>
        <w:t xml:space="preserve"> </w:t>
      </w:r>
    </w:p>
    <w:p w14:paraId="6EF74299" w14:textId="7AC30FC9" w:rsidR="003B6060" w:rsidRDefault="003B6060" w:rsidP="00B7385B">
      <w:pPr>
        <w:pStyle w:val="BodyText"/>
        <w:spacing w:before="0" w:after="240"/>
        <w:rPr>
          <w:szCs w:val="22"/>
        </w:rPr>
      </w:pPr>
      <w:r>
        <w:rPr>
          <w:szCs w:val="22"/>
        </w:rPr>
        <w:t>From a parents’ perspective</w:t>
      </w:r>
      <w:r w:rsidR="005B4D24">
        <w:rPr>
          <w:szCs w:val="22"/>
        </w:rPr>
        <w:t>,</w:t>
      </w:r>
      <w:r w:rsidR="00E83F06" w:rsidRPr="002D0F01">
        <w:rPr>
          <w:szCs w:val="22"/>
        </w:rPr>
        <w:t xml:space="preserve"> </w:t>
      </w:r>
      <w:r>
        <w:rPr>
          <w:szCs w:val="22"/>
        </w:rPr>
        <w:t>two full years in a pre-school program enabled families t</w:t>
      </w:r>
      <w:r w:rsidR="00E83F06" w:rsidRPr="002D0F01">
        <w:rPr>
          <w:szCs w:val="22"/>
        </w:rPr>
        <w:t>o plan the future educational pathways for their children</w:t>
      </w:r>
      <w:r>
        <w:rPr>
          <w:szCs w:val="22"/>
        </w:rPr>
        <w:t>.</w:t>
      </w:r>
      <w:r w:rsidR="00E83F06" w:rsidRPr="002D0F01">
        <w:rPr>
          <w:szCs w:val="22"/>
        </w:rPr>
        <w:t xml:space="preserve"> </w:t>
      </w:r>
      <w:r w:rsidR="00E83F06" w:rsidRPr="005B4D24">
        <w:rPr>
          <w:szCs w:val="22"/>
        </w:rPr>
        <w:t>For the individual child it provided opportunities to maximise their potential and develop foundatio</w:t>
      </w:r>
      <w:r w:rsidR="00E83F06" w:rsidRPr="00125008">
        <w:rPr>
          <w:szCs w:val="22"/>
        </w:rPr>
        <w:t>ns for future success.</w:t>
      </w:r>
      <w:r w:rsidR="00E857B1">
        <w:rPr>
          <w:szCs w:val="22"/>
        </w:rPr>
        <w:t xml:space="preserve"> </w:t>
      </w:r>
    </w:p>
    <w:p w14:paraId="1EC2C984" w14:textId="28419286" w:rsidR="00E83F06" w:rsidRPr="002D0F01" w:rsidRDefault="00E83F06" w:rsidP="00B7385B">
      <w:pPr>
        <w:pStyle w:val="BodyText"/>
        <w:spacing w:before="0" w:after="240"/>
        <w:rPr>
          <w:szCs w:val="22"/>
        </w:rPr>
      </w:pPr>
      <w:r w:rsidRPr="002D0F01">
        <w:rPr>
          <w:szCs w:val="22"/>
        </w:rPr>
        <w:t xml:space="preserve">As the provider, this funding arrangement offered financial continuity and sustainability for our </w:t>
      </w:r>
      <w:r w:rsidR="003B6060">
        <w:rPr>
          <w:szCs w:val="22"/>
        </w:rPr>
        <w:t>preschools</w:t>
      </w:r>
      <w:r w:rsidRPr="002D0F01">
        <w:rPr>
          <w:szCs w:val="22"/>
        </w:rPr>
        <w:t>.</w:t>
      </w:r>
      <w:r w:rsidR="00E857B1">
        <w:rPr>
          <w:szCs w:val="22"/>
        </w:rPr>
        <w:t xml:space="preserve"> </w:t>
      </w:r>
    </w:p>
    <w:p w14:paraId="31B99004" w14:textId="0624496B" w:rsidR="00E83F06" w:rsidRPr="005B4D24" w:rsidRDefault="00E83F06" w:rsidP="00B7385B">
      <w:pPr>
        <w:pStyle w:val="BodyText"/>
        <w:spacing w:before="0" w:after="240"/>
        <w:rPr>
          <w:szCs w:val="22"/>
        </w:rPr>
      </w:pPr>
      <w:r w:rsidRPr="00125008">
        <w:rPr>
          <w:szCs w:val="22"/>
        </w:rPr>
        <w:t>The removal of</w:t>
      </w:r>
      <w:r w:rsidRPr="00B7385B">
        <w:rPr>
          <w:szCs w:val="22"/>
        </w:rPr>
        <w:t xml:space="preserve"> funding for </w:t>
      </w:r>
      <w:r w:rsidR="005461A5">
        <w:rPr>
          <w:szCs w:val="22"/>
        </w:rPr>
        <w:t>3 year old</w:t>
      </w:r>
      <w:r w:rsidRPr="00B7385B">
        <w:rPr>
          <w:szCs w:val="22"/>
        </w:rPr>
        <w:t xml:space="preserve"> children not eligible for equity funding has had a significant impact on parental choice, divided sibling enrolments and in the lower </w:t>
      </w:r>
      <w:proofErr w:type="spellStart"/>
      <w:r w:rsidRPr="00B7385B">
        <w:rPr>
          <w:szCs w:val="22"/>
        </w:rPr>
        <w:t>SEIFA</w:t>
      </w:r>
      <w:proofErr w:type="spellEnd"/>
      <w:r w:rsidRPr="00B7385B">
        <w:rPr>
          <w:szCs w:val="22"/>
        </w:rPr>
        <w:t xml:space="preserve"> band areas</w:t>
      </w:r>
      <w:r w:rsidR="005B4D24" w:rsidRPr="00B7385B">
        <w:rPr>
          <w:szCs w:val="22"/>
        </w:rPr>
        <w:t>,</w:t>
      </w:r>
      <w:r w:rsidRPr="00B7385B">
        <w:rPr>
          <w:szCs w:val="22"/>
        </w:rPr>
        <w:t xml:space="preserve"> many families are no longer able to afford to send their </w:t>
      </w:r>
      <w:r w:rsidR="005461A5">
        <w:rPr>
          <w:szCs w:val="22"/>
        </w:rPr>
        <w:t>3 year old</w:t>
      </w:r>
      <w:r w:rsidRPr="00B7385B">
        <w:rPr>
          <w:szCs w:val="22"/>
        </w:rPr>
        <w:t>s to preschool.</w:t>
      </w:r>
      <w:r w:rsidR="00E857B1">
        <w:rPr>
          <w:szCs w:val="22"/>
        </w:rPr>
        <w:t xml:space="preserve"> </w:t>
      </w:r>
    </w:p>
    <w:p w14:paraId="36D6B2BC" w14:textId="77777777" w:rsidR="00E83F06" w:rsidRPr="00B7385B" w:rsidRDefault="00E83F06" w:rsidP="00B7385B">
      <w:pPr>
        <w:pStyle w:val="BodyText"/>
        <w:spacing w:before="0" w:after="240"/>
        <w:rPr>
          <w:szCs w:val="22"/>
        </w:rPr>
      </w:pPr>
      <w:r w:rsidRPr="00125008">
        <w:rPr>
          <w:szCs w:val="22"/>
        </w:rPr>
        <w:t>Educationally, the new funding arrangement ignores research that recognises the benefits of high quality early education and care accessed from an early age</w:t>
      </w:r>
      <w:r w:rsidR="003B6060">
        <w:rPr>
          <w:szCs w:val="22"/>
        </w:rPr>
        <w:t xml:space="preserve">. </w:t>
      </w:r>
      <w:r w:rsidRPr="005B4D24">
        <w:rPr>
          <w:szCs w:val="22"/>
        </w:rPr>
        <w:t>Research has shown that children benefit socially, emotionally and academically from access to high quality preschool programs. This is partic</w:t>
      </w:r>
      <w:r w:rsidRPr="00125008">
        <w:rPr>
          <w:szCs w:val="22"/>
        </w:rPr>
        <w:t xml:space="preserve">ularly relevant for children considered at risk due to low family income </w:t>
      </w:r>
      <w:r w:rsidR="00244912" w:rsidRPr="00B7385B">
        <w:rPr>
          <w:szCs w:val="22"/>
        </w:rPr>
        <w:t xml:space="preserve">(Dearing, McCartney &amp; Taylor, 2009), </w:t>
      </w:r>
      <w:r w:rsidRPr="00B7385B">
        <w:rPr>
          <w:szCs w:val="22"/>
        </w:rPr>
        <w:t>low parental education levels (</w:t>
      </w:r>
      <w:proofErr w:type="spellStart"/>
      <w:r w:rsidRPr="00B7385B">
        <w:rPr>
          <w:szCs w:val="22"/>
        </w:rPr>
        <w:t>Watamura</w:t>
      </w:r>
      <w:proofErr w:type="spellEnd"/>
      <w:r w:rsidR="00244912" w:rsidRPr="00B7385B">
        <w:rPr>
          <w:szCs w:val="22"/>
        </w:rPr>
        <w:t>, Phillips, Morrissey, McCartney &amp; Bub,</w:t>
      </w:r>
      <w:r w:rsidRPr="00B7385B">
        <w:rPr>
          <w:szCs w:val="22"/>
        </w:rPr>
        <w:t xml:space="preserve"> 2011), or special education needs (Sammons 2010).</w:t>
      </w:r>
    </w:p>
    <w:p w14:paraId="6593A27F" w14:textId="39214BEA" w:rsidR="003B6060" w:rsidRDefault="00E83F06" w:rsidP="00B7385B">
      <w:pPr>
        <w:pStyle w:val="BodyText"/>
        <w:spacing w:before="0" w:after="240"/>
        <w:rPr>
          <w:szCs w:val="22"/>
        </w:rPr>
      </w:pPr>
      <w:proofErr w:type="spellStart"/>
      <w:r w:rsidRPr="00B7385B">
        <w:rPr>
          <w:szCs w:val="22"/>
        </w:rPr>
        <w:t>CEDP</w:t>
      </w:r>
      <w:proofErr w:type="spellEnd"/>
      <w:r w:rsidRPr="00B7385B">
        <w:rPr>
          <w:szCs w:val="22"/>
        </w:rPr>
        <w:t xml:space="preserve"> is concerned with the lack of recognition of educational outcomes of </w:t>
      </w:r>
      <w:r w:rsidR="005461A5">
        <w:rPr>
          <w:szCs w:val="22"/>
        </w:rPr>
        <w:t>3 year old</w:t>
      </w:r>
      <w:r w:rsidRPr="00B7385B">
        <w:rPr>
          <w:szCs w:val="22"/>
        </w:rPr>
        <w:t xml:space="preserve"> children and the future financial viability of its </w:t>
      </w:r>
      <w:r w:rsidR="003B6060">
        <w:rPr>
          <w:szCs w:val="22"/>
        </w:rPr>
        <w:t>preschools</w:t>
      </w:r>
      <w:r w:rsidRPr="002D0F01">
        <w:rPr>
          <w:szCs w:val="22"/>
        </w:rPr>
        <w:t xml:space="preserve">. </w:t>
      </w:r>
    </w:p>
    <w:p w14:paraId="6BCDD7EC" w14:textId="4D6A12C5" w:rsidR="00E83F06" w:rsidRPr="00B7385B" w:rsidRDefault="00E83F06" w:rsidP="00B7385B">
      <w:pPr>
        <w:pStyle w:val="BodyText"/>
        <w:spacing w:before="0" w:after="240"/>
        <w:rPr>
          <w:szCs w:val="22"/>
        </w:rPr>
      </w:pPr>
      <w:proofErr w:type="spellStart"/>
      <w:r w:rsidRPr="002D0F01">
        <w:rPr>
          <w:szCs w:val="22"/>
        </w:rPr>
        <w:t>CEDP</w:t>
      </w:r>
      <w:proofErr w:type="spellEnd"/>
      <w:r w:rsidRPr="002D0F01">
        <w:rPr>
          <w:szCs w:val="22"/>
        </w:rPr>
        <w:t xml:space="preserve"> recognises that additional funding was provided to the low </w:t>
      </w:r>
      <w:proofErr w:type="spellStart"/>
      <w:r w:rsidRPr="002D0F01">
        <w:rPr>
          <w:szCs w:val="22"/>
        </w:rPr>
        <w:t>SEIFA</w:t>
      </w:r>
      <w:proofErr w:type="spellEnd"/>
      <w:r w:rsidRPr="002D0F01">
        <w:rPr>
          <w:szCs w:val="22"/>
        </w:rPr>
        <w:t xml:space="preserve"> band areas. However, this new funding arrangeme</w:t>
      </w:r>
      <w:r w:rsidRPr="005B4D24">
        <w:rPr>
          <w:szCs w:val="22"/>
        </w:rPr>
        <w:t xml:space="preserve">nt has increased the risks of </w:t>
      </w:r>
      <w:r w:rsidR="005B4D24">
        <w:rPr>
          <w:szCs w:val="22"/>
        </w:rPr>
        <w:t>non-</w:t>
      </w:r>
      <w:r w:rsidRPr="005B4D24">
        <w:rPr>
          <w:szCs w:val="22"/>
        </w:rPr>
        <w:t xml:space="preserve">viability due to the </w:t>
      </w:r>
      <w:r w:rsidR="00EF6A36" w:rsidRPr="00125008">
        <w:rPr>
          <w:szCs w:val="22"/>
        </w:rPr>
        <w:t xml:space="preserve">variation </w:t>
      </w:r>
      <w:r w:rsidRPr="00B7385B">
        <w:rPr>
          <w:szCs w:val="22"/>
        </w:rPr>
        <w:t>in the age of children enrolling from year to year.</w:t>
      </w:r>
      <w:r w:rsidR="00E857B1">
        <w:rPr>
          <w:szCs w:val="22"/>
        </w:rPr>
        <w:t xml:space="preserve"> </w:t>
      </w:r>
      <w:proofErr w:type="spellStart"/>
      <w:r w:rsidR="00EF6A36" w:rsidRPr="00B7385B">
        <w:rPr>
          <w:szCs w:val="22"/>
        </w:rPr>
        <w:t>CEDP</w:t>
      </w:r>
      <w:proofErr w:type="spellEnd"/>
      <w:r w:rsidR="00EF6A36" w:rsidRPr="00B7385B">
        <w:rPr>
          <w:szCs w:val="22"/>
        </w:rPr>
        <w:t xml:space="preserve"> has</w:t>
      </w:r>
      <w:r w:rsidRPr="00B7385B">
        <w:rPr>
          <w:szCs w:val="22"/>
        </w:rPr>
        <w:t xml:space="preserve"> found </w:t>
      </w:r>
      <w:r w:rsidR="00EF6A36" w:rsidRPr="00B7385B">
        <w:rPr>
          <w:szCs w:val="22"/>
        </w:rPr>
        <w:t xml:space="preserve">this </w:t>
      </w:r>
      <w:r w:rsidRPr="00B7385B">
        <w:rPr>
          <w:szCs w:val="22"/>
        </w:rPr>
        <w:t>particularly evident in the comparison of the 2013 and 2014 Early Childhood Education and Care Preschool Census data.</w:t>
      </w:r>
    </w:p>
    <w:p w14:paraId="52E16741" w14:textId="795EE355" w:rsidR="00E83F06" w:rsidRPr="00B7385B" w:rsidRDefault="00E83F06" w:rsidP="00B7385B">
      <w:pPr>
        <w:pStyle w:val="BodyText"/>
        <w:spacing w:before="0" w:after="240"/>
        <w:rPr>
          <w:szCs w:val="22"/>
        </w:rPr>
      </w:pPr>
      <w:r w:rsidRPr="00B7385B">
        <w:rPr>
          <w:szCs w:val="22"/>
        </w:rPr>
        <w:t>In addition, the Productivity Commission’s recommendations fail to recognise the fundamental importance of these existing challenges currently affecting families, children and the early childhood education and care providers.</w:t>
      </w:r>
      <w:r w:rsidR="00E857B1">
        <w:rPr>
          <w:szCs w:val="22"/>
        </w:rPr>
        <w:t xml:space="preserve"> </w:t>
      </w:r>
    </w:p>
    <w:p w14:paraId="2C42FF75" w14:textId="77777777" w:rsidR="00E83F06" w:rsidRDefault="008679C3" w:rsidP="00E83F06">
      <w:pPr>
        <w:pStyle w:val="BodyText"/>
      </w:pPr>
      <w:r>
        <w:br w:type="page"/>
      </w:r>
      <w:r w:rsidR="003B6060">
        <w:t>T</w:t>
      </w:r>
      <w:r w:rsidR="00E83F06">
        <w:t>he Productivity Commission has been unable to offer:</w:t>
      </w:r>
    </w:p>
    <w:p w14:paraId="214EF2FD" w14:textId="484436EE" w:rsidR="00E83F06" w:rsidRDefault="00E83F06" w:rsidP="008679C3">
      <w:pPr>
        <w:pStyle w:val="ListBullet"/>
      </w:pPr>
      <w:r>
        <w:t>an equitable funding solution across all sectors of education and care services</w:t>
      </w:r>
    </w:p>
    <w:p w14:paraId="6CCC9253" w14:textId="7BFC1675" w:rsidR="00E83F06" w:rsidRDefault="00E83F06" w:rsidP="008679C3">
      <w:pPr>
        <w:pStyle w:val="ListBullet"/>
      </w:pPr>
      <w:r>
        <w:t>an increased parents’ right of choice for their child’s education</w:t>
      </w:r>
    </w:p>
    <w:p w14:paraId="7F165FC0" w14:textId="10F68A15" w:rsidR="00E83F06" w:rsidRDefault="00E83F06" w:rsidP="008679C3">
      <w:pPr>
        <w:pStyle w:val="ListBullet"/>
      </w:pPr>
      <w:r>
        <w:t>financial stability for the overall sector</w:t>
      </w:r>
    </w:p>
    <w:p w14:paraId="186454A5" w14:textId="5D1BF99B" w:rsidR="00E83F06" w:rsidRDefault="00E83F06" w:rsidP="008679C3">
      <w:pPr>
        <w:pStyle w:val="ListBullet"/>
      </w:pPr>
      <w:r>
        <w:t>an affordable and flexible approach for the delivery of early childhood services</w:t>
      </w:r>
    </w:p>
    <w:p w14:paraId="5C0FF636" w14:textId="15438F12" w:rsidR="00E83F06" w:rsidRDefault="00B93B48" w:rsidP="008679C3">
      <w:pPr>
        <w:pStyle w:val="ListBullet"/>
      </w:pPr>
      <w:r>
        <w:t xml:space="preserve">options for </w:t>
      </w:r>
      <w:r w:rsidR="00E83F06">
        <w:t>increase</w:t>
      </w:r>
      <w:r>
        <w:t>d</w:t>
      </w:r>
      <w:r w:rsidR="00E83F06">
        <w:t xml:space="preserve"> and/or support</w:t>
      </w:r>
      <w:r>
        <w:t>ed</w:t>
      </w:r>
      <w:r w:rsidR="00E83F06">
        <w:t xml:space="preserve"> workforce participation</w:t>
      </w:r>
    </w:p>
    <w:p w14:paraId="6B655F44" w14:textId="77777777" w:rsidR="00E83F06" w:rsidRDefault="00E83F06" w:rsidP="00B7385B">
      <w:pPr>
        <w:pStyle w:val="Heading2"/>
        <w:spacing w:before="360"/>
        <w:ind w:left="578" w:hanging="578"/>
      </w:pPr>
      <w:r>
        <w:t>Why and How?</w:t>
      </w:r>
    </w:p>
    <w:p w14:paraId="2B0491E4" w14:textId="5BD45E42" w:rsidR="00E83F06" w:rsidRDefault="00E83F06" w:rsidP="008679C3">
      <w:pPr>
        <w:pStyle w:val="Heading3"/>
      </w:pPr>
      <w:r>
        <w:t>Ramifications for 4</w:t>
      </w:r>
      <w:r w:rsidR="005461A5">
        <w:t xml:space="preserve"> to </w:t>
      </w:r>
      <w:r>
        <w:t>5 Year Old Children:</w:t>
      </w:r>
    </w:p>
    <w:p w14:paraId="695D97BD" w14:textId="7D30F712" w:rsidR="00E83F06" w:rsidRDefault="00E83F06" w:rsidP="00B7385B">
      <w:pPr>
        <w:pStyle w:val="BodyText"/>
        <w:spacing w:before="0" w:after="240"/>
      </w:pPr>
      <w:r>
        <w:t>Dividing the education and care curriculum and funding arrangements into preschool services within long day care and preschool services within designated preschools impacts on the educational outcomes of all children within our nation, increases costs to families and creates a confusing funding arrangement to parents.</w:t>
      </w:r>
      <w:r w:rsidR="00E857B1">
        <w:t xml:space="preserve"> </w:t>
      </w:r>
    </w:p>
    <w:p w14:paraId="46932B8A" w14:textId="5AFF5AAA" w:rsidR="00244F79" w:rsidRDefault="00E83F06" w:rsidP="00B7385B">
      <w:pPr>
        <w:pStyle w:val="BodyText"/>
        <w:spacing w:before="0" w:after="240"/>
      </w:pPr>
      <w:r>
        <w:t>Currently</w:t>
      </w:r>
      <w:r w:rsidR="00746685">
        <w:t xml:space="preserve">, as registered providers, </w:t>
      </w:r>
      <w:r>
        <w:t xml:space="preserve">our dedicated preschool services within the </w:t>
      </w:r>
      <w:proofErr w:type="spellStart"/>
      <w:r>
        <w:t>CEDP</w:t>
      </w:r>
      <w:proofErr w:type="spellEnd"/>
      <w:r>
        <w:t xml:space="preserve"> </w:t>
      </w:r>
      <w:r w:rsidR="007B5651">
        <w:t>enable</w:t>
      </w:r>
      <w:r>
        <w:t xml:space="preserve"> parents to access the Child Care Benefit.</w:t>
      </w:r>
      <w:r w:rsidR="00E857B1">
        <w:t xml:space="preserve"> </w:t>
      </w:r>
      <w:r w:rsidR="00244F79">
        <w:t xml:space="preserve">Parents that choose a dedicated preschool education and care service for their child will not be eligible to access the new </w:t>
      </w:r>
      <w:proofErr w:type="spellStart"/>
      <w:r w:rsidR="00244F79">
        <w:t>ECLS</w:t>
      </w:r>
      <w:proofErr w:type="spellEnd"/>
      <w:r w:rsidR="00244F79">
        <w:t xml:space="preserve"> Subsidy under the proposed recommendations.</w:t>
      </w:r>
      <w:r w:rsidR="00E857B1">
        <w:t xml:space="preserve"> </w:t>
      </w:r>
    </w:p>
    <w:p w14:paraId="16FA2CF8" w14:textId="77777777" w:rsidR="00E83F06" w:rsidRDefault="00244F79" w:rsidP="00B7385B">
      <w:pPr>
        <w:pStyle w:val="BodyText"/>
        <w:spacing w:before="0" w:after="240"/>
      </w:pPr>
      <w:r>
        <w:t>R</w:t>
      </w:r>
      <w:r w:rsidR="00E83F06">
        <w:t>emov</w:t>
      </w:r>
      <w:r>
        <w:t>ing</w:t>
      </w:r>
      <w:r w:rsidR="00E83F06">
        <w:t xml:space="preserve"> the Individual Registered Carers category </w:t>
      </w:r>
      <w:r>
        <w:t xml:space="preserve">and excluding all preschool services </w:t>
      </w:r>
      <w:r w:rsidR="00E83F06">
        <w:t xml:space="preserve">from </w:t>
      </w:r>
      <w:r>
        <w:t xml:space="preserve">accessing </w:t>
      </w:r>
      <w:proofErr w:type="spellStart"/>
      <w:r>
        <w:t>ECLS</w:t>
      </w:r>
      <w:proofErr w:type="spellEnd"/>
      <w:r>
        <w:t xml:space="preserve"> </w:t>
      </w:r>
      <w:r w:rsidR="00E83F06">
        <w:t>will disadvantage our families and impact on the affordability and flexibility of education and care services.</w:t>
      </w:r>
    </w:p>
    <w:p w14:paraId="169BE5C9" w14:textId="1146030D" w:rsidR="00E83F06" w:rsidRDefault="00E83F06" w:rsidP="008679C3">
      <w:pPr>
        <w:pStyle w:val="Heading3"/>
      </w:pPr>
      <w:r>
        <w:t xml:space="preserve">Ramifications for </w:t>
      </w:r>
      <w:r w:rsidR="005461A5">
        <w:t>3 year old</w:t>
      </w:r>
      <w:r>
        <w:t>s</w:t>
      </w:r>
    </w:p>
    <w:p w14:paraId="75CB12A1" w14:textId="39E338B2" w:rsidR="00640F10" w:rsidRDefault="00640F10" w:rsidP="00640F10">
      <w:pPr>
        <w:pStyle w:val="BodyText"/>
        <w:spacing w:before="0" w:after="240"/>
      </w:pPr>
      <w:r>
        <w:t>The Productivity Commission’s recommendations appear to funnel families into Long Day Care services.</w:t>
      </w:r>
      <w:r w:rsidR="00E857B1">
        <w:t xml:space="preserve"> </w:t>
      </w:r>
      <w:r>
        <w:t xml:space="preserve">This will limit the availability of places for education and care, placing </w:t>
      </w:r>
      <w:r w:rsidR="005461A5">
        <w:t>further pressure on a highly strained sector.</w:t>
      </w:r>
    </w:p>
    <w:p w14:paraId="0A9696B0" w14:textId="77777777" w:rsidR="00640F10" w:rsidRDefault="00640F10" w:rsidP="00640F10">
      <w:pPr>
        <w:pStyle w:val="BodyText"/>
        <w:spacing w:before="0" w:after="240"/>
      </w:pPr>
      <w:r>
        <w:t>Families will experience unacceptabl</w:t>
      </w:r>
      <w:r w:rsidR="00E76501">
        <w:t>y</w:t>
      </w:r>
      <w:r>
        <w:t xml:space="preserve"> long waiting periods for positions and this will have a negative impact on increasing and supporting workforce participation. </w:t>
      </w:r>
    </w:p>
    <w:p w14:paraId="4E1F9C81" w14:textId="5D02D510" w:rsidR="00E83F06" w:rsidRDefault="00E83F06" w:rsidP="00B7385B">
      <w:pPr>
        <w:pStyle w:val="BodyText"/>
        <w:spacing w:before="240" w:after="240"/>
      </w:pPr>
      <w:r>
        <w:t xml:space="preserve">It is recognised that formal childcare services in Australia educate and care for more than half of Australia’s </w:t>
      </w:r>
      <w:r w:rsidR="005461A5">
        <w:t>3 year old</w:t>
      </w:r>
      <w:r>
        <w:t xml:space="preserve"> children due to work force </w:t>
      </w:r>
      <w:r w:rsidR="003C54D8">
        <w:t>commitments</w:t>
      </w:r>
      <w:r>
        <w:t xml:space="preserve">. (PwC, 2011). Within our preschool services </w:t>
      </w:r>
      <w:r w:rsidR="003C54D8">
        <w:t>there is correlation between children’s attendance patterns and parents’ employment.</w:t>
      </w:r>
      <w:r>
        <w:t xml:space="preserve"> </w:t>
      </w:r>
    </w:p>
    <w:p w14:paraId="2DC3CE0A" w14:textId="66B1FF61" w:rsidR="00E83F06" w:rsidRDefault="00EA2F36" w:rsidP="00B7385B">
      <w:pPr>
        <w:pStyle w:val="BodyText"/>
        <w:spacing w:before="0" w:after="240"/>
      </w:pPr>
      <w:r>
        <w:t>T</w:t>
      </w:r>
      <w:r w:rsidR="00E83F06">
        <w:t>he Productivity Commission</w:t>
      </w:r>
      <w:r>
        <w:t>’</w:t>
      </w:r>
      <w:r w:rsidR="00E83F06">
        <w:t xml:space="preserve">s recommendations to </w:t>
      </w:r>
      <w:r>
        <w:t xml:space="preserve">limit </w:t>
      </w:r>
      <w:r w:rsidR="00E76501">
        <w:t xml:space="preserve">the </w:t>
      </w:r>
      <w:r>
        <w:t xml:space="preserve">funding to </w:t>
      </w:r>
      <w:r w:rsidR="00E76501">
        <w:t>certain categories of</w:t>
      </w:r>
      <w:r w:rsidR="00E857B1">
        <w:t xml:space="preserve"> </w:t>
      </w:r>
      <w:r w:rsidR="005461A5">
        <w:t>3 year old</w:t>
      </w:r>
      <w:r w:rsidR="00E83F06">
        <w:t xml:space="preserve"> children within the preschool sector will </w:t>
      </w:r>
      <w:r>
        <w:t>not only</w:t>
      </w:r>
      <w:r w:rsidR="00E83F06">
        <w:t xml:space="preserve"> impact on </w:t>
      </w:r>
      <w:r>
        <w:t xml:space="preserve">workforce participation but will also affect </w:t>
      </w:r>
      <w:r w:rsidR="00E83F06">
        <w:t xml:space="preserve">the affordability, flexibility and provision of high quality education for </w:t>
      </w:r>
      <w:r>
        <w:t>families</w:t>
      </w:r>
      <w:r w:rsidR="00E83F06">
        <w:t>.</w:t>
      </w:r>
      <w:r w:rsidR="00E857B1">
        <w:t xml:space="preserve"> </w:t>
      </w:r>
      <w:r>
        <w:t>This will significantly impact on f</w:t>
      </w:r>
      <w:r w:rsidR="00E83F06">
        <w:t xml:space="preserve">amilies in low </w:t>
      </w:r>
      <w:proofErr w:type="spellStart"/>
      <w:r w:rsidR="00E83F06">
        <w:t>SEIFA</w:t>
      </w:r>
      <w:proofErr w:type="spellEnd"/>
      <w:r w:rsidR="00E83F06">
        <w:t xml:space="preserve"> bands </w:t>
      </w:r>
      <w:r>
        <w:t xml:space="preserve">who </w:t>
      </w:r>
      <w:r w:rsidR="00E83F06">
        <w:t xml:space="preserve">are no longer able to afford preschool education for their </w:t>
      </w:r>
      <w:r w:rsidR="005461A5">
        <w:t>3 year old</w:t>
      </w:r>
      <w:r w:rsidR="00E83F06">
        <w:t xml:space="preserve"> children. </w:t>
      </w:r>
    </w:p>
    <w:p w14:paraId="4BC432EB" w14:textId="559F20C0" w:rsidR="00BA73CA" w:rsidRDefault="00E83F06" w:rsidP="00B7385B">
      <w:pPr>
        <w:pStyle w:val="BodyText"/>
        <w:spacing w:before="0" w:after="240"/>
      </w:pPr>
      <w:r>
        <w:t xml:space="preserve">The lack of adequate Australian </w:t>
      </w:r>
      <w:r w:rsidR="00E76501">
        <w:t>G</w:t>
      </w:r>
      <w:r>
        <w:t xml:space="preserve">overnment </w:t>
      </w:r>
      <w:r w:rsidR="00EA2F36">
        <w:t xml:space="preserve">recognition of the association between workforce participation and early education also </w:t>
      </w:r>
      <w:r>
        <w:t xml:space="preserve">fails to </w:t>
      </w:r>
      <w:r w:rsidR="00EA2F36">
        <w:t>support families with</w:t>
      </w:r>
      <w:r w:rsidR="00EA2F36" w:rsidRPr="00EA2F36">
        <w:t xml:space="preserve"> </w:t>
      </w:r>
      <w:r w:rsidR="00BA73CA">
        <w:t xml:space="preserve">competing demands such as </w:t>
      </w:r>
      <w:r w:rsidR="00EA2F36">
        <w:t xml:space="preserve">juggling multiple drop offs for their children. It is critical to families that their </w:t>
      </w:r>
      <w:r w:rsidR="005461A5">
        <w:t>3 year old</w:t>
      </w:r>
      <w:r w:rsidR="00EA2F36">
        <w:t xml:space="preserve"> children form and maintain</w:t>
      </w:r>
      <w:r>
        <w:t xml:space="preserve"> attachment</w:t>
      </w:r>
      <w:r w:rsidR="00EA2F36">
        <w:t>s</w:t>
      </w:r>
      <w:r>
        <w:t xml:space="preserve"> to their 4 and 5 year old siblings enrolled </w:t>
      </w:r>
      <w:r w:rsidR="00BA73CA">
        <w:t>within the school precinct</w:t>
      </w:r>
      <w:r w:rsidR="00EA2F36">
        <w:t>.</w:t>
      </w:r>
    </w:p>
    <w:p w14:paraId="40E240AE" w14:textId="54B850E6" w:rsidR="00DD25D4" w:rsidRDefault="00BA73CA" w:rsidP="00CC25EF">
      <w:pPr>
        <w:pStyle w:val="BodyText"/>
        <w:spacing w:before="0" w:after="240"/>
      </w:pPr>
      <w:proofErr w:type="spellStart"/>
      <w:r>
        <w:t>CEDP</w:t>
      </w:r>
      <w:proofErr w:type="spellEnd"/>
      <w:r>
        <w:t xml:space="preserve"> urges the Productivity Commission to reinstate Government funding to all </w:t>
      </w:r>
      <w:r w:rsidR="005461A5">
        <w:t>3 year old</w:t>
      </w:r>
      <w:r>
        <w:t xml:space="preserve"> children enrolled in dedicated preschool services.</w:t>
      </w:r>
    </w:p>
    <w:p w14:paraId="42D82ED9" w14:textId="77777777" w:rsidR="00E83F06" w:rsidRDefault="00E83F06" w:rsidP="008679C3">
      <w:pPr>
        <w:pStyle w:val="Heading3"/>
      </w:pPr>
      <w:r>
        <w:t>Dedicated Preschools - Funding</w:t>
      </w:r>
    </w:p>
    <w:p w14:paraId="7A8A1A4A" w14:textId="77777777" w:rsidR="00E83F06" w:rsidRDefault="00E83F06" w:rsidP="00B7385B">
      <w:pPr>
        <w:pStyle w:val="BodyText"/>
        <w:spacing w:before="0" w:after="240"/>
      </w:pPr>
      <w:r>
        <w:t xml:space="preserve">The current Universal Access funding arrangement has imposed an unstable financial prospect </w:t>
      </w:r>
      <w:r w:rsidR="00E76501">
        <w:t>on</w:t>
      </w:r>
      <w:r>
        <w:t xml:space="preserve"> the preschool sector. Without </w:t>
      </w:r>
      <w:r w:rsidR="00E76501">
        <w:t xml:space="preserve">secure </w:t>
      </w:r>
      <w:r>
        <w:t xml:space="preserve">government funding arrangements for preschool services, </w:t>
      </w:r>
      <w:proofErr w:type="spellStart"/>
      <w:r>
        <w:t>CEDP</w:t>
      </w:r>
      <w:proofErr w:type="spellEnd"/>
      <w:r>
        <w:t xml:space="preserve"> </w:t>
      </w:r>
      <w:r w:rsidR="00EF6A36">
        <w:t xml:space="preserve">preschools </w:t>
      </w:r>
      <w:r>
        <w:t>will no longer be financially viable.</w:t>
      </w:r>
    </w:p>
    <w:p w14:paraId="1F1F7276" w14:textId="77777777" w:rsidR="00E83F06" w:rsidRDefault="00E83F06" w:rsidP="00B7385B">
      <w:pPr>
        <w:pStyle w:val="BodyText"/>
        <w:spacing w:before="0" w:after="240"/>
      </w:pPr>
      <w:r>
        <w:t>Funding certainty for the Early Childhood Education</w:t>
      </w:r>
      <w:r w:rsidR="00EF6A36">
        <w:t xml:space="preserve"> and Care</w:t>
      </w:r>
      <w:r>
        <w:t xml:space="preserve"> sector is required over longer periods of time. Short-term cycles prohibit longer term planning particularly with the demographic shifts in fast growing areas such as Western Sydney. </w:t>
      </w:r>
    </w:p>
    <w:p w14:paraId="1476C9CC" w14:textId="77777777" w:rsidR="00E83F06" w:rsidRDefault="00E83F06" w:rsidP="00B7385B">
      <w:pPr>
        <w:pStyle w:val="BodyText"/>
        <w:spacing w:before="0" w:after="240"/>
      </w:pPr>
      <w:proofErr w:type="spellStart"/>
      <w:r>
        <w:t>CEDP</w:t>
      </w:r>
      <w:proofErr w:type="spellEnd"/>
      <w:r>
        <w:t xml:space="preserve"> operates a system of Early Childhood Education and Care services as a block funded arrangement. This arrangement is critical as </w:t>
      </w:r>
      <w:proofErr w:type="spellStart"/>
      <w:r>
        <w:t>CEDP</w:t>
      </w:r>
      <w:proofErr w:type="spellEnd"/>
      <w:r>
        <w:t xml:space="preserve"> is able to respond to the localised needs of our families. </w:t>
      </w:r>
      <w:proofErr w:type="spellStart"/>
      <w:r>
        <w:t>CEDP</w:t>
      </w:r>
      <w:proofErr w:type="spellEnd"/>
      <w:r>
        <w:t xml:space="preserve"> removes the administrative and financial burden from the Early Childhood services by applying economies of scale and keeping fees at affordable levels to families.</w:t>
      </w:r>
    </w:p>
    <w:p w14:paraId="2C28620A" w14:textId="77777777" w:rsidR="00E83F06" w:rsidRDefault="00E83F06" w:rsidP="008679C3">
      <w:pPr>
        <w:pStyle w:val="Heading3"/>
      </w:pPr>
      <w:r>
        <w:t>Dedicated Preschools - Financial Models</w:t>
      </w:r>
    </w:p>
    <w:p w14:paraId="2445E5B0" w14:textId="77777777" w:rsidR="00E83F06" w:rsidRDefault="00E83F06" w:rsidP="00E83F06">
      <w:pPr>
        <w:pStyle w:val="BodyText"/>
      </w:pPr>
      <w:r>
        <w:t xml:space="preserve">For the benefit of the Productivity Commission, </w:t>
      </w:r>
      <w:proofErr w:type="spellStart"/>
      <w:r>
        <w:t>CEDP</w:t>
      </w:r>
      <w:proofErr w:type="spellEnd"/>
      <w:r>
        <w:t xml:space="preserve"> has provided a number of financial models for dedicated preschools with actual calculations of the cost to families under the previous, current, proposed and preferred funding models.</w:t>
      </w:r>
    </w:p>
    <w:p w14:paraId="2889526D" w14:textId="77777777" w:rsidR="006E1844" w:rsidRDefault="006E1844" w:rsidP="00E83F06">
      <w:pPr>
        <w:pStyle w:val="BodyText"/>
      </w:pPr>
    </w:p>
    <w:p w14:paraId="372BEFFF" w14:textId="77777777" w:rsidR="006E1844" w:rsidRDefault="006E1844" w:rsidP="00E83F06">
      <w:pPr>
        <w:pStyle w:val="BodyText"/>
        <w:rPr>
          <w:b/>
        </w:rPr>
      </w:pPr>
      <w:r w:rsidRPr="006E1844">
        <w:rPr>
          <w:b/>
        </w:rPr>
        <w:t>Financial Model A</w:t>
      </w:r>
    </w:p>
    <w:p w14:paraId="2BA2DFA8" w14:textId="77777777" w:rsidR="005E3A8A" w:rsidRDefault="005E3A8A" w:rsidP="00E83F06">
      <w:pPr>
        <w:pStyle w:val="BodyText"/>
        <w:rPr>
          <w:b/>
          <w:i/>
        </w:rPr>
      </w:pPr>
    </w:p>
    <w:p w14:paraId="226AF797" w14:textId="47A3822D" w:rsidR="00E83F06" w:rsidRPr="00B7385B" w:rsidRDefault="00E83F06" w:rsidP="00E83F06">
      <w:pPr>
        <w:pStyle w:val="BodyText"/>
        <w:rPr>
          <w:b/>
          <w:i/>
        </w:rPr>
      </w:pPr>
      <w:proofErr w:type="spellStart"/>
      <w:r w:rsidRPr="00B7385B">
        <w:rPr>
          <w:b/>
          <w:i/>
        </w:rPr>
        <w:t>CEDP’s</w:t>
      </w:r>
      <w:proofErr w:type="spellEnd"/>
      <w:r w:rsidRPr="00B7385B">
        <w:rPr>
          <w:b/>
          <w:i/>
        </w:rPr>
        <w:t xml:space="preserve"> previous financial model for dedicated preschools </w:t>
      </w:r>
      <w:r w:rsidR="005461A5">
        <w:rPr>
          <w:b/>
          <w:i/>
        </w:rPr>
        <w:t xml:space="preserve">3 to 5 </w:t>
      </w:r>
      <w:r w:rsidRPr="00B7385B">
        <w:rPr>
          <w:b/>
          <w:i/>
        </w:rPr>
        <w:t xml:space="preserve">year old children prior to the introduction of new Universal Access </w:t>
      </w:r>
      <w:r w:rsidR="006E1844" w:rsidRPr="00B7385B">
        <w:rPr>
          <w:b/>
          <w:i/>
        </w:rPr>
        <w:t xml:space="preserve">2013 </w:t>
      </w:r>
      <w:r w:rsidRPr="00B7385B">
        <w:rPr>
          <w:b/>
          <w:i/>
        </w:rPr>
        <w:t xml:space="preserve">Funding </w:t>
      </w:r>
      <w:r w:rsidR="006E1844" w:rsidRPr="00B7385B">
        <w:rPr>
          <w:b/>
          <w:i/>
        </w:rPr>
        <w:t>Agreement.</w:t>
      </w:r>
    </w:p>
    <w:p w14:paraId="7CA9213C" w14:textId="77777777" w:rsidR="006E1844" w:rsidRDefault="006E1844" w:rsidP="00E83F06">
      <w:pPr>
        <w:pStyle w:val="BodyText"/>
      </w:pPr>
    </w:p>
    <w:tbl>
      <w:tblPr>
        <w:tblW w:w="9155" w:type="dxa"/>
        <w:tblInd w:w="108" w:type="dxa"/>
        <w:tblLook w:val="04A0" w:firstRow="1" w:lastRow="0" w:firstColumn="1" w:lastColumn="0" w:noHBand="0" w:noVBand="1"/>
      </w:tblPr>
      <w:tblGrid>
        <w:gridCol w:w="4148"/>
        <w:gridCol w:w="1606"/>
        <w:gridCol w:w="1066"/>
        <w:gridCol w:w="1066"/>
        <w:gridCol w:w="362"/>
        <w:gridCol w:w="907"/>
      </w:tblGrid>
      <w:tr w:rsidR="005461A5" w14:paraId="5A402408" w14:textId="77777777" w:rsidTr="009177F8">
        <w:trPr>
          <w:trHeight w:val="225"/>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02A3" w14:textId="77777777" w:rsidR="006E1844" w:rsidRDefault="006E1844">
            <w:pPr>
              <w:rPr>
                <w:rFonts w:ascii="Arial" w:hAnsi="Arial" w:cs="Arial"/>
                <w:sz w:val="20"/>
                <w:szCs w:val="20"/>
              </w:rPr>
            </w:pPr>
            <w:r>
              <w:rPr>
                <w:rFonts w:ascii="Arial" w:hAnsi="Arial" w:cs="Arial"/>
                <w:sz w:val="20"/>
                <w:szCs w:val="20"/>
              </w:rPr>
              <w:t>Number of Centres</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14:paraId="140B338F" w14:textId="77777777" w:rsidR="006E1844" w:rsidRDefault="006E1844">
            <w:pPr>
              <w:jc w:val="right"/>
              <w:rPr>
                <w:rFonts w:ascii="Arial" w:hAnsi="Arial" w:cs="Arial"/>
                <w:sz w:val="20"/>
                <w:szCs w:val="20"/>
              </w:rPr>
            </w:pPr>
            <w:r>
              <w:rPr>
                <w:rFonts w:ascii="Arial" w:hAnsi="Arial" w:cs="Arial"/>
                <w:sz w:val="20"/>
                <w:szCs w:val="20"/>
              </w:rPr>
              <w:t>4</w:t>
            </w:r>
          </w:p>
        </w:tc>
        <w:tc>
          <w:tcPr>
            <w:tcW w:w="1066" w:type="dxa"/>
            <w:tcBorders>
              <w:top w:val="nil"/>
              <w:left w:val="nil"/>
              <w:bottom w:val="nil"/>
              <w:right w:val="nil"/>
            </w:tcBorders>
            <w:shd w:val="clear" w:color="auto" w:fill="auto"/>
            <w:noWrap/>
            <w:vAlign w:val="bottom"/>
            <w:hideMark/>
          </w:tcPr>
          <w:p w14:paraId="0CC5B0AC"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1717610C"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76F2C36D" w14:textId="77777777" w:rsidR="006E1844" w:rsidRDefault="006E1844">
            <w:pPr>
              <w:rPr>
                <w:sz w:val="20"/>
                <w:szCs w:val="20"/>
              </w:rPr>
            </w:pPr>
          </w:p>
        </w:tc>
      </w:tr>
      <w:tr w:rsidR="005461A5" w14:paraId="134FAC02"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69B3356C" w14:textId="77777777" w:rsidR="006E1844" w:rsidRDefault="006E1844">
            <w:pPr>
              <w:rPr>
                <w:rFonts w:ascii="Arial" w:hAnsi="Arial" w:cs="Arial"/>
                <w:sz w:val="20"/>
                <w:szCs w:val="20"/>
              </w:rPr>
            </w:pPr>
            <w:r>
              <w:rPr>
                <w:rFonts w:ascii="Arial" w:hAnsi="Arial" w:cs="Arial"/>
                <w:sz w:val="20"/>
                <w:szCs w:val="20"/>
              </w:rPr>
              <w:t>Licensed Places/Day</w:t>
            </w:r>
          </w:p>
        </w:tc>
        <w:tc>
          <w:tcPr>
            <w:tcW w:w="1606" w:type="dxa"/>
            <w:tcBorders>
              <w:top w:val="nil"/>
              <w:left w:val="nil"/>
              <w:bottom w:val="single" w:sz="4" w:space="0" w:color="auto"/>
              <w:right w:val="single" w:sz="4" w:space="0" w:color="auto"/>
            </w:tcBorders>
            <w:shd w:val="clear" w:color="auto" w:fill="auto"/>
            <w:noWrap/>
            <w:vAlign w:val="bottom"/>
            <w:hideMark/>
          </w:tcPr>
          <w:p w14:paraId="1B156D5E" w14:textId="77777777" w:rsidR="006E1844" w:rsidRDefault="006E1844">
            <w:pPr>
              <w:jc w:val="right"/>
              <w:rPr>
                <w:rFonts w:ascii="Arial" w:hAnsi="Arial" w:cs="Arial"/>
                <w:sz w:val="20"/>
                <w:szCs w:val="20"/>
              </w:rPr>
            </w:pPr>
            <w:r>
              <w:rPr>
                <w:rFonts w:ascii="Arial" w:hAnsi="Arial" w:cs="Arial"/>
                <w:sz w:val="20"/>
                <w:szCs w:val="20"/>
              </w:rPr>
              <w:t>142</w:t>
            </w:r>
          </w:p>
        </w:tc>
        <w:tc>
          <w:tcPr>
            <w:tcW w:w="1066" w:type="dxa"/>
            <w:tcBorders>
              <w:top w:val="nil"/>
              <w:left w:val="nil"/>
              <w:bottom w:val="nil"/>
              <w:right w:val="nil"/>
            </w:tcBorders>
            <w:shd w:val="clear" w:color="auto" w:fill="auto"/>
            <w:noWrap/>
            <w:vAlign w:val="bottom"/>
            <w:hideMark/>
          </w:tcPr>
          <w:p w14:paraId="20116FAA"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57F58F4B"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0287157A" w14:textId="77777777" w:rsidR="006E1844" w:rsidRDefault="006E1844">
            <w:pPr>
              <w:rPr>
                <w:sz w:val="20"/>
                <w:szCs w:val="20"/>
              </w:rPr>
            </w:pPr>
          </w:p>
        </w:tc>
      </w:tr>
      <w:tr w:rsidR="005461A5" w14:paraId="539E0E01"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72869587" w14:textId="77777777" w:rsidR="006E1844" w:rsidRDefault="006E1844">
            <w:pPr>
              <w:rPr>
                <w:rFonts w:ascii="Arial" w:hAnsi="Arial" w:cs="Arial"/>
                <w:sz w:val="20"/>
                <w:szCs w:val="20"/>
              </w:rPr>
            </w:pPr>
            <w:r>
              <w:rPr>
                <w:rFonts w:ascii="Arial" w:hAnsi="Arial" w:cs="Arial"/>
                <w:sz w:val="20"/>
                <w:szCs w:val="20"/>
              </w:rPr>
              <w:t>Maximum Funded Places</w:t>
            </w:r>
          </w:p>
        </w:tc>
        <w:tc>
          <w:tcPr>
            <w:tcW w:w="1606" w:type="dxa"/>
            <w:tcBorders>
              <w:top w:val="nil"/>
              <w:left w:val="nil"/>
              <w:bottom w:val="single" w:sz="4" w:space="0" w:color="auto"/>
              <w:right w:val="single" w:sz="4" w:space="0" w:color="auto"/>
            </w:tcBorders>
            <w:shd w:val="clear" w:color="auto" w:fill="auto"/>
            <w:noWrap/>
            <w:vAlign w:val="bottom"/>
            <w:hideMark/>
          </w:tcPr>
          <w:p w14:paraId="302353DB" w14:textId="77777777" w:rsidR="006E1844" w:rsidRDefault="006E1844">
            <w:pPr>
              <w:jc w:val="right"/>
              <w:rPr>
                <w:rFonts w:ascii="Arial" w:hAnsi="Arial" w:cs="Arial"/>
                <w:sz w:val="20"/>
                <w:szCs w:val="20"/>
              </w:rPr>
            </w:pPr>
            <w:r>
              <w:rPr>
                <w:rFonts w:ascii="Arial" w:hAnsi="Arial" w:cs="Arial"/>
                <w:sz w:val="20"/>
                <w:szCs w:val="20"/>
              </w:rPr>
              <w:t>284</w:t>
            </w:r>
          </w:p>
        </w:tc>
        <w:tc>
          <w:tcPr>
            <w:tcW w:w="1066" w:type="dxa"/>
            <w:tcBorders>
              <w:top w:val="nil"/>
              <w:left w:val="nil"/>
              <w:bottom w:val="nil"/>
              <w:right w:val="nil"/>
            </w:tcBorders>
            <w:shd w:val="clear" w:color="auto" w:fill="auto"/>
            <w:noWrap/>
            <w:vAlign w:val="bottom"/>
            <w:hideMark/>
          </w:tcPr>
          <w:p w14:paraId="5654BD1E"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0BE80975"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5FBF9403" w14:textId="77777777" w:rsidR="006E1844" w:rsidRDefault="006E1844">
            <w:pPr>
              <w:rPr>
                <w:sz w:val="20"/>
                <w:szCs w:val="20"/>
              </w:rPr>
            </w:pPr>
          </w:p>
        </w:tc>
      </w:tr>
      <w:tr w:rsidR="005461A5" w14:paraId="7E1969DE"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718C312C" w14:textId="77777777" w:rsidR="006E1844" w:rsidRDefault="006E1844">
            <w:pPr>
              <w:rPr>
                <w:rFonts w:ascii="Arial" w:hAnsi="Arial" w:cs="Arial"/>
                <w:sz w:val="20"/>
                <w:szCs w:val="20"/>
              </w:rPr>
            </w:pPr>
            <w:r>
              <w:rPr>
                <w:rFonts w:ascii="Arial" w:hAnsi="Arial" w:cs="Arial"/>
                <w:sz w:val="20"/>
                <w:szCs w:val="20"/>
              </w:rPr>
              <w:t>Funded Positions August 2013 Census</w:t>
            </w:r>
          </w:p>
        </w:tc>
        <w:tc>
          <w:tcPr>
            <w:tcW w:w="1606" w:type="dxa"/>
            <w:tcBorders>
              <w:top w:val="nil"/>
              <w:left w:val="nil"/>
              <w:bottom w:val="single" w:sz="4" w:space="0" w:color="auto"/>
              <w:right w:val="single" w:sz="4" w:space="0" w:color="auto"/>
            </w:tcBorders>
            <w:shd w:val="clear" w:color="auto" w:fill="auto"/>
            <w:noWrap/>
            <w:vAlign w:val="bottom"/>
            <w:hideMark/>
          </w:tcPr>
          <w:p w14:paraId="2A476C02" w14:textId="77777777" w:rsidR="006E1844" w:rsidRDefault="006E1844">
            <w:pPr>
              <w:jc w:val="right"/>
              <w:rPr>
                <w:rFonts w:ascii="Arial" w:hAnsi="Arial" w:cs="Arial"/>
                <w:sz w:val="20"/>
                <w:szCs w:val="20"/>
              </w:rPr>
            </w:pPr>
            <w:r>
              <w:rPr>
                <w:rFonts w:ascii="Arial" w:hAnsi="Arial" w:cs="Arial"/>
                <w:sz w:val="20"/>
                <w:szCs w:val="20"/>
              </w:rPr>
              <w:t>284</w:t>
            </w:r>
          </w:p>
        </w:tc>
        <w:tc>
          <w:tcPr>
            <w:tcW w:w="1066" w:type="dxa"/>
            <w:tcBorders>
              <w:top w:val="nil"/>
              <w:left w:val="nil"/>
              <w:bottom w:val="nil"/>
              <w:right w:val="nil"/>
            </w:tcBorders>
            <w:shd w:val="clear" w:color="auto" w:fill="auto"/>
            <w:noWrap/>
            <w:vAlign w:val="bottom"/>
            <w:hideMark/>
          </w:tcPr>
          <w:p w14:paraId="1107487E"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5F74D35A"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1FDD0BC6" w14:textId="77777777" w:rsidR="006E1844" w:rsidRDefault="006E1844">
            <w:pPr>
              <w:rPr>
                <w:sz w:val="20"/>
                <w:szCs w:val="20"/>
              </w:rPr>
            </w:pPr>
          </w:p>
        </w:tc>
      </w:tr>
      <w:tr w:rsidR="005461A5" w14:paraId="779E4355"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2FFF59AB" w14:textId="77777777" w:rsidR="006E1844" w:rsidRDefault="006E1844">
            <w:pPr>
              <w:rPr>
                <w:rFonts w:ascii="Arial" w:hAnsi="Arial" w:cs="Arial"/>
                <w:sz w:val="20"/>
                <w:szCs w:val="20"/>
              </w:rPr>
            </w:pPr>
            <w:r>
              <w:rPr>
                <w:rFonts w:ascii="Arial" w:hAnsi="Arial" w:cs="Arial"/>
                <w:sz w:val="20"/>
                <w:szCs w:val="20"/>
              </w:rPr>
              <w:t>Children Attending August 2013 Census</w:t>
            </w:r>
          </w:p>
        </w:tc>
        <w:tc>
          <w:tcPr>
            <w:tcW w:w="1606" w:type="dxa"/>
            <w:tcBorders>
              <w:top w:val="nil"/>
              <w:left w:val="nil"/>
              <w:bottom w:val="single" w:sz="4" w:space="0" w:color="auto"/>
              <w:right w:val="single" w:sz="4" w:space="0" w:color="auto"/>
            </w:tcBorders>
            <w:shd w:val="clear" w:color="auto" w:fill="auto"/>
            <w:noWrap/>
            <w:vAlign w:val="bottom"/>
            <w:hideMark/>
          </w:tcPr>
          <w:p w14:paraId="721FBDE0" w14:textId="77777777" w:rsidR="006E1844" w:rsidRDefault="006E1844">
            <w:pPr>
              <w:jc w:val="right"/>
              <w:rPr>
                <w:rFonts w:ascii="Arial" w:hAnsi="Arial" w:cs="Arial"/>
                <w:sz w:val="20"/>
                <w:szCs w:val="20"/>
              </w:rPr>
            </w:pPr>
            <w:r>
              <w:rPr>
                <w:rFonts w:ascii="Arial" w:hAnsi="Arial" w:cs="Arial"/>
                <w:sz w:val="20"/>
                <w:szCs w:val="20"/>
              </w:rPr>
              <w:t>313</w:t>
            </w:r>
          </w:p>
        </w:tc>
        <w:tc>
          <w:tcPr>
            <w:tcW w:w="1066" w:type="dxa"/>
            <w:tcBorders>
              <w:top w:val="nil"/>
              <w:left w:val="nil"/>
              <w:bottom w:val="nil"/>
              <w:right w:val="nil"/>
            </w:tcBorders>
            <w:shd w:val="clear" w:color="auto" w:fill="auto"/>
            <w:noWrap/>
            <w:vAlign w:val="bottom"/>
            <w:hideMark/>
          </w:tcPr>
          <w:p w14:paraId="46C42286"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6D6D5B19"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174CC7EB" w14:textId="77777777" w:rsidR="006E1844" w:rsidRDefault="006E1844">
            <w:pPr>
              <w:rPr>
                <w:sz w:val="20"/>
                <w:szCs w:val="20"/>
              </w:rPr>
            </w:pPr>
          </w:p>
        </w:tc>
      </w:tr>
      <w:tr w:rsidR="005461A5" w14:paraId="670EDD59"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0D8A003B" w14:textId="77777777" w:rsidR="006E1844" w:rsidRDefault="006E1844">
            <w:pPr>
              <w:rPr>
                <w:rFonts w:ascii="Arial" w:hAnsi="Arial" w:cs="Arial"/>
                <w:sz w:val="20"/>
                <w:szCs w:val="20"/>
              </w:rPr>
            </w:pPr>
            <w:r>
              <w:rPr>
                <w:rFonts w:ascii="Arial" w:hAnsi="Arial" w:cs="Arial"/>
                <w:sz w:val="20"/>
                <w:szCs w:val="20"/>
              </w:rPr>
              <w:t>NSW Government Funding</w:t>
            </w:r>
          </w:p>
        </w:tc>
        <w:tc>
          <w:tcPr>
            <w:tcW w:w="1606" w:type="dxa"/>
            <w:tcBorders>
              <w:top w:val="nil"/>
              <w:left w:val="nil"/>
              <w:bottom w:val="single" w:sz="4" w:space="0" w:color="auto"/>
              <w:right w:val="single" w:sz="4" w:space="0" w:color="auto"/>
            </w:tcBorders>
            <w:shd w:val="clear" w:color="auto" w:fill="auto"/>
            <w:noWrap/>
            <w:vAlign w:val="bottom"/>
            <w:hideMark/>
          </w:tcPr>
          <w:p w14:paraId="02377DBA" w14:textId="77777777" w:rsidR="006E1844" w:rsidRDefault="006E1844">
            <w:pPr>
              <w:jc w:val="right"/>
              <w:rPr>
                <w:rFonts w:ascii="Arial" w:hAnsi="Arial" w:cs="Arial"/>
                <w:sz w:val="20"/>
                <w:szCs w:val="20"/>
              </w:rPr>
            </w:pPr>
            <w:r>
              <w:rPr>
                <w:rFonts w:ascii="Arial" w:hAnsi="Arial" w:cs="Arial"/>
                <w:sz w:val="20"/>
                <w:szCs w:val="20"/>
              </w:rPr>
              <w:t>$723,764</w:t>
            </w:r>
          </w:p>
        </w:tc>
        <w:tc>
          <w:tcPr>
            <w:tcW w:w="1066" w:type="dxa"/>
            <w:tcBorders>
              <w:top w:val="nil"/>
              <w:left w:val="nil"/>
              <w:bottom w:val="nil"/>
              <w:right w:val="nil"/>
            </w:tcBorders>
            <w:shd w:val="clear" w:color="auto" w:fill="auto"/>
            <w:noWrap/>
            <w:vAlign w:val="bottom"/>
            <w:hideMark/>
          </w:tcPr>
          <w:p w14:paraId="25DEF514" w14:textId="77777777" w:rsidR="006E1844" w:rsidRDefault="006E1844">
            <w:pPr>
              <w:jc w:val="right"/>
              <w:rPr>
                <w:rFonts w:ascii="Arial" w:hAnsi="Arial" w:cs="Arial"/>
                <w:sz w:val="20"/>
                <w:szCs w:val="20"/>
              </w:rPr>
            </w:pPr>
          </w:p>
        </w:tc>
        <w:tc>
          <w:tcPr>
            <w:tcW w:w="1066" w:type="dxa"/>
            <w:tcBorders>
              <w:top w:val="nil"/>
              <w:left w:val="nil"/>
              <w:bottom w:val="nil"/>
              <w:right w:val="nil"/>
            </w:tcBorders>
            <w:shd w:val="clear" w:color="auto" w:fill="auto"/>
            <w:noWrap/>
            <w:vAlign w:val="bottom"/>
            <w:hideMark/>
          </w:tcPr>
          <w:p w14:paraId="756CD60F" w14:textId="77777777" w:rsidR="006E1844" w:rsidRDefault="006E1844">
            <w:pPr>
              <w:rPr>
                <w:sz w:val="20"/>
                <w:szCs w:val="20"/>
              </w:rPr>
            </w:pPr>
          </w:p>
        </w:tc>
        <w:tc>
          <w:tcPr>
            <w:tcW w:w="1269" w:type="dxa"/>
            <w:gridSpan w:val="2"/>
            <w:tcBorders>
              <w:top w:val="nil"/>
              <w:left w:val="nil"/>
              <w:bottom w:val="nil"/>
              <w:right w:val="nil"/>
            </w:tcBorders>
            <w:shd w:val="clear" w:color="auto" w:fill="auto"/>
            <w:noWrap/>
            <w:vAlign w:val="bottom"/>
            <w:hideMark/>
          </w:tcPr>
          <w:p w14:paraId="6B5CED77" w14:textId="77777777" w:rsidR="006E1844" w:rsidRDefault="006E1844">
            <w:pPr>
              <w:rPr>
                <w:sz w:val="20"/>
                <w:szCs w:val="20"/>
              </w:rPr>
            </w:pPr>
          </w:p>
        </w:tc>
      </w:tr>
      <w:tr w:rsidR="005461A5" w14:paraId="5B98A0C6" w14:textId="77777777" w:rsidTr="009177F8">
        <w:trPr>
          <w:trHeight w:val="225"/>
        </w:trPr>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878F" w14:textId="77777777" w:rsidR="006E1844" w:rsidRDefault="006A3748">
            <w:pPr>
              <w:rPr>
                <w:rFonts w:ascii="Arial" w:hAnsi="Arial" w:cs="Arial"/>
                <w:b/>
                <w:bCs/>
                <w:sz w:val="20"/>
                <w:szCs w:val="20"/>
              </w:rPr>
            </w:pPr>
            <w:r>
              <w:rPr>
                <w:rFonts w:ascii="Arial" w:hAnsi="Arial" w:cs="Arial"/>
                <w:sz w:val="20"/>
                <w:szCs w:val="20"/>
              </w:rPr>
              <w:t xml:space="preserve">Government Funding % </w:t>
            </w:r>
            <w:proofErr w:type="spellStart"/>
            <w:r>
              <w:rPr>
                <w:rFonts w:ascii="Arial" w:hAnsi="Arial" w:cs="Arial"/>
                <w:sz w:val="20"/>
                <w:szCs w:val="20"/>
              </w:rPr>
              <w:t>CEDP</w:t>
            </w:r>
            <w:proofErr w:type="spellEnd"/>
            <w:r>
              <w:rPr>
                <w:rFonts w:ascii="Arial" w:hAnsi="Arial" w:cs="Arial"/>
                <w:sz w:val="20"/>
                <w:szCs w:val="20"/>
              </w:rPr>
              <w:t xml:space="preserve"> Total Expenditure</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14:paraId="1FB345D4" w14:textId="77777777" w:rsidR="006E1844" w:rsidRDefault="006E1844">
            <w:pPr>
              <w:jc w:val="right"/>
              <w:rPr>
                <w:rFonts w:ascii="Arial" w:hAnsi="Arial" w:cs="Arial"/>
                <w:sz w:val="20"/>
                <w:szCs w:val="20"/>
              </w:rPr>
            </w:pPr>
            <w:r>
              <w:rPr>
                <w:rFonts w:ascii="Arial" w:hAnsi="Arial" w:cs="Arial"/>
                <w:sz w:val="20"/>
                <w:szCs w:val="20"/>
              </w:rPr>
              <w:t>42%</w:t>
            </w:r>
          </w:p>
        </w:tc>
        <w:tc>
          <w:tcPr>
            <w:tcW w:w="1066" w:type="dxa"/>
            <w:tcBorders>
              <w:top w:val="nil"/>
              <w:left w:val="nil"/>
              <w:right w:val="nil"/>
            </w:tcBorders>
            <w:shd w:val="clear" w:color="auto" w:fill="auto"/>
            <w:noWrap/>
            <w:vAlign w:val="bottom"/>
            <w:hideMark/>
          </w:tcPr>
          <w:p w14:paraId="3B8A976E" w14:textId="77777777" w:rsidR="006E1844" w:rsidRDefault="006E1844">
            <w:pPr>
              <w:jc w:val="right"/>
              <w:rPr>
                <w:rFonts w:ascii="Arial" w:hAnsi="Arial" w:cs="Arial"/>
                <w:sz w:val="20"/>
                <w:szCs w:val="20"/>
              </w:rPr>
            </w:pPr>
          </w:p>
        </w:tc>
        <w:tc>
          <w:tcPr>
            <w:tcW w:w="1066" w:type="dxa"/>
            <w:tcBorders>
              <w:top w:val="nil"/>
              <w:left w:val="nil"/>
              <w:right w:val="nil"/>
            </w:tcBorders>
            <w:shd w:val="clear" w:color="auto" w:fill="auto"/>
            <w:noWrap/>
            <w:vAlign w:val="bottom"/>
            <w:hideMark/>
          </w:tcPr>
          <w:p w14:paraId="4EE02064" w14:textId="77777777" w:rsidR="006E1844" w:rsidRDefault="006E1844">
            <w:pPr>
              <w:rPr>
                <w:sz w:val="20"/>
                <w:szCs w:val="20"/>
              </w:rPr>
            </w:pPr>
          </w:p>
        </w:tc>
        <w:tc>
          <w:tcPr>
            <w:tcW w:w="1269" w:type="dxa"/>
            <w:gridSpan w:val="2"/>
            <w:tcBorders>
              <w:top w:val="nil"/>
              <w:left w:val="nil"/>
              <w:right w:val="nil"/>
            </w:tcBorders>
            <w:shd w:val="clear" w:color="auto" w:fill="auto"/>
            <w:noWrap/>
            <w:vAlign w:val="bottom"/>
            <w:hideMark/>
          </w:tcPr>
          <w:p w14:paraId="07477678" w14:textId="77777777" w:rsidR="006E1844" w:rsidRDefault="006E1844">
            <w:pPr>
              <w:rPr>
                <w:sz w:val="20"/>
                <w:szCs w:val="20"/>
              </w:rPr>
            </w:pPr>
          </w:p>
        </w:tc>
      </w:tr>
      <w:tr w:rsidR="005461A5" w14:paraId="4F9A7247" w14:textId="77777777" w:rsidTr="009177F8">
        <w:trPr>
          <w:trHeight w:val="225"/>
        </w:trPr>
        <w:tc>
          <w:tcPr>
            <w:tcW w:w="4148" w:type="dxa"/>
            <w:tcBorders>
              <w:left w:val="nil"/>
              <w:bottom w:val="single" w:sz="4" w:space="0" w:color="auto"/>
            </w:tcBorders>
            <w:shd w:val="clear" w:color="auto" w:fill="auto"/>
            <w:noWrap/>
            <w:vAlign w:val="bottom"/>
          </w:tcPr>
          <w:p w14:paraId="095CBB34" w14:textId="77777777" w:rsidR="00563902" w:rsidRDefault="00563902">
            <w:pPr>
              <w:rPr>
                <w:rFonts w:ascii="Arial" w:hAnsi="Arial" w:cs="Arial"/>
                <w:b/>
                <w:bCs/>
                <w:sz w:val="20"/>
                <w:szCs w:val="20"/>
              </w:rPr>
            </w:pPr>
          </w:p>
        </w:tc>
        <w:tc>
          <w:tcPr>
            <w:tcW w:w="5007" w:type="dxa"/>
            <w:gridSpan w:val="5"/>
            <w:tcBorders>
              <w:left w:val="nil"/>
              <w:bottom w:val="single" w:sz="4" w:space="0" w:color="auto"/>
            </w:tcBorders>
            <w:shd w:val="clear" w:color="auto" w:fill="auto"/>
            <w:noWrap/>
            <w:vAlign w:val="bottom"/>
          </w:tcPr>
          <w:p w14:paraId="45866340" w14:textId="77777777" w:rsidR="00563902" w:rsidRDefault="00563902" w:rsidP="00002EF9">
            <w:pPr>
              <w:jc w:val="center"/>
              <w:rPr>
                <w:rFonts w:ascii="Arial" w:hAnsi="Arial" w:cs="Arial"/>
                <w:b/>
                <w:bCs/>
                <w:sz w:val="20"/>
                <w:szCs w:val="20"/>
              </w:rPr>
            </w:pPr>
          </w:p>
        </w:tc>
      </w:tr>
      <w:tr w:rsidR="005461A5" w14:paraId="7919D487"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731EFA70" w14:textId="77777777" w:rsidR="00002EF9" w:rsidRDefault="00563902">
            <w:pPr>
              <w:rPr>
                <w:rFonts w:ascii="Arial" w:hAnsi="Arial" w:cs="Arial"/>
                <w:b/>
                <w:bCs/>
                <w:sz w:val="20"/>
                <w:szCs w:val="20"/>
              </w:rPr>
            </w:pPr>
            <w:r>
              <w:rPr>
                <w:rFonts w:ascii="Arial" w:hAnsi="Arial" w:cs="Arial"/>
                <w:b/>
                <w:bCs/>
                <w:sz w:val="20"/>
                <w:szCs w:val="20"/>
              </w:rPr>
              <w:t xml:space="preserve">Preschool </w:t>
            </w:r>
            <w:proofErr w:type="spellStart"/>
            <w:r>
              <w:rPr>
                <w:rFonts w:ascii="Arial" w:hAnsi="Arial" w:cs="Arial"/>
                <w:b/>
                <w:bCs/>
                <w:sz w:val="20"/>
                <w:szCs w:val="20"/>
              </w:rPr>
              <w:t>LGA</w:t>
            </w:r>
            <w:proofErr w:type="spellEnd"/>
          </w:p>
        </w:tc>
        <w:tc>
          <w:tcPr>
            <w:tcW w:w="2672"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067A8311" w14:textId="77777777" w:rsidR="00002EF9" w:rsidRDefault="00002EF9">
            <w:pPr>
              <w:jc w:val="center"/>
              <w:rPr>
                <w:rFonts w:ascii="Arial" w:hAnsi="Arial" w:cs="Arial"/>
                <w:b/>
                <w:bCs/>
                <w:sz w:val="20"/>
                <w:szCs w:val="20"/>
              </w:rPr>
            </w:pPr>
            <w:r>
              <w:rPr>
                <w:rFonts w:ascii="Arial" w:hAnsi="Arial" w:cs="Arial"/>
                <w:b/>
                <w:bCs/>
                <w:sz w:val="20"/>
                <w:szCs w:val="20"/>
              </w:rPr>
              <w:t>Lower</w:t>
            </w:r>
          </w:p>
        </w:tc>
        <w:tc>
          <w:tcPr>
            <w:tcW w:w="23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02D7B4" w14:textId="77777777" w:rsidR="00002EF9" w:rsidRDefault="00002EF9">
            <w:pPr>
              <w:jc w:val="center"/>
              <w:rPr>
                <w:rFonts w:ascii="Arial" w:hAnsi="Arial" w:cs="Arial"/>
                <w:b/>
                <w:bCs/>
                <w:sz w:val="20"/>
                <w:szCs w:val="20"/>
              </w:rPr>
            </w:pPr>
            <w:r>
              <w:rPr>
                <w:rFonts w:ascii="Arial" w:hAnsi="Arial" w:cs="Arial"/>
                <w:b/>
                <w:bCs/>
                <w:sz w:val="20"/>
                <w:szCs w:val="20"/>
              </w:rPr>
              <w:t>Higher</w:t>
            </w:r>
          </w:p>
        </w:tc>
      </w:tr>
      <w:tr w:rsidR="005461A5" w14:paraId="7AB1EE99"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6EFB2B76" w14:textId="77777777" w:rsidR="00002EF9" w:rsidRDefault="00002EF9">
            <w:pPr>
              <w:rPr>
                <w:rFonts w:ascii="Arial" w:hAnsi="Arial" w:cs="Arial"/>
                <w:b/>
                <w:bCs/>
                <w:sz w:val="20"/>
                <w:szCs w:val="20"/>
              </w:rPr>
            </w:pPr>
            <w:r>
              <w:rPr>
                <w:rFonts w:ascii="Arial" w:hAnsi="Arial" w:cs="Arial"/>
                <w:b/>
                <w:bCs/>
                <w:sz w:val="20"/>
                <w:szCs w:val="20"/>
              </w:rPr>
              <w:t>Daily Fees</w:t>
            </w:r>
          </w:p>
        </w:tc>
        <w:tc>
          <w:tcPr>
            <w:tcW w:w="1606" w:type="dxa"/>
            <w:tcBorders>
              <w:top w:val="nil"/>
              <w:left w:val="nil"/>
              <w:bottom w:val="single" w:sz="4" w:space="0" w:color="auto"/>
              <w:right w:val="single" w:sz="4" w:space="0" w:color="auto"/>
            </w:tcBorders>
            <w:shd w:val="clear" w:color="auto" w:fill="B8CCE4"/>
            <w:noWrap/>
            <w:vAlign w:val="bottom"/>
            <w:hideMark/>
          </w:tcPr>
          <w:p w14:paraId="34BF47C7" w14:textId="77777777" w:rsidR="00002EF9" w:rsidRDefault="00002EF9">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1066" w:type="dxa"/>
            <w:tcBorders>
              <w:top w:val="nil"/>
              <w:left w:val="nil"/>
              <w:bottom w:val="single" w:sz="4" w:space="0" w:color="auto"/>
              <w:right w:val="single" w:sz="4" w:space="0" w:color="auto"/>
            </w:tcBorders>
            <w:shd w:val="clear" w:color="auto" w:fill="B8CCE4"/>
            <w:noWrap/>
            <w:vAlign w:val="bottom"/>
            <w:hideMark/>
          </w:tcPr>
          <w:p w14:paraId="29316527" w14:textId="77777777" w:rsidR="00002EF9" w:rsidRDefault="00002EF9">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c>
          <w:tcPr>
            <w:tcW w:w="1428" w:type="dxa"/>
            <w:gridSpan w:val="2"/>
            <w:tcBorders>
              <w:top w:val="nil"/>
              <w:left w:val="nil"/>
              <w:bottom w:val="single" w:sz="4" w:space="0" w:color="auto"/>
              <w:right w:val="single" w:sz="4" w:space="0" w:color="auto"/>
            </w:tcBorders>
            <w:shd w:val="clear" w:color="auto" w:fill="auto"/>
            <w:noWrap/>
            <w:vAlign w:val="bottom"/>
            <w:hideMark/>
          </w:tcPr>
          <w:p w14:paraId="6702440F" w14:textId="77777777" w:rsidR="00002EF9" w:rsidRDefault="00002EF9">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907" w:type="dxa"/>
            <w:tcBorders>
              <w:top w:val="nil"/>
              <w:left w:val="nil"/>
              <w:bottom w:val="single" w:sz="4" w:space="0" w:color="auto"/>
              <w:right w:val="single" w:sz="4" w:space="0" w:color="auto"/>
            </w:tcBorders>
            <w:shd w:val="clear" w:color="auto" w:fill="auto"/>
            <w:noWrap/>
            <w:vAlign w:val="bottom"/>
            <w:hideMark/>
          </w:tcPr>
          <w:p w14:paraId="5CF9EACF" w14:textId="77777777" w:rsidR="00002EF9" w:rsidRDefault="00002EF9">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r>
      <w:tr w:rsidR="005461A5" w14:paraId="1C8BB56C"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171B56E6" w14:textId="66C5D063" w:rsidR="00002EF9" w:rsidRDefault="003E3967">
            <w:pPr>
              <w:rPr>
                <w:rFonts w:ascii="Arial" w:hAnsi="Arial" w:cs="Arial"/>
                <w:sz w:val="20"/>
                <w:szCs w:val="20"/>
              </w:rPr>
            </w:pPr>
            <w:r>
              <w:rPr>
                <w:rFonts w:ascii="Arial" w:hAnsi="Arial" w:cs="Arial"/>
                <w:sz w:val="20"/>
                <w:szCs w:val="20"/>
              </w:rPr>
              <w:t xml:space="preserve">3 to 5 </w:t>
            </w:r>
            <w:r w:rsidR="00002EF9">
              <w:rPr>
                <w:rFonts w:ascii="Arial" w:hAnsi="Arial" w:cs="Arial"/>
                <w:sz w:val="20"/>
                <w:szCs w:val="20"/>
              </w:rPr>
              <w:t xml:space="preserve"> Year Olds</w:t>
            </w:r>
          </w:p>
        </w:tc>
        <w:tc>
          <w:tcPr>
            <w:tcW w:w="1606" w:type="dxa"/>
            <w:tcBorders>
              <w:top w:val="nil"/>
              <w:left w:val="nil"/>
              <w:bottom w:val="single" w:sz="4" w:space="0" w:color="auto"/>
              <w:right w:val="single" w:sz="4" w:space="0" w:color="auto"/>
            </w:tcBorders>
            <w:shd w:val="clear" w:color="auto" w:fill="B8CCE4"/>
            <w:noWrap/>
            <w:vAlign w:val="bottom"/>
            <w:hideMark/>
          </w:tcPr>
          <w:p w14:paraId="0EE17E03" w14:textId="77777777" w:rsidR="00002EF9" w:rsidRDefault="00002EF9">
            <w:pPr>
              <w:jc w:val="right"/>
              <w:rPr>
                <w:rFonts w:ascii="Arial" w:hAnsi="Arial" w:cs="Arial"/>
                <w:sz w:val="20"/>
                <w:szCs w:val="20"/>
              </w:rPr>
            </w:pPr>
            <w:r>
              <w:rPr>
                <w:rFonts w:ascii="Arial" w:hAnsi="Arial" w:cs="Arial"/>
                <w:sz w:val="20"/>
                <w:szCs w:val="20"/>
              </w:rPr>
              <w:t>$17.00</w:t>
            </w:r>
          </w:p>
        </w:tc>
        <w:tc>
          <w:tcPr>
            <w:tcW w:w="1066" w:type="dxa"/>
            <w:tcBorders>
              <w:top w:val="nil"/>
              <w:left w:val="nil"/>
              <w:bottom w:val="single" w:sz="4" w:space="0" w:color="auto"/>
              <w:right w:val="nil"/>
            </w:tcBorders>
            <w:shd w:val="clear" w:color="auto" w:fill="B8CCE4"/>
            <w:noWrap/>
            <w:vAlign w:val="bottom"/>
            <w:hideMark/>
          </w:tcPr>
          <w:p w14:paraId="7BAC055D" w14:textId="77777777" w:rsidR="00002EF9" w:rsidRDefault="00002EF9">
            <w:pPr>
              <w:jc w:val="right"/>
              <w:rPr>
                <w:rFonts w:ascii="Arial" w:hAnsi="Arial" w:cs="Arial"/>
                <w:sz w:val="20"/>
                <w:szCs w:val="20"/>
              </w:rPr>
            </w:pPr>
            <w:r>
              <w:rPr>
                <w:rFonts w:ascii="Arial" w:hAnsi="Arial" w:cs="Arial"/>
                <w:sz w:val="20"/>
                <w:szCs w:val="20"/>
              </w:rPr>
              <w:t>$12.71</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6BD8B" w14:textId="77777777" w:rsidR="00002EF9" w:rsidRDefault="00002EF9">
            <w:pPr>
              <w:jc w:val="right"/>
              <w:rPr>
                <w:rFonts w:ascii="Arial" w:hAnsi="Arial" w:cs="Arial"/>
                <w:sz w:val="20"/>
                <w:szCs w:val="20"/>
              </w:rPr>
            </w:pPr>
            <w:r>
              <w:rPr>
                <w:rFonts w:ascii="Arial" w:hAnsi="Arial" w:cs="Arial"/>
                <w:sz w:val="20"/>
                <w:szCs w:val="20"/>
              </w:rPr>
              <w:t>$49.00</w:t>
            </w:r>
          </w:p>
        </w:tc>
        <w:tc>
          <w:tcPr>
            <w:tcW w:w="907" w:type="dxa"/>
            <w:tcBorders>
              <w:top w:val="nil"/>
              <w:left w:val="nil"/>
              <w:bottom w:val="single" w:sz="4" w:space="0" w:color="auto"/>
              <w:right w:val="single" w:sz="4" w:space="0" w:color="auto"/>
            </w:tcBorders>
            <w:shd w:val="clear" w:color="auto" w:fill="auto"/>
            <w:noWrap/>
            <w:vAlign w:val="bottom"/>
            <w:hideMark/>
          </w:tcPr>
          <w:p w14:paraId="47B2419B" w14:textId="77777777" w:rsidR="00002EF9" w:rsidRDefault="00002EF9">
            <w:pPr>
              <w:jc w:val="right"/>
              <w:rPr>
                <w:rFonts w:ascii="Arial" w:hAnsi="Arial" w:cs="Arial"/>
                <w:sz w:val="20"/>
                <w:szCs w:val="20"/>
              </w:rPr>
            </w:pPr>
            <w:r>
              <w:rPr>
                <w:rFonts w:ascii="Arial" w:hAnsi="Arial" w:cs="Arial"/>
                <w:sz w:val="20"/>
                <w:szCs w:val="20"/>
              </w:rPr>
              <w:t>$44.38</w:t>
            </w:r>
          </w:p>
        </w:tc>
      </w:tr>
      <w:tr w:rsidR="005461A5" w14:paraId="2DC2FDC3"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36BBA91B" w14:textId="77777777" w:rsidR="00002EF9" w:rsidRDefault="00002EF9">
            <w:pPr>
              <w:rPr>
                <w:rFonts w:ascii="Arial" w:hAnsi="Arial" w:cs="Arial"/>
                <w:sz w:val="20"/>
                <w:szCs w:val="20"/>
              </w:rPr>
            </w:pPr>
            <w:r>
              <w:rPr>
                <w:rFonts w:ascii="Arial" w:hAnsi="Arial" w:cs="Arial"/>
                <w:sz w:val="20"/>
                <w:szCs w:val="20"/>
              </w:rPr>
              <w:t>Disadvantaged/Aboriginal</w:t>
            </w:r>
          </w:p>
        </w:tc>
        <w:tc>
          <w:tcPr>
            <w:tcW w:w="1606" w:type="dxa"/>
            <w:tcBorders>
              <w:top w:val="nil"/>
              <w:left w:val="nil"/>
              <w:bottom w:val="single" w:sz="4" w:space="0" w:color="auto"/>
              <w:right w:val="single" w:sz="4" w:space="0" w:color="auto"/>
            </w:tcBorders>
            <w:shd w:val="clear" w:color="auto" w:fill="B8CCE4"/>
            <w:noWrap/>
            <w:vAlign w:val="bottom"/>
            <w:hideMark/>
          </w:tcPr>
          <w:p w14:paraId="5853457A" w14:textId="77777777" w:rsidR="00002EF9" w:rsidRDefault="00002EF9">
            <w:pPr>
              <w:jc w:val="right"/>
              <w:rPr>
                <w:rFonts w:ascii="Arial" w:hAnsi="Arial" w:cs="Arial"/>
                <w:sz w:val="20"/>
                <w:szCs w:val="20"/>
              </w:rPr>
            </w:pPr>
            <w:r>
              <w:rPr>
                <w:rFonts w:ascii="Arial" w:hAnsi="Arial" w:cs="Arial"/>
                <w:sz w:val="20"/>
                <w:szCs w:val="20"/>
              </w:rPr>
              <w:t>$13.50</w:t>
            </w:r>
          </w:p>
        </w:tc>
        <w:tc>
          <w:tcPr>
            <w:tcW w:w="1066" w:type="dxa"/>
            <w:tcBorders>
              <w:top w:val="nil"/>
              <w:left w:val="nil"/>
              <w:bottom w:val="single" w:sz="4" w:space="0" w:color="auto"/>
              <w:right w:val="nil"/>
            </w:tcBorders>
            <w:shd w:val="clear" w:color="auto" w:fill="B8CCE4"/>
            <w:noWrap/>
            <w:vAlign w:val="bottom"/>
            <w:hideMark/>
          </w:tcPr>
          <w:p w14:paraId="0D9D3CE7" w14:textId="77777777" w:rsidR="00002EF9" w:rsidRDefault="00002EF9">
            <w:pPr>
              <w:jc w:val="right"/>
              <w:rPr>
                <w:rFonts w:ascii="Arial" w:hAnsi="Arial" w:cs="Arial"/>
                <w:sz w:val="20"/>
                <w:szCs w:val="20"/>
              </w:rPr>
            </w:pPr>
            <w:r>
              <w:rPr>
                <w:rFonts w:ascii="Arial" w:hAnsi="Arial" w:cs="Arial"/>
                <w:sz w:val="20"/>
                <w:szCs w:val="20"/>
              </w:rPr>
              <w:t>$9.21</w:t>
            </w: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362CC1" w14:textId="77777777" w:rsidR="00002EF9" w:rsidRDefault="00002EF9">
            <w:pPr>
              <w:jc w:val="right"/>
              <w:rPr>
                <w:rFonts w:ascii="Arial" w:hAnsi="Arial" w:cs="Arial"/>
                <w:sz w:val="20"/>
                <w:szCs w:val="20"/>
              </w:rPr>
            </w:pPr>
            <w:r>
              <w:rPr>
                <w:rFonts w:ascii="Arial" w:hAnsi="Arial" w:cs="Arial"/>
                <w:sz w:val="20"/>
                <w:szCs w:val="20"/>
              </w:rPr>
              <w:t>$0.00</w:t>
            </w:r>
          </w:p>
        </w:tc>
        <w:tc>
          <w:tcPr>
            <w:tcW w:w="907" w:type="dxa"/>
            <w:tcBorders>
              <w:top w:val="nil"/>
              <w:left w:val="nil"/>
              <w:bottom w:val="single" w:sz="4" w:space="0" w:color="auto"/>
              <w:right w:val="single" w:sz="4" w:space="0" w:color="auto"/>
            </w:tcBorders>
            <w:shd w:val="clear" w:color="auto" w:fill="auto"/>
            <w:noWrap/>
            <w:vAlign w:val="bottom"/>
            <w:hideMark/>
          </w:tcPr>
          <w:p w14:paraId="0D5FC2DB" w14:textId="77777777" w:rsidR="00002EF9" w:rsidRDefault="00002EF9">
            <w:pPr>
              <w:jc w:val="right"/>
              <w:rPr>
                <w:rFonts w:ascii="Arial" w:hAnsi="Arial" w:cs="Arial"/>
                <w:sz w:val="20"/>
                <w:szCs w:val="20"/>
              </w:rPr>
            </w:pPr>
            <w:r>
              <w:rPr>
                <w:rFonts w:ascii="Arial" w:hAnsi="Arial" w:cs="Arial"/>
                <w:sz w:val="20"/>
                <w:szCs w:val="20"/>
              </w:rPr>
              <w:t>$0.00</w:t>
            </w:r>
          </w:p>
        </w:tc>
      </w:tr>
      <w:tr w:rsidR="005461A5" w14:paraId="12673D3E" w14:textId="77777777" w:rsidTr="009177F8">
        <w:trPr>
          <w:trHeight w:val="22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14:paraId="2C8DF024" w14:textId="77777777" w:rsidR="00002EF9" w:rsidRDefault="00002EF9">
            <w:pPr>
              <w:rPr>
                <w:rFonts w:ascii="Arial" w:hAnsi="Arial" w:cs="Arial"/>
                <w:sz w:val="20"/>
                <w:szCs w:val="20"/>
              </w:rPr>
            </w:pPr>
            <w:proofErr w:type="spellStart"/>
            <w:r>
              <w:rPr>
                <w:rFonts w:ascii="Arial" w:hAnsi="Arial" w:cs="Arial"/>
                <w:sz w:val="20"/>
                <w:szCs w:val="20"/>
              </w:rPr>
              <w:t>CCB</w:t>
            </w:r>
            <w:proofErr w:type="spellEnd"/>
            <w:r>
              <w:rPr>
                <w:rFonts w:ascii="Arial" w:hAnsi="Arial" w:cs="Arial"/>
                <w:sz w:val="20"/>
                <w:szCs w:val="20"/>
              </w:rPr>
              <w:t xml:space="preserve"> Rebate $0.66/hr</w:t>
            </w:r>
          </w:p>
        </w:tc>
        <w:tc>
          <w:tcPr>
            <w:tcW w:w="1606" w:type="dxa"/>
            <w:tcBorders>
              <w:top w:val="nil"/>
              <w:left w:val="nil"/>
              <w:bottom w:val="single" w:sz="4" w:space="0" w:color="auto"/>
              <w:right w:val="single" w:sz="4" w:space="0" w:color="auto"/>
            </w:tcBorders>
            <w:shd w:val="clear" w:color="auto" w:fill="B8CCE4"/>
            <w:noWrap/>
            <w:vAlign w:val="bottom"/>
            <w:hideMark/>
          </w:tcPr>
          <w:p w14:paraId="5C4267CC" w14:textId="77777777" w:rsidR="00002EF9" w:rsidRDefault="00002EF9">
            <w:pPr>
              <w:jc w:val="right"/>
              <w:rPr>
                <w:rFonts w:ascii="Arial" w:hAnsi="Arial" w:cs="Arial"/>
                <w:sz w:val="20"/>
                <w:szCs w:val="20"/>
              </w:rPr>
            </w:pPr>
            <w:r>
              <w:rPr>
                <w:rFonts w:ascii="Arial" w:hAnsi="Arial" w:cs="Arial"/>
                <w:sz w:val="20"/>
                <w:szCs w:val="20"/>
              </w:rPr>
              <w:t>$4.29</w:t>
            </w:r>
          </w:p>
        </w:tc>
        <w:tc>
          <w:tcPr>
            <w:tcW w:w="1066" w:type="dxa"/>
            <w:tcBorders>
              <w:top w:val="single" w:sz="4" w:space="0" w:color="auto"/>
              <w:left w:val="nil"/>
              <w:bottom w:val="single" w:sz="4" w:space="0" w:color="auto"/>
              <w:right w:val="nil"/>
            </w:tcBorders>
            <w:shd w:val="clear" w:color="auto" w:fill="B8CCE4"/>
            <w:noWrap/>
            <w:vAlign w:val="bottom"/>
            <w:hideMark/>
          </w:tcPr>
          <w:p w14:paraId="7A94EB53" w14:textId="77777777" w:rsidR="00002EF9" w:rsidRDefault="00002EF9">
            <w:pPr>
              <w:jc w:val="right"/>
              <w:rPr>
                <w:rFonts w:ascii="Arial" w:hAnsi="Arial" w:cs="Arial"/>
                <w:sz w:val="20"/>
                <w:szCs w:val="20"/>
              </w:rPr>
            </w:pPr>
          </w:p>
        </w:tc>
        <w:tc>
          <w:tcPr>
            <w:tcW w:w="14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14D6C6" w14:textId="77777777" w:rsidR="00002EF9" w:rsidRDefault="00002EF9">
            <w:pPr>
              <w:jc w:val="right"/>
              <w:rPr>
                <w:rFonts w:ascii="Arial" w:hAnsi="Arial" w:cs="Arial"/>
                <w:sz w:val="20"/>
                <w:szCs w:val="20"/>
              </w:rPr>
            </w:pPr>
            <w:r>
              <w:rPr>
                <w:rFonts w:ascii="Arial" w:hAnsi="Arial" w:cs="Arial"/>
                <w:sz w:val="20"/>
                <w:szCs w:val="20"/>
              </w:rPr>
              <w:t>$4.62</w:t>
            </w:r>
          </w:p>
        </w:tc>
        <w:tc>
          <w:tcPr>
            <w:tcW w:w="907" w:type="dxa"/>
            <w:tcBorders>
              <w:top w:val="nil"/>
              <w:left w:val="nil"/>
              <w:bottom w:val="nil"/>
              <w:right w:val="nil"/>
            </w:tcBorders>
            <w:shd w:val="clear" w:color="auto" w:fill="auto"/>
            <w:noWrap/>
            <w:vAlign w:val="bottom"/>
            <w:hideMark/>
          </w:tcPr>
          <w:p w14:paraId="40803B14" w14:textId="77777777" w:rsidR="00002EF9" w:rsidRDefault="00002EF9">
            <w:pPr>
              <w:jc w:val="right"/>
              <w:rPr>
                <w:rFonts w:ascii="Arial" w:hAnsi="Arial" w:cs="Arial"/>
                <w:sz w:val="20"/>
                <w:szCs w:val="20"/>
              </w:rPr>
            </w:pPr>
          </w:p>
        </w:tc>
      </w:tr>
    </w:tbl>
    <w:p w14:paraId="1DA5383C" w14:textId="77777777" w:rsidR="006E1844" w:rsidRDefault="006E1844" w:rsidP="006E1844">
      <w:pPr>
        <w:pStyle w:val="BodyText"/>
      </w:pPr>
    </w:p>
    <w:p w14:paraId="666B1EED" w14:textId="4DD85036" w:rsidR="006E1844" w:rsidRPr="006E1844" w:rsidRDefault="006E1844" w:rsidP="006E1844">
      <w:pPr>
        <w:pStyle w:val="BodyText"/>
      </w:pPr>
      <w:r w:rsidRPr="006E1844">
        <w:t>This model demonstrates that differential government funding based on Local Government Area (</w:t>
      </w:r>
      <w:proofErr w:type="spellStart"/>
      <w:r w:rsidRPr="006E1844">
        <w:t>LGA</w:t>
      </w:r>
      <w:proofErr w:type="spellEnd"/>
      <w:r w:rsidRPr="006E1844">
        <w:t xml:space="preserve">) </w:t>
      </w:r>
      <w:r>
        <w:t xml:space="preserve">enabled </w:t>
      </w:r>
      <w:proofErr w:type="spellStart"/>
      <w:r w:rsidRPr="006E1844">
        <w:t>CEDP</w:t>
      </w:r>
      <w:proofErr w:type="spellEnd"/>
      <w:r w:rsidRPr="006E1844">
        <w:t xml:space="preserve"> to </w:t>
      </w:r>
      <w:r>
        <w:t>set</w:t>
      </w:r>
      <w:r w:rsidRPr="006E1844">
        <w:t xml:space="preserve"> differential fees between services.</w:t>
      </w:r>
      <w:r w:rsidR="00E857B1">
        <w:t xml:space="preserve"> </w:t>
      </w:r>
      <w:r w:rsidRPr="006E1844">
        <w:t xml:space="preserve">NSW Government Funding </w:t>
      </w:r>
      <w:r w:rsidR="00F24699">
        <w:t>represented</w:t>
      </w:r>
      <w:r w:rsidR="00F24699" w:rsidRPr="006E1844">
        <w:t xml:space="preserve"> </w:t>
      </w:r>
      <w:r w:rsidRPr="006E1844">
        <w:t xml:space="preserve">42% of </w:t>
      </w:r>
      <w:r w:rsidR="00F24699">
        <w:t xml:space="preserve">the </w:t>
      </w:r>
      <w:r w:rsidRPr="006E1844">
        <w:t xml:space="preserve">total </w:t>
      </w:r>
      <w:proofErr w:type="spellStart"/>
      <w:r w:rsidR="00563902">
        <w:t>CEDP’s</w:t>
      </w:r>
      <w:proofErr w:type="spellEnd"/>
      <w:r w:rsidR="00563902">
        <w:t xml:space="preserve"> </w:t>
      </w:r>
      <w:r w:rsidR="00F24699">
        <w:t xml:space="preserve">preschool </w:t>
      </w:r>
      <w:r w:rsidRPr="006E1844">
        <w:t>expenditure.</w:t>
      </w:r>
    </w:p>
    <w:p w14:paraId="368E4EBA" w14:textId="77777777" w:rsidR="006E1844" w:rsidRDefault="006E1844" w:rsidP="00E83F06">
      <w:pPr>
        <w:pStyle w:val="BodyText"/>
      </w:pPr>
    </w:p>
    <w:p w14:paraId="0C6F0D3D" w14:textId="77777777" w:rsidR="006E1844" w:rsidRDefault="006E1844" w:rsidP="00E83F06">
      <w:pPr>
        <w:pStyle w:val="BodyText"/>
      </w:pPr>
    </w:p>
    <w:p w14:paraId="1B5BA492" w14:textId="77777777" w:rsidR="006E1844" w:rsidRDefault="006E1844" w:rsidP="00E83F06">
      <w:pPr>
        <w:pStyle w:val="BodyText"/>
      </w:pPr>
    </w:p>
    <w:p w14:paraId="72427363" w14:textId="77777777" w:rsidR="003E3967" w:rsidRDefault="003E3967" w:rsidP="00E83F06">
      <w:pPr>
        <w:pStyle w:val="BodyText"/>
      </w:pPr>
    </w:p>
    <w:p w14:paraId="25C52C7D" w14:textId="77777777" w:rsidR="006E1844" w:rsidRDefault="006E1844" w:rsidP="00E83F06">
      <w:pPr>
        <w:pStyle w:val="BodyText"/>
      </w:pPr>
    </w:p>
    <w:p w14:paraId="18487AC6" w14:textId="77777777" w:rsidR="006E1844" w:rsidRDefault="006E1844" w:rsidP="006E1844">
      <w:pPr>
        <w:pStyle w:val="BodyText"/>
        <w:rPr>
          <w:b/>
        </w:rPr>
      </w:pPr>
      <w:r w:rsidRPr="006E1844">
        <w:rPr>
          <w:b/>
        </w:rPr>
        <w:t xml:space="preserve">Financial Model </w:t>
      </w:r>
      <w:r>
        <w:rPr>
          <w:b/>
        </w:rPr>
        <w:t>B</w:t>
      </w:r>
    </w:p>
    <w:p w14:paraId="2F9ABCB9" w14:textId="77777777" w:rsidR="005E3A8A" w:rsidRDefault="005E3A8A" w:rsidP="00E83F06">
      <w:pPr>
        <w:pStyle w:val="BodyText"/>
        <w:rPr>
          <w:b/>
          <w:i/>
        </w:rPr>
      </w:pPr>
    </w:p>
    <w:p w14:paraId="5E46C0EC" w14:textId="77777777" w:rsidR="00E83F06" w:rsidRDefault="006E1844" w:rsidP="00E83F06">
      <w:pPr>
        <w:pStyle w:val="BodyText"/>
        <w:rPr>
          <w:b/>
          <w:i/>
        </w:rPr>
      </w:pPr>
      <w:proofErr w:type="spellStart"/>
      <w:r w:rsidRPr="00B7385B">
        <w:rPr>
          <w:b/>
          <w:i/>
        </w:rPr>
        <w:t>CEDP’s</w:t>
      </w:r>
      <w:proofErr w:type="spellEnd"/>
      <w:r w:rsidRPr="00B7385B">
        <w:rPr>
          <w:b/>
          <w:i/>
        </w:rPr>
        <w:t xml:space="preserve"> c</w:t>
      </w:r>
      <w:r w:rsidR="00E83F06" w:rsidRPr="00B7385B">
        <w:rPr>
          <w:b/>
          <w:i/>
        </w:rPr>
        <w:t xml:space="preserve">urrent financial model under </w:t>
      </w:r>
      <w:r w:rsidRPr="00B7385B">
        <w:rPr>
          <w:b/>
          <w:i/>
        </w:rPr>
        <w:t xml:space="preserve">the </w:t>
      </w:r>
      <w:r w:rsidR="00E83F06" w:rsidRPr="00B7385B">
        <w:rPr>
          <w:b/>
          <w:i/>
        </w:rPr>
        <w:t xml:space="preserve">Universal Access </w:t>
      </w:r>
      <w:r w:rsidRPr="00B7385B">
        <w:rPr>
          <w:b/>
          <w:i/>
        </w:rPr>
        <w:t xml:space="preserve">2013 </w:t>
      </w:r>
      <w:r w:rsidR="00E83F06" w:rsidRPr="00B7385B">
        <w:rPr>
          <w:b/>
          <w:i/>
        </w:rPr>
        <w:t>Funding Agreement for preschools</w:t>
      </w:r>
    </w:p>
    <w:p w14:paraId="5B641505" w14:textId="77777777" w:rsidR="005E3A8A" w:rsidRPr="00B7385B" w:rsidRDefault="005E3A8A" w:rsidP="00E83F06">
      <w:pPr>
        <w:pStyle w:val="BodyText"/>
        <w:rPr>
          <w:b/>
          <w:i/>
        </w:rPr>
      </w:pPr>
    </w:p>
    <w:tbl>
      <w:tblPr>
        <w:tblW w:w="9072" w:type="dxa"/>
        <w:tblInd w:w="108" w:type="dxa"/>
        <w:tblLayout w:type="fixed"/>
        <w:tblLook w:val="04A0" w:firstRow="1" w:lastRow="0" w:firstColumn="1" w:lastColumn="0" w:noHBand="0" w:noVBand="1"/>
      </w:tblPr>
      <w:tblGrid>
        <w:gridCol w:w="5155"/>
        <w:gridCol w:w="1242"/>
        <w:gridCol w:w="1030"/>
        <w:gridCol w:w="919"/>
        <w:gridCol w:w="726"/>
      </w:tblGrid>
      <w:tr w:rsidR="003E3967" w14:paraId="07F7A24E" w14:textId="77777777" w:rsidTr="003E3967">
        <w:trPr>
          <w:trHeight w:val="236"/>
        </w:trPr>
        <w:tc>
          <w:tcPr>
            <w:tcW w:w="5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4140" w14:textId="77777777" w:rsidR="006E1844" w:rsidRDefault="006E1844">
            <w:pPr>
              <w:rPr>
                <w:rFonts w:ascii="Arial" w:hAnsi="Arial" w:cs="Arial"/>
                <w:sz w:val="20"/>
                <w:szCs w:val="20"/>
              </w:rPr>
            </w:pPr>
            <w:r>
              <w:rPr>
                <w:rFonts w:ascii="Arial" w:hAnsi="Arial" w:cs="Arial"/>
                <w:sz w:val="20"/>
                <w:szCs w:val="20"/>
              </w:rPr>
              <w:t>Number of Centres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44DF0553" w14:textId="77777777" w:rsidR="006E1844" w:rsidRDefault="006E1844">
            <w:pPr>
              <w:jc w:val="right"/>
              <w:rPr>
                <w:rFonts w:ascii="Arial" w:hAnsi="Arial" w:cs="Arial"/>
                <w:sz w:val="20"/>
                <w:szCs w:val="20"/>
              </w:rPr>
            </w:pPr>
            <w:r>
              <w:rPr>
                <w:rFonts w:ascii="Arial" w:hAnsi="Arial" w:cs="Arial"/>
                <w:sz w:val="20"/>
                <w:szCs w:val="20"/>
              </w:rPr>
              <w:t>4</w:t>
            </w:r>
          </w:p>
        </w:tc>
        <w:tc>
          <w:tcPr>
            <w:tcW w:w="1030" w:type="dxa"/>
            <w:tcBorders>
              <w:top w:val="nil"/>
              <w:left w:val="nil"/>
              <w:bottom w:val="nil"/>
              <w:right w:val="nil"/>
            </w:tcBorders>
            <w:shd w:val="clear" w:color="auto" w:fill="auto"/>
            <w:noWrap/>
            <w:vAlign w:val="bottom"/>
            <w:hideMark/>
          </w:tcPr>
          <w:p w14:paraId="3ADC0929"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265832BA"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209ED254" w14:textId="77777777" w:rsidR="006E1844" w:rsidRDefault="006E1844">
            <w:pPr>
              <w:rPr>
                <w:sz w:val="20"/>
                <w:szCs w:val="20"/>
              </w:rPr>
            </w:pPr>
          </w:p>
        </w:tc>
      </w:tr>
      <w:tr w:rsidR="003E3967" w14:paraId="3AB039A1"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421A503F" w14:textId="77777777" w:rsidR="006E1844" w:rsidRDefault="006E1844">
            <w:pPr>
              <w:rPr>
                <w:rFonts w:ascii="Arial" w:hAnsi="Arial" w:cs="Arial"/>
                <w:sz w:val="20"/>
                <w:szCs w:val="20"/>
              </w:rPr>
            </w:pPr>
            <w:r>
              <w:rPr>
                <w:rFonts w:ascii="Arial" w:hAnsi="Arial" w:cs="Arial"/>
                <w:sz w:val="20"/>
                <w:szCs w:val="20"/>
              </w:rPr>
              <w:t>Licensed Places/Day</w:t>
            </w:r>
          </w:p>
        </w:tc>
        <w:tc>
          <w:tcPr>
            <w:tcW w:w="1242" w:type="dxa"/>
            <w:tcBorders>
              <w:top w:val="nil"/>
              <w:left w:val="nil"/>
              <w:bottom w:val="single" w:sz="4" w:space="0" w:color="auto"/>
              <w:right w:val="single" w:sz="4" w:space="0" w:color="auto"/>
            </w:tcBorders>
            <w:shd w:val="clear" w:color="auto" w:fill="auto"/>
            <w:noWrap/>
            <w:vAlign w:val="bottom"/>
            <w:hideMark/>
          </w:tcPr>
          <w:p w14:paraId="0685466D" w14:textId="77777777" w:rsidR="006E1844" w:rsidRDefault="006E1844">
            <w:pPr>
              <w:jc w:val="right"/>
              <w:rPr>
                <w:rFonts w:ascii="Arial" w:hAnsi="Arial" w:cs="Arial"/>
                <w:sz w:val="20"/>
                <w:szCs w:val="20"/>
              </w:rPr>
            </w:pPr>
            <w:r>
              <w:rPr>
                <w:rFonts w:ascii="Arial" w:hAnsi="Arial" w:cs="Arial"/>
                <w:sz w:val="20"/>
                <w:szCs w:val="20"/>
              </w:rPr>
              <w:t>142</w:t>
            </w:r>
          </w:p>
        </w:tc>
        <w:tc>
          <w:tcPr>
            <w:tcW w:w="1030" w:type="dxa"/>
            <w:tcBorders>
              <w:top w:val="nil"/>
              <w:left w:val="nil"/>
              <w:bottom w:val="nil"/>
              <w:right w:val="nil"/>
            </w:tcBorders>
            <w:shd w:val="clear" w:color="auto" w:fill="auto"/>
            <w:noWrap/>
            <w:vAlign w:val="bottom"/>
            <w:hideMark/>
          </w:tcPr>
          <w:p w14:paraId="41EB664A"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7EC0028A"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272E6A49" w14:textId="77777777" w:rsidR="006E1844" w:rsidRDefault="006E1844">
            <w:pPr>
              <w:rPr>
                <w:sz w:val="20"/>
                <w:szCs w:val="20"/>
              </w:rPr>
            </w:pPr>
          </w:p>
        </w:tc>
      </w:tr>
      <w:tr w:rsidR="003E3967" w14:paraId="6E9D969D"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159F976E" w14:textId="77777777" w:rsidR="006E1844" w:rsidRDefault="006E1844">
            <w:pPr>
              <w:rPr>
                <w:rFonts w:ascii="Arial" w:hAnsi="Arial" w:cs="Arial"/>
                <w:sz w:val="20"/>
                <w:szCs w:val="20"/>
              </w:rPr>
            </w:pPr>
            <w:r>
              <w:rPr>
                <w:rFonts w:ascii="Arial" w:hAnsi="Arial" w:cs="Arial"/>
                <w:sz w:val="20"/>
                <w:szCs w:val="20"/>
              </w:rPr>
              <w:t>Maximum Funded Places</w:t>
            </w:r>
          </w:p>
        </w:tc>
        <w:tc>
          <w:tcPr>
            <w:tcW w:w="1242" w:type="dxa"/>
            <w:tcBorders>
              <w:top w:val="nil"/>
              <w:left w:val="nil"/>
              <w:bottom w:val="single" w:sz="4" w:space="0" w:color="auto"/>
              <w:right w:val="single" w:sz="4" w:space="0" w:color="auto"/>
            </w:tcBorders>
            <w:shd w:val="clear" w:color="auto" w:fill="auto"/>
            <w:noWrap/>
            <w:vAlign w:val="bottom"/>
            <w:hideMark/>
          </w:tcPr>
          <w:p w14:paraId="26810472" w14:textId="77777777" w:rsidR="006E1844" w:rsidRDefault="006E1844">
            <w:pPr>
              <w:jc w:val="right"/>
              <w:rPr>
                <w:rFonts w:ascii="Arial" w:hAnsi="Arial" w:cs="Arial"/>
                <w:sz w:val="20"/>
                <w:szCs w:val="20"/>
              </w:rPr>
            </w:pPr>
            <w:r>
              <w:rPr>
                <w:rFonts w:ascii="Arial" w:hAnsi="Arial" w:cs="Arial"/>
                <w:sz w:val="20"/>
                <w:szCs w:val="20"/>
              </w:rPr>
              <w:t>284</w:t>
            </w:r>
          </w:p>
        </w:tc>
        <w:tc>
          <w:tcPr>
            <w:tcW w:w="1030" w:type="dxa"/>
            <w:tcBorders>
              <w:top w:val="nil"/>
              <w:left w:val="nil"/>
              <w:bottom w:val="nil"/>
              <w:right w:val="nil"/>
            </w:tcBorders>
            <w:shd w:val="clear" w:color="auto" w:fill="auto"/>
            <w:noWrap/>
            <w:vAlign w:val="bottom"/>
            <w:hideMark/>
          </w:tcPr>
          <w:p w14:paraId="3E9446B5"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5969578F"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3950DF91" w14:textId="77777777" w:rsidR="006E1844" w:rsidRDefault="006E1844">
            <w:pPr>
              <w:rPr>
                <w:sz w:val="20"/>
                <w:szCs w:val="20"/>
              </w:rPr>
            </w:pPr>
          </w:p>
        </w:tc>
      </w:tr>
      <w:tr w:rsidR="003E3967" w14:paraId="10BB94F5"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2EA7F62E" w14:textId="77777777" w:rsidR="006E1844" w:rsidRDefault="006E1844">
            <w:pPr>
              <w:rPr>
                <w:rFonts w:ascii="Arial" w:hAnsi="Arial" w:cs="Arial"/>
                <w:sz w:val="20"/>
                <w:szCs w:val="20"/>
              </w:rPr>
            </w:pPr>
            <w:r>
              <w:rPr>
                <w:rFonts w:ascii="Arial" w:hAnsi="Arial" w:cs="Arial"/>
                <w:sz w:val="20"/>
                <w:szCs w:val="20"/>
              </w:rPr>
              <w:t>Funded Positions August 2013 Census</w:t>
            </w:r>
          </w:p>
        </w:tc>
        <w:tc>
          <w:tcPr>
            <w:tcW w:w="1242" w:type="dxa"/>
            <w:tcBorders>
              <w:top w:val="nil"/>
              <w:left w:val="nil"/>
              <w:bottom w:val="single" w:sz="4" w:space="0" w:color="auto"/>
              <w:right w:val="single" w:sz="4" w:space="0" w:color="auto"/>
            </w:tcBorders>
            <w:shd w:val="clear" w:color="auto" w:fill="auto"/>
            <w:noWrap/>
            <w:vAlign w:val="bottom"/>
            <w:hideMark/>
          </w:tcPr>
          <w:p w14:paraId="7C9C00F9" w14:textId="77777777" w:rsidR="006E1844" w:rsidRDefault="006E1844">
            <w:pPr>
              <w:jc w:val="right"/>
              <w:rPr>
                <w:rFonts w:ascii="Arial" w:hAnsi="Arial" w:cs="Arial"/>
                <w:sz w:val="20"/>
                <w:szCs w:val="20"/>
              </w:rPr>
            </w:pPr>
            <w:r>
              <w:rPr>
                <w:rFonts w:ascii="Arial" w:hAnsi="Arial" w:cs="Arial"/>
                <w:sz w:val="20"/>
                <w:szCs w:val="20"/>
              </w:rPr>
              <w:t>242</w:t>
            </w:r>
          </w:p>
        </w:tc>
        <w:tc>
          <w:tcPr>
            <w:tcW w:w="1030" w:type="dxa"/>
            <w:tcBorders>
              <w:top w:val="nil"/>
              <w:left w:val="nil"/>
              <w:bottom w:val="nil"/>
              <w:right w:val="nil"/>
            </w:tcBorders>
            <w:shd w:val="clear" w:color="auto" w:fill="auto"/>
            <w:noWrap/>
            <w:vAlign w:val="bottom"/>
            <w:hideMark/>
          </w:tcPr>
          <w:p w14:paraId="07DE4E7D"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7675D8F7"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2211677B" w14:textId="77777777" w:rsidR="006E1844" w:rsidRDefault="006E1844">
            <w:pPr>
              <w:rPr>
                <w:sz w:val="20"/>
                <w:szCs w:val="20"/>
              </w:rPr>
            </w:pPr>
          </w:p>
        </w:tc>
      </w:tr>
      <w:tr w:rsidR="003E3967" w14:paraId="33903151"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074E221F" w14:textId="77777777" w:rsidR="006E1844" w:rsidRDefault="006E1844">
            <w:pPr>
              <w:rPr>
                <w:rFonts w:ascii="Arial" w:hAnsi="Arial" w:cs="Arial"/>
                <w:sz w:val="20"/>
                <w:szCs w:val="20"/>
              </w:rPr>
            </w:pPr>
            <w:r>
              <w:rPr>
                <w:rFonts w:ascii="Arial" w:hAnsi="Arial" w:cs="Arial"/>
                <w:sz w:val="20"/>
                <w:szCs w:val="20"/>
              </w:rPr>
              <w:t>Children Attending August 2013 Census</w:t>
            </w:r>
          </w:p>
        </w:tc>
        <w:tc>
          <w:tcPr>
            <w:tcW w:w="1242" w:type="dxa"/>
            <w:tcBorders>
              <w:top w:val="nil"/>
              <w:left w:val="nil"/>
              <w:bottom w:val="single" w:sz="4" w:space="0" w:color="auto"/>
              <w:right w:val="single" w:sz="4" w:space="0" w:color="auto"/>
            </w:tcBorders>
            <w:shd w:val="clear" w:color="auto" w:fill="auto"/>
            <w:noWrap/>
            <w:vAlign w:val="bottom"/>
            <w:hideMark/>
          </w:tcPr>
          <w:p w14:paraId="5B7FABB1" w14:textId="77777777" w:rsidR="006E1844" w:rsidRDefault="006E1844">
            <w:pPr>
              <w:jc w:val="right"/>
              <w:rPr>
                <w:rFonts w:ascii="Arial" w:hAnsi="Arial" w:cs="Arial"/>
                <w:sz w:val="20"/>
                <w:szCs w:val="20"/>
              </w:rPr>
            </w:pPr>
            <w:r>
              <w:rPr>
                <w:rFonts w:ascii="Arial" w:hAnsi="Arial" w:cs="Arial"/>
                <w:sz w:val="20"/>
                <w:szCs w:val="20"/>
              </w:rPr>
              <w:t>313</w:t>
            </w:r>
          </w:p>
        </w:tc>
        <w:tc>
          <w:tcPr>
            <w:tcW w:w="1030" w:type="dxa"/>
            <w:tcBorders>
              <w:top w:val="nil"/>
              <w:left w:val="nil"/>
              <w:bottom w:val="nil"/>
              <w:right w:val="nil"/>
            </w:tcBorders>
            <w:shd w:val="clear" w:color="auto" w:fill="auto"/>
            <w:noWrap/>
            <w:vAlign w:val="bottom"/>
            <w:hideMark/>
          </w:tcPr>
          <w:p w14:paraId="4BEA9A7D"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02358A8D"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5B10EE3B" w14:textId="77777777" w:rsidR="006E1844" w:rsidRDefault="006E1844">
            <w:pPr>
              <w:rPr>
                <w:sz w:val="20"/>
                <w:szCs w:val="20"/>
              </w:rPr>
            </w:pPr>
          </w:p>
        </w:tc>
      </w:tr>
      <w:tr w:rsidR="003E3967" w14:paraId="43AC8F0E" w14:textId="77777777" w:rsidTr="003E3967">
        <w:trPr>
          <w:trHeight w:val="305"/>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3DC0BFC6" w14:textId="77777777" w:rsidR="006E1844" w:rsidRDefault="006E1844">
            <w:pPr>
              <w:rPr>
                <w:rFonts w:ascii="Arial" w:hAnsi="Arial" w:cs="Arial"/>
                <w:sz w:val="20"/>
                <w:szCs w:val="20"/>
              </w:rPr>
            </w:pPr>
            <w:r>
              <w:rPr>
                <w:rFonts w:ascii="Arial" w:hAnsi="Arial" w:cs="Arial"/>
                <w:sz w:val="20"/>
                <w:szCs w:val="20"/>
              </w:rPr>
              <w:t xml:space="preserve">NSW Government </w:t>
            </w:r>
            <w:proofErr w:type="spellStart"/>
            <w:r>
              <w:rPr>
                <w:rFonts w:ascii="Arial" w:hAnsi="Arial" w:cs="Arial"/>
                <w:sz w:val="20"/>
                <w:szCs w:val="20"/>
              </w:rPr>
              <w:t>Funding</w:t>
            </w:r>
            <w:r>
              <w:rPr>
                <w:rFonts w:ascii="Arial" w:hAnsi="Arial" w:cs="Arial"/>
                <w:sz w:val="22"/>
                <w:szCs w:val="22"/>
                <w:vertAlign w:val="superscript"/>
              </w:rPr>
              <w:t>1</w:t>
            </w:r>
            <w:proofErr w:type="spellEnd"/>
          </w:p>
        </w:tc>
        <w:tc>
          <w:tcPr>
            <w:tcW w:w="1242" w:type="dxa"/>
            <w:tcBorders>
              <w:top w:val="nil"/>
              <w:left w:val="nil"/>
              <w:bottom w:val="single" w:sz="4" w:space="0" w:color="auto"/>
              <w:right w:val="single" w:sz="4" w:space="0" w:color="auto"/>
            </w:tcBorders>
            <w:shd w:val="clear" w:color="auto" w:fill="auto"/>
            <w:noWrap/>
            <w:vAlign w:val="bottom"/>
            <w:hideMark/>
          </w:tcPr>
          <w:p w14:paraId="2689F67C" w14:textId="77777777" w:rsidR="006E1844" w:rsidRDefault="006E1844">
            <w:pPr>
              <w:jc w:val="right"/>
              <w:rPr>
                <w:rFonts w:ascii="Arial" w:hAnsi="Arial" w:cs="Arial"/>
                <w:sz w:val="20"/>
                <w:szCs w:val="20"/>
              </w:rPr>
            </w:pPr>
            <w:r>
              <w:rPr>
                <w:rFonts w:ascii="Arial" w:hAnsi="Arial" w:cs="Arial"/>
                <w:sz w:val="20"/>
                <w:szCs w:val="20"/>
              </w:rPr>
              <w:t>$885,932</w:t>
            </w:r>
          </w:p>
        </w:tc>
        <w:tc>
          <w:tcPr>
            <w:tcW w:w="1030" w:type="dxa"/>
            <w:tcBorders>
              <w:top w:val="nil"/>
              <w:left w:val="nil"/>
              <w:bottom w:val="nil"/>
              <w:right w:val="nil"/>
            </w:tcBorders>
            <w:shd w:val="clear" w:color="auto" w:fill="auto"/>
            <w:noWrap/>
            <w:vAlign w:val="bottom"/>
            <w:hideMark/>
          </w:tcPr>
          <w:p w14:paraId="15C1A793" w14:textId="77777777" w:rsidR="006E1844" w:rsidRDefault="006E1844">
            <w:pPr>
              <w:jc w:val="right"/>
              <w:rPr>
                <w:rFonts w:ascii="Arial" w:hAnsi="Arial" w:cs="Arial"/>
                <w:sz w:val="20"/>
                <w:szCs w:val="20"/>
              </w:rPr>
            </w:pPr>
          </w:p>
        </w:tc>
        <w:tc>
          <w:tcPr>
            <w:tcW w:w="919" w:type="dxa"/>
            <w:tcBorders>
              <w:top w:val="nil"/>
              <w:left w:val="nil"/>
              <w:bottom w:val="nil"/>
              <w:right w:val="nil"/>
            </w:tcBorders>
            <w:shd w:val="clear" w:color="auto" w:fill="auto"/>
            <w:noWrap/>
            <w:vAlign w:val="bottom"/>
            <w:hideMark/>
          </w:tcPr>
          <w:p w14:paraId="4146728B" w14:textId="77777777" w:rsidR="006E1844" w:rsidRDefault="006E1844">
            <w:pPr>
              <w:rPr>
                <w:sz w:val="20"/>
                <w:szCs w:val="20"/>
              </w:rPr>
            </w:pPr>
          </w:p>
        </w:tc>
        <w:tc>
          <w:tcPr>
            <w:tcW w:w="726" w:type="dxa"/>
            <w:tcBorders>
              <w:top w:val="nil"/>
              <w:left w:val="nil"/>
              <w:bottom w:val="nil"/>
              <w:right w:val="nil"/>
            </w:tcBorders>
            <w:shd w:val="clear" w:color="auto" w:fill="auto"/>
            <w:noWrap/>
            <w:vAlign w:val="bottom"/>
            <w:hideMark/>
          </w:tcPr>
          <w:p w14:paraId="46A5048E" w14:textId="77777777" w:rsidR="006E1844" w:rsidRDefault="006E1844">
            <w:pPr>
              <w:rPr>
                <w:sz w:val="20"/>
                <w:szCs w:val="20"/>
              </w:rPr>
            </w:pPr>
          </w:p>
        </w:tc>
      </w:tr>
      <w:tr w:rsidR="003E3967" w14:paraId="20D362C3" w14:textId="77777777" w:rsidTr="003E3967">
        <w:trPr>
          <w:trHeight w:val="236"/>
        </w:trPr>
        <w:tc>
          <w:tcPr>
            <w:tcW w:w="5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F343" w14:textId="77777777" w:rsidR="006E1844" w:rsidRDefault="006A3748">
            <w:pPr>
              <w:rPr>
                <w:rFonts w:ascii="Arial" w:hAnsi="Arial" w:cs="Arial"/>
                <w:sz w:val="20"/>
                <w:szCs w:val="20"/>
              </w:rPr>
            </w:pPr>
            <w:r>
              <w:rPr>
                <w:rFonts w:ascii="Arial" w:hAnsi="Arial" w:cs="Arial"/>
                <w:sz w:val="20"/>
                <w:szCs w:val="20"/>
              </w:rPr>
              <w:t xml:space="preserve">Government Funding % </w:t>
            </w:r>
            <w:proofErr w:type="spellStart"/>
            <w:r>
              <w:rPr>
                <w:rFonts w:ascii="Arial" w:hAnsi="Arial" w:cs="Arial"/>
                <w:sz w:val="20"/>
                <w:szCs w:val="20"/>
              </w:rPr>
              <w:t>CEDP</w:t>
            </w:r>
            <w:proofErr w:type="spellEnd"/>
            <w:r>
              <w:rPr>
                <w:rFonts w:ascii="Arial" w:hAnsi="Arial" w:cs="Arial"/>
                <w:sz w:val="20"/>
                <w:szCs w:val="20"/>
              </w:rPr>
              <w:t xml:space="preserve"> Total Expenditure</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2992FBF" w14:textId="77777777" w:rsidR="006E1844" w:rsidRDefault="006E1844">
            <w:pPr>
              <w:jc w:val="right"/>
              <w:rPr>
                <w:rFonts w:ascii="Arial" w:hAnsi="Arial" w:cs="Arial"/>
                <w:sz w:val="20"/>
                <w:szCs w:val="20"/>
              </w:rPr>
            </w:pPr>
            <w:r>
              <w:rPr>
                <w:rFonts w:ascii="Arial" w:hAnsi="Arial" w:cs="Arial"/>
                <w:sz w:val="20"/>
                <w:szCs w:val="20"/>
              </w:rPr>
              <w:t>49%</w:t>
            </w:r>
          </w:p>
        </w:tc>
        <w:tc>
          <w:tcPr>
            <w:tcW w:w="1030" w:type="dxa"/>
            <w:tcBorders>
              <w:top w:val="nil"/>
              <w:left w:val="nil"/>
              <w:right w:val="nil"/>
            </w:tcBorders>
            <w:shd w:val="clear" w:color="auto" w:fill="auto"/>
            <w:noWrap/>
            <w:vAlign w:val="bottom"/>
            <w:hideMark/>
          </w:tcPr>
          <w:p w14:paraId="29C9AD7F" w14:textId="77777777" w:rsidR="006E1844" w:rsidRDefault="006E1844">
            <w:pPr>
              <w:jc w:val="right"/>
              <w:rPr>
                <w:rFonts w:ascii="Arial" w:hAnsi="Arial" w:cs="Arial"/>
                <w:sz w:val="20"/>
                <w:szCs w:val="20"/>
              </w:rPr>
            </w:pPr>
          </w:p>
        </w:tc>
        <w:tc>
          <w:tcPr>
            <w:tcW w:w="919" w:type="dxa"/>
            <w:tcBorders>
              <w:top w:val="nil"/>
              <w:left w:val="nil"/>
              <w:right w:val="nil"/>
            </w:tcBorders>
            <w:shd w:val="clear" w:color="auto" w:fill="auto"/>
            <w:noWrap/>
            <w:vAlign w:val="bottom"/>
            <w:hideMark/>
          </w:tcPr>
          <w:p w14:paraId="3911A552" w14:textId="77777777" w:rsidR="006E1844" w:rsidRDefault="006E1844">
            <w:pPr>
              <w:rPr>
                <w:sz w:val="20"/>
                <w:szCs w:val="20"/>
              </w:rPr>
            </w:pPr>
          </w:p>
        </w:tc>
        <w:tc>
          <w:tcPr>
            <w:tcW w:w="726" w:type="dxa"/>
            <w:tcBorders>
              <w:top w:val="nil"/>
              <w:left w:val="nil"/>
              <w:right w:val="nil"/>
            </w:tcBorders>
            <w:shd w:val="clear" w:color="auto" w:fill="auto"/>
            <w:noWrap/>
            <w:vAlign w:val="bottom"/>
            <w:hideMark/>
          </w:tcPr>
          <w:p w14:paraId="75001FDD" w14:textId="77777777" w:rsidR="006E1844" w:rsidRDefault="006E1844">
            <w:pPr>
              <w:rPr>
                <w:sz w:val="20"/>
                <w:szCs w:val="20"/>
              </w:rPr>
            </w:pPr>
          </w:p>
        </w:tc>
      </w:tr>
      <w:tr w:rsidR="003E3967" w14:paraId="0C901E7E" w14:textId="77777777" w:rsidTr="003E3967">
        <w:trPr>
          <w:trHeight w:val="236"/>
        </w:trPr>
        <w:tc>
          <w:tcPr>
            <w:tcW w:w="5155" w:type="dxa"/>
            <w:tcBorders>
              <w:left w:val="nil"/>
              <w:bottom w:val="single" w:sz="4" w:space="0" w:color="auto"/>
              <w:right w:val="nil"/>
            </w:tcBorders>
            <w:shd w:val="clear" w:color="auto" w:fill="auto"/>
            <w:noWrap/>
            <w:vAlign w:val="bottom"/>
            <w:hideMark/>
          </w:tcPr>
          <w:p w14:paraId="6880A7E2" w14:textId="77777777" w:rsidR="00F24699" w:rsidRDefault="00F24699">
            <w:pPr>
              <w:rPr>
                <w:rFonts w:ascii="Arial" w:hAnsi="Arial" w:cs="Arial"/>
                <w:sz w:val="20"/>
                <w:szCs w:val="20"/>
              </w:rPr>
            </w:pPr>
            <w:r>
              <w:rPr>
                <w:rFonts w:ascii="Arial" w:hAnsi="Arial" w:cs="Arial"/>
                <w:sz w:val="20"/>
                <w:szCs w:val="20"/>
              </w:rPr>
              <w:t> </w:t>
            </w:r>
          </w:p>
        </w:tc>
        <w:tc>
          <w:tcPr>
            <w:tcW w:w="3912" w:type="dxa"/>
            <w:gridSpan w:val="4"/>
            <w:tcBorders>
              <w:left w:val="nil"/>
              <w:bottom w:val="single" w:sz="4" w:space="0" w:color="auto"/>
              <w:right w:val="nil"/>
            </w:tcBorders>
            <w:shd w:val="clear" w:color="auto" w:fill="auto"/>
            <w:noWrap/>
            <w:vAlign w:val="bottom"/>
            <w:hideMark/>
          </w:tcPr>
          <w:p w14:paraId="2AB56929" w14:textId="77777777" w:rsidR="00F24699" w:rsidRDefault="00F24699" w:rsidP="00B7385B">
            <w:pPr>
              <w:jc w:val="center"/>
              <w:rPr>
                <w:sz w:val="20"/>
                <w:szCs w:val="20"/>
              </w:rPr>
            </w:pPr>
          </w:p>
        </w:tc>
      </w:tr>
      <w:tr w:rsidR="003E3967" w14:paraId="05E73B5B"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0FEE7E06" w14:textId="77777777" w:rsidR="006E1844" w:rsidRDefault="005E3A8A">
            <w:pPr>
              <w:rPr>
                <w:rFonts w:ascii="Arial" w:hAnsi="Arial" w:cs="Arial"/>
                <w:b/>
                <w:bCs/>
                <w:sz w:val="20"/>
                <w:szCs w:val="20"/>
              </w:rPr>
            </w:pPr>
            <w:r>
              <w:rPr>
                <w:rFonts w:ascii="Arial" w:hAnsi="Arial" w:cs="Arial"/>
                <w:b/>
                <w:bCs/>
                <w:sz w:val="20"/>
                <w:szCs w:val="20"/>
              </w:rPr>
              <w:t xml:space="preserve">Centre </w:t>
            </w:r>
            <w:proofErr w:type="spellStart"/>
            <w:r>
              <w:rPr>
                <w:rFonts w:ascii="Arial" w:hAnsi="Arial" w:cs="Arial"/>
                <w:b/>
                <w:bCs/>
                <w:sz w:val="20"/>
                <w:szCs w:val="20"/>
              </w:rPr>
              <w:t>SEIFA</w:t>
            </w:r>
            <w:proofErr w:type="spellEnd"/>
            <w:r>
              <w:rPr>
                <w:rFonts w:ascii="Arial" w:hAnsi="Arial" w:cs="Arial"/>
                <w:b/>
                <w:bCs/>
                <w:sz w:val="20"/>
                <w:szCs w:val="20"/>
              </w:rPr>
              <w:t xml:space="preserve"> Band Range</w:t>
            </w:r>
            <w:r w:rsidDel="00F24699">
              <w:rPr>
                <w:rFonts w:ascii="Arial" w:hAnsi="Arial" w:cs="Arial"/>
                <w:b/>
                <w:bCs/>
                <w:sz w:val="20"/>
                <w:szCs w:val="20"/>
              </w:rPr>
              <w:t xml:space="preserve"> </w:t>
            </w:r>
          </w:p>
        </w:tc>
        <w:tc>
          <w:tcPr>
            <w:tcW w:w="2272"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4B657323" w14:textId="77777777" w:rsidR="006E1844" w:rsidRDefault="006E1844">
            <w:pPr>
              <w:jc w:val="center"/>
              <w:rPr>
                <w:rFonts w:ascii="Arial" w:hAnsi="Arial" w:cs="Arial"/>
                <w:b/>
                <w:bCs/>
                <w:sz w:val="20"/>
                <w:szCs w:val="20"/>
              </w:rPr>
            </w:pPr>
            <w:r>
              <w:rPr>
                <w:rFonts w:ascii="Arial" w:hAnsi="Arial" w:cs="Arial"/>
                <w:b/>
                <w:bCs/>
                <w:sz w:val="20"/>
                <w:szCs w:val="20"/>
              </w:rPr>
              <w:t xml:space="preserve"> 3 </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FEE015" w14:textId="77777777" w:rsidR="006E1844" w:rsidRDefault="006E1844">
            <w:pPr>
              <w:jc w:val="center"/>
              <w:rPr>
                <w:rFonts w:ascii="Arial" w:hAnsi="Arial" w:cs="Arial"/>
                <w:b/>
                <w:bCs/>
                <w:sz w:val="20"/>
                <w:szCs w:val="20"/>
              </w:rPr>
            </w:pPr>
            <w:r>
              <w:rPr>
                <w:rFonts w:ascii="Arial" w:hAnsi="Arial" w:cs="Arial"/>
                <w:b/>
                <w:bCs/>
                <w:sz w:val="20"/>
                <w:szCs w:val="20"/>
              </w:rPr>
              <w:t xml:space="preserve"> 17 </w:t>
            </w:r>
          </w:p>
        </w:tc>
      </w:tr>
      <w:tr w:rsidR="003E3967" w14:paraId="79CD07CF"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12DCCE9B" w14:textId="7E8A172F" w:rsidR="006E1844" w:rsidRDefault="006E1844">
            <w:pPr>
              <w:rPr>
                <w:rFonts w:ascii="Arial" w:hAnsi="Arial" w:cs="Arial"/>
                <w:sz w:val="20"/>
                <w:szCs w:val="20"/>
              </w:rPr>
            </w:pPr>
            <w:r>
              <w:rPr>
                <w:rFonts w:ascii="Arial" w:hAnsi="Arial" w:cs="Arial"/>
                <w:sz w:val="20"/>
                <w:szCs w:val="20"/>
              </w:rPr>
              <w:t xml:space="preserve">NSW Government Funding </w:t>
            </w:r>
            <w:r w:rsidR="003E3967">
              <w:rPr>
                <w:rFonts w:ascii="Arial" w:hAnsi="Arial" w:cs="Arial"/>
                <w:sz w:val="20"/>
                <w:szCs w:val="20"/>
              </w:rPr>
              <w:t xml:space="preserve">4 to 5 </w:t>
            </w:r>
            <w:r>
              <w:rPr>
                <w:rFonts w:ascii="Arial" w:hAnsi="Arial" w:cs="Arial"/>
                <w:sz w:val="20"/>
                <w:szCs w:val="20"/>
              </w:rPr>
              <w:t xml:space="preserve"> Year Old/Child</w:t>
            </w:r>
          </w:p>
        </w:tc>
        <w:tc>
          <w:tcPr>
            <w:tcW w:w="2272" w:type="dxa"/>
            <w:gridSpan w:val="2"/>
            <w:tcBorders>
              <w:top w:val="single" w:sz="4" w:space="0" w:color="auto"/>
              <w:left w:val="nil"/>
              <w:bottom w:val="single" w:sz="4" w:space="0" w:color="auto"/>
              <w:right w:val="single" w:sz="4" w:space="0" w:color="000000"/>
            </w:tcBorders>
            <w:shd w:val="clear" w:color="auto" w:fill="B8CCE4"/>
            <w:noWrap/>
            <w:vAlign w:val="bottom"/>
            <w:hideMark/>
          </w:tcPr>
          <w:p w14:paraId="3BEEBACB" w14:textId="77777777" w:rsidR="006E1844" w:rsidRDefault="006E1844">
            <w:pPr>
              <w:jc w:val="center"/>
              <w:rPr>
                <w:rFonts w:ascii="Arial" w:hAnsi="Arial" w:cs="Arial"/>
                <w:sz w:val="20"/>
                <w:szCs w:val="20"/>
              </w:rPr>
            </w:pPr>
            <w:r>
              <w:rPr>
                <w:rFonts w:ascii="Arial" w:hAnsi="Arial" w:cs="Arial"/>
                <w:sz w:val="20"/>
                <w:szCs w:val="20"/>
              </w:rPr>
              <w:t>$5,096</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80D736" w14:textId="77777777" w:rsidR="006E1844" w:rsidRDefault="006E1844">
            <w:pPr>
              <w:jc w:val="center"/>
              <w:rPr>
                <w:rFonts w:ascii="Arial" w:hAnsi="Arial" w:cs="Arial"/>
                <w:sz w:val="20"/>
                <w:szCs w:val="20"/>
              </w:rPr>
            </w:pPr>
            <w:r>
              <w:rPr>
                <w:rFonts w:ascii="Arial" w:hAnsi="Arial" w:cs="Arial"/>
                <w:sz w:val="20"/>
                <w:szCs w:val="20"/>
              </w:rPr>
              <w:t>$1,805</w:t>
            </w:r>
          </w:p>
        </w:tc>
      </w:tr>
      <w:tr w:rsidR="003E3967" w14:paraId="36EA6457"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49B17E32" w14:textId="5E520707" w:rsidR="006E1844" w:rsidRDefault="006E1844">
            <w:pPr>
              <w:rPr>
                <w:rFonts w:ascii="Arial" w:hAnsi="Arial" w:cs="Arial"/>
                <w:sz w:val="20"/>
                <w:szCs w:val="20"/>
              </w:rPr>
            </w:pPr>
            <w:r>
              <w:rPr>
                <w:rFonts w:ascii="Arial" w:hAnsi="Arial" w:cs="Arial"/>
                <w:sz w:val="20"/>
                <w:szCs w:val="20"/>
              </w:rPr>
              <w:t xml:space="preserve">NSW Govt. Funding </w:t>
            </w:r>
            <w:r w:rsidR="005461A5">
              <w:rPr>
                <w:rFonts w:ascii="Arial" w:hAnsi="Arial" w:cs="Arial"/>
                <w:sz w:val="20"/>
                <w:szCs w:val="20"/>
              </w:rPr>
              <w:t>3 year old</w:t>
            </w:r>
            <w:r>
              <w:rPr>
                <w:rFonts w:ascii="Arial" w:hAnsi="Arial" w:cs="Arial"/>
                <w:sz w:val="20"/>
                <w:szCs w:val="20"/>
              </w:rPr>
              <w:t xml:space="preserve"> Disadvantaged/Aboriginal</w:t>
            </w:r>
            <w:r w:rsidR="00E857B1">
              <w:rPr>
                <w:rFonts w:ascii="Arial" w:hAnsi="Arial" w:cs="Arial"/>
                <w:sz w:val="20"/>
                <w:szCs w:val="20"/>
              </w:rPr>
              <w:t xml:space="preserve"> </w:t>
            </w:r>
            <w:r>
              <w:rPr>
                <w:rFonts w:ascii="Arial" w:hAnsi="Arial" w:cs="Arial"/>
                <w:sz w:val="20"/>
                <w:szCs w:val="20"/>
              </w:rPr>
              <w:t>Child</w:t>
            </w:r>
          </w:p>
        </w:tc>
        <w:tc>
          <w:tcPr>
            <w:tcW w:w="2272" w:type="dxa"/>
            <w:gridSpan w:val="2"/>
            <w:tcBorders>
              <w:top w:val="single" w:sz="4" w:space="0" w:color="auto"/>
              <w:left w:val="nil"/>
              <w:bottom w:val="single" w:sz="4" w:space="0" w:color="auto"/>
              <w:right w:val="single" w:sz="4" w:space="0" w:color="000000"/>
            </w:tcBorders>
            <w:shd w:val="clear" w:color="auto" w:fill="B8CCE4"/>
            <w:noWrap/>
            <w:vAlign w:val="bottom"/>
            <w:hideMark/>
          </w:tcPr>
          <w:p w14:paraId="39431084" w14:textId="77777777" w:rsidR="006E1844" w:rsidRDefault="006E1844">
            <w:pPr>
              <w:jc w:val="center"/>
              <w:rPr>
                <w:rFonts w:ascii="Arial" w:hAnsi="Arial" w:cs="Arial"/>
                <w:sz w:val="20"/>
                <w:szCs w:val="20"/>
              </w:rPr>
            </w:pPr>
            <w:r>
              <w:rPr>
                <w:rFonts w:ascii="Arial" w:hAnsi="Arial" w:cs="Arial"/>
                <w:sz w:val="20"/>
                <w:szCs w:val="20"/>
              </w:rPr>
              <w:t>$5,270</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DD7550" w14:textId="77777777" w:rsidR="006E1844" w:rsidRDefault="006E1844">
            <w:pPr>
              <w:jc w:val="center"/>
              <w:rPr>
                <w:rFonts w:ascii="Arial" w:hAnsi="Arial" w:cs="Arial"/>
                <w:sz w:val="20"/>
                <w:szCs w:val="20"/>
              </w:rPr>
            </w:pPr>
            <w:r>
              <w:rPr>
                <w:rFonts w:ascii="Arial" w:hAnsi="Arial" w:cs="Arial"/>
                <w:sz w:val="20"/>
                <w:szCs w:val="20"/>
              </w:rPr>
              <w:t>$5,270</w:t>
            </w:r>
          </w:p>
        </w:tc>
      </w:tr>
      <w:tr w:rsidR="003E3967" w14:paraId="7E98E771"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5918351F" w14:textId="77777777" w:rsidR="006E1844" w:rsidRDefault="006E1844">
            <w:pPr>
              <w:rPr>
                <w:rFonts w:ascii="Arial" w:hAnsi="Arial" w:cs="Arial"/>
                <w:b/>
                <w:bCs/>
                <w:sz w:val="20"/>
                <w:szCs w:val="20"/>
              </w:rPr>
            </w:pPr>
            <w:r>
              <w:rPr>
                <w:rFonts w:ascii="Arial" w:hAnsi="Arial" w:cs="Arial"/>
                <w:b/>
                <w:bCs/>
                <w:sz w:val="20"/>
                <w:szCs w:val="20"/>
              </w:rPr>
              <w:t>Daily Fees</w:t>
            </w:r>
          </w:p>
        </w:tc>
        <w:tc>
          <w:tcPr>
            <w:tcW w:w="1242" w:type="dxa"/>
            <w:tcBorders>
              <w:top w:val="nil"/>
              <w:left w:val="nil"/>
              <w:bottom w:val="single" w:sz="4" w:space="0" w:color="auto"/>
              <w:right w:val="single" w:sz="4" w:space="0" w:color="auto"/>
            </w:tcBorders>
            <w:shd w:val="clear" w:color="auto" w:fill="B8CCE4"/>
            <w:noWrap/>
            <w:vAlign w:val="bottom"/>
            <w:hideMark/>
          </w:tcPr>
          <w:p w14:paraId="10BAC619" w14:textId="77777777" w:rsidR="006E1844" w:rsidRDefault="006E1844">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1030" w:type="dxa"/>
            <w:tcBorders>
              <w:top w:val="nil"/>
              <w:left w:val="nil"/>
              <w:bottom w:val="single" w:sz="4" w:space="0" w:color="auto"/>
              <w:right w:val="nil"/>
            </w:tcBorders>
            <w:shd w:val="clear" w:color="auto" w:fill="B8CCE4"/>
            <w:noWrap/>
            <w:vAlign w:val="bottom"/>
            <w:hideMark/>
          </w:tcPr>
          <w:p w14:paraId="684E6CC5" w14:textId="77777777" w:rsidR="006E1844" w:rsidRDefault="006E1844">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23AFAA8B" w14:textId="77777777" w:rsidR="006E1844" w:rsidRDefault="006E1844">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726" w:type="dxa"/>
            <w:tcBorders>
              <w:top w:val="nil"/>
              <w:left w:val="nil"/>
              <w:bottom w:val="single" w:sz="4" w:space="0" w:color="auto"/>
              <w:right w:val="single" w:sz="4" w:space="0" w:color="auto"/>
            </w:tcBorders>
            <w:shd w:val="clear" w:color="auto" w:fill="auto"/>
            <w:noWrap/>
            <w:vAlign w:val="bottom"/>
            <w:hideMark/>
          </w:tcPr>
          <w:p w14:paraId="252E5C55" w14:textId="77777777" w:rsidR="006E1844" w:rsidRDefault="006E1844">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r>
      <w:tr w:rsidR="003E3967" w14:paraId="705242BA"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4AF3CD97" w14:textId="0BE485B1" w:rsidR="006E1844" w:rsidRDefault="006E1844">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4 to 5 </w:t>
            </w:r>
            <w:r>
              <w:rPr>
                <w:rFonts w:ascii="Arial" w:hAnsi="Arial" w:cs="Arial"/>
                <w:sz w:val="20"/>
                <w:szCs w:val="20"/>
              </w:rPr>
              <w:t xml:space="preserve"> Year Old Child</w:t>
            </w:r>
          </w:p>
        </w:tc>
        <w:tc>
          <w:tcPr>
            <w:tcW w:w="1242" w:type="dxa"/>
            <w:tcBorders>
              <w:top w:val="nil"/>
              <w:left w:val="nil"/>
              <w:bottom w:val="single" w:sz="4" w:space="0" w:color="auto"/>
              <w:right w:val="single" w:sz="4" w:space="0" w:color="auto"/>
            </w:tcBorders>
            <w:shd w:val="clear" w:color="auto" w:fill="B8CCE4"/>
            <w:noWrap/>
            <w:vAlign w:val="bottom"/>
            <w:hideMark/>
          </w:tcPr>
          <w:p w14:paraId="0622F74B" w14:textId="77777777" w:rsidR="006E1844" w:rsidRDefault="006E1844">
            <w:pPr>
              <w:jc w:val="right"/>
              <w:rPr>
                <w:rFonts w:ascii="Arial" w:hAnsi="Arial" w:cs="Arial"/>
                <w:sz w:val="20"/>
                <w:szCs w:val="20"/>
              </w:rPr>
            </w:pPr>
            <w:r>
              <w:rPr>
                <w:rFonts w:ascii="Arial" w:hAnsi="Arial" w:cs="Arial"/>
                <w:sz w:val="20"/>
                <w:szCs w:val="20"/>
              </w:rPr>
              <w:t>$16.00</w:t>
            </w:r>
          </w:p>
        </w:tc>
        <w:tc>
          <w:tcPr>
            <w:tcW w:w="1030" w:type="dxa"/>
            <w:tcBorders>
              <w:top w:val="nil"/>
              <w:left w:val="nil"/>
              <w:bottom w:val="single" w:sz="4" w:space="0" w:color="auto"/>
              <w:right w:val="nil"/>
            </w:tcBorders>
            <w:shd w:val="clear" w:color="auto" w:fill="B8CCE4"/>
            <w:noWrap/>
            <w:vAlign w:val="bottom"/>
            <w:hideMark/>
          </w:tcPr>
          <w:p w14:paraId="0675BF22" w14:textId="77777777" w:rsidR="006E1844" w:rsidRDefault="006E1844">
            <w:pPr>
              <w:jc w:val="right"/>
              <w:rPr>
                <w:rFonts w:ascii="Arial" w:hAnsi="Arial" w:cs="Arial"/>
                <w:sz w:val="20"/>
                <w:szCs w:val="20"/>
              </w:rPr>
            </w:pPr>
            <w:r>
              <w:rPr>
                <w:rFonts w:ascii="Arial" w:hAnsi="Arial" w:cs="Arial"/>
                <w:sz w:val="20"/>
                <w:szCs w:val="20"/>
              </w:rPr>
              <w:t>$11.58</w:t>
            </w: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6E322862" w14:textId="77777777" w:rsidR="006E1844" w:rsidRDefault="006E1844">
            <w:pPr>
              <w:jc w:val="right"/>
              <w:rPr>
                <w:rFonts w:ascii="Arial" w:hAnsi="Arial" w:cs="Arial"/>
                <w:sz w:val="20"/>
                <w:szCs w:val="20"/>
              </w:rPr>
            </w:pPr>
            <w:r>
              <w:rPr>
                <w:rFonts w:ascii="Arial" w:hAnsi="Arial" w:cs="Arial"/>
                <w:sz w:val="20"/>
                <w:szCs w:val="20"/>
              </w:rPr>
              <w:t>$51.00</w:t>
            </w:r>
          </w:p>
        </w:tc>
        <w:tc>
          <w:tcPr>
            <w:tcW w:w="726" w:type="dxa"/>
            <w:tcBorders>
              <w:top w:val="nil"/>
              <w:left w:val="nil"/>
              <w:bottom w:val="single" w:sz="4" w:space="0" w:color="auto"/>
              <w:right w:val="single" w:sz="4" w:space="0" w:color="auto"/>
            </w:tcBorders>
            <w:shd w:val="clear" w:color="auto" w:fill="auto"/>
            <w:noWrap/>
            <w:vAlign w:val="bottom"/>
            <w:hideMark/>
          </w:tcPr>
          <w:p w14:paraId="154417D0" w14:textId="77777777" w:rsidR="006E1844" w:rsidRDefault="006E1844">
            <w:pPr>
              <w:jc w:val="right"/>
              <w:rPr>
                <w:rFonts w:ascii="Arial" w:hAnsi="Arial" w:cs="Arial"/>
                <w:sz w:val="20"/>
                <w:szCs w:val="20"/>
              </w:rPr>
            </w:pPr>
            <w:r>
              <w:rPr>
                <w:rFonts w:ascii="Arial" w:hAnsi="Arial" w:cs="Arial"/>
                <w:sz w:val="20"/>
                <w:szCs w:val="20"/>
              </w:rPr>
              <w:t>$46.24</w:t>
            </w:r>
          </w:p>
        </w:tc>
      </w:tr>
      <w:tr w:rsidR="003E3967" w14:paraId="64DD93E0"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1ED6D44E" w14:textId="58E98B3A" w:rsidR="006E1844" w:rsidRDefault="006E1844">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Disadvantaged</w:t>
            </w:r>
          </w:p>
        </w:tc>
        <w:tc>
          <w:tcPr>
            <w:tcW w:w="1242" w:type="dxa"/>
            <w:tcBorders>
              <w:top w:val="nil"/>
              <w:left w:val="nil"/>
              <w:bottom w:val="single" w:sz="4" w:space="0" w:color="auto"/>
              <w:right w:val="single" w:sz="4" w:space="0" w:color="auto"/>
            </w:tcBorders>
            <w:shd w:val="clear" w:color="auto" w:fill="B8CCE4"/>
            <w:noWrap/>
            <w:vAlign w:val="bottom"/>
            <w:hideMark/>
          </w:tcPr>
          <w:p w14:paraId="329B7C31" w14:textId="77777777" w:rsidR="006E1844" w:rsidRDefault="006E1844">
            <w:pPr>
              <w:jc w:val="right"/>
              <w:rPr>
                <w:rFonts w:ascii="Arial" w:hAnsi="Arial" w:cs="Arial"/>
                <w:sz w:val="20"/>
                <w:szCs w:val="20"/>
              </w:rPr>
            </w:pPr>
            <w:r>
              <w:rPr>
                <w:rFonts w:ascii="Arial" w:hAnsi="Arial" w:cs="Arial"/>
                <w:sz w:val="20"/>
                <w:szCs w:val="20"/>
              </w:rPr>
              <w:t>$14.00</w:t>
            </w:r>
          </w:p>
        </w:tc>
        <w:tc>
          <w:tcPr>
            <w:tcW w:w="1030" w:type="dxa"/>
            <w:tcBorders>
              <w:top w:val="nil"/>
              <w:left w:val="nil"/>
              <w:bottom w:val="single" w:sz="4" w:space="0" w:color="auto"/>
              <w:right w:val="nil"/>
            </w:tcBorders>
            <w:shd w:val="clear" w:color="auto" w:fill="B8CCE4"/>
            <w:noWrap/>
            <w:vAlign w:val="bottom"/>
            <w:hideMark/>
          </w:tcPr>
          <w:p w14:paraId="11F84510" w14:textId="77777777" w:rsidR="006E1844" w:rsidRDefault="006E1844">
            <w:pPr>
              <w:jc w:val="right"/>
              <w:rPr>
                <w:rFonts w:ascii="Arial" w:hAnsi="Arial" w:cs="Arial"/>
                <w:sz w:val="20"/>
                <w:szCs w:val="20"/>
              </w:rPr>
            </w:pPr>
            <w:r>
              <w:rPr>
                <w:rFonts w:ascii="Arial" w:hAnsi="Arial" w:cs="Arial"/>
                <w:sz w:val="20"/>
                <w:szCs w:val="20"/>
              </w:rPr>
              <w:t>$9.58</w:t>
            </w: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7C7E2171" w14:textId="77777777" w:rsidR="006E1844" w:rsidRDefault="006E1844">
            <w:pPr>
              <w:jc w:val="right"/>
              <w:rPr>
                <w:rFonts w:ascii="Arial" w:hAnsi="Arial" w:cs="Arial"/>
                <w:sz w:val="20"/>
                <w:szCs w:val="20"/>
              </w:rPr>
            </w:pPr>
            <w:r>
              <w:rPr>
                <w:rFonts w:ascii="Arial" w:hAnsi="Arial" w:cs="Arial"/>
                <w:sz w:val="20"/>
                <w:szCs w:val="20"/>
              </w:rPr>
              <w:t>$14.00</w:t>
            </w:r>
          </w:p>
        </w:tc>
        <w:tc>
          <w:tcPr>
            <w:tcW w:w="726" w:type="dxa"/>
            <w:tcBorders>
              <w:top w:val="nil"/>
              <w:left w:val="nil"/>
              <w:bottom w:val="single" w:sz="4" w:space="0" w:color="auto"/>
              <w:right w:val="single" w:sz="4" w:space="0" w:color="auto"/>
            </w:tcBorders>
            <w:shd w:val="clear" w:color="auto" w:fill="auto"/>
            <w:noWrap/>
            <w:vAlign w:val="bottom"/>
            <w:hideMark/>
          </w:tcPr>
          <w:p w14:paraId="0DD5F9D2" w14:textId="77777777" w:rsidR="006E1844" w:rsidRDefault="006E1844">
            <w:pPr>
              <w:jc w:val="right"/>
              <w:rPr>
                <w:rFonts w:ascii="Arial" w:hAnsi="Arial" w:cs="Arial"/>
                <w:sz w:val="20"/>
                <w:szCs w:val="20"/>
              </w:rPr>
            </w:pPr>
            <w:r>
              <w:rPr>
                <w:rFonts w:ascii="Arial" w:hAnsi="Arial" w:cs="Arial"/>
                <w:sz w:val="20"/>
                <w:szCs w:val="20"/>
              </w:rPr>
              <w:t>$9.24</w:t>
            </w:r>
          </w:p>
        </w:tc>
      </w:tr>
      <w:tr w:rsidR="003E3967" w14:paraId="1BFCC0B1"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237EE71F" w14:textId="128F0531" w:rsidR="006E1844" w:rsidRDefault="006E1844">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Aboriginal</w:t>
            </w:r>
          </w:p>
        </w:tc>
        <w:tc>
          <w:tcPr>
            <w:tcW w:w="1242" w:type="dxa"/>
            <w:tcBorders>
              <w:top w:val="nil"/>
              <w:left w:val="nil"/>
              <w:bottom w:val="single" w:sz="4" w:space="0" w:color="auto"/>
              <w:right w:val="single" w:sz="4" w:space="0" w:color="auto"/>
            </w:tcBorders>
            <w:shd w:val="clear" w:color="auto" w:fill="B8CCE4"/>
            <w:noWrap/>
            <w:vAlign w:val="bottom"/>
            <w:hideMark/>
          </w:tcPr>
          <w:p w14:paraId="56755592" w14:textId="77777777" w:rsidR="006E1844" w:rsidRDefault="006E1844">
            <w:pPr>
              <w:jc w:val="right"/>
              <w:rPr>
                <w:rFonts w:ascii="Arial" w:hAnsi="Arial" w:cs="Arial"/>
                <w:sz w:val="20"/>
                <w:szCs w:val="20"/>
              </w:rPr>
            </w:pPr>
            <w:r>
              <w:rPr>
                <w:rFonts w:ascii="Arial" w:hAnsi="Arial" w:cs="Arial"/>
                <w:sz w:val="20"/>
                <w:szCs w:val="20"/>
              </w:rPr>
              <w:t>$0.00</w:t>
            </w:r>
          </w:p>
        </w:tc>
        <w:tc>
          <w:tcPr>
            <w:tcW w:w="1030" w:type="dxa"/>
            <w:tcBorders>
              <w:top w:val="nil"/>
              <w:left w:val="nil"/>
              <w:bottom w:val="single" w:sz="4" w:space="0" w:color="auto"/>
              <w:right w:val="nil"/>
            </w:tcBorders>
            <w:shd w:val="clear" w:color="auto" w:fill="B8CCE4"/>
            <w:noWrap/>
            <w:vAlign w:val="bottom"/>
            <w:hideMark/>
          </w:tcPr>
          <w:p w14:paraId="6E609C8D" w14:textId="77777777" w:rsidR="006E1844" w:rsidRDefault="006E1844">
            <w:pPr>
              <w:jc w:val="right"/>
              <w:rPr>
                <w:rFonts w:ascii="Arial" w:hAnsi="Arial" w:cs="Arial"/>
                <w:sz w:val="20"/>
                <w:szCs w:val="20"/>
              </w:rPr>
            </w:pPr>
            <w:r>
              <w:rPr>
                <w:rFonts w:ascii="Arial" w:hAnsi="Arial" w:cs="Arial"/>
                <w:sz w:val="20"/>
                <w:szCs w:val="20"/>
              </w:rPr>
              <w:t>$0.00</w:t>
            </w: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0B62B740" w14:textId="77777777" w:rsidR="006E1844" w:rsidRDefault="006E1844">
            <w:pPr>
              <w:jc w:val="right"/>
              <w:rPr>
                <w:rFonts w:ascii="Arial" w:hAnsi="Arial" w:cs="Arial"/>
                <w:sz w:val="20"/>
                <w:szCs w:val="20"/>
              </w:rPr>
            </w:pPr>
            <w:r>
              <w:rPr>
                <w:rFonts w:ascii="Arial" w:hAnsi="Arial" w:cs="Arial"/>
                <w:sz w:val="20"/>
                <w:szCs w:val="20"/>
              </w:rPr>
              <w:t>$14.00</w:t>
            </w:r>
          </w:p>
        </w:tc>
        <w:tc>
          <w:tcPr>
            <w:tcW w:w="726" w:type="dxa"/>
            <w:tcBorders>
              <w:top w:val="nil"/>
              <w:left w:val="nil"/>
              <w:bottom w:val="single" w:sz="4" w:space="0" w:color="auto"/>
              <w:right w:val="single" w:sz="4" w:space="0" w:color="auto"/>
            </w:tcBorders>
            <w:shd w:val="clear" w:color="auto" w:fill="auto"/>
            <w:noWrap/>
            <w:vAlign w:val="bottom"/>
            <w:hideMark/>
          </w:tcPr>
          <w:p w14:paraId="651CC69F" w14:textId="77777777" w:rsidR="006E1844" w:rsidRDefault="006E1844">
            <w:pPr>
              <w:jc w:val="right"/>
              <w:rPr>
                <w:rFonts w:ascii="Arial" w:hAnsi="Arial" w:cs="Arial"/>
                <w:sz w:val="20"/>
                <w:szCs w:val="20"/>
              </w:rPr>
            </w:pPr>
            <w:r>
              <w:rPr>
                <w:rFonts w:ascii="Arial" w:hAnsi="Arial" w:cs="Arial"/>
                <w:sz w:val="20"/>
                <w:szCs w:val="20"/>
              </w:rPr>
              <w:t>$9.24</w:t>
            </w:r>
          </w:p>
        </w:tc>
      </w:tr>
      <w:tr w:rsidR="003E3967" w14:paraId="320CE6BE" w14:textId="77777777" w:rsidTr="003E3967">
        <w:trPr>
          <w:trHeight w:val="236"/>
        </w:trPr>
        <w:tc>
          <w:tcPr>
            <w:tcW w:w="5155" w:type="dxa"/>
            <w:tcBorders>
              <w:top w:val="nil"/>
              <w:left w:val="single" w:sz="4" w:space="0" w:color="auto"/>
              <w:bottom w:val="single" w:sz="4" w:space="0" w:color="auto"/>
              <w:right w:val="single" w:sz="4" w:space="0" w:color="auto"/>
            </w:tcBorders>
            <w:shd w:val="clear" w:color="auto" w:fill="auto"/>
            <w:noWrap/>
            <w:vAlign w:val="bottom"/>
            <w:hideMark/>
          </w:tcPr>
          <w:p w14:paraId="4A79149A" w14:textId="13C6E978" w:rsidR="006E1844" w:rsidRDefault="005461A5">
            <w:pPr>
              <w:rPr>
                <w:rFonts w:ascii="Arial" w:hAnsi="Arial" w:cs="Arial"/>
                <w:sz w:val="20"/>
                <w:szCs w:val="20"/>
              </w:rPr>
            </w:pPr>
            <w:r>
              <w:rPr>
                <w:rFonts w:ascii="Arial" w:hAnsi="Arial" w:cs="Arial"/>
                <w:sz w:val="20"/>
                <w:szCs w:val="20"/>
              </w:rPr>
              <w:t>3 year old</w:t>
            </w:r>
            <w:r w:rsidR="006E1844">
              <w:rPr>
                <w:rFonts w:ascii="Arial" w:hAnsi="Arial" w:cs="Arial"/>
                <w:sz w:val="20"/>
                <w:szCs w:val="20"/>
              </w:rPr>
              <w:t xml:space="preserve"> Child</w:t>
            </w:r>
            <w:r w:rsidR="00F24699">
              <w:rPr>
                <w:rFonts w:ascii="Arial" w:hAnsi="Arial" w:cs="Arial"/>
                <w:sz w:val="20"/>
                <w:szCs w:val="20"/>
              </w:rPr>
              <w:t xml:space="preserve"> (non-funded)</w:t>
            </w:r>
          </w:p>
        </w:tc>
        <w:tc>
          <w:tcPr>
            <w:tcW w:w="1242" w:type="dxa"/>
            <w:tcBorders>
              <w:top w:val="nil"/>
              <w:left w:val="nil"/>
              <w:bottom w:val="single" w:sz="4" w:space="0" w:color="auto"/>
              <w:right w:val="single" w:sz="4" w:space="0" w:color="auto"/>
            </w:tcBorders>
            <w:shd w:val="clear" w:color="auto" w:fill="B8CCE4"/>
            <w:noWrap/>
            <w:vAlign w:val="bottom"/>
            <w:hideMark/>
          </w:tcPr>
          <w:p w14:paraId="22182AAB" w14:textId="77777777" w:rsidR="006E1844" w:rsidRDefault="006E1844">
            <w:pPr>
              <w:jc w:val="right"/>
              <w:rPr>
                <w:rFonts w:ascii="Arial" w:hAnsi="Arial" w:cs="Arial"/>
                <w:sz w:val="20"/>
                <w:szCs w:val="20"/>
              </w:rPr>
            </w:pPr>
            <w:r>
              <w:rPr>
                <w:rFonts w:ascii="Arial" w:hAnsi="Arial" w:cs="Arial"/>
                <w:sz w:val="20"/>
                <w:szCs w:val="20"/>
              </w:rPr>
              <w:t>$30.00</w:t>
            </w:r>
          </w:p>
        </w:tc>
        <w:tc>
          <w:tcPr>
            <w:tcW w:w="1030" w:type="dxa"/>
            <w:tcBorders>
              <w:top w:val="nil"/>
              <w:left w:val="nil"/>
              <w:bottom w:val="single" w:sz="4" w:space="0" w:color="auto"/>
              <w:right w:val="nil"/>
            </w:tcBorders>
            <w:shd w:val="clear" w:color="auto" w:fill="B8CCE4"/>
            <w:noWrap/>
            <w:vAlign w:val="bottom"/>
            <w:hideMark/>
          </w:tcPr>
          <w:p w14:paraId="1429A9FB" w14:textId="77777777" w:rsidR="006E1844" w:rsidRDefault="006E1844">
            <w:pPr>
              <w:jc w:val="right"/>
              <w:rPr>
                <w:rFonts w:ascii="Arial" w:hAnsi="Arial" w:cs="Arial"/>
                <w:sz w:val="20"/>
                <w:szCs w:val="20"/>
              </w:rPr>
            </w:pPr>
            <w:r>
              <w:rPr>
                <w:rFonts w:ascii="Arial" w:hAnsi="Arial" w:cs="Arial"/>
                <w:sz w:val="20"/>
                <w:szCs w:val="20"/>
              </w:rPr>
              <w:t>$25.58</w:t>
            </w:r>
          </w:p>
        </w:tc>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1D6ABD14" w14:textId="77777777" w:rsidR="006E1844" w:rsidRDefault="006E1844">
            <w:pPr>
              <w:jc w:val="right"/>
              <w:rPr>
                <w:rFonts w:ascii="Arial" w:hAnsi="Arial" w:cs="Arial"/>
                <w:sz w:val="20"/>
                <w:szCs w:val="20"/>
              </w:rPr>
            </w:pPr>
            <w:r>
              <w:rPr>
                <w:rFonts w:ascii="Arial" w:hAnsi="Arial" w:cs="Arial"/>
                <w:sz w:val="20"/>
                <w:szCs w:val="20"/>
              </w:rPr>
              <w:t>$63.00</w:t>
            </w:r>
          </w:p>
        </w:tc>
        <w:tc>
          <w:tcPr>
            <w:tcW w:w="726" w:type="dxa"/>
            <w:tcBorders>
              <w:top w:val="nil"/>
              <w:left w:val="nil"/>
              <w:bottom w:val="single" w:sz="4" w:space="0" w:color="auto"/>
              <w:right w:val="single" w:sz="4" w:space="0" w:color="auto"/>
            </w:tcBorders>
            <w:shd w:val="clear" w:color="auto" w:fill="auto"/>
            <w:noWrap/>
            <w:vAlign w:val="bottom"/>
            <w:hideMark/>
          </w:tcPr>
          <w:p w14:paraId="22E47944" w14:textId="77777777" w:rsidR="006E1844" w:rsidRDefault="006E1844">
            <w:pPr>
              <w:jc w:val="right"/>
              <w:rPr>
                <w:rFonts w:ascii="Arial" w:hAnsi="Arial" w:cs="Arial"/>
                <w:sz w:val="20"/>
                <w:szCs w:val="20"/>
              </w:rPr>
            </w:pPr>
            <w:r>
              <w:rPr>
                <w:rFonts w:ascii="Arial" w:hAnsi="Arial" w:cs="Arial"/>
                <w:sz w:val="20"/>
                <w:szCs w:val="20"/>
              </w:rPr>
              <w:t>$58.24</w:t>
            </w:r>
          </w:p>
        </w:tc>
      </w:tr>
      <w:tr w:rsidR="003E3967" w14:paraId="021B79B3" w14:textId="77777777" w:rsidTr="003E3967">
        <w:trPr>
          <w:trHeight w:val="236"/>
        </w:trPr>
        <w:tc>
          <w:tcPr>
            <w:tcW w:w="5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CD3FA" w14:textId="77777777" w:rsidR="006E1844" w:rsidRDefault="006E1844">
            <w:pPr>
              <w:rPr>
                <w:rFonts w:ascii="Arial" w:hAnsi="Arial" w:cs="Arial"/>
                <w:sz w:val="20"/>
                <w:szCs w:val="20"/>
              </w:rPr>
            </w:pPr>
            <w:proofErr w:type="spellStart"/>
            <w:r>
              <w:rPr>
                <w:rFonts w:ascii="Arial" w:hAnsi="Arial" w:cs="Arial"/>
                <w:sz w:val="20"/>
                <w:szCs w:val="20"/>
              </w:rPr>
              <w:t>CCB</w:t>
            </w:r>
            <w:proofErr w:type="spellEnd"/>
            <w:r>
              <w:rPr>
                <w:rFonts w:ascii="Arial" w:hAnsi="Arial" w:cs="Arial"/>
                <w:sz w:val="20"/>
                <w:szCs w:val="20"/>
              </w:rPr>
              <w:t xml:space="preserve"> Rebate $0.68/hr</w:t>
            </w:r>
          </w:p>
        </w:tc>
        <w:tc>
          <w:tcPr>
            <w:tcW w:w="124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055CE634" w14:textId="77777777" w:rsidR="006E1844" w:rsidRDefault="006E1844">
            <w:pPr>
              <w:jc w:val="right"/>
              <w:rPr>
                <w:rFonts w:ascii="Arial" w:hAnsi="Arial" w:cs="Arial"/>
                <w:sz w:val="20"/>
                <w:szCs w:val="20"/>
              </w:rPr>
            </w:pPr>
            <w:r>
              <w:rPr>
                <w:rFonts w:ascii="Arial" w:hAnsi="Arial" w:cs="Arial"/>
                <w:sz w:val="20"/>
                <w:szCs w:val="20"/>
              </w:rPr>
              <w:t>$4.42</w:t>
            </w:r>
          </w:p>
        </w:tc>
        <w:tc>
          <w:tcPr>
            <w:tcW w:w="10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14:paraId="57F81E33" w14:textId="77777777" w:rsidR="006E1844" w:rsidRDefault="006E1844">
            <w:pPr>
              <w:jc w:val="right"/>
              <w:rPr>
                <w:rFonts w:ascii="Arial" w:hAnsi="Arial" w:cs="Arial"/>
                <w:sz w:val="20"/>
                <w:szCs w:val="20"/>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650A" w14:textId="77777777" w:rsidR="006E1844" w:rsidRDefault="006E1844">
            <w:pPr>
              <w:jc w:val="right"/>
              <w:rPr>
                <w:rFonts w:ascii="Arial" w:hAnsi="Arial" w:cs="Arial"/>
                <w:sz w:val="20"/>
                <w:szCs w:val="20"/>
              </w:rPr>
            </w:pPr>
            <w:r>
              <w:rPr>
                <w:rFonts w:ascii="Arial" w:hAnsi="Arial" w:cs="Arial"/>
                <w:sz w:val="20"/>
                <w:szCs w:val="20"/>
              </w:rPr>
              <w:t>$4.76</w:t>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1AA9" w14:textId="77777777" w:rsidR="006E1844" w:rsidRDefault="006E1844">
            <w:pPr>
              <w:jc w:val="right"/>
              <w:rPr>
                <w:rFonts w:ascii="Arial" w:hAnsi="Arial" w:cs="Arial"/>
                <w:sz w:val="20"/>
                <w:szCs w:val="20"/>
              </w:rPr>
            </w:pPr>
          </w:p>
        </w:tc>
      </w:tr>
      <w:tr w:rsidR="003E3967" w14:paraId="7446C62C" w14:textId="77777777" w:rsidTr="003E3967">
        <w:trPr>
          <w:trHeight w:val="236"/>
        </w:trPr>
        <w:tc>
          <w:tcPr>
            <w:tcW w:w="5155" w:type="dxa"/>
            <w:tcBorders>
              <w:top w:val="single" w:sz="4" w:space="0" w:color="auto"/>
              <w:left w:val="nil"/>
              <w:bottom w:val="nil"/>
              <w:right w:val="nil"/>
            </w:tcBorders>
            <w:shd w:val="clear" w:color="auto" w:fill="auto"/>
            <w:noWrap/>
            <w:vAlign w:val="bottom"/>
            <w:hideMark/>
          </w:tcPr>
          <w:p w14:paraId="73187342" w14:textId="77777777" w:rsidR="006E1844" w:rsidRDefault="006E1844">
            <w:pPr>
              <w:rPr>
                <w:sz w:val="20"/>
                <w:szCs w:val="20"/>
              </w:rPr>
            </w:pPr>
          </w:p>
        </w:tc>
        <w:tc>
          <w:tcPr>
            <w:tcW w:w="1242" w:type="dxa"/>
            <w:tcBorders>
              <w:top w:val="single" w:sz="4" w:space="0" w:color="auto"/>
              <w:left w:val="nil"/>
              <w:bottom w:val="nil"/>
              <w:right w:val="nil"/>
            </w:tcBorders>
            <w:shd w:val="clear" w:color="auto" w:fill="auto"/>
            <w:noWrap/>
            <w:vAlign w:val="bottom"/>
            <w:hideMark/>
          </w:tcPr>
          <w:p w14:paraId="0C0AA3C4" w14:textId="77777777" w:rsidR="006E1844" w:rsidRDefault="006E1844">
            <w:pPr>
              <w:rPr>
                <w:sz w:val="20"/>
                <w:szCs w:val="20"/>
              </w:rPr>
            </w:pPr>
          </w:p>
        </w:tc>
        <w:tc>
          <w:tcPr>
            <w:tcW w:w="1030" w:type="dxa"/>
            <w:tcBorders>
              <w:top w:val="single" w:sz="4" w:space="0" w:color="auto"/>
              <w:left w:val="nil"/>
              <w:bottom w:val="nil"/>
              <w:right w:val="nil"/>
            </w:tcBorders>
            <w:shd w:val="clear" w:color="auto" w:fill="auto"/>
            <w:noWrap/>
            <w:vAlign w:val="bottom"/>
            <w:hideMark/>
          </w:tcPr>
          <w:p w14:paraId="0F395944" w14:textId="77777777" w:rsidR="006E1844" w:rsidRDefault="006E1844">
            <w:pPr>
              <w:rPr>
                <w:sz w:val="20"/>
                <w:szCs w:val="20"/>
              </w:rPr>
            </w:pPr>
          </w:p>
        </w:tc>
        <w:tc>
          <w:tcPr>
            <w:tcW w:w="919" w:type="dxa"/>
            <w:tcBorders>
              <w:top w:val="single" w:sz="4" w:space="0" w:color="auto"/>
              <w:left w:val="nil"/>
              <w:bottom w:val="nil"/>
              <w:right w:val="nil"/>
            </w:tcBorders>
            <w:shd w:val="clear" w:color="auto" w:fill="auto"/>
            <w:noWrap/>
            <w:vAlign w:val="bottom"/>
            <w:hideMark/>
          </w:tcPr>
          <w:p w14:paraId="26224EFC" w14:textId="77777777" w:rsidR="006E1844" w:rsidRDefault="006E1844">
            <w:pPr>
              <w:rPr>
                <w:sz w:val="20"/>
                <w:szCs w:val="20"/>
              </w:rPr>
            </w:pPr>
          </w:p>
        </w:tc>
        <w:tc>
          <w:tcPr>
            <w:tcW w:w="726" w:type="dxa"/>
            <w:tcBorders>
              <w:top w:val="single" w:sz="4" w:space="0" w:color="auto"/>
              <w:left w:val="nil"/>
              <w:bottom w:val="nil"/>
              <w:right w:val="nil"/>
            </w:tcBorders>
            <w:shd w:val="clear" w:color="auto" w:fill="auto"/>
            <w:noWrap/>
            <w:vAlign w:val="bottom"/>
            <w:hideMark/>
          </w:tcPr>
          <w:p w14:paraId="0D3CE5C1" w14:textId="77777777" w:rsidR="006E1844" w:rsidRDefault="006E1844">
            <w:pPr>
              <w:rPr>
                <w:sz w:val="20"/>
                <w:szCs w:val="20"/>
              </w:rPr>
            </w:pPr>
          </w:p>
        </w:tc>
      </w:tr>
      <w:tr w:rsidR="003E3967" w14:paraId="1CDB4FB5" w14:textId="77777777" w:rsidTr="003E3967">
        <w:trPr>
          <w:trHeight w:val="236"/>
        </w:trPr>
        <w:tc>
          <w:tcPr>
            <w:tcW w:w="9067" w:type="dxa"/>
            <w:gridSpan w:val="5"/>
            <w:tcBorders>
              <w:top w:val="nil"/>
              <w:left w:val="nil"/>
              <w:bottom w:val="nil"/>
              <w:right w:val="nil"/>
            </w:tcBorders>
            <w:shd w:val="clear" w:color="auto" w:fill="auto"/>
            <w:noWrap/>
            <w:vAlign w:val="bottom"/>
            <w:hideMark/>
          </w:tcPr>
          <w:p w14:paraId="5A2D7481" w14:textId="77777777" w:rsidR="006E1844" w:rsidRDefault="006E1844" w:rsidP="00EE5252">
            <w:pPr>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Includes Transitional Funding $91,392 which will cease in 2017. </w:t>
            </w:r>
            <w:r w:rsidRPr="00B7385B">
              <w:rPr>
                <w:rFonts w:ascii="Arial" w:hAnsi="Arial" w:cs="Arial"/>
                <w:b/>
                <w:sz w:val="16"/>
                <w:szCs w:val="16"/>
              </w:rPr>
              <w:t xml:space="preserve">As a result fees in high </w:t>
            </w:r>
            <w:proofErr w:type="spellStart"/>
            <w:r w:rsidRPr="00B7385B">
              <w:rPr>
                <w:rFonts w:ascii="Arial" w:hAnsi="Arial" w:cs="Arial"/>
                <w:b/>
                <w:sz w:val="16"/>
                <w:szCs w:val="16"/>
              </w:rPr>
              <w:t>SEIFA</w:t>
            </w:r>
            <w:proofErr w:type="spellEnd"/>
            <w:r w:rsidRPr="00B7385B">
              <w:rPr>
                <w:rFonts w:ascii="Arial" w:hAnsi="Arial" w:cs="Arial"/>
                <w:b/>
                <w:sz w:val="16"/>
                <w:szCs w:val="16"/>
              </w:rPr>
              <w:t xml:space="preserve"> Band services will </w:t>
            </w:r>
            <w:r w:rsidR="00F24699">
              <w:rPr>
                <w:rFonts w:ascii="Arial" w:hAnsi="Arial" w:cs="Arial"/>
                <w:b/>
                <w:sz w:val="16"/>
                <w:szCs w:val="16"/>
              </w:rPr>
              <w:t>incur additional fee increases.</w:t>
            </w:r>
          </w:p>
        </w:tc>
      </w:tr>
    </w:tbl>
    <w:p w14:paraId="248D9A3D" w14:textId="77777777" w:rsidR="006E1844" w:rsidRDefault="006E1844" w:rsidP="00B7385B">
      <w:pPr>
        <w:pStyle w:val="BodyText"/>
        <w:spacing w:before="0" w:after="240"/>
      </w:pPr>
    </w:p>
    <w:p w14:paraId="6762D493" w14:textId="50F74AB4" w:rsidR="00F801DD" w:rsidRDefault="006E1844" w:rsidP="00B7385B">
      <w:pPr>
        <w:pStyle w:val="BodyText"/>
        <w:spacing w:before="0" w:after="240"/>
      </w:pPr>
      <w:r w:rsidRPr="006E1844">
        <w:t xml:space="preserve">This model demonstrates that differential government funding based on </w:t>
      </w:r>
      <w:proofErr w:type="spellStart"/>
      <w:r>
        <w:t>SEIFA</w:t>
      </w:r>
      <w:proofErr w:type="spellEnd"/>
      <w:r>
        <w:t xml:space="preserve"> </w:t>
      </w:r>
      <w:r w:rsidR="0042451F">
        <w:t>bands</w:t>
      </w:r>
      <w:r w:rsidR="00F801DD">
        <w:t xml:space="preserve"> </w:t>
      </w:r>
      <w:r>
        <w:t xml:space="preserve">and </w:t>
      </w:r>
      <w:r w:rsidR="0042451F">
        <w:t>equity funding</w:t>
      </w:r>
      <w:r>
        <w:t xml:space="preserve"> for </w:t>
      </w:r>
      <w:r w:rsidR="003E3967">
        <w:t xml:space="preserve">3 – 5 </w:t>
      </w:r>
      <w:r w:rsidR="00B97D08">
        <w:t>year old</w:t>
      </w:r>
      <w:r w:rsidR="003703C1">
        <w:t xml:space="preserve"> children</w:t>
      </w:r>
      <w:r w:rsidR="0042451F">
        <w:t xml:space="preserve"> has</w:t>
      </w:r>
      <w:r w:rsidR="003703C1">
        <w:t xml:space="preserve"> </w:t>
      </w:r>
      <w:r w:rsidR="008E355C">
        <w:t xml:space="preserve">increased government funding </w:t>
      </w:r>
      <w:r w:rsidR="0042451F">
        <w:t xml:space="preserve">for </w:t>
      </w:r>
      <w:proofErr w:type="spellStart"/>
      <w:r w:rsidR="008E355C">
        <w:t>CEDP</w:t>
      </w:r>
      <w:proofErr w:type="spellEnd"/>
      <w:r w:rsidR="008E355C">
        <w:t xml:space="preserve"> </w:t>
      </w:r>
      <w:r w:rsidR="0042451F">
        <w:t>preschools</w:t>
      </w:r>
      <w:r w:rsidR="008E355C">
        <w:t xml:space="preserve">. </w:t>
      </w:r>
    </w:p>
    <w:p w14:paraId="5581F101" w14:textId="3C2324AD" w:rsidR="00F801DD" w:rsidRDefault="002557B2" w:rsidP="00B7385B">
      <w:pPr>
        <w:pStyle w:val="BodyText"/>
        <w:spacing w:before="0" w:after="240"/>
      </w:pPr>
      <w:r>
        <w:t xml:space="preserve">The current funding source </w:t>
      </w:r>
      <w:r w:rsidR="008E355C">
        <w:t xml:space="preserve">increased from </w:t>
      </w:r>
      <w:r w:rsidR="006E1844" w:rsidRPr="006E1844">
        <w:t xml:space="preserve">42% </w:t>
      </w:r>
      <w:r w:rsidR="008E355C">
        <w:t xml:space="preserve">to 49% </w:t>
      </w:r>
      <w:r w:rsidR="006E1844" w:rsidRPr="006E1844">
        <w:t xml:space="preserve">of total </w:t>
      </w:r>
      <w:proofErr w:type="spellStart"/>
      <w:r>
        <w:t>CEPD</w:t>
      </w:r>
      <w:proofErr w:type="spellEnd"/>
      <w:r w:rsidR="00F801DD" w:rsidRPr="006E1844">
        <w:t xml:space="preserve"> </w:t>
      </w:r>
      <w:r w:rsidR="00F55C0E">
        <w:t xml:space="preserve">preschool </w:t>
      </w:r>
      <w:r w:rsidR="006E1844" w:rsidRPr="006E1844">
        <w:t>expenditure</w:t>
      </w:r>
      <w:r>
        <w:t>.</w:t>
      </w:r>
      <w:r w:rsidR="00E857B1">
        <w:t xml:space="preserve"> </w:t>
      </w:r>
      <w:r>
        <w:t xml:space="preserve">This increase has enabled </w:t>
      </w:r>
      <w:proofErr w:type="spellStart"/>
      <w:r>
        <w:t>CEDP</w:t>
      </w:r>
      <w:proofErr w:type="spellEnd"/>
      <w:r>
        <w:t xml:space="preserve"> to introduce differential </w:t>
      </w:r>
      <w:r w:rsidR="008E355C">
        <w:t xml:space="preserve">fees </w:t>
      </w:r>
      <w:r>
        <w:t xml:space="preserve">favouring those </w:t>
      </w:r>
      <w:r w:rsidR="008E355C">
        <w:t xml:space="preserve">in low </w:t>
      </w:r>
      <w:proofErr w:type="spellStart"/>
      <w:r w:rsidR="008E355C">
        <w:t>SEIFA</w:t>
      </w:r>
      <w:proofErr w:type="spellEnd"/>
      <w:r w:rsidR="008E355C">
        <w:t xml:space="preserve"> Band </w:t>
      </w:r>
      <w:r>
        <w:t>areas.</w:t>
      </w:r>
      <w:r w:rsidR="00E857B1">
        <w:t xml:space="preserve"> </w:t>
      </w:r>
      <w:r>
        <w:t>An Eq</w:t>
      </w:r>
      <w:r w:rsidR="003703C1">
        <w:t xml:space="preserve">uity Fee </w:t>
      </w:r>
      <w:r>
        <w:t xml:space="preserve">as low as </w:t>
      </w:r>
      <w:r w:rsidR="003703C1">
        <w:t>of $14.00</w:t>
      </w:r>
      <w:r w:rsidR="000552F5">
        <w:t xml:space="preserve"> per </w:t>
      </w:r>
      <w:r w:rsidR="003703C1">
        <w:t xml:space="preserve">day </w:t>
      </w:r>
      <w:r>
        <w:t xml:space="preserve">is offered to all </w:t>
      </w:r>
      <w:r w:rsidR="003703C1">
        <w:t>disadvantaged</w:t>
      </w:r>
      <w:r>
        <w:t xml:space="preserve"> families</w:t>
      </w:r>
      <w:r w:rsidR="003703C1">
        <w:t xml:space="preserve">. </w:t>
      </w:r>
    </w:p>
    <w:p w14:paraId="750798E3" w14:textId="505F565D" w:rsidR="00EF6E0C" w:rsidRDefault="00EF6E0C" w:rsidP="00B7385B">
      <w:pPr>
        <w:pStyle w:val="BodyText"/>
        <w:spacing w:before="0" w:after="240"/>
      </w:pPr>
      <w:r>
        <w:t xml:space="preserve">Through economies of scale we have been able to offer a no cost preschool education to Indigenous families within </w:t>
      </w:r>
      <w:r w:rsidR="003703C1">
        <w:t xml:space="preserve">our lowest </w:t>
      </w:r>
      <w:proofErr w:type="spellStart"/>
      <w:r w:rsidR="003703C1">
        <w:t>SEIFA</w:t>
      </w:r>
      <w:proofErr w:type="spellEnd"/>
      <w:r w:rsidR="003703C1">
        <w:t xml:space="preserve"> Band </w:t>
      </w:r>
      <w:r w:rsidR="00F801DD">
        <w:t>preschools</w:t>
      </w:r>
      <w:r>
        <w:t>.</w:t>
      </w:r>
      <w:r w:rsidR="00E857B1">
        <w:t xml:space="preserve"> </w:t>
      </w:r>
    </w:p>
    <w:p w14:paraId="3F814163" w14:textId="0B6B9F18" w:rsidR="006E1844" w:rsidRPr="006E1844" w:rsidRDefault="005F574E" w:rsidP="00B7385B">
      <w:pPr>
        <w:pStyle w:val="BodyText"/>
        <w:spacing w:before="0" w:after="240"/>
      </w:pPr>
      <w:r>
        <w:t xml:space="preserve">It should be noted that 2014 funding is based on 2013 August Census data and any </w:t>
      </w:r>
      <w:r w:rsidR="00F801DD">
        <w:t>variation</w:t>
      </w:r>
      <w:r>
        <w:t xml:space="preserve"> </w:t>
      </w:r>
      <w:r w:rsidR="00EF6E0C">
        <w:t xml:space="preserve">to </w:t>
      </w:r>
      <w:r>
        <w:t>Census numbers can have a significant impact on funding</w:t>
      </w:r>
      <w:r w:rsidR="00EF6E0C">
        <w:t xml:space="preserve"> within l</w:t>
      </w:r>
      <w:r>
        <w:t xml:space="preserve">ow </w:t>
      </w:r>
      <w:proofErr w:type="spellStart"/>
      <w:r>
        <w:t>SEIFA</w:t>
      </w:r>
      <w:proofErr w:type="spellEnd"/>
      <w:r>
        <w:t xml:space="preserve"> Band </w:t>
      </w:r>
      <w:r w:rsidR="00F801DD">
        <w:t>preschools</w:t>
      </w:r>
      <w:r>
        <w:t>.</w:t>
      </w:r>
      <w:r w:rsidR="00E857B1">
        <w:t xml:space="preserve"> </w:t>
      </w:r>
      <w:r>
        <w:t>This is evident where</w:t>
      </w:r>
      <w:r w:rsidR="00F801DD">
        <w:t xml:space="preserve"> non-funded</w:t>
      </w:r>
      <w:r>
        <w:t xml:space="preserve"> </w:t>
      </w:r>
      <w:r w:rsidR="005461A5">
        <w:t>3 year old</w:t>
      </w:r>
      <w:r>
        <w:t>s</w:t>
      </w:r>
      <w:r w:rsidR="00EF6A36">
        <w:t xml:space="preserve"> </w:t>
      </w:r>
      <w:r w:rsidR="00F801DD">
        <w:t xml:space="preserve">in low </w:t>
      </w:r>
      <w:proofErr w:type="spellStart"/>
      <w:r w:rsidR="00F801DD">
        <w:t>SEIFA</w:t>
      </w:r>
      <w:proofErr w:type="spellEnd"/>
      <w:r w:rsidR="00F801DD">
        <w:t xml:space="preserve"> Band preschools </w:t>
      </w:r>
      <w:r>
        <w:t>are unable t</w:t>
      </w:r>
      <w:r w:rsidR="00C12EA8">
        <w:t>o afford the daily fee, decreasing utilisation in these services.</w:t>
      </w:r>
      <w:r w:rsidR="00E857B1">
        <w:t xml:space="preserve"> </w:t>
      </w:r>
    </w:p>
    <w:p w14:paraId="5CB655CB" w14:textId="77777777" w:rsidR="00C12EA8" w:rsidRDefault="00C12EA8" w:rsidP="00E83F06">
      <w:pPr>
        <w:pStyle w:val="BodyText"/>
        <w:rPr>
          <w:b/>
        </w:rPr>
      </w:pPr>
    </w:p>
    <w:p w14:paraId="5A063CFD" w14:textId="77777777" w:rsidR="00C12EA8" w:rsidRDefault="00C12EA8" w:rsidP="00E83F06">
      <w:pPr>
        <w:pStyle w:val="BodyText"/>
        <w:rPr>
          <w:b/>
        </w:rPr>
      </w:pPr>
    </w:p>
    <w:p w14:paraId="3C5E937F" w14:textId="77777777" w:rsidR="00C12EA8" w:rsidRDefault="00C12EA8" w:rsidP="00E83F06">
      <w:pPr>
        <w:pStyle w:val="BodyText"/>
        <w:rPr>
          <w:b/>
        </w:rPr>
      </w:pPr>
    </w:p>
    <w:p w14:paraId="134D43F5" w14:textId="77777777" w:rsidR="00C12EA8" w:rsidRDefault="00C12EA8" w:rsidP="00E83F06">
      <w:pPr>
        <w:pStyle w:val="BodyText"/>
        <w:rPr>
          <w:b/>
        </w:rPr>
      </w:pPr>
    </w:p>
    <w:p w14:paraId="1634D929" w14:textId="77777777" w:rsidR="00CC25EF" w:rsidRDefault="00CC25EF" w:rsidP="00E83F06">
      <w:pPr>
        <w:pStyle w:val="BodyText"/>
        <w:rPr>
          <w:b/>
        </w:rPr>
      </w:pPr>
    </w:p>
    <w:p w14:paraId="047BB47E" w14:textId="77777777" w:rsidR="00C12EA8" w:rsidRDefault="00C12EA8" w:rsidP="00E83F06">
      <w:pPr>
        <w:pStyle w:val="BodyText"/>
        <w:rPr>
          <w:b/>
        </w:rPr>
      </w:pPr>
    </w:p>
    <w:p w14:paraId="18C7FAE6" w14:textId="77777777" w:rsidR="00C12EA8" w:rsidRDefault="00C12EA8" w:rsidP="00C12EA8">
      <w:pPr>
        <w:pStyle w:val="BodyText"/>
        <w:rPr>
          <w:b/>
        </w:rPr>
      </w:pPr>
      <w:r w:rsidRPr="006E1844">
        <w:rPr>
          <w:b/>
        </w:rPr>
        <w:t xml:space="preserve">Financial Model </w:t>
      </w:r>
      <w:r>
        <w:rPr>
          <w:b/>
        </w:rPr>
        <w:t>C</w:t>
      </w:r>
    </w:p>
    <w:p w14:paraId="4AF11B14" w14:textId="77777777" w:rsidR="00AD1B6B" w:rsidRDefault="00AD1B6B" w:rsidP="00E83F06">
      <w:pPr>
        <w:pStyle w:val="BodyText"/>
        <w:rPr>
          <w:b/>
          <w:i/>
        </w:rPr>
      </w:pPr>
    </w:p>
    <w:p w14:paraId="1EA899B9" w14:textId="77777777" w:rsidR="00AD1B6B" w:rsidRDefault="00E83F06" w:rsidP="00E83F06">
      <w:pPr>
        <w:pStyle w:val="BodyText"/>
        <w:rPr>
          <w:b/>
          <w:i/>
        </w:rPr>
      </w:pPr>
      <w:proofErr w:type="spellStart"/>
      <w:r w:rsidRPr="00B7385B">
        <w:rPr>
          <w:b/>
          <w:i/>
        </w:rPr>
        <w:t>CEDP’s</w:t>
      </w:r>
      <w:proofErr w:type="spellEnd"/>
      <w:r w:rsidRPr="00B7385B">
        <w:rPr>
          <w:b/>
          <w:i/>
        </w:rPr>
        <w:t xml:space="preserve"> calculations of the newly proposed financial model under the Productivity Commission’s recommendations – State Funding only</w:t>
      </w:r>
    </w:p>
    <w:p w14:paraId="451DFE50" w14:textId="77777777" w:rsidR="00E83F06" w:rsidRPr="00B7385B" w:rsidRDefault="00E83F06" w:rsidP="00E83F06">
      <w:pPr>
        <w:pStyle w:val="BodyText"/>
        <w:rPr>
          <w:b/>
          <w:i/>
        </w:rPr>
      </w:pPr>
    </w:p>
    <w:tbl>
      <w:tblPr>
        <w:tblW w:w="9700" w:type="dxa"/>
        <w:tblInd w:w="108" w:type="dxa"/>
        <w:tblLook w:val="04A0" w:firstRow="1" w:lastRow="0" w:firstColumn="1" w:lastColumn="0" w:noHBand="0" w:noVBand="1"/>
      </w:tblPr>
      <w:tblGrid>
        <w:gridCol w:w="5400"/>
        <w:gridCol w:w="1300"/>
        <w:gridCol w:w="1080"/>
        <w:gridCol w:w="960"/>
        <w:gridCol w:w="960"/>
      </w:tblGrid>
      <w:tr w:rsidR="00C12EA8" w14:paraId="7E649B75" w14:textId="77777777" w:rsidTr="00C12EA8">
        <w:trPr>
          <w:trHeight w:val="25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0E11" w14:textId="77777777" w:rsidR="00C12EA8" w:rsidRDefault="00C12EA8">
            <w:pPr>
              <w:rPr>
                <w:rFonts w:ascii="Arial" w:hAnsi="Arial" w:cs="Arial"/>
                <w:sz w:val="20"/>
                <w:szCs w:val="20"/>
              </w:rPr>
            </w:pPr>
            <w:r>
              <w:rPr>
                <w:rFonts w:ascii="Arial" w:hAnsi="Arial" w:cs="Arial"/>
                <w:sz w:val="20"/>
                <w:szCs w:val="20"/>
              </w:rPr>
              <w:t>Number of Centres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BD27533" w14:textId="77777777" w:rsidR="00C12EA8" w:rsidRDefault="00C12EA8">
            <w:pPr>
              <w:jc w:val="right"/>
              <w:rPr>
                <w:rFonts w:ascii="Arial" w:hAnsi="Arial" w:cs="Arial"/>
                <w:sz w:val="20"/>
                <w:szCs w:val="20"/>
              </w:rPr>
            </w:pPr>
            <w:r>
              <w:rPr>
                <w:rFonts w:ascii="Arial" w:hAnsi="Arial" w:cs="Arial"/>
                <w:sz w:val="20"/>
                <w:szCs w:val="20"/>
              </w:rPr>
              <w:t>4</w:t>
            </w:r>
          </w:p>
        </w:tc>
        <w:tc>
          <w:tcPr>
            <w:tcW w:w="1080" w:type="dxa"/>
            <w:tcBorders>
              <w:top w:val="nil"/>
              <w:left w:val="nil"/>
              <w:bottom w:val="nil"/>
              <w:right w:val="nil"/>
            </w:tcBorders>
            <w:shd w:val="clear" w:color="auto" w:fill="auto"/>
            <w:noWrap/>
            <w:vAlign w:val="bottom"/>
            <w:hideMark/>
          </w:tcPr>
          <w:p w14:paraId="23E6E2E5"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B9B3BF6"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3D58453A" w14:textId="77777777" w:rsidR="00C12EA8" w:rsidRDefault="00C12EA8">
            <w:pPr>
              <w:rPr>
                <w:sz w:val="20"/>
                <w:szCs w:val="20"/>
              </w:rPr>
            </w:pPr>
          </w:p>
        </w:tc>
      </w:tr>
      <w:tr w:rsidR="00C12EA8" w14:paraId="0F30615B"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4ACCC17" w14:textId="77777777" w:rsidR="00C12EA8" w:rsidRDefault="00C12EA8">
            <w:pPr>
              <w:rPr>
                <w:rFonts w:ascii="Arial" w:hAnsi="Arial" w:cs="Arial"/>
                <w:sz w:val="20"/>
                <w:szCs w:val="20"/>
              </w:rPr>
            </w:pPr>
            <w:r>
              <w:rPr>
                <w:rFonts w:ascii="Arial" w:hAnsi="Arial" w:cs="Arial"/>
                <w:sz w:val="20"/>
                <w:szCs w:val="20"/>
              </w:rPr>
              <w:t>Licensed Places/Day</w:t>
            </w:r>
          </w:p>
        </w:tc>
        <w:tc>
          <w:tcPr>
            <w:tcW w:w="1300" w:type="dxa"/>
            <w:tcBorders>
              <w:top w:val="nil"/>
              <w:left w:val="nil"/>
              <w:bottom w:val="single" w:sz="4" w:space="0" w:color="auto"/>
              <w:right w:val="single" w:sz="4" w:space="0" w:color="auto"/>
            </w:tcBorders>
            <w:shd w:val="clear" w:color="auto" w:fill="auto"/>
            <w:noWrap/>
            <w:vAlign w:val="bottom"/>
            <w:hideMark/>
          </w:tcPr>
          <w:p w14:paraId="241E8079" w14:textId="77777777" w:rsidR="00C12EA8" w:rsidRDefault="00C12EA8">
            <w:pPr>
              <w:jc w:val="right"/>
              <w:rPr>
                <w:rFonts w:ascii="Arial" w:hAnsi="Arial" w:cs="Arial"/>
                <w:sz w:val="20"/>
                <w:szCs w:val="20"/>
              </w:rPr>
            </w:pPr>
            <w:r>
              <w:rPr>
                <w:rFonts w:ascii="Arial" w:hAnsi="Arial" w:cs="Arial"/>
                <w:sz w:val="20"/>
                <w:szCs w:val="20"/>
              </w:rPr>
              <w:t>142</w:t>
            </w:r>
          </w:p>
        </w:tc>
        <w:tc>
          <w:tcPr>
            <w:tcW w:w="1080" w:type="dxa"/>
            <w:tcBorders>
              <w:top w:val="nil"/>
              <w:left w:val="nil"/>
              <w:bottom w:val="nil"/>
              <w:right w:val="nil"/>
            </w:tcBorders>
            <w:shd w:val="clear" w:color="auto" w:fill="auto"/>
            <w:noWrap/>
            <w:vAlign w:val="bottom"/>
            <w:hideMark/>
          </w:tcPr>
          <w:p w14:paraId="41336E02"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D102A93"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203E402A" w14:textId="77777777" w:rsidR="00C12EA8" w:rsidRDefault="00C12EA8">
            <w:pPr>
              <w:rPr>
                <w:sz w:val="20"/>
                <w:szCs w:val="20"/>
              </w:rPr>
            </w:pPr>
          </w:p>
        </w:tc>
      </w:tr>
      <w:tr w:rsidR="00C12EA8" w14:paraId="61A0AFF6"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E138838" w14:textId="77777777" w:rsidR="00C12EA8" w:rsidRDefault="00C12EA8">
            <w:pPr>
              <w:rPr>
                <w:rFonts w:ascii="Arial" w:hAnsi="Arial" w:cs="Arial"/>
                <w:sz w:val="20"/>
                <w:szCs w:val="20"/>
              </w:rPr>
            </w:pPr>
            <w:r>
              <w:rPr>
                <w:rFonts w:ascii="Arial" w:hAnsi="Arial" w:cs="Arial"/>
                <w:sz w:val="20"/>
                <w:szCs w:val="20"/>
              </w:rPr>
              <w:t>Maximum Funded Places</w:t>
            </w:r>
          </w:p>
        </w:tc>
        <w:tc>
          <w:tcPr>
            <w:tcW w:w="1300" w:type="dxa"/>
            <w:tcBorders>
              <w:top w:val="nil"/>
              <w:left w:val="nil"/>
              <w:bottom w:val="single" w:sz="4" w:space="0" w:color="auto"/>
              <w:right w:val="single" w:sz="4" w:space="0" w:color="auto"/>
            </w:tcBorders>
            <w:shd w:val="clear" w:color="auto" w:fill="auto"/>
            <w:noWrap/>
            <w:vAlign w:val="bottom"/>
            <w:hideMark/>
          </w:tcPr>
          <w:p w14:paraId="5E5DB3F8" w14:textId="77777777" w:rsidR="00C12EA8" w:rsidRDefault="00C12EA8">
            <w:pPr>
              <w:jc w:val="right"/>
              <w:rPr>
                <w:rFonts w:ascii="Arial" w:hAnsi="Arial" w:cs="Arial"/>
                <w:sz w:val="20"/>
                <w:szCs w:val="20"/>
              </w:rPr>
            </w:pPr>
            <w:r>
              <w:rPr>
                <w:rFonts w:ascii="Arial" w:hAnsi="Arial" w:cs="Arial"/>
                <w:sz w:val="20"/>
                <w:szCs w:val="20"/>
              </w:rPr>
              <w:t>284</w:t>
            </w:r>
          </w:p>
        </w:tc>
        <w:tc>
          <w:tcPr>
            <w:tcW w:w="1080" w:type="dxa"/>
            <w:tcBorders>
              <w:top w:val="nil"/>
              <w:left w:val="nil"/>
              <w:bottom w:val="nil"/>
              <w:right w:val="nil"/>
            </w:tcBorders>
            <w:shd w:val="clear" w:color="auto" w:fill="auto"/>
            <w:noWrap/>
            <w:vAlign w:val="bottom"/>
            <w:hideMark/>
          </w:tcPr>
          <w:p w14:paraId="4BCE12F3"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BB9D6A9"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636CD7D3" w14:textId="77777777" w:rsidR="00C12EA8" w:rsidRDefault="00C12EA8">
            <w:pPr>
              <w:rPr>
                <w:sz w:val="20"/>
                <w:szCs w:val="20"/>
              </w:rPr>
            </w:pPr>
          </w:p>
        </w:tc>
      </w:tr>
      <w:tr w:rsidR="00C12EA8" w14:paraId="6AE75A72"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C8B694D" w14:textId="77777777" w:rsidR="00C12EA8" w:rsidRDefault="00C12EA8">
            <w:pPr>
              <w:rPr>
                <w:rFonts w:ascii="Arial" w:hAnsi="Arial" w:cs="Arial"/>
                <w:sz w:val="20"/>
                <w:szCs w:val="20"/>
              </w:rPr>
            </w:pPr>
            <w:r>
              <w:rPr>
                <w:rFonts w:ascii="Arial" w:hAnsi="Arial" w:cs="Arial"/>
                <w:sz w:val="20"/>
                <w:szCs w:val="20"/>
              </w:rPr>
              <w:t>Funded Positions August 2013 Census</w:t>
            </w:r>
          </w:p>
        </w:tc>
        <w:tc>
          <w:tcPr>
            <w:tcW w:w="1300" w:type="dxa"/>
            <w:tcBorders>
              <w:top w:val="nil"/>
              <w:left w:val="nil"/>
              <w:bottom w:val="single" w:sz="4" w:space="0" w:color="auto"/>
              <w:right w:val="single" w:sz="4" w:space="0" w:color="auto"/>
            </w:tcBorders>
            <w:shd w:val="clear" w:color="auto" w:fill="auto"/>
            <w:noWrap/>
            <w:vAlign w:val="bottom"/>
            <w:hideMark/>
          </w:tcPr>
          <w:p w14:paraId="3B538F42" w14:textId="77777777" w:rsidR="00C12EA8" w:rsidRDefault="00C12EA8">
            <w:pPr>
              <w:jc w:val="right"/>
              <w:rPr>
                <w:rFonts w:ascii="Arial" w:hAnsi="Arial" w:cs="Arial"/>
                <w:sz w:val="20"/>
                <w:szCs w:val="20"/>
              </w:rPr>
            </w:pPr>
            <w:r>
              <w:rPr>
                <w:rFonts w:ascii="Arial" w:hAnsi="Arial" w:cs="Arial"/>
                <w:sz w:val="20"/>
                <w:szCs w:val="20"/>
              </w:rPr>
              <w:t>242</w:t>
            </w:r>
          </w:p>
        </w:tc>
        <w:tc>
          <w:tcPr>
            <w:tcW w:w="1080" w:type="dxa"/>
            <w:tcBorders>
              <w:top w:val="nil"/>
              <w:left w:val="nil"/>
              <w:bottom w:val="nil"/>
              <w:right w:val="nil"/>
            </w:tcBorders>
            <w:shd w:val="clear" w:color="auto" w:fill="auto"/>
            <w:noWrap/>
            <w:vAlign w:val="bottom"/>
            <w:hideMark/>
          </w:tcPr>
          <w:p w14:paraId="0FAB9A31"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546FAA7"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4F0AC2FE" w14:textId="77777777" w:rsidR="00C12EA8" w:rsidRDefault="00C12EA8">
            <w:pPr>
              <w:rPr>
                <w:sz w:val="20"/>
                <w:szCs w:val="20"/>
              </w:rPr>
            </w:pPr>
          </w:p>
        </w:tc>
      </w:tr>
      <w:tr w:rsidR="00C12EA8" w14:paraId="3E006286"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885AEE4" w14:textId="77777777" w:rsidR="00C12EA8" w:rsidRDefault="00C12EA8">
            <w:pPr>
              <w:rPr>
                <w:rFonts w:ascii="Arial" w:hAnsi="Arial" w:cs="Arial"/>
                <w:sz w:val="20"/>
                <w:szCs w:val="20"/>
              </w:rPr>
            </w:pPr>
            <w:r>
              <w:rPr>
                <w:rFonts w:ascii="Arial" w:hAnsi="Arial" w:cs="Arial"/>
                <w:sz w:val="20"/>
                <w:szCs w:val="20"/>
              </w:rPr>
              <w:t>Children Attending August 2013 Census</w:t>
            </w:r>
          </w:p>
        </w:tc>
        <w:tc>
          <w:tcPr>
            <w:tcW w:w="1300" w:type="dxa"/>
            <w:tcBorders>
              <w:top w:val="nil"/>
              <w:left w:val="nil"/>
              <w:bottom w:val="single" w:sz="4" w:space="0" w:color="auto"/>
              <w:right w:val="single" w:sz="4" w:space="0" w:color="auto"/>
            </w:tcBorders>
            <w:shd w:val="clear" w:color="auto" w:fill="auto"/>
            <w:noWrap/>
            <w:vAlign w:val="bottom"/>
            <w:hideMark/>
          </w:tcPr>
          <w:p w14:paraId="4B9334D3" w14:textId="77777777" w:rsidR="00C12EA8" w:rsidRDefault="00C12EA8">
            <w:pPr>
              <w:jc w:val="right"/>
              <w:rPr>
                <w:rFonts w:ascii="Arial" w:hAnsi="Arial" w:cs="Arial"/>
                <w:sz w:val="20"/>
                <w:szCs w:val="20"/>
              </w:rPr>
            </w:pPr>
            <w:r>
              <w:rPr>
                <w:rFonts w:ascii="Arial" w:hAnsi="Arial" w:cs="Arial"/>
                <w:sz w:val="20"/>
                <w:szCs w:val="20"/>
              </w:rPr>
              <w:t>313</w:t>
            </w:r>
          </w:p>
        </w:tc>
        <w:tc>
          <w:tcPr>
            <w:tcW w:w="1080" w:type="dxa"/>
            <w:tcBorders>
              <w:top w:val="nil"/>
              <w:left w:val="nil"/>
              <w:bottom w:val="nil"/>
              <w:right w:val="nil"/>
            </w:tcBorders>
            <w:shd w:val="clear" w:color="auto" w:fill="auto"/>
            <w:noWrap/>
            <w:vAlign w:val="bottom"/>
            <w:hideMark/>
          </w:tcPr>
          <w:p w14:paraId="695E4DE1"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1DE98A9"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33938920" w14:textId="77777777" w:rsidR="00C12EA8" w:rsidRDefault="00C12EA8">
            <w:pPr>
              <w:rPr>
                <w:sz w:val="20"/>
                <w:szCs w:val="20"/>
              </w:rPr>
            </w:pPr>
          </w:p>
        </w:tc>
      </w:tr>
      <w:tr w:rsidR="00C12EA8" w14:paraId="1A266147"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FD0769D" w14:textId="77777777" w:rsidR="00C12EA8" w:rsidRDefault="00C12EA8">
            <w:pPr>
              <w:rPr>
                <w:rFonts w:ascii="Arial" w:hAnsi="Arial" w:cs="Arial"/>
                <w:sz w:val="20"/>
                <w:szCs w:val="20"/>
              </w:rPr>
            </w:pPr>
            <w:r>
              <w:rPr>
                <w:rFonts w:ascii="Arial" w:hAnsi="Arial" w:cs="Arial"/>
                <w:sz w:val="20"/>
                <w:szCs w:val="20"/>
              </w:rPr>
              <w:t>NSW Government Funding</w:t>
            </w:r>
          </w:p>
        </w:tc>
        <w:tc>
          <w:tcPr>
            <w:tcW w:w="1300" w:type="dxa"/>
            <w:tcBorders>
              <w:top w:val="nil"/>
              <w:left w:val="nil"/>
              <w:bottom w:val="single" w:sz="4" w:space="0" w:color="auto"/>
              <w:right w:val="single" w:sz="4" w:space="0" w:color="auto"/>
            </w:tcBorders>
            <w:shd w:val="clear" w:color="auto" w:fill="auto"/>
            <w:noWrap/>
            <w:vAlign w:val="bottom"/>
            <w:hideMark/>
          </w:tcPr>
          <w:p w14:paraId="6B6326E5" w14:textId="77777777" w:rsidR="00C12EA8" w:rsidRDefault="00C12EA8">
            <w:pPr>
              <w:jc w:val="right"/>
              <w:rPr>
                <w:rFonts w:ascii="Arial" w:hAnsi="Arial" w:cs="Arial"/>
                <w:sz w:val="20"/>
                <w:szCs w:val="20"/>
              </w:rPr>
            </w:pPr>
            <w:r>
              <w:rPr>
                <w:rFonts w:ascii="Arial" w:hAnsi="Arial" w:cs="Arial"/>
                <w:sz w:val="20"/>
                <w:szCs w:val="20"/>
              </w:rPr>
              <w:t>$471,900</w:t>
            </w:r>
          </w:p>
        </w:tc>
        <w:tc>
          <w:tcPr>
            <w:tcW w:w="1080" w:type="dxa"/>
            <w:tcBorders>
              <w:top w:val="nil"/>
              <w:left w:val="nil"/>
              <w:bottom w:val="nil"/>
              <w:right w:val="nil"/>
            </w:tcBorders>
            <w:shd w:val="clear" w:color="auto" w:fill="auto"/>
            <w:noWrap/>
            <w:vAlign w:val="bottom"/>
            <w:hideMark/>
          </w:tcPr>
          <w:p w14:paraId="55D8126E"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D47EDE3"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2B7DF4D5" w14:textId="77777777" w:rsidR="00C12EA8" w:rsidRDefault="00C12EA8">
            <w:pPr>
              <w:rPr>
                <w:sz w:val="20"/>
                <w:szCs w:val="20"/>
              </w:rPr>
            </w:pPr>
          </w:p>
        </w:tc>
      </w:tr>
      <w:tr w:rsidR="00C12EA8" w14:paraId="42913E58"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D6EA8B9" w14:textId="77777777" w:rsidR="00C12EA8" w:rsidRDefault="006A3748">
            <w:pPr>
              <w:rPr>
                <w:rFonts w:ascii="Arial" w:hAnsi="Arial" w:cs="Arial"/>
                <w:sz w:val="20"/>
                <w:szCs w:val="20"/>
              </w:rPr>
            </w:pPr>
            <w:r>
              <w:rPr>
                <w:rFonts w:ascii="Arial" w:hAnsi="Arial" w:cs="Arial"/>
                <w:sz w:val="20"/>
                <w:szCs w:val="20"/>
              </w:rPr>
              <w:t xml:space="preserve">Government Funding % </w:t>
            </w:r>
            <w:proofErr w:type="spellStart"/>
            <w:r>
              <w:rPr>
                <w:rFonts w:ascii="Arial" w:hAnsi="Arial" w:cs="Arial"/>
                <w:sz w:val="20"/>
                <w:szCs w:val="20"/>
              </w:rPr>
              <w:t>CEDP</w:t>
            </w:r>
            <w:proofErr w:type="spellEnd"/>
            <w:r>
              <w:rPr>
                <w:rFonts w:ascii="Arial" w:hAnsi="Arial" w:cs="Arial"/>
                <w:sz w:val="20"/>
                <w:szCs w:val="20"/>
              </w:rPr>
              <w:t xml:space="preserve"> Total Expenditure</w:t>
            </w:r>
          </w:p>
        </w:tc>
        <w:tc>
          <w:tcPr>
            <w:tcW w:w="1300" w:type="dxa"/>
            <w:tcBorders>
              <w:top w:val="nil"/>
              <w:left w:val="nil"/>
              <w:bottom w:val="single" w:sz="4" w:space="0" w:color="auto"/>
              <w:right w:val="single" w:sz="4" w:space="0" w:color="auto"/>
            </w:tcBorders>
            <w:shd w:val="clear" w:color="auto" w:fill="auto"/>
            <w:noWrap/>
            <w:vAlign w:val="bottom"/>
            <w:hideMark/>
          </w:tcPr>
          <w:p w14:paraId="294BA96F" w14:textId="77777777" w:rsidR="00C12EA8" w:rsidRDefault="00C12EA8">
            <w:pPr>
              <w:jc w:val="right"/>
              <w:rPr>
                <w:rFonts w:ascii="Arial" w:hAnsi="Arial" w:cs="Arial"/>
                <w:sz w:val="20"/>
                <w:szCs w:val="20"/>
              </w:rPr>
            </w:pPr>
            <w:r>
              <w:rPr>
                <w:rFonts w:ascii="Arial" w:hAnsi="Arial" w:cs="Arial"/>
                <w:sz w:val="20"/>
                <w:szCs w:val="20"/>
              </w:rPr>
              <w:t>26%</w:t>
            </w:r>
          </w:p>
        </w:tc>
        <w:tc>
          <w:tcPr>
            <w:tcW w:w="1080" w:type="dxa"/>
            <w:tcBorders>
              <w:top w:val="nil"/>
              <w:left w:val="nil"/>
              <w:bottom w:val="nil"/>
              <w:right w:val="nil"/>
            </w:tcBorders>
            <w:shd w:val="clear" w:color="auto" w:fill="auto"/>
            <w:noWrap/>
            <w:vAlign w:val="bottom"/>
            <w:hideMark/>
          </w:tcPr>
          <w:p w14:paraId="56AFD433"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26C904E"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09E8C9C5" w14:textId="77777777" w:rsidR="00C12EA8" w:rsidRDefault="00C12EA8">
            <w:pPr>
              <w:rPr>
                <w:sz w:val="20"/>
                <w:szCs w:val="20"/>
              </w:rPr>
            </w:pPr>
          </w:p>
        </w:tc>
      </w:tr>
      <w:tr w:rsidR="00C12EA8" w14:paraId="1A7507F1"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9117D26" w14:textId="77777777" w:rsidR="00C12EA8" w:rsidRDefault="00C12EA8">
            <w:pPr>
              <w:rPr>
                <w:rFonts w:ascii="Arial" w:hAnsi="Arial" w:cs="Arial"/>
                <w:sz w:val="20"/>
                <w:szCs w:val="20"/>
              </w:rPr>
            </w:pPr>
            <w:r>
              <w:rPr>
                <w:rFonts w:ascii="Arial" w:hAnsi="Arial" w:cs="Arial"/>
                <w:sz w:val="20"/>
                <w:szCs w:val="20"/>
              </w:rPr>
              <w:t xml:space="preserve">Reduction to Current NSW </w:t>
            </w:r>
            <w:proofErr w:type="spellStart"/>
            <w:r>
              <w:rPr>
                <w:rFonts w:ascii="Arial" w:hAnsi="Arial" w:cs="Arial"/>
                <w:sz w:val="20"/>
                <w:szCs w:val="20"/>
              </w:rPr>
              <w:t>Govt</w:t>
            </w:r>
            <w:proofErr w:type="spellEnd"/>
            <w:r>
              <w:rPr>
                <w:rFonts w:ascii="Arial" w:hAnsi="Arial" w:cs="Arial"/>
                <w:sz w:val="20"/>
                <w:szCs w:val="20"/>
              </w:rPr>
              <w:t xml:space="preserve"> Funding</w:t>
            </w:r>
          </w:p>
        </w:tc>
        <w:tc>
          <w:tcPr>
            <w:tcW w:w="1300" w:type="dxa"/>
            <w:tcBorders>
              <w:top w:val="nil"/>
              <w:left w:val="nil"/>
              <w:bottom w:val="single" w:sz="4" w:space="0" w:color="auto"/>
              <w:right w:val="single" w:sz="4" w:space="0" w:color="auto"/>
            </w:tcBorders>
            <w:shd w:val="clear" w:color="auto" w:fill="auto"/>
            <w:noWrap/>
            <w:vAlign w:val="bottom"/>
            <w:hideMark/>
          </w:tcPr>
          <w:p w14:paraId="0EFB0A14" w14:textId="77777777" w:rsidR="00C12EA8" w:rsidRDefault="00C12EA8">
            <w:pPr>
              <w:jc w:val="right"/>
              <w:rPr>
                <w:rFonts w:ascii="Arial" w:hAnsi="Arial" w:cs="Arial"/>
                <w:sz w:val="20"/>
                <w:szCs w:val="20"/>
              </w:rPr>
            </w:pPr>
            <w:r>
              <w:rPr>
                <w:rFonts w:ascii="Arial" w:hAnsi="Arial" w:cs="Arial"/>
                <w:sz w:val="20"/>
                <w:szCs w:val="20"/>
              </w:rPr>
              <w:t>-$414,032</w:t>
            </w:r>
          </w:p>
        </w:tc>
        <w:tc>
          <w:tcPr>
            <w:tcW w:w="1080" w:type="dxa"/>
            <w:tcBorders>
              <w:top w:val="nil"/>
              <w:left w:val="nil"/>
              <w:bottom w:val="nil"/>
              <w:right w:val="nil"/>
            </w:tcBorders>
            <w:shd w:val="clear" w:color="auto" w:fill="auto"/>
            <w:noWrap/>
            <w:vAlign w:val="bottom"/>
            <w:hideMark/>
          </w:tcPr>
          <w:p w14:paraId="4FBE4AA0"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241C027"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3F7584D0" w14:textId="77777777" w:rsidR="00C12EA8" w:rsidRDefault="00C12EA8">
            <w:pPr>
              <w:rPr>
                <w:sz w:val="20"/>
                <w:szCs w:val="20"/>
              </w:rPr>
            </w:pPr>
          </w:p>
        </w:tc>
      </w:tr>
      <w:tr w:rsidR="00C12EA8" w14:paraId="381FB145" w14:textId="77777777" w:rsidTr="00C12EA8">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6BE5D01" w14:textId="3AC319E9" w:rsidR="00C12EA8" w:rsidRDefault="00C12EA8" w:rsidP="00EE5252">
            <w:pPr>
              <w:rPr>
                <w:rFonts w:ascii="Arial" w:hAnsi="Arial" w:cs="Arial"/>
                <w:sz w:val="20"/>
                <w:szCs w:val="20"/>
              </w:rPr>
            </w:pPr>
            <w:r>
              <w:rPr>
                <w:rFonts w:ascii="Arial" w:hAnsi="Arial" w:cs="Arial"/>
                <w:sz w:val="20"/>
                <w:szCs w:val="20"/>
              </w:rPr>
              <w:t>Average Increase</w:t>
            </w:r>
            <w:r w:rsidR="00E857B1">
              <w:rPr>
                <w:rFonts w:ascii="Arial" w:hAnsi="Arial" w:cs="Arial"/>
                <w:sz w:val="20"/>
                <w:szCs w:val="20"/>
              </w:rPr>
              <w:t xml:space="preserve"> </w:t>
            </w:r>
            <w:r w:rsidR="005F2008">
              <w:rPr>
                <w:rFonts w:ascii="Arial" w:hAnsi="Arial" w:cs="Arial"/>
                <w:sz w:val="20"/>
                <w:szCs w:val="20"/>
              </w:rPr>
              <w:t>Daily Fee</w:t>
            </w:r>
          </w:p>
        </w:tc>
        <w:tc>
          <w:tcPr>
            <w:tcW w:w="1300" w:type="dxa"/>
            <w:tcBorders>
              <w:top w:val="nil"/>
              <w:left w:val="nil"/>
              <w:bottom w:val="single" w:sz="4" w:space="0" w:color="auto"/>
              <w:right w:val="single" w:sz="4" w:space="0" w:color="auto"/>
            </w:tcBorders>
            <w:shd w:val="clear" w:color="auto" w:fill="auto"/>
            <w:noWrap/>
            <w:vAlign w:val="bottom"/>
            <w:hideMark/>
          </w:tcPr>
          <w:p w14:paraId="2002A889" w14:textId="77777777" w:rsidR="00C12EA8" w:rsidRDefault="00C12EA8">
            <w:pPr>
              <w:jc w:val="right"/>
              <w:rPr>
                <w:rFonts w:ascii="Arial" w:hAnsi="Arial" w:cs="Arial"/>
                <w:sz w:val="20"/>
                <w:szCs w:val="20"/>
              </w:rPr>
            </w:pPr>
            <w:r>
              <w:rPr>
                <w:rFonts w:ascii="Arial" w:hAnsi="Arial" w:cs="Arial"/>
                <w:sz w:val="20"/>
                <w:szCs w:val="20"/>
              </w:rPr>
              <w:t>$14.05</w:t>
            </w:r>
          </w:p>
        </w:tc>
        <w:tc>
          <w:tcPr>
            <w:tcW w:w="1080" w:type="dxa"/>
            <w:tcBorders>
              <w:top w:val="nil"/>
              <w:left w:val="nil"/>
              <w:bottom w:val="nil"/>
              <w:right w:val="nil"/>
            </w:tcBorders>
            <w:shd w:val="clear" w:color="auto" w:fill="auto"/>
            <w:noWrap/>
            <w:vAlign w:val="bottom"/>
            <w:hideMark/>
          </w:tcPr>
          <w:p w14:paraId="210859F3" w14:textId="77777777" w:rsidR="00C12EA8" w:rsidRDefault="00C12EA8">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86F925F" w14:textId="77777777" w:rsidR="00C12EA8" w:rsidRDefault="00C12EA8">
            <w:pPr>
              <w:rPr>
                <w:sz w:val="20"/>
                <w:szCs w:val="20"/>
              </w:rPr>
            </w:pPr>
          </w:p>
        </w:tc>
        <w:tc>
          <w:tcPr>
            <w:tcW w:w="960" w:type="dxa"/>
            <w:tcBorders>
              <w:top w:val="nil"/>
              <w:left w:val="nil"/>
              <w:bottom w:val="nil"/>
              <w:right w:val="nil"/>
            </w:tcBorders>
            <w:shd w:val="clear" w:color="auto" w:fill="auto"/>
            <w:noWrap/>
            <w:vAlign w:val="bottom"/>
            <w:hideMark/>
          </w:tcPr>
          <w:p w14:paraId="4B4F3136" w14:textId="77777777" w:rsidR="00C12EA8" w:rsidRDefault="00C12EA8">
            <w:pPr>
              <w:rPr>
                <w:sz w:val="20"/>
                <w:szCs w:val="20"/>
              </w:rPr>
            </w:pPr>
          </w:p>
        </w:tc>
      </w:tr>
      <w:tr w:rsidR="0075651B" w14:paraId="6D8F3832" w14:textId="77777777" w:rsidTr="00822085">
        <w:trPr>
          <w:trHeight w:val="255"/>
        </w:trPr>
        <w:tc>
          <w:tcPr>
            <w:tcW w:w="5400" w:type="dxa"/>
            <w:tcBorders>
              <w:top w:val="nil"/>
              <w:left w:val="nil"/>
              <w:bottom w:val="single" w:sz="4" w:space="0" w:color="auto"/>
              <w:right w:val="nil"/>
            </w:tcBorders>
            <w:shd w:val="clear" w:color="auto" w:fill="auto"/>
            <w:noWrap/>
            <w:vAlign w:val="bottom"/>
            <w:hideMark/>
          </w:tcPr>
          <w:p w14:paraId="32E076F0" w14:textId="77777777" w:rsidR="0075651B" w:rsidRDefault="0075651B">
            <w:pPr>
              <w:rPr>
                <w:rFonts w:ascii="Arial" w:hAnsi="Arial" w:cs="Arial"/>
                <w:sz w:val="20"/>
                <w:szCs w:val="20"/>
              </w:rPr>
            </w:pPr>
            <w:r>
              <w:rPr>
                <w:rFonts w:ascii="Arial" w:hAnsi="Arial" w:cs="Arial"/>
                <w:sz w:val="20"/>
                <w:szCs w:val="20"/>
              </w:rPr>
              <w:t> </w:t>
            </w:r>
          </w:p>
        </w:tc>
        <w:tc>
          <w:tcPr>
            <w:tcW w:w="4300" w:type="dxa"/>
            <w:gridSpan w:val="4"/>
            <w:tcBorders>
              <w:top w:val="nil"/>
              <w:left w:val="nil"/>
              <w:bottom w:val="single" w:sz="4" w:space="0" w:color="auto"/>
              <w:right w:val="nil"/>
            </w:tcBorders>
            <w:shd w:val="clear" w:color="auto" w:fill="auto"/>
            <w:noWrap/>
            <w:vAlign w:val="bottom"/>
            <w:hideMark/>
          </w:tcPr>
          <w:p w14:paraId="683FAAFA" w14:textId="77777777" w:rsidR="0075651B" w:rsidRDefault="0075651B" w:rsidP="00B7385B">
            <w:pPr>
              <w:jc w:val="center"/>
              <w:rPr>
                <w:sz w:val="20"/>
                <w:szCs w:val="20"/>
              </w:rPr>
            </w:pPr>
          </w:p>
        </w:tc>
      </w:tr>
      <w:tr w:rsidR="00C12EA8" w14:paraId="0B506F6E"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A6BCE47" w14:textId="77777777" w:rsidR="00C12EA8" w:rsidRDefault="00AD1B6B">
            <w:pPr>
              <w:rPr>
                <w:rFonts w:ascii="Arial" w:hAnsi="Arial" w:cs="Arial"/>
                <w:b/>
                <w:bCs/>
                <w:sz w:val="20"/>
                <w:szCs w:val="20"/>
              </w:rPr>
            </w:pPr>
            <w:r>
              <w:rPr>
                <w:rFonts w:ascii="Arial" w:hAnsi="Arial" w:cs="Arial"/>
                <w:b/>
                <w:bCs/>
                <w:sz w:val="20"/>
                <w:szCs w:val="20"/>
              </w:rPr>
              <w:t xml:space="preserve">Centre </w:t>
            </w:r>
            <w:proofErr w:type="spellStart"/>
            <w:r>
              <w:rPr>
                <w:rFonts w:ascii="Arial" w:hAnsi="Arial" w:cs="Arial"/>
                <w:b/>
                <w:bCs/>
                <w:sz w:val="20"/>
                <w:szCs w:val="20"/>
              </w:rPr>
              <w:t>SEIFA</w:t>
            </w:r>
            <w:proofErr w:type="spellEnd"/>
            <w:r>
              <w:rPr>
                <w:rFonts w:ascii="Arial" w:hAnsi="Arial" w:cs="Arial"/>
                <w:b/>
                <w:bCs/>
                <w:sz w:val="20"/>
                <w:szCs w:val="20"/>
              </w:rPr>
              <w:t xml:space="preserve"> Band Range</w:t>
            </w:r>
            <w:r w:rsidDel="0075651B">
              <w:rPr>
                <w:rFonts w:ascii="Arial" w:hAnsi="Arial" w:cs="Arial"/>
                <w:b/>
                <w:bCs/>
                <w:sz w:val="20"/>
                <w:szCs w:val="20"/>
              </w:rPr>
              <w:t xml:space="preserve"> </w:t>
            </w:r>
          </w:p>
        </w:tc>
        <w:tc>
          <w:tcPr>
            <w:tcW w:w="2380"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04D533DE" w14:textId="77777777" w:rsidR="00C12EA8" w:rsidRDefault="00C12EA8">
            <w:pPr>
              <w:jc w:val="center"/>
              <w:rPr>
                <w:rFonts w:ascii="Arial" w:hAnsi="Arial" w:cs="Arial"/>
                <w:b/>
                <w:bCs/>
                <w:sz w:val="20"/>
                <w:szCs w:val="20"/>
              </w:rPr>
            </w:pPr>
            <w:r>
              <w:rPr>
                <w:rFonts w:ascii="Arial" w:hAnsi="Arial" w:cs="Arial"/>
                <w:b/>
                <w:bCs/>
                <w:sz w:val="20"/>
                <w:szCs w:val="20"/>
              </w:rPr>
              <w:t xml:space="preserve"> 3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33765D" w14:textId="77777777" w:rsidR="00C12EA8" w:rsidRDefault="00C12EA8">
            <w:pPr>
              <w:jc w:val="center"/>
              <w:rPr>
                <w:rFonts w:ascii="Arial" w:hAnsi="Arial" w:cs="Arial"/>
                <w:b/>
                <w:bCs/>
                <w:sz w:val="20"/>
                <w:szCs w:val="20"/>
              </w:rPr>
            </w:pPr>
            <w:r>
              <w:rPr>
                <w:rFonts w:ascii="Arial" w:hAnsi="Arial" w:cs="Arial"/>
                <w:b/>
                <w:bCs/>
                <w:sz w:val="20"/>
                <w:szCs w:val="20"/>
              </w:rPr>
              <w:t xml:space="preserve"> 17 </w:t>
            </w:r>
          </w:p>
        </w:tc>
      </w:tr>
      <w:tr w:rsidR="00C12EA8" w14:paraId="5A101CB8"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7CF97CC" w14:textId="69C5D057" w:rsidR="00C12EA8" w:rsidRDefault="00C12EA8">
            <w:pPr>
              <w:rPr>
                <w:rFonts w:ascii="Arial" w:hAnsi="Arial" w:cs="Arial"/>
                <w:sz w:val="20"/>
                <w:szCs w:val="20"/>
              </w:rPr>
            </w:pPr>
            <w:r>
              <w:rPr>
                <w:rFonts w:ascii="Arial" w:hAnsi="Arial" w:cs="Arial"/>
                <w:sz w:val="20"/>
                <w:szCs w:val="20"/>
              </w:rPr>
              <w:t xml:space="preserve">NSW Government Funding </w:t>
            </w:r>
            <w:r w:rsidR="003E3967">
              <w:rPr>
                <w:rFonts w:ascii="Arial" w:hAnsi="Arial" w:cs="Arial"/>
                <w:sz w:val="20"/>
                <w:szCs w:val="20"/>
              </w:rPr>
              <w:t xml:space="preserve">4 to 5 </w:t>
            </w:r>
            <w:r>
              <w:rPr>
                <w:rFonts w:ascii="Arial" w:hAnsi="Arial" w:cs="Arial"/>
                <w:sz w:val="20"/>
                <w:szCs w:val="20"/>
              </w:rPr>
              <w:t xml:space="preserve"> Year Old/Child</w:t>
            </w:r>
          </w:p>
        </w:tc>
        <w:tc>
          <w:tcPr>
            <w:tcW w:w="2380"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61FF267E" w14:textId="77777777" w:rsidR="00C12EA8" w:rsidRDefault="00C12EA8">
            <w:pPr>
              <w:jc w:val="center"/>
              <w:rPr>
                <w:rFonts w:ascii="Arial" w:hAnsi="Arial" w:cs="Arial"/>
                <w:sz w:val="20"/>
                <w:szCs w:val="20"/>
              </w:rPr>
            </w:pPr>
            <w:r>
              <w:rPr>
                <w:rFonts w:ascii="Arial" w:hAnsi="Arial" w:cs="Arial"/>
                <w:sz w:val="20"/>
                <w:szCs w:val="20"/>
              </w:rPr>
              <w:t>$1,950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74A5FA" w14:textId="77777777" w:rsidR="00C12EA8" w:rsidRDefault="00C12EA8">
            <w:pPr>
              <w:jc w:val="center"/>
              <w:rPr>
                <w:rFonts w:ascii="Arial" w:hAnsi="Arial" w:cs="Arial"/>
                <w:sz w:val="20"/>
                <w:szCs w:val="20"/>
              </w:rPr>
            </w:pPr>
            <w:r>
              <w:rPr>
                <w:rFonts w:ascii="Arial" w:hAnsi="Arial" w:cs="Arial"/>
                <w:sz w:val="20"/>
                <w:szCs w:val="20"/>
              </w:rPr>
              <w:t>$1,950</w:t>
            </w:r>
          </w:p>
        </w:tc>
      </w:tr>
      <w:tr w:rsidR="00C12EA8" w14:paraId="4FE627D4"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72AA1D3" w14:textId="15B26493" w:rsidR="00C12EA8" w:rsidRDefault="00C12EA8">
            <w:pPr>
              <w:rPr>
                <w:rFonts w:ascii="Arial" w:hAnsi="Arial" w:cs="Arial"/>
                <w:sz w:val="20"/>
                <w:szCs w:val="20"/>
              </w:rPr>
            </w:pPr>
            <w:r>
              <w:rPr>
                <w:rFonts w:ascii="Arial" w:hAnsi="Arial" w:cs="Arial"/>
                <w:sz w:val="20"/>
                <w:szCs w:val="20"/>
              </w:rPr>
              <w:t xml:space="preserve">NSW Govt. Funding </w:t>
            </w:r>
            <w:r w:rsidR="005461A5">
              <w:rPr>
                <w:rFonts w:ascii="Arial" w:hAnsi="Arial" w:cs="Arial"/>
                <w:sz w:val="20"/>
                <w:szCs w:val="20"/>
              </w:rPr>
              <w:t>3 year old</w:t>
            </w:r>
            <w:r>
              <w:rPr>
                <w:rFonts w:ascii="Arial" w:hAnsi="Arial" w:cs="Arial"/>
                <w:sz w:val="20"/>
                <w:szCs w:val="20"/>
              </w:rPr>
              <w:t xml:space="preserve"> Disadvantaged/Aboriginal</w:t>
            </w:r>
            <w:r w:rsidR="00E857B1">
              <w:rPr>
                <w:rFonts w:ascii="Arial" w:hAnsi="Arial" w:cs="Arial"/>
                <w:sz w:val="20"/>
                <w:szCs w:val="20"/>
              </w:rPr>
              <w:t xml:space="preserve"> </w:t>
            </w:r>
            <w:r>
              <w:rPr>
                <w:rFonts w:ascii="Arial" w:hAnsi="Arial" w:cs="Arial"/>
                <w:sz w:val="20"/>
                <w:szCs w:val="20"/>
              </w:rPr>
              <w:t>Child</w:t>
            </w:r>
          </w:p>
        </w:tc>
        <w:tc>
          <w:tcPr>
            <w:tcW w:w="2380"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798EF377" w14:textId="77777777" w:rsidR="00C12EA8" w:rsidRDefault="00C12EA8">
            <w:pPr>
              <w:jc w:val="center"/>
              <w:rPr>
                <w:rFonts w:ascii="Arial" w:hAnsi="Arial" w:cs="Arial"/>
                <w:sz w:val="20"/>
                <w:szCs w:val="20"/>
              </w:rPr>
            </w:pPr>
            <w:r>
              <w:rPr>
                <w:rFonts w:ascii="Arial" w:hAnsi="Arial" w:cs="Arial"/>
                <w:sz w:val="20"/>
                <w:szCs w:val="20"/>
              </w:rPr>
              <w:t>$1,950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1F17EF" w14:textId="77777777" w:rsidR="00C12EA8" w:rsidRDefault="00C12EA8">
            <w:pPr>
              <w:jc w:val="center"/>
              <w:rPr>
                <w:rFonts w:ascii="Arial" w:hAnsi="Arial" w:cs="Arial"/>
                <w:sz w:val="20"/>
                <w:szCs w:val="20"/>
              </w:rPr>
            </w:pPr>
            <w:r>
              <w:rPr>
                <w:rFonts w:ascii="Arial" w:hAnsi="Arial" w:cs="Arial"/>
                <w:sz w:val="20"/>
                <w:szCs w:val="20"/>
              </w:rPr>
              <w:t>$1,950</w:t>
            </w:r>
          </w:p>
        </w:tc>
      </w:tr>
      <w:tr w:rsidR="00C12EA8" w14:paraId="337244F4"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B92E188" w14:textId="77777777" w:rsidR="00C12EA8" w:rsidRDefault="00C12EA8" w:rsidP="00EE5252">
            <w:pPr>
              <w:rPr>
                <w:rFonts w:ascii="Arial" w:hAnsi="Arial" w:cs="Arial"/>
                <w:sz w:val="20"/>
                <w:szCs w:val="20"/>
              </w:rPr>
            </w:pPr>
            <w:r>
              <w:rPr>
                <w:rFonts w:ascii="Arial" w:hAnsi="Arial" w:cs="Arial"/>
                <w:sz w:val="20"/>
                <w:szCs w:val="20"/>
              </w:rPr>
              <w:t xml:space="preserve">Average </w:t>
            </w:r>
            <w:r w:rsidR="0075651B">
              <w:rPr>
                <w:rFonts w:ascii="Arial" w:hAnsi="Arial" w:cs="Arial"/>
                <w:sz w:val="20"/>
                <w:szCs w:val="20"/>
              </w:rPr>
              <w:t xml:space="preserve">Daily </w:t>
            </w:r>
            <w:r>
              <w:rPr>
                <w:rFonts w:ascii="Arial" w:hAnsi="Arial" w:cs="Arial"/>
                <w:sz w:val="20"/>
                <w:szCs w:val="20"/>
              </w:rPr>
              <w:t xml:space="preserve">Fee </w:t>
            </w:r>
            <w:r w:rsidR="004F5C14">
              <w:rPr>
                <w:rFonts w:ascii="Arial" w:hAnsi="Arial" w:cs="Arial"/>
                <w:sz w:val="20"/>
                <w:szCs w:val="20"/>
              </w:rPr>
              <w:t>Increase</w:t>
            </w:r>
            <w:r w:rsidR="0075651B">
              <w:rPr>
                <w:rFonts w:ascii="Arial" w:hAnsi="Arial" w:cs="Arial"/>
                <w:sz w:val="20"/>
                <w:szCs w:val="20"/>
              </w:rPr>
              <w:t>/Decrease</w:t>
            </w:r>
          </w:p>
        </w:tc>
        <w:tc>
          <w:tcPr>
            <w:tcW w:w="2380" w:type="dxa"/>
            <w:gridSpan w:val="2"/>
            <w:tcBorders>
              <w:top w:val="single" w:sz="4" w:space="0" w:color="auto"/>
              <w:left w:val="nil"/>
              <w:bottom w:val="single" w:sz="4" w:space="0" w:color="auto"/>
              <w:right w:val="single" w:sz="4" w:space="0" w:color="000000"/>
            </w:tcBorders>
            <w:shd w:val="clear" w:color="auto" w:fill="B8CCE4"/>
            <w:noWrap/>
            <w:vAlign w:val="bottom"/>
            <w:hideMark/>
          </w:tcPr>
          <w:p w14:paraId="5CE2FF5D" w14:textId="77777777" w:rsidR="00C12EA8" w:rsidRDefault="00C12EA8">
            <w:pPr>
              <w:jc w:val="center"/>
              <w:rPr>
                <w:rFonts w:ascii="Arial" w:hAnsi="Arial" w:cs="Arial"/>
                <w:sz w:val="20"/>
                <w:szCs w:val="20"/>
              </w:rPr>
            </w:pPr>
            <w:r>
              <w:rPr>
                <w:rFonts w:ascii="Arial" w:hAnsi="Arial" w:cs="Arial"/>
                <w:sz w:val="20"/>
                <w:szCs w:val="20"/>
              </w:rPr>
              <w:t>$34.96</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6B6E47" w14:textId="77777777" w:rsidR="00C12EA8" w:rsidRDefault="00C12EA8">
            <w:pPr>
              <w:jc w:val="center"/>
              <w:rPr>
                <w:rFonts w:ascii="Arial" w:hAnsi="Arial" w:cs="Arial"/>
                <w:sz w:val="20"/>
                <w:szCs w:val="20"/>
              </w:rPr>
            </w:pPr>
            <w:r>
              <w:rPr>
                <w:rFonts w:ascii="Arial" w:hAnsi="Arial" w:cs="Arial"/>
                <w:sz w:val="20"/>
                <w:szCs w:val="20"/>
              </w:rPr>
              <w:t>-$1.61</w:t>
            </w:r>
          </w:p>
        </w:tc>
      </w:tr>
      <w:tr w:rsidR="00C12EA8" w14:paraId="539E52D7"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1CC1018" w14:textId="77777777" w:rsidR="00C12EA8" w:rsidRDefault="00C12EA8">
            <w:pPr>
              <w:rPr>
                <w:rFonts w:ascii="Arial" w:hAnsi="Arial" w:cs="Arial"/>
                <w:b/>
                <w:bCs/>
                <w:sz w:val="20"/>
                <w:szCs w:val="20"/>
              </w:rPr>
            </w:pPr>
            <w:r>
              <w:rPr>
                <w:rFonts w:ascii="Arial" w:hAnsi="Arial" w:cs="Arial"/>
                <w:b/>
                <w:bCs/>
                <w:sz w:val="20"/>
                <w:szCs w:val="20"/>
              </w:rPr>
              <w:t>Daily Fees</w:t>
            </w:r>
          </w:p>
        </w:tc>
        <w:tc>
          <w:tcPr>
            <w:tcW w:w="1300" w:type="dxa"/>
            <w:tcBorders>
              <w:top w:val="nil"/>
              <w:left w:val="nil"/>
              <w:bottom w:val="single" w:sz="4" w:space="0" w:color="auto"/>
              <w:right w:val="single" w:sz="4" w:space="0" w:color="auto"/>
            </w:tcBorders>
            <w:shd w:val="clear" w:color="auto" w:fill="B8CCE4"/>
            <w:noWrap/>
            <w:vAlign w:val="bottom"/>
            <w:hideMark/>
          </w:tcPr>
          <w:p w14:paraId="4C923F30" w14:textId="77777777" w:rsidR="00C12EA8" w:rsidRDefault="00C12EA8">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1080" w:type="dxa"/>
            <w:tcBorders>
              <w:top w:val="nil"/>
              <w:left w:val="nil"/>
              <w:bottom w:val="single" w:sz="4" w:space="0" w:color="auto"/>
              <w:right w:val="nil"/>
            </w:tcBorders>
            <w:shd w:val="clear" w:color="auto" w:fill="B8CCE4"/>
            <w:noWrap/>
            <w:vAlign w:val="bottom"/>
            <w:hideMark/>
          </w:tcPr>
          <w:p w14:paraId="218EDF71" w14:textId="77777777" w:rsidR="00C12EA8" w:rsidRDefault="00C12EA8">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EC513" w14:textId="77777777" w:rsidR="00C12EA8" w:rsidRDefault="00C12EA8">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47B2746" w14:textId="77777777" w:rsidR="00C12EA8" w:rsidRDefault="00C12EA8">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r>
      <w:tr w:rsidR="00C12EA8" w14:paraId="60513909"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BDCE01A" w14:textId="77C92248" w:rsidR="00C12EA8" w:rsidRDefault="00C12EA8">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4 to 5  </w:t>
            </w:r>
            <w:r>
              <w:rPr>
                <w:rFonts w:ascii="Arial" w:hAnsi="Arial" w:cs="Arial"/>
                <w:sz w:val="20"/>
                <w:szCs w:val="20"/>
              </w:rPr>
              <w:t>Year Old Child</w:t>
            </w:r>
          </w:p>
        </w:tc>
        <w:tc>
          <w:tcPr>
            <w:tcW w:w="1300" w:type="dxa"/>
            <w:tcBorders>
              <w:top w:val="nil"/>
              <w:left w:val="nil"/>
              <w:bottom w:val="single" w:sz="4" w:space="0" w:color="auto"/>
              <w:right w:val="single" w:sz="4" w:space="0" w:color="auto"/>
            </w:tcBorders>
            <w:shd w:val="clear" w:color="auto" w:fill="B8CCE4"/>
            <w:noWrap/>
            <w:vAlign w:val="bottom"/>
            <w:hideMark/>
          </w:tcPr>
          <w:p w14:paraId="638E2D72" w14:textId="77777777" w:rsidR="00C12EA8" w:rsidRDefault="00C12EA8">
            <w:pPr>
              <w:jc w:val="right"/>
              <w:rPr>
                <w:rFonts w:ascii="Arial" w:hAnsi="Arial" w:cs="Arial"/>
                <w:sz w:val="20"/>
                <w:szCs w:val="20"/>
              </w:rPr>
            </w:pPr>
            <w:r>
              <w:rPr>
                <w:rFonts w:ascii="Arial" w:hAnsi="Arial" w:cs="Arial"/>
                <w:sz w:val="20"/>
                <w:szCs w:val="20"/>
              </w:rPr>
              <w:t>$50.96</w:t>
            </w:r>
          </w:p>
        </w:tc>
        <w:tc>
          <w:tcPr>
            <w:tcW w:w="1080" w:type="dxa"/>
            <w:tcBorders>
              <w:top w:val="nil"/>
              <w:left w:val="nil"/>
              <w:bottom w:val="single" w:sz="4" w:space="0" w:color="auto"/>
              <w:right w:val="nil"/>
            </w:tcBorders>
            <w:shd w:val="clear" w:color="auto" w:fill="B8CCE4"/>
            <w:noWrap/>
            <w:vAlign w:val="bottom"/>
            <w:hideMark/>
          </w:tcPr>
          <w:p w14:paraId="60724CBF" w14:textId="77777777" w:rsidR="00C12EA8" w:rsidRDefault="00C12EA8">
            <w:pPr>
              <w:jc w:val="right"/>
              <w:rPr>
                <w:rFonts w:ascii="Arial" w:hAnsi="Arial" w:cs="Arial"/>
                <w:sz w:val="20"/>
                <w:szCs w:val="20"/>
              </w:rPr>
            </w:pPr>
            <w:r>
              <w:rPr>
                <w:rFonts w:ascii="Arial" w:hAnsi="Arial" w:cs="Arial"/>
                <w:sz w:val="20"/>
                <w:szCs w:val="20"/>
              </w:rPr>
              <w:t>$46.54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72F87" w14:textId="77777777" w:rsidR="00C12EA8" w:rsidRDefault="00C12EA8">
            <w:pPr>
              <w:jc w:val="right"/>
              <w:rPr>
                <w:rFonts w:ascii="Arial" w:hAnsi="Arial" w:cs="Arial"/>
                <w:sz w:val="20"/>
                <w:szCs w:val="20"/>
              </w:rPr>
            </w:pPr>
            <w:r>
              <w:rPr>
                <w:rFonts w:ascii="Arial" w:hAnsi="Arial" w:cs="Arial"/>
                <w:sz w:val="20"/>
                <w:szCs w:val="20"/>
              </w:rPr>
              <w:t>$49.39</w:t>
            </w:r>
          </w:p>
        </w:tc>
        <w:tc>
          <w:tcPr>
            <w:tcW w:w="960" w:type="dxa"/>
            <w:tcBorders>
              <w:top w:val="nil"/>
              <w:left w:val="nil"/>
              <w:bottom w:val="single" w:sz="4" w:space="0" w:color="auto"/>
              <w:right w:val="single" w:sz="4" w:space="0" w:color="auto"/>
            </w:tcBorders>
            <w:shd w:val="clear" w:color="auto" w:fill="auto"/>
            <w:noWrap/>
            <w:vAlign w:val="bottom"/>
            <w:hideMark/>
          </w:tcPr>
          <w:p w14:paraId="74E71659" w14:textId="77777777" w:rsidR="00C12EA8" w:rsidRDefault="00C12EA8">
            <w:pPr>
              <w:jc w:val="right"/>
              <w:rPr>
                <w:rFonts w:ascii="Arial" w:hAnsi="Arial" w:cs="Arial"/>
                <w:sz w:val="20"/>
                <w:szCs w:val="20"/>
              </w:rPr>
            </w:pPr>
            <w:r>
              <w:rPr>
                <w:rFonts w:ascii="Arial" w:hAnsi="Arial" w:cs="Arial"/>
                <w:sz w:val="20"/>
                <w:szCs w:val="20"/>
              </w:rPr>
              <w:t>$44.63</w:t>
            </w:r>
          </w:p>
        </w:tc>
      </w:tr>
      <w:tr w:rsidR="00C12EA8" w14:paraId="4CE120F0"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705ECE8" w14:textId="7A351DE9" w:rsidR="00C12EA8" w:rsidRDefault="00C12EA8">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Disadvantaged</w:t>
            </w:r>
          </w:p>
        </w:tc>
        <w:tc>
          <w:tcPr>
            <w:tcW w:w="1300" w:type="dxa"/>
            <w:tcBorders>
              <w:top w:val="nil"/>
              <w:left w:val="nil"/>
              <w:bottom w:val="single" w:sz="4" w:space="0" w:color="auto"/>
              <w:right w:val="single" w:sz="4" w:space="0" w:color="auto"/>
            </w:tcBorders>
            <w:shd w:val="clear" w:color="auto" w:fill="B8CCE4"/>
            <w:noWrap/>
            <w:vAlign w:val="bottom"/>
            <w:hideMark/>
          </w:tcPr>
          <w:p w14:paraId="295E4392" w14:textId="77777777" w:rsidR="00C12EA8" w:rsidRDefault="00C12EA8">
            <w:pPr>
              <w:jc w:val="right"/>
              <w:rPr>
                <w:rFonts w:ascii="Arial" w:hAnsi="Arial" w:cs="Arial"/>
                <w:sz w:val="20"/>
                <w:szCs w:val="20"/>
              </w:rPr>
            </w:pPr>
            <w:r>
              <w:rPr>
                <w:rFonts w:ascii="Arial" w:hAnsi="Arial" w:cs="Arial"/>
                <w:sz w:val="20"/>
                <w:szCs w:val="20"/>
              </w:rPr>
              <w:t>$48.96</w:t>
            </w:r>
          </w:p>
        </w:tc>
        <w:tc>
          <w:tcPr>
            <w:tcW w:w="1080" w:type="dxa"/>
            <w:tcBorders>
              <w:top w:val="nil"/>
              <w:left w:val="nil"/>
              <w:bottom w:val="single" w:sz="4" w:space="0" w:color="auto"/>
              <w:right w:val="nil"/>
            </w:tcBorders>
            <w:shd w:val="clear" w:color="auto" w:fill="B8CCE4"/>
            <w:noWrap/>
            <w:vAlign w:val="bottom"/>
            <w:hideMark/>
          </w:tcPr>
          <w:p w14:paraId="2052EFDD" w14:textId="77777777" w:rsidR="00C12EA8" w:rsidRDefault="00C12EA8">
            <w:pPr>
              <w:jc w:val="right"/>
              <w:rPr>
                <w:rFonts w:ascii="Arial" w:hAnsi="Arial" w:cs="Arial"/>
                <w:sz w:val="20"/>
                <w:szCs w:val="20"/>
              </w:rPr>
            </w:pPr>
            <w:r>
              <w:rPr>
                <w:rFonts w:ascii="Arial" w:hAnsi="Arial" w:cs="Arial"/>
                <w:sz w:val="20"/>
                <w:szCs w:val="20"/>
              </w:rPr>
              <w:t>$44.54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8B120" w14:textId="77777777" w:rsidR="00C12EA8" w:rsidRDefault="00C12EA8">
            <w:pPr>
              <w:jc w:val="right"/>
              <w:rPr>
                <w:rFonts w:ascii="Arial" w:hAnsi="Arial" w:cs="Arial"/>
                <w:sz w:val="20"/>
                <w:szCs w:val="20"/>
              </w:rPr>
            </w:pPr>
            <w:r>
              <w:rPr>
                <w:rFonts w:ascii="Arial" w:hAnsi="Arial" w:cs="Arial"/>
                <w:sz w:val="20"/>
                <w:szCs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363FE92D" w14:textId="77777777" w:rsidR="00C12EA8" w:rsidRDefault="00C12EA8">
            <w:pPr>
              <w:jc w:val="right"/>
              <w:rPr>
                <w:rFonts w:ascii="Arial" w:hAnsi="Arial" w:cs="Arial"/>
                <w:sz w:val="20"/>
                <w:szCs w:val="20"/>
              </w:rPr>
            </w:pPr>
            <w:r>
              <w:rPr>
                <w:rFonts w:ascii="Arial" w:hAnsi="Arial" w:cs="Arial"/>
                <w:sz w:val="20"/>
                <w:szCs w:val="20"/>
              </w:rPr>
              <w:t>$9.24</w:t>
            </w:r>
          </w:p>
        </w:tc>
      </w:tr>
      <w:tr w:rsidR="00C12EA8" w14:paraId="77EA07C6"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3B97CDD" w14:textId="62C97A4A" w:rsidR="00C12EA8" w:rsidRDefault="00C12EA8">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Aboriginal</w:t>
            </w:r>
          </w:p>
        </w:tc>
        <w:tc>
          <w:tcPr>
            <w:tcW w:w="1300" w:type="dxa"/>
            <w:tcBorders>
              <w:top w:val="nil"/>
              <w:left w:val="nil"/>
              <w:bottom w:val="single" w:sz="4" w:space="0" w:color="auto"/>
              <w:right w:val="single" w:sz="4" w:space="0" w:color="auto"/>
            </w:tcBorders>
            <w:shd w:val="clear" w:color="auto" w:fill="B8CCE4"/>
            <w:noWrap/>
            <w:vAlign w:val="bottom"/>
            <w:hideMark/>
          </w:tcPr>
          <w:p w14:paraId="2DF816C8" w14:textId="77777777" w:rsidR="00C12EA8" w:rsidRDefault="00C12EA8">
            <w:pPr>
              <w:jc w:val="right"/>
              <w:rPr>
                <w:rFonts w:ascii="Arial" w:hAnsi="Arial" w:cs="Arial"/>
                <w:sz w:val="20"/>
                <w:szCs w:val="20"/>
              </w:rPr>
            </w:pPr>
            <w:r>
              <w:rPr>
                <w:rFonts w:ascii="Arial" w:hAnsi="Arial" w:cs="Arial"/>
                <w:sz w:val="20"/>
                <w:szCs w:val="20"/>
              </w:rPr>
              <w:t>$34.96</w:t>
            </w:r>
          </w:p>
        </w:tc>
        <w:tc>
          <w:tcPr>
            <w:tcW w:w="1080" w:type="dxa"/>
            <w:tcBorders>
              <w:top w:val="nil"/>
              <w:left w:val="nil"/>
              <w:bottom w:val="single" w:sz="4" w:space="0" w:color="auto"/>
              <w:right w:val="nil"/>
            </w:tcBorders>
            <w:shd w:val="clear" w:color="auto" w:fill="B8CCE4"/>
            <w:noWrap/>
            <w:vAlign w:val="bottom"/>
            <w:hideMark/>
          </w:tcPr>
          <w:p w14:paraId="218ED119" w14:textId="77777777" w:rsidR="00C12EA8" w:rsidRDefault="00C12EA8">
            <w:pPr>
              <w:jc w:val="right"/>
              <w:rPr>
                <w:rFonts w:ascii="Arial" w:hAnsi="Arial" w:cs="Arial"/>
                <w:sz w:val="20"/>
                <w:szCs w:val="20"/>
              </w:rPr>
            </w:pPr>
            <w:r>
              <w:rPr>
                <w:rFonts w:ascii="Arial" w:hAnsi="Arial" w:cs="Arial"/>
                <w:sz w:val="20"/>
                <w:szCs w:val="20"/>
              </w:rPr>
              <w:t>$30.54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868C5" w14:textId="77777777" w:rsidR="00C12EA8" w:rsidRDefault="00C12EA8">
            <w:pPr>
              <w:jc w:val="right"/>
              <w:rPr>
                <w:rFonts w:ascii="Arial" w:hAnsi="Arial" w:cs="Arial"/>
                <w:sz w:val="20"/>
                <w:szCs w:val="20"/>
              </w:rPr>
            </w:pPr>
            <w:r>
              <w:rPr>
                <w:rFonts w:ascii="Arial" w:hAnsi="Arial" w:cs="Arial"/>
                <w:sz w:val="20"/>
                <w:szCs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1AD852B7" w14:textId="77777777" w:rsidR="00C12EA8" w:rsidRDefault="00C12EA8">
            <w:pPr>
              <w:jc w:val="right"/>
              <w:rPr>
                <w:rFonts w:ascii="Arial" w:hAnsi="Arial" w:cs="Arial"/>
                <w:sz w:val="20"/>
                <w:szCs w:val="20"/>
              </w:rPr>
            </w:pPr>
            <w:r>
              <w:rPr>
                <w:rFonts w:ascii="Arial" w:hAnsi="Arial" w:cs="Arial"/>
                <w:sz w:val="20"/>
                <w:szCs w:val="20"/>
              </w:rPr>
              <w:t>$9.24</w:t>
            </w:r>
          </w:p>
        </w:tc>
      </w:tr>
      <w:tr w:rsidR="00C12EA8" w14:paraId="6EDA826D"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8393A34" w14:textId="66655274" w:rsidR="00C12EA8" w:rsidRDefault="005461A5">
            <w:pPr>
              <w:rPr>
                <w:rFonts w:ascii="Arial" w:hAnsi="Arial" w:cs="Arial"/>
                <w:sz w:val="20"/>
                <w:szCs w:val="20"/>
              </w:rPr>
            </w:pPr>
            <w:r>
              <w:rPr>
                <w:rFonts w:ascii="Arial" w:hAnsi="Arial" w:cs="Arial"/>
                <w:sz w:val="20"/>
                <w:szCs w:val="20"/>
              </w:rPr>
              <w:t>3 year old</w:t>
            </w:r>
            <w:r w:rsidR="00C12EA8">
              <w:rPr>
                <w:rFonts w:ascii="Arial" w:hAnsi="Arial" w:cs="Arial"/>
                <w:sz w:val="20"/>
                <w:szCs w:val="20"/>
              </w:rPr>
              <w:t xml:space="preserve"> Child</w:t>
            </w:r>
          </w:p>
        </w:tc>
        <w:tc>
          <w:tcPr>
            <w:tcW w:w="1300" w:type="dxa"/>
            <w:tcBorders>
              <w:top w:val="nil"/>
              <w:left w:val="nil"/>
              <w:bottom w:val="single" w:sz="4" w:space="0" w:color="auto"/>
              <w:right w:val="single" w:sz="4" w:space="0" w:color="auto"/>
            </w:tcBorders>
            <w:shd w:val="clear" w:color="auto" w:fill="B8CCE4"/>
            <w:noWrap/>
            <w:vAlign w:val="bottom"/>
            <w:hideMark/>
          </w:tcPr>
          <w:p w14:paraId="767ABFB8" w14:textId="77777777" w:rsidR="00C12EA8" w:rsidRDefault="00C12EA8">
            <w:pPr>
              <w:jc w:val="right"/>
              <w:rPr>
                <w:rFonts w:ascii="Arial" w:hAnsi="Arial" w:cs="Arial"/>
                <w:sz w:val="20"/>
                <w:szCs w:val="20"/>
              </w:rPr>
            </w:pPr>
            <w:r>
              <w:rPr>
                <w:rFonts w:ascii="Arial" w:hAnsi="Arial" w:cs="Arial"/>
                <w:sz w:val="20"/>
                <w:szCs w:val="20"/>
              </w:rPr>
              <w:t>$63.00</w:t>
            </w:r>
          </w:p>
        </w:tc>
        <w:tc>
          <w:tcPr>
            <w:tcW w:w="1080" w:type="dxa"/>
            <w:tcBorders>
              <w:top w:val="nil"/>
              <w:left w:val="nil"/>
              <w:bottom w:val="single" w:sz="4" w:space="0" w:color="auto"/>
              <w:right w:val="nil"/>
            </w:tcBorders>
            <w:shd w:val="clear" w:color="auto" w:fill="B8CCE4"/>
            <w:noWrap/>
            <w:vAlign w:val="bottom"/>
            <w:hideMark/>
          </w:tcPr>
          <w:p w14:paraId="5E19E616" w14:textId="77777777" w:rsidR="00C12EA8" w:rsidRDefault="00C12EA8">
            <w:pPr>
              <w:jc w:val="right"/>
              <w:rPr>
                <w:rFonts w:ascii="Arial" w:hAnsi="Arial" w:cs="Arial"/>
                <w:sz w:val="20"/>
                <w:szCs w:val="20"/>
              </w:rPr>
            </w:pPr>
            <w:r>
              <w:rPr>
                <w:rFonts w:ascii="Arial" w:hAnsi="Arial" w:cs="Arial"/>
                <w:sz w:val="20"/>
                <w:szCs w:val="20"/>
              </w:rPr>
              <w:t>$58.58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9CB7BB" w14:textId="77777777" w:rsidR="00C12EA8" w:rsidRDefault="00C12EA8">
            <w:pPr>
              <w:jc w:val="right"/>
              <w:rPr>
                <w:rFonts w:ascii="Arial" w:hAnsi="Arial" w:cs="Arial"/>
                <w:sz w:val="20"/>
                <w:szCs w:val="20"/>
              </w:rPr>
            </w:pPr>
            <w:r>
              <w:rPr>
                <w:rFonts w:ascii="Arial" w:hAnsi="Arial" w:cs="Arial"/>
                <w:sz w:val="20"/>
                <w:szCs w:val="20"/>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71413D53" w14:textId="77777777" w:rsidR="00C12EA8" w:rsidRDefault="00C12EA8">
            <w:pPr>
              <w:jc w:val="right"/>
              <w:rPr>
                <w:rFonts w:ascii="Arial" w:hAnsi="Arial" w:cs="Arial"/>
                <w:sz w:val="20"/>
                <w:szCs w:val="20"/>
              </w:rPr>
            </w:pPr>
            <w:r>
              <w:rPr>
                <w:rFonts w:ascii="Arial" w:hAnsi="Arial" w:cs="Arial"/>
                <w:sz w:val="20"/>
                <w:szCs w:val="20"/>
              </w:rPr>
              <w:t>$58.24</w:t>
            </w:r>
          </w:p>
        </w:tc>
      </w:tr>
      <w:tr w:rsidR="00C12EA8" w14:paraId="7C493D16" w14:textId="77777777" w:rsidTr="00B7385B">
        <w:trPr>
          <w:trHeight w:val="25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A7161" w14:textId="77777777" w:rsidR="00C12EA8" w:rsidRDefault="00C12EA8">
            <w:pPr>
              <w:rPr>
                <w:rFonts w:ascii="Arial" w:hAnsi="Arial" w:cs="Arial"/>
                <w:sz w:val="20"/>
                <w:szCs w:val="20"/>
              </w:rPr>
            </w:pPr>
            <w:proofErr w:type="spellStart"/>
            <w:r>
              <w:rPr>
                <w:rFonts w:ascii="Arial" w:hAnsi="Arial" w:cs="Arial"/>
                <w:sz w:val="20"/>
                <w:szCs w:val="20"/>
              </w:rPr>
              <w:t>CCB</w:t>
            </w:r>
            <w:proofErr w:type="spellEnd"/>
            <w:r>
              <w:rPr>
                <w:rFonts w:ascii="Arial" w:hAnsi="Arial" w:cs="Arial"/>
                <w:sz w:val="20"/>
                <w:szCs w:val="20"/>
              </w:rPr>
              <w:t xml:space="preserve"> Rebate $0.68/hr</w:t>
            </w:r>
          </w:p>
        </w:tc>
        <w:tc>
          <w:tcPr>
            <w:tcW w:w="1300" w:type="dxa"/>
            <w:tcBorders>
              <w:top w:val="single" w:sz="4" w:space="0" w:color="auto"/>
              <w:left w:val="nil"/>
              <w:bottom w:val="single" w:sz="4" w:space="0" w:color="auto"/>
              <w:right w:val="single" w:sz="4" w:space="0" w:color="auto"/>
            </w:tcBorders>
            <w:shd w:val="clear" w:color="auto" w:fill="B8CCE4"/>
            <w:noWrap/>
            <w:vAlign w:val="bottom"/>
            <w:hideMark/>
          </w:tcPr>
          <w:p w14:paraId="246C71BA" w14:textId="77777777" w:rsidR="00C12EA8" w:rsidRDefault="00C12EA8">
            <w:pPr>
              <w:jc w:val="right"/>
              <w:rPr>
                <w:rFonts w:ascii="Arial" w:hAnsi="Arial" w:cs="Arial"/>
                <w:sz w:val="20"/>
                <w:szCs w:val="20"/>
              </w:rPr>
            </w:pPr>
            <w:r>
              <w:rPr>
                <w:rFonts w:ascii="Arial" w:hAnsi="Arial" w:cs="Arial"/>
                <w:sz w:val="20"/>
                <w:szCs w:val="20"/>
              </w:rPr>
              <w:t>$4.42</w:t>
            </w:r>
          </w:p>
        </w:tc>
        <w:tc>
          <w:tcPr>
            <w:tcW w:w="1080" w:type="dxa"/>
            <w:tcBorders>
              <w:top w:val="single" w:sz="4" w:space="0" w:color="auto"/>
              <w:left w:val="nil"/>
              <w:bottom w:val="single" w:sz="4" w:space="0" w:color="auto"/>
              <w:right w:val="nil"/>
            </w:tcBorders>
            <w:shd w:val="clear" w:color="auto" w:fill="B8CCE4"/>
            <w:noWrap/>
            <w:vAlign w:val="bottom"/>
            <w:hideMark/>
          </w:tcPr>
          <w:p w14:paraId="6F53BE17" w14:textId="77777777" w:rsidR="00C12EA8" w:rsidRDefault="00C12EA8">
            <w:pPr>
              <w:jc w:val="right"/>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6A2B" w14:textId="77777777" w:rsidR="00C12EA8" w:rsidRDefault="00C12EA8">
            <w:pPr>
              <w:jc w:val="right"/>
              <w:rPr>
                <w:rFonts w:ascii="Arial" w:hAnsi="Arial" w:cs="Arial"/>
                <w:sz w:val="20"/>
                <w:szCs w:val="20"/>
              </w:rPr>
            </w:pPr>
            <w:r>
              <w:rPr>
                <w:rFonts w:ascii="Arial" w:hAnsi="Arial" w:cs="Arial"/>
                <w:sz w:val="20"/>
                <w:szCs w:val="20"/>
              </w:rPr>
              <w:t>$4.76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E5F086" w14:textId="77777777" w:rsidR="00C12EA8" w:rsidRDefault="00C12EA8">
            <w:pPr>
              <w:jc w:val="right"/>
              <w:rPr>
                <w:rFonts w:ascii="Arial" w:hAnsi="Arial" w:cs="Arial"/>
                <w:sz w:val="20"/>
                <w:szCs w:val="20"/>
              </w:rPr>
            </w:pPr>
          </w:p>
        </w:tc>
      </w:tr>
    </w:tbl>
    <w:p w14:paraId="20B9713A" w14:textId="77777777" w:rsidR="000552F5" w:rsidRDefault="000552F5" w:rsidP="00E83F06">
      <w:pPr>
        <w:pStyle w:val="BodyText"/>
      </w:pPr>
    </w:p>
    <w:p w14:paraId="053977D8" w14:textId="581929B8" w:rsidR="00822085" w:rsidRDefault="00C12EA8" w:rsidP="00B7385B">
      <w:pPr>
        <w:pStyle w:val="BodyText"/>
        <w:spacing w:before="0" w:after="240"/>
      </w:pPr>
      <w:r w:rsidRPr="002D0F01">
        <w:t>This funding model demonstrates</w:t>
      </w:r>
      <w:r w:rsidR="00822085">
        <w:t xml:space="preserve"> a significant funding reduction to </w:t>
      </w:r>
      <w:proofErr w:type="spellStart"/>
      <w:r w:rsidRPr="00125008">
        <w:t>CEDP</w:t>
      </w:r>
      <w:proofErr w:type="spellEnd"/>
      <w:r w:rsidRPr="00125008">
        <w:t xml:space="preserve"> </w:t>
      </w:r>
      <w:r w:rsidR="00822085">
        <w:t xml:space="preserve">preschool services if the Productivity Commission’s intention is to fund dedicated preschools in line with </w:t>
      </w:r>
      <w:r w:rsidR="002D5788">
        <w:t xml:space="preserve">only </w:t>
      </w:r>
      <w:r w:rsidR="00822085">
        <w:t>state per capital general recurrent funding.</w:t>
      </w:r>
      <w:r w:rsidR="00E857B1">
        <w:t xml:space="preserve"> </w:t>
      </w:r>
    </w:p>
    <w:p w14:paraId="08B74EAC" w14:textId="5862622A" w:rsidR="00822085" w:rsidRDefault="002D5788" w:rsidP="00B7385B">
      <w:pPr>
        <w:pStyle w:val="BodyText"/>
        <w:spacing w:before="0" w:after="240"/>
      </w:pPr>
      <w:r>
        <w:t xml:space="preserve">Using August 2013 Census data </w:t>
      </w:r>
      <w:proofErr w:type="spellStart"/>
      <w:r w:rsidRPr="00AD5E7E">
        <w:t>CEDP</w:t>
      </w:r>
      <w:proofErr w:type="spellEnd"/>
      <w:r w:rsidRPr="00AD5E7E">
        <w:t xml:space="preserve"> would receive a s</w:t>
      </w:r>
      <w:r>
        <w:t>ignificant reduction in funding</w:t>
      </w:r>
      <w:r w:rsidRPr="00AD5E7E">
        <w:t xml:space="preserve"> with government funding reducing from 49% to 26%</w:t>
      </w:r>
      <w:r w:rsidR="0063547B">
        <w:t xml:space="preserve"> of our total </w:t>
      </w:r>
      <w:r w:rsidR="00F55C0E">
        <w:t xml:space="preserve">preschool </w:t>
      </w:r>
      <w:r w:rsidR="0063547B">
        <w:t>expenditure</w:t>
      </w:r>
      <w:r w:rsidRPr="00AD5E7E">
        <w:t>.</w:t>
      </w:r>
      <w:r w:rsidR="00E857B1">
        <w:t xml:space="preserve"> </w:t>
      </w:r>
    </w:p>
    <w:p w14:paraId="7B51CE9C" w14:textId="515CDBCB" w:rsidR="00172E2F" w:rsidRPr="00B7385B" w:rsidRDefault="00C12EA8" w:rsidP="00B7385B">
      <w:pPr>
        <w:pStyle w:val="BodyText"/>
        <w:spacing w:before="0" w:after="240"/>
      </w:pPr>
      <w:r w:rsidRPr="00B7385B">
        <w:t>The average daily fee would increase by $14.05</w:t>
      </w:r>
      <w:r w:rsidR="000552F5" w:rsidRPr="00B7385B">
        <w:t xml:space="preserve"> per </w:t>
      </w:r>
      <w:r w:rsidRPr="00B7385B">
        <w:t>day</w:t>
      </w:r>
      <w:r w:rsidR="00172E2F" w:rsidRPr="00B7385B">
        <w:t xml:space="preserve"> across all preschool services.</w:t>
      </w:r>
      <w:r w:rsidRPr="00B7385B">
        <w:t xml:space="preserve"> </w:t>
      </w:r>
      <w:r w:rsidR="00172E2F" w:rsidRPr="00B7385B">
        <w:t>H</w:t>
      </w:r>
      <w:r w:rsidRPr="00B7385B">
        <w:t>owever</w:t>
      </w:r>
      <w:r w:rsidR="00172E2F" w:rsidRPr="00B7385B">
        <w:t xml:space="preserve">, </w:t>
      </w:r>
      <w:r w:rsidRPr="00B7385B">
        <w:t xml:space="preserve">with the </w:t>
      </w:r>
      <w:r w:rsidR="007642DD" w:rsidRPr="00B7385B">
        <w:t>removal of differential funding (</w:t>
      </w:r>
      <w:proofErr w:type="spellStart"/>
      <w:r w:rsidR="007642DD" w:rsidRPr="00B7385B">
        <w:t>SEIFA</w:t>
      </w:r>
      <w:proofErr w:type="spellEnd"/>
      <w:r w:rsidR="007642DD" w:rsidRPr="00B7385B">
        <w:t xml:space="preserve"> Bands) the range in fee increases </w:t>
      </w:r>
      <w:r w:rsidR="00172E2F" w:rsidRPr="00B7385B">
        <w:t xml:space="preserve">under </w:t>
      </w:r>
      <w:proofErr w:type="spellStart"/>
      <w:r w:rsidR="00172E2F" w:rsidRPr="00B7385B">
        <w:t>CEDP’s</w:t>
      </w:r>
      <w:proofErr w:type="spellEnd"/>
      <w:r w:rsidR="00172E2F" w:rsidRPr="00B7385B">
        <w:t xml:space="preserve"> Funding Model indicates a reduction of </w:t>
      </w:r>
      <w:r w:rsidR="007642DD" w:rsidRPr="00B7385B">
        <w:t xml:space="preserve">$1.61 </w:t>
      </w:r>
      <w:r w:rsidR="00172E2F" w:rsidRPr="00B7385B">
        <w:t xml:space="preserve">in high </w:t>
      </w:r>
      <w:proofErr w:type="spellStart"/>
      <w:r w:rsidR="007642DD" w:rsidRPr="00B7385B">
        <w:t>SEIA</w:t>
      </w:r>
      <w:proofErr w:type="spellEnd"/>
      <w:r w:rsidR="007642DD" w:rsidRPr="00B7385B">
        <w:t xml:space="preserve"> Band</w:t>
      </w:r>
      <w:r w:rsidR="00172E2F" w:rsidRPr="00B7385B">
        <w:t xml:space="preserve"> preschools</w:t>
      </w:r>
      <w:r w:rsidR="007642DD" w:rsidRPr="00B7385B">
        <w:t xml:space="preserve"> </w:t>
      </w:r>
      <w:r w:rsidR="00172E2F" w:rsidRPr="00B7385B">
        <w:t xml:space="preserve">and an increase of </w:t>
      </w:r>
      <w:r w:rsidR="007642DD" w:rsidRPr="00B7385B">
        <w:t xml:space="preserve">$34.96 </w:t>
      </w:r>
      <w:r w:rsidR="00172E2F" w:rsidRPr="00B7385B">
        <w:t xml:space="preserve">in low </w:t>
      </w:r>
      <w:proofErr w:type="spellStart"/>
      <w:r w:rsidR="007642DD" w:rsidRPr="00B7385B">
        <w:t>SEIFA</w:t>
      </w:r>
      <w:proofErr w:type="spellEnd"/>
      <w:r w:rsidR="009C13B3">
        <w:t xml:space="preserve"> Band</w:t>
      </w:r>
      <w:r w:rsidR="00172E2F" w:rsidRPr="00125008">
        <w:t xml:space="preserve"> preschools</w:t>
      </w:r>
      <w:r w:rsidR="007642DD" w:rsidRPr="00E76501">
        <w:t>.</w:t>
      </w:r>
      <w:r w:rsidR="00E857B1">
        <w:t xml:space="preserve"> </w:t>
      </w:r>
    </w:p>
    <w:p w14:paraId="0C70245F" w14:textId="77777777" w:rsidR="00C12EA8" w:rsidRPr="00B7385B" w:rsidRDefault="004E7614" w:rsidP="00B7385B">
      <w:pPr>
        <w:pStyle w:val="BodyText"/>
        <w:spacing w:before="0" w:after="240"/>
      </w:pPr>
      <w:r w:rsidRPr="00B7385B">
        <w:t xml:space="preserve">This funding model </w:t>
      </w:r>
      <w:r w:rsidR="00172E2F" w:rsidRPr="00B7385B">
        <w:t xml:space="preserve">will </w:t>
      </w:r>
      <w:r w:rsidRPr="00B7385B">
        <w:t xml:space="preserve">result in the closure of </w:t>
      </w:r>
      <w:proofErr w:type="spellStart"/>
      <w:r w:rsidRPr="00B7385B">
        <w:t>CEDP</w:t>
      </w:r>
      <w:r w:rsidR="009C13B3">
        <w:t>’s</w:t>
      </w:r>
      <w:proofErr w:type="spellEnd"/>
      <w:r w:rsidRPr="002D0F01">
        <w:t xml:space="preserve"> preschool</w:t>
      </w:r>
      <w:r w:rsidR="00172E2F" w:rsidRPr="00125008">
        <w:t xml:space="preserve"> serv</w:t>
      </w:r>
      <w:r w:rsidR="00172E2F" w:rsidRPr="00E76501">
        <w:t>i</w:t>
      </w:r>
      <w:r w:rsidR="00172E2F" w:rsidRPr="00B7385B">
        <w:t>ces</w:t>
      </w:r>
      <w:r w:rsidRPr="00B7385B">
        <w:t xml:space="preserve"> in lower </w:t>
      </w:r>
      <w:proofErr w:type="spellStart"/>
      <w:r w:rsidRPr="00B7385B">
        <w:t>SEIFA</w:t>
      </w:r>
      <w:proofErr w:type="spellEnd"/>
      <w:r w:rsidRPr="00B7385B">
        <w:t xml:space="preserve"> band </w:t>
      </w:r>
      <w:r w:rsidR="00172E2F" w:rsidRPr="00B7385B">
        <w:t>areas</w:t>
      </w:r>
      <w:r w:rsidR="009C13B3">
        <w:t>,</w:t>
      </w:r>
      <w:r w:rsidR="00172E2F" w:rsidRPr="002D0F01">
        <w:t xml:space="preserve"> </w:t>
      </w:r>
      <w:r w:rsidRPr="00125008">
        <w:t xml:space="preserve">subsequently removing affordable high </w:t>
      </w:r>
      <w:r w:rsidRPr="00E76501">
        <w:t>quality</w:t>
      </w:r>
      <w:r w:rsidRPr="00B7385B">
        <w:t xml:space="preserve"> education and care from those who need it most.</w:t>
      </w:r>
    </w:p>
    <w:p w14:paraId="453000FE" w14:textId="77777777" w:rsidR="007642DD" w:rsidRDefault="007642DD" w:rsidP="00E83F06">
      <w:pPr>
        <w:pStyle w:val="BodyText"/>
      </w:pPr>
    </w:p>
    <w:p w14:paraId="5DA2D7C1" w14:textId="77777777" w:rsidR="007642DD" w:rsidRDefault="007642DD" w:rsidP="00E83F06">
      <w:pPr>
        <w:pStyle w:val="BodyText"/>
      </w:pPr>
    </w:p>
    <w:p w14:paraId="4B3BEBE4" w14:textId="77777777" w:rsidR="007642DD" w:rsidRDefault="007642DD" w:rsidP="00E83F06">
      <w:pPr>
        <w:pStyle w:val="BodyText"/>
      </w:pPr>
    </w:p>
    <w:p w14:paraId="54D56F6E" w14:textId="77777777" w:rsidR="007642DD" w:rsidRDefault="007642DD" w:rsidP="00E83F06">
      <w:pPr>
        <w:pStyle w:val="BodyText"/>
      </w:pPr>
    </w:p>
    <w:p w14:paraId="1B20B47E" w14:textId="77777777" w:rsidR="00CC25EF" w:rsidRDefault="00CC25EF" w:rsidP="00E83F06">
      <w:pPr>
        <w:pStyle w:val="BodyText"/>
      </w:pPr>
    </w:p>
    <w:p w14:paraId="50B8FDF8" w14:textId="77777777" w:rsidR="007642DD" w:rsidRDefault="007642DD" w:rsidP="00E83F06">
      <w:pPr>
        <w:pStyle w:val="BodyText"/>
      </w:pPr>
    </w:p>
    <w:p w14:paraId="63F3F5C6" w14:textId="77777777" w:rsidR="007642DD" w:rsidRDefault="007642DD" w:rsidP="007642DD">
      <w:pPr>
        <w:pStyle w:val="BodyText"/>
        <w:rPr>
          <w:b/>
        </w:rPr>
      </w:pPr>
      <w:r w:rsidRPr="006E1844">
        <w:rPr>
          <w:b/>
        </w:rPr>
        <w:t xml:space="preserve">Financial Model </w:t>
      </w:r>
      <w:r>
        <w:rPr>
          <w:b/>
        </w:rPr>
        <w:t>D</w:t>
      </w:r>
    </w:p>
    <w:p w14:paraId="21288F3D" w14:textId="77777777" w:rsidR="00E83F06" w:rsidRPr="00B7385B" w:rsidRDefault="00E83F06" w:rsidP="00E83F06">
      <w:pPr>
        <w:pStyle w:val="BodyText"/>
        <w:rPr>
          <w:b/>
          <w:i/>
        </w:rPr>
      </w:pPr>
      <w:proofErr w:type="spellStart"/>
      <w:r w:rsidRPr="00B7385B">
        <w:rPr>
          <w:b/>
          <w:i/>
        </w:rPr>
        <w:t>CEDP’s</w:t>
      </w:r>
      <w:proofErr w:type="spellEnd"/>
      <w:r w:rsidRPr="00B7385B">
        <w:rPr>
          <w:b/>
          <w:i/>
        </w:rPr>
        <w:t xml:space="preserve"> calculations of the proposed financial models if dedicated preschools were funded at the same level as school age children, with per capita general recurrent grants from th</w:t>
      </w:r>
      <w:r w:rsidR="007642DD" w:rsidRPr="00B7385B">
        <w:rPr>
          <w:b/>
          <w:i/>
        </w:rPr>
        <w:t>e Federal and State governments.</w:t>
      </w:r>
    </w:p>
    <w:p w14:paraId="2C0BD6A0" w14:textId="77777777" w:rsidR="0003483A" w:rsidRDefault="0003483A" w:rsidP="00E83F06">
      <w:pPr>
        <w:pStyle w:val="BodyText"/>
      </w:pPr>
    </w:p>
    <w:tbl>
      <w:tblPr>
        <w:tblW w:w="9700" w:type="dxa"/>
        <w:tblInd w:w="108" w:type="dxa"/>
        <w:tblLook w:val="04A0" w:firstRow="1" w:lastRow="0" w:firstColumn="1" w:lastColumn="0" w:noHBand="0" w:noVBand="1"/>
      </w:tblPr>
      <w:tblGrid>
        <w:gridCol w:w="5400"/>
        <w:gridCol w:w="1300"/>
        <w:gridCol w:w="1080"/>
        <w:gridCol w:w="960"/>
        <w:gridCol w:w="960"/>
      </w:tblGrid>
      <w:tr w:rsidR="0003483A" w14:paraId="25455AE1" w14:textId="77777777" w:rsidTr="0003483A">
        <w:trPr>
          <w:trHeight w:val="25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C31" w14:textId="77777777" w:rsidR="0003483A" w:rsidRDefault="0003483A">
            <w:pPr>
              <w:rPr>
                <w:rFonts w:ascii="Arial" w:hAnsi="Arial" w:cs="Arial"/>
                <w:sz w:val="20"/>
                <w:szCs w:val="20"/>
              </w:rPr>
            </w:pPr>
            <w:r>
              <w:rPr>
                <w:rFonts w:ascii="Arial" w:hAnsi="Arial" w:cs="Arial"/>
                <w:sz w:val="20"/>
                <w:szCs w:val="20"/>
              </w:rPr>
              <w:t>Number of Centres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A502C5C" w14:textId="77777777" w:rsidR="0003483A" w:rsidRDefault="0003483A">
            <w:pPr>
              <w:jc w:val="right"/>
              <w:rPr>
                <w:rFonts w:ascii="Arial" w:hAnsi="Arial" w:cs="Arial"/>
                <w:sz w:val="20"/>
                <w:szCs w:val="20"/>
              </w:rPr>
            </w:pPr>
            <w:r>
              <w:rPr>
                <w:rFonts w:ascii="Arial" w:hAnsi="Arial" w:cs="Arial"/>
                <w:sz w:val="20"/>
                <w:szCs w:val="20"/>
              </w:rPr>
              <w:t>4</w:t>
            </w:r>
          </w:p>
        </w:tc>
        <w:tc>
          <w:tcPr>
            <w:tcW w:w="1080" w:type="dxa"/>
            <w:tcBorders>
              <w:top w:val="nil"/>
              <w:left w:val="nil"/>
              <w:bottom w:val="nil"/>
              <w:right w:val="nil"/>
            </w:tcBorders>
            <w:shd w:val="clear" w:color="auto" w:fill="auto"/>
            <w:noWrap/>
            <w:vAlign w:val="bottom"/>
            <w:hideMark/>
          </w:tcPr>
          <w:p w14:paraId="20C2A93B"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6E2EDCF"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2ACA12F0" w14:textId="77777777" w:rsidR="0003483A" w:rsidRDefault="0003483A">
            <w:pPr>
              <w:rPr>
                <w:sz w:val="20"/>
                <w:szCs w:val="20"/>
              </w:rPr>
            </w:pPr>
          </w:p>
        </w:tc>
      </w:tr>
      <w:tr w:rsidR="0003483A" w14:paraId="039AD5DE" w14:textId="77777777" w:rsidTr="0003483A">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0BC2D79" w14:textId="77777777" w:rsidR="0003483A" w:rsidRDefault="0003483A">
            <w:pPr>
              <w:rPr>
                <w:rFonts w:ascii="Arial" w:hAnsi="Arial" w:cs="Arial"/>
                <w:sz w:val="20"/>
                <w:szCs w:val="20"/>
              </w:rPr>
            </w:pPr>
            <w:r>
              <w:rPr>
                <w:rFonts w:ascii="Arial" w:hAnsi="Arial" w:cs="Arial"/>
                <w:sz w:val="20"/>
                <w:szCs w:val="20"/>
              </w:rPr>
              <w:t>Licensed Places/Day</w:t>
            </w:r>
          </w:p>
        </w:tc>
        <w:tc>
          <w:tcPr>
            <w:tcW w:w="1300" w:type="dxa"/>
            <w:tcBorders>
              <w:top w:val="nil"/>
              <w:left w:val="nil"/>
              <w:bottom w:val="single" w:sz="4" w:space="0" w:color="auto"/>
              <w:right w:val="single" w:sz="4" w:space="0" w:color="auto"/>
            </w:tcBorders>
            <w:shd w:val="clear" w:color="auto" w:fill="auto"/>
            <w:noWrap/>
            <w:vAlign w:val="bottom"/>
            <w:hideMark/>
          </w:tcPr>
          <w:p w14:paraId="7E295C96" w14:textId="77777777" w:rsidR="0003483A" w:rsidRDefault="0003483A">
            <w:pPr>
              <w:jc w:val="right"/>
              <w:rPr>
                <w:rFonts w:ascii="Arial" w:hAnsi="Arial" w:cs="Arial"/>
                <w:sz w:val="20"/>
                <w:szCs w:val="20"/>
              </w:rPr>
            </w:pPr>
            <w:r>
              <w:rPr>
                <w:rFonts w:ascii="Arial" w:hAnsi="Arial" w:cs="Arial"/>
                <w:sz w:val="20"/>
                <w:szCs w:val="20"/>
              </w:rPr>
              <w:t>142</w:t>
            </w:r>
          </w:p>
        </w:tc>
        <w:tc>
          <w:tcPr>
            <w:tcW w:w="1080" w:type="dxa"/>
            <w:tcBorders>
              <w:top w:val="nil"/>
              <w:left w:val="nil"/>
              <w:bottom w:val="nil"/>
              <w:right w:val="nil"/>
            </w:tcBorders>
            <w:shd w:val="clear" w:color="auto" w:fill="auto"/>
            <w:noWrap/>
            <w:vAlign w:val="bottom"/>
            <w:hideMark/>
          </w:tcPr>
          <w:p w14:paraId="13D1DA69"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4B4A19E"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50A9226F" w14:textId="77777777" w:rsidR="0003483A" w:rsidRDefault="0003483A">
            <w:pPr>
              <w:rPr>
                <w:sz w:val="20"/>
                <w:szCs w:val="20"/>
              </w:rPr>
            </w:pPr>
          </w:p>
        </w:tc>
      </w:tr>
      <w:tr w:rsidR="0003483A" w14:paraId="237311BB" w14:textId="77777777" w:rsidTr="0003483A">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60B5B72" w14:textId="77777777" w:rsidR="0003483A" w:rsidRDefault="0003483A">
            <w:pPr>
              <w:rPr>
                <w:rFonts w:ascii="Arial" w:hAnsi="Arial" w:cs="Arial"/>
                <w:sz w:val="20"/>
                <w:szCs w:val="20"/>
              </w:rPr>
            </w:pPr>
            <w:r>
              <w:rPr>
                <w:rFonts w:ascii="Arial" w:hAnsi="Arial" w:cs="Arial"/>
                <w:sz w:val="20"/>
                <w:szCs w:val="20"/>
              </w:rPr>
              <w:t>Maximum Funded Places</w:t>
            </w:r>
          </w:p>
        </w:tc>
        <w:tc>
          <w:tcPr>
            <w:tcW w:w="1300" w:type="dxa"/>
            <w:tcBorders>
              <w:top w:val="nil"/>
              <w:left w:val="nil"/>
              <w:bottom w:val="single" w:sz="4" w:space="0" w:color="auto"/>
              <w:right w:val="single" w:sz="4" w:space="0" w:color="auto"/>
            </w:tcBorders>
            <w:shd w:val="clear" w:color="auto" w:fill="auto"/>
            <w:noWrap/>
            <w:vAlign w:val="bottom"/>
            <w:hideMark/>
          </w:tcPr>
          <w:p w14:paraId="5CC00E49" w14:textId="77777777" w:rsidR="0003483A" w:rsidRDefault="0003483A">
            <w:pPr>
              <w:jc w:val="right"/>
              <w:rPr>
                <w:rFonts w:ascii="Arial" w:hAnsi="Arial" w:cs="Arial"/>
                <w:sz w:val="20"/>
                <w:szCs w:val="20"/>
              </w:rPr>
            </w:pPr>
            <w:r>
              <w:rPr>
                <w:rFonts w:ascii="Arial" w:hAnsi="Arial" w:cs="Arial"/>
                <w:sz w:val="20"/>
                <w:szCs w:val="20"/>
              </w:rPr>
              <w:t>284</w:t>
            </w:r>
          </w:p>
        </w:tc>
        <w:tc>
          <w:tcPr>
            <w:tcW w:w="1080" w:type="dxa"/>
            <w:tcBorders>
              <w:top w:val="nil"/>
              <w:left w:val="nil"/>
              <w:bottom w:val="nil"/>
              <w:right w:val="nil"/>
            </w:tcBorders>
            <w:shd w:val="clear" w:color="auto" w:fill="auto"/>
            <w:noWrap/>
            <w:vAlign w:val="bottom"/>
            <w:hideMark/>
          </w:tcPr>
          <w:p w14:paraId="4EF0F99C"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DA4AF84"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01EE0644" w14:textId="77777777" w:rsidR="0003483A" w:rsidRDefault="0003483A">
            <w:pPr>
              <w:rPr>
                <w:sz w:val="20"/>
                <w:szCs w:val="20"/>
              </w:rPr>
            </w:pPr>
          </w:p>
        </w:tc>
      </w:tr>
      <w:tr w:rsidR="0003483A" w14:paraId="4D485CC8" w14:textId="77777777" w:rsidTr="0003483A">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07C012A" w14:textId="77777777" w:rsidR="0003483A" w:rsidRDefault="0003483A">
            <w:pPr>
              <w:rPr>
                <w:rFonts w:ascii="Arial" w:hAnsi="Arial" w:cs="Arial"/>
                <w:sz w:val="20"/>
                <w:szCs w:val="20"/>
              </w:rPr>
            </w:pPr>
            <w:r>
              <w:rPr>
                <w:rFonts w:ascii="Arial" w:hAnsi="Arial" w:cs="Arial"/>
                <w:sz w:val="20"/>
                <w:szCs w:val="20"/>
              </w:rPr>
              <w:t>Funded Positions August 2013 Census</w:t>
            </w:r>
          </w:p>
        </w:tc>
        <w:tc>
          <w:tcPr>
            <w:tcW w:w="1300" w:type="dxa"/>
            <w:tcBorders>
              <w:top w:val="nil"/>
              <w:left w:val="nil"/>
              <w:bottom w:val="single" w:sz="4" w:space="0" w:color="auto"/>
              <w:right w:val="single" w:sz="4" w:space="0" w:color="auto"/>
            </w:tcBorders>
            <w:shd w:val="clear" w:color="auto" w:fill="auto"/>
            <w:noWrap/>
            <w:vAlign w:val="bottom"/>
            <w:hideMark/>
          </w:tcPr>
          <w:p w14:paraId="004564A7" w14:textId="77777777" w:rsidR="0003483A" w:rsidRDefault="0003483A">
            <w:pPr>
              <w:jc w:val="right"/>
              <w:rPr>
                <w:rFonts w:ascii="Arial" w:hAnsi="Arial" w:cs="Arial"/>
                <w:sz w:val="20"/>
                <w:szCs w:val="20"/>
              </w:rPr>
            </w:pPr>
            <w:r>
              <w:rPr>
                <w:rFonts w:ascii="Arial" w:hAnsi="Arial" w:cs="Arial"/>
                <w:sz w:val="20"/>
                <w:szCs w:val="20"/>
              </w:rPr>
              <w:t>242</w:t>
            </w:r>
          </w:p>
        </w:tc>
        <w:tc>
          <w:tcPr>
            <w:tcW w:w="1080" w:type="dxa"/>
            <w:tcBorders>
              <w:top w:val="nil"/>
              <w:left w:val="nil"/>
              <w:bottom w:val="nil"/>
              <w:right w:val="nil"/>
            </w:tcBorders>
            <w:shd w:val="clear" w:color="auto" w:fill="auto"/>
            <w:noWrap/>
            <w:vAlign w:val="bottom"/>
            <w:hideMark/>
          </w:tcPr>
          <w:p w14:paraId="01331D95"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102987A"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7BA03CC5" w14:textId="77777777" w:rsidR="0003483A" w:rsidRDefault="0003483A">
            <w:pPr>
              <w:rPr>
                <w:sz w:val="20"/>
                <w:szCs w:val="20"/>
              </w:rPr>
            </w:pPr>
          </w:p>
        </w:tc>
      </w:tr>
      <w:tr w:rsidR="0003483A" w14:paraId="35FB9169" w14:textId="77777777" w:rsidTr="0003483A">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C1C5160" w14:textId="77777777" w:rsidR="0003483A" w:rsidRDefault="0003483A">
            <w:pPr>
              <w:rPr>
                <w:rFonts w:ascii="Arial" w:hAnsi="Arial" w:cs="Arial"/>
                <w:sz w:val="20"/>
                <w:szCs w:val="20"/>
              </w:rPr>
            </w:pPr>
            <w:r>
              <w:rPr>
                <w:rFonts w:ascii="Arial" w:hAnsi="Arial" w:cs="Arial"/>
                <w:sz w:val="20"/>
                <w:szCs w:val="20"/>
              </w:rPr>
              <w:t>Children Attending August 2013 Census</w:t>
            </w:r>
          </w:p>
        </w:tc>
        <w:tc>
          <w:tcPr>
            <w:tcW w:w="1300" w:type="dxa"/>
            <w:tcBorders>
              <w:top w:val="nil"/>
              <w:left w:val="nil"/>
              <w:bottom w:val="single" w:sz="4" w:space="0" w:color="auto"/>
              <w:right w:val="single" w:sz="4" w:space="0" w:color="auto"/>
            </w:tcBorders>
            <w:shd w:val="clear" w:color="auto" w:fill="auto"/>
            <w:noWrap/>
            <w:vAlign w:val="bottom"/>
            <w:hideMark/>
          </w:tcPr>
          <w:p w14:paraId="156ABF39" w14:textId="77777777" w:rsidR="0003483A" w:rsidRDefault="0003483A">
            <w:pPr>
              <w:jc w:val="right"/>
              <w:rPr>
                <w:rFonts w:ascii="Arial" w:hAnsi="Arial" w:cs="Arial"/>
                <w:sz w:val="20"/>
                <w:szCs w:val="20"/>
              </w:rPr>
            </w:pPr>
            <w:r>
              <w:rPr>
                <w:rFonts w:ascii="Arial" w:hAnsi="Arial" w:cs="Arial"/>
                <w:sz w:val="20"/>
                <w:szCs w:val="20"/>
              </w:rPr>
              <w:t>313</w:t>
            </w:r>
          </w:p>
        </w:tc>
        <w:tc>
          <w:tcPr>
            <w:tcW w:w="1080" w:type="dxa"/>
            <w:tcBorders>
              <w:top w:val="nil"/>
              <w:left w:val="nil"/>
              <w:bottom w:val="nil"/>
              <w:right w:val="nil"/>
            </w:tcBorders>
            <w:shd w:val="clear" w:color="auto" w:fill="auto"/>
            <w:noWrap/>
            <w:vAlign w:val="bottom"/>
            <w:hideMark/>
          </w:tcPr>
          <w:p w14:paraId="3B369E30"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95F5EEB"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1AC94227" w14:textId="77777777" w:rsidR="0003483A" w:rsidRDefault="0003483A">
            <w:pPr>
              <w:rPr>
                <w:sz w:val="20"/>
                <w:szCs w:val="20"/>
              </w:rPr>
            </w:pPr>
          </w:p>
        </w:tc>
      </w:tr>
      <w:tr w:rsidR="0003483A" w14:paraId="22B26780" w14:textId="77777777" w:rsidTr="0003483A">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F062850" w14:textId="77777777" w:rsidR="0003483A" w:rsidRDefault="0003483A">
            <w:pPr>
              <w:rPr>
                <w:rFonts w:ascii="Arial" w:hAnsi="Arial" w:cs="Arial"/>
                <w:sz w:val="20"/>
                <w:szCs w:val="20"/>
              </w:rPr>
            </w:pPr>
            <w:r>
              <w:rPr>
                <w:rFonts w:ascii="Arial" w:hAnsi="Arial" w:cs="Arial"/>
                <w:sz w:val="20"/>
                <w:szCs w:val="20"/>
              </w:rPr>
              <w:t>Government Funding</w:t>
            </w:r>
          </w:p>
        </w:tc>
        <w:tc>
          <w:tcPr>
            <w:tcW w:w="1300" w:type="dxa"/>
            <w:tcBorders>
              <w:top w:val="nil"/>
              <w:left w:val="nil"/>
              <w:bottom w:val="single" w:sz="4" w:space="0" w:color="auto"/>
              <w:right w:val="single" w:sz="4" w:space="0" w:color="auto"/>
            </w:tcBorders>
            <w:shd w:val="clear" w:color="auto" w:fill="auto"/>
            <w:noWrap/>
            <w:vAlign w:val="bottom"/>
            <w:hideMark/>
          </w:tcPr>
          <w:p w14:paraId="7A453D41" w14:textId="77777777" w:rsidR="0003483A" w:rsidRDefault="0003483A">
            <w:pPr>
              <w:jc w:val="right"/>
              <w:rPr>
                <w:rFonts w:ascii="Arial" w:hAnsi="Arial" w:cs="Arial"/>
                <w:sz w:val="20"/>
                <w:szCs w:val="20"/>
              </w:rPr>
            </w:pPr>
            <w:r>
              <w:rPr>
                <w:rFonts w:ascii="Arial" w:hAnsi="Arial" w:cs="Arial"/>
                <w:sz w:val="20"/>
                <w:szCs w:val="20"/>
              </w:rPr>
              <w:t>$1,164,968</w:t>
            </w:r>
          </w:p>
        </w:tc>
        <w:tc>
          <w:tcPr>
            <w:tcW w:w="1080" w:type="dxa"/>
            <w:tcBorders>
              <w:top w:val="nil"/>
              <w:left w:val="nil"/>
              <w:bottom w:val="nil"/>
              <w:right w:val="nil"/>
            </w:tcBorders>
            <w:shd w:val="clear" w:color="auto" w:fill="auto"/>
            <w:noWrap/>
            <w:vAlign w:val="bottom"/>
            <w:hideMark/>
          </w:tcPr>
          <w:p w14:paraId="4D4BEFA8"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535E269"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2F3BC2F1" w14:textId="77777777" w:rsidR="0003483A" w:rsidRDefault="0003483A">
            <w:pPr>
              <w:rPr>
                <w:sz w:val="20"/>
                <w:szCs w:val="20"/>
              </w:rPr>
            </w:pPr>
          </w:p>
        </w:tc>
      </w:tr>
      <w:tr w:rsidR="0003483A" w14:paraId="3114BEEC" w14:textId="77777777" w:rsidTr="0003483A">
        <w:trPr>
          <w:trHeight w:val="255"/>
        </w:trPr>
        <w:tc>
          <w:tcPr>
            <w:tcW w:w="5400" w:type="dxa"/>
            <w:tcBorders>
              <w:top w:val="nil"/>
              <w:left w:val="single" w:sz="4" w:space="0" w:color="auto"/>
              <w:bottom w:val="nil"/>
              <w:right w:val="single" w:sz="4" w:space="0" w:color="auto"/>
            </w:tcBorders>
            <w:shd w:val="clear" w:color="auto" w:fill="auto"/>
            <w:noWrap/>
            <w:vAlign w:val="bottom"/>
            <w:hideMark/>
          </w:tcPr>
          <w:p w14:paraId="31396C12" w14:textId="77777777" w:rsidR="0003483A" w:rsidRDefault="0003483A">
            <w:pPr>
              <w:rPr>
                <w:rFonts w:ascii="Arial" w:hAnsi="Arial" w:cs="Arial"/>
                <w:sz w:val="20"/>
                <w:szCs w:val="20"/>
              </w:rPr>
            </w:pPr>
            <w:r>
              <w:rPr>
                <w:rFonts w:ascii="Arial" w:hAnsi="Arial" w:cs="Arial"/>
                <w:sz w:val="20"/>
                <w:szCs w:val="20"/>
              </w:rPr>
              <w:t xml:space="preserve">Government Funding % </w:t>
            </w:r>
            <w:proofErr w:type="spellStart"/>
            <w:r w:rsidR="006A3748">
              <w:rPr>
                <w:rFonts w:ascii="Arial" w:hAnsi="Arial" w:cs="Arial"/>
                <w:sz w:val="20"/>
                <w:szCs w:val="20"/>
              </w:rPr>
              <w:t>CEDP</w:t>
            </w:r>
            <w:proofErr w:type="spellEnd"/>
            <w:r w:rsidR="006A3748">
              <w:rPr>
                <w:rFonts w:ascii="Arial" w:hAnsi="Arial" w:cs="Arial"/>
                <w:sz w:val="20"/>
                <w:szCs w:val="20"/>
              </w:rPr>
              <w:t xml:space="preserve"> </w:t>
            </w:r>
            <w:r>
              <w:rPr>
                <w:rFonts w:ascii="Arial" w:hAnsi="Arial" w:cs="Arial"/>
                <w:sz w:val="20"/>
                <w:szCs w:val="20"/>
              </w:rPr>
              <w:t>Total Exp</w:t>
            </w:r>
            <w:r w:rsidR="006A3748">
              <w:rPr>
                <w:rFonts w:ascii="Arial" w:hAnsi="Arial" w:cs="Arial"/>
                <w:sz w:val="20"/>
                <w:szCs w:val="20"/>
              </w:rPr>
              <w:t xml:space="preserve">enditure </w:t>
            </w:r>
          </w:p>
        </w:tc>
        <w:tc>
          <w:tcPr>
            <w:tcW w:w="1300" w:type="dxa"/>
            <w:tcBorders>
              <w:top w:val="nil"/>
              <w:left w:val="nil"/>
              <w:bottom w:val="nil"/>
              <w:right w:val="single" w:sz="4" w:space="0" w:color="auto"/>
            </w:tcBorders>
            <w:shd w:val="clear" w:color="auto" w:fill="auto"/>
            <w:noWrap/>
            <w:vAlign w:val="bottom"/>
            <w:hideMark/>
          </w:tcPr>
          <w:p w14:paraId="02F3CED3" w14:textId="77777777" w:rsidR="0003483A" w:rsidRDefault="0003483A">
            <w:pPr>
              <w:jc w:val="right"/>
              <w:rPr>
                <w:rFonts w:ascii="Arial" w:hAnsi="Arial" w:cs="Arial"/>
                <w:sz w:val="20"/>
                <w:szCs w:val="20"/>
              </w:rPr>
            </w:pPr>
            <w:r>
              <w:rPr>
                <w:rFonts w:ascii="Arial" w:hAnsi="Arial" w:cs="Arial"/>
                <w:sz w:val="20"/>
                <w:szCs w:val="20"/>
              </w:rPr>
              <w:t>64%</w:t>
            </w:r>
          </w:p>
        </w:tc>
        <w:tc>
          <w:tcPr>
            <w:tcW w:w="1080" w:type="dxa"/>
            <w:tcBorders>
              <w:top w:val="nil"/>
              <w:left w:val="nil"/>
              <w:bottom w:val="nil"/>
              <w:right w:val="nil"/>
            </w:tcBorders>
            <w:shd w:val="clear" w:color="auto" w:fill="auto"/>
            <w:noWrap/>
            <w:vAlign w:val="bottom"/>
            <w:hideMark/>
          </w:tcPr>
          <w:p w14:paraId="5E5237C9"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33310A3"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2911F5F0" w14:textId="77777777" w:rsidR="0003483A" w:rsidRDefault="0003483A">
            <w:pPr>
              <w:rPr>
                <w:sz w:val="20"/>
                <w:szCs w:val="20"/>
              </w:rPr>
            </w:pPr>
          </w:p>
        </w:tc>
      </w:tr>
      <w:tr w:rsidR="0003483A" w14:paraId="7978D38A" w14:textId="77777777" w:rsidTr="0003483A">
        <w:trPr>
          <w:trHeight w:val="255"/>
        </w:trPr>
        <w:tc>
          <w:tcPr>
            <w:tcW w:w="5400" w:type="dxa"/>
            <w:tcBorders>
              <w:top w:val="single" w:sz="4" w:space="0" w:color="auto"/>
              <w:left w:val="single" w:sz="4" w:space="0" w:color="auto"/>
              <w:bottom w:val="nil"/>
              <w:right w:val="single" w:sz="4" w:space="0" w:color="auto"/>
            </w:tcBorders>
            <w:shd w:val="clear" w:color="auto" w:fill="auto"/>
            <w:noWrap/>
            <w:vAlign w:val="bottom"/>
            <w:hideMark/>
          </w:tcPr>
          <w:p w14:paraId="03ED2932" w14:textId="77777777" w:rsidR="0003483A" w:rsidRDefault="0003483A">
            <w:pPr>
              <w:rPr>
                <w:rFonts w:ascii="Arial" w:hAnsi="Arial" w:cs="Arial"/>
                <w:sz w:val="20"/>
                <w:szCs w:val="20"/>
              </w:rPr>
            </w:pPr>
            <w:r>
              <w:rPr>
                <w:rFonts w:ascii="Arial" w:hAnsi="Arial" w:cs="Arial"/>
                <w:sz w:val="20"/>
                <w:szCs w:val="20"/>
              </w:rPr>
              <w:t xml:space="preserve">Increase to Current NSW </w:t>
            </w:r>
            <w:proofErr w:type="spellStart"/>
            <w:r>
              <w:rPr>
                <w:rFonts w:ascii="Arial" w:hAnsi="Arial" w:cs="Arial"/>
                <w:sz w:val="20"/>
                <w:szCs w:val="20"/>
              </w:rPr>
              <w:t>Govt</w:t>
            </w:r>
            <w:proofErr w:type="spellEnd"/>
            <w:r>
              <w:rPr>
                <w:rFonts w:ascii="Arial" w:hAnsi="Arial" w:cs="Arial"/>
                <w:sz w:val="20"/>
                <w:szCs w:val="20"/>
              </w:rPr>
              <w:t xml:space="preserve"> Funding</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522540" w14:textId="77777777" w:rsidR="0003483A" w:rsidRDefault="0003483A">
            <w:pPr>
              <w:jc w:val="right"/>
              <w:rPr>
                <w:rFonts w:ascii="Arial" w:hAnsi="Arial" w:cs="Arial"/>
                <w:sz w:val="20"/>
                <w:szCs w:val="20"/>
              </w:rPr>
            </w:pPr>
            <w:r>
              <w:rPr>
                <w:rFonts w:ascii="Arial" w:hAnsi="Arial" w:cs="Arial"/>
                <w:sz w:val="20"/>
                <w:szCs w:val="20"/>
              </w:rPr>
              <w:t>$279,036</w:t>
            </w:r>
          </w:p>
        </w:tc>
        <w:tc>
          <w:tcPr>
            <w:tcW w:w="1080" w:type="dxa"/>
            <w:tcBorders>
              <w:top w:val="nil"/>
              <w:left w:val="nil"/>
              <w:bottom w:val="nil"/>
              <w:right w:val="nil"/>
            </w:tcBorders>
            <w:shd w:val="clear" w:color="auto" w:fill="auto"/>
            <w:noWrap/>
            <w:vAlign w:val="bottom"/>
            <w:hideMark/>
          </w:tcPr>
          <w:p w14:paraId="366BEA08"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4FE1051"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01C4E459" w14:textId="77777777" w:rsidR="0003483A" w:rsidRDefault="0003483A">
            <w:pPr>
              <w:rPr>
                <w:sz w:val="20"/>
                <w:szCs w:val="20"/>
              </w:rPr>
            </w:pPr>
          </w:p>
        </w:tc>
      </w:tr>
      <w:tr w:rsidR="0003483A" w14:paraId="5EB8265C" w14:textId="77777777" w:rsidTr="0003483A">
        <w:trPr>
          <w:trHeight w:val="255"/>
        </w:trPr>
        <w:tc>
          <w:tcPr>
            <w:tcW w:w="5400" w:type="dxa"/>
            <w:tcBorders>
              <w:top w:val="single" w:sz="4" w:space="0" w:color="auto"/>
              <w:left w:val="single" w:sz="4" w:space="0" w:color="auto"/>
              <w:bottom w:val="nil"/>
              <w:right w:val="single" w:sz="4" w:space="0" w:color="auto"/>
            </w:tcBorders>
            <w:shd w:val="clear" w:color="auto" w:fill="auto"/>
            <w:noWrap/>
            <w:vAlign w:val="bottom"/>
            <w:hideMark/>
          </w:tcPr>
          <w:p w14:paraId="2B585198" w14:textId="77777777" w:rsidR="0003483A" w:rsidRDefault="0003483A" w:rsidP="00EE5252">
            <w:pPr>
              <w:rPr>
                <w:rFonts w:ascii="Arial" w:hAnsi="Arial" w:cs="Arial"/>
                <w:sz w:val="20"/>
                <w:szCs w:val="20"/>
              </w:rPr>
            </w:pPr>
            <w:r>
              <w:rPr>
                <w:rFonts w:ascii="Arial" w:hAnsi="Arial" w:cs="Arial"/>
                <w:sz w:val="20"/>
                <w:szCs w:val="20"/>
              </w:rPr>
              <w:t xml:space="preserve">Average </w:t>
            </w:r>
            <w:r w:rsidR="003A457A">
              <w:rPr>
                <w:rFonts w:ascii="Arial" w:hAnsi="Arial" w:cs="Arial"/>
                <w:sz w:val="20"/>
                <w:szCs w:val="20"/>
              </w:rPr>
              <w:t>Daily Fee Reduction</w:t>
            </w:r>
          </w:p>
        </w:tc>
        <w:tc>
          <w:tcPr>
            <w:tcW w:w="1300" w:type="dxa"/>
            <w:tcBorders>
              <w:top w:val="nil"/>
              <w:left w:val="nil"/>
              <w:bottom w:val="single" w:sz="4" w:space="0" w:color="auto"/>
              <w:right w:val="single" w:sz="4" w:space="0" w:color="auto"/>
            </w:tcBorders>
            <w:shd w:val="clear" w:color="auto" w:fill="auto"/>
            <w:noWrap/>
            <w:vAlign w:val="bottom"/>
            <w:hideMark/>
          </w:tcPr>
          <w:p w14:paraId="763EF361" w14:textId="77777777" w:rsidR="0003483A" w:rsidRDefault="0003483A">
            <w:pPr>
              <w:jc w:val="right"/>
              <w:rPr>
                <w:rFonts w:ascii="Arial" w:hAnsi="Arial" w:cs="Arial"/>
                <w:sz w:val="20"/>
                <w:szCs w:val="20"/>
              </w:rPr>
            </w:pPr>
            <w:r>
              <w:rPr>
                <w:rFonts w:ascii="Arial" w:hAnsi="Arial" w:cs="Arial"/>
                <w:sz w:val="20"/>
                <w:szCs w:val="20"/>
              </w:rPr>
              <w:t>-$13.33</w:t>
            </w:r>
          </w:p>
        </w:tc>
        <w:tc>
          <w:tcPr>
            <w:tcW w:w="1080" w:type="dxa"/>
            <w:tcBorders>
              <w:top w:val="nil"/>
              <w:left w:val="nil"/>
              <w:bottom w:val="nil"/>
              <w:right w:val="nil"/>
            </w:tcBorders>
            <w:shd w:val="clear" w:color="auto" w:fill="auto"/>
            <w:noWrap/>
            <w:vAlign w:val="bottom"/>
            <w:hideMark/>
          </w:tcPr>
          <w:p w14:paraId="680BD529" w14:textId="77777777" w:rsidR="0003483A" w:rsidRDefault="0003483A">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8FD68BA"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1CA77174" w14:textId="77777777" w:rsidR="0003483A" w:rsidRDefault="0003483A">
            <w:pPr>
              <w:rPr>
                <w:sz w:val="20"/>
                <w:szCs w:val="20"/>
              </w:rPr>
            </w:pPr>
          </w:p>
        </w:tc>
      </w:tr>
      <w:tr w:rsidR="0003483A" w14:paraId="76125165" w14:textId="77777777" w:rsidTr="00B7385B">
        <w:trPr>
          <w:trHeight w:val="255"/>
        </w:trPr>
        <w:tc>
          <w:tcPr>
            <w:tcW w:w="5400" w:type="dxa"/>
            <w:tcBorders>
              <w:top w:val="single" w:sz="4" w:space="0" w:color="auto"/>
              <w:left w:val="nil"/>
              <w:bottom w:val="single" w:sz="4" w:space="0" w:color="auto"/>
              <w:right w:val="nil"/>
            </w:tcBorders>
            <w:shd w:val="clear" w:color="auto" w:fill="auto"/>
            <w:noWrap/>
            <w:vAlign w:val="bottom"/>
            <w:hideMark/>
          </w:tcPr>
          <w:p w14:paraId="59A4929A" w14:textId="77777777" w:rsidR="0003483A" w:rsidRDefault="0003483A">
            <w:pPr>
              <w:rPr>
                <w:rFonts w:ascii="Arial" w:hAnsi="Arial" w:cs="Arial"/>
                <w:b/>
                <w:bCs/>
                <w:sz w:val="20"/>
                <w:szCs w:val="20"/>
              </w:rPr>
            </w:pPr>
            <w:r>
              <w:rPr>
                <w:rFonts w:ascii="Arial" w:hAnsi="Arial" w:cs="Arial"/>
                <w:b/>
                <w:bCs/>
                <w:sz w:val="20"/>
                <w:szCs w:val="20"/>
              </w:rPr>
              <w:t> </w:t>
            </w:r>
          </w:p>
        </w:tc>
        <w:tc>
          <w:tcPr>
            <w:tcW w:w="1300" w:type="dxa"/>
            <w:tcBorders>
              <w:top w:val="nil"/>
              <w:left w:val="nil"/>
              <w:bottom w:val="single" w:sz="4" w:space="0" w:color="auto"/>
              <w:right w:val="nil"/>
            </w:tcBorders>
            <w:shd w:val="clear" w:color="auto" w:fill="auto"/>
            <w:noWrap/>
            <w:vAlign w:val="bottom"/>
            <w:hideMark/>
          </w:tcPr>
          <w:p w14:paraId="19990F77" w14:textId="77777777" w:rsidR="0003483A" w:rsidRDefault="0003483A">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nil"/>
            </w:tcBorders>
            <w:shd w:val="clear" w:color="auto" w:fill="auto"/>
            <w:noWrap/>
            <w:vAlign w:val="bottom"/>
            <w:hideMark/>
          </w:tcPr>
          <w:p w14:paraId="1FF302D4" w14:textId="77777777" w:rsidR="0003483A" w:rsidRDefault="0003483A">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8C03424" w14:textId="77777777" w:rsidR="0003483A" w:rsidRDefault="0003483A">
            <w:pPr>
              <w:rPr>
                <w:sz w:val="20"/>
                <w:szCs w:val="20"/>
              </w:rPr>
            </w:pPr>
          </w:p>
        </w:tc>
        <w:tc>
          <w:tcPr>
            <w:tcW w:w="960" w:type="dxa"/>
            <w:tcBorders>
              <w:top w:val="nil"/>
              <w:left w:val="nil"/>
              <w:bottom w:val="nil"/>
              <w:right w:val="nil"/>
            </w:tcBorders>
            <w:shd w:val="clear" w:color="auto" w:fill="auto"/>
            <w:noWrap/>
            <w:vAlign w:val="bottom"/>
            <w:hideMark/>
          </w:tcPr>
          <w:p w14:paraId="109D1A9A" w14:textId="77777777" w:rsidR="0003483A" w:rsidRDefault="0003483A">
            <w:pPr>
              <w:rPr>
                <w:sz w:val="20"/>
                <w:szCs w:val="20"/>
              </w:rPr>
            </w:pPr>
          </w:p>
        </w:tc>
      </w:tr>
      <w:tr w:rsidR="0003483A" w14:paraId="0369ADBC"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7C98C86" w14:textId="77777777" w:rsidR="0003483A" w:rsidRDefault="0003483A">
            <w:pPr>
              <w:rPr>
                <w:rFonts w:ascii="Arial" w:hAnsi="Arial" w:cs="Arial"/>
                <w:b/>
                <w:bCs/>
                <w:sz w:val="20"/>
                <w:szCs w:val="20"/>
              </w:rPr>
            </w:pPr>
            <w:r>
              <w:rPr>
                <w:rFonts w:ascii="Arial" w:hAnsi="Arial" w:cs="Arial"/>
                <w:b/>
                <w:bCs/>
                <w:sz w:val="20"/>
                <w:szCs w:val="20"/>
              </w:rPr>
              <w:t xml:space="preserve">Centre </w:t>
            </w:r>
            <w:proofErr w:type="spellStart"/>
            <w:r>
              <w:rPr>
                <w:rFonts w:ascii="Arial" w:hAnsi="Arial" w:cs="Arial"/>
                <w:b/>
                <w:bCs/>
                <w:sz w:val="20"/>
                <w:szCs w:val="20"/>
              </w:rPr>
              <w:t>SEIFA</w:t>
            </w:r>
            <w:proofErr w:type="spellEnd"/>
            <w:r>
              <w:rPr>
                <w:rFonts w:ascii="Arial" w:hAnsi="Arial" w:cs="Arial"/>
                <w:b/>
                <w:bCs/>
                <w:sz w:val="20"/>
                <w:szCs w:val="20"/>
              </w:rPr>
              <w:t xml:space="preserve"> Band Range</w:t>
            </w:r>
          </w:p>
        </w:tc>
        <w:tc>
          <w:tcPr>
            <w:tcW w:w="2380"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4A20BBD5" w14:textId="77777777" w:rsidR="0003483A" w:rsidRDefault="0003483A">
            <w:pPr>
              <w:jc w:val="center"/>
              <w:rPr>
                <w:rFonts w:ascii="Arial" w:hAnsi="Arial" w:cs="Arial"/>
                <w:b/>
                <w:bCs/>
                <w:sz w:val="20"/>
                <w:szCs w:val="20"/>
              </w:rPr>
            </w:pPr>
            <w:r>
              <w:rPr>
                <w:rFonts w:ascii="Arial" w:hAnsi="Arial" w:cs="Arial"/>
                <w:b/>
                <w:bCs/>
                <w:sz w:val="20"/>
                <w:szCs w:val="20"/>
              </w:rPr>
              <w:t xml:space="preserve"> 3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D2BB56" w14:textId="77777777" w:rsidR="0003483A" w:rsidRDefault="0003483A">
            <w:pPr>
              <w:jc w:val="center"/>
              <w:rPr>
                <w:rFonts w:ascii="Arial" w:hAnsi="Arial" w:cs="Arial"/>
                <w:b/>
                <w:bCs/>
                <w:sz w:val="20"/>
                <w:szCs w:val="20"/>
              </w:rPr>
            </w:pPr>
            <w:r>
              <w:rPr>
                <w:rFonts w:ascii="Arial" w:hAnsi="Arial" w:cs="Arial"/>
                <w:b/>
                <w:bCs/>
                <w:sz w:val="20"/>
                <w:szCs w:val="20"/>
              </w:rPr>
              <w:t xml:space="preserve"> 17 </w:t>
            </w:r>
          </w:p>
        </w:tc>
      </w:tr>
      <w:tr w:rsidR="0003483A" w14:paraId="04C8C0F7"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83AB076" w14:textId="7268E238" w:rsidR="0003483A" w:rsidRDefault="0003483A">
            <w:pPr>
              <w:rPr>
                <w:rFonts w:ascii="Arial" w:hAnsi="Arial" w:cs="Arial"/>
                <w:sz w:val="20"/>
                <w:szCs w:val="20"/>
              </w:rPr>
            </w:pPr>
            <w:r>
              <w:rPr>
                <w:rFonts w:ascii="Arial" w:hAnsi="Arial" w:cs="Arial"/>
                <w:sz w:val="20"/>
                <w:szCs w:val="20"/>
              </w:rPr>
              <w:t>Per Capita Gov</w:t>
            </w:r>
            <w:r w:rsidR="003A457A">
              <w:rPr>
                <w:rFonts w:ascii="Arial" w:hAnsi="Arial" w:cs="Arial"/>
                <w:sz w:val="20"/>
                <w:szCs w:val="20"/>
              </w:rPr>
              <w:t>ernment</w:t>
            </w:r>
            <w:r>
              <w:rPr>
                <w:rFonts w:ascii="Arial" w:hAnsi="Arial" w:cs="Arial"/>
                <w:sz w:val="20"/>
                <w:szCs w:val="20"/>
              </w:rPr>
              <w:t xml:space="preserve"> Funding </w:t>
            </w:r>
            <w:r w:rsidR="003E3967">
              <w:rPr>
                <w:rFonts w:ascii="Arial" w:hAnsi="Arial" w:cs="Arial"/>
                <w:sz w:val="20"/>
                <w:szCs w:val="20"/>
              </w:rPr>
              <w:t xml:space="preserve">4 to 5 </w:t>
            </w:r>
            <w:r>
              <w:rPr>
                <w:rFonts w:ascii="Arial" w:hAnsi="Arial" w:cs="Arial"/>
                <w:sz w:val="20"/>
                <w:szCs w:val="20"/>
              </w:rPr>
              <w:t xml:space="preserve"> Year Old</w:t>
            </w:r>
            <w:r w:rsidR="003A457A">
              <w:rPr>
                <w:rFonts w:ascii="Arial" w:hAnsi="Arial" w:cs="Arial"/>
                <w:sz w:val="20"/>
                <w:szCs w:val="20"/>
              </w:rPr>
              <w:t>s</w:t>
            </w:r>
          </w:p>
        </w:tc>
        <w:tc>
          <w:tcPr>
            <w:tcW w:w="2380"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4E9043F5" w14:textId="77777777" w:rsidR="0003483A" w:rsidRDefault="0003483A">
            <w:pPr>
              <w:jc w:val="center"/>
              <w:rPr>
                <w:rFonts w:ascii="Arial" w:hAnsi="Arial" w:cs="Arial"/>
                <w:sz w:val="20"/>
                <w:szCs w:val="20"/>
              </w:rPr>
            </w:pPr>
            <w:r>
              <w:rPr>
                <w:rFonts w:ascii="Arial" w:hAnsi="Arial" w:cs="Arial"/>
                <w:sz w:val="20"/>
                <w:szCs w:val="20"/>
              </w:rPr>
              <w:t>$8,204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8BE479" w14:textId="77777777" w:rsidR="0003483A" w:rsidRDefault="0003483A">
            <w:pPr>
              <w:jc w:val="center"/>
              <w:rPr>
                <w:rFonts w:ascii="Arial" w:hAnsi="Arial" w:cs="Arial"/>
                <w:sz w:val="20"/>
                <w:szCs w:val="20"/>
              </w:rPr>
            </w:pPr>
            <w:r>
              <w:rPr>
                <w:rFonts w:ascii="Arial" w:hAnsi="Arial" w:cs="Arial"/>
                <w:sz w:val="20"/>
                <w:szCs w:val="20"/>
              </w:rPr>
              <w:t>$8,204</w:t>
            </w:r>
          </w:p>
        </w:tc>
      </w:tr>
      <w:tr w:rsidR="0003483A" w14:paraId="32FA752F"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49F7064" w14:textId="77777777" w:rsidR="0003483A" w:rsidRDefault="0003483A" w:rsidP="00EE5252">
            <w:pPr>
              <w:rPr>
                <w:rFonts w:ascii="Arial" w:hAnsi="Arial" w:cs="Arial"/>
                <w:sz w:val="20"/>
                <w:szCs w:val="20"/>
              </w:rPr>
            </w:pPr>
            <w:r>
              <w:rPr>
                <w:rFonts w:ascii="Arial" w:hAnsi="Arial" w:cs="Arial"/>
                <w:sz w:val="20"/>
                <w:szCs w:val="20"/>
              </w:rPr>
              <w:t xml:space="preserve">Average </w:t>
            </w:r>
            <w:r w:rsidR="003A457A">
              <w:rPr>
                <w:rFonts w:ascii="Arial" w:hAnsi="Arial" w:cs="Arial"/>
                <w:sz w:val="20"/>
                <w:szCs w:val="20"/>
              </w:rPr>
              <w:t xml:space="preserve">Daily </w:t>
            </w:r>
            <w:r>
              <w:rPr>
                <w:rFonts w:ascii="Arial" w:hAnsi="Arial" w:cs="Arial"/>
                <w:sz w:val="20"/>
                <w:szCs w:val="20"/>
              </w:rPr>
              <w:t xml:space="preserve">Fee Increase/Decrease </w:t>
            </w:r>
          </w:p>
        </w:tc>
        <w:tc>
          <w:tcPr>
            <w:tcW w:w="2380" w:type="dxa"/>
            <w:gridSpan w:val="2"/>
            <w:tcBorders>
              <w:top w:val="single" w:sz="4" w:space="0" w:color="auto"/>
              <w:left w:val="nil"/>
              <w:bottom w:val="single" w:sz="4" w:space="0" w:color="auto"/>
              <w:right w:val="single" w:sz="4" w:space="0" w:color="000000"/>
            </w:tcBorders>
            <w:shd w:val="clear" w:color="auto" w:fill="B8CCE4"/>
            <w:noWrap/>
            <w:vAlign w:val="bottom"/>
            <w:hideMark/>
          </w:tcPr>
          <w:p w14:paraId="13A769B3" w14:textId="77777777" w:rsidR="0003483A" w:rsidRDefault="0003483A">
            <w:pPr>
              <w:jc w:val="center"/>
              <w:rPr>
                <w:rFonts w:ascii="Arial" w:hAnsi="Arial" w:cs="Arial"/>
                <w:sz w:val="20"/>
                <w:szCs w:val="20"/>
              </w:rPr>
            </w:pPr>
            <w:r>
              <w:rPr>
                <w:rFonts w:ascii="Arial" w:hAnsi="Arial" w:cs="Arial"/>
                <w:sz w:val="20"/>
                <w:szCs w:val="20"/>
              </w:rPr>
              <w:t>$1.67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8EA271" w14:textId="77777777" w:rsidR="0003483A" w:rsidRDefault="0003483A">
            <w:pPr>
              <w:jc w:val="center"/>
              <w:rPr>
                <w:rFonts w:ascii="Arial" w:hAnsi="Arial" w:cs="Arial"/>
                <w:sz w:val="20"/>
                <w:szCs w:val="20"/>
              </w:rPr>
            </w:pPr>
            <w:r>
              <w:rPr>
                <w:rFonts w:ascii="Arial" w:hAnsi="Arial" w:cs="Arial"/>
                <w:sz w:val="20"/>
                <w:szCs w:val="20"/>
              </w:rPr>
              <w:t>-$25.52</w:t>
            </w:r>
          </w:p>
        </w:tc>
      </w:tr>
      <w:tr w:rsidR="0003483A" w14:paraId="53A8524B"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D6E6563" w14:textId="77777777" w:rsidR="0003483A" w:rsidRDefault="0003483A">
            <w:pPr>
              <w:rPr>
                <w:rFonts w:ascii="Arial" w:hAnsi="Arial" w:cs="Arial"/>
                <w:b/>
                <w:bCs/>
                <w:sz w:val="20"/>
                <w:szCs w:val="20"/>
              </w:rPr>
            </w:pPr>
            <w:r>
              <w:rPr>
                <w:rFonts w:ascii="Arial" w:hAnsi="Arial" w:cs="Arial"/>
                <w:b/>
                <w:bCs/>
                <w:sz w:val="20"/>
                <w:szCs w:val="20"/>
              </w:rPr>
              <w:t>Daily Fees</w:t>
            </w:r>
          </w:p>
        </w:tc>
        <w:tc>
          <w:tcPr>
            <w:tcW w:w="1300" w:type="dxa"/>
            <w:tcBorders>
              <w:top w:val="nil"/>
              <w:left w:val="nil"/>
              <w:bottom w:val="single" w:sz="4" w:space="0" w:color="auto"/>
              <w:right w:val="single" w:sz="4" w:space="0" w:color="auto"/>
            </w:tcBorders>
            <w:shd w:val="clear" w:color="auto" w:fill="B8CCE4"/>
            <w:noWrap/>
            <w:vAlign w:val="bottom"/>
            <w:hideMark/>
          </w:tcPr>
          <w:p w14:paraId="1F347496" w14:textId="77777777" w:rsidR="0003483A" w:rsidRDefault="0003483A">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1080" w:type="dxa"/>
            <w:tcBorders>
              <w:top w:val="nil"/>
              <w:left w:val="nil"/>
              <w:bottom w:val="single" w:sz="4" w:space="0" w:color="auto"/>
              <w:right w:val="nil"/>
            </w:tcBorders>
            <w:shd w:val="clear" w:color="auto" w:fill="B8CCE4"/>
            <w:noWrap/>
            <w:vAlign w:val="bottom"/>
            <w:hideMark/>
          </w:tcPr>
          <w:p w14:paraId="3A696E5E" w14:textId="77777777" w:rsidR="0003483A" w:rsidRDefault="0003483A">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BBD7BF" w14:textId="77777777" w:rsidR="0003483A" w:rsidRDefault="0003483A">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50C528" w14:textId="77777777" w:rsidR="0003483A" w:rsidRDefault="0003483A">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CCB</w:t>
            </w:r>
            <w:proofErr w:type="spellEnd"/>
          </w:p>
        </w:tc>
      </w:tr>
      <w:tr w:rsidR="0003483A" w14:paraId="0D92A33B"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B69DB03" w14:textId="3CBB78A1"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4 to 5 </w:t>
            </w:r>
            <w:r>
              <w:rPr>
                <w:rFonts w:ascii="Arial" w:hAnsi="Arial" w:cs="Arial"/>
                <w:sz w:val="20"/>
                <w:szCs w:val="20"/>
              </w:rPr>
              <w:t xml:space="preserve"> Year Old Child</w:t>
            </w:r>
          </w:p>
        </w:tc>
        <w:tc>
          <w:tcPr>
            <w:tcW w:w="1300" w:type="dxa"/>
            <w:tcBorders>
              <w:top w:val="nil"/>
              <w:left w:val="nil"/>
              <w:bottom w:val="single" w:sz="4" w:space="0" w:color="auto"/>
              <w:right w:val="single" w:sz="4" w:space="0" w:color="auto"/>
            </w:tcBorders>
            <w:shd w:val="clear" w:color="auto" w:fill="B8CCE4"/>
            <w:noWrap/>
            <w:vAlign w:val="bottom"/>
            <w:hideMark/>
          </w:tcPr>
          <w:p w14:paraId="27040524" w14:textId="77777777" w:rsidR="0003483A" w:rsidRDefault="0003483A">
            <w:pPr>
              <w:jc w:val="right"/>
              <w:rPr>
                <w:rFonts w:ascii="Arial" w:hAnsi="Arial" w:cs="Arial"/>
                <w:sz w:val="20"/>
                <w:szCs w:val="20"/>
              </w:rPr>
            </w:pPr>
            <w:r>
              <w:rPr>
                <w:rFonts w:ascii="Arial" w:hAnsi="Arial" w:cs="Arial"/>
                <w:sz w:val="20"/>
                <w:szCs w:val="20"/>
              </w:rPr>
              <w:t>$17.67</w:t>
            </w:r>
          </w:p>
        </w:tc>
        <w:tc>
          <w:tcPr>
            <w:tcW w:w="1080" w:type="dxa"/>
            <w:tcBorders>
              <w:top w:val="nil"/>
              <w:left w:val="nil"/>
              <w:bottom w:val="single" w:sz="4" w:space="0" w:color="auto"/>
              <w:right w:val="nil"/>
            </w:tcBorders>
            <w:shd w:val="clear" w:color="auto" w:fill="B8CCE4"/>
            <w:noWrap/>
            <w:vAlign w:val="bottom"/>
            <w:hideMark/>
          </w:tcPr>
          <w:p w14:paraId="60460414" w14:textId="77777777" w:rsidR="0003483A" w:rsidRDefault="0003483A">
            <w:pPr>
              <w:jc w:val="right"/>
              <w:rPr>
                <w:rFonts w:ascii="Arial" w:hAnsi="Arial" w:cs="Arial"/>
                <w:sz w:val="20"/>
                <w:szCs w:val="20"/>
              </w:rPr>
            </w:pPr>
            <w:r>
              <w:rPr>
                <w:rFonts w:ascii="Arial" w:hAnsi="Arial" w:cs="Arial"/>
                <w:sz w:val="20"/>
                <w:szCs w:val="20"/>
              </w:rPr>
              <w:t>$13.25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75079" w14:textId="77777777" w:rsidR="0003483A" w:rsidRDefault="0003483A">
            <w:pPr>
              <w:jc w:val="right"/>
              <w:rPr>
                <w:rFonts w:ascii="Arial" w:hAnsi="Arial" w:cs="Arial"/>
                <w:sz w:val="20"/>
                <w:szCs w:val="20"/>
              </w:rPr>
            </w:pPr>
            <w:r>
              <w:rPr>
                <w:rFonts w:ascii="Arial" w:hAnsi="Arial" w:cs="Arial"/>
                <w:sz w:val="20"/>
                <w:szCs w:val="20"/>
              </w:rPr>
              <w:t>$25.48</w:t>
            </w:r>
          </w:p>
        </w:tc>
        <w:tc>
          <w:tcPr>
            <w:tcW w:w="960" w:type="dxa"/>
            <w:tcBorders>
              <w:top w:val="nil"/>
              <w:left w:val="nil"/>
              <w:bottom w:val="single" w:sz="4" w:space="0" w:color="auto"/>
              <w:right w:val="single" w:sz="4" w:space="0" w:color="auto"/>
            </w:tcBorders>
            <w:shd w:val="clear" w:color="auto" w:fill="auto"/>
            <w:noWrap/>
            <w:vAlign w:val="bottom"/>
            <w:hideMark/>
          </w:tcPr>
          <w:p w14:paraId="0E7730AA" w14:textId="77777777" w:rsidR="0003483A" w:rsidRDefault="0003483A">
            <w:pPr>
              <w:jc w:val="right"/>
              <w:rPr>
                <w:rFonts w:ascii="Arial" w:hAnsi="Arial" w:cs="Arial"/>
                <w:sz w:val="20"/>
                <w:szCs w:val="20"/>
              </w:rPr>
            </w:pPr>
            <w:r>
              <w:rPr>
                <w:rFonts w:ascii="Arial" w:hAnsi="Arial" w:cs="Arial"/>
                <w:sz w:val="20"/>
                <w:szCs w:val="20"/>
              </w:rPr>
              <w:t>$20.72</w:t>
            </w:r>
          </w:p>
        </w:tc>
      </w:tr>
      <w:tr w:rsidR="0003483A" w14:paraId="158D2F77"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D8CCE1F" w14:textId="7F0F7CBF"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Disadvantaged</w:t>
            </w:r>
          </w:p>
        </w:tc>
        <w:tc>
          <w:tcPr>
            <w:tcW w:w="1300" w:type="dxa"/>
            <w:tcBorders>
              <w:top w:val="nil"/>
              <w:left w:val="nil"/>
              <w:bottom w:val="single" w:sz="4" w:space="0" w:color="auto"/>
              <w:right w:val="single" w:sz="4" w:space="0" w:color="auto"/>
            </w:tcBorders>
            <w:shd w:val="clear" w:color="auto" w:fill="B8CCE4"/>
            <w:noWrap/>
            <w:vAlign w:val="bottom"/>
            <w:hideMark/>
          </w:tcPr>
          <w:p w14:paraId="2DCC643D" w14:textId="77777777" w:rsidR="0003483A" w:rsidRDefault="0003483A">
            <w:pPr>
              <w:jc w:val="right"/>
              <w:rPr>
                <w:rFonts w:ascii="Arial" w:hAnsi="Arial" w:cs="Arial"/>
                <w:sz w:val="20"/>
                <w:szCs w:val="20"/>
              </w:rPr>
            </w:pPr>
            <w:r>
              <w:rPr>
                <w:rFonts w:ascii="Arial" w:hAnsi="Arial" w:cs="Arial"/>
                <w:sz w:val="20"/>
                <w:szCs w:val="20"/>
              </w:rPr>
              <w:t>$14.00</w:t>
            </w:r>
          </w:p>
        </w:tc>
        <w:tc>
          <w:tcPr>
            <w:tcW w:w="1080" w:type="dxa"/>
            <w:tcBorders>
              <w:top w:val="nil"/>
              <w:left w:val="nil"/>
              <w:bottom w:val="single" w:sz="4" w:space="0" w:color="auto"/>
              <w:right w:val="nil"/>
            </w:tcBorders>
            <w:shd w:val="clear" w:color="auto" w:fill="B8CCE4"/>
            <w:noWrap/>
            <w:vAlign w:val="bottom"/>
            <w:hideMark/>
          </w:tcPr>
          <w:p w14:paraId="152E3DFF" w14:textId="77777777" w:rsidR="0003483A" w:rsidRDefault="0003483A">
            <w:pPr>
              <w:jc w:val="right"/>
              <w:rPr>
                <w:rFonts w:ascii="Arial" w:hAnsi="Arial" w:cs="Arial"/>
                <w:sz w:val="20"/>
                <w:szCs w:val="20"/>
              </w:rPr>
            </w:pPr>
            <w:r>
              <w:rPr>
                <w:rFonts w:ascii="Arial" w:hAnsi="Arial" w:cs="Arial"/>
                <w:sz w:val="20"/>
                <w:szCs w:val="20"/>
              </w:rPr>
              <w:t>$9.58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0D1E34" w14:textId="77777777" w:rsidR="0003483A" w:rsidRDefault="0003483A">
            <w:pPr>
              <w:jc w:val="right"/>
              <w:rPr>
                <w:rFonts w:ascii="Arial" w:hAnsi="Arial" w:cs="Arial"/>
                <w:sz w:val="20"/>
                <w:szCs w:val="20"/>
              </w:rPr>
            </w:pPr>
            <w:r>
              <w:rPr>
                <w:rFonts w:ascii="Arial" w:hAnsi="Arial" w:cs="Arial"/>
                <w:sz w:val="20"/>
                <w:szCs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544C7E11" w14:textId="77777777" w:rsidR="0003483A" w:rsidRDefault="0003483A">
            <w:pPr>
              <w:jc w:val="right"/>
              <w:rPr>
                <w:rFonts w:ascii="Arial" w:hAnsi="Arial" w:cs="Arial"/>
                <w:sz w:val="20"/>
                <w:szCs w:val="20"/>
              </w:rPr>
            </w:pPr>
            <w:r>
              <w:rPr>
                <w:rFonts w:ascii="Arial" w:hAnsi="Arial" w:cs="Arial"/>
                <w:sz w:val="20"/>
                <w:szCs w:val="20"/>
              </w:rPr>
              <w:t>$9.24</w:t>
            </w:r>
          </w:p>
        </w:tc>
      </w:tr>
      <w:tr w:rsidR="0003483A" w14:paraId="262E1BBE"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462A12D" w14:textId="10319770"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Aboriginal</w:t>
            </w:r>
          </w:p>
        </w:tc>
        <w:tc>
          <w:tcPr>
            <w:tcW w:w="1300" w:type="dxa"/>
            <w:tcBorders>
              <w:top w:val="nil"/>
              <w:left w:val="nil"/>
              <w:bottom w:val="single" w:sz="4" w:space="0" w:color="auto"/>
              <w:right w:val="single" w:sz="4" w:space="0" w:color="auto"/>
            </w:tcBorders>
            <w:shd w:val="clear" w:color="auto" w:fill="B8CCE4"/>
            <w:noWrap/>
            <w:vAlign w:val="bottom"/>
            <w:hideMark/>
          </w:tcPr>
          <w:p w14:paraId="36CE16FC" w14:textId="77777777" w:rsidR="0003483A" w:rsidRDefault="0003483A">
            <w:pPr>
              <w:jc w:val="right"/>
              <w:rPr>
                <w:rFonts w:ascii="Arial" w:hAnsi="Arial" w:cs="Arial"/>
                <w:sz w:val="20"/>
                <w:szCs w:val="20"/>
              </w:rPr>
            </w:pPr>
            <w:r>
              <w:rPr>
                <w:rFonts w:ascii="Arial" w:hAnsi="Arial" w:cs="Arial"/>
                <w:sz w:val="20"/>
                <w:szCs w:val="20"/>
              </w:rPr>
              <w:t>$0.00</w:t>
            </w:r>
          </w:p>
        </w:tc>
        <w:tc>
          <w:tcPr>
            <w:tcW w:w="1080" w:type="dxa"/>
            <w:tcBorders>
              <w:top w:val="nil"/>
              <w:left w:val="nil"/>
              <w:bottom w:val="single" w:sz="4" w:space="0" w:color="auto"/>
              <w:right w:val="nil"/>
            </w:tcBorders>
            <w:shd w:val="clear" w:color="auto" w:fill="B8CCE4"/>
            <w:noWrap/>
            <w:vAlign w:val="bottom"/>
            <w:hideMark/>
          </w:tcPr>
          <w:p w14:paraId="1B54A102" w14:textId="77777777" w:rsidR="0003483A" w:rsidRDefault="0003483A">
            <w:pPr>
              <w:jc w:val="right"/>
              <w:rPr>
                <w:rFonts w:ascii="Arial" w:hAnsi="Arial" w:cs="Arial"/>
                <w:sz w:val="20"/>
                <w:szCs w:val="20"/>
              </w:rPr>
            </w:pPr>
            <w:r>
              <w:rPr>
                <w:rFonts w:ascii="Arial" w:hAnsi="Arial" w:cs="Arial"/>
                <w:sz w:val="20"/>
                <w:szCs w:val="20"/>
              </w:rPr>
              <w:t>$0.00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18CF1" w14:textId="77777777" w:rsidR="0003483A" w:rsidRDefault="0003483A">
            <w:pPr>
              <w:jc w:val="right"/>
              <w:rPr>
                <w:rFonts w:ascii="Arial" w:hAnsi="Arial" w:cs="Arial"/>
                <w:sz w:val="20"/>
                <w:szCs w:val="20"/>
              </w:rPr>
            </w:pPr>
            <w:r>
              <w:rPr>
                <w:rFonts w:ascii="Arial" w:hAnsi="Arial" w:cs="Arial"/>
                <w:sz w:val="20"/>
                <w:szCs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6E78AA67" w14:textId="77777777" w:rsidR="0003483A" w:rsidRDefault="0003483A">
            <w:pPr>
              <w:jc w:val="right"/>
              <w:rPr>
                <w:rFonts w:ascii="Arial" w:hAnsi="Arial" w:cs="Arial"/>
                <w:sz w:val="20"/>
                <w:szCs w:val="20"/>
              </w:rPr>
            </w:pPr>
            <w:r>
              <w:rPr>
                <w:rFonts w:ascii="Arial" w:hAnsi="Arial" w:cs="Arial"/>
                <w:sz w:val="20"/>
                <w:szCs w:val="20"/>
              </w:rPr>
              <w:t>$9.24</w:t>
            </w:r>
          </w:p>
        </w:tc>
      </w:tr>
      <w:tr w:rsidR="0003483A" w14:paraId="4EFD2694" w14:textId="77777777" w:rsidTr="00B7385B">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1EB1845" w14:textId="598B5451" w:rsidR="0003483A" w:rsidRDefault="005461A5">
            <w:pPr>
              <w:rPr>
                <w:rFonts w:ascii="Arial" w:hAnsi="Arial" w:cs="Arial"/>
                <w:sz w:val="20"/>
                <w:szCs w:val="20"/>
              </w:rPr>
            </w:pPr>
            <w:r>
              <w:rPr>
                <w:rFonts w:ascii="Arial" w:hAnsi="Arial" w:cs="Arial"/>
                <w:sz w:val="20"/>
                <w:szCs w:val="20"/>
              </w:rPr>
              <w:t>3 year old</w:t>
            </w:r>
            <w:r w:rsidR="0003483A">
              <w:rPr>
                <w:rFonts w:ascii="Arial" w:hAnsi="Arial" w:cs="Arial"/>
                <w:sz w:val="20"/>
                <w:szCs w:val="20"/>
              </w:rPr>
              <w:t xml:space="preserve"> Child</w:t>
            </w:r>
          </w:p>
        </w:tc>
        <w:tc>
          <w:tcPr>
            <w:tcW w:w="1300" w:type="dxa"/>
            <w:tcBorders>
              <w:top w:val="nil"/>
              <w:left w:val="nil"/>
              <w:bottom w:val="single" w:sz="4" w:space="0" w:color="auto"/>
              <w:right w:val="single" w:sz="4" w:space="0" w:color="auto"/>
            </w:tcBorders>
            <w:shd w:val="clear" w:color="auto" w:fill="B8CCE4"/>
            <w:noWrap/>
            <w:vAlign w:val="bottom"/>
            <w:hideMark/>
          </w:tcPr>
          <w:p w14:paraId="430EFD83" w14:textId="77777777" w:rsidR="0003483A" w:rsidRDefault="0003483A">
            <w:pPr>
              <w:jc w:val="right"/>
              <w:rPr>
                <w:rFonts w:ascii="Arial" w:hAnsi="Arial" w:cs="Arial"/>
                <w:sz w:val="20"/>
                <w:szCs w:val="20"/>
              </w:rPr>
            </w:pPr>
            <w:r>
              <w:rPr>
                <w:rFonts w:ascii="Arial" w:hAnsi="Arial" w:cs="Arial"/>
                <w:sz w:val="20"/>
                <w:szCs w:val="20"/>
              </w:rPr>
              <w:t>$31.67</w:t>
            </w:r>
          </w:p>
        </w:tc>
        <w:tc>
          <w:tcPr>
            <w:tcW w:w="1080" w:type="dxa"/>
            <w:tcBorders>
              <w:top w:val="nil"/>
              <w:left w:val="nil"/>
              <w:bottom w:val="single" w:sz="4" w:space="0" w:color="auto"/>
              <w:right w:val="nil"/>
            </w:tcBorders>
            <w:shd w:val="clear" w:color="auto" w:fill="B8CCE4"/>
            <w:noWrap/>
            <w:vAlign w:val="bottom"/>
            <w:hideMark/>
          </w:tcPr>
          <w:p w14:paraId="31205A64" w14:textId="77777777" w:rsidR="0003483A" w:rsidRDefault="0003483A">
            <w:pPr>
              <w:jc w:val="right"/>
              <w:rPr>
                <w:rFonts w:ascii="Arial" w:hAnsi="Arial" w:cs="Arial"/>
                <w:sz w:val="20"/>
                <w:szCs w:val="20"/>
              </w:rPr>
            </w:pPr>
            <w:r>
              <w:rPr>
                <w:rFonts w:ascii="Arial" w:hAnsi="Arial" w:cs="Arial"/>
                <w:sz w:val="20"/>
                <w:szCs w:val="20"/>
              </w:rPr>
              <w:t>$27.25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872F6" w14:textId="77777777" w:rsidR="0003483A" w:rsidRDefault="0003483A">
            <w:pPr>
              <w:jc w:val="right"/>
              <w:rPr>
                <w:rFonts w:ascii="Arial" w:hAnsi="Arial" w:cs="Arial"/>
                <w:sz w:val="20"/>
                <w:szCs w:val="20"/>
              </w:rPr>
            </w:pPr>
            <w:r>
              <w:rPr>
                <w:rFonts w:ascii="Arial" w:hAnsi="Arial" w:cs="Arial"/>
                <w:sz w:val="20"/>
                <w:szCs w:val="20"/>
              </w:rPr>
              <w:t>$63.00</w:t>
            </w:r>
          </w:p>
        </w:tc>
        <w:tc>
          <w:tcPr>
            <w:tcW w:w="960" w:type="dxa"/>
            <w:tcBorders>
              <w:top w:val="nil"/>
              <w:left w:val="nil"/>
              <w:bottom w:val="single" w:sz="4" w:space="0" w:color="auto"/>
              <w:right w:val="single" w:sz="4" w:space="0" w:color="auto"/>
            </w:tcBorders>
            <w:shd w:val="clear" w:color="auto" w:fill="auto"/>
            <w:noWrap/>
            <w:vAlign w:val="bottom"/>
            <w:hideMark/>
          </w:tcPr>
          <w:p w14:paraId="2D9F2FE5" w14:textId="77777777" w:rsidR="0003483A" w:rsidRDefault="0003483A">
            <w:pPr>
              <w:jc w:val="right"/>
              <w:rPr>
                <w:rFonts w:ascii="Arial" w:hAnsi="Arial" w:cs="Arial"/>
                <w:sz w:val="20"/>
                <w:szCs w:val="20"/>
              </w:rPr>
            </w:pPr>
            <w:r>
              <w:rPr>
                <w:rFonts w:ascii="Arial" w:hAnsi="Arial" w:cs="Arial"/>
                <w:sz w:val="20"/>
                <w:szCs w:val="20"/>
              </w:rPr>
              <w:t>$58.24</w:t>
            </w:r>
          </w:p>
        </w:tc>
      </w:tr>
      <w:tr w:rsidR="0003483A" w14:paraId="310410B9" w14:textId="77777777" w:rsidTr="00B7385B">
        <w:trPr>
          <w:trHeight w:val="255"/>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D30E" w14:textId="77777777" w:rsidR="0003483A" w:rsidRDefault="0003483A">
            <w:pPr>
              <w:rPr>
                <w:rFonts w:ascii="Arial" w:hAnsi="Arial" w:cs="Arial"/>
                <w:sz w:val="20"/>
                <w:szCs w:val="20"/>
              </w:rPr>
            </w:pPr>
            <w:proofErr w:type="spellStart"/>
            <w:r>
              <w:rPr>
                <w:rFonts w:ascii="Arial" w:hAnsi="Arial" w:cs="Arial"/>
                <w:sz w:val="20"/>
                <w:szCs w:val="20"/>
              </w:rPr>
              <w:t>CCB</w:t>
            </w:r>
            <w:proofErr w:type="spellEnd"/>
            <w:r>
              <w:rPr>
                <w:rFonts w:ascii="Arial" w:hAnsi="Arial" w:cs="Arial"/>
                <w:sz w:val="20"/>
                <w:szCs w:val="20"/>
              </w:rPr>
              <w:t xml:space="preserve"> Rebate $0.60/hr</w:t>
            </w:r>
          </w:p>
        </w:tc>
        <w:tc>
          <w:tcPr>
            <w:tcW w:w="1300" w:type="dxa"/>
            <w:tcBorders>
              <w:top w:val="single" w:sz="4" w:space="0" w:color="auto"/>
              <w:left w:val="nil"/>
              <w:bottom w:val="single" w:sz="4" w:space="0" w:color="auto"/>
              <w:right w:val="single" w:sz="4" w:space="0" w:color="auto"/>
            </w:tcBorders>
            <w:shd w:val="clear" w:color="auto" w:fill="B8CCE4"/>
            <w:noWrap/>
            <w:vAlign w:val="bottom"/>
            <w:hideMark/>
          </w:tcPr>
          <w:p w14:paraId="6D56B160" w14:textId="77777777" w:rsidR="0003483A" w:rsidRDefault="0003483A">
            <w:pPr>
              <w:jc w:val="right"/>
              <w:rPr>
                <w:rFonts w:ascii="Arial" w:hAnsi="Arial" w:cs="Arial"/>
                <w:sz w:val="20"/>
                <w:szCs w:val="20"/>
              </w:rPr>
            </w:pPr>
            <w:r>
              <w:rPr>
                <w:rFonts w:ascii="Arial" w:hAnsi="Arial" w:cs="Arial"/>
                <w:sz w:val="20"/>
                <w:szCs w:val="20"/>
              </w:rPr>
              <w:t>$4.42</w:t>
            </w:r>
          </w:p>
        </w:tc>
        <w:tc>
          <w:tcPr>
            <w:tcW w:w="1080" w:type="dxa"/>
            <w:tcBorders>
              <w:top w:val="single" w:sz="4" w:space="0" w:color="auto"/>
              <w:left w:val="nil"/>
              <w:bottom w:val="single" w:sz="4" w:space="0" w:color="auto"/>
              <w:right w:val="nil"/>
            </w:tcBorders>
            <w:shd w:val="clear" w:color="auto" w:fill="B8CCE4"/>
            <w:noWrap/>
            <w:vAlign w:val="bottom"/>
            <w:hideMark/>
          </w:tcPr>
          <w:p w14:paraId="31DFA24B" w14:textId="77777777" w:rsidR="0003483A" w:rsidRDefault="0003483A">
            <w:pPr>
              <w:jc w:val="right"/>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D8CE" w14:textId="77777777" w:rsidR="0003483A" w:rsidRDefault="0003483A">
            <w:pPr>
              <w:jc w:val="right"/>
              <w:rPr>
                <w:rFonts w:ascii="Arial" w:hAnsi="Arial" w:cs="Arial"/>
                <w:sz w:val="20"/>
                <w:szCs w:val="20"/>
              </w:rPr>
            </w:pPr>
            <w:r>
              <w:rPr>
                <w:rFonts w:ascii="Arial" w:hAnsi="Arial" w:cs="Arial"/>
                <w:sz w:val="20"/>
                <w:szCs w:val="20"/>
              </w:rPr>
              <w:t>$4.76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C75491" w14:textId="77777777" w:rsidR="0003483A" w:rsidRDefault="0003483A">
            <w:pPr>
              <w:jc w:val="right"/>
              <w:rPr>
                <w:rFonts w:ascii="Arial" w:hAnsi="Arial" w:cs="Arial"/>
                <w:sz w:val="20"/>
                <w:szCs w:val="20"/>
              </w:rPr>
            </w:pPr>
          </w:p>
        </w:tc>
      </w:tr>
    </w:tbl>
    <w:p w14:paraId="04025F14" w14:textId="77777777" w:rsidR="00F55C0E" w:rsidRPr="002D0F01" w:rsidRDefault="00F55C0E" w:rsidP="00E83F06">
      <w:pPr>
        <w:pStyle w:val="BodyText"/>
      </w:pPr>
    </w:p>
    <w:p w14:paraId="6A063BE2" w14:textId="4448D7B7" w:rsidR="00201FED" w:rsidRDefault="007642DD" w:rsidP="00B7385B">
      <w:pPr>
        <w:pStyle w:val="BodyText"/>
        <w:spacing w:before="0" w:after="240"/>
      </w:pPr>
      <w:r w:rsidRPr="00E76501">
        <w:t xml:space="preserve">This financial model indicates a </w:t>
      </w:r>
      <w:r w:rsidR="0003483A" w:rsidRPr="00B7385B">
        <w:t>s</w:t>
      </w:r>
      <w:r w:rsidRPr="00B7385B">
        <w:t>ignificant increase in</w:t>
      </w:r>
      <w:r w:rsidR="0003483A" w:rsidRPr="00B7385B">
        <w:t xml:space="preserve"> government </w:t>
      </w:r>
      <w:r w:rsidR="000552F5" w:rsidRPr="00B7385B">
        <w:t>funding</w:t>
      </w:r>
      <w:r w:rsidR="0003483A" w:rsidRPr="00B7385B">
        <w:t xml:space="preserve"> if </w:t>
      </w:r>
      <w:proofErr w:type="spellStart"/>
      <w:r w:rsidR="0003483A" w:rsidRPr="00B7385B">
        <w:t>CEDP</w:t>
      </w:r>
      <w:proofErr w:type="spellEnd"/>
      <w:r w:rsidR="0003483A" w:rsidRPr="00B7385B">
        <w:t xml:space="preserve"> </w:t>
      </w:r>
      <w:r w:rsidR="00F55C0E">
        <w:t xml:space="preserve">preschools </w:t>
      </w:r>
      <w:r w:rsidR="0003483A" w:rsidRPr="002D0F01">
        <w:t xml:space="preserve">were </w:t>
      </w:r>
      <w:r w:rsidR="00F55C0E">
        <w:t xml:space="preserve">to be </w:t>
      </w:r>
      <w:r w:rsidR="0003483A" w:rsidRPr="002D0F01">
        <w:t>funded based on</w:t>
      </w:r>
      <w:r w:rsidR="00F55C0E">
        <w:t xml:space="preserve"> </w:t>
      </w:r>
      <w:r w:rsidR="00201FED">
        <w:t>142</w:t>
      </w:r>
      <w:r w:rsidR="0003483A" w:rsidRPr="002D0F01">
        <w:t xml:space="preserve"> </w:t>
      </w:r>
      <w:r w:rsidR="003E3967">
        <w:t>l</w:t>
      </w:r>
      <w:r w:rsidR="0003483A" w:rsidRPr="002D0F01">
        <w:t xml:space="preserve">icensed </w:t>
      </w:r>
      <w:r w:rsidR="003E3967">
        <w:t>p</w:t>
      </w:r>
      <w:r w:rsidR="0003483A" w:rsidRPr="002D0F01">
        <w:t>laces per day</w:t>
      </w:r>
      <w:r w:rsidR="0003483A" w:rsidRPr="00E76501">
        <w:t>.</w:t>
      </w:r>
      <w:r w:rsidR="00E857B1">
        <w:t xml:space="preserve"> </w:t>
      </w:r>
    </w:p>
    <w:p w14:paraId="0C344118" w14:textId="398865F7" w:rsidR="007642DD" w:rsidRPr="00125008" w:rsidRDefault="0003483A" w:rsidP="00B7385B">
      <w:pPr>
        <w:pStyle w:val="BodyText"/>
        <w:spacing w:before="0" w:after="240"/>
      </w:pPr>
      <w:r w:rsidRPr="002D0F01">
        <w:t xml:space="preserve">This funding would represent 64% of total </w:t>
      </w:r>
      <w:proofErr w:type="spellStart"/>
      <w:r w:rsidR="00F55C0E">
        <w:t>CEDP</w:t>
      </w:r>
      <w:proofErr w:type="spellEnd"/>
      <w:r w:rsidR="00F55C0E">
        <w:t xml:space="preserve"> preschool </w:t>
      </w:r>
      <w:r w:rsidRPr="002D0F01">
        <w:t xml:space="preserve">expenditure and would allow fees to be reduced on average </w:t>
      </w:r>
      <w:r w:rsidR="00201FED">
        <w:t xml:space="preserve">by </w:t>
      </w:r>
      <w:r w:rsidRPr="002D0F01">
        <w:t>$13.33 per day.</w:t>
      </w:r>
      <w:r w:rsidR="00E857B1">
        <w:t xml:space="preserve"> </w:t>
      </w:r>
      <w:r w:rsidRPr="002D0F01">
        <w:t xml:space="preserve">This would allow differential fees to be maintained whilst </w:t>
      </w:r>
      <w:r w:rsidRPr="00E76501">
        <w:t>reducing fees</w:t>
      </w:r>
      <w:r w:rsidR="00201FED">
        <w:t xml:space="preserve"> to families</w:t>
      </w:r>
      <w:r w:rsidRPr="002D0F01">
        <w:t>.</w:t>
      </w:r>
    </w:p>
    <w:p w14:paraId="4BB1F016" w14:textId="77777777" w:rsidR="0003483A" w:rsidRDefault="00F55C0E" w:rsidP="0003483A">
      <w:pPr>
        <w:pStyle w:val="BodyText"/>
        <w:rPr>
          <w:b/>
        </w:rPr>
      </w:pPr>
      <w:r>
        <w:br w:type="page"/>
      </w:r>
      <w:r w:rsidR="0003483A" w:rsidRPr="006E1844">
        <w:rPr>
          <w:b/>
        </w:rPr>
        <w:t xml:space="preserve">Financial Model </w:t>
      </w:r>
      <w:r w:rsidR="0003483A">
        <w:rPr>
          <w:b/>
        </w:rPr>
        <w:t>E</w:t>
      </w:r>
    </w:p>
    <w:p w14:paraId="045468F1" w14:textId="77777777" w:rsidR="0003483A" w:rsidRPr="00B7385B" w:rsidRDefault="00E83F06" w:rsidP="00E83F06">
      <w:pPr>
        <w:pStyle w:val="BodyText"/>
        <w:rPr>
          <w:b/>
          <w:i/>
        </w:rPr>
      </w:pPr>
      <w:proofErr w:type="spellStart"/>
      <w:r w:rsidRPr="00B7385B">
        <w:rPr>
          <w:b/>
          <w:i/>
        </w:rPr>
        <w:t>CEDP’s</w:t>
      </w:r>
      <w:proofErr w:type="spellEnd"/>
      <w:r w:rsidRPr="00B7385B">
        <w:rPr>
          <w:b/>
          <w:i/>
        </w:rPr>
        <w:t xml:space="preserve"> financial calculations should dedicated preschools be funded at the same level of preschools within long day </w:t>
      </w:r>
      <w:r w:rsidR="001A3034" w:rsidRPr="002D0F01">
        <w:rPr>
          <w:b/>
          <w:i/>
        </w:rPr>
        <w:t>care (</w:t>
      </w:r>
      <w:r w:rsidRPr="00B7385B">
        <w:rPr>
          <w:b/>
          <w:i/>
        </w:rPr>
        <w:t>Universal Access and Early Childhood Learning Subsidy)</w:t>
      </w:r>
      <w:r w:rsidR="0003483A" w:rsidRPr="00B7385B">
        <w:rPr>
          <w:b/>
          <w:i/>
        </w:rPr>
        <w:t>.</w:t>
      </w:r>
    </w:p>
    <w:p w14:paraId="354A9D13" w14:textId="77777777" w:rsidR="000552F5" w:rsidRDefault="000552F5" w:rsidP="00E83F06">
      <w:pPr>
        <w:pStyle w:val="BodyText"/>
      </w:pPr>
    </w:p>
    <w:tbl>
      <w:tblPr>
        <w:tblW w:w="9334" w:type="dxa"/>
        <w:tblInd w:w="108" w:type="dxa"/>
        <w:tblLook w:val="04A0" w:firstRow="1" w:lastRow="0" w:firstColumn="1" w:lastColumn="0" w:noHBand="0" w:noVBand="1"/>
      </w:tblPr>
      <w:tblGrid>
        <w:gridCol w:w="5191"/>
        <w:gridCol w:w="1247"/>
        <w:gridCol w:w="1042"/>
        <w:gridCol w:w="923"/>
        <w:gridCol w:w="931"/>
      </w:tblGrid>
      <w:tr w:rsidR="003E3967" w14:paraId="07753246" w14:textId="77777777" w:rsidTr="003E3967">
        <w:trPr>
          <w:trHeight w:val="241"/>
        </w:trPr>
        <w:tc>
          <w:tcPr>
            <w:tcW w:w="5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AC3C" w14:textId="77777777" w:rsidR="0003483A" w:rsidRDefault="0003483A">
            <w:pPr>
              <w:rPr>
                <w:rFonts w:ascii="Arial" w:hAnsi="Arial" w:cs="Arial"/>
                <w:sz w:val="20"/>
                <w:szCs w:val="20"/>
              </w:rPr>
            </w:pPr>
            <w:r>
              <w:rPr>
                <w:rFonts w:ascii="Arial" w:hAnsi="Arial" w:cs="Arial"/>
                <w:sz w:val="20"/>
                <w:szCs w:val="20"/>
              </w:rPr>
              <w:t>Number of Centres</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52743477" w14:textId="77777777" w:rsidR="0003483A" w:rsidRDefault="0003483A">
            <w:pPr>
              <w:jc w:val="right"/>
              <w:rPr>
                <w:rFonts w:ascii="Arial" w:hAnsi="Arial" w:cs="Arial"/>
                <w:sz w:val="20"/>
                <w:szCs w:val="20"/>
              </w:rPr>
            </w:pPr>
            <w:r>
              <w:rPr>
                <w:rFonts w:ascii="Arial" w:hAnsi="Arial" w:cs="Arial"/>
                <w:sz w:val="20"/>
                <w:szCs w:val="20"/>
              </w:rPr>
              <w:t>4</w:t>
            </w:r>
          </w:p>
        </w:tc>
        <w:tc>
          <w:tcPr>
            <w:tcW w:w="1042" w:type="dxa"/>
            <w:tcBorders>
              <w:top w:val="nil"/>
              <w:left w:val="nil"/>
              <w:bottom w:val="nil"/>
              <w:right w:val="nil"/>
            </w:tcBorders>
            <w:shd w:val="clear" w:color="auto" w:fill="auto"/>
            <w:noWrap/>
            <w:vAlign w:val="bottom"/>
            <w:hideMark/>
          </w:tcPr>
          <w:p w14:paraId="4F0D9BB0"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581A7C56"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0B20E170" w14:textId="77777777" w:rsidR="0003483A" w:rsidRDefault="0003483A">
            <w:pPr>
              <w:rPr>
                <w:sz w:val="20"/>
                <w:szCs w:val="20"/>
              </w:rPr>
            </w:pPr>
          </w:p>
        </w:tc>
      </w:tr>
      <w:tr w:rsidR="003E3967" w14:paraId="14178F03"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36165DD4" w14:textId="77777777" w:rsidR="0003483A" w:rsidRDefault="0003483A">
            <w:pPr>
              <w:rPr>
                <w:rFonts w:ascii="Arial" w:hAnsi="Arial" w:cs="Arial"/>
                <w:sz w:val="20"/>
                <w:szCs w:val="20"/>
              </w:rPr>
            </w:pPr>
            <w:r>
              <w:rPr>
                <w:rFonts w:ascii="Arial" w:hAnsi="Arial" w:cs="Arial"/>
                <w:sz w:val="20"/>
                <w:szCs w:val="20"/>
              </w:rPr>
              <w:t>Licensed Places/Day</w:t>
            </w:r>
          </w:p>
        </w:tc>
        <w:tc>
          <w:tcPr>
            <w:tcW w:w="1247" w:type="dxa"/>
            <w:tcBorders>
              <w:top w:val="nil"/>
              <w:left w:val="nil"/>
              <w:bottom w:val="single" w:sz="4" w:space="0" w:color="auto"/>
              <w:right w:val="single" w:sz="4" w:space="0" w:color="auto"/>
            </w:tcBorders>
            <w:shd w:val="clear" w:color="auto" w:fill="auto"/>
            <w:noWrap/>
            <w:vAlign w:val="bottom"/>
            <w:hideMark/>
          </w:tcPr>
          <w:p w14:paraId="131A62EA" w14:textId="77777777" w:rsidR="0003483A" w:rsidRDefault="0003483A">
            <w:pPr>
              <w:jc w:val="right"/>
              <w:rPr>
                <w:rFonts w:ascii="Arial" w:hAnsi="Arial" w:cs="Arial"/>
                <w:sz w:val="20"/>
                <w:szCs w:val="20"/>
              </w:rPr>
            </w:pPr>
            <w:r>
              <w:rPr>
                <w:rFonts w:ascii="Arial" w:hAnsi="Arial" w:cs="Arial"/>
                <w:sz w:val="20"/>
                <w:szCs w:val="20"/>
              </w:rPr>
              <w:t>142</w:t>
            </w:r>
          </w:p>
        </w:tc>
        <w:tc>
          <w:tcPr>
            <w:tcW w:w="1042" w:type="dxa"/>
            <w:tcBorders>
              <w:top w:val="nil"/>
              <w:left w:val="nil"/>
              <w:bottom w:val="nil"/>
              <w:right w:val="nil"/>
            </w:tcBorders>
            <w:shd w:val="clear" w:color="auto" w:fill="auto"/>
            <w:noWrap/>
            <w:vAlign w:val="bottom"/>
            <w:hideMark/>
          </w:tcPr>
          <w:p w14:paraId="765156C3"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297A7A0A"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5AA8AD92" w14:textId="77777777" w:rsidR="0003483A" w:rsidRDefault="0003483A">
            <w:pPr>
              <w:rPr>
                <w:sz w:val="20"/>
                <w:szCs w:val="20"/>
              </w:rPr>
            </w:pPr>
          </w:p>
        </w:tc>
      </w:tr>
      <w:tr w:rsidR="003E3967" w14:paraId="29E77F2E"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66D618D0" w14:textId="77777777" w:rsidR="0003483A" w:rsidRDefault="0003483A">
            <w:pPr>
              <w:rPr>
                <w:rFonts w:ascii="Arial" w:hAnsi="Arial" w:cs="Arial"/>
                <w:sz w:val="20"/>
                <w:szCs w:val="20"/>
              </w:rPr>
            </w:pPr>
            <w:r>
              <w:rPr>
                <w:rFonts w:ascii="Arial" w:hAnsi="Arial" w:cs="Arial"/>
                <w:sz w:val="20"/>
                <w:szCs w:val="20"/>
              </w:rPr>
              <w:t>Maximum Funded Places</w:t>
            </w:r>
          </w:p>
        </w:tc>
        <w:tc>
          <w:tcPr>
            <w:tcW w:w="1247" w:type="dxa"/>
            <w:tcBorders>
              <w:top w:val="nil"/>
              <w:left w:val="nil"/>
              <w:bottom w:val="single" w:sz="4" w:space="0" w:color="auto"/>
              <w:right w:val="single" w:sz="4" w:space="0" w:color="auto"/>
            </w:tcBorders>
            <w:shd w:val="clear" w:color="auto" w:fill="auto"/>
            <w:noWrap/>
            <w:vAlign w:val="bottom"/>
            <w:hideMark/>
          </w:tcPr>
          <w:p w14:paraId="3E82E2A4" w14:textId="77777777" w:rsidR="0003483A" w:rsidRDefault="0003483A">
            <w:pPr>
              <w:jc w:val="right"/>
              <w:rPr>
                <w:rFonts w:ascii="Arial" w:hAnsi="Arial" w:cs="Arial"/>
                <w:sz w:val="20"/>
                <w:szCs w:val="20"/>
              </w:rPr>
            </w:pPr>
            <w:r>
              <w:rPr>
                <w:rFonts w:ascii="Arial" w:hAnsi="Arial" w:cs="Arial"/>
                <w:sz w:val="20"/>
                <w:szCs w:val="20"/>
              </w:rPr>
              <w:t>284</w:t>
            </w:r>
          </w:p>
        </w:tc>
        <w:tc>
          <w:tcPr>
            <w:tcW w:w="1042" w:type="dxa"/>
            <w:tcBorders>
              <w:top w:val="nil"/>
              <w:left w:val="nil"/>
              <w:bottom w:val="nil"/>
              <w:right w:val="nil"/>
            </w:tcBorders>
            <w:shd w:val="clear" w:color="auto" w:fill="auto"/>
            <w:noWrap/>
            <w:vAlign w:val="bottom"/>
            <w:hideMark/>
          </w:tcPr>
          <w:p w14:paraId="3E3D89D1"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59DCE167"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09C01B64" w14:textId="77777777" w:rsidR="0003483A" w:rsidRDefault="0003483A">
            <w:pPr>
              <w:rPr>
                <w:sz w:val="20"/>
                <w:szCs w:val="20"/>
              </w:rPr>
            </w:pPr>
          </w:p>
        </w:tc>
      </w:tr>
      <w:tr w:rsidR="003E3967" w14:paraId="3929F507"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3106D5DD" w14:textId="77777777" w:rsidR="0003483A" w:rsidRDefault="0003483A">
            <w:pPr>
              <w:rPr>
                <w:rFonts w:ascii="Arial" w:hAnsi="Arial" w:cs="Arial"/>
                <w:sz w:val="20"/>
                <w:szCs w:val="20"/>
              </w:rPr>
            </w:pPr>
            <w:r>
              <w:rPr>
                <w:rFonts w:ascii="Arial" w:hAnsi="Arial" w:cs="Arial"/>
                <w:sz w:val="20"/>
                <w:szCs w:val="20"/>
              </w:rPr>
              <w:t>Funded Positions August 2013 Census</w:t>
            </w:r>
          </w:p>
        </w:tc>
        <w:tc>
          <w:tcPr>
            <w:tcW w:w="1247" w:type="dxa"/>
            <w:tcBorders>
              <w:top w:val="nil"/>
              <w:left w:val="nil"/>
              <w:bottom w:val="single" w:sz="4" w:space="0" w:color="auto"/>
              <w:right w:val="single" w:sz="4" w:space="0" w:color="auto"/>
            </w:tcBorders>
            <w:shd w:val="clear" w:color="auto" w:fill="auto"/>
            <w:noWrap/>
            <w:vAlign w:val="bottom"/>
            <w:hideMark/>
          </w:tcPr>
          <w:p w14:paraId="6E474411" w14:textId="77777777" w:rsidR="0003483A" w:rsidRDefault="0003483A">
            <w:pPr>
              <w:jc w:val="right"/>
              <w:rPr>
                <w:rFonts w:ascii="Arial" w:hAnsi="Arial" w:cs="Arial"/>
                <w:sz w:val="20"/>
                <w:szCs w:val="20"/>
              </w:rPr>
            </w:pPr>
            <w:r>
              <w:rPr>
                <w:rFonts w:ascii="Arial" w:hAnsi="Arial" w:cs="Arial"/>
                <w:sz w:val="20"/>
                <w:szCs w:val="20"/>
              </w:rPr>
              <w:t>242</w:t>
            </w:r>
          </w:p>
        </w:tc>
        <w:tc>
          <w:tcPr>
            <w:tcW w:w="1042" w:type="dxa"/>
            <w:tcBorders>
              <w:top w:val="nil"/>
              <w:left w:val="nil"/>
              <w:bottom w:val="nil"/>
              <w:right w:val="nil"/>
            </w:tcBorders>
            <w:shd w:val="clear" w:color="auto" w:fill="auto"/>
            <w:noWrap/>
            <w:vAlign w:val="bottom"/>
            <w:hideMark/>
          </w:tcPr>
          <w:p w14:paraId="3F0B36A3"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2C3BEBCD"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11D1D01F" w14:textId="77777777" w:rsidR="0003483A" w:rsidRDefault="0003483A">
            <w:pPr>
              <w:rPr>
                <w:sz w:val="20"/>
                <w:szCs w:val="20"/>
              </w:rPr>
            </w:pPr>
          </w:p>
        </w:tc>
      </w:tr>
      <w:tr w:rsidR="003E3967" w14:paraId="2D834BE8"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19A9D720" w14:textId="77777777" w:rsidR="0003483A" w:rsidRDefault="0003483A">
            <w:pPr>
              <w:rPr>
                <w:rFonts w:ascii="Arial" w:hAnsi="Arial" w:cs="Arial"/>
                <w:sz w:val="20"/>
                <w:szCs w:val="20"/>
              </w:rPr>
            </w:pPr>
            <w:r>
              <w:rPr>
                <w:rFonts w:ascii="Arial" w:hAnsi="Arial" w:cs="Arial"/>
                <w:sz w:val="20"/>
                <w:szCs w:val="20"/>
              </w:rPr>
              <w:t>Children Attending August 2013 Census</w:t>
            </w:r>
          </w:p>
        </w:tc>
        <w:tc>
          <w:tcPr>
            <w:tcW w:w="1247" w:type="dxa"/>
            <w:tcBorders>
              <w:top w:val="nil"/>
              <w:left w:val="nil"/>
              <w:bottom w:val="single" w:sz="4" w:space="0" w:color="auto"/>
              <w:right w:val="single" w:sz="4" w:space="0" w:color="auto"/>
            </w:tcBorders>
            <w:shd w:val="clear" w:color="auto" w:fill="auto"/>
            <w:noWrap/>
            <w:vAlign w:val="bottom"/>
            <w:hideMark/>
          </w:tcPr>
          <w:p w14:paraId="23AEA857" w14:textId="77777777" w:rsidR="0003483A" w:rsidRDefault="0003483A">
            <w:pPr>
              <w:jc w:val="right"/>
              <w:rPr>
                <w:rFonts w:ascii="Arial" w:hAnsi="Arial" w:cs="Arial"/>
                <w:sz w:val="20"/>
                <w:szCs w:val="20"/>
              </w:rPr>
            </w:pPr>
            <w:r>
              <w:rPr>
                <w:rFonts w:ascii="Arial" w:hAnsi="Arial" w:cs="Arial"/>
                <w:sz w:val="20"/>
                <w:szCs w:val="20"/>
              </w:rPr>
              <w:t>313</w:t>
            </w:r>
          </w:p>
        </w:tc>
        <w:tc>
          <w:tcPr>
            <w:tcW w:w="1042" w:type="dxa"/>
            <w:tcBorders>
              <w:top w:val="nil"/>
              <w:left w:val="nil"/>
              <w:bottom w:val="nil"/>
              <w:right w:val="nil"/>
            </w:tcBorders>
            <w:shd w:val="clear" w:color="auto" w:fill="auto"/>
            <w:noWrap/>
            <w:vAlign w:val="bottom"/>
            <w:hideMark/>
          </w:tcPr>
          <w:p w14:paraId="7E7CD08B"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15595484"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1F0C14B6" w14:textId="77777777" w:rsidR="0003483A" w:rsidRDefault="0003483A">
            <w:pPr>
              <w:rPr>
                <w:sz w:val="20"/>
                <w:szCs w:val="20"/>
              </w:rPr>
            </w:pPr>
          </w:p>
        </w:tc>
      </w:tr>
      <w:tr w:rsidR="003E3967" w14:paraId="3422E997" w14:textId="77777777" w:rsidTr="003E3967">
        <w:trPr>
          <w:trHeight w:val="31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2103C931" w14:textId="77777777" w:rsidR="0003483A" w:rsidRDefault="0003483A">
            <w:pPr>
              <w:rPr>
                <w:rFonts w:ascii="Arial" w:hAnsi="Arial" w:cs="Arial"/>
                <w:sz w:val="20"/>
                <w:szCs w:val="20"/>
              </w:rPr>
            </w:pPr>
            <w:r>
              <w:rPr>
                <w:rFonts w:ascii="Arial" w:hAnsi="Arial" w:cs="Arial"/>
                <w:sz w:val="20"/>
                <w:szCs w:val="20"/>
              </w:rPr>
              <w:t xml:space="preserve">NSW Government </w:t>
            </w:r>
            <w:proofErr w:type="spellStart"/>
            <w:r>
              <w:rPr>
                <w:rFonts w:ascii="Arial" w:hAnsi="Arial" w:cs="Arial"/>
                <w:sz w:val="20"/>
                <w:szCs w:val="20"/>
              </w:rPr>
              <w:t>Funding</w:t>
            </w:r>
            <w:r>
              <w:rPr>
                <w:rFonts w:ascii="Arial" w:hAnsi="Arial" w:cs="Arial"/>
                <w:sz w:val="22"/>
                <w:szCs w:val="22"/>
                <w:vertAlign w:val="superscript"/>
              </w:rPr>
              <w:t>1</w:t>
            </w:r>
            <w:proofErr w:type="spellEnd"/>
          </w:p>
        </w:tc>
        <w:tc>
          <w:tcPr>
            <w:tcW w:w="1247" w:type="dxa"/>
            <w:tcBorders>
              <w:top w:val="nil"/>
              <w:left w:val="nil"/>
              <w:bottom w:val="single" w:sz="4" w:space="0" w:color="auto"/>
              <w:right w:val="single" w:sz="4" w:space="0" w:color="auto"/>
            </w:tcBorders>
            <w:shd w:val="clear" w:color="auto" w:fill="auto"/>
            <w:noWrap/>
            <w:vAlign w:val="bottom"/>
            <w:hideMark/>
          </w:tcPr>
          <w:p w14:paraId="294A2256" w14:textId="77777777" w:rsidR="0003483A" w:rsidRDefault="0003483A">
            <w:pPr>
              <w:jc w:val="right"/>
              <w:rPr>
                <w:rFonts w:ascii="Arial" w:hAnsi="Arial" w:cs="Arial"/>
                <w:sz w:val="20"/>
                <w:szCs w:val="20"/>
              </w:rPr>
            </w:pPr>
            <w:r>
              <w:rPr>
                <w:rFonts w:ascii="Arial" w:hAnsi="Arial" w:cs="Arial"/>
                <w:sz w:val="20"/>
                <w:szCs w:val="20"/>
              </w:rPr>
              <w:t>$885,932</w:t>
            </w:r>
          </w:p>
        </w:tc>
        <w:tc>
          <w:tcPr>
            <w:tcW w:w="1042" w:type="dxa"/>
            <w:tcBorders>
              <w:top w:val="nil"/>
              <w:left w:val="nil"/>
              <w:bottom w:val="nil"/>
              <w:right w:val="nil"/>
            </w:tcBorders>
            <w:shd w:val="clear" w:color="auto" w:fill="auto"/>
            <w:noWrap/>
            <w:vAlign w:val="bottom"/>
            <w:hideMark/>
          </w:tcPr>
          <w:p w14:paraId="1C14064D"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47426F45"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5AB385DA" w14:textId="77777777" w:rsidR="0003483A" w:rsidRDefault="0003483A">
            <w:pPr>
              <w:rPr>
                <w:sz w:val="20"/>
                <w:szCs w:val="20"/>
              </w:rPr>
            </w:pPr>
          </w:p>
        </w:tc>
      </w:tr>
      <w:tr w:rsidR="003E3967" w14:paraId="6BF6276F" w14:textId="77777777" w:rsidTr="003E3967">
        <w:trPr>
          <w:trHeight w:val="241"/>
        </w:trPr>
        <w:tc>
          <w:tcPr>
            <w:tcW w:w="5191" w:type="dxa"/>
            <w:tcBorders>
              <w:top w:val="nil"/>
              <w:left w:val="single" w:sz="4" w:space="0" w:color="auto"/>
              <w:bottom w:val="nil"/>
              <w:right w:val="single" w:sz="4" w:space="0" w:color="auto"/>
            </w:tcBorders>
            <w:shd w:val="clear" w:color="auto" w:fill="auto"/>
            <w:noWrap/>
            <w:vAlign w:val="bottom"/>
            <w:hideMark/>
          </w:tcPr>
          <w:p w14:paraId="3A682730" w14:textId="77777777" w:rsidR="0003483A" w:rsidRDefault="006A3748">
            <w:pPr>
              <w:rPr>
                <w:rFonts w:ascii="Arial" w:hAnsi="Arial" w:cs="Arial"/>
                <w:sz w:val="20"/>
                <w:szCs w:val="20"/>
              </w:rPr>
            </w:pPr>
            <w:r>
              <w:rPr>
                <w:rFonts w:ascii="Arial" w:hAnsi="Arial" w:cs="Arial"/>
                <w:sz w:val="20"/>
                <w:szCs w:val="20"/>
              </w:rPr>
              <w:t xml:space="preserve">Government Funding % </w:t>
            </w:r>
            <w:proofErr w:type="spellStart"/>
            <w:r>
              <w:rPr>
                <w:rFonts w:ascii="Arial" w:hAnsi="Arial" w:cs="Arial"/>
                <w:sz w:val="20"/>
                <w:szCs w:val="20"/>
              </w:rPr>
              <w:t>CEDP</w:t>
            </w:r>
            <w:proofErr w:type="spellEnd"/>
            <w:r>
              <w:rPr>
                <w:rFonts w:ascii="Arial" w:hAnsi="Arial" w:cs="Arial"/>
                <w:sz w:val="20"/>
                <w:szCs w:val="20"/>
              </w:rPr>
              <w:t xml:space="preserve"> Total</w:t>
            </w:r>
            <w:r w:rsidR="00F55C0E">
              <w:rPr>
                <w:rFonts w:ascii="Arial" w:hAnsi="Arial" w:cs="Arial"/>
                <w:sz w:val="20"/>
                <w:szCs w:val="20"/>
              </w:rPr>
              <w:t xml:space="preserve"> </w:t>
            </w:r>
            <w:r>
              <w:rPr>
                <w:rFonts w:ascii="Arial" w:hAnsi="Arial" w:cs="Arial"/>
                <w:sz w:val="20"/>
                <w:szCs w:val="20"/>
              </w:rPr>
              <w:t>Expenditure</w:t>
            </w:r>
          </w:p>
        </w:tc>
        <w:tc>
          <w:tcPr>
            <w:tcW w:w="1247" w:type="dxa"/>
            <w:tcBorders>
              <w:top w:val="nil"/>
              <w:left w:val="nil"/>
              <w:bottom w:val="nil"/>
              <w:right w:val="single" w:sz="4" w:space="0" w:color="auto"/>
            </w:tcBorders>
            <w:shd w:val="clear" w:color="auto" w:fill="auto"/>
            <w:noWrap/>
            <w:vAlign w:val="bottom"/>
            <w:hideMark/>
          </w:tcPr>
          <w:p w14:paraId="48B43467" w14:textId="77777777" w:rsidR="0003483A" w:rsidRDefault="0003483A">
            <w:pPr>
              <w:jc w:val="right"/>
              <w:rPr>
                <w:rFonts w:ascii="Arial" w:hAnsi="Arial" w:cs="Arial"/>
                <w:sz w:val="20"/>
                <w:szCs w:val="20"/>
              </w:rPr>
            </w:pPr>
            <w:r>
              <w:rPr>
                <w:rFonts w:ascii="Arial" w:hAnsi="Arial" w:cs="Arial"/>
                <w:sz w:val="20"/>
                <w:szCs w:val="20"/>
              </w:rPr>
              <w:t>49.0%</w:t>
            </w:r>
          </w:p>
        </w:tc>
        <w:tc>
          <w:tcPr>
            <w:tcW w:w="1042" w:type="dxa"/>
            <w:tcBorders>
              <w:top w:val="nil"/>
              <w:left w:val="nil"/>
              <w:bottom w:val="nil"/>
              <w:right w:val="nil"/>
            </w:tcBorders>
            <w:shd w:val="clear" w:color="auto" w:fill="auto"/>
            <w:noWrap/>
            <w:vAlign w:val="bottom"/>
            <w:hideMark/>
          </w:tcPr>
          <w:p w14:paraId="444B36B3" w14:textId="77777777" w:rsidR="0003483A" w:rsidRDefault="0003483A">
            <w:pPr>
              <w:jc w:val="right"/>
              <w:rPr>
                <w:rFonts w:ascii="Arial" w:hAnsi="Arial" w:cs="Arial"/>
                <w:sz w:val="20"/>
                <w:szCs w:val="20"/>
              </w:rPr>
            </w:pPr>
          </w:p>
        </w:tc>
        <w:tc>
          <w:tcPr>
            <w:tcW w:w="923" w:type="dxa"/>
            <w:tcBorders>
              <w:top w:val="nil"/>
              <w:left w:val="nil"/>
              <w:bottom w:val="nil"/>
              <w:right w:val="nil"/>
            </w:tcBorders>
            <w:shd w:val="clear" w:color="auto" w:fill="auto"/>
            <w:noWrap/>
            <w:vAlign w:val="bottom"/>
            <w:hideMark/>
          </w:tcPr>
          <w:p w14:paraId="147E3E5B" w14:textId="77777777" w:rsidR="0003483A" w:rsidRDefault="0003483A">
            <w:pPr>
              <w:rPr>
                <w:sz w:val="20"/>
                <w:szCs w:val="20"/>
              </w:rPr>
            </w:pPr>
          </w:p>
        </w:tc>
        <w:tc>
          <w:tcPr>
            <w:tcW w:w="931" w:type="dxa"/>
            <w:tcBorders>
              <w:top w:val="nil"/>
              <w:left w:val="nil"/>
              <w:bottom w:val="nil"/>
              <w:right w:val="nil"/>
            </w:tcBorders>
            <w:shd w:val="clear" w:color="auto" w:fill="auto"/>
            <w:noWrap/>
            <w:vAlign w:val="bottom"/>
            <w:hideMark/>
          </w:tcPr>
          <w:p w14:paraId="4A2AEDEB" w14:textId="77777777" w:rsidR="0003483A" w:rsidRDefault="0003483A">
            <w:pPr>
              <w:rPr>
                <w:sz w:val="20"/>
                <w:szCs w:val="20"/>
              </w:rPr>
            </w:pPr>
          </w:p>
        </w:tc>
      </w:tr>
      <w:tr w:rsidR="003E3967" w14:paraId="6BD8192C" w14:textId="77777777" w:rsidTr="003E3967">
        <w:trPr>
          <w:trHeight w:val="241"/>
        </w:trPr>
        <w:tc>
          <w:tcPr>
            <w:tcW w:w="5191" w:type="dxa"/>
            <w:tcBorders>
              <w:top w:val="single" w:sz="4" w:space="0" w:color="auto"/>
              <w:left w:val="nil"/>
              <w:bottom w:val="single" w:sz="4" w:space="0" w:color="auto"/>
              <w:right w:val="nil"/>
            </w:tcBorders>
            <w:shd w:val="clear" w:color="auto" w:fill="auto"/>
            <w:noWrap/>
            <w:vAlign w:val="bottom"/>
            <w:hideMark/>
          </w:tcPr>
          <w:p w14:paraId="5D53D013" w14:textId="77777777" w:rsidR="0003483A" w:rsidRDefault="0003483A">
            <w:pPr>
              <w:rPr>
                <w:rFonts w:ascii="Arial" w:hAnsi="Arial" w:cs="Arial"/>
                <w:sz w:val="20"/>
                <w:szCs w:val="20"/>
              </w:rPr>
            </w:pPr>
            <w:r>
              <w:rPr>
                <w:rFonts w:ascii="Arial" w:hAnsi="Arial" w:cs="Arial"/>
                <w:sz w:val="20"/>
                <w:szCs w:val="20"/>
              </w:rPr>
              <w:t> </w:t>
            </w:r>
          </w:p>
        </w:tc>
        <w:tc>
          <w:tcPr>
            <w:tcW w:w="1247" w:type="dxa"/>
            <w:tcBorders>
              <w:top w:val="single" w:sz="4" w:space="0" w:color="auto"/>
              <w:left w:val="nil"/>
              <w:bottom w:val="single" w:sz="4" w:space="0" w:color="auto"/>
              <w:right w:val="nil"/>
            </w:tcBorders>
            <w:shd w:val="clear" w:color="auto" w:fill="auto"/>
            <w:noWrap/>
            <w:vAlign w:val="bottom"/>
            <w:hideMark/>
          </w:tcPr>
          <w:p w14:paraId="73624164" w14:textId="77777777" w:rsidR="0003483A" w:rsidRDefault="0003483A">
            <w:pPr>
              <w:rPr>
                <w:rFonts w:ascii="Arial" w:hAnsi="Arial" w:cs="Arial"/>
                <w:sz w:val="20"/>
                <w:szCs w:val="20"/>
              </w:rPr>
            </w:pPr>
            <w:r>
              <w:rPr>
                <w:rFonts w:ascii="Arial" w:hAnsi="Arial" w:cs="Arial"/>
                <w:sz w:val="20"/>
                <w:szCs w:val="20"/>
              </w:rPr>
              <w:t> </w:t>
            </w:r>
          </w:p>
        </w:tc>
        <w:tc>
          <w:tcPr>
            <w:tcW w:w="1042" w:type="dxa"/>
            <w:tcBorders>
              <w:top w:val="nil"/>
              <w:left w:val="nil"/>
              <w:bottom w:val="single" w:sz="4" w:space="0" w:color="auto"/>
              <w:right w:val="nil"/>
            </w:tcBorders>
            <w:shd w:val="clear" w:color="auto" w:fill="auto"/>
            <w:noWrap/>
            <w:vAlign w:val="bottom"/>
            <w:hideMark/>
          </w:tcPr>
          <w:p w14:paraId="1B738707" w14:textId="77777777" w:rsidR="0003483A" w:rsidRDefault="0003483A">
            <w:pPr>
              <w:rPr>
                <w:rFonts w:ascii="Arial" w:hAnsi="Arial" w:cs="Arial"/>
                <w:sz w:val="20"/>
                <w:szCs w:val="20"/>
              </w:rPr>
            </w:pPr>
            <w:r>
              <w:rPr>
                <w:rFonts w:ascii="Arial" w:hAnsi="Arial" w:cs="Arial"/>
                <w:sz w:val="20"/>
                <w:szCs w:val="20"/>
              </w:rPr>
              <w:t> </w:t>
            </w:r>
          </w:p>
        </w:tc>
        <w:tc>
          <w:tcPr>
            <w:tcW w:w="923" w:type="dxa"/>
            <w:tcBorders>
              <w:top w:val="nil"/>
              <w:left w:val="nil"/>
              <w:bottom w:val="single" w:sz="4" w:space="0" w:color="auto"/>
              <w:right w:val="nil"/>
            </w:tcBorders>
            <w:shd w:val="clear" w:color="auto" w:fill="auto"/>
            <w:noWrap/>
            <w:vAlign w:val="bottom"/>
            <w:hideMark/>
          </w:tcPr>
          <w:p w14:paraId="3A0FC806" w14:textId="77777777" w:rsidR="0003483A" w:rsidRDefault="0003483A">
            <w:pPr>
              <w:rPr>
                <w:rFonts w:ascii="Arial" w:hAnsi="Arial" w:cs="Arial"/>
                <w:sz w:val="20"/>
                <w:szCs w:val="20"/>
              </w:rPr>
            </w:pPr>
            <w:r>
              <w:rPr>
                <w:rFonts w:ascii="Arial" w:hAnsi="Arial" w:cs="Arial"/>
                <w:sz w:val="20"/>
                <w:szCs w:val="20"/>
              </w:rPr>
              <w:t> </w:t>
            </w:r>
          </w:p>
        </w:tc>
        <w:tc>
          <w:tcPr>
            <w:tcW w:w="931" w:type="dxa"/>
            <w:tcBorders>
              <w:top w:val="nil"/>
              <w:left w:val="nil"/>
              <w:bottom w:val="single" w:sz="4" w:space="0" w:color="auto"/>
              <w:right w:val="nil"/>
            </w:tcBorders>
            <w:shd w:val="clear" w:color="auto" w:fill="auto"/>
            <w:noWrap/>
            <w:vAlign w:val="bottom"/>
            <w:hideMark/>
          </w:tcPr>
          <w:p w14:paraId="0A7955AA" w14:textId="77777777" w:rsidR="0003483A" w:rsidRDefault="0003483A">
            <w:pPr>
              <w:rPr>
                <w:rFonts w:ascii="Arial" w:hAnsi="Arial" w:cs="Arial"/>
                <w:sz w:val="20"/>
                <w:szCs w:val="20"/>
              </w:rPr>
            </w:pPr>
            <w:r>
              <w:rPr>
                <w:rFonts w:ascii="Arial" w:hAnsi="Arial" w:cs="Arial"/>
                <w:sz w:val="20"/>
                <w:szCs w:val="20"/>
              </w:rPr>
              <w:t> </w:t>
            </w:r>
          </w:p>
        </w:tc>
      </w:tr>
      <w:tr w:rsidR="003E3967" w14:paraId="66ACE58E" w14:textId="77777777" w:rsidTr="009177F8">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5C4A9296" w14:textId="77777777" w:rsidR="0003483A" w:rsidRDefault="0003483A">
            <w:pPr>
              <w:rPr>
                <w:rFonts w:ascii="Arial" w:hAnsi="Arial" w:cs="Arial"/>
                <w:b/>
                <w:bCs/>
                <w:sz w:val="20"/>
                <w:szCs w:val="20"/>
              </w:rPr>
            </w:pPr>
            <w:r>
              <w:rPr>
                <w:rFonts w:ascii="Arial" w:hAnsi="Arial" w:cs="Arial"/>
                <w:b/>
                <w:bCs/>
                <w:sz w:val="20"/>
                <w:szCs w:val="20"/>
              </w:rPr>
              <w:t xml:space="preserve">Centre </w:t>
            </w:r>
            <w:proofErr w:type="spellStart"/>
            <w:r>
              <w:rPr>
                <w:rFonts w:ascii="Arial" w:hAnsi="Arial" w:cs="Arial"/>
                <w:b/>
                <w:bCs/>
                <w:sz w:val="20"/>
                <w:szCs w:val="20"/>
              </w:rPr>
              <w:t>SEIFA</w:t>
            </w:r>
            <w:proofErr w:type="spellEnd"/>
            <w:r>
              <w:rPr>
                <w:rFonts w:ascii="Arial" w:hAnsi="Arial" w:cs="Arial"/>
                <w:b/>
                <w:bCs/>
                <w:sz w:val="20"/>
                <w:szCs w:val="20"/>
              </w:rPr>
              <w:t xml:space="preserve"> Band Range</w:t>
            </w:r>
          </w:p>
        </w:tc>
        <w:tc>
          <w:tcPr>
            <w:tcW w:w="2289" w:type="dxa"/>
            <w:gridSpan w:val="2"/>
            <w:tcBorders>
              <w:top w:val="single" w:sz="4" w:space="0" w:color="auto"/>
              <w:left w:val="nil"/>
              <w:bottom w:val="single" w:sz="4" w:space="0" w:color="auto"/>
              <w:right w:val="single" w:sz="4" w:space="0" w:color="000000"/>
            </w:tcBorders>
            <w:shd w:val="clear" w:color="auto" w:fill="B8CCE4"/>
            <w:noWrap/>
            <w:vAlign w:val="bottom"/>
            <w:hideMark/>
          </w:tcPr>
          <w:p w14:paraId="33E66A05" w14:textId="77777777" w:rsidR="0003483A" w:rsidRDefault="0003483A">
            <w:pPr>
              <w:jc w:val="center"/>
              <w:rPr>
                <w:rFonts w:ascii="Arial" w:hAnsi="Arial" w:cs="Arial"/>
                <w:b/>
                <w:bCs/>
                <w:sz w:val="20"/>
                <w:szCs w:val="20"/>
              </w:rPr>
            </w:pPr>
            <w:r>
              <w:rPr>
                <w:rFonts w:ascii="Arial" w:hAnsi="Arial" w:cs="Arial"/>
                <w:b/>
                <w:bCs/>
                <w:sz w:val="20"/>
                <w:szCs w:val="20"/>
              </w:rPr>
              <w:t xml:space="preserve"> 3 </w:t>
            </w:r>
          </w:p>
        </w:tc>
        <w:tc>
          <w:tcPr>
            <w:tcW w:w="18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7E2061" w14:textId="77777777" w:rsidR="0003483A" w:rsidRDefault="0003483A">
            <w:pPr>
              <w:jc w:val="center"/>
              <w:rPr>
                <w:rFonts w:ascii="Arial" w:hAnsi="Arial" w:cs="Arial"/>
                <w:b/>
                <w:bCs/>
                <w:sz w:val="20"/>
                <w:szCs w:val="20"/>
              </w:rPr>
            </w:pPr>
            <w:r>
              <w:rPr>
                <w:rFonts w:ascii="Arial" w:hAnsi="Arial" w:cs="Arial"/>
                <w:b/>
                <w:bCs/>
                <w:sz w:val="20"/>
                <w:szCs w:val="20"/>
              </w:rPr>
              <w:t xml:space="preserve"> 17 </w:t>
            </w:r>
          </w:p>
        </w:tc>
      </w:tr>
      <w:tr w:rsidR="003E3967" w14:paraId="28C566A5" w14:textId="77777777" w:rsidTr="009177F8">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11EF5AE5" w14:textId="40BC9071" w:rsidR="0003483A" w:rsidRDefault="0003483A">
            <w:pPr>
              <w:rPr>
                <w:rFonts w:ascii="Arial" w:hAnsi="Arial" w:cs="Arial"/>
                <w:sz w:val="20"/>
                <w:szCs w:val="20"/>
              </w:rPr>
            </w:pPr>
            <w:r>
              <w:rPr>
                <w:rFonts w:ascii="Arial" w:hAnsi="Arial" w:cs="Arial"/>
                <w:sz w:val="20"/>
                <w:szCs w:val="20"/>
              </w:rPr>
              <w:t xml:space="preserve">NSW Government Funding </w:t>
            </w:r>
            <w:r w:rsidR="003E3967">
              <w:rPr>
                <w:rFonts w:ascii="Arial" w:hAnsi="Arial" w:cs="Arial"/>
                <w:sz w:val="20"/>
                <w:szCs w:val="20"/>
              </w:rPr>
              <w:t xml:space="preserve">4 to 5 </w:t>
            </w:r>
            <w:r>
              <w:rPr>
                <w:rFonts w:ascii="Arial" w:hAnsi="Arial" w:cs="Arial"/>
                <w:sz w:val="20"/>
                <w:szCs w:val="20"/>
              </w:rPr>
              <w:t xml:space="preserve"> Year Old/Child</w:t>
            </w:r>
          </w:p>
        </w:tc>
        <w:tc>
          <w:tcPr>
            <w:tcW w:w="2289"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267EC2A8" w14:textId="77777777" w:rsidR="0003483A" w:rsidRDefault="0003483A">
            <w:pPr>
              <w:jc w:val="center"/>
              <w:rPr>
                <w:rFonts w:ascii="Arial" w:hAnsi="Arial" w:cs="Arial"/>
                <w:sz w:val="20"/>
                <w:szCs w:val="20"/>
              </w:rPr>
            </w:pPr>
            <w:r>
              <w:rPr>
                <w:rFonts w:ascii="Arial" w:hAnsi="Arial" w:cs="Arial"/>
                <w:sz w:val="20"/>
                <w:szCs w:val="20"/>
              </w:rPr>
              <w:t>$5,096</w:t>
            </w: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FE7B19" w14:textId="77777777" w:rsidR="0003483A" w:rsidRDefault="0003483A">
            <w:pPr>
              <w:jc w:val="center"/>
              <w:rPr>
                <w:rFonts w:ascii="Arial" w:hAnsi="Arial" w:cs="Arial"/>
                <w:sz w:val="20"/>
                <w:szCs w:val="20"/>
              </w:rPr>
            </w:pPr>
            <w:r>
              <w:rPr>
                <w:rFonts w:ascii="Arial" w:hAnsi="Arial" w:cs="Arial"/>
                <w:sz w:val="20"/>
                <w:szCs w:val="20"/>
              </w:rPr>
              <w:t>$1,805</w:t>
            </w:r>
          </w:p>
        </w:tc>
      </w:tr>
      <w:tr w:rsidR="003E3967" w14:paraId="7A6CE7A8" w14:textId="77777777" w:rsidTr="009177F8">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37FF8562" w14:textId="5CF09EC6" w:rsidR="0003483A" w:rsidRDefault="0003483A">
            <w:pPr>
              <w:rPr>
                <w:rFonts w:ascii="Arial" w:hAnsi="Arial" w:cs="Arial"/>
                <w:sz w:val="20"/>
                <w:szCs w:val="20"/>
              </w:rPr>
            </w:pPr>
            <w:r>
              <w:rPr>
                <w:rFonts w:ascii="Arial" w:hAnsi="Arial" w:cs="Arial"/>
                <w:sz w:val="20"/>
                <w:szCs w:val="20"/>
              </w:rPr>
              <w:t xml:space="preserve">NSW Govt. Funding </w:t>
            </w:r>
            <w:r w:rsidR="005461A5">
              <w:rPr>
                <w:rFonts w:ascii="Arial" w:hAnsi="Arial" w:cs="Arial"/>
                <w:sz w:val="20"/>
                <w:szCs w:val="20"/>
              </w:rPr>
              <w:t>3 year old</w:t>
            </w:r>
            <w:r>
              <w:rPr>
                <w:rFonts w:ascii="Arial" w:hAnsi="Arial" w:cs="Arial"/>
                <w:sz w:val="20"/>
                <w:szCs w:val="20"/>
              </w:rPr>
              <w:t xml:space="preserve"> Disadvantaged/Aboriginal</w:t>
            </w:r>
            <w:r w:rsidR="00E857B1">
              <w:rPr>
                <w:rFonts w:ascii="Arial" w:hAnsi="Arial" w:cs="Arial"/>
                <w:sz w:val="20"/>
                <w:szCs w:val="20"/>
              </w:rPr>
              <w:t xml:space="preserve"> </w:t>
            </w:r>
            <w:r>
              <w:rPr>
                <w:rFonts w:ascii="Arial" w:hAnsi="Arial" w:cs="Arial"/>
                <w:sz w:val="20"/>
                <w:szCs w:val="20"/>
              </w:rPr>
              <w:t>Child</w:t>
            </w:r>
          </w:p>
        </w:tc>
        <w:tc>
          <w:tcPr>
            <w:tcW w:w="2289" w:type="dxa"/>
            <w:gridSpan w:val="2"/>
            <w:tcBorders>
              <w:top w:val="single" w:sz="4" w:space="0" w:color="auto"/>
              <w:left w:val="nil"/>
              <w:bottom w:val="single" w:sz="4" w:space="0" w:color="auto"/>
              <w:right w:val="single" w:sz="4" w:space="0" w:color="auto"/>
            </w:tcBorders>
            <w:shd w:val="clear" w:color="auto" w:fill="B8CCE4"/>
            <w:noWrap/>
            <w:vAlign w:val="bottom"/>
            <w:hideMark/>
          </w:tcPr>
          <w:p w14:paraId="60ACD857" w14:textId="77777777" w:rsidR="0003483A" w:rsidRDefault="0003483A">
            <w:pPr>
              <w:jc w:val="center"/>
              <w:rPr>
                <w:rFonts w:ascii="Arial" w:hAnsi="Arial" w:cs="Arial"/>
                <w:sz w:val="20"/>
                <w:szCs w:val="20"/>
              </w:rPr>
            </w:pPr>
            <w:r>
              <w:rPr>
                <w:rFonts w:ascii="Arial" w:hAnsi="Arial" w:cs="Arial"/>
                <w:sz w:val="20"/>
                <w:szCs w:val="20"/>
              </w:rPr>
              <w:t>$5,270</w:t>
            </w:r>
          </w:p>
        </w:tc>
        <w:tc>
          <w:tcPr>
            <w:tcW w:w="18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47658" w14:textId="77777777" w:rsidR="0003483A" w:rsidRDefault="0003483A">
            <w:pPr>
              <w:jc w:val="center"/>
              <w:rPr>
                <w:rFonts w:ascii="Arial" w:hAnsi="Arial" w:cs="Arial"/>
                <w:sz w:val="20"/>
                <w:szCs w:val="20"/>
              </w:rPr>
            </w:pPr>
            <w:r>
              <w:rPr>
                <w:rFonts w:ascii="Arial" w:hAnsi="Arial" w:cs="Arial"/>
                <w:sz w:val="20"/>
                <w:szCs w:val="20"/>
              </w:rPr>
              <w:t>$5,270</w:t>
            </w:r>
          </w:p>
        </w:tc>
      </w:tr>
      <w:tr w:rsidR="003E3967" w14:paraId="65BC2EEE"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3F000221" w14:textId="77777777" w:rsidR="0003483A" w:rsidRDefault="0003483A">
            <w:pPr>
              <w:rPr>
                <w:rFonts w:ascii="Arial" w:hAnsi="Arial" w:cs="Arial"/>
                <w:b/>
                <w:bCs/>
                <w:sz w:val="20"/>
                <w:szCs w:val="20"/>
              </w:rPr>
            </w:pPr>
            <w:r>
              <w:rPr>
                <w:rFonts w:ascii="Arial" w:hAnsi="Arial" w:cs="Arial"/>
                <w:b/>
                <w:bCs/>
                <w:sz w:val="20"/>
                <w:szCs w:val="20"/>
              </w:rPr>
              <w:t>Daily Fees</w:t>
            </w:r>
          </w:p>
        </w:tc>
        <w:tc>
          <w:tcPr>
            <w:tcW w:w="1247" w:type="dxa"/>
            <w:tcBorders>
              <w:top w:val="nil"/>
              <w:left w:val="nil"/>
              <w:bottom w:val="single" w:sz="4" w:space="0" w:color="auto"/>
              <w:right w:val="single" w:sz="4" w:space="0" w:color="auto"/>
            </w:tcBorders>
            <w:shd w:val="clear" w:color="auto" w:fill="B8CCE4"/>
            <w:noWrap/>
            <w:vAlign w:val="bottom"/>
            <w:hideMark/>
          </w:tcPr>
          <w:p w14:paraId="7E5E8D9E" w14:textId="77777777" w:rsidR="0003483A" w:rsidRDefault="0003483A">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1042" w:type="dxa"/>
            <w:tcBorders>
              <w:top w:val="nil"/>
              <w:left w:val="nil"/>
              <w:bottom w:val="single" w:sz="4" w:space="0" w:color="auto"/>
              <w:right w:val="nil"/>
            </w:tcBorders>
            <w:shd w:val="clear" w:color="auto" w:fill="B8CCE4"/>
            <w:noWrap/>
            <w:vAlign w:val="bottom"/>
            <w:hideMark/>
          </w:tcPr>
          <w:p w14:paraId="0C6BDA3E" w14:textId="77777777" w:rsidR="0003483A" w:rsidRDefault="0003483A">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ECLS</w:t>
            </w:r>
            <w:proofErr w:type="spellEnd"/>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20A0291C" w14:textId="77777777" w:rsidR="0003483A" w:rsidRDefault="0003483A">
            <w:pPr>
              <w:jc w:val="center"/>
              <w:rPr>
                <w:rFonts w:ascii="Arial" w:hAnsi="Arial" w:cs="Arial"/>
                <w:b/>
                <w:bCs/>
                <w:sz w:val="20"/>
                <w:szCs w:val="20"/>
              </w:rPr>
            </w:pPr>
            <w:r>
              <w:rPr>
                <w:rFonts w:ascii="Arial" w:hAnsi="Arial" w:cs="Arial"/>
                <w:b/>
                <w:bCs/>
                <w:sz w:val="20"/>
                <w:szCs w:val="20"/>
              </w:rPr>
              <w:t xml:space="preserve">Exc. </w:t>
            </w:r>
            <w:proofErr w:type="spellStart"/>
            <w:r>
              <w:rPr>
                <w:rFonts w:ascii="Arial" w:hAnsi="Arial" w:cs="Arial"/>
                <w:b/>
                <w:bCs/>
                <w:sz w:val="20"/>
                <w:szCs w:val="20"/>
              </w:rPr>
              <w:t>CCB</w:t>
            </w:r>
            <w:proofErr w:type="spellEnd"/>
          </w:p>
        </w:tc>
        <w:tc>
          <w:tcPr>
            <w:tcW w:w="931" w:type="dxa"/>
            <w:tcBorders>
              <w:top w:val="nil"/>
              <w:left w:val="nil"/>
              <w:bottom w:val="single" w:sz="4" w:space="0" w:color="auto"/>
              <w:right w:val="single" w:sz="4" w:space="0" w:color="auto"/>
            </w:tcBorders>
            <w:shd w:val="clear" w:color="auto" w:fill="auto"/>
            <w:noWrap/>
            <w:vAlign w:val="bottom"/>
            <w:hideMark/>
          </w:tcPr>
          <w:p w14:paraId="3B55CD92" w14:textId="77777777" w:rsidR="0003483A" w:rsidRDefault="0003483A">
            <w:pPr>
              <w:jc w:val="center"/>
              <w:rPr>
                <w:rFonts w:ascii="Arial" w:hAnsi="Arial" w:cs="Arial"/>
                <w:b/>
                <w:bCs/>
                <w:sz w:val="20"/>
                <w:szCs w:val="20"/>
              </w:rPr>
            </w:pPr>
            <w:r>
              <w:rPr>
                <w:rFonts w:ascii="Arial" w:hAnsi="Arial" w:cs="Arial"/>
                <w:b/>
                <w:bCs/>
                <w:sz w:val="20"/>
                <w:szCs w:val="20"/>
              </w:rPr>
              <w:t xml:space="preserve">Inc. </w:t>
            </w:r>
            <w:proofErr w:type="spellStart"/>
            <w:r>
              <w:rPr>
                <w:rFonts w:ascii="Arial" w:hAnsi="Arial" w:cs="Arial"/>
                <w:b/>
                <w:bCs/>
                <w:sz w:val="20"/>
                <w:szCs w:val="20"/>
              </w:rPr>
              <w:t>ECLS</w:t>
            </w:r>
            <w:proofErr w:type="spellEnd"/>
          </w:p>
        </w:tc>
      </w:tr>
      <w:tr w:rsidR="003E3967" w14:paraId="0D32AF3B"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7F6158F1" w14:textId="1607E986"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4 to 5 </w:t>
            </w:r>
            <w:r>
              <w:rPr>
                <w:rFonts w:ascii="Arial" w:hAnsi="Arial" w:cs="Arial"/>
                <w:sz w:val="20"/>
                <w:szCs w:val="20"/>
              </w:rPr>
              <w:t xml:space="preserve"> Year Old Child</w:t>
            </w:r>
          </w:p>
        </w:tc>
        <w:tc>
          <w:tcPr>
            <w:tcW w:w="1247" w:type="dxa"/>
            <w:tcBorders>
              <w:top w:val="nil"/>
              <w:left w:val="nil"/>
              <w:bottom w:val="single" w:sz="4" w:space="0" w:color="auto"/>
              <w:right w:val="single" w:sz="4" w:space="0" w:color="auto"/>
            </w:tcBorders>
            <w:shd w:val="clear" w:color="auto" w:fill="B8CCE4"/>
            <w:noWrap/>
            <w:vAlign w:val="bottom"/>
            <w:hideMark/>
          </w:tcPr>
          <w:p w14:paraId="549E18C0" w14:textId="77777777" w:rsidR="0003483A" w:rsidRDefault="0003483A">
            <w:pPr>
              <w:jc w:val="right"/>
              <w:rPr>
                <w:rFonts w:ascii="Arial" w:hAnsi="Arial" w:cs="Arial"/>
                <w:sz w:val="20"/>
                <w:szCs w:val="20"/>
              </w:rPr>
            </w:pPr>
            <w:r>
              <w:rPr>
                <w:rFonts w:ascii="Arial" w:hAnsi="Arial" w:cs="Arial"/>
                <w:sz w:val="20"/>
                <w:szCs w:val="20"/>
              </w:rPr>
              <w:t>$16.00</w:t>
            </w:r>
          </w:p>
        </w:tc>
        <w:tc>
          <w:tcPr>
            <w:tcW w:w="1042" w:type="dxa"/>
            <w:tcBorders>
              <w:top w:val="nil"/>
              <w:left w:val="nil"/>
              <w:bottom w:val="single" w:sz="4" w:space="0" w:color="auto"/>
              <w:right w:val="nil"/>
            </w:tcBorders>
            <w:shd w:val="clear" w:color="auto" w:fill="B8CCE4"/>
            <w:noWrap/>
            <w:vAlign w:val="bottom"/>
            <w:hideMark/>
          </w:tcPr>
          <w:p w14:paraId="502859B0" w14:textId="77777777" w:rsidR="0003483A" w:rsidRDefault="0003483A">
            <w:pPr>
              <w:jc w:val="right"/>
              <w:rPr>
                <w:rFonts w:ascii="Arial" w:hAnsi="Arial" w:cs="Arial"/>
                <w:sz w:val="20"/>
                <w:szCs w:val="20"/>
              </w:rPr>
            </w:pPr>
            <w:r>
              <w:rPr>
                <w:rFonts w:ascii="Arial" w:hAnsi="Arial" w:cs="Arial"/>
                <w:sz w:val="20"/>
                <w:szCs w:val="20"/>
              </w:rPr>
              <w:t>$0.00</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370589E8" w14:textId="77777777" w:rsidR="0003483A" w:rsidRDefault="0003483A">
            <w:pPr>
              <w:jc w:val="right"/>
              <w:rPr>
                <w:rFonts w:ascii="Arial" w:hAnsi="Arial" w:cs="Arial"/>
                <w:sz w:val="20"/>
                <w:szCs w:val="20"/>
              </w:rPr>
            </w:pPr>
            <w:r>
              <w:rPr>
                <w:rFonts w:ascii="Arial" w:hAnsi="Arial" w:cs="Arial"/>
                <w:sz w:val="20"/>
                <w:szCs w:val="20"/>
              </w:rPr>
              <w:t>$51.00</w:t>
            </w:r>
          </w:p>
        </w:tc>
        <w:tc>
          <w:tcPr>
            <w:tcW w:w="931" w:type="dxa"/>
            <w:tcBorders>
              <w:top w:val="nil"/>
              <w:left w:val="nil"/>
              <w:bottom w:val="single" w:sz="4" w:space="0" w:color="auto"/>
              <w:right w:val="single" w:sz="4" w:space="0" w:color="auto"/>
            </w:tcBorders>
            <w:shd w:val="clear" w:color="auto" w:fill="auto"/>
            <w:noWrap/>
            <w:vAlign w:val="bottom"/>
            <w:hideMark/>
          </w:tcPr>
          <w:p w14:paraId="6A88625E" w14:textId="77777777" w:rsidR="0003483A" w:rsidRDefault="0003483A">
            <w:pPr>
              <w:jc w:val="right"/>
              <w:rPr>
                <w:rFonts w:ascii="Arial" w:hAnsi="Arial" w:cs="Arial"/>
                <w:sz w:val="20"/>
                <w:szCs w:val="20"/>
              </w:rPr>
            </w:pPr>
            <w:r>
              <w:rPr>
                <w:rFonts w:ascii="Arial" w:hAnsi="Arial" w:cs="Arial"/>
                <w:sz w:val="20"/>
                <w:szCs w:val="20"/>
              </w:rPr>
              <w:t>$36.79</w:t>
            </w:r>
          </w:p>
        </w:tc>
      </w:tr>
      <w:tr w:rsidR="003E3967" w14:paraId="3A792904"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6C79204E" w14:textId="48967A1E"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Disadvantaged</w:t>
            </w:r>
          </w:p>
        </w:tc>
        <w:tc>
          <w:tcPr>
            <w:tcW w:w="1247" w:type="dxa"/>
            <w:tcBorders>
              <w:top w:val="nil"/>
              <w:left w:val="nil"/>
              <w:bottom w:val="single" w:sz="4" w:space="0" w:color="auto"/>
              <w:right w:val="single" w:sz="4" w:space="0" w:color="auto"/>
            </w:tcBorders>
            <w:shd w:val="clear" w:color="auto" w:fill="B8CCE4"/>
            <w:noWrap/>
            <w:vAlign w:val="bottom"/>
            <w:hideMark/>
          </w:tcPr>
          <w:p w14:paraId="7DD9412D" w14:textId="77777777" w:rsidR="0003483A" w:rsidRDefault="0003483A">
            <w:pPr>
              <w:jc w:val="right"/>
              <w:rPr>
                <w:rFonts w:ascii="Arial" w:hAnsi="Arial" w:cs="Arial"/>
                <w:sz w:val="20"/>
                <w:szCs w:val="20"/>
              </w:rPr>
            </w:pPr>
            <w:r>
              <w:rPr>
                <w:rFonts w:ascii="Arial" w:hAnsi="Arial" w:cs="Arial"/>
                <w:sz w:val="20"/>
                <w:szCs w:val="20"/>
              </w:rPr>
              <w:t>$14.00</w:t>
            </w:r>
          </w:p>
        </w:tc>
        <w:tc>
          <w:tcPr>
            <w:tcW w:w="1042" w:type="dxa"/>
            <w:tcBorders>
              <w:top w:val="nil"/>
              <w:left w:val="nil"/>
              <w:bottom w:val="single" w:sz="4" w:space="0" w:color="auto"/>
              <w:right w:val="nil"/>
            </w:tcBorders>
            <w:shd w:val="clear" w:color="auto" w:fill="B8CCE4"/>
            <w:noWrap/>
            <w:vAlign w:val="bottom"/>
            <w:hideMark/>
          </w:tcPr>
          <w:p w14:paraId="12A64A78" w14:textId="77777777" w:rsidR="0003483A" w:rsidRDefault="0003483A">
            <w:pPr>
              <w:jc w:val="right"/>
              <w:rPr>
                <w:rFonts w:ascii="Arial" w:hAnsi="Arial" w:cs="Arial"/>
                <w:sz w:val="20"/>
                <w:szCs w:val="20"/>
              </w:rPr>
            </w:pPr>
            <w:r>
              <w:rPr>
                <w:rFonts w:ascii="Arial" w:hAnsi="Arial" w:cs="Arial"/>
                <w:sz w:val="20"/>
                <w:szCs w:val="20"/>
              </w:rPr>
              <w:t>$0.00</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10839F75" w14:textId="77777777" w:rsidR="0003483A" w:rsidRDefault="0003483A">
            <w:pPr>
              <w:jc w:val="right"/>
              <w:rPr>
                <w:rFonts w:ascii="Arial" w:hAnsi="Arial" w:cs="Arial"/>
                <w:sz w:val="20"/>
                <w:szCs w:val="20"/>
              </w:rPr>
            </w:pPr>
            <w:r>
              <w:rPr>
                <w:rFonts w:ascii="Arial" w:hAnsi="Arial" w:cs="Arial"/>
                <w:sz w:val="20"/>
                <w:szCs w:val="20"/>
              </w:rPr>
              <w:t>$14.00</w:t>
            </w:r>
          </w:p>
        </w:tc>
        <w:tc>
          <w:tcPr>
            <w:tcW w:w="931" w:type="dxa"/>
            <w:tcBorders>
              <w:top w:val="nil"/>
              <w:left w:val="nil"/>
              <w:bottom w:val="single" w:sz="4" w:space="0" w:color="auto"/>
              <w:right w:val="single" w:sz="4" w:space="0" w:color="auto"/>
            </w:tcBorders>
            <w:shd w:val="clear" w:color="auto" w:fill="auto"/>
            <w:noWrap/>
            <w:vAlign w:val="bottom"/>
            <w:hideMark/>
          </w:tcPr>
          <w:p w14:paraId="24891862" w14:textId="77777777" w:rsidR="0003483A" w:rsidRDefault="0003483A">
            <w:pPr>
              <w:jc w:val="right"/>
              <w:rPr>
                <w:rFonts w:ascii="Arial" w:hAnsi="Arial" w:cs="Arial"/>
                <w:sz w:val="20"/>
                <w:szCs w:val="20"/>
              </w:rPr>
            </w:pPr>
            <w:r>
              <w:rPr>
                <w:rFonts w:ascii="Arial" w:hAnsi="Arial" w:cs="Arial"/>
                <w:sz w:val="20"/>
                <w:szCs w:val="20"/>
              </w:rPr>
              <w:t>$0.00</w:t>
            </w:r>
          </w:p>
        </w:tc>
      </w:tr>
      <w:tr w:rsidR="003E3967" w14:paraId="361E89EE"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552747E2" w14:textId="4FD7B2D4" w:rsidR="0003483A" w:rsidRDefault="0003483A">
            <w:pPr>
              <w:rPr>
                <w:rFonts w:ascii="Arial" w:hAnsi="Arial" w:cs="Arial"/>
                <w:sz w:val="20"/>
                <w:szCs w:val="20"/>
              </w:rPr>
            </w:pPr>
            <w:r>
              <w:rPr>
                <w:rFonts w:ascii="Arial" w:hAnsi="Arial" w:cs="Arial"/>
                <w:sz w:val="20"/>
                <w:szCs w:val="20"/>
              </w:rPr>
              <w:t xml:space="preserve">Daily Fee </w:t>
            </w:r>
            <w:r w:rsidR="003E3967">
              <w:rPr>
                <w:rFonts w:ascii="Arial" w:hAnsi="Arial" w:cs="Arial"/>
                <w:sz w:val="20"/>
                <w:szCs w:val="20"/>
              </w:rPr>
              <w:t xml:space="preserve">3 to 5 </w:t>
            </w:r>
            <w:r>
              <w:rPr>
                <w:rFonts w:ascii="Arial" w:hAnsi="Arial" w:cs="Arial"/>
                <w:sz w:val="20"/>
                <w:szCs w:val="20"/>
              </w:rPr>
              <w:t xml:space="preserve"> Year Old Aboriginal</w:t>
            </w:r>
          </w:p>
        </w:tc>
        <w:tc>
          <w:tcPr>
            <w:tcW w:w="1247" w:type="dxa"/>
            <w:tcBorders>
              <w:top w:val="nil"/>
              <w:left w:val="nil"/>
              <w:bottom w:val="single" w:sz="4" w:space="0" w:color="auto"/>
              <w:right w:val="single" w:sz="4" w:space="0" w:color="auto"/>
            </w:tcBorders>
            <w:shd w:val="clear" w:color="auto" w:fill="B8CCE4"/>
            <w:noWrap/>
            <w:vAlign w:val="bottom"/>
            <w:hideMark/>
          </w:tcPr>
          <w:p w14:paraId="5EFD833D" w14:textId="77777777" w:rsidR="0003483A" w:rsidRDefault="0003483A">
            <w:pPr>
              <w:jc w:val="right"/>
              <w:rPr>
                <w:rFonts w:ascii="Arial" w:hAnsi="Arial" w:cs="Arial"/>
                <w:sz w:val="20"/>
                <w:szCs w:val="20"/>
              </w:rPr>
            </w:pPr>
            <w:r>
              <w:rPr>
                <w:rFonts w:ascii="Arial" w:hAnsi="Arial" w:cs="Arial"/>
                <w:sz w:val="20"/>
                <w:szCs w:val="20"/>
              </w:rPr>
              <w:t>$0.00</w:t>
            </w:r>
          </w:p>
        </w:tc>
        <w:tc>
          <w:tcPr>
            <w:tcW w:w="1042" w:type="dxa"/>
            <w:tcBorders>
              <w:top w:val="nil"/>
              <w:left w:val="nil"/>
              <w:bottom w:val="single" w:sz="4" w:space="0" w:color="auto"/>
              <w:right w:val="nil"/>
            </w:tcBorders>
            <w:shd w:val="clear" w:color="auto" w:fill="B8CCE4"/>
            <w:noWrap/>
            <w:vAlign w:val="bottom"/>
            <w:hideMark/>
          </w:tcPr>
          <w:p w14:paraId="3EA0A8B5" w14:textId="77777777" w:rsidR="0003483A" w:rsidRDefault="0003483A">
            <w:pPr>
              <w:jc w:val="right"/>
              <w:rPr>
                <w:rFonts w:ascii="Arial" w:hAnsi="Arial" w:cs="Arial"/>
                <w:sz w:val="20"/>
                <w:szCs w:val="20"/>
              </w:rPr>
            </w:pPr>
            <w:r>
              <w:rPr>
                <w:rFonts w:ascii="Arial" w:hAnsi="Arial" w:cs="Arial"/>
                <w:sz w:val="20"/>
                <w:szCs w:val="20"/>
              </w:rPr>
              <w:t>$0.00</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3474F0A9" w14:textId="77777777" w:rsidR="0003483A" w:rsidRDefault="0003483A">
            <w:pPr>
              <w:jc w:val="right"/>
              <w:rPr>
                <w:rFonts w:ascii="Arial" w:hAnsi="Arial" w:cs="Arial"/>
                <w:sz w:val="20"/>
                <w:szCs w:val="20"/>
              </w:rPr>
            </w:pPr>
            <w:r>
              <w:rPr>
                <w:rFonts w:ascii="Arial" w:hAnsi="Arial" w:cs="Arial"/>
                <w:sz w:val="20"/>
                <w:szCs w:val="20"/>
              </w:rPr>
              <w:t>$14.00</w:t>
            </w:r>
          </w:p>
        </w:tc>
        <w:tc>
          <w:tcPr>
            <w:tcW w:w="931" w:type="dxa"/>
            <w:tcBorders>
              <w:top w:val="nil"/>
              <w:left w:val="nil"/>
              <w:bottom w:val="single" w:sz="4" w:space="0" w:color="auto"/>
              <w:right w:val="single" w:sz="4" w:space="0" w:color="auto"/>
            </w:tcBorders>
            <w:shd w:val="clear" w:color="auto" w:fill="auto"/>
            <w:noWrap/>
            <w:vAlign w:val="bottom"/>
            <w:hideMark/>
          </w:tcPr>
          <w:p w14:paraId="0541531F" w14:textId="77777777" w:rsidR="0003483A" w:rsidRDefault="0003483A">
            <w:pPr>
              <w:jc w:val="right"/>
              <w:rPr>
                <w:rFonts w:ascii="Arial" w:hAnsi="Arial" w:cs="Arial"/>
                <w:sz w:val="20"/>
                <w:szCs w:val="20"/>
              </w:rPr>
            </w:pPr>
            <w:r>
              <w:rPr>
                <w:rFonts w:ascii="Arial" w:hAnsi="Arial" w:cs="Arial"/>
                <w:sz w:val="20"/>
                <w:szCs w:val="20"/>
              </w:rPr>
              <w:t>$0.00</w:t>
            </w:r>
          </w:p>
        </w:tc>
      </w:tr>
      <w:tr w:rsidR="003E3967" w14:paraId="18CE26B6" w14:textId="77777777" w:rsidTr="003E3967">
        <w:trPr>
          <w:trHeight w:val="241"/>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14:paraId="4C9E35BE" w14:textId="20F4585E" w:rsidR="0003483A" w:rsidRDefault="005461A5">
            <w:pPr>
              <w:rPr>
                <w:rFonts w:ascii="Arial" w:hAnsi="Arial" w:cs="Arial"/>
                <w:sz w:val="20"/>
                <w:szCs w:val="20"/>
              </w:rPr>
            </w:pPr>
            <w:r>
              <w:rPr>
                <w:rFonts w:ascii="Arial" w:hAnsi="Arial" w:cs="Arial"/>
                <w:sz w:val="20"/>
                <w:szCs w:val="20"/>
              </w:rPr>
              <w:t>3 year old</w:t>
            </w:r>
            <w:r w:rsidR="0003483A">
              <w:rPr>
                <w:rFonts w:ascii="Arial" w:hAnsi="Arial" w:cs="Arial"/>
                <w:sz w:val="20"/>
                <w:szCs w:val="20"/>
              </w:rPr>
              <w:t xml:space="preserve"> Child</w:t>
            </w:r>
          </w:p>
        </w:tc>
        <w:tc>
          <w:tcPr>
            <w:tcW w:w="1247" w:type="dxa"/>
            <w:tcBorders>
              <w:top w:val="nil"/>
              <w:left w:val="nil"/>
              <w:bottom w:val="single" w:sz="4" w:space="0" w:color="auto"/>
              <w:right w:val="single" w:sz="4" w:space="0" w:color="auto"/>
            </w:tcBorders>
            <w:shd w:val="clear" w:color="auto" w:fill="B8CCE4"/>
            <w:noWrap/>
            <w:vAlign w:val="bottom"/>
            <w:hideMark/>
          </w:tcPr>
          <w:p w14:paraId="6C80A265" w14:textId="77777777" w:rsidR="0003483A" w:rsidRDefault="0003483A">
            <w:pPr>
              <w:jc w:val="right"/>
              <w:rPr>
                <w:rFonts w:ascii="Arial" w:hAnsi="Arial" w:cs="Arial"/>
                <w:sz w:val="20"/>
                <w:szCs w:val="20"/>
              </w:rPr>
            </w:pPr>
            <w:r>
              <w:rPr>
                <w:rFonts w:ascii="Arial" w:hAnsi="Arial" w:cs="Arial"/>
                <w:sz w:val="20"/>
                <w:szCs w:val="20"/>
              </w:rPr>
              <w:t>$30.00</w:t>
            </w:r>
          </w:p>
        </w:tc>
        <w:tc>
          <w:tcPr>
            <w:tcW w:w="1042" w:type="dxa"/>
            <w:tcBorders>
              <w:top w:val="nil"/>
              <w:left w:val="nil"/>
              <w:bottom w:val="single" w:sz="4" w:space="0" w:color="auto"/>
              <w:right w:val="nil"/>
            </w:tcBorders>
            <w:shd w:val="clear" w:color="auto" w:fill="B8CCE4"/>
            <w:noWrap/>
            <w:vAlign w:val="bottom"/>
            <w:hideMark/>
          </w:tcPr>
          <w:p w14:paraId="1DE2FDDF" w14:textId="77777777" w:rsidR="0003483A" w:rsidRDefault="0003483A">
            <w:pPr>
              <w:jc w:val="right"/>
              <w:rPr>
                <w:rFonts w:ascii="Arial" w:hAnsi="Arial" w:cs="Arial"/>
                <w:sz w:val="20"/>
                <w:szCs w:val="20"/>
              </w:rPr>
            </w:pPr>
            <w:r>
              <w:rPr>
                <w:rFonts w:ascii="Arial" w:hAnsi="Arial" w:cs="Arial"/>
                <w:sz w:val="20"/>
                <w:szCs w:val="20"/>
              </w:rPr>
              <w:t>$0.00</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28320D2F" w14:textId="77777777" w:rsidR="0003483A" w:rsidRDefault="0003483A">
            <w:pPr>
              <w:jc w:val="right"/>
              <w:rPr>
                <w:rFonts w:ascii="Arial" w:hAnsi="Arial" w:cs="Arial"/>
                <w:sz w:val="20"/>
                <w:szCs w:val="20"/>
              </w:rPr>
            </w:pPr>
            <w:r>
              <w:rPr>
                <w:rFonts w:ascii="Arial" w:hAnsi="Arial" w:cs="Arial"/>
                <w:sz w:val="20"/>
                <w:szCs w:val="20"/>
              </w:rPr>
              <w:t>$63.00</w:t>
            </w:r>
          </w:p>
        </w:tc>
        <w:tc>
          <w:tcPr>
            <w:tcW w:w="931" w:type="dxa"/>
            <w:tcBorders>
              <w:top w:val="nil"/>
              <w:left w:val="nil"/>
              <w:bottom w:val="single" w:sz="4" w:space="0" w:color="auto"/>
              <w:right w:val="single" w:sz="4" w:space="0" w:color="auto"/>
            </w:tcBorders>
            <w:shd w:val="clear" w:color="auto" w:fill="auto"/>
            <w:noWrap/>
            <w:vAlign w:val="bottom"/>
            <w:hideMark/>
          </w:tcPr>
          <w:p w14:paraId="23308E41" w14:textId="77777777" w:rsidR="0003483A" w:rsidRDefault="0003483A">
            <w:pPr>
              <w:jc w:val="right"/>
              <w:rPr>
                <w:rFonts w:ascii="Arial" w:hAnsi="Arial" w:cs="Arial"/>
                <w:sz w:val="20"/>
                <w:szCs w:val="20"/>
              </w:rPr>
            </w:pPr>
            <w:r>
              <w:rPr>
                <w:rFonts w:ascii="Arial" w:hAnsi="Arial" w:cs="Arial"/>
                <w:sz w:val="20"/>
                <w:szCs w:val="20"/>
              </w:rPr>
              <w:t>$48.79</w:t>
            </w:r>
          </w:p>
        </w:tc>
      </w:tr>
      <w:tr w:rsidR="003E3967" w14:paraId="4168FE74" w14:textId="77777777" w:rsidTr="003E3967">
        <w:trPr>
          <w:trHeight w:val="241"/>
        </w:trPr>
        <w:tc>
          <w:tcPr>
            <w:tcW w:w="5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FD874" w14:textId="77777777" w:rsidR="0003483A" w:rsidRDefault="0003483A">
            <w:pPr>
              <w:rPr>
                <w:rFonts w:ascii="Arial" w:hAnsi="Arial" w:cs="Arial"/>
                <w:sz w:val="20"/>
                <w:szCs w:val="20"/>
              </w:rPr>
            </w:pPr>
            <w:r>
              <w:rPr>
                <w:rFonts w:ascii="Arial" w:hAnsi="Arial" w:cs="Arial"/>
                <w:sz w:val="20"/>
                <w:szCs w:val="20"/>
              </w:rPr>
              <w:t xml:space="preserve">Long Day Care </w:t>
            </w:r>
            <w:r w:rsidR="000552F5">
              <w:rPr>
                <w:rFonts w:ascii="Arial" w:hAnsi="Arial" w:cs="Arial"/>
                <w:sz w:val="20"/>
                <w:szCs w:val="20"/>
              </w:rPr>
              <w:t>Part-time</w:t>
            </w:r>
            <w:r>
              <w:rPr>
                <w:rFonts w:ascii="Arial" w:hAnsi="Arial" w:cs="Arial"/>
                <w:sz w:val="20"/>
                <w:szCs w:val="20"/>
              </w:rPr>
              <w:t xml:space="preserve"> Participation Child Care Benefit</w:t>
            </w:r>
          </w:p>
        </w:tc>
        <w:tc>
          <w:tcPr>
            <w:tcW w:w="1247" w:type="dxa"/>
            <w:tcBorders>
              <w:top w:val="single" w:sz="4" w:space="0" w:color="auto"/>
              <w:left w:val="nil"/>
              <w:bottom w:val="single" w:sz="4" w:space="0" w:color="auto"/>
              <w:right w:val="single" w:sz="4" w:space="0" w:color="auto"/>
            </w:tcBorders>
            <w:shd w:val="clear" w:color="auto" w:fill="B8CCE4"/>
            <w:noWrap/>
            <w:vAlign w:val="bottom"/>
            <w:hideMark/>
          </w:tcPr>
          <w:p w14:paraId="700FA6CA" w14:textId="77777777" w:rsidR="0003483A" w:rsidRDefault="0003483A">
            <w:pPr>
              <w:jc w:val="right"/>
              <w:rPr>
                <w:rFonts w:ascii="Arial" w:hAnsi="Arial" w:cs="Arial"/>
                <w:sz w:val="20"/>
                <w:szCs w:val="20"/>
              </w:rPr>
            </w:pPr>
            <w:r>
              <w:rPr>
                <w:rFonts w:ascii="Arial" w:hAnsi="Arial" w:cs="Arial"/>
                <w:sz w:val="20"/>
                <w:szCs w:val="20"/>
              </w:rPr>
              <w:t>$26.38</w:t>
            </w:r>
          </w:p>
        </w:tc>
        <w:tc>
          <w:tcPr>
            <w:tcW w:w="1042" w:type="dxa"/>
            <w:tcBorders>
              <w:top w:val="single" w:sz="4" w:space="0" w:color="auto"/>
              <w:left w:val="nil"/>
              <w:bottom w:val="single" w:sz="4" w:space="0" w:color="auto"/>
              <w:right w:val="nil"/>
            </w:tcBorders>
            <w:shd w:val="clear" w:color="auto" w:fill="B8CCE4"/>
            <w:noWrap/>
            <w:vAlign w:val="bottom"/>
            <w:hideMark/>
          </w:tcPr>
          <w:p w14:paraId="237E8C9E" w14:textId="77777777" w:rsidR="0003483A" w:rsidRDefault="0003483A">
            <w:pPr>
              <w:jc w:val="right"/>
              <w:rPr>
                <w:rFonts w:ascii="Arial" w:hAnsi="Arial" w:cs="Arial"/>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55F57" w14:textId="77777777" w:rsidR="0003483A" w:rsidRDefault="0003483A">
            <w:pPr>
              <w:jc w:val="right"/>
              <w:rPr>
                <w:rFonts w:ascii="Arial" w:hAnsi="Arial" w:cs="Arial"/>
                <w:sz w:val="20"/>
                <w:szCs w:val="20"/>
              </w:rPr>
            </w:pPr>
            <w:r>
              <w:rPr>
                <w:rFonts w:ascii="Arial" w:hAnsi="Arial" w:cs="Arial"/>
                <w:sz w:val="20"/>
                <w:szCs w:val="20"/>
              </w:rPr>
              <w:t>$9.47</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2287738F" w14:textId="77777777" w:rsidR="0003483A" w:rsidRDefault="0003483A">
            <w:pPr>
              <w:jc w:val="right"/>
              <w:rPr>
                <w:rFonts w:ascii="Arial" w:hAnsi="Arial" w:cs="Arial"/>
                <w:sz w:val="20"/>
                <w:szCs w:val="20"/>
              </w:rPr>
            </w:pPr>
          </w:p>
        </w:tc>
      </w:tr>
      <w:tr w:rsidR="003E3967" w14:paraId="45AC4881" w14:textId="77777777" w:rsidTr="003E3967">
        <w:trPr>
          <w:trHeight w:val="241"/>
        </w:trPr>
        <w:tc>
          <w:tcPr>
            <w:tcW w:w="5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893F" w14:textId="77777777" w:rsidR="0003483A" w:rsidRDefault="0003483A">
            <w:pPr>
              <w:rPr>
                <w:rFonts w:ascii="Arial" w:hAnsi="Arial" w:cs="Arial"/>
                <w:sz w:val="20"/>
                <w:szCs w:val="20"/>
              </w:rPr>
            </w:pPr>
            <w:proofErr w:type="spellStart"/>
            <w:r>
              <w:rPr>
                <w:rFonts w:ascii="Arial" w:hAnsi="Arial" w:cs="Arial"/>
                <w:sz w:val="20"/>
                <w:szCs w:val="20"/>
              </w:rPr>
              <w:t>CCR</w:t>
            </w:r>
            <w:proofErr w:type="spellEnd"/>
            <w:r>
              <w:rPr>
                <w:rFonts w:ascii="Arial" w:hAnsi="Arial" w:cs="Arial"/>
                <w:sz w:val="20"/>
                <w:szCs w:val="20"/>
              </w:rPr>
              <w:t xml:space="preserve"> Rebate Parent Out of Pocket Expenses 50%</w:t>
            </w:r>
          </w:p>
        </w:tc>
        <w:tc>
          <w:tcPr>
            <w:tcW w:w="1247" w:type="dxa"/>
            <w:tcBorders>
              <w:top w:val="single" w:sz="4" w:space="0" w:color="auto"/>
              <w:left w:val="nil"/>
              <w:bottom w:val="single" w:sz="4" w:space="0" w:color="auto"/>
              <w:right w:val="single" w:sz="4" w:space="0" w:color="auto"/>
            </w:tcBorders>
            <w:shd w:val="clear" w:color="auto" w:fill="B8CCE4"/>
            <w:noWrap/>
            <w:vAlign w:val="bottom"/>
            <w:hideMark/>
          </w:tcPr>
          <w:p w14:paraId="53FC1F4F" w14:textId="77777777" w:rsidR="0003483A" w:rsidRDefault="0003483A">
            <w:pPr>
              <w:jc w:val="right"/>
              <w:rPr>
                <w:rFonts w:ascii="Arial" w:hAnsi="Arial" w:cs="Arial"/>
                <w:sz w:val="20"/>
                <w:szCs w:val="20"/>
              </w:rPr>
            </w:pPr>
            <w:r>
              <w:rPr>
                <w:rFonts w:ascii="Arial" w:hAnsi="Arial" w:cs="Arial"/>
                <w:sz w:val="20"/>
                <w:szCs w:val="20"/>
              </w:rPr>
              <w:t>$13.19</w:t>
            </w:r>
          </w:p>
        </w:tc>
        <w:tc>
          <w:tcPr>
            <w:tcW w:w="1042" w:type="dxa"/>
            <w:tcBorders>
              <w:top w:val="single" w:sz="4" w:space="0" w:color="auto"/>
              <w:left w:val="nil"/>
              <w:bottom w:val="single" w:sz="4" w:space="0" w:color="auto"/>
              <w:right w:val="nil"/>
            </w:tcBorders>
            <w:shd w:val="clear" w:color="auto" w:fill="B8CCE4"/>
            <w:noWrap/>
            <w:vAlign w:val="bottom"/>
            <w:hideMark/>
          </w:tcPr>
          <w:p w14:paraId="0A4A096C" w14:textId="77777777" w:rsidR="0003483A" w:rsidRDefault="0003483A">
            <w:pPr>
              <w:jc w:val="right"/>
              <w:rPr>
                <w:rFonts w:ascii="Arial" w:hAnsi="Arial" w:cs="Arial"/>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210A" w14:textId="77777777" w:rsidR="0003483A" w:rsidRDefault="0003483A">
            <w:pPr>
              <w:jc w:val="right"/>
              <w:rPr>
                <w:rFonts w:ascii="Arial" w:hAnsi="Arial" w:cs="Arial"/>
                <w:sz w:val="20"/>
                <w:szCs w:val="20"/>
              </w:rPr>
            </w:pPr>
            <w:r>
              <w:rPr>
                <w:rFonts w:ascii="Arial" w:hAnsi="Arial" w:cs="Arial"/>
                <w:sz w:val="20"/>
                <w:szCs w:val="20"/>
              </w:rPr>
              <w:t>$4.74</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30F86E4D" w14:textId="77777777" w:rsidR="0003483A" w:rsidRDefault="0003483A">
            <w:pPr>
              <w:jc w:val="right"/>
              <w:rPr>
                <w:rFonts w:ascii="Arial" w:hAnsi="Arial" w:cs="Arial"/>
                <w:sz w:val="20"/>
                <w:szCs w:val="20"/>
              </w:rPr>
            </w:pPr>
          </w:p>
        </w:tc>
      </w:tr>
      <w:tr w:rsidR="003E3967" w14:paraId="62900A49" w14:textId="77777777" w:rsidTr="003E3967">
        <w:trPr>
          <w:trHeight w:val="241"/>
        </w:trPr>
        <w:tc>
          <w:tcPr>
            <w:tcW w:w="5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501B" w14:textId="77777777" w:rsidR="0003483A" w:rsidRDefault="0003483A">
            <w:pPr>
              <w:rPr>
                <w:rFonts w:ascii="Arial" w:hAnsi="Arial" w:cs="Arial"/>
                <w:sz w:val="20"/>
                <w:szCs w:val="20"/>
              </w:rPr>
            </w:pPr>
            <w:proofErr w:type="spellStart"/>
            <w:r>
              <w:rPr>
                <w:rFonts w:ascii="Arial" w:hAnsi="Arial" w:cs="Arial"/>
                <w:sz w:val="20"/>
                <w:szCs w:val="20"/>
              </w:rPr>
              <w:t>ECLS</w:t>
            </w:r>
            <w:proofErr w:type="spellEnd"/>
            <w:r>
              <w:rPr>
                <w:rFonts w:ascii="Arial" w:hAnsi="Arial" w:cs="Arial"/>
                <w:sz w:val="20"/>
                <w:szCs w:val="20"/>
              </w:rPr>
              <w:t xml:space="preserve"> Rebate</w:t>
            </w:r>
          </w:p>
        </w:tc>
        <w:tc>
          <w:tcPr>
            <w:tcW w:w="1247" w:type="dxa"/>
            <w:tcBorders>
              <w:top w:val="single" w:sz="4" w:space="0" w:color="auto"/>
              <w:left w:val="nil"/>
              <w:bottom w:val="single" w:sz="4" w:space="0" w:color="auto"/>
              <w:right w:val="single" w:sz="4" w:space="0" w:color="auto"/>
            </w:tcBorders>
            <w:shd w:val="clear" w:color="auto" w:fill="B8CCE4"/>
            <w:noWrap/>
            <w:vAlign w:val="bottom"/>
            <w:hideMark/>
          </w:tcPr>
          <w:p w14:paraId="591C1471" w14:textId="77777777" w:rsidR="0003483A" w:rsidRDefault="0003483A">
            <w:pPr>
              <w:jc w:val="right"/>
              <w:rPr>
                <w:rFonts w:ascii="Arial" w:hAnsi="Arial" w:cs="Arial"/>
                <w:sz w:val="20"/>
                <w:szCs w:val="20"/>
              </w:rPr>
            </w:pPr>
            <w:r>
              <w:rPr>
                <w:rFonts w:ascii="Arial" w:hAnsi="Arial" w:cs="Arial"/>
                <w:sz w:val="20"/>
                <w:szCs w:val="20"/>
              </w:rPr>
              <w:t>$39.58</w:t>
            </w:r>
          </w:p>
        </w:tc>
        <w:tc>
          <w:tcPr>
            <w:tcW w:w="1042" w:type="dxa"/>
            <w:tcBorders>
              <w:top w:val="single" w:sz="4" w:space="0" w:color="auto"/>
              <w:left w:val="nil"/>
              <w:bottom w:val="single" w:sz="4" w:space="0" w:color="auto"/>
              <w:right w:val="nil"/>
            </w:tcBorders>
            <w:shd w:val="clear" w:color="auto" w:fill="B8CCE4"/>
            <w:noWrap/>
            <w:vAlign w:val="bottom"/>
            <w:hideMark/>
          </w:tcPr>
          <w:p w14:paraId="25491DFA" w14:textId="77777777" w:rsidR="0003483A" w:rsidRDefault="0003483A">
            <w:pPr>
              <w:jc w:val="right"/>
              <w:rPr>
                <w:rFonts w:ascii="Arial" w:hAnsi="Arial" w:cs="Arial"/>
                <w:sz w:val="20"/>
                <w:szCs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BB05" w14:textId="77777777" w:rsidR="0003483A" w:rsidRDefault="0003483A">
            <w:pPr>
              <w:jc w:val="right"/>
              <w:rPr>
                <w:rFonts w:ascii="Arial" w:hAnsi="Arial" w:cs="Arial"/>
                <w:sz w:val="20"/>
                <w:szCs w:val="20"/>
              </w:rPr>
            </w:pPr>
            <w:r>
              <w:rPr>
                <w:rFonts w:ascii="Arial" w:hAnsi="Arial" w:cs="Arial"/>
                <w:sz w:val="20"/>
                <w:szCs w:val="20"/>
              </w:rPr>
              <w:t>$14.21</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53864EF6" w14:textId="77777777" w:rsidR="0003483A" w:rsidRDefault="0003483A">
            <w:pPr>
              <w:jc w:val="right"/>
              <w:rPr>
                <w:rFonts w:ascii="Arial" w:hAnsi="Arial" w:cs="Arial"/>
                <w:sz w:val="20"/>
                <w:szCs w:val="20"/>
              </w:rPr>
            </w:pPr>
          </w:p>
        </w:tc>
      </w:tr>
      <w:tr w:rsidR="003E3967" w14:paraId="741D1915" w14:textId="77777777" w:rsidTr="003E3967">
        <w:trPr>
          <w:trHeight w:val="90"/>
        </w:trPr>
        <w:tc>
          <w:tcPr>
            <w:tcW w:w="5191" w:type="dxa"/>
            <w:tcBorders>
              <w:top w:val="single" w:sz="4" w:space="0" w:color="auto"/>
              <w:left w:val="nil"/>
              <w:bottom w:val="nil"/>
              <w:right w:val="nil"/>
            </w:tcBorders>
            <w:shd w:val="clear" w:color="auto" w:fill="auto"/>
            <w:noWrap/>
            <w:vAlign w:val="bottom"/>
            <w:hideMark/>
          </w:tcPr>
          <w:p w14:paraId="4AE76C6F" w14:textId="77777777" w:rsidR="0003483A" w:rsidRDefault="0003483A">
            <w:pPr>
              <w:rPr>
                <w:sz w:val="20"/>
                <w:szCs w:val="20"/>
              </w:rPr>
            </w:pPr>
          </w:p>
        </w:tc>
        <w:tc>
          <w:tcPr>
            <w:tcW w:w="1247" w:type="dxa"/>
            <w:tcBorders>
              <w:top w:val="single" w:sz="4" w:space="0" w:color="auto"/>
              <w:left w:val="nil"/>
              <w:bottom w:val="nil"/>
              <w:right w:val="nil"/>
            </w:tcBorders>
            <w:shd w:val="clear" w:color="auto" w:fill="auto"/>
            <w:noWrap/>
            <w:vAlign w:val="bottom"/>
            <w:hideMark/>
          </w:tcPr>
          <w:p w14:paraId="2B37B6F7" w14:textId="77777777" w:rsidR="0003483A" w:rsidRDefault="0003483A">
            <w:pPr>
              <w:rPr>
                <w:sz w:val="20"/>
                <w:szCs w:val="20"/>
              </w:rPr>
            </w:pPr>
          </w:p>
        </w:tc>
        <w:tc>
          <w:tcPr>
            <w:tcW w:w="1042" w:type="dxa"/>
            <w:tcBorders>
              <w:top w:val="single" w:sz="4" w:space="0" w:color="auto"/>
              <w:left w:val="nil"/>
              <w:bottom w:val="nil"/>
              <w:right w:val="nil"/>
            </w:tcBorders>
            <w:shd w:val="clear" w:color="auto" w:fill="auto"/>
            <w:noWrap/>
            <w:vAlign w:val="bottom"/>
            <w:hideMark/>
          </w:tcPr>
          <w:p w14:paraId="1372F700" w14:textId="77777777" w:rsidR="0003483A" w:rsidRDefault="0003483A">
            <w:pPr>
              <w:rPr>
                <w:sz w:val="20"/>
                <w:szCs w:val="20"/>
              </w:rPr>
            </w:pPr>
          </w:p>
        </w:tc>
        <w:tc>
          <w:tcPr>
            <w:tcW w:w="923" w:type="dxa"/>
            <w:tcBorders>
              <w:top w:val="single" w:sz="4" w:space="0" w:color="auto"/>
              <w:left w:val="nil"/>
              <w:bottom w:val="nil"/>
              <w:right w:val="nil"/>
            </w:tcBorders>
            <w:shd w:val="clear" w:color="auto" w:fill="auto"/>
            <w:noWrap/>
            <w:vAlign w:val="bottom"/>
            <w:hideMark/>
          </w:tcPr>
          <w:p w14:paraId="3C7A899A" w14:textId="77777777" w:rsidR="0003483A" w:rsidRDefault="0003483A">
            <w:pPr>
              <w:rPr>
                <w:sz w:val="20"/>
                <w:szCs w:val="20"/>
              </w:rPr>
            </w:pPr>
          </w:p>
        </w:tc>
        <w:tc>
          <w:tcPr>
            <w:tcW w:w="931" w:type="dxa"/>
            <w:tcBorders>
              <w:top w:val="single" w:sz="4" w:space="0" w:color="auto"/>
              <w:left w:val="nil"/>
              <w:bottom w:val="nil"/>
              <w:right w:val="nil"/>
            </w:tcBorders>
            <w:shd w:val="clear" w:color="auto" w:fill="auto"/>
            <w:noWrap/>
            <w:vAlign w:val="bottom"/>
            <w:hideMark/>
          </w:tcPr>
          <w:p w14:paraId="43FDA12D" w14:textId="77777777" w:rsidR="0003483A" w:rsidRDefault="0003483A">
            <w:pPr>
              <w:rPr>
                <w:sz w:val="20"/>
                <w:szCs w:val="20"/>
              </w:rPr>
            </w:pPr>
          </w:p>
        </w:tc>
      </w:tr>
      <w:tr w:rsidR="003E3967" w14:paraId="1E6C2207" w14:textId="77777777" w:rsidTr="003E3967">
        <w:trPr>
          <w:trHeight w:val="241"/>
        </w:trPr>
        <w:tc>
          <w:tcPr>
            <w:tcW w:w="9334" w:type="dxa"/>
            <w:gridSpan w:val="5"/>
            <w:tcBorders>
              <w:top w:val="nil"/>
              <w:left w:val="nil"/>
              <w:bottom w:val="nil"/>
              <w:right w:val="nil"/>
            </w:tcBorders>
            <w:shd w:val="clear" w:color="auto" w:fill="auto"/>
            <w:noWrap/>
            <w:vAlign w:val="bottom"/>
            <w:hideMark/>
          </w:tcPr>
          <w:p w14:paraId="1B581D63" w14:textId="77777777" w:rsidR="0003483A" w:rsidRDefault="0003483A">
            <w:pPr>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Includes Transitional Funding $91,392 which will cease in 2017. As a result fees in high </w:t>
            </w:r>
            <w:proofErr w:type="spellStart"/>
            <w:r>
              <w:rPr>
                <w:rFonts w:ascii="Arial" w:hAnsi="Arial" w:cs="Arial"/>
                <w:sz w:val="16"/>
                <w:szCs w:val="16"/>
              </w:rPr>
              <w:t>SEIFA</w:t>
            </w:r>
            <w:proofErr w:type="spellEnd"/>
            <w:r>
              <w:rPr>
                <w:rFonts w:ascii="Arial" w:hAnsi="Arial" w:cs="Arial"/>
                <w:sz w:val="16"/>
                <w:szCs w:val="16"/>
              </w:rPr>
              <w:t xml:space="preserve"> Band services will have to increase.</w:t>
            </w:r>
          </w:p>
        </w:tc>
      </w:tr>
    </w:tbl>
    <w:p w14:paraId="35622FD3" w14:textId="77777777" w:rsidR="00F55C0E" w:rsidRDefault="00F55C0E" w:rsidP="00E83F06">
      <w:pPr>
        <w:pStyle w:val="BodyText"/>
      </w:pPr>
    </w:p>
    <w:p w14:paraId="12D17DDC" w14:textId="77777777" w:rsidR="00057336" w:rsidRDefault="00057336" w:rsidP="00B7385B">
      <w:pPr>
        <w:pStyle w:val="BodyText"/>
        <w:spacing w:before="0" w:after="240"/>
      </w:pPr>
      <w:r>
        <w:t>Financial Model E has been developed using</w:t>
      </w:r>
      <w:r w:rsidR="008C5653">
        <w:t xml:space="preserve"> universal access funding and</w:t>
      </w:r>
      <w:r>
        <w:t xml:space="preserve"> the current formula used to calculate </w:t>
      </w:r>
      <w:proofErr w:type="spellStart"/>
      <w:r>
        <w:t>CCB</w:t>
      </w:r>
      <w:proofErr w:type="spellEnd"/>
      <w:r>
        <w:t xml:space="preserve"> and </w:t>
      </w:r>
      <w:proofErr w:type="spellStart"/>
      <w:r>
        <w:t>CCR</w:t>
      </w:r>
      <w:proofErr w:type="spellEnd"/>
      <w:r>
        <w:t xml:space="preserve"> for approved services and applied it to our current fee structure. </w:t>
      </w:r>
    </w:p>
    <w:p w14:paraId="09D609FC" w14:textId="58EED075" w:rsidR="00F55C0E" w:rsidRDefault="00F55C0E" w:rsidP="00B7385B">
      <w:pPr>
        <w:pStyle w:val="BodyText"/>
        <w:spacing w:before="0" w:after="240"/>
      </w:pPr>
      <w:r>
        <w:t>W</w:t>
      </w:r>
      <w:r w:rsidR="00BB17E1">
        <w:t xml:space="preserve">hilst </w:t>
      </w:r>
      <w:r w:rsidR="00DD25D4">
        <w:t>d</w:t>
      </w:r>
      <w:r w:rsidR="00BB17E1">
        <w:t xml:space="preserve">irect Government funding would remain at </w:t>
      </w:r>
      <w:r w:rsidR="000552F5">
        <w:t>4</w:t>
      </w:r>
      <w:r w:rsidR="00BB17E1">
        <w:t>9% of to</w:t>
      </w:r>
      <w:r w:rsidR="000552F5">
        <w:t>t</w:t>
      </w:r>
      <w:r w:rsidR="00BB17E1">
        <w:t xml:space="preserve">al </w:t>
      </w:r>
      <w:r>
        <w:t xml:space="preserve">preschool </w:t>
      </w:r>
      <w:r w:rsidR="00BB17E1">
        <w:t>expenditure,</w:t>
      </w:r>
      <w:r w:rsidR="000552F5">
        <w:t xml:space="preserve"> </w:t>
      </w:r>
      <w:r>
        <w:t xml:space="preserve">using this model, </w:t>
      </w:r>
      <w:proofErr w:type="spellStart"/>
      <w:r w:rsidR="0003483A">
        <w:t>CEDP</w:t>
      </w:r>
      <w:proofErr w:type="spellEnd"/>
      <w:r w:rsidR="0003483A">
        <w:t xml:space="preserve"> </w:t>
      </w:r>
      <w:r w:rsidR="00BB17E1">
        <w:t xml:space="preserve">estimates that it </w:t>
      </w:r>
      <w:r w:rsidR="0003483A">
        <w:t xml:space="preserve">would be able to </w:t>
      </w:r>
      <w:r w:rsidR="00BB17E1">
        <w:t xml:space="preserve">eliminate the cost of preschool </w:t>
      </w:r>
      <w:r>
        <w:t xml:space="preserve">fees </w:t>
      </w:r>
      <w:r w:rsidR="00BB17E1">
        <w:t xml:space="preserve">for families in low </w:t>
      </w:r>
      <w:proofErr w:type="spellStart"/>
      <w:r w:rsidR="00BB17E1">
        <w:t>SEIFA</w:t>
      </w:r>
      <w:proofErr w:type="spellEnd"/>
      <w:r w:rsidR="00BB17E1">
        <w:t xml:space="preserve"> Band </w:t>
      </w:r>
      <w:r>
        <w:t>preschools.</w:t>
      </w:r>
      <w:r w:rsidR="00E857B1">
        <w:t xml:space="preserve"> </w:t>
      </w:r>
    </w:p>
    <w:p w14:paraId="7349D0B3" w14:textId="77777777" w:rsidR="00DD25D4" w:rsidRDefault="00F55C0E" w:rsidP="00B7385B">
      <w:pPr>
        <w:pStyle w:val="BodyText"/>
        <w:spacing w:before="0" w:after="240"/>
      </w:pPr>
      <w:r>
        <w:t>A</w:t>
      </w:r>
      <w:r w:rsidR="00BB17E1">
        <w:t xml:space="preserve"> significantly </w:t>
      </w:r>
      <w:r>
        <w:t xml:space="preserve">reduction in </w:t>
      </w:r>
      <w:r w:rsidR="00BB17E1">
        <w:t xml:space="preserve">cost </w:t>
      </w:r>
      <w:r>
        <w:t xml:space="preserve">for </w:t>
      </w:r>
      <w:r w:rsidR="00BB17E1">
        <w:t xml:space="preserve">families </w:t>
      </w:r>
      <w:r>
        <w:t xml:space="preserve">could also be extended to those </w:t>
      </w:r>
      <w:r w:rsidR="00BB17E1">
        <w:t xml:space="preserve">in high </w:t>
      </w:r>
      <w:proofErr w:type="spellStart"/>
      <w:r w:rsidR="00BB17E1">
        <w:t>SEIFA</w:t>
      </w:r>
      <w:proofErr w:type="spellEnd"/>
      <w:r w:rsidR="00BB17E1">
        <w:t xml:space="preserve"> Band </w:t>
      </w:r>
      <w:r>
        <w:t xml:space="preserve">preschools. </w:t>
      </w:r>
    </w:p>
    <w:p w14:paraId="71D86028" w14:textId="77777777" w:rsidR="00F55C0E" w:rsidRDefault="00F55C0E" w:rsidP="00B7385B">
      <w:pPr>
        <w:pStyle w:val="BodyText"/>
        <w:spacing w:before="0" w:after="240"/>
      </w:pPr>
      <w:r>
        <w:t xml:space="preserve">Should it be abolished as proposed by the </w:t>
      </w:r>
      <w:r w:rsidR="00E76501">
        <w:t>Draft Report</w:t>
      </w:r>
      <w:r>
        <w:t xml:space="preserve">, outcomes of Financial Model E will show a significant fee increase to all families, particularly the disadvantaged who will no longer qualify for eligibility due to the 24 hour activity test under </w:t>
      </w:r>
      <w:proofErr w:type="spellStart"/>
      <w:r>
        <w:t>ECLS</w:t>
      </w:r>
      <w:proofErr w:type="spellEnd"/>
      <w:r>
        <w:t>.</w:t>
      </w:r>
    </w:p>
    <w:p w14:paraId="14EDC590" w14:textId="77777777" w:rsidR="0070571F" w:rsidRDefault="00F55C0E" w:rsidP="00E83F06">
      <w:pPr>
        <w:pStyle w:val="BodyText"/>
      </w:pPr>
      <w:r>
        <w:br w:type="page"/>
      </w:r>
    </w:p>
    <w:p w14:paraId="00C0CF80" w14:textId="77777777" w:rsidR="00D11AE0" w:rsidRDefault="0070571F" w:rsidP="00E83F06">
      <w:pPr>
        <w:pStyle w:val="Heading3"/>
      </w:pPr>
      <w:proofErr w:type="spellStart"/>
      <w:r>
        <w:t>CEDP’s</w:t>
      </w:r>
      <w:proofErr w:type="spellEnd"/>
      <w:r>
        <w:t xml:space="preserve"> </w:t>
      </w:r>
      <w:r w:rsidR="00D11AE0">
        <w:t>Preferred Funding Model</w:t>
      </w:r>
    </w:p>
    <w:p w14:paraId="7FE51F16" w14:textId="3E020BE0" w:rsidR="00D11AE0" w:rsidRDefault="00E83F06" w:rsidP="00B7385B">
      <w:pPr>
        <w:pStyle w:val="BodyText"/>
        <w:spacing w:before="0" w:after="240"/>
      </w:pPr>
      <w:r>
        <w:t xml:space="preserve">In reviewing </w:t>
      </w:r>
      <w:r w:rsidR="00E76501">
        <w:t xml:space="preserve">the above </w:t>
      </w:r>
      <w:r w:rsidR="0070571F">
        <w:t xml:space="preserve">funding </w:t>
      </w:r>
      <w:r w:rsidR="00D11AE0">
        <w:t>models</w:t>
      </w:r>
      <w:r>
        <w:t xml:space="preserve">, </w:t>
      </w:r>
      <w:r w:rsidR="00BB17E1">
        <w:t xml:space="preserve">Financial Model </w:t>
      </w:r>
      <w:r>
        <w:t>D</w:t>
      </w:r>
      <w:r w:rsidR="00BB17E1">
        <w:t xml:space="preserve"> is </w:t>
      </w:r>
      <w:r w:rsidR="0070571F">
        <w:t xml:space="preserve">more </w:t>
      </w:r>
      <w:r w:rsidR="00BB17E1">
        <w:t>ben</w:t>
      </w:r>
      <w:r w:rsidR="00614D22">
        <w:t>e</w:t>
      </w:r>
      <w:r w:rsidR="00BB17E1">
        <w:t>fic</w:t>
      </w:r>
      <w:r w:rsidR="00614D22">
        <w:t>i</w:t>
      </w:r>
      <w:r w:rsidR="00BB17E1">
        <w:t xml:space="preserve">al to </w:t>
      </w:r>
      <w:proofErr w:type="spellStart"/>
      <w:r w:rsidR="00BB17E1">
        <w:t>CEDP</w:t>
      </w:r>
      <w:proofErr w:type="spellEnd"/>
      <w:r w:rsidR="00BB17E1">
        <w:t xml:space="preserve"> </w:t>
      </w:r>
      <w:r w:rsidR="00D11AE0">
        <w:t xml:space="preserve">preschool </w:t>
      </w:r>
      <w:r w:rsidR="00BB17E1">
        <w:t>families</w:t>
      </w:r>
      <w:r w:rsidR="00D11AE0">
        <w:t>.</w:t>
      </w:r>
      <w:r w:rsidR="00E857B1">
        <w:t xml:space="preserve"> </w:t>
      </w:r>
      <w:r w:rsidR="00D11AE0">
        <w:t xml:space="preserve">We acknowledge that should this funding model be adopted it will require </w:t>
      </w:r>
      <w:proofErr w:type="spellStart"/>
      <w:r w:rsidR="005D17BE">
        <w:t>CEDP</w:t>
      </w:r>
      <w:proofErr w:type="spellEnd"/>
      <w:r w:rsidR="005D17BE">
        <w:t xml:space="preserve"> </w:t>
      </w:r>
      <w:r w:rsidR="00D11AE0">
        <w:t xml:space="preserve">to restructure its </w:t>
      </w:r>
      <w:r w:rsidR="005D17BE">
        <w:t>current preschool fee schedule</w:t>
      </w:r>
      <w:r w:rsidR="00D11AE0">
        <w:t>s</w:t>
      </w:r>
      <w:r w:rsidR="005D17BE">
        <w:t xml:space="preserve"> to ensure equitable and affordable fees</w:t>
      </w:r>
      <w:r w:rsidR="00D11AE0">
        <w:t xml:space="preserve"> are applied</w:t>
      </w:r>
      <w:r w:rsidR="005D17BE">
        <w:t xml:space="preserve"> across </w:t>
      </w:r>
      <w:r w:rsidR="00D11AE0">
        <w:t xml:space="preserve">all </w:t>
      </w:r>
      <w:r w:rsidR="005D17BE">
        <w:t xml:space="preserve">our </w:t>
      </w:r>
      <w:proofErr w:type="spellStart"/>
      <w:r w:rsidR="005D17BE">
        <w:t>SEIFA</w:t>
      </w:r>
      <w:proofErr w:type="spellEnd"/>
      <w:r w:rsidR="005D17BE">
        <w:t xml:space="preserve"> band preschools.</w:t>
      </w:r>
      <w:r w:rsidR="00E857B1">
        <w:t xml:space="preserve"> </w:t>
      </w:r>
    </w:p>
    <w:p w14:paraId="13E69B0A" w14:textId="77777777" w:rsidR="008C5653" w:rsidRDefault="008C5653" w:rsidP="00B7385B">
      <w:pPr>
        <w:pStyle w:val="BodyText"/>
        <w:spacing w:before="0" w:after="240"/>
      </w:pPr>
      <w:r>
        <w:t xml:space="preserve">If the parameters of </w:t>
      </w:r>
      <w:r w:rsidR="00BB17E1" w:rsidRPr="00B7385B">
        <w:t>Financial Model E</w:t>
      </w:r>
      <w:r w:rsidR="00BB17E1" w:rsidRPr="002D0F01">
        <w:t xml:space="preserve"> </w:t>
      </w:r>
      <w:r>
        <w:t xml:space="preserve">were to be adopted by the Productivity Commission as per </w:t>
      </w:r>
      <w:proofErr w:type="spellStart"/>
      <w:r>
        <w:t>CEDP’s</w:t>
      </w:r>
      <w:proofErr w:type="spellEnd"/>
      <w:r>
        <w:t xml:space="preserve"> calculations, then this model of funding will provide an equitable funding arrangement for all preschool sectors, regardless of service type.</w:t>
      </w:r>
      <w:r w:rsidDel="008C5653">
        <w:t xml:space="preserve"> </w:t>
      </w:r>
    </w:p>
    <w:p w14:paraId="10D67A05" w14:textId="77777777" w:rsidR="00E83F06" w:rsidRDefault="00DA0955" w:rsidP="00B7385B">
      <w:pPr>
        <w:pStyle w:val="BodyText"/>
        <w:spacing w:before="0" w:after="240"/>
      </w:pPr>
      <w:r>
        <w:t>It is noted that o</w:t>
      </w:r>
      <w:r w:rsidR="00E83F06">
        <w:t xml:space="preserve">n page 552, the Productivity Commission report refers to dedicated preschools attracting per child funding from both the Australian government and state and territories governments. This proposal </w:t>
      </w:r>
      <w:r>
        <w:t xml:space="preserve">was </w:t>
      </w:r>
      <w:r w:rsidR="00E83F06">
        <w:t xml:space="preserve">omitted from the draft recommendations of the Productivity Commission. </w:t>
      </w:r>
    </w:p>
    <w:p w14:paraId="0F13CBD0" w14:textId="6F8E5562" w:rsidR="00E83F06" w:rsidRPr="00B7385B" w:rsidRDefault="00E83F06" w:rsidP="00B7385B">
      <w:pPr>
        <w:pStyle w:val="BodyText"/>
        <w:spacing w:before="0" w:after="240"/>
        <w:ind w:left="567"/>
        <w:rPr>
          <w:i/>
        </w:rPr>
      </w:pPr>
      <w:r w:rsidRPr="00B7385B">
        <w:rPr>
          <w:i/>
        </w:rPr>
        <w:t xml:space="preserve">“The Commission considers that ongoing funding to ensure universal access to a preschool service at low cost should be a high priority for all governments. However, the major differences in the state and territory contributions need to be addressed, as do the incentives for the states and territories to support integration of preschool programs into </w:t>
      </w:r>
      <w:proofErr w:type="spellStart"/>
      <w:r w:rsidRPr="00B7385B">
        <w:rPr>
          <w:i/>
        </w:rPr>
        <w:t>LDCs</w:t>
      </w:r>
      <w:proofErr w:type="spellEnd"/>
      <w:r w:rsidRPr="00B7385B">
        <w:rPr>
          <w:i/>
        </w:rPr>
        <w:t>.</w:t>
      </w:r>
      <w:r w:rsidR="00E857B1">
        <w:rPr>
          <w:i/>
        </w:rPr>
        <w:t xml:space="preserve"> </w:t>
      </w:r>
      <w:r w:rsidRPr="00B7385B">
        <w:rPr>
          <w:b/>
          <w:i/>
        </w:rPr>
        <w:t>Moreover, the funding model should encourage the transition to the states and territories resuming full responsibility for preschool education, with per child funding support from the Australian government as is currently the case for school students.” (Productivity Commission, pg. 552)</w:t>
      </w:r>
    </w:p>
    <w:p w14:paraId="057EB4AC" w14:textId="77777777" w:rsidR="00E83F06" w:rsidRDefault="00E83F06" w:rsidP="00B7385B">
      <w:pPr>
        <w:pStyle w:val="BodyText"/>
        <w:spacing w:before="0" w:after="240"/>
      </w:pPr>
      <w:r>
        <w:t xml:space="preserve">We urge the Productivity Commission to review the recommendations for funding to dedicated preschools. </w:t>
      </w:r>
      <w:proofErr w:type="spellStart"/>
      <w:r>
        <w:t>CEDP</w:t>
      </w:r>
      <w:proofErr w:type="spellEnd"/>
      <w:r>
        <w:t xml:space="preserve"> wishes to continue to extend preschool services that are co-located within school precincts. The reality is that without consistent and realistic funding arrangements and access to capital funding the upfront and ongoing costs are unsustainable. </w:t>
      </w:r>
    </w:p>
    <w:p w14:paraId="68E5D03F" w14:textId="77777777" w:rsidR="00990832" w:rsidRDefault="00DA0955" w:rsidP="00CC25EF">
      <w:pPr>
        <w:pStyle w:val="BodyText"/>
        <w:spacing w:before="0" w:after="480"/>
      </w:pPr>
      <w:r>
        <w:t xml:space="preserve">There will also need to be consideration of the eligibility of accessing capital funding to </w:t>
      </w:r>
      <w:r w:rsidR="00E83F06">
        <w:t>refurbish and</w:t>
      </w:r>
      <w:r>
        <w:t>/</w:t>
      </w:r>
      <w:r w:rsidR="00E83F06">
        <w:t xml:space="preserve">or construct new services within the existing block grant funding agreements or for a </w:t>
      </w:r>
      <w:r>
        <w:t xml:space="preserve">new </w:t>
      </w:r>
      <w:r w:rsidR="00E83F06">
        <w:t>state capital program to become available</w:t>
      </w:r>
      <w:r w:rsidR="00EE47BF">
        <w:t>.</w:t>
      </w:r>
    </w:p>
    <w:p w14:paraId="5372EFB4" w14:textId="77777777" w:rsidR="00E83F06" w:rsidRDefault="00E83F06" w:rsidP="008679C3">
      <w:pPr>
        <w:pStyle w:val="Heading2"/>
      </w:pPr>
      <w:r>
        <w:t>Dedicated Preschools - Accessibility, Affordability and Flexibility</w:t>
      </w:r>
    </w:p>
    <w:p w14:paraId="7B62BF07" w14:textId="51662E4E" w:rsidR="00990832" w:rsidRDefault="00E83F06" w:rsidP="00B7385B">
      <w:pPr>
        <w:pStyle w:val="BodyText"/>
        <w:spacing w:before="0" w:after="240"/>
      </w:pPr>
      <w:proofErr w:type="spellStart"/>
      <w:r>
        <w:t>CEDP</w:t>
      </w:r>
      <w:proofErr w:type="spellEnd"/>
      <w:r>
        <w:t xml:space="preserve"> brings to attention the difficulty of timetabling the 15 hours a week universal access arrangements within the preschool sector. ABS (2009) data shows that in 2008 around 30% of children in the </w:t>
      </w:r>
      <w:r w:rsidR="005461A5">
        <w:t xml:space="preserve">3 to 5 </w:t>
      </w:r>
      <w:r w:rsidR="00990832">
        <w:t xml:space="preserve">year </w:t>
      </w:r>
      <w:r>
        <w:t xml:space="preserve">age range attended formal preschool programs for less than 10 hours per week, whereas 47% of children of the same age attended for between 10 </w:t>
      </w:r>
      <w:r w:rsidR="003E3967">
        <w:t xml:space="preserve">to </w:t>
      </w:r>
      <w:r>
        <w:t xml:space="preserve">14 hours. </w:t>
      </w:r>
    </w:p>
    <w:p w14:paraId="16476C4D" w14:textId="77777777" w:rsidR="00990832" w:rsidRDefault="00E83F06" w:rsidP="00B7385B">
      <w:pPr>
        <w:pStyle w:val="BodyText"/>
        <w:spacing w:before="0" w:after="240"/>
      </w:pPr>
      <w:r>
        <w:t xml:space="preserve">These findings support </w:t>
      </w:r>
      <w:proofErr w:type="spellStart"/>
      <w:r>
        <w:t>CEDP’s</w:t>
      </w:r>
      <w:proofErr w:type="spellEnd"/>
      <w:r>
        <w:t xml:space="preserve"> request to the Productivity Commission to consider adopting a Universal Access Program with a minimum preschool program of 12 hours per week. Timetabling a minimum of 12 hours of Universal Access will provide consistency, continuity in high quality education in the years before school and flexibility to accommodate the work commitments of the community.</w:t>
      </w:r>
    </w:p>
    <w:p w14:paraId="4D128A15" w14:textId="77777777" w:rsidR="00E83F06" w:rsidRDefault="00E83F06" w:rsidP="00B7385B">
      <w:pPr>
        <w:pStyle w:val="BodyText"/>
        <w:spacing w:before="0" w:after="240"/>
      </w:pPr>
      <w:r>
        <w:t xml:space="preserve">According to a longitudinal study into the effective provision of preschool programs, duration of attendance (that is terms, not hours) is a key factor in achieving positive educational outcomes for young children. The study found children who accessed preschool programs at an earlier age benefit through better intellectual development and improved independence, concentration and sociability (Sylva, </w:t>
      </w:r>
      <w:proofErr w:type="spellStart"/>
      <w:r>
        <w:t>Melhuish</w:t>
      </w:r>
      <w:proofErr w:type="spellEnd"/>
      <w:r>
        <w:t xml:space="preserve">, Sammons, </w:t>
      </w:r>
      <w:proofErr w:type="spellStart"/>
      <w:r>
        <w:t>Siraj</w:t>
      </w:r>
      <w:proofErr w:type="spellEnd"/>
      <w:r>
        <w:t>-Blatchford &amp; Taggart, 2004).</w:t>
      </w:r>
    </w:p>
    <w:p w14:paraId="5B4825BD" w14:textId="77777777" w:rsidR="00E83F06" w:rsidRDefault="00E83F06" w:rsidP="00B7385B">
      <w:pPr>
        <w:pStyle w:val="BodyText"/>
        <w:spacing w:before="0" w:after="240"/>
      </w:pPr>
      <w:r>
        <w:t xml:space="preserve">Research has shown little variation in school readiness achievements for children who attend preschool part-time as opposed to those who attend preschool full-time (Harrison, </w:t>
      </w:r>
      <w:proofErr w:type="spellStart"/>
      <w:r>
        <w:t>Goldfeld</w:t>
      </w:r>
      <w:proofErr w:type="spellEnd"/>
      <w:r>
        <w:t>, Metcalfe &amp; Moore 2012). Children who have regular and sustained access to formal preschool programs each month after the age of two years old experience enhanced social development, language skills, improved independence and greater learning outcomes (Harrison et al. 2012).</w:t>
      </w:r>
    </w:p>
    <w:p w14:paraId="79DCA2E4" w14:textId="77777777" w:rsidR="00E83F06" w:rsidRDefault="00E83F06" w:rsidP="00CC25EF">
      <w:pPr>
        <w:pStyle w:val="Heading2"/>
        <w:spacing w:before="480"/>
        <w:ind w:left="578" w:hanging="578"/>
      </w:pPr>
      <w:r>
        <w:t xml:space="preserve">Dedicated Preschools - Quality assurance processes and regulation of </w:t>
      </w:r>
      <w:proofErr w:type="spellStart"/>
      <w:r>
        <w:t>ECEC</w:t>
      </w:r>
      <w:proofErr w:type="spellEnd"/>
    </w:p>
    <w:p w14:paraId="2061FFDD" w14:textId="580B4605" w:rsidR="00E83F06" w:rsidRDefault="00E83F06" w:rsidP="00CC25EF">
      <w:pPr>
        <w:pStyle w:val="BodyText"/>
        <w:spacing w:before="240" w:after="240"/>
      </w:pPr>
      <w:r w:rsidRPr="009177F8">
        <w:rPr>
          <w:i/>
        </w:rPr>
        <w:t>Being, Belonging, Becoming: The Early Years Learning Framework</w:t>
      </w:r>
      <w:r>
        <w:t xml:space="preserve"> is closely aligned with quality areas and elements within the National Quality Standards. Removing preschool services from the National Quality Framework divides the sector into delivering differential patterns of curricula and compromises regulatory standards set by the Australian government across early childhood education and care services.</w:t>
      </w:r>
      <w:r w:rsidR="00E857B1">
        <w:t xml:space="preserve"> </w:t>
      </w:r>
    </w:p>
    <w:p w14:paraId="6AA17EA6" w14:textId="77777777" w:rsidR="001F181F" w:rsidRDefault="00E83F06" w:rsidP="00B7385B">
      <w:pPr>
        <w:pStyle w:val="BodyText"/>
        <w:spacing w:before="0" w:after="240"/>
      </w:pPr>
      <w:r>
        <w:t xml:space="preserve">The </w:t>
      </w:r>
      <w:r w:rsidR="00E76501">
        <w:t>Draft Report</w:t>
      </w:r>
      <w:r>
        <w:t xml:space="preserve"> recommendation to transfer responsibilities to the State and Territories bodies and recommend dedicated preschools be aligned with </w:t>
      </w:r>
      <w:proofErr w:type="spellStart"/>
      <w:r>
        <w:t>BOSTES</w:t>
      </w:r>
      <w:proofErr w:type="spellEnd"/>
      <w:r>
        <w:t xml:space="preserve"> syllabus instead of the current National Early Years Learning Framework fails to recognise foundational learning skills of the 3 to 5 age group. To suggest the implementation of multiple syllabus documents within the early childhood sector will compromise the consistency and delivery of well-founded education and care programs for all children. </w:t>
      </w:r>
    </w:p>
    <w:p w14:paraId="50849D71" w14:textId="77777777" w:rsidR="00E83F06" w:rsidRDefault="00E83F06" w:rsidP="00B7385B">
      <w:pPr>
        <w:pStyle w:val="BodyText"/>
        <w:spacing w:before="0" w:after="240"/>
      </w:pPr>
      <w:r>
        <w:t xml:space="preserve">Would </w:t>
      </w:r>
      <w:proofErr w:type="spellStart"/>
      <w:r>
        <w:t>BOSTE</w:t>
      </w:r>
      <w:r w:rsidR="00E76501">
        <w:t>S</w:t>
      </w:r>
      <w:proofErr w:type="spellEnd"/>
      <w:r>
        <w:t xml:space="preserve"> consider implementing different syllabus documents for government and non-government sectors?</w:t>
      </w:r>
      <w:r w:rsidR="00E76501">
        <w:t xml:space="preserve"> This is unlikely.</w:t>
      </w:r>
    </w:p>
    <w:p w14:paraId="0A98CA8D" w14:textId="77777777" w:rsidR="001F181F" w:rsidRDefault="00E83F06" w:rsidP="00B7385B">
      <w:pPr>
        <w:pStyle w:val="BodyText"/>
        <w:spacing w:before="0" w:after="240"/>
      </w:pPr>
      <w:r>
        <w:t xml:space="preserve">The </w:t>
      </w:r>
      <w:proofErr w:type="spellStart"/>
      <w:r>
        <w:t>NQF</w:t>
      </w:r>
      <w:proofErr w:type="spellEnd"/>
      <w:r>
        <w:t xml:space="preserve"> is seen as leading edge framework within the sector and has for the first time provided a national focus and commitment to the importance of early years learning. The threat of removing</w:t>
      </w:r>
      <w:r w:rsidR="001F181F">
        <w:t xml:space="preserve"> dedicated</w:t>
      </w:r>
      <w:r>
        <w:t xml:space="preserve"> preschool services from the </w:t>
      </w:r>
      <w:proofErr w:type="spellStart"/>
      <w:r>
        <w:t>NQF</w:t>
      </w:r>
      <w:proofErr w:type="spellEnd"/>
      <w:r>
        <w:t xml:space="preserve"> is considered by </w:t>
      </w:r>
      <w:proofErr w:type="spellStart"/>
      <w:r>
        <w:t>CEDP</w:t>
      </w:r>
      <w:proofErr w:type="spellEnd"/>
      <w:r>
        <w:t xml:space="preserve"> as a regression in professional standards that has been so strongly argued for in the last thirty years. </w:t>
      </w:r>
    </w:p>
    <w:p w14:paraId="229F362D" w14:textId="77777777" w:rsidR="00E83F06" w:rsidRDefault="00E83F06" w:rsidP="00B7385B">
      <w:pPr>
        <w:pStyle w:val="BodyText"/>
        <w:spacing w:before="0" w:after="240"/>
      </w:pPr>
      <w:proofErr w:type="spellStart"/>
      <w:r>
        <w:t>CEDP</w:t>
      </w:r>
      <w:proofErr w:type="spellEnd"/>
      <w:r>
        <w:t xml:space="preserve"> has already </w:t>
      </w:r>
      <w:r w:rsidR="00E76501">
        <w:t xml:space="preserve">provided evidence </w:t>
      </w:r>
      <w:r>
        <w:t xml:space="preserve">in the short existence of the </w:t>
      </w:r>
      <w:proofErr w:type="spellStart"/>
      <w:r>
        <w:t>NQF</w:t>
      </w:r>
      <w:proofErr w:type="spellEnd"/>
      <w:r>
        <w:t xml:space="preserve"> </w:t>
      </w:r>
      <w:r w:rsidR="00E76501">
        <w:t xml:space="preserve">of </w:t>
      </w:r>
      <w:r>
        <w:t xml:space="preserve">a strong result under the quality improvement initiative with powerful and improved outcomes for each child. These initiatives are seen as an important step towards continuing a national approach for better quality and improvement to the sector through links to social services that lead to better educational outcomes for children. </w:t>
      </w:r>
    </w:p>
    <w:p w14:paraId="50EE239B" w14:textId="77777777" w:rsidR="00E83F06" w:rsidRDefault="00E83F06" w:rsidP="00B7385B">
      <w:pPr>
        <w:pStyle w:val="BodyText"/>
        <w:spacing w:before="0" w:after="240"/>
      </w:pPr>
      <w:r>
        <w:t xml:space="preserve">The HIPPY program is used very successfully to support families in some of our most disadvantaged preschools, and provides just the kind of integrated support recommended in research around the </w:t>
      </w:r>
      <w:proofErr w:type="spellStart"/>
      <w:r>
        <w:t>AEDI</w:t>
      </w:r>
      <w:proofErr w:type="spellEnd"/>
      <w:r>
        <w:t xml:space="preserve">. To recommend the removal of funding from such programs will disadvantage those who need it most. </w:t>
      </w:r>
    </w:p>
    <w:p w14:paraId="5AD8C12E" w14:textId="77777777" w:rsidR="001F181F" w:rsidRDefault="001F181F" w:rsidP="00B7385B">
      <w:pPr>
        <w:pStyle w:val="BodyText"/>
        <w:spacing w:before="0" w:after="240"/>
      </w:pPr>
    </w:p>
    <w:p w14:paraId="4877F3AD" w14:textId="77777777" w:rsidR="00CC25EF" w:rsidRDefault="00CC25EF" w:rsidP="00B7385B">
      <w:pPr>
        <w:pStyle w:val="BodyText"/>
        <w:spacing w:before="0" w:after="240"/>
      </w:pPr>
    </w:p>
    <w:p w14:paraId="3CCC1841" w14:textId="77777777" w:rsidR="00CC25EF" w:rsidRDefault="00CC25EF" w:rsidP="00B7385B">
      <w:pPr>
        <w:pStyle w:val="BodyText"/>
        <w:spacing w:before="0" w:after="240"/>
      </w:pPr>
    </w:p>
    <w:p w14:paraId="7CCB385F" w14:textId="77777777" w:rsidR="00CC25EF" w:rsidRDefault="00CC25EF" w:rsidP="00B7385B">
      <w:pPr>
        <w:pStyle w:val="BodyText"/>
        <w:spacing w:before="0" w:after="240"/>
      </w:pPr>
    </w:p>
    <w:p w14:paraId="1B3E8EA6" w14:textId="77777777" w:rsidR="00CC25EF" w:rsidRDefault="00CC25EF" w:rsidP="00B7385B">
      <w:pPr>
        <w:pStyle w:val="BodyText"/>
        <w:spacing w:before="0" w:after="240"/>
      </w:pPr>
    </w:p>
    <w:p w14:paraId="49F32CC7" w14:textId="77777777" w:rsidR="001F181F" w:rsidRDefault="001F181F" w:rsidP="00B7385B">
      <w:pPr>
        <w:pStyle w:val="BodyText"/>
        <w:spacing w:before="0" w:after="240"/>
      </w:pPr>
    </w:p>
    <w:p w14:paraId="1109AA29" w14:textId="77777777" w:rsidR="00E83F06" w:rsidRDefault="00E83F06" w:rsidP="008679C3">
      <w:pPr>
        <w:pStyle w:val="Heading1"/>
      </w:pPr>
      <w:r>
        <w:t>Out of School Hours Care</w:t>
      </w:r>
    </w:p>
    <w:p w14:paraId="3AD18E88" w14:textId="77777777" w:rsidR="00162622" w:rsidRDefault="00162622" w:rsidP="00B7385B">
      <w:pPr>
        <w:pStyle w:val="BodyText"/>
        <w:spacing w:before="0"/>
      </w:pPr>
    </w:p>
    <w:p w14:paraId="1455D49F" w14:textId="77777777" w:rsidR="006658EA" w:rsidRDefault="006658EA" w:rsidP="00B7385B">
      <w:pPr>
        <w:pStyle w:val="Heading2"/>
        <w:spacing w:before="120" w:after="0"/>
        <w:ind w:left="578" w:hanging="578"/>
      </w:pPr>
      <w:r>
        <w:t xml:space="preserve">Expansion of </w:t>
      </w:r>
      <w:proofErr w:type="spellStart"/>
      <w:r>
        <w:t>CEDP’s</w:t>
      </w:r>
      <w:proofErr w:type="spellEnd"/>
      <w:r>
        <w:t xml:space="preserve"> </w:t>
      </w:r>
      <w:proofErr w:type="spellStart"/>
      <w:r>
        <w:t>OSHC</w:t>
      </w:r>
      <w:proofErr w:type="spellEnd"/>
      <w:r>
        <w:t xml:space="preserve"> Services</w:t>
      </w:r>
    </w:p>
    <w:p w14:paraId="3BCA89BD" w14:textId="77777777" w:rsidR="006658EA" w:rsidRDefault="006658EA" w:rsidP="00BE2089">
      <w:pPr>
        <w:pStyle w:val="BodyText"/>
        <w:spacing w:before="0" w:after="0"/>
      </w:pPr>
    </w:p>
    <w:p w14:paraId="6412F76B" w14:textId="77777777" w:rsidR="00E83F06" w:rsidRDefault="00E83F06" w:rsidP="00B7385B">
      <w:pPr>
        <w:pStyle w:val="BodyText"/>
        <w:spacing w:before="0" w:after="240"/>
      </w:pPr>
      <w:r>
        <w:t xml:space="preserve">Outside School Hours Care as an industry has felt the effect of the introduction of the National Quality Framework. While transition from the </w:t>
      </w:r>
      <w:proofErr w:type="spellStart"/>
      <w:r>
        <w:t>NCAC</w:t>
      </w:r>
      <w:proofErr w:type="spellEnd"/>
      <w:r>
        <w:t xml:space="preserve"> quality assurance has been relatively smooth, licencing and compliance along with accountability has had a significant impact on the continued operation of standalone services. </w:t>
      </w:r>
    </w:p>
    <w:p w14:paraId="46AAA2F4" w14:textId="77777777" w:rsidR="003E60F4" w:rsidRDefault="00E83F06" w:rsidP="00B7385B">
      <w:pPr>
        <w:pStyle w:val="BodyText"/>
        <w:spacing w:before="0" w:after="240"/>
      </w:pPr>
      <w:r>
        <w:t xml:space="preserve">Over the past 3 years, </w:t>
      </w:r>
      <w:proofErr w:type="spellStart"/>
      <w:r>
        <w:t>CEDP</w:t>
      </w:r>
      <w:proofErr w:type="spellEnd"/>
      <w:r>
        <w:t xml:space="preserve"> has opened new services in place of existing services that have found the new requirements too large a responsibility to handle under their current structure and ceased to provide care. </w:t>
      </w:r>
    </w:p>
    <w:p w14:paraId="1B3A57BD" w14:textId="77777777" w:rsidR="003E60F4" w:rsidRDefault="00E83F06" w:rsidP="00B7385B">
      <w:pPr>
        <w:pStyle w:val="BodyText"/>
        <w:spacing w:before="0" w:after="240"/>
      </w:pPr>
      <w:r>
        <w:t xml:space="preserve">Six of the nineteen </w:t>
      </w:r>
      <w:proofErr w:type="spellStart"/>
      <w:r w:rsidR="003E60F4">
        <w:t>OSHC</w:t>
      </w:r>
      <w:proofErr w:type="spellEnd"/>
      <w:r w:rsidR="003E60F4">
        <w:t xml:space="preserve"> </w:t>
      </w:r>
      <w:r>
        <w:t xml:space="preserve">services opened by </w:t>
      </w:r>
      <w:proofErr w:type="spellStart"/>
      <w:r>
        <w:t>CEDP</w:t>
      </w:r>
      <w:proofErr w:type="spellEnd"/>
      <w:r>
        <w:t xml:space="preserve"> since 2011 have been </w:t>
      </w:r>
      <w:r w:rsidR="00EE47BF">
        <w:t xml:space="preserve">established </w:t>
      </w:r>
      <w:r>
        <w:t>for the purpose of providing continuity in care when an existing external service has closed.</w:t>
      </w:r>
    </w:p>
    <w:p w14:paraId="2844B31F" w14:textId="77777777" w:rsidR="00E83F06" w:rsidRDefault="00E83F06" w:rsidP="00B7385B">
      <w:pPr>
        <w:pStyle w:val="BodyText"/>
        <w:spacing w:before="0" w:after="240"/>
      </w:pPr>
      <w:r>
        <w:t>General information provided by outgoing providers has been that the increased accountability under the introduced Education and Care National Law and Regulations has been too burdensome for standalone private providers and parent bodies to handle.</w:t>
      </w:r>
    </w:p>
    <w:p w14:paraId="6E986E59" w14:textId="77777777" w:rsidR="00E83F06" w:rsidRDefault="00E83F06" w:rsidP="00B7385B">
      <w:pPr>
        <w:pStyle w:val="BodyText"/>
        <w:spacing w:before="0" w:after="240"/>
      </w:pPr>
      <w:r>
        <w:t xml:space="preserve">It is anticipated that over the next 15 years, every </w:t>
      </w:r>
      <w:proofErr w:type="spellStart"/>
      <w:r>
        <w:t>CEDP</w:t>
      </w:r>
      <w:proofErr w:type="spellEnd"/>
      <w:r>
        <w:t xml:space="preserve"> primary school will be supported by an </w:t>
      </w:r>
      <w:proofErr w:type="spellStart"/>
      <w:r w:rsidR="003E60F4">
        <w:t>OSHC</w:t>
      </w:r>
      <w:proofErr w:type="spellEnd"/>
      <w:r w:rsidR="003E60F4">
        <w:t xml:space="preserve"> </w:t>
      </w:r>
      <w:r>
        <w:t xml:space="preserve">service, either </w:t>
      </w:r>
      <w:proofErr w:type="spellStart"/>
      <w:r>
        <w:t>CEDP</w:t>
      </w:r>
      <w:proofErr w:type="spellEnd"/>
      <w:r>
        <w:t xml:space="preserve"> operated or externally provided, where viable demand exists.</w:t>
      </w:r>
    </w:p>
    <w:p w14:paraId="68CE2E1C" w14:textId="77777777" w:rsidR="00E83F06" w:rsidRDefault="00314840" w:rsidP="00CC25EF">
      <w:pPr>
        <w:pStyle w:val="BodyText"/>
        <w:spacing w:before="0"/>
      </w:pPr>
      <w:r>
        <w:t xml:space="preserve">In regards to the Productivity Commission’s recommendation </w:t>
      </w:r>
      <w:r w:rsidR="00E83F06">
        <w:t xml:space="preserve">to extend </w:t>
      </w:r>
      <w:proofErr w:type="spellStart"/>
      <w:r w:rsidR="00EE47BF">
        <w:t>OSHC</w:t>
      </w:r>
      <w:proofErr w:type="spellEnd"/>
      <w:r w:rsidR="00E83F06">
        <w:t xml:space="preserve"> to preschool</w:t>
      </w:r>
      <w:r w:rsidR="00EE47BF">
        <w:t xml:space="preserve"> aged</w:t>
      </w:r>
      <w:r w:rsidR="00E83F06">
        <w:t xml:space="preserve"> children</w:t>
      </w:r>
      <w:r>
        <w:t xml:space="preserve">, </w:t>
      </w:r>
      <w:proofErr w:type="spellStart"/>
      <w:r>
        <w:t>CEDP</w:t>
      </w:r>
      <w:proofErr w:type="spellEnd"/>
      <w:r>
        <w:t xml:space="preserve"> suggests provision to be</w:t>
      </w:r>
      <w:r w:rsidR="00E83F06">
        <w:t xml:space="preserve"> within the preschool buildings</w:t>
      </w:r>
      <w:r>
        <w:t xml:space="preserve"> to ensure</w:t>
      </w:r>
      <w:r w:rsidR="00E83F06">
        <w:t xml:space="preserve"> children’s safety, </w:t>
      </w:r>
      <w:r>
        <w:t xml:space="preserve">meet current </w:t>
      </w:r>
      <w:r w:rsidR="00E83F06">
        <w:t xml:space="preserve">staff ratios and </w:t>
      </w:r>
      <w:r>
        <w:t xml:space="preserve">provide </w:t>
      </w:r>
      <w:r w:rsidR="00E83F06">
        <w:t>age appropriate furniture and resources. With this integrated education and care arrangement</w:t>
      </w:r>
      <w:r>
        <w:t xml:space="preserve"> for preschool children</w:t>
      </w:r>
      <w:r w:rsidR="00E83F06">
        <w:t>, the flexibility for working families is extended through</w:t>
      </w:r>
      <w:r w:rsidR="009D2296">
        <w:t xml:space="preserve"> </w:t>
      </w:r>
      <w:r w:rsidR="00E83F06">
        <w:t xml:space="preserve">additional and affordable </w:t>
      </w:r>
      <w:r w:rsidR="009D2296">
        <w:t xml:space="preserve">early </w:t>
      </w:r>
      <w:r>
        <w:t>education and</w:t>
      </w:r>
      <w:r w:rsidR="009D2296">
        <w:t xml:space="preserve"> care </w:t>
      </w:r>
      <w:r w:rsidR="00E83F06">
        <w:t>services to 3 to 5 year olds.</w:t>
      </w:r>
    </w:p>
    <w:p w14:paraId="48CBEA06" w14:textId="77777777" w:rsidR="00E83F06" w:rsidRDefault="00E83F06" w:rsidP="00CC25EF">
      <w:pPr>
        <w:pStyle w:val="Heading2"/>
        <w:spacing w:before="360" w:after="0"/>
        <w:ind w:left="578" w:hanging="578"/>
      </w:pPr>
      <w:proofErr w:type="spellStart"/>
      <w:r>
        <w:t>OSHC</w:t>
      </w:r>
      <w:proofErr w:type="spellEnd"/>
      <w:r>
        <w:t xml:space="preserve"> – Affordability</w:t>
      </w:r>
    </w:p>
    <w:p w14:paraId="51DDB9B3" w14:textId="77777777" w:rsidR="00B7385B" w:rsidRDefault="00B7385B" w:rsidP="00BE2089">
      <w:pPr>
        <w:pStyle w:val="BodyText"/>
        <w:spacing w:before="0" w:after="0"/>
      </w:pPr>
    </w:p>
    <w:p w14:paraId="4229F9D8" w14:textId="438A05EF" w:rsidR="00E83F06" w:rsidRDefault="00E83F06" w:rsidP="00B7385B">
      <w:pPr>
        <w:pStyle w:val="BodyText"/>
        <w:spacing w:before="0" w:after="240"/>
      </w:pPr>
      <w:proofErr w:type="spellStart"/>
      <w:r>
        <w:t>CEDP</w:t>
      </w:r>
      <w:proofErr w:type="spellEnd"/>
      <w:r>
        <w:t xml:space="preserve"> registers and operates before and after school care programs and vacation care, where viable, within existing school buildings. Our children’s services model is designed to support care arrangements for working families at affordable costs, cross-subsidised across the network of services. Catholic Out of School Hours Care services do not cost transfer between internal </w:t>
      </w:r>
      <w:proofErr w:type="spellStart"/>
      <w:r>
        <w:t>CEDP</w:t>
      </w:r>
      <w:proofErr w:type="spellEnd"/>
      <w:r>
        <w:t xml:space="preserve"> service areas including schools and </w:t>
      </w:r>
      <w:proofErr w:type="spellStart"/>
      <w:r>
        <w:t>OSHC</w:t>
      </w:r>
      <w:proofErr w:type="spellEnd"/>
      <w:r>
        <w:t>.</w:t>
      </w:r>
      <w:r w:rsidR="00E857B1">
        <w:t xml:space="preserve"> </w:t>
      </w:r>
    </w:p>
    <w:p w14:paraId="5F62A9EF" w14:textId="21126CAE" w:rsidR="00E83F06" w:rsidRDefault="00E83F06" w:rsidP="00B7385B">
      <w:pPr>
        <w:pStyle w:val="BodyText"/>
        <w:spacing w:before="0" w:after="240"/>
      </w:pPr>
      <w:r>
        <w:t xml:space="preserve">The sharing of school facilities imposes limitations on both </w:t>
      </w:r>
      <w:proofErr w:type="spellStart"/>
      <w:r>
        <w:t>OSHC</w:t>
      </w:r>
      <w:proofErr w:type="spellEnd"/>
      <w:r>
        <w:t xml:space="preserve"> and delivery of school education programs.</w:t>
      </w:r>
      <w:r w:rsidR="00E857B1">
        <w:t xml:space="preserve"> </w:t>
      </w:r>
      <w:r>
        <w:t xml:space="preserve">Access to Capital funding would allow for new services to be established in independent premises that are specifically designed for the delivery of quality school age care. </w:t>
      </w:r>
    </w:p>
    <w:p w14:paraId="671E2730" w14:textId="77777777" w:rsidR="008C4ED1" w:rsidRDefault="00E83F06" w:rsidP="00B7385B">
      <w:pPr>
        <w:pStyle w:val="BodyText"/>
        <w:spacing w:before="0" w:after="240"/>
      </w:pPr>
      <w:r>
        <w:t xml:space="preserve">Whilst the Early Childhood Learning Subsidy outlined in Recommendation 12.2 and 12.4, appears to </w:t>
      </w:r>
      <w:r w:rsidR="009D2296">
        <w:t xml:space="preserve">exclude </w:t>
      </w:r>
      <w:r>
        <w:t>the</w:t>
      </w:r>
      <w:r w:rsidR="009D2296">
        <w:t xml:space="preserve"> </w:t>
      </w:r>
      <w:r>
        <w:t xml:space="preserve">dedicated preschool sector, it will advantage the </w:t>
      </w:r>
      <w:proofErr w:type="spellStart"/>
      <w:r>
        <w:t>OSHC</w:t>
      </w:r>
      <w:proofErr w:type="spellEnd"/>
      <w:r>
        <w:t xml:space="preserve"> sector. With the existing Child Care Rebate paid to families becoming part of the overall subsidy combining Child Care Benefit / JET / Child Care Rebate being paid directly to </w:t>
      </w:r>
      <w:proofErr w:type="spellStart"/>
      <w:r>
        <w:t>OSHC</w:t>
      </w:r>
      <w:proofErr w:type="spellEnd"/>
      <w:r>
        <w:t xml:space="preserve"> services, greater financial stability to </w:t>
      </w:r>
      <w:proofErr w:type="spellStart"/>
      <w:r>
        <w:t>OSHC</w:t>
      </w:r>
      <w:proofErr w:type="spellEnd"/>
      <w:r>
        <w:t xml:space="preserve"> services will result. </w:t>
      </w:r>
    </w:p>
    <w:p w14:paraId="0AD255D3" w14:textId="77777777" w:rsidR="00437A6F" w:rsidRDefault="00E83F06" w:rsidP="00B7385B">
      <w:pPr>
        <w:pStyle w:val="BodyText"/>
        <w:spacing w:before="0" w:after="240"/>
      </w:pPr>
      <w:r>
        <w:t xml:space="preserve">The new </w:t>
      </w:r>
      <w:proofErr w:type="spellStart"/>
      <w:r>
        <w:t>ECLS</w:t>
      </w:r>
      <w:proofErr w:type="spellEnd"/>
      <w:r>
        <w:t xml:space="preserve"> subsidy recommendation, if adopted, will assist to minimise the debts that are sometimes incurred as a result of non-payment of outstanding </w:t>
      </w:r>
      <w:proofErr w:type="spellStart"/>
      <w:r>
        <w:t>OSHC</w:t>
      </w:r>
      <w:proofErr w:type="spellEnd"/>
      <w:r>
        <w:t xml:space="preserve"> fees. </w:t>
      </w:r>
    </w:p>
    <w:p w14:paraId="42333D05" w14:textId="77777777" w:rsidR="00E83F06" w:rsidRDefault="00E83F06" w:rsidP="00B7385B">
      <w:pPr>
        <w:pStyle w:val="BodyText"/>
        <w:spacing w:before="0" w:after="240"/>
      </w:pPr>
      <w:r>
        <w:t>The current payment of Child Care Rebate based on attendances</w:t>
      </w:r>
      <w:r w:rsidR="00314840">
        <w:t xml:space="preserve"> exclusively and</w:t>
      </w:r>
      <w:r>
        <w:t xml:space="preserve"> not fees paid</w:t>
      </w:r>
      <w:r w:rsidR="00314840">
        <w:t>,</w:t>
      </w:r>
      <w:r>
        <w:t xml:space="preserve"> allows families to incur debts but still be receiving 50% Rebate for out of pocket expenses without making payment</w:t>
      </w:r>
      <w:r w:rsidR="00314840">
        <w:t xml:space="preserve"> to the service provider</w:t>
      </w:r>
      <w:r>
        <w:t>.</w:t>
      </w:r>
    </w:p>
    <w:p w14:paraId="42B8B997" w14:textId="77777777" w:rsidR="00E83F06" w:rsidRDefault="00E83F06" w:rsidP="00B7385B">
      <w:pPr>
        <w:pStyle w:val="BodyText"/>
        <w:spacing w:after="240"/>
      </w:pPr>
      <w:r>
        <w:t xml:space="preserve">The new combined </w:t>
      </w:r>
      <w:proofErr w:type="spellStart"/>
      <w:r>
        <w:t>ECLS</w:t>
      </w:r>
      <w:proofErr w:type="spellEnd"/>
      <w:r>
        <w:t xml:space="preserve"> will allow fee management, specifically in relation to government subsidies based on parental income, </w:t>
      </w:r>
      <w:r w:rsidR="00314840">
        <w:t xml:space="preserve">improving </w:t>
      </w:r>
      <w:r>
        <w:t>time eff</w:t>
      </w:r>
      <w:r w:rsidR="00365911">
        <w:t>i</w:t>
      </w:r>
      <w:r>
        <w:t>c</w:t>
      </w:r>
      <w:r w:rsidR="00314840">
        <w:t>i</w:t>
      </w:r>
      <w:r w:rsidR="00365911">
        <w:t>ency.</w:t>
      </w:r>
      <w:r>
        <w:t xml:space="preserve"> By receiving only one type of subsidy for a family, </w:t>
      </w:r>
      <w:proofErr w:type="spellStart"/>
      <w:r>
        <w:t>CEDP</w:t>
      </w:r>
      <w:proofErr w:type="spellEnd"/>
      <w:r>
        <w:t xml:space="preserve"> services will have greater certainty in the source of fee income which will ultimately assist with further minimising fee increases as the collective outstanding debt will be more effectively managed and reduced in volume.</w:t>
      </w:r>
    </w:p>
    <w:p w14:paraId="43B4A85A" w14:textId="5AE0144B" w:rsidR="00E468E7" w:rsidRDefault="00E83F06" w:rsidP="00B7385B">
      <w:pPr>
        <w:pStyle w:val="BodyText"/>
        <w:spacing w:after="240"/>
      </w:pPr>
      <w:proofErr w:type="spellStart"/>
      <w:r>
        <w:t>CEDP</w:t>
      </w:r>
      <w:proofErr w:type="spellEnd"/>
      <w:r>
        <w:t xml:space="preserve"> acknowledges the benefit of the new proposed </w:t>
      </w:r>
      <w:proofErr w:type="spellStart"/>
      <w:r>
        <w:t>ECLS</w:t>
      </w:r>
      <w:proofErr w:type="spellEnd"/>
      <w:r>
        <w:t xml:space="preserve"> from an </w:t>
      </w:r>
      <w:proofErr w:type="spellStart"/>
      <w:r>
        <w:t>OSHC</w:t>
      </w:r>
      <w:proofErr w:type="spellEnd"/>
      <w:r>
        <w:t xml:space="preserve"> Provider perspective. However, </w:t>
      </w:r>
      <w:r w:rsidR="00365911">
        <w:t>it is a concern that we are yet to be shown if the new subsidy will match the loss of Child Care Rebate and Child Care Benefit. In th</w:t>
      </w:r>
      <w:r>
        <w:t xml:space="preserve">eory, the combined </w:t>
      </w:r>
      <w:proofErr w:type="spellStart"/>
      <w:r>
        <w:t>ECLS</w:t>
      </w:r>
      <w:proofErr w:type="spellEnd"/>
      <w:r>
        <w:t xml:space="preserve"> will increase the government subsidy contribution paid directly to the service provider.</w:t>
      </w:r>
      <w:r w:rsidR="00E857B1">
        <w:t xml:space="preserve"> </w:t>
      </w:r>
      <w:r>
        <w:t xml:space="preserve">Low-income families will need the equivalent or lower personal contribution to their overall fee or may </w:t>
      </w:r>
      <w:r w:rsidR="00365911">
        <w:t xml:space="preserve">choose to not enrol in </w:t>
      </w:r>
      <w:proofErr w:type="spellStart"/>
      <w:r>
        <w:t>OSHC</w:t>
      </w:r>
      <w:proofErr w:type="spellEnd"/>
      <w:r>
        <w:t xml:space="preserve"> and ultimately </w:t>
      </w:r>
      <w:r w:rsidR="00365911">
        <w:t xml:space="preserve">opt out of </w:t>
      </w:r>
      <w:r>
        <w:t xml:space="preserve">the workforce. </w:t>
      </w:r>
    </w:p>
    <w:p w14:paraId="04AB5E04" w14:textId="77777777" w:rsidR="00E83F06" w:rsidRDefault="00E83F06" w:rsidP="00CC25EF">
      <w:pPr>
        <w:pStyle w:val="Heading2"/>
        <w:spacing w:before="360" w:after="0"/>
        <w:ind w:left="578" w:hanging="578"/>
      </w:pPr>
      <w:proofErr w:type="spellStart"/>
      <w:r>
        <w:t>OSHC</w:t>
      </w:r>
      <w:proofErr w:type="spellEnd"/>
      <w:r>
        <w:t xml:space="preserve"> – Impact of Quality assurance processes, Education and Care National Regulations and Law </w:t>
      </w:r>
    </w:p>
    <w:p w14:paraId="3D426059" w14:textId="77777777" w:rsidR="00B7385B" w:rsidRDefault="00B7385B" w:rsidP="00437A6F">
      <w:pPr>
        <w:pStyle w:val="BodyText"/>
        <w:spacing w:before="0" w:after="0"/>
      </w:pPr>
    </w:p>
    <w:p w14:paraId="36770635" w14:textId="3DA5CD5E" w:rsidR="00E83F06" w:rsidRDefault="00E83F06" w:rsidP="00CC25EF">
      <w:pPr>
        <w:pStyle w:val="BodyText"/>
        <w:spacing w:before="0" w:after="240"/>
      </w:pPr>
      <w:r>
        <w:t xml:space="preserve">Draft Recommendation 7.4 </w:t>
      </w:r>
      <w:r w:rsidR="00365911">
        <w:t xml:space="preserve">recommends </w:t>
      </w:r>
      <w:r>
        <w:t xml:space="preserve">‘a nationally consistent set of staff ratios and qualifications for those caring for school aged children in </w:t>
      </w:r>
      <w:proofErr w:type="spellStart"/>
      <w:r>
        <w:t>OSHC</w:t>
      </w:r>
      <w:proofErr w:type="spellEnd"/>
      <w:r>
        <w:t xml:space="preserve"> and vacation care activities</w:t>
      </w:r>
      <w:r w:rsidR="00365911">
        <w:t>’</w:t>
      </w:r>
      <w:r w:rsidR="003E3967">
        <w:t>.</w:t>
      </w:r>
      <w:r w:rsidR="00E857B1">
        <w:t xml:space="preserve"> </w:t>
      </w:r>
    </w:p>
    <w:p w14:paraId="0F35EADC" w14:textId="77777777" w:rsidR="00365911" w:rsidRDefault="00E83F06" w:rsidP="00B7385B">
      <w:pPr>
        <w:pStyle w:val="BodyText"/>
        <w:spacing w:after="240"/>
      </w:pPr>
      <w:proofErr w:type="spellStart"/>
      <w:r>
        <w:t>CEDP</w:t>
      </w:r>
      <w:proofErr w:type="spellEnd"/>
      <w:r>
        <w:t xml:space="preserve"> engages suitable, experienced and qualified staff for each service and maintains best practice ratios of 1 staff for 15 children. While enforcing a national consistent set of ratios and qualifications provides a benchmark across Australia, placing minimal qualifications will have a financial flow on effect that ultimately results in increased fees and affordability for families. </w:t>
      </w:r>
    </w:p>
    <w:p w14:paraId="227FB7F7" w14:textId="77777777" w:rsidR="00E83F06" w:rsidRDefault="00E83F06" w:rsidP="00B7385B">
      <w:pPr>
        <w:pStyle w:val="BodyText"/>
        <w:spacing w:after="240"/>
      </w:pPr>
      <w:r>
        <w:t>The process of formalising qualification requirements has the du</w:t>
      </w:r>
      <w:r w:rsidR="009D2296">
        <w:t>a</w:t>
      </w:r>
      <w:r>
        <w:t>l effect of higher wages and therefore increased fees to meet a higher classification of staff and will also exclude suitably experienced staff who do not wish to commence formal study.</w:t>
      </w:r>
    </w:p>
    <w:p w14:paraId="18C1417F" w14:textId="33A7E79A" w:rsidR="00E83F06" w:rsidRDefault="00E83F06" w:rsidP="00B7385B">
      <w:pPr>
        <w:pStyle w:val="BodyText"/>
        <w:spacing w:after="240"/>
      </w:pPr>
      <w:r>
        <w:t>Many experienced childcare</w:t>
      </w:r>
      <w:r w:rsidR="003E3967">
        <w:t xml:space="preserve"> educator</w:t>
      </w:r>
      <w:r>
        <w:t xml:space="preserve">s choose to work in school aged care as the hours and concept of a broken shift meets their work/life balance requirements. This includes parents of young children, mature workers with adult children and those with partners or family members with flexible work conditions who can collect school aged family members from school so the </w:t>
      </w:r>
      <w:r w:rsidR="003E3967">
        <w:t>educator</w:t>
      </w:r>
      <w:r>
        <w:t xml:space="preserve"> can </w:t>
      </w:r>
      <w:r w:rsidR="00365911">
        <w:t xml:space="preserve">engage in daily shift </w:t>
      </w:r>
      <w:r>
        <w:t xml:space="preserve">work </w:t>
      </w:r>
      <w:r w:rsidR="00365911">
        <w:t>in</w:t>
      </w:r>
      <w:r>
        <w:t xml:space="preserve"> </w:t>
      </w:r>
      <w:r w:rsidR="00365911">
        <w:t xml:space="preserve">before and </w:t>
      </w:r>
      <w:r>
        <w:t>after school care</w:t>
      </w:r>
      <w:r w:rsidR="00365911">
        <w:t xml:space="preserve"> employment</w:t>
      </w:r>
      <w:r>
        <w:t>.</w:t>
      </w:r>
      <w:r w:rsidR="00E857B1">
        <w:t xml:space="preserve"> </w:t>
      </w:r>
    </w:p>
    <w:p w14:paraId="48FA528B" w14:textId="77777777" w:rsidR="00365911" w:rsidRDefault="00E83F06" w:rsidP="00B7385B">
      <w:pPr>
        <w:pStyle w:val="BodyText"/>
        <w:spacing w:after="240"/>
      </w:pPr>
      <w:r>
        <w:t>In an industry sector already experiencing a staffing shortage, placing additional requirements and burden onto services to meet qualification requirements, will ultimately limit the number of places being offered by services</w:t>
      </w:r>
      <w:r w:rsidR="00365911">
        <w:t>. Services will not be able recruit sufficient</w:t>
      </w:r>
      <w:r>
        <w:t xml:space="preserve"> qualified staff to meet this </w:t>
      </w:r>
      <w:r w:rsidR="00365911">
        <w:t xml:space="preserve">proposed </w:t>
      </w:r>
      <w:r>
        <w:t xml:space="preserve">requirement. </w:t>
      </w:r>
    </w:p>
    <w:p w14:paraId="463D7B2F" w14:textId="4B6CD856" w:rsidR="00AE1738" w:rsidRDefault="00E83F06" w:rsidP="00B7385B">
      <w:pPr>
        <w:pStyle w:val="BodyText"/>
        <w:spacing w:after="240"/>
      </w:pPr>
      <w:r>
        <w:t xml:space="preserve">The </w:t>
      </w:r>
      <w:proofErr w:type="spellStart"/>
      <w:r>
        <w:t>OSHC</w:t>
      </w:r>
      <w:proofErr w:type="spellEnd"/>
      <w:r>
        <w:t xml:space="preserve"> sector engages a high percentage of university students who are studying a Bachelor of Education in Early Childhood, Primary or Secondary Education. These </w:t>
      </w:r>
      <w:r w:rsidR="003E3967">
        <w:t>educator</w:t>
      </w:r>
      <w:r>
        <w:t xml:space="preserve">s bring age specific experience and child development knowledge that is vital in </w:t>
      </w:r>
      <w:proofErr w:type="spellStart"/>
      <w:r>
        <w:t>CEDP</w:t>
      </w:r>
      <w:proofErr w:type="spellEnd"/>
      <w:r>
        <w:t xml:space="preserve"> school aged care services. </w:t>
      </w:r>
    </w:p>
    <w:p w14:paraId="3FAB8800" w14:textId="29B42978" w:rsidR="00E83F06" w:rsidRDefault="00E83F06" w:rsidP="00B7385B">
      <w:pPr>
        <w:pStyle w:val="BodyText"/>
        <w:spacing w:after="240"/>
      </w:pPr>
      <w:proofErr w:type="spellStart"/>
      <w:r>
        <w:t>CEDP</w:t>
      </w:r>
      <w:proofErr w:type="spellEnd"/>
      <w:r>
        <w:t xml:space="preserve"> currently employs 110 </w:t>
      </w:r>
      <w:proofErr w:type="spellStart"/>
      <w:r>
        <w:t>OSHC</w:t>
      </w:r>
      <w:proofErr w:type="spellEnd"/>
      <w:r>
        <w:t xml:space="preserve"> staff, 50% of which are </w:t>
      </w:r>
      <w:r w:rsidR="003E3967">
        <w:t>educator</w:t>
      </w:r>
      <w:r>
        <w:t xml:space="preserve">s pursuing careers as teachers. Qualification requirements could effectively limit the involvement of these essential staff in </w:t>
      </w:r>
      <w:proofErr w:type="spellStart"/>
      <w:r w:rsidR="00AE1738">
        <w:t>CEDP’s</w:t>
      </w:r>
      <w:proofErr w:type="spellEnd"/>
      <w:r w:rsidR="00AE1738">
        <w:t xml:space="preserve"> </w:t>
      </w:r>
      <w:proofErr w:type="spellStart"/>
      <w:r>
        <w:t>OSHC</w:t>
      </w:r>
      <w:proofErr w:type="spellEnd"/>
      <w:r>
        <w:t xml:space="preserve"> services.</w:t>
      </w:r>
    </w:p>
    <w:p w14:paraId="328D3E3E" w14:textId="77777777" w:rsidR="00CC25EF" w:rsidRDefault="00CC25EF" w:rsidP="00B7385B">
      <w:pPr>
        <w:pStyle w:val="BodyText"/>
        <w:spacing w:after="240"/>
      </w:pPr>
    </w:p>
    <w:p w14:paraId="6F99ACFB" w14:textId="77777777" w:rsidR="00E83F06" w:rsidRDefault="00E83F06" w:rsidP="00B7385B">
      <w:pPr>
        <w:pStyle w:val="BodyText"/>
        <w:spacing w:after="240"/>
      </w:pPr>
      <w:r>
        <w:t xml:space="preserve">The Assessment and Rating process under the National Quality Framework provides a benchmark for all children’s services. </w:t>
      </w:r>
      <w:proofErr w:type="spellStart"/>
      <w:r>
        <w:t>CEDP</w:t>
      </w:r>
      <w:proofErr w:type="spellEnd"/>
      <w:r>
        <w:t xml:space="preserve"> fully supports the National Quality Standard process across all types of children’s services sectors. Moving from a school age care specific approval process under the </w:t>
      </w:r>
      <w:proofErr w:type="spellStart"/>
      <w:r>
        <w:t>NCAC</w:t>
      </w:r>
      <w:proofErr w:type="spellEnd"/>
      <w:r>
        <w:t xml:space="preserve"> to a standardized system d</w:t>
      </w:r>
      <w:r w:rsidR="00AE1738">
        <w:t>oes</w:t>
      </w:r>
      <w:r>
        <w:t xml:space="preserve"> however have its shortcomings.</w:t>
      </w:r>
    </w:p>
    <w:p w14:paraId="758E1EED" w14:textId="7FA7AC58" w:rsidR="00E83F06" w:rsidRDefault="00E83F06" w:rsidP="00B7385B">
      <w:pPr>
        <w:pStyle w:val="BodyText"/>
        <w:spacing w:after="240"/>
      </w:pPr>
      <w:r>
        <w:t xml:space="preserve">The experience of a formal Assessment and Rating undertaken at one of our Out of School Hours Care services in early 2014 resulted in the assessor having an expectation of formal, individual </w:t>
      </w:r>
      <w:r w:rsidR="00AE1738">
        <w:t xml:space="preserve">documentation and </w:t>
      </w:r>
      <w:r>
        <w:t xml:space="preserve">observations </w:t>
      </w:r>
      <w:r w:rsidR="00AE1738">
        <w:t>for</w:t>
      </w:r>
      <w:r>
        <w:t xml:space="preserve"> each child. Previous advice from the industry peak body, Network of Community Activities, advised the </w:t>
      </w:r>
      <w:proofErr w:type="spellStart"/>
      <w:r>
        <w:t>CEDP</w:t>
      </w:r>
      <w:proofErr w:type="spellEnd"/>
      <w:r>
        <w:t xml:space="preserve"> that individual reporting on children was not required for Outside School Hours Care.</w:t>
      </w:r>
      <w:r w:rsidR="00E857B1">
        <w:t xml:space="preserve"> </w:t>
      </w:r>
      <w:r w:rsidR="00AE1738">
        <w:t>T</w:t>
      </w:r>
      <w:r>
        <w:t>he</w:t>
      </w:r>
      <w:r w:rsidR="00AE1738">
        <w:t>re is inconsistency between individual assessors regarding</w:t>
      </w:r>
      <w:r>
        <w:t xml:space="preserve"> individual child-based reporting </w:t>
      </w:r>
      <w:r w:rsidR="00AE1738">
        <w:t>requirements.</w:t>
      </w:r>
    </w:p>
    <w:p w14:paraId="68457324" w14:textId="77777777" w:rsidR="00AE1738" w:rsidRDefault="00E83F06" w:rsidP="00B7385B">
      <w:pPr>
        <w:pStyle w:val="BodyText"/>
        <w:spacing w:after="240"/>
      </w:pPr>
      <w:proofErr w:type="spellStart"/>
      <w:r>
        <w:t>CEDP</w:t>
      </w:r>
      <w:proofErr w:type="spellEnd"/>
      <w:r>
        <w:t xml:space="preserve"> </w:t>
      </w:r>
      <w:r w:rsidR="00AE1738">
        <w:t>welcomes</w:t>
      </w:r>
      <w:r>
        <w:t xml:space="preserve"> </w:t>
      </w:r>
      <w:r w:rsidR="00AE1738">
        <w:t xml:space="preserve">the following </w:t>
      </w:r>
      <w:r>
        <w:t>Draft Recommendation</w:t>
      </w:r>
      <w:r w:rsidR="00E76501">
        <w:t>s</w:t>
      </w:r>
      <w:r w:rsidR="00AE1738">
        <w:t>:</w:t>
      </w:r>
    </w:p>
    <w:p w14:paraId="4B5F0E75" w14:textId="77777777" w:rsidR="00AE1738" w:rsidRDefault="00E83F06" w:rsidP="00B7385B">
      <w:pPr>
        <w:pStyle w:val="ListBullet"/>
        <w:spacing w:after="240"/>
      </w:pPr>
      <w:r>
        <w:t xml:space="preserve"> 7.1 for the government and </w:t>
      </w:r>
      <w:proofErr w:type="spellStart"/>
      <w:r>
        <w:t>ACECQA</w:t>
      </w:r>
      <w:proofErr w:type="spellEnd"/>
      <w:r>
        <w:t xml:space="preserve"> to “tailor the National Quality Standard to suit different service types – for example, by removing educational and child-based reporting requirements for outside school hours care services.”</w:t>
      </w:r>
    </w:p>
    <w:p w14:paraId="18BA8B4D" w14:textId="77777777" w:rsidR="00E83F06" w:rsidRDefault="00E83F06" w:rsidP="00B7385B">
      <w:pPr>
        <w:pStyle w:val="ListBullet"/>
        <w:spacing w:after="240"/>
      </w:pPr>
      <w:r>
        <w:t xml:space="preserve">7.7 for governments, </w:t>
      </w:r>
      <w:proofErr w:type="spellStart"/>
      <w:r>
        <w:t>ACECQA</w:t>
      </w:r>
      <w:proofErr w:type="spellEnd"/>
      <w:r>
        <w:t xml:space="preserve"> and regulatory authorities to review removing the requirement for outside school hours care services operating on school facilities to provide site plans as a condition of service approval. Extension of this recommendation to remove the requirement for providing a soil assessment statement is supported by </w:t>
      </w:r>
      <w:proofErr w:type="spellStart"/>
      <w:r>
        <w:t>CEDP</w:t>
      </w:r>
      <w:proofErr w:type="spellEnd"/>
      <w:r>
        <w:t xml:space="preserve">. </w:t>
      </w:r>
    </w:p>
    <w:p w14:paraId="477ED8EC" w14:textId="5E8B9E4F" w:rsidR="00E83F06" w:rsidRDefault="00E83F06" w:rsidP="00B7385B">
      <w:pPr>
        <w:pStyle w:val="BodyText"/>
        <w:spacing w:after="240"/>
        <w:ind w:left="568"/>
      </w:pPr>
      <w:r>
        <w:t xml:space="preserve">Schools already meet rigorous standards and approval processes of a variety of government and regulatory authorities. The children attending </w:t>
      </w:r>
      <w:proofErr w:type="spellStart"/>
      <w:r>
        <w:t>OSHC</w:t>
      </w:r>
      <w:proofErr w:type="spellEnd"/>
      <w:r>
        <w:t xml:space="preserve"> services are the same children attending primary schools and therefore the minimal safety standards in regards to the facilities have already been extensively reviewed and approved for the purposes of their education.</w:t>
      </w:r>
      <w:r w:rsidR="00E857B1">
        <w:t xml:space="preserve"> </w:t>
      </w:r>
    </w:p>
    <w:p w14:paraId="6854A84E" w14:textId="77777777" w:rsidR="00E83F06" w:rsidRDefault="00E83F06" w:rsidP="00CC25EF">
      <w:pPr>
        <w:pStyle w:val="Heading2"/>
        <w:spacing w:before="360" w:after="0"/>
        <w:ind w:left="578" w:hanging="578"/>
      </w:pPr>
      <w:proofErr w:type="spellStart"/>
      <w:r>
        <w:t>OSHC</w:t>
      </w:r>
      <w:proofErr w:type="spellEnd"/>
      <w:r>
        <w:t xml:space="preserve"> - Financial Models</w:t>
      </w:r>
    </w:p>
    <w:p w14:paraId="12C9989F" w14:textId="77777777" w:rsidR="00B7385B" w:rsidRDefault="00B7385B" w:rsidP="00437A6F">
      <w:pPr>
        <w:pStyle w:val="BodyText"/>
        <w:spacing w:before="0" w:after="0"/>
      </w:pPr>
    </w:p>
    <w:p w14:paraId="5AF0CEE5" w14:textId="2D451D95" w:rsidR="00AE1738" w:rsidRDefault="00E83F06" w:rsidP="00CC25EF">
      <w:pPr>
        <w:pStyle w:val="BodyText"/>
        <w:spacing w:before="0" w:after="240"/>
      </w:pPr>
      <w:r>
        <w:t xml:space="preserve">In principle, </w:t>
      </w:r>
      <w:proofErr w:type="spellStart"/>
      <w:r>
        <w:t>CEDP</w:t>
      </w:r>
      <w:proofErr w:type="spellEnd"/>
      <w:r>
        <w:t xml:space="preserve"> supports the introduction of a new Early Childhood Learning Subsidy and directing the combined subsidy</w:t>
      </w:r>
      <w:r w:rsidR="00AE1738">
        <w:t xml:space="preserve"> payment</w:t>
      </w:r>
      <w:r>
        <w:t xml:space="preserve"> straight to the service providers. However, without valid formulas and data explaining the application of the </w:t>
      </w:r>
      <w:proofErr w:type="spellStart"/>
      <w:r>
        <w:t>ECLS</w:t>
      </w:r>
      <w:proofErr w:type="spellEnd"/>
      <w:r>
        <w:t xml:space="preserve"> and how it affects individual famil</w:t>
      </w:r>
      <w:r w:rsidR="009D2296">
        <w:t>ies</w:t>
      </w:r>
      <w:r>
        <w:t>, financial analysis is not possible.</w:t>
      </w:r>
      <w:r w:rsidR="00E857B1">
        <w:t xml:space="preserve"> </w:t>
      </w:r>
    </w:p>
    <w:p w14:paraId="633E1DCD" w14:textId="77777777" w:rsidR="00E83F06" w:rsidRDefault="00E83F06" w:rsidP="00B7385B">
      <w:pPr>
        <w:pStyle w:val="BodyText"/>
        <w:spacing w:after="240"/>
      </w:pPr>
      <w:r>
        <w:t xml:space="preserve">We urge the Productivity Commission to provide how families will be affected by such changes. </w:t>
      </w:r>
    </w:p>
    <w:p w14:paraId="610A2FEA" w14:textId="77777777" w:rsidR="00E83F06" w:rsidRDefault="00E83F06" w:rsidP="00B7385B">
      <w:pPr>
        <w:pStyle w:val="BodyText"/>
        <w:spacing w:after="240"/>
      </w:pPr>
      <w:r>
        <w:t>The current Child Care Benefit subsidy can be easily calculated and explained to enrolled families:</w:t>
      </w:r>
    </w:p>
    <w:p w14:paraId="5EDD1A2B" w14:textId="1935CA1D" w:rsidR="00E83F06" w:rsidRDefault="00E83F06" w:rsidP="00B7385B">
      <w:pPr>
        <w:pStyle w:val="BodyText"/>
        <w:spacing w:before="0" w:after="0"/>
      </w:pPr>
      <w:r>
        <w:t>Standard Hourly</w:t>
      </w:r>
      <w:r w:rsidR="00E857B1">
        <w:t xml:space="preserve"> </w:t>
      </w:r>
      <w:r w:rsidR="003E3967">
        <w:t xml:space="preserve">    </w:t>
      </w:r>
      <w:r>
        <w:t>x</w:t>
      </w:r>
      <w:r w:rsidR="00E857B1">
        <w:t xml:space="preserve"> </w:t>
      </w:r>
      <w:r w:rsidR="003E3967">
        <w:t xml:space="preserve">    </w:t>
      </w:r>
      <w:r>
        <w:t>Eligible Hours of</w:t>
      </w:r>
      <w:r w:rsidR="00E857B1">
        <w:t xml:space="preserve"> </w:t>
      </w:r>
      <w:r w:rsidR="003E3967">
        <w:t xml:space="preserve">    </w:t>
      </w:r>
      <w:r>
        <w:t>x</w:t>
      </w:r>
      <w:r w:rsidR="00E857B1">
        <w:t xml:space="preserve"> </w:t>
      </w:r>
      <w:r w:rsidR="003E3967">
        <w:t xml:space="preserve">    </w:t>
      </w:r>
      <w:r>
        <w:t>Child Care</w:t>
      </w:r>
      <w:r w:rsidR="00E857B1">
        <w:t xml:space="preserve"> </w:t>
      </w:r>
      <w:r w:rsidR="003E3967">
        <w:t xml:space="preserve">    </w:t>
      </w:r>
      <w:r>
        <w:t>x</w:t>
      </w:r>
      <w:r w:rsidR="00E857B1">
        <w:t xml:space="preserve"> </w:t>
      </w:r>
      <w:r w:rsidR="003E3967">
        <w:t xml:space="preserve">          </w:t>
      </w:r>
      <w:r>
        <w:t>Part time %</w:t>
      </w:r>
    </w:p>
    <w:p w14:paraId="6341CE9E" w14:textId="43E9E0A9" w:rsidR="00E83F06" w:rsidRDefault="003E3967" w:rsidP="00B7385B">
      <w:pPr>
        <w:pStyle w:val="BodyText"/>
        <w:spacing w:before="0" w:after="0"/>
      </w:pPr>
      <w:r>
        <w:t xml:space="preserve">        </w:t>
      </w:r>
      <w:r w:rsidR="00E83F06">
        <w:t>Rate</w:t>
      </w:r>
      <w:r w:rsidR="00E857B1">
        <w:t xml:space="preserve"> </w:t>
      </w:r>
      <w:r>
        <w:t xml:space="preserve">                        </w:t>
      </w:r>
      <w:r w:rsidR="00E83F06">
        <w:t>care used</w:t>
      </w:r>
      <w:r w:rsidR="00E857B1">
        <w:t xml:space="preserve"> </w:t>
      </w:r>
      <w:r>
        <w:t xml:space="preserve">                   </w:t>
      </w:r>
      <w:r w:rsidR="00E83F06">
        <w:t>Benefit %</w:t>
      </w:r>
      <w:r w:rsidR="00E857B1">
        <w:t xml:space="preserve"> </w:t>
      </w:r>
      <w:r>
        <w:t xml:space="preserve">          </w:t>
      </w:r>
      <w:r w:rsidR="00E83F06">
        <w:t>(85% for School age)</w:t>
      </w:r>
    </w:p>
    <w:p w14:paraId="6EA06BEC" w14:textId="77777777" w:rsidR="00E468E7" w:rsidRDefault="00E468E7" w:rsidP="00B7385B">
      <w:pPr>
        <w:pStyle w:val="BodyText"/>
        <w:spacing w:before="0" w:after="240"/>
      </w:pPr>
    </w:p>
    <w:p w14:paraId="1B59257D" w14:textId="77777777" w:rsidR="00E83F06" w:rsidRDefault="00E83F06" w:rsidP="00B7385B">
      <w:pPr>
        <w:pStyle w:val="BodyText"/>
        <w:spacing w:before="0" w:after="240"/>
      </w:pPr>
      <w:r>
        <w:t>The technical supplement to the draft report is insufficient to allow individual financial model</w:t>
      </w:r>
      <w:r w:rsidR="00B2670B">
        <w:t>l</w:t>
      </w:r>
      <w:r>
        <w:t>ing for families. It does not provide for analysis at a service delivery level. We request the Productivity Commission provide</w:t>
      </w:r>
      <w:r w:rsidR="00AE1738">
        <w:t>s</w:t>
      </w:r>
      <w:r>
        <w:t xml:space="preserve"> specific structure similar to the Child Care Benefit and Child Care Rebate subsidy to calculate individual financial circumstances for families.</w:t>
      </w:r>
    </w:p>
    <w:p w14:paraId="45FFDD7D" w14:textId="77777777" w:rsidR="008C4ED1" w:rsidRDefault="008679C3" w:rsidP="00B764ED">
      <w:pPr>
        <w:pStyle w:val="Heading1"/>
        <w:spacing w:after="240"/>
      </w:pPr>
      <w:r>
        <w:br w:type="page"/>
      </w:r>
      <w:r w:rsidR="00E83F06">
        <w:t>Conclusion</w:t>
      </w:r>
    </w:p>
    <w:p w14:paraId="03E0DD47" w14:textId="3FA30878" w:rsidR="00AE1738" w:rsidRDefault="00E83F06" w:rsidP="00437A6F">
      <w:pPr>
        <w:pStyle w:val="BodyText"/>
        <w:spacing w:after="0"/>
      </w:pPr>
      <w:r>
        <w:t xml:space="preserve">The </w:t>
      </w:r>
      <w:r w:rsidR="00AE1738">
        <w:t>charter</w:t>
      </w:r>
      <w:r>
        <w:t xml:space="preserve"> of </w:t>
      </w:r>
      <w:proofErr w:type="spellStart"/>
      <w:r>
        <w:t>CEDP</w:t>
      </w:r>
      <w:proofErr w:type="spellEnd"/>
      <w:r>
        <w:t xml:space="preserve"> </w:t>
      </w:r>
      <w:r w:rsidR="00AE1738">
        <w:t xml:space="preserve">in </w:t>
      </w:r>
      <w:r>
        <w:t xml:space="preserve">delivering early childhood services is to improve flexibility, affordability and accessibility </w:t>
      </w:r>
      <w:r w:rsidR="00AE1738">
        <w:t xml:space="preserve">to families </w:t>
      </w:r>
      <w:r w:rsidR="008216D7">
        <w:t xml:space="preserve">that </w:t>
      </w:r>
      <w:r w:rsidR="00AE1738">
        <w:t>need</w:t>
      </w:r>
      <w:r>
        <w:t xml:space="preserve"> </w:t>
      </w:r>
      <w:r w:rsidR="00AE1738">
        <w:t xml:space="preserve">high quality </w:t>
      </w:r>
      <w:r>
        <w:t>education and care</w:t>
      </w:r>
      <w:r w:rsidR="00AE1738">
        <w:t xml:space="preserve"> for their children</w:t>
      </w:r>
      <w:r>
        <w:t>.</w:t>
      </w:r>
      <w:r w:rsidR="00E857B1">
        <w:t xml:space="preserve"> </w:t>
      </w:r>
    </w:p>
    <w:p w14:paraId="6495B09A" w14:textId="77777777" w:rsidR="00437A6F" w:rsidRDefault="00437A6F" w:rsidP="00437A6F">
      <w:pPr>
        <w:pStyle w:val="BodyText"/>
        <w:spacing w:after="0"/>
      </w:pPr>
    </w:p>
    <w:p w14:paraId="5DA4EC8B" w14:textId="77777777" w:rsidR="00E83F06" w:rsidRDefault="00E83F06" w:rsidP="00437A6F">
      <w:pPr>
        <w:pStyle w:val="BodyText"/>
        <w:spacing w:before="0" w:after="0"/>
      </w:pPr>
      <w:proofErr w:type="spellStart"/>
      <w:r>
        <w:t>CEDP</w:t>
      </w:r>
      <w:proofErr w:type="spellEnd"/>
      <w:r>
        <w:t xml:space="preserve"> views early childhood and care as a social investment </w:t>
      </w:r>
      <w:r w:rsidR="00AE1738">
        <w:t xml:space="preserve">in children </w:t>
      </w:r>
      <w:r>
        <w:t xml:space="preserve">for positive </w:t>
      </w:r>
      <w:r w:rsidR="001A3034">
        <w:t xml:space="preserve">educational and social </w:t>
      </w:r>
      <w:r>
        <w:t>outcomes.</w:t>
      </w:r>
    </w:p>
    <w:p w14:paraId="1B138037" w14:textId="77777777" w:rsidR="00437A6F" w:rsidRDefault="00437A6F" w:rsidP="00437A6F">
      <w:pPr>
        <w:pStyle w:val="BodyText"/>
        <w:spacing w:before="0"/>
      </w:pPr>
    </w:p>
    <w:p w14:paraId="562A9126" w14:textId="77777777" w:rsidR="00E83F06" w:rsidRDefault="00E83F06" w:rsidP="00437A6F">
      <w:pPr>
        <w:pStyle w:val="BodyText"/>
        <w:spacing w:before="0"/>
      </w:pPr>
      <w:proofErr w:type="spellStart"/>
      <w:r>
        <w:t>CEDP</w:t>
      </w:r>
      <w:proofErr w:type="spellEnd"/>
      <w:r>
        <w:t xml:space="preserve"> advocates specifically for:</w:t>
      </w:r>
    </w:p>
    <w:p w14:paraId="3A0F5079" w14:textId="6C88BCFB" w:rsidR="00E83F06" w:rsidRPr="008679C3" w:rsidRDefault="00E83F06" w:rsidP="008679C3">
      <w:pPr>
        <w:pStyle w:val="ListNumber2"/>
      </w:pPr>
      <w:r w:rsidRPr="008679C3">
        <w:t>State and Territory governments taking full responsibility of dedicated preschools providing they attract both Federal and state general recurrent grant funding.</w:t>
      </w:r>
      <w:r w:rsidR="00E857B1">
        <w:t xml:space="preserve"> </w:t>
      </w:r>
      <w:r w:rsidRPr="008679C3">
        <w:t>If this is not a viable option for the Australian governments tha</w:t>
      </w:r>
      <w:r w:rsidR="00B2670B">
        <w:t>n</w:t>
      </w:r>
      <w:r w:rsidRPr="008679C3">
        <w:t xml:space="preserve"> at the very least dedicated preschools be funded at the same level of preschools within </w:t>
      </w:r>
      <w:r w:rsidR="00B2670B">
        <w:t>L</w:t>
      </w:r>
      <w:r w:rsidRPr="008679C3">
        <w:t xml:space="preserve">ong </w:t>
      </w:r>
      <w:r w:rsidR="00B2670B">
        <w:t>D</w:t>
      </w:r>
      <w:r w:rsidRPr="008679C3">
        <w:t xml:space="preserve">ay </w:t>
      </w:r>
      <w:r w:rsidR="00B2670B">
        <w:t>C</w:t>
      </w:r>
      <w:r w:rsidRPr="008679C3">
        <w:t>are</w:t>
      </w:r>
      <w:r w:rsidR="00B2670B">
        <w:t xml:space="preserve"> settings</w:t>
      </w:r>
      <w:r w:rsidRPr="008679C3">
        <w:t>.</w:t>
      </w:r>
    </w:p>
    <w:p w14:paraId="788EFA7C" w14:textId="77777777" w:rsidR="00E83F06" w:rsidRPr="008679C3" w:rsidRDefault="00E83F06" w:rsidP="008679C3">
      <w:pPr>
        <w:pStyle w:val="ListNumber2"/>
      </w:pPr>
      <w:r w:rsidRPr="008679C3">
        <w:t>Dedicated preschools and Outside of School Hours Care services being able to access capital grant funding for refurbishment and the construction of new services.</w:t>
      </w:r>
    </w:p>
    <w:p w14:paraId="202C60A8" w14:textId="77777777" w:rsidR="00E83F06" w:rsidRPr="008679C3" w:rsidRDefault="001A3034" w:rsidP="008679C3">
      <w:pPr>
        <w:pStyle w:val="ListNumber2"/>
      </w:pPr>
      <w:r>
        <w:t>Intensive</w:t>
      </w:r>
      <w:r w:rsidR="00E83F06" w:rsidRPr="008679C3">
        <w:t xml:space="preserve"> </w:t>
      </w:r>
      <w:r>
        <w:t>analysis</w:t>
      </w:r>
      <w:r w:rsidR="00E83F06" w:rsidRPr="008679C3">
        <w:t xml:space="preserve"> </w:t>
      </w:r>
      <w:r>
        <w:t>of</w:t>
      </w:r>
      <w:r w:rsidR="00E83F06" w:rsidRPr="008679C3">
        <w:t xml:space="preserve"> the</w:t>
      </w:r>
      <w:r w:rsidR="00B2670B">
        <w:t xml:space="preserve"> implications of</w:t>
      </w:r>
      <w:r w:rsidR="00E83F06" w:rsidRPr="008679C3">
        <w:t xml:space="preserve"> changin</w:t>
      </w:r>
      <w:r w:rsidR="00B2670B">
        <w:t>g</w:t>
      </w:r>
      <w:r w:rsidR="00E83F06" w:rsidRPr="008679C3">
        <w:t xml:space="preserve"> </w:t>
      </w:r>
      <w:r>
        <w:t xml:space="preserve">the </w:t>
      </w:r>
      <w:r w:rsidR="00E83F06" w:rsidRPr="008679C3">
        <w:t xml:space="preserve">governance models if </w:t>
      </w:r>
      <w:r>
        <w:t xml:space="preserve">dedicated </w:t>
      </w:r>
      <w:r w:rsidR="00E83F06" w:rsidRPr="008679C3">
        <w:t xml:space="preserve">preschools and </w:t>
      </w:r>
      <w:proofErr w:type="spellStart"/>
      <w:r w:rsidR="00E83F06" w:rsidRPr="008679C3">
        <w:t>OSH</w:t>
      </w:r>
      <w:r>
        <w:t>C</w:t>
      </w:r>
      <w:proofErr w:type="spellEnd"/>
      <w:r w:rsidR="00E83F06" w:rsidRPr="008679C3">
        <w:t xml:space="preserve"> become the responsibility of school principals.</w:t>
      </w:r>
    </w:p>
    <w:p w14:paraId="6184DF60" w14:textId="77777777" w:rsidR="00E83F06" w:rsidRPr="008679C3" w:rsidRDefault="00E83F06" w:rsidP="008679C3">
      <w:pPr>
        <w:pStyle w:val="ListNumber2"/>
      </w:pPr>
      <w:r w:rsidRPr="008679C3">
        <w:t>The continuation of tax concessions and benefits for all not-for-profit early childhood providers to ensure financial viability.</w:t>
      </w:r>
    </w:p>
    <w:p w14:paraId="417A579E" w14:textId="77777777" w:rsidR="00E83F06" w:rsidRPr="008679C3" w:rsidRDefault="00E83F06" w:rsidP="008679C3">
      <w:pPr>
        <w:pStyle w:val="ListNumber2"/>
      </w:pPr>
      <w:r w:rsidRPr="008679C3">
        <w:t>The Australian governments</w:t>
      </w:r>
      <w:r w:rsidR="001A3034">
        <w:t>’</w:t>
      </w:r>
      <w:r w:rsidRPr="008679C3">
        <w:t xml:space="preserve"> recognition of early childhood education and care as government investment rather than government expenditure.</w:t>
      </w:r>
    </w:p>
    <w:p w14:paraId="0D8017E7" w14:textId="54C6DDC5" w:rsidR="008679C3" w:rsidRPr="008679C3" w:rsidRDefault="00E83F06" w:rsidP="008679C3">
      <w:pPr>
        <w:pStyle w:val="ListNumber2"/>
      </w:pPr>
      <w:r w:rsidRPr="008679C3">
        <w:t xml:space="preserve">An immediate review for preschool funding for all </w:t>
      </w:r>
      <w:r w:rsidR="005461A5">
        <w:t>3 year old</w:t>
      </w:r>
      <w:r w:rsidRPr="008679C3">
        <w:t xml:space="preserve"> children who are currently no</w:t>
      </w:r>
      <w:r w:rsidR="008679C3" w:rsidRPr="008679C3">
        <w:t>t eligible for equity funding.</w:t>
      </w:r>
    </w:p>
    <w:p w14:paraId="0621A1AF" w14:textId="77777777" w:rsidR="008679C3" w:rsidRPr="008679C3" w:rsidRDefault="00E83F06" w:rsidP="008679C3">
      <w:pPr>
        <w:pStyle w:val="ListNumber2"/>
      </w:pPr>
      <w:r w:rsidRPr="008679C3">
        <w:t xml:space="preserve">Consideration of a minimum of 12 hour Universal Access for preschool education to assist timetabling and </w:t>
      </w:r>
      <w:r w:rsidR="00B2670B">
        <w:t xml:space="preserve">to meet </w:t>
      </w:r>
      <w:r w:rsidRPr="008679C3">
        <w:t xml:space="preserve">the workforce needs of parents. </w:t>
      </w:r>
    </w:p>
    <w:p w14:paraId="534462DB" w14:textId="77777777" w:rsidR="008679C3" w:rsidRPr="008679C3" w:rsidRDefault="00E83F06" w:rsidP="008679C3">
      <w:pPr>
        <w:pStyle w:val="ListNumber2"/>
      </w:pPr>
      <w:r w:rsidRPr="008679C3">
        <w:t xml:space="preserve">Maintaining the connection </w:t>
      </w:r>
      <w:r w:rsidR="00B2670B">
        <w:t>between dedicated preschools</w:t>
      </w:r>
      <w:r w:rsidR="001A3034">
        <w:t xml:space="preserve"> with </w:t>
      </w:r>
      <w:r w:rsidRPr="008679C3">
        <w:t>Being, Belonging and Becoming</w:t>
      </w:r>
      <w:r w:rsidR="001A3034">
        <w:t>: Early Years Learning Framework for Australia</w:t>
      </w:r>
      <w:r w:rsidR="00B2670B">
        <w:t xml:space="preserve"> and the</w:t>
      </w:r>
      <w:r w:rsidRPr="008679C3">
        <w:t xml:space="preserve"> National Quality Framework.</w:t>
      </w:r>
    </w:p>
    <w:p w14:paraId="019152D0" w14:textId="77777777" w:rsidR="008679C3" w:rsidRPr="008679C3" w:rsidRDefault="00E83F06" w:rsidP="008679C3">
      <w:pPr>
        <w:pStyle w:val="ListNumber2"/>
      </w:pPr>
      <w:r w:rsidRPr="008679C3">
        <w:t xml:space="preserve">The continuation </w:t>
      </w:r>
      <w:r w:rsidR="001A3034">
        <w:t xml:space="preserve">of </w:t>
      </w:r>
      <w:r w:rsidR="00B2670B">
        <w:t>funding for the</w:t>
      </w:r>
      <w:r w:rsidR="00B2670B" w:rsidRPr="008679C3">
        <w:t xml:space="preserve"> </w:t>
      </w:r>
      <w:r w:rsidRPr="008679C3">
        <w:t>HIPPY program.</w:t>
      </w:r>
    </w:p>
    <w:p w14:paraId="3F22B494" w14:textId="77777777" w:rsidR="008679C3" w:rsidRPr="008679C3" w:rsidRDefault="00E83F06" w:rsidP="008679C3">
      <w:pPr>
        <w:pStyle w:val="ListNumber2"/>
      </w:pPr>
      <w:r w:rsidRPr="008679C3">
        <w:t>Before and after school care for preschool</w:t>
      </w:r>
      <w:r w:rsidR="00B2670B">
        <w:t xml:space="preserve"> aged children</w:t>
      </w:r>
      <w:r w:rsidRPr="008679C3">
        <w:t xml:space="preserve"> to be offered only within preschool buildings as an extension of current preschool programs.</w:t>
      </w:r>
    </w:p>
    <w:p w14:paraId="31766264" w14:textId="77777777" w:rsidR="008679C3" w:rsidRPr="008679C3" w:rsidRDefault="00E83F06" w:rsidP="008679C3">
      <w:pPr>
        <w:pStyle w:val="ListNumber2"/>
      </w:pPr>
      <w:r w:rsidRPr="008679C3">
        <w:t>Tailoring the National Quality Standard for different service types including removal of the child based reporting requirements for Outside School Hours Care.</w:t>
      </w:r>
    </w:p>
    <w:p w14:paraId="25A9665A" w14:textId="77777777" w:rsidR="00437A6F" w:rsidRDefault="00E83F06" w:rsidP="00B764ED">
      <w:pPr>
        <w:pStyle w:val="ListNumber2"/>
      </w:pPr>
      <w:r w:rsidRPr="008679C3">
        <w:t xml:space="preserve">Specific requirements for nationally recognised </w:t>
      </w:r>
      <w:proofErr w:type="spellStart"/>
      <w:r w:rsidRPr="008679C3">
        <w:t>OSHC</w:t>
      </w:r>
      <w:proofErr w:type="spellEnd"/>
      <w:r w:rsidRPr="008679C3">
        <w:t xml:space="preserve"> qualifications of staff to be quantified.</w:t>
      </w:r>
    </w:p>
    <w:p w14:paraId="6EC8643B" w14:textId="77777777" w:rsidR="00437A6F" w:rsidRDefault="00437A6F" w:rsidP="00B764ED">
      <w:pPr>
        <w:pStyle w:val="ListNumber2"/>
        <w:numPr>
          <w:ilvl w:val="0"/>
          <w:numId w:val="0"/>
        </w:numPr>
        <w:ind w:left="1134" w:hanging="567"/>
      </w:pPr>
    </w:p>
    <w:p w14:paraId="4E3C7FB4" w14:textId="77777777" w:rsidR="00E83F06" w:rsidRDefault="008679C3" w:rsidP="00B764ED">
      <w:pPr>
        <w:pStyle w:val="Heading1"/>
      </w:pPr>
      <w:r>
        <w:br w:type="page"/>
      </w:r>
      <w:r w:rsidR="00E83F06">
        <w:t>References</w:t>
      </w:r>
    </w:p>
    <w:p w14:paraId="01FBEB85" w14:textId="77777777" w:rsidR="00B764ED" w:rsidRDefault="00B764ED" w:rsidP="00CC25EF">
      <w:pPr>
        <w:pStyle w:val="BodyText"/>
        <w:spacing w:before="0" w:after="0"/>
      </w:pPr>
    </w:p>
    <w:p w14:paraId="2D2249D6" w14:textId="5B463728" w:rsidR="00E83F06" w:rsidRPr="009177F8" w:rsidRDefault="00E83F06" w:rsidP="00E83F06">
      <w:pPr>
        <w:pStyle w:val="BodyText"/>
        <w:rPr>
          <w:sz w:val="18"/>
          <w:szCs w:val="18"/>
        </w:rPr>
      </w:pPr>
      <w:r w:rsidRPr="009177F8">
        <w:rPr>
          <w:sz w:val="18"/>
          <w:szCs w:val="18"/>
        </w:rPr>
        <w:t>Australian Bureau of Statistics (2009). Preschool attendance. Cat no 4102.02. ABS, Canberra.</w:t>
      </w:r>
    </w:p>
    <w:p w14:paraId="5B943C65" w14:textId="2FBEEAFA" w:rsidR="00E83F06" w:rsidRPr="009177F8" w:rsidRDefault="00E83F06" w:rsidP="00E83F06">
      <w:pPr>
        <w:pStyle w:val="BodyText"/>
        <w:rPr>
          <w:sz w:val="18"/>
          <w:szCs w:val="18"/>
        </w:rPr>
      </w:pPr>
      <w:r w:rsidRPr="009177F8">
        <w:rPr>
          <w:sz w:val="18"/>
          <w:szCs w:val="18"/>
        </w:rPr>
        <w:t>Australia</w:t>
      </w:r>
      <w:r w:rsidR="008216D7">
        <w:rPr>
          <w:sz w:val="18"/>
          <w:szCs w:val="18"/>
        </w:rPr>
        <w:t>n</w:t>
      </w:r>
      <w:r w:rsidRPr="009177F8">
        <w:rPr>
          <w:sz w:val="18"/>
          <w:szCs w:val="18"/>
        </w:rPr>
        <w:t xml:space="preserve"> Research Alliance for Children and Youth (2013). </w:t>
      </w:r>
      <w:r w:rsidRPr="009177F8">
        <w:rPr>
          <w:i/>
          <w:sz w:val="18"/>
          <w:szCs w:val="18"/>
        </w:rPr>
        <w:t>Report card: The wellbeing of young Australians</w:t>
      </w:r>
      <w:r w:rsidRPr="009177F8">
        <w:rPr>
          <w:sz w:val="18"/>
          <w:szCs w:val="18"/>
        </w:rPr>
        <w:t xml:space="preserve">. </w:t>
      </w:r>
      <w:proofErr w:type="spellStart"/>
      <w:r w:rsidRPr="009177F8">
        <w:rPr>
          <w:sz w:val="18"/>
          <w:szCs w:val="18"/>
        </w:rPr>
        <w:t>ARACY</w:t>
      </w:r>
      <w:proofErr w:type="spellEnd"/>
      <w:r w:rsidRPr="009177F8">
        <w:rPr>
          <w:sz w:val="18"/>
          <w:szCs w:val="18"/>
        </w:rPr>
        <w:t>.</w:t>
      </w:r>
    </w:p>
    <w:p w14:paraId="3A11DC2B" w14:textId="4A4937E9" w:rsidR="00E83F06" w:rsidRPr="009177F8" w:rsidRDefault="00E83F06" w:rsidP="00E83F06">
      <w:pPr>
        <w:pStyle w:val="BodyText"/>
        <w:rPr>
          <w:sz w:val="18"/>
          <w:szCs w:val="18"/>
        </w:rPr>
      </w:pPr>
      <w:r w:rsidRPr="009177F8">
        <w:rPr>
          <w:sz w:val="18"/>
          <w:szCs w:val="18"/>
        </w:rPr>
        <w:t xml:space="preserve">Community Child Care Co-operative NSW, Cred Community Planning &amp; Australian Community Children’s Services NSW. (2014). </w:t>
      </w:r>
      <w:r w:rsidRPr="009177F8">
        <w:rPr>
          <w:i/>
          <w:sz w:val="18"/>
          <w:szCs w:val="18"/>
        </w:rPr>
        <w:t>Childcare, roads, rates and rubbish: NSW Local Government and Early Education and Care</w:t>
      </w:r>
      <w:r w:rsidRPr="009177F8">
        <w:rPr>
          <w:sz w:val="18"/>
          <w:szCs w:val="18"/>
        </w:rPr>
        <w:t>.</w:t>
      </w:r>
    </w:p>
    <w:p w14:paraId="3B8346B8" w14:textId="060F0884" w:rsidR="00E83F06" w:rsidRPr="009177F8" w:rsidRDefault="00E83F06" w:rsidP="00E83F06">
      <w:pPr>
        <w:pStyle w:val="BodyText"/>
        <w:rPr>
          <w:sz w:val="18"/>
          <w:szCs w:val="18"/>
        </w:rPr>
      </w:pPr>
      <w:r w:rsidRPr="009177F8">
        <w:rPr>
          <w:sz w:val="18"/>
          <w:szCs w:val="18"/>
        </w:rPr>
        <w:t xml:space="preserve">Dearing E, McCartney K &amp; Taylor BA 2009. </w:t>
      </w:r>
      <w:r w:rsidRPr="009177F8">
        <w:rPr>
          <w:i/>
          <w:sz w:val="18"/>
          <w:szCs w:val="18"/>
        </w:rPr>
        <w:t>Does higher quality early child care promote low-income children’s math and reading achievement in middle childhood?</w:t>
      </w:r>
      <w:r w:rsidRPr="009177F8">
        <w:rPr>
          <w:sz w:val="18"/>
          <w:szCs w:val="18"/>
        </w:rPr>
        <w:t xml:space="preserve"> Child Development 80(5):1329-49.</w:t>
      </w:r>
      <w:r w:rsidR="00E857B1" w:rsidRPr="009177F8">
        <w:rPr>
          <w:sz w:val="18"/>
          <w:szCs w:val="18"/>
        </w:rPr>
        <w:t xml:space="preserve"> </w:t>
      </w:r>
      <w:r w:rsidRPr="009177F8">
        <w:rPr>
          <w:sz w:val="18"/>
          <w:szCs w:val="18"/>
        </w:rPr>
        <w:t>(Cited in Harrison et al.)</w:t>
      </w:r>
    </w:p>
    <w:p w14:paraId="55DAF18D" w14:textId="09C67305" w:rsidR="00E83F06" w:rsidRPr="009177F8" w:rsidRDefault="00E83F06" w:rsidP="00E83F06">
      <w:pPr>
        <w:pStyle w:val="BodyText"/>
        <w:rPr>
          <w:sz w:val="18"/>
          <w:szCs w:val="18"/>
        </w:rPr>
      </w:pPr>
      <w:r w:rsidRPr="009177F8">
        <w:rPr>
          <w:sz w:val="18"/>
          <w:szCs w:val="18"/>
        </w:rPr>
        <w:t xml:space="preserve">Harrison, </w:t>
      </w:r>
      <w:proofErr w:type="spellStart"/>
      <w:r w:rsidRPr="009177F8">
        <w:rPr>
          <w:sz w:val="18"/>
          <w:szCs w:val="18"/>
        </w:rPr>
        <w:t>L.J</w:t>
      </w:r>
      <w:proofErr w:type="spellEnd"/>
      <w:r w:rsidRPr="009177F8">
        <w:rPr>
          <w:sz w:val="18"/>
          <w:szCs w:val="18"/>
        </w:rPr>
        <w:t xml:space="preserve">., Goldfield, S., Metcalfe, E. &amp; Moore, T. (2012). </w:t>
      </w:r>
      <w:r w:rsidRPr="009177F8">
        <w:rPr>
          <w:i/>
          <w:sz w:val="18"/>
          <w:szCs w:val="18"/>
        </w:rPr>
        <w:t>Early learning programs that promote children’s developmental and educational outcomes.</w:t>
      </w:r>
      <w:r w:rsidRPr="009177F8">
        <w:rPr>
          <w:sz w:val="18"/>
          <w:szCs w:val="18"/>
        </w:rPr>
        <w:t xml:space="preserve"> Resource sheet </w:t>
      </w:r>
      <w:proofErr w:type="spellStart"/>
      <w:r w:rsidRPr="009177F8">
        <w:rPr>
          <w:sz w:val="18"/>
          <w:szCs w:val="18"/>
        </w:rPr>
        <w:t>no.15</w:t>
      </w:r>
      <w:proofErr w:type="spellEnd"/>
      <w:r w:rsidRPr="009177F8">
        <w:rPr>
          <w:sz w:val="18"/>
          <w:szCs w:val="18"/>
        </w:rPr>
        <w:t xml:space="preserve"> produced for the Closing the Gap Clearinghouse.</w:t>
      </w:r>
    </w:p>
    <w:p w14:paraId="4B718271" w14:textId="77777777" w:rsidR="00E83F06" w:rsidRPr="009177F8" w:rsidRDefault="00E83F06" w:rsidP="00E83F06">
      <w:pPr>
        <w:pStyle w:val="BodyText"/>
        <w:rPr>
          <w:sz w:val="18"/>
          <w:szCs w:val="18"/>
        </w:rPr>
      </w:pPr>
      <w:r w:rsidRPr="009177F8">
        <w:rPr>
          <w:sz w:val="18"/>
          <w:szCs w:val="18"/>
        </w:rPr>
        <w:t xml:space="preserve">Katz, I. and Redmond, G. (2009). ‘Family Income as a Protective Factor for Child Outcomes’, in K. </w:t>
      </w:r>
      <w:proofErr w:type="spellStart"/>
      <w:r w:rsidRPr="009177F8">
        <w:rPr>
          <w:sz w:val="18"/>
          <w:szCs w:val="18"/>
        </w:rPr>
        <w:t>Rummery</w:t>
      </w:r>
      <w:proofErr w:type="spellEnd"/>
      <w:r w:rsidRPr="009177F8">
        <w:rPr>
          <w:sz w:val="18"/>
          <w:szCs w:val="18"/>
        </w:rPr>
        <w:t>, I. Greener and C. Holden (eds.), Social Policy Review 21, The Policy Press, Bristol.</w:t>
      </w:r>
    </w:p>
    <w:p w14:paraId="68BB2BA2" w14:textId="4E6646EC" w:rsidR="00E83F06" w:rsidRPr="009177F8" w:rsidRDefault="00E83F06" w:rsidP="00E83F06">
      <w:pPr>
        <w:pStyle w:val="BodyText"/>
        <w:rPr>
          <w:sz w:val="18"/>
          <w:szCs w:val="18"/>
        </w:rPr>
      </w:pPr>
      <w:r w:rsidRPr="009177F8">
        <w:rPr>
          <w:sz w:val="18"/>
          <w:szCs w:val="18"/>
        </w:rPr>
        <w:t xml:space="preserve">Klein, LG, &amp; </w:t>
      </w:r>
      <w:proofErr w:type="spellStart"/>
      <w:r w:rsidRPr="009177F8">
        <w:rPr>
          <w:sz w:val="18"/>
          <w:szCs w:val="18"/>
        </w:rPr>
        <w:t>Knitzer</w:t>
      </w:r>
      <w:proofErr w:type="spellEnd"/>
      <w:r w:rsidRPr="009177F8">
        <w:rPr>
          <w:sz w:val="18"/>
          <w:szCs w:val="18"/>
        </w:rPr>
        <w:t xml:space="preserve">, J. (2007). </w:t>
      </w:r>
      <w:r w:rsidRPr="009177F8">
        <w:rPr>
          <w:i/>
          <w:sz w:val="18"/>
          <w:szCs w:val="18"/>
        </w:rPr>
        <w:t xml:space="preserve">Promoting effective early learning—What every </w:t>
      </w:r>
      <w:proofErr w:type="spellStart"/>
      <w:r w:rsidRPr="009177F8">
        <w:rPr>
          <w:i/>
          <w:sz w:val="18"/>
          <w:szCs w:val="18"/>
        </w:rPr>
        <w:t>policymaker</w:t>
      </w:r>
      <w:proofErr w:type="spellEnd"/>
      <w:r w:rsidRPr="009177F8">
        <w:rPr>
          <w:i/>
          <w:sz w:val="18"/>
          <w:szCs w:val="18"/>
        </w:rPr>
        <w:t xml:space="preserve"> and </w:t>
      </w:r>
      <w:r w:rsidR="003E3967" w:rsidRPr="009177F8">
        <w:rPr>
          <w:i/>
          <w:sz w:val="18"/>
          <w:szCs w:val="18"/>
        </w:rPr>
        <w:t>educator</w:t>
      </w:r>
      <w:r w:rsidRPr="009177F8">
        <w:rPr>
          <w:i/>
          <w:sz w:val="18"/>
          <w:szCs w:val="18"/>
        </w:rPr>
        <w:t xml:space="preserve"> should know</w:t>
      </w:r>
      <w:r w:rsidRPr="009177F8">
        <w:rPr>
          <w:sz w:val="18"/>
          <w:szCs w:val="18"/>
        </w:rPr>
        <w:t>. NY: National Centre for Children in Poverty, Columbia University. [Online]. Available:</w:t>
      </w:r>
      <w:r w:rsidR="00E857B1" w:rsidRPr="009177F8">
        <w:rPr>
          <w:sz w:val="18"/>
          <w:szCs w:val="18"/>
        </w:rPr>
        <w:t xml:space="preserve"> </w:t>
      </w:r>
      <w:r w:rsidRPr="009177F8">
        <w:rPr>
          <w:sz w:val="18"/>
          <w:szCs w:val="18"/>
        </w:rPr>
        <w:t>http://</w:t>
      </w:r>
      <w:proofErr w:type="spellStart"/>
      <w:r w:rsidRPr="009177F8">
        <w:rPr>
          <w:sz w:val="18"/>
          <w:szCs w:val="18"/>
        </w:rPr>
        <w:t>nccp.org</w:t>
      </w:r>
      <w:proofErr w:type="spellEnd"/>
      <w:r w:rsidRPr="009177F8">
        <w:rPr>
          <w:sz w:val="18"/>
          <w:szCs w:val="18"/>
        </w:rPr>
        <w:t>/publications/</w:t>
      </w:r>
      <w:proofErr w:type="spellStart"/>
      <w:r w:rsidRPr="009177F8">
        <w:rPr>
          <w:sz w:val="18"/>
          <w:szCs w:val="18"/>
        </w:rPr>
        <w:t>pub_695.html</w:t>
      </w:r>
      <w:proofErr w:type="spellEnd"/>
      <w:r w:rsidRPr="009177F8">
        <w:rPr>
          <w:sz w:val="18"/>
          <w:szCs w:val="18"/>
        </w:rPr>
        <w:t>. Accessed 19th August, 2014.</w:t>
      </w:r>
    </w:p>
    <w:p w14:paraId="7EA3BB15" w14:textId="70E52661" w:rsidR="00E83F06" w:rsidRPr="009177F8" w:rsidRDefault="00E83F06" w:rsidP="00E83F06">
      <w:pPr>
        <w:pStyle w:val="BodyText"/>
        <w:rPr>
          <w:sz w:val="18"/>
          <w:szCs w:val="18"/>
        </w:rPr>
      </w:pPr>
      <w:proofErr w:type="spellStart"/>
      <w:r w:rsidRPr="009177F8">
        <w:rPr>
          <w:sz w:val="18"/>
          <w:szCs w:val="18"/>
        </w:rPr>
        <w:t>Melhuish</w:t>
      </w:r>
      <w:proofErr w:type="spellEnd"/>
      <w:r w:rsidRPr="009177F8">
        <w:rPr>
          <w:sz w:val="18"/>
          <w:szCs w:val="18"/>
        </w:rPr>
        <w:t xml:space="preserve"> EC. et al, (2010). </w:t>
      </w:r>
      <w:r w:rsidRPr="009177F8">
        <w:rPr>
          <w:i/>
          <w:sz w:val="18"/>
          <w:szCs w:val="18"/>
        </w:rPr>
        <w:t>The quality of group childcare settings used by 3</w:t>
      </w:r>
      <w:r w:rsidR="008216D7" w:rsidRPr="009177F8">
        <w:rPr>
          <w:i/>
          <w:sz w:val="18"/>
          <w:szCs w:val="18"/>
        </w:rPr>
        <w:t xml:space="preserve"> to </w:t>
      </w:r>
      <w:r w:rsidRPr="009177F8">
        <w:rPr>
          <w:i/>
          <w:sz w:val="18"/>
          <w:szCs w:val="18"/>
        </w:rPr>
        <w:t>4 year old children in Sure Start Local Programme areas and the relationship with child outcomes</w:t>
      </w:r>
      <w:r w:rsidRPr="009177F8">
        <w:rPr>
          <w:sz w:val="18"/>
          <w:szCs w:val="18"/>
        </w:rPr>
        <w:t xml:space="preserve">. London: Department for Education. Research brief </w:t>
      </w:r>
      <w:proofErr w:type="spellStart"/>
      <w:r w:rsidRPr="009177F8">
        <w:rPr>
          <w:sz w:val="18"/>
          <w:szCs w:val="18"/>
        </w:rPr>
        <w:t>DFE-RB068</w:t>
      </w:r>
      <w:proofErr w:type="spellEnd"/>
      <w:r w:rsidRPr="009177F8">
        <w:rPr>
          <w:sz w:val="18"/>
          <w:szCs w:val="18"/>
        </w:rPr>
        <w:t>. [Online]. Available: https://www.education.gov.uk/publications/standard/publicationDetail/Page1/DFE-RB068. Accessed 19th August, 2014.</w:t>
      </w:r>
    </w:p>
    <w:p w14:paraId="29B2064D" w14:textId="31A1C783" w:rsidR="00E83F06" w:rsidRPr="009177F8" w:rsidRDefault="00E83F06" w:rsidP="00E83F06">
      <w:pPr>
        <w:pStyle w:val="BodyText"/>
        <w:rPr>
          <w:sz w:val="18"/>
          <w:szCs w:val="18"/>
        </w:rPr>
      </w:pPr>
      <w:proofErr w:type="spellStart"/>
      <w:r w:rsidRPr="009177F8">
        <w:rPr>
          <w:sz w:val="18"/>
          <w:szCs w:val="18"/>
        </w:rPr>
        <w:t>McNeilage</w:t>
      </w:r>
      <w:proofErr w:type="spellEnd"/>
      <w:r w:rsidRPr="009177F8">
        <w:rPr>
          <w:sz w:val="18"/>
          <w:szCs w:val="18"/>
        </w:rPr>
        <w:t xml:space="preserve">, A (2014) Students may be disadvantaged by starting school at 5 years old. </w:t>
      </w:r>
      <w:r w:rsidRPr="009177F8">
        <w:rPr>
          <w:i/>
          <w:sz w:val="18"/>
          <w:szCs w:val="18"/>
        </w:rPr>
        <w:t xml:space="preserve">The Sydney Morning </w:t>
      </w:r>
      <w:r w:rsidR="008216D7" w:rsidRPr="009177F8">
        <w:rPr>
          <w:i/>
          <w:sz w:val="18"/>
          <w:szCs w:val="18"/>
        </w:rPr>
        <w:t>Herald</w:t>
      </w:r>
      <w:r w:rsidRPr="009177F8">
        <w:rPr>
          <w:sz w:val="18"/>
          <w:szCs w:val="18"/>
        </w:rPr>
        <w:t>, 26 January.</w:t>
      </w:r>
    </w:p>
    <w:p w14:paraId="2DA87D5C" w14:textId="77777777" w:rsidR="00E83F06" w:rsidRPr="009177F8" w:rsidRDefault="00E83F06" w:rsidP="00E83F06">
      <w:pPr>
        <w:pStyle w:val="BodyText"/>
        <w:rPr>
          <w:sz w:val="18"/>
          <w:szCs w:val="18"/>
        </w:rPr>
      </w:pPr>
      <w:proofErr w:type="spellStart"/>
      <w:r w:rsidRPr="009177F8">
        <w:rPr>
          <w:sz w:val="18"/>
          <w:szCs w:val="18"/>
        </w:rPr>
        <w:t>Ozga</w:t>
      </w:r>
      <w:proofErr w:type="spellEnd"/>
      <w:r w:rsidRPr="009177F8">
        <w:rPr>
          <w:sz w:val="18"/>
          <w:szCs w:val="18"/>
        </w:rPr>
        <w:t xml:space="preserve">, J. (2000), </w:t>
      </w:r>
      <w:r w:rsidRPr="009177F8">
        <w:rPr>
          <w:i/>
          <w:sz w:val="18"/>
          <w:szCs w:val="18"/>
        </w:rPr>
        <w:t>Policy Research in Educational Settings: Contested Terrain</w:t>
      </w:r>
      <w:r w:rsidRPr="009177F8">
        <w:rPr>
          <w:sz w:val="18"/>
          <w:szCs w:val="18"/>
        </w:rPr>
        <w:t>. Buckingham: Open University Press.</w:t>
      </w:r>
    </w:p>
    <w:p w14:paraId="63EEAD09" w14:textId="266FB26D" w:rsidR="00E83F06" w:rsidRPr="009177F8" w:rsidRDefault="00E83F06" w:rsidP="00E83F06">
      <w:pPr>
        <w:pStyle w:val="BodyText"/>
        <w:rPr>
          <w:sz w:val="18"/>
          <w:szCs w:val="18"/>
        </w:rPr>
      </w:pPr>
      <w:r w:rsidRPr="009177F8">
        <w:rPr>
          <w:sz w:val="18"/>
          <w:szCs w:val="18"/>
        </w:rPr>
        <w:t xml:space="preserve">Productivity Commission, (2014), </w:t>
      </w:r>
      <w:r w:rsidRPr="009177F8">
        <w:rPr>
          <w:i/>
          <w:sz w:val="18"/>
          <w:szCs w:val="18"/>
        </w:rPr>
        <w:t>Childcare and Early Childhood Learning</w:t>
      </w:r>
      <w:r w:rsidRPr="009177F8">
        <w:rPr>
          <w:sz w:val="18"/>
          <w:szCs w:val="18"/>
        </w:rPr>
        <w:t>, Draft Report, Canberra. [Online]. Available: http://www.pc.gov.au/projects/inquiry/childcare/draft. Accessed 30 July, 2014.</w:t>
      </w:r>
    </w:p>
    <w:p w14:paraId="4A185DC6" w14:textId="261CBE2A" w:rsidR="00E83F06" w:rsidRPr="009177F8" w:rsidRDefault="00E83F06" w:rsidP="00E83F06">
      <w:pPr>
        <w:pStyle w:val="BodyText"/>
        <w:rPr>
          <w:sz w:val="18"/>
          <w:szCs w:val="18"/>
        </w:rPr>
      </w:pPr>
      <w:r w:rsidRPr="009177F8">
        <w:rPr>
          <w:sz w:val="18"/>
          <w:szCs w:val="18"/>
        </w:rPr>
        <w:t xml:space="preserve">PricewaterhouseCoopers (2011) </w:t>
      </w:r>
      <w:r w:rsidRPr="009177F8">
        <w:rPr>
          <w:i/>
          <w:sz w:val="18"/>
          <w:szCs w:val="18"/>
        </w:rPr>
        <w:t>A practical vision for early childhood education and care</w:t>
      </w:r>
      <w:r w:rsidRPr="009177F8">
        <w:rPr>
          <w:sz w:val="18"/>
          <w:szCs w:val="18"/>
        </w:rPr>
        <w:t>. PwC Australia.</w:t>
      </w:r>
    </w:p>
    <w:p w14:paraId="57B15B64" w14:textId="2D74659D" w:rsidR="00E83F06" w:rsidRPr="009177F8" w:rsidRDefault="00E83F06" w:rsidP="00E83F06">
      <w:pPr>
        <w:pStyle w:val="BodyText"/>
        <w:rPr>
          <w:sz w:val="18"/>
          <w:szCs w:val="18"/>
        </w:rPr>
      </w:pPr>
      <w:r w:rsidRPr="009177F8">
        <w:rPr>
          <w:sz w:val="18"/>
          <w:szCs w:val="18"/>
        </w:rPr>
        <w:t xml:space="preserve">Sammons P 2010. Does pre-school make a difference? Identifying the impact of pre-school on children’s cognitive and social </w:t>
      </w:r>
      <w:r w:rsidR="001A3034" w:rsidRPr="009177F8">
        <w:rPr>
          <w:sz w:val="18"/>
          <w:szCs w:val="18"/>
        </w:rPr>
        <w:t>behavioural</w:t>
      </w:r>
      <w:r w:rsidRPr="009177F8">
        <w:rPr>
          <w:sz w:val="18"/>
          <w:szCs w:val="18"/>
        </w:rPr>
        <w:t xml:space="preserve"> development at different ages. In: Sylva K, </w:t>
      </w:r>
      <w:proofErr w:type="spellStart"/>
      <w:r w:rsidRPr="009177F8">
        <w:rPr>
          <w:sz w:val="18"/>
          <w:szCs w:val="18"/>
        </w:rPr>
        <w:t>Melhuish</w:t>
      </w:r>
      <w:proofErr w:type="spellEnd"/>
      <w:r w:rsidRPr="009177F8">
        <w:rPr>
          <w:sz w:val="18"/>
          <w:szCs w:val="18"/>
        </w:rPr>
        <w:t xml:space="preserve"> E, Sammons P, </w:t>
      </w:r>
      <w:proofErr w:type="spellStart"/>
      <w:r w:rsidRPr="009177F8">
        <w:rPr>
          <w:sz w:val="18"/>
          <w:szCs w:val="18"/>
        </w:rPr>
        <w:t>Siraj-Blathcford</w:t>
      </w:r>
      <w:proofErr w:type="spellEnd"/>
      <w:r w:rsidRPr="009177F8">
        <w:rPr>
          <w:sz w:val="18"/>
          <w:szCs w:val="18"/>
        </w:rPr>
        <w:t xml:space="preserve"> I &amp; Taggart B (</w:t>
      </w:r>
      <w:proofErr w:type="spellStart"/>
      <w:r w:rsidRPr="009177F8">
        <w:rPr>
          <w:sz w:val="18"/>
          <w:szCs w:val="18"/>
        </w:rPr>
        <w:t>eds</w:t>
      </w:r>
      <w:proofErr w:type="spellEnd"/>
      <w:r w:rsidRPr="009177F8">
        <w:rPr>
          <w:sz w:val="18"/>
          <w:szCs w:val="18"/>
        </w:rPr>
        <w:t xml:space="preserve">). </w:t>
      </w:r>
      <w:r w:rsidRPr="009177F8">
        <w:rPr>
          <w:i/>
          <w:sz w:val="18"/>
          <w:szCs w:val="18"/>
        </w:rPr>
        <w:t>Early childhood matters: evidence from the Effective Pre-school and Primary Education Project</w:t>
      </w:r>
      <w:r w:rsidRPr="009177F8">
        <w:rPr>
          <w:sz w:val="18"/>
          <w:szCs w:val="18"/>
        </w:rPr>
        <w:t>. Abingdon: Routledge 92-113.</w:t>
      </w:r>
      <w:r w:rsidR="00E857B1" w:rsidRPr="009177F8">
        <w:rPr>
          <w:sz w:val="18"/>
          <w:szCs w:val="18"/>
        </w:rPr>
        <w:t xml:space="preserve"> </w:t>
      </w:r>
      <w:r w:rsidRPr="009177F8">
        <w:rPr>
          <w:sz w:val="18"/>
          <w:szCs w:val="18"/>
        </w:rPr>
        <w:t>(Cited in Harrison et al.)</w:t>
      </w:r>
    </w:p>
    <w:p w14:paraId="4654E96E" w14:textId="656AF0FB" w:rsidR="00E83F06" w:rsidRPr="009177F8" w:rsidRDefault="00E83F06" w:rsidP="00E83F06">
      <w:pPr>
        <w:pStyle w:val="BodyText"/>
        <w:rPr>
          <w:sz w:val="18"/>
          <w:szCs w:val="18"/>
        </w:rPr>
      </w:pPr>
      <w:r w:rsidRPr="009177F8">
        <w:rPr>
          <w:sz w:val="18"/>
          <w:szCs w:val="18"/>
        </w:rPr>
        <w:t xml:space="preserve">Sylva, K., </w:t>
      </w:r>
      <w:proofErr w:type="spellStart"/>
      <w:r w:rsidRPr="009177F8">
        <w:rPr>
          <w:sz w:val="18"/>
          <w:szCs w:val="18"/>
        </w:rPr>
        <w:t>Melhuish</w:t>
      </w:r>
      <w:proofErr w:type="spellEnd"/>
      <w:r w:rsidRPr="009177F8">
        <w:rPr>
          <w:sz w:val="18"/>
          <w:szCs w:val="18"/>
        </w:rPr>
        <w:t xml:space="preserve">, E., Sammons, P., </w:t>
      </w:r>
      <w:proofErr w:type="spellStart"/>
      <w:r w:rsidRPr="009177F8">
        <w:rPr>
          <w:sz w:val="18"/>
          <w:szCs w:val="18"/>
        </w:rPr>
        <w:t>Siraj</w:t>
      </w:r>
      <w:proofErr w:type="spellEnd"/>
      <w:r w:rsidRPr="009177F8">
        <w:rPr>
          <w:sz w:val="18"/>
          <w:szCs w:val="18"/>
        </w:rPr>
        <w:t xml:space="preserve">-Blatchford, I., &amp; Taggart, B. (2004). </w:t>
      </w:r>
      <w:r w:rsidRPr="009177F8">
        <w:rPr>
          <w:i/>
          <w:sz w:val="18"/>
          <w:szCs w:val="18"/>
        </w:rPr>
        <w:t>The Effective Provision of Pre-school Education</w:t>
      </w:r>
      <w:r w:rsidRPr="009177F8">
        <w:rPr>
          <w:sz w:val="18"/>
          <w:szCs w:val="18"/>
        </w:rPr>
        <w:t xml:space="preserve"> (</w:t>
      </w:r>
      <w:proofErr w:type="spellStart"/>
      <w:r w:rsidRPr="009177F8">
        <w:rPr>
          <w:sz w:val="18"/>
          <w:szCs w:val="18"/>
        </w:rPr>
        <w:t>EPPE</w:t>
      </w:r>
      <w:proofErr w:type="spellEnd"/>
      <w:r w:rsidRPr="009177F8">
        <w:rPr>
          <w:sz w:val="18"/>
          <w:szCs w:val="18"/>
        </w:rPr>
        <w:t xml:space="preserve">) project: Final report: A longitudinal study funded by the DfES 1997-2004. (Research Report No. </w:t>
      </w:r>
      <w:proofErr w:type="spellStart"/>
      <w:r w:rsidRPr="009177F8">
        <w:rPr>
          <w:sz w:val="18"/>
          <w:szCs w:val="18"/>
        </w:rPr>
        <w:t>SSU</w:t>
      </w:r>
      <w:proofErr w:type="spellEnd"/>
      <w:r w:rsidRPr="009177F8">
        <w:rPr>
          <w:sz w:val="18"/>
          <w:szCs w:val="18"/>
        </w:rPr>
        <w:t xml:space="preserve">/FR/2004/01). Nottingham, United Kingdom: Great Britain, Department for Education and Skills. </w:t>
      </w:r>
    </w:p>
    <w:p w14:paraId="428BF974" w14:textId="77777777" w:rsidR="00E83F06" w:rsidRPr="009177F8" w:rsidRDefault="00E83F06" w:rsidP="00E83F06">
      <w:pPr>
        <w:pStyle w:val="BodyText"/>
        <w:rPr>
          <w:sz w:val="18"/>
          <w:szCs w:val="18"/>
        </w:rPr>
      </w:pPr>
      <w:proofErr w:type="spellStart"/>
      <w:r w:rsidRPr="009177F8">
        <w:rPr>
          <w:sz w:val="18"/>
          <w:szCs w:val="18"/>
        </w:rPr>
        <w:t>Watamura</w:t>
      </w:r>
      <w:proofErr w:type="spellEnd"/>
      <w:r w:rsidRPr="009177F8">
        <w:rPr>
          <w:sz w:val="18"/>
          <w:szCs w:val="18"/>
        </w:rPr>
        <w:t xml:space="preserve"> SE, Phillips DA, Morrissey TW, McCartney K &amp; Bub K 2011. </w:t>
      </w:r>
      <w:r w:rsidRPr="009177F8">
        <w:rPr>
          <w:i/>
          <w:sz w:val="18"/>
          <w:szCs w:val="18"/>
        </w:rPr>
        <w:t xml:space="preserve">Double jeopardy: poorer social-emotional outcomes for children in the </w:t>
      </w:r>
      <w:proofErr w:type="spellStart"/>
      <w:r w:rsidRPr="009177F8">
        <w:rPr>
          <w:i/>
          <w:sz w:val="18"/>
          <w:szCs w:val="18"/>
        </w:rPr>
        <w:t>NICHD</w:t>
      </w:r>
      <w:proofErr w:type="spellEnd"/>
      <w:r w:rsidRPr="009177F8">
        <w:rPr>
          <w:i/>
          <w:sz w:val="18"/>
          <w:szCs w:val="18"/>
        </w:rPr>
        <w:t xml:space="preserve"> </w:t>
      </w:r>
      <w:proofErr w:type="spellStart"/>
      <w:r w:rsidRPr="009177F8">
        <w:rPr>
          <w:i/>
          <w:sz w:val="18"/>
          <w:szCs w:val="18"/>
        </w:rPr>
        <w:t>SECCYD</w:t>
      </w:r>
      <w:proofErr w:type="spellEnd"/>
      <w:r w:rsidRPr="009177F8">
        <w:rPr>
          <w:i/>
          <w:sz w:val="18"/>
          <w:szCs w:val="18"/>
        </w:rPr>
        <w:t xml:space="preserve"> experiencing home and child-care environments that confer risk</w:t>
      </w:r>
      <w:r w:rsidRPr="009177F8">
        <w:rPr>
          <w:sz w:val="18"/>
          <w:szCs w:val="18"/>
        </w:rPr>
        <w:t>. Child Development 82(1):48-65. (Cited in Harrison et al.)</w:t>
      </w:r>
    </w:p>
    <w:p w14:paraId="0EED9E7A" w14:textId="77777777" w:rsidR="00E83F06" w:rsidRDefault="00E83F06" w:rsidP="00E83F06">
      <w:pPr>
        <w:pStyle w:val="BodyText"/>
      </w:pPr>
    </w:p>
    <w:p w14:paraId="4CE55ECC" w14:textId="77777777" w:rsidR="00E83F06" w:rsidRPr="008C0FD4" w:rsidRDefault="00E83F06" w:rsidP="00E83F06">
      <w:pPr>
        <w:pStyle w:val="BodyText"/>
      </w:pPr>
    </w:p>
    <w:sectPr w:rsidR="00E83F06" w:rsidRPr="008C0FD4" w:rsidSect="00BE64B3">
      <w:headerReference w:type="default" r:id="rId14"/>
      <w:footerReference w:type="default" r:id="rId15"/>
      <w:pgSz w:w="11906" w:h="16838"/>
      <w:pgMar w:top="818" w:right="1418" w:bottom="1276" w:left="1474" w:header="709" w:footer="9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36F9C" w14:textId="77777777" w:rsidR="00AC5324" w:rsidRDefault="00AC5324">
      <w:r>
        <w:separator/>
      </w:r>
    </w:p>
  </w:endnote>
  <w:endnote w:type="continuationSeparator" w:id="0">
    <w:p w14:paraId="6DD08B35" w14:textId="77777777" w:rsidR="00AC5324" w:rsidRDefault="00AC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GoudyOlSt BT">
    <w:altName w:val="Georgia"/>
    <w:charset w:val="00"/>
    <w:family w:val="roman"/>
    <w:pitch w:val="variable"/>
    <w:sig w:usb0="00000087" w:usb1="00000000" w:usb2="00000000" w:usb3="00000000" w:csb0="0000001B" w:csb1="00000000"/>
  </w:font>
  <w:font w:name="Helvetica Neue">
    <w:charset w:val="00"/>
    <w:family w:val="auto"/>
    <w:pitch w:val="variable"/>
    <w:sig w:usb0="80000067"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6B1FF" w14:textId="4F1DB395" w:rsidR="003E3967" w:rsidRPr="009177F8" w:rsidRDefault="003E3967" w:rsidP="009177F8">
    <w:pPr>
      <w:pStyle w:val="Footer"/>
      <w:shd w:val="clear" w:color="auto" w:fill="00CCFF"/>
      <w:tabs>
        <w:tab w:val="clear" w:pos="4153"/>
        <w:tab w:val="center" w:pos="4536"/>
        <w:tab w:val="left" w:pos="8600"/>
      </w:tabs>
      <w:jc w:val="center"/>
      <w:rPr>
        <w:rFonts w:ascii="Arial" w:hAnsi="Arial" w:cs="Arial"/>
        <w:color w:val="FFFFFF" w:themeColor="background1"/>
        <w:sz w:val="18"/>
        <w:szCs w:val="18"/>
      </w:rPr>
    </w:pPr>
    <w:r w:rsidRPr="009177F8">
      <w:rPr>
        <w:rStyle w:val="PageNumber"/>
        <w:rFonts w:ascii="Arial" w:hAnsi="Arial" w:cs="Arial"/>
        <w:color w:val="FFFFFF" w:themeColor="background1"/>
        <w:sz w:val="18"/>
        <w:szCs w:val="18"/>
      </w:rPr>
      <w:t>Catholic Education Diocese of Parramatta Productivity Commission Submission 2014</w:t>
    </w:r>
    <w:r>
      <w:rPr>
        <w:rStyle w:val="PageNumber"/>
        <w:rFonts w:ascii="Arial" w:hAnsi="Arial" w:cs="Arial"/>
        <w:color w:val="FFFFFF" w:themeColor="background1"/>
        <w:sz w:val="18"/>
        <w:szCs w:val="18"/>
      </w:rPr>
      <w:t xml:space="preserve"> </w:t>
    </w:r>
    <w:r w:rsidRPr="009177F8">
      <w:rPr>
        <w:rStyle w:val="PageNumber"/>
        <w:rFonts w:ascii="Arial" w:hAnsi="Arial" w:cs="Arial"/>
        <w:color w:val="FFFFFF" w:themeColor="background1"/>
        <w:sz w:val="18"/>
        <w:szCs w:val="18"/>
      </w:rPr>
      <w:tab/>
    </w:r>
    <w:r w:rsidRPr="009177F8">
      <w:rPr>
        <w:rStyle w:val="PageNumber"/>
        <w:rFonts w:ascii="Arial" w:hAnsi="Arial" w:cs="Arial"/>
        <w:color w:val="FFFFFF" w:themeColor="background1"/>
        <w:sz w:val="18"/>
        <w:szCs w:val="18"/>
      </w:rPr>
      <w:fldChar w:fldCharType="begin"/>
    </w:r>
    <w:r w:rsidRPr="009177F8">
      <w:rPr>
        <w:rStyle w:val="PageNumber"/>
        <w:rFonts w:ascii="Arial" w:hAnsi="Arial" w:cs="Arial"/>
        <w:color w:val="FFFFFF" w:themeColor="background1"/>
        <w:sz w:val="18"/>
        <w:szCs w:val="18"/>
      </w:rPr>
      <w:instrText xml:space="preserve"> PAGE </w:instrText>
    </w:r>
    <w:r w:rsidRPr="009177F8">
      <w:rPr>
        <w:rStyle w:val="PageNumber"/>
        <w:rFonts w:ascii="Arial" w:hAnsi="Arial" w:cs="Arial"/>
        <w:color w:val="FFFFFF" w:themeColor="background1"/>
        <w:sz w:val="18"/>
        <w:szCs w:val="18"/>
      </w:rPr>
      <w:fldChar w:fldCharType="separate"/>
    </w:r>
    <w:r w:rsidR="00AB69B9">
      <w:rPr>
        <w:rStyle w:val="PageNumber"/>
        <w:rFonts w:ascii="Arial" w:hAnsi="Arial" w:cs="Arial"/>
        <w:noProof/>
        <w:color w:val="FFFFFF" w:themeColor="background1"/>
        <w:sz w:val="18"/>
        <w:szCs w:val="18"/>
      </w:rPr>
      <w:t>2</w:t>
    </w:r>
    <w:r w:rsidRPr="009177F8">
      <w:rPr>
        <w:rStyle w:val="PageNumber"/>
        <w:rFonts w:ascii="Arial" w:hAnsi="Arial" w:cs="Arial"/>
        <w:color w:val="FFFFFF" w:themeColor="background1"/>
        <w:sz w:val="18"/>
        <w:szCs w:val="18"/>
      </w:rPr>
      <w:fldChar w:fldCharType="end"/>
    </w:r>
    <w:r w:rsidRPr="009177F8">
      <w:rPr>
        <w:rStyle w:val="PageNumber"/>
        <w:rFonts w:ascii="Arial" w:hAnsi="Arial" w:cs="Arial"/>
        <w:color w:val="FFFFFF" w:themeColor="background1"/>
        <w:sz w:val="18"/>
        <w:szCs w:val="18"/>
      </w:rPr>
      <w:tab/>
    </w:r>
    <w:r w:rsidRPr="009177F8">
      <w:rPr>
        <w:color w:val="FFFFFF" w:themeColor="background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67AB2" w14:textId="77777777" w:rsidR="00AC5324" w:rsidRDefault="00AC5324">
      <w:r>
        <w:separator/>
      </w:r>
    </w:p>
  </w:footnote>
  <w:footnote w:type="continuationSeparator" w:id="0">
    <w:p w14:paraId="05C814C4" w14:textId="77777777" w:rsidR="00AC5324" w:rsidRDefault="00AC5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7C84" w14:textId="77777777" w:rsidR="00F729D6" w:rsidRDefault="00F729D6">
    <w:pPr>
      <w:pStyle w:val="Header"/>
    </w:pPr>
  </w:p>
  <w:p w14:paraId="0632972B" w14:textId="77777777" w:rsidR="00F729D6" w:rsidRDefault="00F72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1F548" w14:textId="77777777" w:rsidR="00F729D6" w:rsidRDefault="00F729D6">
    <w:pPr>
      <w:pStyle w:val="Header"/>
    </w:pPr>
  </w:p>
  <w:p w14:paraId="6B3B9B54" w14:textId="77777777" w:rsidR="00F729D6" w:rsidRDefault="00F72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4E5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FEC4E4"/>
    <w:lvl w:ilvl="0">
      <w:start w:val="1"/>
      <w:numFmt w:val="decimal"/>
      <w:lvlText w:val="%1."/>
      <w:lvlJc w:val="left"/>
      <w:pPr>
        <w:tabs>
          <w:tab w:val="num" w:pos="1492"/>
        </w:tabs>
        <w:ind w:left="1492" w:hanging="360"/>
      </w:pPr>
    </w:lvl>
  </w:abstractNum>
  <w:abstractNum w:abstractNumId="2">
    <w:nsid w:val="FFFFFF7D"/>
    <w:multiLevelType w:val="singleLevel"/>
    <w:tmpl w:val="4740CDAA"/>
    <w:lvl w:ilvl="0">
      <w:start w:val="1"/>
      <w:numFmt w:val="decimal"/>
      <w:lvlText w:val="%1."/>
      <w:lvlJc w:val="left"/>
      <w:pPr>
        <w:tabs>
          <w:tab w:val="num" w:pos="1209"/>
        </w:tabs>
        <w:ind w:left="1209" w:hanging="360"/>
      </w:pPr>
    </w:lvl>
  </w:abstractNum>
  <w:abstractNum w:abstractNumId="3">
    <w:nsid w:val="FFFFFF7E"/>
    <w:multiLevelType w:val="singleLevel"/>
    <w:tmpl w:val="56BE1AAA"/>
    <w:lvl w:ilvl="0">
      <w:start w:val="1"/>
      <w:numFmt w:val="decimal"/>
      <w:lvlText w:val="%1."/>
      <w:lvlJc w:val="left"/>
      <w:pPr>
        <w:tabs>
          <w:tab w:val="num" w:pos="926"/>
        </w:tabs>
        <w:ind w:left="926" w:hanging="360"/>
      </w:pPr>
    </w:lvl>
  </w:abstractNum>
  <w:abstractNum w:abstractNumId="4">
    <w:nsid w:val="FFFFFF7F"/>
    <w:multiLevelType w:val="singleLevel"/>
    <w:tmpl w:val="50426838"/>
    <w:lvl w:ilvl="0">
      <w:start w:val="1"/>
      <w:numFmt w:val="decimal"/>
      <w:lvlText w:val="%1."/>
      <w:lvlJc w:val="left"/>
      <w:pPr>
        <w:tabs>
          <w:tab w:val="num" w:pos="643"/>
        </w:tabs>
        <w:ind w:left="643" w:hanging="360"/>
      </w:pPr>
    </w:lvl>
  </w:abstractNum>
  <w:abstractNum w:abstractNumId="5">
    <w:nsid w:val="FFFFFF80"/>
    <w:multiLevelType w:val="singleLevel"/>
    <w:tmpl w:val="B874C71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03AF13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A661F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440833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22EDEDC"/>
    <w:lvl w:ilvl="0">
      <w:start w:val="1"/>
      <w:numFmt w:val="decimal"/>
      <w:pStyle w:val="ListNumber"/>
      <w:lvlText w:val="%1)"/>
      <w:lvlJc w:val="left"/>
      <w:pPr>
        <w:ind w:left="360" w:hanging="360"/>
      </w:pPr>
    </w:lvl>
  </w:abstractNum>
  <w:abstractNum w:abstractNumId="10">
    <w:nsid w:val="FFFFFF89"/>
    <w:multiLevelType w:val="singleLevel"/>
    <w:tmpl w:val="F7784B8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9055B8"/>
    <w:multiLevelType w:val="multilevel"/>
    <w:tmpl w:val="0C09001D"/>
    <w:lvl w:ilvl="0">
      <w:start w:val="1"/>
      <w:numFmt w:val="bullet"/>
      <w:pStyle w:val="Bullet"/>
      <w:lvlText w:val="■"/>
      <w:lvlJc w:val="left"/>
      <w:pPr>
        <w:tabs>
          <w:tab w:val="num" w:pos="360"/>
        </w:tabs>
        <w:ind w:left="360" w:hanging="360"/>
      </w:pPr>
      <w:rPr>
        <w:rFonts w:ascii="Helvetica" w:hAnsi="Helvetica" w:hint="default"/>
        <w:color w:val="9FA52F"/>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F11691"/>
    <w:multiLevelType w:val="hybridMultilevel"/>
    <w:tmpl w:val="5DAAA13E"/>
    <w:lvl w:ilvl="0" w:tplc="FA2E648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F1414A"/>
    <w:multiLevelType w:val="hybridMultilevel"/>
    <w:tmpl w:val="AB72B91E"/>
    <w:lvl w:ilvl="0" w:tplc="49CEF76E">
      <w:start w:val="1"/>
      <w:numFmt w:val="decimal"/>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C51CDD"/>
    <w:multiLevelType w:val="multilevel"/>
    <w:tmpl w:val="876CBB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9742302"/>
    <w:multiLevelType w:val="hybridMultilevel"/>
    <w:tmpl w:val="5298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F3250"/>
    <w:multiLevelType w:val="hybridMultilevel"/>
    <w:tmpl w:val="B46AC990"/>
    <w:lvl w:ilvl="0" w:tplc="29C26928">
      <w:start w:val="1"/>
      <w:numFmt w:val="bullet"/>
      <w:pStyle w:val="ListBullet2"/>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nsid w:val="67DB092C"/>
    <w:multiLevelType w:val="hybridMultilevel"/>
    <w:tmpl w:val="B11635B8"/>
    <w:lvl w:ilvl="0" w:tplc="8B4667C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6"/>
  </w:num>
  <w:num w:numId="15">
    <w:abstractNumId w:val="14"/>
  </w:num>
  <w:num w:numId="16">
    <w:abstractNumId w:val="0"/>
  </w:num>
  <w:num w:numId="17">
    <w:abstractNumId w:val="12"/>
  </w:num>
  <w:num w:numId="18">
    <w:abstractNumId w:val="17"/>
  </w:num>
  <w:num w:numId="19">
    <w:abstractNumId w:val="13"/>
    <w:lvlOverride w:ilvl="0">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4A"/>
    <w:rsid w:val="00002EF9"/>
    <w:rsid w:val="00005D30"/>
    <w:rsid w:val="00020CCA"/>
    <w:rsid w:val="0003483A"/>
    <w:rsid w:val="000349F8"/>
    <w:rsid w:val="00035D73"/>
    <w:rsid w:val="000552F5"/>
    <w:rsid w:val="00057336"/>
    <w:rsid w:val="00057DAF"/>
    <w:rsid w:val="000E0723"/>
    <w:rsid w:val="000F1240"/>
    <w:rsid w:val="000F77C7"/>
    <w:rsid w:val="001160A6"/>
    <w:rsid w:val="00125008"/>
    <w:rsid w:val="00126B61"/>
    <w:rsid w:val="00145B16"/>
    <w:rsid w:val="00152706"/>
    <w:rsid w:val="00162622"/>
    <w:rsid w:val="00167D4A"/>
    <w:rsid w:val="00172E2F"/>
    <w:rsid w:val="0018019B"/>
    <w:rsid w:val="001A3034"/>
    <w:rsid w:val="001A73BD"/>
    <w:rsid w:val="001B42A2"/>
    <w:rsid w:val="001B7F8B"/>
    <w:rsid w:val="001E7C21"/>
    <w:rsid w:val="001F181F"/>
    <w:rsid w:val="00201FED"/>
    <w:rsid w:val="0020477B"/>
    <w:rsid w:val="002401B3"/>
    <w:rsid w:val="00244912"/>
    <w:rsid w:val="00244F79"/>
    <w:rsid w:val="002557B2"/>
    <w:rsid w:val="00263482"/>
    <w:rsid w:val="00267D6A"/>
    <w:rsid w:val="002727DA"/>
    <w:rsid w:val="00276394"/>
    <w:rsid w:val="002941AF"/>
    <w:rsid w:val="00296032"/>
    <w:rsid w:val="002A5FDE"/>
    <w:rsid w:val="002B0BB5"/>
    <w:rsid w:val="002C08E9"/>
    <w:rsid w:val="002D0F01"/>
    <w:rsid w:val="002D11EC"/>
    <w:rsid w:val="002D25CE"/>
    <w:rsid w:val="002D5788"/>
    <w:rsid w:val="00314840"/>
    <w:rsid w:val="00323B00"/>
    <w:rsid w:val="0033702A"/>
    <w:rsid w:val="00344EC7"/>
    <w:rsid w:val="003456BB"/>
    <w:rsid w:val="003468BB"/>
    <w:rsid w:val="00365911"/>
    <w:rsid w:val="003703C1"/>
    <w:rsid w:val="00390212"/>
    <w:rsid w:val="0039536B"/>
    <w:rsid w:val="003A457A"/>
    <w:rsid w:val="003B6060"/>
    <w:rsid w:val="003B7727"/>
    <w:rsid w:val="003C54D8"/>
    <w:rsid w:val="003D51BD"/>
    <w:rsid w:val="003D5F5F"/>
    <w:rsid w:val="003D707E"/>
    <w:rsid w:val="003E3967"/>
    <w:rsid w:val="003E4541"/>
    <w:rsid w:val="003E60F4"/>
    <w:rsid w:val="003F27EF"/>
    <w:rsid w:val="003F3710"/>
    <w:rsid w:val="003F38C3"/>
    <w:rsid w:val="004079C4"/>
    <w:rsid w:val="004206A3"/>
    <w:rsid w:val="0042451F"/>
    <w:rsid w:val="00427D23"/>
    <w:rsid w:val="00437A6F"/>
    <w:rsid w:val="00447831"/>
    <w:rsid w:val="00466A69"/>
    <w:rsid w:val="00471F41"/>
    <w:rsid w:val="00472A12"/>
    <w:rsid w:val="00480B63"/>
    <w:rsid w:val="00480CD8"/>
    <w:rsid w:val="00492028"/>
    <w:rsid w:val="004D4969"/>
    <w:rsid w:val="004E7614"/>
    <w:rsid w:val="004F4214"/>
    <w:rsid w:val="004F5C14"/>
    <w:rsid w:val="005461A5"/>
    <w:rsid w:val="005542D0"/>
    <w:rsid w:val="0055522C"/>
    <w:rsid w:val="00562CD5"/>
    <w:rsid w:val="00563902"/>
    <w:rsid w:val="00564F90"/>
    <w:rsid w:val="00587B1E"/>
    <w:rsid w:val="00590C60"/>
    <w:rsid w:val="00592EE9"/>
    <w:rsid w:val="005942BC"/>
    <w:rsid w:val="005A3D4F"/>
    <w:rsid w:val="005B4D24"/>
    <w:rsid w:val="005D17BE"/>
    <w:rsid w:val="005E1A2B"/>
    <w:rsid w:val="005E3A8A"/>
    <w:rsid w:val="005F2008"/>
    <w:rsid w:val="005F574E"/>
    <w:rsid w:val="0060371C"/>
    <w:rsid w:val="00614D22"/>
    <w:rsid w:val="0063547B"/>
    <w:rsid w:val="00640F10"/>
    <w:rsid w:val="006658EA"/>
    <w:rsid w:val="006834E2"/>
    <w:rsid w:val="006913F4"/>
    <w:rsid w:val="006931F8"/>
    <w:rsid w:val="00694ED9"/>
    <w:rsid w:val="006972BF"/>
    <w:rsid w:val="006A3748"/>
    <w:rsid w:val="006C041F"/>
    <w:rsid w:val="006C6922"/>
    <w:rsid w:val="006E1844"/>
    <w:rsid w:val="0070571F"/>
    <w:rsid w:val="007119F2"/>
    <w:rsid w:val="007303E4"/>
    <w:rsid w:val="00734D4E"/>
    <w:rsid w:val="00746685"/>
    <w:rsid w:val="0075651B"/>
    <w:rsid w:val="007642DD"/>
    <w:rsid w:val="0076656F"/>
    <w:rsid w:val="00771891"/>
    <w:rsid w:val="00782C01"/>
    <w:rsid w:val="00795D32"/>
    <w:rsid w:val="007A0BC6"/>
    <w:rsid w:val="007B3CA4"/>
    <w:rsid w:val="007B5651"/>
    <w:rsid w:val="007B56AB"/>
    <w:rsid w:val="007C47D9"/>
    <w:rsid w:val="007D132A"/>
    <w:rsid w:val="007D3E41"/>
    <w:rsid w:val="0080509F"/>
    <w:rsid w:val="008216D7"/>
    <w:rsid w:val="00822085"/>
    <w:rsid w:val="008422BF"/>
    <w:rsid w:val="008679C3"/>
    <w:rsid w:val="00873905"/>
    <w:rsid w:val="008A057C"/>
    <w:rsid w:val="008B3975"/>
    <w:rsid w:val="008C0FD4"/>
    <w:rsid w:val="008C4ED1"/>
    <w:rsid w:val="008C5653"/>
    <w:rsid w:val="008E0566"/>
    <w:rsid w:val="008E228A"/>
    <w:rsid w:val="008E355C"/>
    <w:rsid w:val="008E4EEE"/>
    <w:rsid w:val="008F7148"/>
    <w:rsid w:val="009177F8"/>
    <w:rsid w:val="00937247"/>
    <w:rsid w:val="009523A6"/>
    <w:rsid w:val="00990832"/>
    <w:rsid w:val="009C13B3"/>
    <w:rsid w:val="009C4BB3"/>
    <w:rsid w:val="009D2296"/>
    <w:rsid w:val="009F651C"/>
    <w:rsid w:val="00A0169C"/>
    <w:rsid w:val="00A1163E"/>
    <w:rsid w:val="00A12347"/>
    <w:rsid w:val="00A2716E"/>
    <w:rsid w:val="00A43EAB"/>
    <w:rsid w:val="00A5097B"/>
    <w:rsid w:val="00A509ED"/>
    <w:rsid w:val="00A50E7C"/>
    <w:rsid w:val="00A619F9"/>
    <w:rsid w:val="00AB69B9"/>
    <w:rsid w:val="00AC5324"/>
    <w:rsid w:val="00AD1B6B"/>
    <w:rsid w:val="00AE1738"/>
    <w:rsid w:val="00AE2E55"/>
    <w:rsid w:val="00B2670B"/>
    <w:rsid w:val="00B37F02"/>
    <w:rsid w:val="00B65D14"/>
    <w:rsid w:val="00B6750F"/>
    <w:rsid w:val="00B7385B"/>
    <w:rsid w:val="00B764ED"/>
    <w:rsid w:val="00B93B48"/>
    <w:rsid w:val="00B96C1D"/>
    <w:rsid w:val="00B97D08"/>
    <w:rsid w:val="00BA73CA"/>
    <w:rsid w:val="00BB17E1"/>
    <w:rsid w:val="00BB49F9"/>
    <w:rsid w:val="00BD17F2"/>
    <w:rsid w:val="00BE2089"/>
    <w:rsid w:val="00BE64B3"/>
    <w:rsid w:val="00BF1C32"/>
    <w:rsid w:val="00BF1FF0"/>
    <w:rsid w:val="00C02AFA"/>
    <w:rsid w:val="00C12EA8"/>
    <w:rsid w:val="00C170FE"/>
    <w:rsid w:val="00C3473E"/>
    <w:rsid w:val="00C35BAA"/>
    <w:rsid w:val="00C436D8"/>
    <w:rsid w:val="00C45B72"/>
    <w:rsid w:val="00C86142"/>
    <w:rsid w:val="00CC25EF"/>
    <w:rsid w:val="00D053C5"/>
    <w:rsid w:val="00D11AE0"/>
    <w:rsid w:val="00D17EC8"/>
    <w:rsid w:val="00D61C8E"/>
    <w:rsid w:val="00D71CBC"/>
    <w:rsid w:val="00DA0955"/>
    <w:rsid w:val="00DD25D4"/>
    <w:rsid w:val="00E10B7E"/>
    <w:rsid w:val="00E11B82"/>
    <w:rsid w:val="00E42F75"/>
    <w:rsid w:val="00E468E7"/>
    <w:rsid w:val="00E610D9"/>
    <w:rsid w:val="00E76501"/>
    <w:rsid w:val="00E83D23"/>
    <w:rsid w:val="00E83F06"/>
    <w:rsid w:val="00E857B1"/>
    <w:rsid w:val="00EA2F36"/>
    <w:rsid w:val="00EA5B7D"/>
    <w:rsid w:val="00EB6826"/>
    <w:rsid w:val="00EC06DC"/>
    <w:rsid w:val="00ED1B57"/>
    <w:rsid w:val="00EE47BF"/>
    <w:rsid w:val="00EE5252"/>
    <w:rsid w:val="00EF6A36"/>
    <w:rsid w:val="00EF6E0C"/>
    <w:rsid w:val="00F002B0"/>
    <w:rsid w:val="00F06F6A"/>
    <w:rsid w:val="00F16934"/>
    <w:rsid w:val="00F24699"/>
    <w:rsid w:val="00F55C0E"/>
    <w:rsid w:val="00F71E14"/>
    <w:rsid w:val="00F729D6"/>
    <w:rsid w:val="00F801DD"/>
    <w:rsid w:val="00FD2A7E"/>
    <w:rsid w:val="00FD3EBA"/>
    <w:rsid w:val="00FF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C0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List Bullet" w:qFormat="1"/>
    <w:lsdException w:name="List Number" w:qFormat="1"/>
    <w:lsdException w:name="List Bullet 2" w:qFormat="1"/>
    <w:lsdException w:name="List Number 2" w:qFormat="1"/>
    <w:lsdException w:name="Title" w:qFormat="1"/>
    <w:lsdException w:name="Body Text" w:qFormat="1"/>
    <w:lsdException w:name="Subtitle" w:qFormat="1"/>
    <w:lsdException w:name="Body Text 2" w:qFormat="1"/>
    <w:lsdException w:name="Body Text 3" w:qFormat="1"/>
    <w:lsdException w:name="Hyperlink"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9ED"/>
    <w:rPr>
      <w:sz w:val="24"/>
      <w:szCs w:val="24"/>
      <w:lang w:val="en-AU" w:eastAsia="en-AU"/>
    </w:rPr>
  </w:style>
  <w:style w:type="paragraph" w:styleId="Heading1">
    <w:name w:val="heading 1"/>
    <w:basedOn w:val="Title"/>
    <w:next w:val="Normal"/>
    <w:link w:val="Heading1Char"/>
    <w:qFormat/>
    <w:rsid w:val="00E83F06"/>
    <w:pPr>
      <w:numPr>
        <w:numId w:val="15"/>
      </w:numPr>
      <w:tabs>
        <w:tab w:val="left" w:pos="567"/>
      </w:tabs>
      <w:ind w:left="567" w:hanging="567"/>
      <w:jc w:val="left"/>
    </w:pPr>
    <w:rPr>
      <w:rFonts w:ascii="Arial" w:hAnsi="Arial" w:cs="Arial"/>
      <w:color w:val="00B5D6"/>
      <w:szCs w:val="44"/>
      <w:lang w:val="en-US"/>
    </w:rPr>
  </w:style>
  <w:style w:type="paragraph" w:styleId="Heading2">
    <w:name w:val="heading 2"/>
    <w:basedOn w:val="Normal"/>
    <w:next w:val="Normal"/>
    <w:qFormat/>
    <w:rsid w:val="00E83F06"/>
    <w:pPr>
      <w:numPr>
        <w:ilvl w:val="1"/>
        <w:numId w:val="15"/>
      </w:numPr>
      <w:tabs>
        <w:tab w:val="left" w:pos="567"/>
      </w:tabs>
      <w:spacing w:before="240" w:after="120"/>
      <w:outlineLvl w:val="1"/>
    </w:pPr>
    <w:rPr>
      <w:rFonts w:ascii="Arial" w:hAnsi="Arial" w:cs="Arial"/>
      <w:b/>
      <w:color w:val="00B5D6"/>
      <w:sz w:val="28"/>
      <w:szCs w:val="32"/>
      <w:lang w:val="en-US"/>
    </w:rPr>
  </w:style>
  <w:style w:type="paragraph" w:styleId="Heading3">
    <w:name w:val="heading 3"/>
    <w:basedOn w:val="Normal"/>
    <w:next w:val="Normal"/>
    <w:qFormat/>
    <w:rsid w:val="00005D30"/>
    <w:pPr>
      <w:numPr>
        <w:ilvl w:val="2"/>
        <w:numId w:val="15"/>
      </w:numPr>
      <w:spacing w:before="360" w:after="120"/>
      <w:outlineLvl w:val="2"/>
    </w:pPr>
    <w:rPr>
      <w:rFonts w:ascii="Arial" w:hAnsi="Arial" w:cs="Arial"/>
      <w:b/>
      <w:color w:val="00B5D6"/>
      <w:szCs w:val="32"/>
      <w:lang w:val="en-US"/>
    </w:rPr>
  </w:style>
  <w:style w:type="paragraph" w:styleId="Heading4">
    <w:name w:val="heading 4"/>
    <w:basedOn w:val="BodyText"/>
    <w:next w:val="Normal"/>
    <w:link w:val="Heading4Char"/>
    <w:qFormat/>
    <w:rsid w:val="002D25CE"/>
    <w:pPr>
      <w:numPr>
        <w:ilvl w:val="3"/>
        <w:numId w:val="15"/>
      </w:numPr>
      <w:outlineLvl w:val="3"/>
    </w:pPr>
    <w:rPr>
      <w:b/>
    </w:rPr>
  </w:style>
  <w:style w:type="paragraph" w:styleId="Heading5">
    <w:name w:val="heading 5"/>
    <w:basedOn w:val="BodyText"/>
    <w:next w:val="Normal"/>
    <w:link w:val="Heading5Char"/>
    <w:qFormat/>
    <w:rsid w:val="00ED1B57"/>
    <w:pPr>
      <w:numPr>
        <w:ilvl w:val="4"/>
        <w:numId w:val="15"/>
      </w:numPr>
      <w:spacing w:before="360"/>
      <w:outlineLvl w:val="4"/>
    </w:pPr>
    <w:rPr>
      <w:b/>
      <w:color w:val="00B5D6"/>
      <w:sz w:val="20"/>
    </w:rPr>
  </w:style>
  <w:style w:type="paragraph" w:styleId="Heading6">
    <w:name w:val="heading 6"/>
    <w:basedOn w:val="Normal"/>
    <w:next w:val="Normal"/>
    <w:link w:val="Heading6Char"/>
    <w:qFormat/>
    <w:rsid w:val="00005D30"/>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05D30"/>
    <w:pPr>
      <w:numPr>
        <w:ilvl w:val="6"/>
        <w:numId w:val="15"/>
      </w:numPr>
      <w:spacing w:before="240" w:after="60"/>
      <w:outlineLvl w:val="6"/>
    </w:pPr>
    <w:rPr>
      <w:rFonts w:ascii="Calibri" w:hAnsi="Calibri"/>
    </w:rPr>
  </w:style>
  <w:style w:type="paragraph" w:styleId="Heading8">
    <w:name w:val="heading 8"/>
    <w:basedOn w:val="Normal"/>
    <w:next w:val="Normal"/>
    <w:link w:val="Heading8Char"/>
    <w:qFormat/>
    <w:rsid w:val="00005D30"/>
    <w:pPr>
      <w:numPr>
        <w:ilvl w:val="7"/>
        <w:numId w:val="15"/>
      </w:numPr>
      <w:spacing w:before="240" w:after="60"/>
      <w:outlineLvl w:val="7"/>
    </w:pPr>
    <w:rPr>
      <w:rFonts w:ascii="Calibri" w:hAnsi="Calibri"/>
      <w:i/>
      <w:iCs/>
    </w:rPr>
  </w:style>
  <w:style w:type="paragraph" w:styleId="Heading9">
    <w:name w:val="heading 9"/>
    <w:basedOn w:val="Normal"/>
    <w:next w:val="Normal"/>
    <w:link w:val="Heading9Char"/>
    <w:qFormat/>
    <w:rsid w:val="00005D30"/>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56BB"/>
    <w:pPr>
      <w:tabs>
        <w:tab w:val="center" w:pos="4153"/>
        <w:tab w:val="right" w:pos="8306"/>
      </w:tabs>
    </w:pPr>
  </w:style>
  <w:style w:type="paragraph" w:styleId="Footer">
    <w:name w:val="footer"/>
    <w:basedOn w:val="Normal"/>
    <w:rsid w:val="003456BB"/>
    <w:pPr>
      <w:tabs>
        <w:tab w:val="center" w:pos="4153"/>
        <w:tab w:val="right" w:pos="8306"/>
      </w:tabs>
    </w:pPr>
  </w:style>
  <w:style w:type="character" w:customStyle="1" w:styleId="BulletCharChar">
    <w:name w:val="Bullet Char Char"/>
    <w:link w:val="Bullet"/>
    <w:rsid w:val="00BD17F2"/>
    <w:rPr>
      <w:sz w:val="24"/>
      <w:szCs w:val="24"/>
      <w:lang w:val="en-AU" w:eastAsia="en-AU" w:bidi="ar-SA"/>
    </w:rPr>
  </w:style>
  <w:style w:type="paragraph" w:customStyle="1" w:styleId="Bullet">
    <w:name w:val="Bullet"/>
    <w:basedOn w:val="Normal"/>
    <w:link w:val="BulletCharChar"/>
    <w:rsid w:val="00BD17F2"/>
    <w:pPr>
      <w:numPr>
        <w:numId w:val="1"/>
      </w:numPr>
      <w:tabs>
        <w:tab w:val="clear" w:pos="360"/>
      </w:tabs>
      <w:spacing w:line="260" w:lineRule="exact"/>
      <w:ind w:left="0" w:firstLine="0"/>
    </w:pPr>
  </w:style>
  <w:style w:type="character" w:customStyle="1" w:styleId="StyleCustomColorRGB85111128">
    <w:name w:val="Style Custom Color(RGB(85111128))"/>
    <w:rsid w:val="00BD17F2"/>
    <w:rPr>
      <w:color w:val="9FA52F"/>
    </w:rPr>
  </w:style>
  <w:style w:type="paragraph" w:styleId="BodyText">
    <w:name w:val="Body Text"/>
    <w:basedOn w:val="Normal"/>
    <w:link w:val="BodyTextChar"/>
    <w:qFormat/>
    <w:rsid w:val="00A2716E"/>
    <w:pPr>
      <w:spacing w:before="120" w:after="120"/>
    </w:pPr>
    <w:rPr>
      <w:rFonts w:ascii="Arial" w:hAnsi="Arial" w:cs="Arial"/>
      <w:sz w:val="22"/>
    </w:rPr>
  </w:style>
  <w:style w:type="character" w:styleId="PageNumber">
    <w:name w:val="page number"/>
    <w:basedOn w:val="DefaultParagraphFont"/>
    <w:rsid w:val="00E42F75"/>
  </w:style>
  <w:style w:type="character" w:customStyle="1" w:styleId="Heading1Char">
    <w:name w:val="Heading 1 Char"/>
    <w:link w:val="Heading1"/>
    <w:rsid w:val="00E83F06"/>
    <w:rPr>
      <w:rFonts w:ascii="Arial" w:hAnsi="Arial" w:cs="Arial"/>
      <w:b/>
      <w:bCs/>
      <w:color w:val="00B5D6"/>
      <w:kern w:val="28"/>
      <w:sz w:val="32"/>
      <w:szCs w:val="44"/>
      <w:lang w:val="en-US"/>
    </w:rPr>
  </w:style>
  <w:style w:type="paragraph" w:styleId="Title">
    <w:name w:val="Title"/>
    <w:basedOn w:val="Normal"/>
    <w:next w:val="Normal"/>
    <w:link w:val="TitleChar"/>
    <w:qFormat/>
    <w:rsid w:val="00694ED9"/>
    <w:pPr>
      <w:spacing w:before="240" w:after="60"/>
      <w:jc w:val="center"/>
      <w:outlineLvl w:val="0"/>
    </w:pPr>
    <w:rPr>
      <w:rFonts w:ascii="Cambria" w:hAnsi="Cambria"/>
      <w:b/>
      <w:bCs/>
      <w:kern w:val="28"/>
      <w:sz w:val="32"/>
      <w:szCs w:val="32"/>
    </w:rPr>
  </w:style>
  <w:style w:type="character" w:customStyle="1" w:styleId="TitleChar">
    <w:name w:val="Title Char"/>
    <w:link w:val="Title"/>
    <w:rsid w:val="00694ED9"/>
    <w:rPr>
      <w:rFonts w:ascii="Cambria" w:eastAsia="Times New Roman" w:hAnsi="Cambria" w:cs="Times New Roman"/>
      <w:b/>
      <w:bCs/>
      <w:kern w:val="28"/>
      <w:sz w:val="32"/>
      <w:szCs w:val="32"/>
    </w:rPr>
  </w:style>
  <w:style w:type="paragraph" w:customStyle="1" w:styleId="ColorfulList-Accent11">
    <w:name w:val="Colorful List - Accent 11"/>
    <w:basedOn w:val="Normal"/>
    <w:uiPriority w:val="34"/>
    <w:qFormat/>
    <w:rsid w:val="00694ED9"/>
    <w:pPr>
      <w:ind w:left="720"/>
      <w:contextualSpacing/>
    </w:pPr>
    <w:rPr>
      <w:rFonts w:eastAsia="MS Mincho"/>
      <w:lang w:val="en-US" w:eastAsia="en-US"/>
    </w:rPr>
  </w:style>
  <w:style w:type="paragraph" w:styleId="ListBullet">
    <w:name w:val="List Bullet"/>
    <w:basedOn w:val="Normal"/>
    <w:qFormat/>
    <w:rsid w:val="00390212"/>
    <w:pPr>
      <w:numPr>
        <w:numId w:val="3"/>
      </w:numPr>
      <w:tabs>
        <w:tab w:val="clear" w:pos="360"/>
        <w:tab w:val="left" w:pos="567"/>
      </w:tabs>
      <w:spacing w:after="120"/>
      <w:ind w:left="568" w:hanging="284"/>
    </w:pPr>
    <w:rPr>
      <w:rFonts w:ascii="Arial" w:hAnsi="Arial" w:cs="Arial"/>
      <w:sz w:val="22"/>
    </w:rPr>
  </w:style>
  <w:style w:type="character" w:customStyle="1" w:styleId="BodyTextChar">
    <w:name w:val="Body Text Char"/>
    <w:link w:val="BodyText"/>
    <w:rsid w:val="00A2716E"/>
    <w:rPr>
      <w:rFonts w:ascii="Arial" w:hAnsi="Arial" w:cs="Arial"/>
      <w:sz w:val="22"/>
      <w:szCs w:val="24"/>
    </w:rPr>
  </w:style>
  <w:style w:type="paragraph" w:styleId="BodyText2">
    <w:name w:val="Body Text 2"/>
    <w:basedOn w:val="Normal"/>
    <w:link w:val="BodyText2Char"/>
    <w:qFormat/>
    <w:rsid w:val="007D132A"/>
    <w:pPr>
      <w:spacing w:after="120"/>
    </w:pPr>
    <w:rPr>
      <w:rFonts w:ascii="Arial" w:hAnsi="Arial" w:cs="Arial"/>
      <w:i/>
      <w:sz w:val="20"/>
    </w:rPr>
  </w:style>
  <w:style w:type="character" w:customStyle="1" w:styleId="BodyText2Char">
    <w:name w:val="Body Text 2 Char"/>
    <w:link w:val="BodyText2"/>
    <w:rsid w:val="007D132A"/>
    <w:rPr>
      <w:rFonts w:ascii="Arial" w:hAnsi="Arial" w:cs="Arial"/>
      <w:i/>
      <w:szCs w:val="24"/>
    </w:rPr>
  </w:style>
  <w:style w:type="character" w:styleId="Emphasis">
    <w:name w:val="Emphasis"/>
    <w:qFormat/>
    <w:rsid w:val="008E0566"/>
    <w:rPr>
      <w:i/>
      <w:iCs/>
    </w:rPr>
  </w:style>
  <w:style w:type="paragraph" w:styleId="ListNumber">
    <w:name w:val="List Number"/>
    <w:basedOn w:val="Normal"/>
    <w:qFormat/>
    <w:rsid w:val="00390212"/>
    <w:pPr>
      <w:numPr>
        <w:numId w:val="8"/>
      </w:numPr>
      <w:tabs>
        <w:tab w:val="left" w:pos="567"/>
      </w:tabs>
      <w:spacing w:after="120"/>
      <w:ind w:left="568" w:hanging="284"/>
      <w:contextualSpacing/>
    </w:pPr>
    <w:rPr>
      <w:rFonts w:ascii="Arial" w:hAnsi="Arial" w:cs="Arial"/>
      <w:sz w:val="22"/>
    </w:rPr>
  </w:style>
  <w:style w:type="character" w:customStyle="1" w:styleId="Heading4Char">
    <w:name w:val="Heading 4 Char"/>
    <w:link w:val="Heading4"/>
    <w:rsid w:val="002D25CE"/>
    <w:rPr>
      <w:rFonts w:ascii="Arial" w:hAnsi="Arial" w:cs="Arial"/>
      <w:b/>
      <w:sz w:val="22"/>
      <w:szCs w:val="24"/>
    </w:rPr>
  </w:style>
  <w:style w:type="paragraph" w:styleId="ListNumber2">
    <w:name w:val="List Number 2"/>
    <w:basedOn w:val="BodyText"/>
    <w:qFormat/>
    <w:rsid w:val="008679C3"/>
    <w:pPr>
      <w:numPr>
        <w:numId w:val="13"/>
      </w:numPr>
      <w:tabs>
        <w:tab w:val="left" w:pos="1134"/>
      </w:tabs>
      <w:ind w:left="1134" w:hanging="567"/>
    </w:pPr>
  </w:style>
  <w:style w:type="character" w:customStyle="1" w:styleId="Heading5Char">
    <w:name w:val="Heading 5 Char"/>
    <w:link w:val="Heading5"/>
    <w:rsid w:val="00ED1B57"/>
    <w:rPr>
      <w:rFonts w:ascii="Arial" w:hAnsi="Arial" w:cs="Arial"/>
      <w:b/>
      <w:color w:val="00B5D6"/>
      <w:szCs w:val="24"/>
    </w:rPr>
  </w:style>
  <w:style w:type="paragraph" w:styleId="BodyText3">
    <w:name w:val="Body Text 3"/>
    <w:basedOn w:val="BodyText"/>
    <w:link w:val="BodyText3Char"/>
    <w:qFormat/>
    <w:rsid w:val="00F71E14"/>
    <w:rPr>
      <w:sz w:val="20"/>
    </w:rPr>
  </w:style>
  <w:style w:type="character" w:customStyle="1" w:styleId="BodyText3Char">
    <w:name w:val="Body Text 3 Char"/>
    <w:link w:val="BodyText3"/>
    <w:rsid w:val="00F71E14"/>
    <w:rPr>
      <w:rFonts w:ascii="Arial" w:hAnsi="Arial" w:cs="Arial"/>
      <w:szCs w:val="24"/>
    </w:rPr>
  </w:style>
  <w:style w:type="character" w:styleId="Hyperlink">
    <w:name w:val="Hyperlink"/>
    <w:qFormat/>
    <w:rsid w:val="006913F4"/>
    <w:rPr>
      <w:color w:val="00B5D6"/>
      <w:u w:val="single"/>
    </w:rPr>
  </w:style>
  <w:style w:type="paragraph" w:styleId="EndnoteText">
    <w:name w:val="endnote text"/>
    <w:basedOn w:val="Normal"/>
    <w:link w:val="EndnoteTextChar"/>
    <w:rsid w:val="00152706"/>
    <w:rPr>
      <w:sz w:val="20"/>
      <w:szCs w:val="20"/>
    </w:rPr>
  </w:style>
  <w:style w:type="character" w:customStyle="1" w:styleId="EndnoteTextChar">
    <w:name w:val="Endnote Text Char"/>
    <w:basedOn w:val="DefaultParagraphFont"/>
    <w:link w:val="EndnoteText"/>
    <w:rsid w:val="00152706"/>
  </w:style>
  <w:style w:type="character" w:styleId="EndnoteReference">
    <w:name w:val="endnote reference"/>
    <w:rsid w:val="00152706"/>
    <w:rPr>
      <w:vertAlign w:val="superscript"/>
    </w:rPr>
  </w:style>
  <w:style w:type="paragraph" w:styleId="FootnoteText">
    <w:name w:val="footnote text"/>
    <w:basedOn w:val="Normal"/>
    <w:link w:val="FootnoteTextChar"/>
    <w:rsid w:val="00152706"/>
    <w:rPr>
      <w:sz w:val="20"/>
      <w:szCs w:val="20"/>
    </w:rPr>
  </w:style>
  <w:style w:type="character" w:customStyle="1" w:styleId="FootnoteTextChar">
    <w:name w:val="Footnote Text Char"/>
    <w:basedOn w:val="DefaultParagraphFont"/>
    <w:link w:val="FootnoteText"/>
    <w:rsid w:val="00152706"/>
  </w:style>
  <w:style w:type="character" w:styleId="FootnoteReference">
    <w:name w:val="footnote reference"/>
    <w:rsid w:val="00152706"/>
    <w:rPr>
      <w:vertAlign w:val="superscript"/>
    </w:rPr>
  </w:style>
  <w:style w:type="paragraph" w:styleId="ListBullet2">
    <w:name w:val="List Bullet 2"/>
    <w:basedOn w:val="Normal"/>
    <w:qFormat/>
    <w:rsid w:val="008C0FD4"/>
    <w:pPr>
      <w:numPr>
        <w:numId w:val="14"/>
      </w:numPr>
      <w:tabs>
        <w:tab w:val="left" w:pos="993"/>
      </w:tabs>
      <w:spacing w:after="120"/>
      <w:ind w:left="993" w:hanging="284"/>
    </w:pPr>
    <w:rPr>
      <w:rFonts w:ascii="Arial" w:hAnsi="Arial" w:cs="Arial"/>
      <w:sz w:val="22"/>
      <w:szCs w:val="22"/>
    </w:rPr>
  </w:style>
  <w:style w:type="character" w:styleId="FollowedHyperlink">
    <w:name w:val="FollowedHyperlink"/>
    <w:rsid w:val="00035D73"/>
    <w:rPr>
      <w:color w:val="800080"/>
      <w:u w:val="single"/>
    </w:rPr>
  </w:style>
  <w:style w:type="character" w:customStyle="1" w:styleId="Heading6Char">
    <w:name w:val="Heading 6 Char"/>
    <w:link w:val="Heading6"/>
    <w:semiHidden/>
    <w:rsid w:val="00005D30"/>
    <w:rPr>
      <w:rFonts w:ascii="Calibri" w:eastAsia="Times New Roman" w:hAnsi="Calibri" w:cs="Times New Roman"/>
      <w:b/>
      <w:bCs/>
      <w:sz w:val="22"/>
      <w:szCs w:val="22"/>
    </w:rPr>
  </w:style>
  <w:style w:type="character" w:customStyle="1" w:styleId="Heading7Char">
    <w:name w:val="Heading 7 Char"/>
    <w:link w:val="Heading7"/>
    <w:semiHidden/>
    <w:rsid w:val="00005D30"/>
    <w:rPr>
      <w:rFonts w:ascii="Calibri" w:eastAsia="Times New Roman" w:hAnsi="Calibri" w:cs="Times New Roman"/>
      <w:sz w:val="24"/>
      <w:szCs w:val="24"/>
    </w:rPr>
  </w:style>
  <w:style w:type="character" w:customStyle="1" w:styleId="Heading8Char">
    <w:name w:val="Heading 8 Char"/>
    <w:link w:val="Heading8"/>
    <w:semiHidden/>
    <w:rsid w:val="00005D30"/>
    <w:rPr>
      <w:rFonts w:ascii="Calibri" w:eastAsia="Times New Roman" w:hAnsi="Calibri" w:cs="Times New Roman"/>
      <w:i/>
      <w:iCs/>
      <w:sz w:val="24"/>
      <w:szCs w:val="24"/>
    </w:rPr>
  </w:style>
  <w:style w:type="character" w:customStyle="1" w:styleId="Heading9Char">
    <w:name w:val="Heading 9 Char"/>
    <w:link w:val="Heading9"/>
    <w:semiHidden/>
    <w:rsid w:val="00005D30"/>
    <w:rPr>
      <w:rFonts w:ascii="Cambria" w:eastAsia="Times New Roman" w:hAnsi="Cambria" w:cs="Times New Roman"/>
      <w:sz w:val="22"/>
      <w:szCs w:val="22"/>
    </w:rPr>
  </w:style>
  <w:style w:type="paragraph" w:styleId="BalloonText">
    <w:name w:val="Balloon Text"/>
    <w:basedOn w:val="Normal"/>
    <w:link w:val="BalloonTextChar"/>
    <w:rsid w:val="00244912"/>
    <w:rPr>
      <w:rFonts w:ascii="Lucida Grande" w:hAnsi="Lucida Grande" w:cs="Lucida Grande"/>
      <w:sz w:val="18"/>
      <w:szCs w:val="18"/>
    </w:rPr>
  </w:style>
  <w:style w:type="character" w:customStyle="1" w:styleId="BalloonTextChar">
    <w:name w:val="Balloon Text Char"/>
    <w:link w:val="BalloonText"/>
    <w:rsid w:val="00244912"/>
    <w:rPr>
      <w:rFonts w:ascii="Lucida Grande" w:hAnsi="Lucida Grande" w:cs="Lucida Grande"/>
      <w:sz w:val="18"/>
      <w:szCs w:val="18"/>
      <w:lang w:eastAsia="en-AU"/>
    </w:rPr>
  </w:style>
  <w:style w:type="paragraph" w:styleId="Revision">
    <w:name w:val="Revision"/>
    <w:hidden/>
    <w:uiPriority w:val="71"/>
    <w:rsid w:val="00B7385B"/>
    <w:rPr>
      <w:sz w:val="24"/>
      <w:szCs w:val="24"/>
      <w:lang w:val="en-AU" w:eastAsia="en-AU"/>
    </w:rPr>
  </w:style>
  <w:style w:type="paragraph" w:styleId="TOCHeading">
    <w:name w:val="TOC Heading"/>
    <w:basedOn w:val="Heading1"/>
    <w:next w:val="Normal"/>
    <w:uiPriority w:val="39"/>
    <w:unhideWhenUsed/>
    <w:qFormat/>
    <w:rsid w:val="00B764ED"/>
    <w:pPr>
      <w:keepNext/>
      <w:keepLines/>
      <w:numPr>
        <w:numId w:val="0"/>
      </w:numPr>
      <w:tabs>
        <w:tab w:val="clear" w:pos="567"/>
      </w:tabs>
      <w:spacing w:before="480" w:after="0" w:line="276" w:lineRule="auto"/>
      <w:outlineLvl w:val="9"/>
    </w:pPr>
    <w:rPr>
      <w:rFonts w:ascii="Calibri" w:eastAsia="MS Gothic" w:hAnsi="Calibri" w:cs="Times New Roman"/>
      <w:color w:val="365F91"/>
      <w:kern w:val="0"/>
      <w:sz w:val="28"/>
      <w:szCs w:val="28"/>
      <w:lang w:eastAsia="en-US"/>
    </w:rPr>
  </w:style>
  <w:style w:type="paragraph" w:styleId="TOC1">
    <w:name w:val="toc 1"/>
    <w:basedOn w:val="Normal"/>
    <w:next w:val="Normal"/>
    <w:autoRedefine/>
    <w:uiPriority w:val="39"/>
    <w:rsid w:val="00B764ED"/>
    <w:pPr>
      <w:spacing w:before="120"/>
    </w:pPr>
    <w:rPr>
      <w:rFonts w:asciiTheme="minorHAnsi" w:hAnsiTheme="minorHAnsi"/>
      <w:b/>
    </w:rPr>
  </w:style>
  <w:style w:type="paragraph" w:styleId="TOC2">
    <w:name w:val="toc 2"/>
    <w:basedOn w:val="Normal"/>
    <w:next w:val="Normal"/>
    <w:autoRedefine/>
    <w:uiPriority w:val="39"/>
    <w:rsid w:val="00B764ED"/>
    <w:pPr>
      <w:ind w:left="240"/>
    </w:pPr>
    <w:rPr>
      <w:rFonts w:asciiTheme="minorHAnsi" w:hAnsiTheme="minorHAnsi"/>
      <w:b/>
      <w:sz w:val="22"/>
      <w:szCs w:val="22"/>
    </w:rPr>
  </w:style>
  <w:style w:type="paragraph" w:styleId="TOC3">
    <w:name w:val="toc 3"/>
    <w:basedOn w:val="Normal"/>
    <w:next w:val="Normal"/>
    <w:autoRedefine/>
    <w:uiPriority w:val="39"/>
    <w:rsid w:val="00B764ED"/>
    <w:pPr>
      <w:ind w:left="480"/>
    </w:pPr>
    <w:rPr>
      <w:rFonts w:asciiTheme="minorHAnsi" w:hAnsiTheme="minorHAnsi"/>
      <w:sz w:val="22"/>
      <w:szCs w:val="22"/>
    </w:rPr>
  </w:style>
  <w:style w:type="paragraph" w:styleId="TOC4">
    <w:name w:val="toc 4"/>
    <w:basedOn w:val="Normal"/>
    <w:next w:val="Normal"/>
    <w:autoRedefine/>
    <w:rsid w:val="00B764ED"/>
    <w:pPr>
      <w:ind w:left="720"/>
    </w:pPr>
    <w:rPr>
      <w:rFonts w:asciiTheme="minorHAnsi" w:hAnsiTheme="minorHAnsi"/>
      <w:sz w:val="20"/>
      <w:szCs w:val="20"/>
    </w:rPr>
  </w:style>
  <w:style w:type="paragraph" w:styleId="TOC5">
    <w:name w:val="toc 5"/>
    <w:basedOn w:val="Normal"/>
    <w:next w:val="Normal"/>
    <w:autoRedefine/>
    <w:rsid w:val="00B764ED"/>
    <w:pPr>
      <w:ind w:left="960"/>
    </w:pPr>
    <w:rPr>
      <w:rFonts w:asciiTheme="minorHAnsi" w:hAnsiTheme="minorHAnsi"/>
      <w:sz w:val="20"/>
      <w:szCs w:val="20"/>
    </w:rPr>
  </w:style>
  <w:style w:type="paragraph" w:styleId="TOC6">
    <w:name w:val="toc 6"/>
    <w:basedOn w:val="Normal"/>
    <w:next w:val="Normal"/>
    <w:autoRedefine/>
    <w:rsid w:val="00B764ED"/>
    <w:pPr>
      <w:ind w:left="1200"/>
    </w:pPr>
    <w:rPr>
      <w:rFonts w:asciiTheme="minorHAnsi" w:hAnsiTheme="minorHAnsi"/>
      <w:sz w:val="20"/>
      <w:szCs w:val="20"/>
    </w:rPr>
  </w:style>
  <w:style w:type="paragraph" w:styleId="TOC7">
    <w:name w:val="toc 7"/>
    <w:basedOn w:val="Normal"/>
    <w:next w:val="Normal"/>
    <w:autoRedefine/>
    <w:rsid w:val="00B764ED"/>
    <w:pPr>
      <w:ind w:left="1440"/>
    </w:pPr>
    <w:rPr>
      <w:rFonts w:asciiTheme="minorHAnsi" w:hAnsiTheme="minorHAnsi"/>
      <w:sz w:val="20"/>
      <w:szCs w:val="20"/>
    </w:rPr>
  </w:style>
  <w:style w:type="paragraph" w:styleId="TOC8">
    <w:name w:val="toc 8"/>
    <w:basedOn w:val="Normal"/>
    <w:next w:val="Normal"/>
    <w:autoRedefine/>
    <w:rsid w:val="00B764ED"/>
    <w:pPr>
      <w:ind w:left="1680"/>
    </w:pPr>
    <w:rPr>
      <w:rFonts w:asciiTheme="minorHAnsi" w:hAnsiTheme="minorHAnsi"/>
      <w:sz w:val="20"/>
      <w:szCs w:val="20"/>
    </w:rPr>
  </w:style>
  <w:style w:type="paragraph" w:styleId="TOC9">
    <w:name w:val="toc 9"/>
    <w:basedOn w:val="Normal"/>
    <w:next w:val="Normal"/>
    <w:autoRedefine/>
    <w:rsid w:val="00B764ED"/>
    <w:pPr>
      <w:ind w:left="1920"/>
    </w:pPr>
    <w:rPr>
      <w:rFonts w:asciiTheme="minorHAnsi" w:hAnsiTheme="minorHAnsi"/>
      <w:sz w:val="20"/>
      <w:szCs w:val="20"/>
    </w:rPr>
  </w:style>
  <w:style w:type="paragraph" w:customStyle="1" w:styleId="Bulletform">
    <w:name w:val="Bullet form"/>
    <w:basedOn w:val="Normal"/>
    <w:rsid w:val="001B42A2"/>
    <w:pPr>
      <w:numPr>
        <w:numId w:val="20"/>
      </w:numPr>
      <w:spacing w:before="120"/>
      <w:ind w:left="714" w:hanging="357"/>
      <w:jc w:val="both"/>
    </w:pPr>
    <w:rPr>
      <w:rFonts w:ascii="GoudyOlSt BT" w:hAnsi="GoudyOlSt BT"/>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List Bullet" w:qFormat="1"/>
    <w:lsdException w:name="List Number" w:qFormat="1"/>
    <w:lsdException w:name="List Bullet 2" w:qFormat="1"/>
    <w:lsdException w:name="List Number 2" w:qFormat="1"/>
    <w:lsdException w:name="Title" w:qFormat="1"/>
    <w:lsdException w:name="Body Text" w:qFormat="1"/>
    <w:lsdException w:name="Subtitle" w:qFormat="1"/>
    <w:lsdException w:name="Body Text 2" w:qFormat="1"/>
    <w:lsdException w:name="Body Text 3" w:qFormat="1"/>
    <w:lsdException w:name="Hyperlink"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9ED"/>
    <w:rPr>
      <w:sz w:val="24"/>
      <w:szCs w:val="24"/>
      <w:lang w:val="en-AU" w:eastAsia="en-AU"/>
    </w:rPr>
  </w:style>
  <w:style w:type="paragraph" w:styleId="Heading1">
    <w:name w:val="heading 1"/>
    <w:basedOn w:val="Title"/>
    <w:next w:val="Normal"/>
    <w:link w:val="Heading1Char"/>
    <w:qFormat/>
    <w:rsid w:val="00E83F06"/>
    <w:pPr>
      <w:numPr>
        <w:numId w:val="15"/>
      </w:numPr>
      <w:tabs>
        <w:tab w:val="left" w:pos="567"/>
      </w:tabs>
      <w:ind w:left="567" w:hanging="567"/>
      <w:jc w:val="left"/>
    </w:pPr>
    <w:rPr>
      <w:rFonts w:ascii="Arial" w:hAnsi="Arial" w:cs="Arial"/>
      <w:color w:val="00B5D6"/>
      <w:szCs w:val="44"/>
      <w:lang w:val="en-US"/>
    </w:rPr>
  </w:style>
  <w:style w:type="paragraph" w:styleId="Heading2">
    <w:name w:val="heading 2"/>
    <w:basedOn w:val="Normal"/>
    <w:next w:val="Normal"/>
    <w:qFormat/>
    <w:rsid w:val="00E83F06"/>
    <w:pPr>
      <w:numPr>
        <w:ilvl w:val="1"/>
        <w:numId w:val="15"/>
      </w:numPr>
      <w:tabs>
        <w:tab w:val="left" w:pos="567"/>
      </w:tabs>
      <w:spacing w:before="240" w:after="120"/>
      <w:outlineLvl w:val="1"/>
    </w:pPr>
    <w:rPr>
      <w:rFonts w:ascii="Arial" w:hAnsi="Arial" w:cs="Arial"/>
      <w:b/>
      <w:color w:val="00B5D6"/>
      <w:sz w:val="28"/>
      <w:szCs w:val="32"/>
      <w:lang w:val="en-US"/>
    </w:rPr>
  </w:style>
  <w:style w:type="paragraph" w:styleId="Heading3">
    <w:name w:val="heading 3"/>
    <w:basedOn w:val="Normal"/>
    <w:next w:val="Normal"/>
    <w:qFormat/>
    <w:rsid w:val="00005D30"/>
    <w:pPr>
      <w:numPr>
        <w:ilvl w:val="2"/>
        <w:numId w:val="15"/>
      </w:numPr>
      <w:spacing w:before="360" w:after="120"/>
      <w:outlineLvl w:val="2"/>
    </w:pPr>
    <w:rPr>
      <w:rFonts w:ascii="Arial" w:hAnsi="Arial" w:cs="Arial"/>
      <w:b/>
      <w:color w:val="00B5D6"/>
      <w:szCs w:val="32"/>
      <w:lang w:val="en-US"/>
    </w:rPr>
  </w:style>
  <w:style w:type="paragraph" w:styleId="Heading4">
    <w:name w:val="heading 4"/>
    <w:basedOn w:val="BodyText"/>
    <w:next w:val="Normal"/>
    <w:link w:val="Heading4Char"/>
    <w:qFormat/>
    <w:rsid w:val="002D25CE"/>
    <w:pPr>
      <w:numPr>
        <w:ilvl w:val="3"/>
        <w:numId w:val="15"/>
      </w:numPr>
      <w:outlineLvl w:val="3"/>
    </w:pPr>
    <w:rPr>
      <w:b/>
    </w:rPr>
  </w:style>
  <w:style w:type="paragraph" w:styleId="Heading5">
    <w:name w:val="heading 5"/>
    <w:basedOn w:val="BodyText"/>
    <w:next w:val="Normal"/>
    <w:link w:val="Heading5Char"/>
    <w:qFormat/>
    <w:rsid w:val="00ED1B57"/>
    <w:pPr>
      <w:numPr>
        <w:ilvl w:val="4"/>
        <w:numId w:val="15"/>
      </w:numPr>
      <w:spacing w:before="360"/>
      <w:outlineLvl w:val="4"/>
    </w:pPr>
    <w:rPr>
      <w:b/>
      <w:color w:val="00B5D6"/>
      <w:sz w:val="20"/>
    </w:rPr>
  </w:style>
  <w:style w:type="paragraph" w:styleId="Heading6">
    <w:name w:val="heading 6"/>
    <w:basedOn w:val="Normal"/>
    <w:next w:val="Normal"/>
    <w:link w:val="Heading6Char"/>
    <w:qFormat/>
    <w:rsid w:val="00005D30"/>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05D30"/>
    <w:pPr>
      <w:numPr>
        <w:ilvl w:val="6"/>
        <w:numId w:val="15"/>
      </w:numPr>
      <w:spacing w:before="240" w:after="60"/>
      <w:outlineLvl w:val="6"/>
    </w:pPr>
    <w:rPr>
      <w:rFonts w:ascii="Calibri" w:hAnsi="Calibri"/>
    </w:rPr>
  </w:style>
  <w:style w:type="paragraph" w:styleId="Heading8">
    <w:name w:val="heading 8"/>
    <w:basedOn w:val="Normal"/>
    <w:next w:val="Normal"/>
    <w:link w:val="Heading8Char"/>
    <w:qFormat/>
    <w:rsid w:val="00005D30"/>
    <w:pPr>
      <w:numPr>
        <w:ilvl w:val="7"/>
        <w:numId w:val="15"/>
      </w:numPr>
      <w:spacing w:before="240" w:after="60"/>
      <w:outlineLvl w:val="7"/>
    </w:pPr>
    <w:rPr>
      <w:rFonts w:ascii="Calibri" w:hAnsi="Calibri"/>
      <w:i/>
      <w:iCs/>
    </w:rPr>
  </w:style>
  <w:style w:type="paragraph" w:styleId="Heading9">
    <w:name w:val="heading 9"/>
    <w:basedOn w:val="Normal"/>
    <w:next w:val="Normal"/>
    <w:link w:val="Heading9Char"/>
    <w:qFormat/>
    <w:rsid w:val="00005D30"/>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56BB"/>
    <w:pPr>
      <w:tabs>
        <w:tab w:val="center" w:pos="4153"/>
        <w:tab w:val="right" w:pos="8306"/>
      </w:tabs>
    </w:pPr>
  </w:style>
  <w:style w:type="paragraph" w:styleId="Footer">
    <w:name w:val="footer"/>
    <w:basedOn w:val="Normal"/>
    <w:rsid w:val="003456BB"/>
    <w:pPr>
      <w:tabs>
        <w:tab w:val="center" w:pos="4153"/>
        <w:tab w:val="right" w:pos="8306"/>
      </w:tabs>
    </w:pPr>
  </w:style>
  <w:style w:type="character" w:customStyle="1" w:styleId="BulletCharChar">
    <w:name w:val="Bullet Char Char"/>
    <w:link w:val="Bullet"/>
    <w:rsid w:val="00BD17F2"/>
    <w:rPr>
      <w:sz w:val="24"/>
      <w:szCs w:val="24"/>
      <w:lang w:val="en-AU" w:eastAsia="en-AU" w:bidi="ar-SA"/>
    </w:rPr>
  </w:style>
  <w:style w:type="paragraph" w:customStyle="1" w:styleId="Bullet">
    <w:name w:val="Bullet"/>
    <w:basedOn w:val="Normal"/>
    <w:link w:val="BulletCharChar"/>
    <w:rsid w:val="00BD17F2"/>
    <w:pPr>
      <w:numPr>
        <w:numId w:val="1"/>
      </w:numPr>
      <w:tabs>
        <w:tab w:val="clear" w:pos="360"/>
      </w:tabs>
      <w:spacing w:line="260" w:lineRule="exact"/>
      <w:ind w:left="0" w:firstLine="0"/>
    </w:pPr>
  </w:style>
  <w:style w:type="character" w:customStyle="1" w:styleId="StyleCustomColorRGB85111128">
    <w:name w:val="Style Custom Color(RGB(85111128))"/>
    <w:rsid w:val="00BD17F2"/>
    <w:rPr>
      <w:color w:val="9FA52F"/>
    </w:rPr>
  </w:style>
  <w:style w:type="paragraph" w:styleId="BodyText">
    <w:name w:val="Body Text"/>
    <w:basedOn w:val="Normal"/>
    <w:link w:val="BodyTextChar"/>
    <w:qFormat/>
    <w:rsid w:val="00A2716E"/>
    <w:pPr>
      <w:spacing w:before="120" w:after="120"/>
    </w:pPr>
    <w:rPr>
      <w:rFonts w:ascii="Arial" w:hAnsi="Arial" w:cs="Arial"/>
      <w:sz w:val="22"/>
    </w:rPr>
  </w:style>
  <w:style w:type="character" w:styleId="PageNumber">
    <w:name w:val="page number"/>
    <w:basedOn w:val="DefaultParagraphFont"/>
    <w:rsid w:val="00E42F75"/>
  </w:style>
  <w:style w:type="character" w:customStyle="1" w:styleId="Heading1Char">
    <w:name w:val="Heading 1 Char"/>
    <w:link w:val="Heading1"/>
    <w:rsid w:val="00E83F06"/>
    <w:rPr>
      <w:rFonts w:ascii="Arial" w:hAnsi="Arial" w:cs="Arial"/>
      <w:b/>
      <w:bCs/>
      <w:color w:val="00B5D6"/>
      <w:kern w:val="28"/>
      <w:sz w:val="32"/>
      <w:szCs w:val="44"/>
      <w:lang w:val="en-US"/>
    </w:rPr>
  </w:style>
  <w:style w:type="paragraph" w:styleId="Title">
    <w:name w:val="Title"/>
    <w:basedOn w:val="Normal"/>
    <w:next w:val="Normal"/>
    <w:link w:val="TitleChar"/>
    <w:qFormat/>
    <w:rsid w:val="00694ED9"/>
    <w:pPr>
      <w:spacing w:before="240" w:after="60"/>
      <w:jc w:val="center"/>
      <w:outlineLvl w:val="0"/>
    </w:pPr>
    <w:rPr>
      <w:rFonts w:ascii="Cambria" w:hAnsi="Cambria"/>
      <w:b/>
      <w:bCs/>
      <w:kern w:val="28"/>
      <w:sz w:val="32"/>
      <w:szCs w:val="32"/>
    </w:rPr>
  </w:style>
  <w:style w:type="character" w:customStyle="1" w:styleId="TitleChar">
    <w:name w:val="Title Char"/>
    <w:link w:val="Title"/>
    <w:rsid w:val="00694ED9"/>
    <w:rPr>
      <w:rFonts w:ascii="Cambria" w:eastAsia="Times New Roman" w:hAnsi="Cambria" w:cs="Times New Roman"/>
      <w:b/>
      <w:bCs/>
      <w:kern w:val="28"/>
      <w:sz w:val="32"/>
      <w:szCs w:val="32"/>
    </w:rPr>
  </w:style>
  <w:style w:type="paragraph" w:customStyle="1" w:styleId="ColorfulList-Accent11">
    <w:name w:val="Colorful List - Accent 11"/>
    <w:basedOn w:val="Normal"/>
    <w:uiPriority w:val="34"/>
    <w:qFormat/>
    <w:rsid w:val="00694ED9"/>
    <w:pPr>
      <w:ind w:left="720"/>
      <w:contextualSpacing/>
    </w:pPr>
    <w:rPr>
      <w:rFonts w:eastAsia="MS Mincho"/>
      <w:lang w:val="en-US" w:eastAsia="en-US"/>
    </w:rPr>
  </w:style>
  <w:style w:type="paragraph" w:styleId="ListBullet">
    <w:name w:val="List Bullet"/>
    <w:basedOn w:val="Normal"/>
    <w:qFormat/>
    <w:rsid w:val="00390212"/>
    <w:pPr>
      <w:numPr>
        <w:numId w:val="3"/>
      </w:numPr>
      <w:tabs>
        <w:tab w:val="clear" w:pos="360"/>
        <w:tab w:val="left" w:pos="567"/>
      </w:tabs>
      <w:spacing w:after="120"/>
      <w:ind w:left="568" w:hanging="284"/>
    </w:pPr>
    <w:rPr>
      <w:rFonts w:ascii="Arial" w:hAnsi="Arial" w:cs="Arial"/>
      <w:sz w:val="22"/>
    </w:rPr>
  </w:style>
  <w:style w:type="character" w:customStyle="1" w:styleId="BodyTextChar">
    <w:name w:val="Body Text Char"/>
    <w:link w:val="BodyText"/>
    <w:rsid w:val="00A2716E"/>
    <w:rPr>
      <w:rFonts w:ascii="Arial" w:hAnsi="Arial" w:cs="Arial"/>
      <w:sz w:val="22"/>
      <w:szCs w:val="24"/>
    </w:rPr>
  </w:style>
  <w:style w:type="paragraph" w:styleId="BodyText2">
    <w:name w:val="Body Text 2"/>
    <w:basedOn w:val="Normal"/>
    <w:link w:val="BodyText2Char"/>
    <w:qFormat/>
    <w:rsid w:val="007D132A"/>
    <w:pPr>
      <w:spacing w:after="120"/>
    </w:pPr>
    <w:rPr>
      <w:rFonts w:ascii="Arial" w:hAnsi="Arial" w:cs="Arial"/>
      <w:i/>
      <w:sz w:val="20"/>
    </w:rPr>
  </w:style>
  <w:style w:type="character" w:customStyle="1" w:styleId="BodyText2Char">
    <w:name w:val="Body Text 2 Char"/>
    <w:link w:val="BodyText2"/>
    <w:rsid w:val="007D132A"/>
    <w:rPr>
      <w:rFonts w:ascii="Arial" w:hAnsi="Arial" w:cs="Arial"/>
      <w:i/>
      <w:szCs w:val="24"/>
    </w:rPr>
  </w:style>
  <w:style w:type="character" w:styleId="Emphasis">
    <w:name w:val="Emphasis"/>
    <w:qFormat/>
    <w:rsid w:val="008E0566"/>
    <w:rPr>
      <w:i/>
      <w:iCs/>
    </w:rPr>
  </w:style>
  <w:style w:type="paragraph" w:styleId="ListNumber">
    <w:name w:val="List Number"/>
    <w:basedOn w:val="Normal"/>
    <w:qFormat/>
    <w:rsid w:val="00390212"/>
    <w:pPr>
      <w:numPr>
        <w:numId w:val="8"/>
      </w:numPr>
      <w:tabs>
        <w:tab w:val="left" w:pos="567"/>
      </w:tabs>
      <w:spacing w:after="120"/>
      <w:ind w:left="568" w:hanging="284"/>
      <w:contextualSpacing/>
    </w:pPr>
    <w:rPr>
      <w:rFonts w:ascii="Arial" w:hAnsi="Arial" w:cs="Arial"/>
      <w:sz w:val="22"/>
    </w:rPr>
  </w:style>
  <w:style w:type="character" w:customStyle="1" w:styleId="Heading4Char">
    <w:name w:val="Heading 4 Char"/>
    <w:link w:val="Heading4"/>
    <w:rsid w:val="002D25CE"/>
    <w:rPr>
      <w:rFonts w:ascii="Arial" w:hAnsi="Arial" w:cs="Arial"/>
      <w:b/>
      <w:sz w:val="22"/>
      <w:szCs w:val="24"/>
    </w:rPr>
  </w:style>
  <w:style w:type="paragraph" w:styleId="ListNumber2">
    <w:name w:val="List Number 2"/>
    <w:basedOn w:val="BodyText"/>
    <w:qFormat/>
    <w:rsid w:val="008679C3"/>
    <w:pPr>
      <w:numPr>
        <w:numId w:val="13"/>
      </w:numPr>
      <w:tabs>
        <w:tab w:val="left" w:pos="1134"/>
      </w:tabs>
      <w:ind w:left="1134" w:hanging="567"/>
    </w:pPr>
  </w:style>
  <w:style w:type="character" w:customStyle="1" w:styleId="Heading5Char">
    <w:name w:val="Heading 5 Char"/>
    <w:link w:val="Heading5"/>
    <w:rsid w:val="00ED1B57"/>
    <w:rPr>
      <w:rFonts w:ascii="Arial" w:hAnsi="Arial" w:cs="Arial"/>
      <w:b/>
      <w:color w:val="00B5D6"/>
      <w:szCs w:val="24"/>
    </w:rPr>
  </w:style>
  <w:style w:type="paragraph" w:styleId="BodyText3">
    <w:name w:val="Body Text 3"/>
    <w:basedOn w:val="BodyText"/>
    <w:link w:val="BodyText3Char"/>
    <w:qFormat/>
    <w:rsid w:val="00F71E14"/>
    <w:rPr>
      <w:sz w:val="20"/>
    </w:rPr>
  </w:style>
  <w:style w:type="character" w:customStyle="1" w:styleId="BodyText3Char">
    <w:name w:val="Body Text 3 Char"/>
    <w:link w:val="BodyText3"/>
    <w:rsid w:val="00F71E14"/>
    <w:rPr>
      <w:rFonts w:ascii="Arial" w:hAnsi="Arial" w:cs="Arial"/>
      <w:szCs w:val="24"/>
    </w:rPr>
  </w:style>
  <w:style w:type="character" w:styleId="Hyperlink">
    <w:name w:val="Hyperlink"/>
    <w:qFormat/>
    <w:rsid w:val="006913F4"/>
    <w:rPr>
      <w:color w:val="00B5D6"/>
      <w:u w:val="single"/>
    </w:rPr>
  </w:style>
  <w:style w:type="paragraph" w:styleId="EndnoteText">
    <w:name w:val="endnote text"/>
    <w:basedOn w:val="Normal"/>
    <w:link w:val="EndnoteTextChar"/>
    <w:rsid w:val="00152706"/>
    <w:rPr>
      <w:sz w:val="20"/>
      <w:szCs w:val="20"/>
    </w:rPr>
  </w:style>
  <w:style w:type="character" w:customStyle="1" w:styleId="EndnoteTextChar">
    <w:name w:val="Endnote Text Char"/>
    <w:basedOn w:val="DefaultParagraphFont"/>
    <w:link w:val="EndnoteText"/>
    <w:rsid w:val="00152706"/>
  </w:style>
  <w:style w:type="character" w:styleId="EndnoteReference">
    <w:name w:val="endnote reference"/>
    <w:rsid w:val="00152706"/>
    <w:rPr>
      <w:vertAlign w:val="superscript"/>
    </w:rPr>
  </w:style>
  <w:style w:type="paragraph" w:styleId="FootnoteText">
    <w:name w:val="footnote text"/>
    <w:basedOn w:val="Normal"/>
    <w:link w:val="FootnoteTextChar"/>
    <w:rsid w:val="00152706"/>
    <w:rPr>
      <w:sz w:val="20"/>
      <w:szCs w:val="20"/>
    </w:rPr>
  </w:style>
  <w:style w:type="character" w:customStyle="1" w:styleId="FootnoteTextChar">
    <w:name w:val="Footnote Text Char"/>
    <w:basedOn w:val="DefaultParagraphFont"/>
    <w:link w:val="FootnoteText"/>
    <w:rsid w:val="00152706"/>
  </w:style>
  <w:style w:type="character" w:styleId="FootnoteReference">
    <w:name w:val="footnote reference"/>
    <w:rsid w:val="00152706"/>
    <w:rPr>
      <w:vertAlign w:val="superscript"/>
    </w:rPr>
  </w:style>
  <w:style w:type="paragraph" w:styleId="ListBullet2">
    <w:name w:val="List Bullet 2"/>
    <w:basedOn w:val="Normal"/>
    <w:qFormat/>
    <w:rsid w:val="008C0FD4"/>
    <w:pPr>
      <w:numPr>
        <w:numId w:val="14"/>
      </w:numPr>
      <w:tabs>
        <w:tab w:val="left" w:pos="993"/>
      </w:tabs>
      <w:spacing w:after="120"/>
      <w:ind w:left="993" w:hanging="284"/>
    </w:pPr>
    <w:rPr>
      <w:rFonts w:ascii="Arial" w:hAnsi="Arial" w:cs="Arial"/>
      <w:sz w:val="22"/>
      <w:szCs w:val="22"/>
    </w:rPr>
  </w:style>
  <w:style w:type="character" w:styleId="FollowedHyperlink">
    <w:name w:val="FollowedHyperlink"/>
    <w:rsid w:val="00035D73"/>
    <w:rPr>
      <w:color w:val="800080"/>
      <w:u w:val="single"/>
    </w:rPr>
  </w:style>
  <w:style w:type="character" w:customStyle="1" w:styleId="Heading6Char">
    <w:name w:val="Heading 6 Char"/>
    <w:link w:val="Heading6"/>
    <w:semiHidden/>
    <w:rsid w:val="00005D30"/>
    <w:rPr>
      <w:rFonts w:ascii="Calibri" w:eastAsia="Times New Roman" w:hAnsi="Calibri" w:cs="Times New Roman"/>
      <w:b/>
      <w:bCs/>
      <w:sz w:val="22"/>
      <w:szCs w:val="22"/>
    </w:rPr>
  </w:style>
  <w:style w:type="character" w:customStyle="1" w:styleId="Heading7Char">
    <w:name w:val="Heading 7 Char"/>
    <w:link w:val="Heading7"/>
    <w:semiHidden/>
    <w:rsid w:val="00005D30"/>
    <w:rPr>
      <w:rFonts w:ascii="Calibri" w:eastAsia="Times New Roman" w:hAnsi="Calibri" w:cs="Times New Roman"/>
      <w:sz w:val="24"/>
      <w:szCs w:val="24"/>
    </w:rPr>
  </w:style>
  <w:style w:type="character" w:customStyle="1" w:styleId="Heading8Char">
    <w:name w:val="Heading 8 Char"/>
    <w:link w:val="Heading8"/>
    <w:semiHidden/>
    <w:rsid w:val="00005D30"/>
    <w:rPr>
      <w:rFonts w:ascii="Calibri" w:eastAsia="Times New Roman" w:hAnsi="Calibri" w:cs="Times New Roman"/>
      <w:i/>
      <w:iCs/>
      <w:sz w:val="24"/>
      <w:szCs w:val="24"/>
    </w:rPr>
  </w:style>
  <w:style w:type="character" w:customStyle="1" w:styleId="Heading9Char">
    <w:name w:val="Heading 9 Char"/>
    <w:link w:val="Heading9"/>
    <w:semiHidden/>
    <w:rsid w:val="00005D30"/>
    <w:rPr>
      <w:rFonts w:ascii="Cambria" w:eastAsia="Times New Roman" w:hAnsi="Cambria" w:cs="Times New Roman"/>
      <w:sz w:val="22"/>
      <w:szCs w:val="22"/>
    </w:rPr>
  </w:style>
  <w:style w:type="paragraph" w:styleId="BalloonText">
    <w:name w:val="Balloon Text"/>
    <w:basedOn w:val="Normal"/>
    <w:link w:val="BalloonTextChar"/>
    <w:rsid w:val="00244912"/>
    <w:rPr>
      <w:rFonts w:ascii="Lucida Grande" w:hAnsi="Lucida Grande" w:cs="Lucida Grande"/>
      <w:sz w:val="18"/>
      <w:szCs w:val="18"/>
    </w:rPr>
  </w:style>
  <w:style w:type="character" w:customStyle="1" w:styleId="BalloonTextChar">
    <w:name w:val="Balloon Text Char"/>
    <w:link w:val="BalloonText"/>
    <w:rsid w:val="00244912"/>
    <w:rPr>
      <w:rFonts w:ascii="Lucida Grande" w:hAnsi="Lucida Grande" w:cs="Lucida Grande"/>
      <w:sz w:val="18"/>
      <w:szCs w:val="18"/>
      <w:lang w:eastAsia="en-AU"/>
    </w:rPr>
  </w:style>
  <w:style w:type="paragraph" w:styleId="Revision">
    <w:name w:val="Revision"/>
    <w:hidden/>
    <w:uiPriority w:val="71"/>
    <w:rsid w:val="00B7385B"/>
    <w:rPr>
      <w:sz w:val="24"/>
      <w:szCs w:val="24"/>
      <w:lang w:val="en-AU" w:eastAsia="en-AU"/>
    </w:rPr>
  </w:style>
  <w:style w:type="paragraph" w:styleId="TOCHeading">
    <w:name w:val="TOC Heading"/>
    <w:basedOn w:val="Heading1"/>
    <w:next w:val="Normal"/>
    <w:uiPriority w:val="39"/>
    <w:unhideWhenUsed/>
    <w:qFormat/>
    <w:rsid w:val="00B764ED"/>
    <w:pPr>
      <w:keepNext/>
      <w:keepLines/>
      <w:numPr>
        <w:numId w:val="0"/>
      </w:numPr>
      <w:tabs>
        <w:tab w:val="clear" w:pos="567"/>
      </w:tabs>
      <w:spacing w:before="480" w:after="0" w:line="276" w:lineRule="auto"/>
      <w:outlineLvl w:val="9"/>
    </w:pPr>
    <w:rPr>
      <w:rFonts w:ascii="Calibri" w:eastAsia="MS Gothic" w:hAnsi="Calibri" w:cs="Times New Roman"/>
      <w:color w:val="365F91"/>
      <w:kern w:val="0"/>
      <w:sz w:val="28"/>
      <w:szCs w:val="28"/>
      <w:lang w:eastAsia="en-US"/>
    </w:rPr>
  </w:style>
  <w:style w:type="paragraph" w:styleId="TOC1">
    <w:name w:val="toc 1"/>
    <w:basedOn w:val="Normal"/>
    <w:next w:val="Normal"/>
    <w:autoRedefine/>
    <w:uiPriority w:val="39"/>
    <w:rsid w:val="00B764ED"/>
    <w:pPr>
      <w:spacing w:before="120"/>
    </w:pPr>
    <w:rPr>
      <w:rFonts w:asciiTheme="minorHAnsi" w:hAnsiTheme="minorHAnsi"/>
      <w:b/>
    </w:rPr>
  </w:style>
  <w:style w:type="paragraph" w:styleId="TOC2">
    <w:name w:val="toc 2"/>
    <w:basedOn w:val="Normal"/>
    <w:next w:val="Normal"/>
    <w:autoRedefine/>
    <w:uiPriority w:val="39"/>
    <w:rsid w:val="00B764ED"/>
    <w:pPr>
      <w:ind w:left="240"/>
    </w:pPr>
    <w:rPr>
      <w:rFonts w:asciiTheme="minorHAnsi" w:hAnsiTheme="minorHAnsi"/>
      <w:b/>
      <w:sz w:val="22"/>
      <w:szCs w:val="22"/>
    </w:rPr>
  </w:style>
  <w:style w:type="paragraph" w:styleId="TOC3">
    <w:name w:val="toc 3"/>
    <w:basedOn w:val="Normal"/>
    <w:next w:val="Normal"/>
    <w:autoRedefine/>
    <w:uiPriority w:val="39"/>
    <w:rsid w:val="00B764ED"/>
    <w:pPr>
      <w:ind w:left="480"/>
    </w:pPr>
    <w:rPr>
      <w:rFonts w:asciiTheme="minorHAnsi" w:hAnsiTheme="minorHAnsi"/>
      <w:sz w:val="22"/>
      <w:szCs w:val="22"/>
    </w:rPr>
  </w:style>
  <w:style w:type="paragraph" w:styleId="TOC4">
    <w:name w:val="toc 4"/>
    <w:basedOn w:val="Normal"/>
    <w:next w:val="Normal"/>
    <w:autoRedefine/>
    <w:rsid w:val="00B764ED"/>
    <w:pPr>
      <w:ind w:left="720"/>
    </w:pPr>
    <w:rPr>
      <w:rFonts w:asciiTheme="minorHAnsi" w:hAnsiTheme="minorHAnsi"/>
      <w:sz w:val="20"/>
      <w:szCs w:val="20"/>
    </w:rPr>
  </w:style>
  <w:style w:type="paragraph" w:styleId="TOC5">
    <w:name w:val="toc 5"/>
    <w:basedOn w:val="Normal"/>
    <w:next w:val="Normal"/>
    <w:autoRedefine/>
    <w:rsid w:val="00B764ED"/>
    <w:pPr>
      <w:ind w:left="960"/>
    </w:pPr>
    <w:rPr>
      <w:rFonts w:asciiTheme="minorHAnsi" w:hAnsiTheme="minorHAnsi"/>
      <w:sz w:val="20"/>
      <w:szCs w:val="20"/>
    </w:rPr>
  </w:style>
  <w:style w:type="paragraph" w:styleId="TOC6">
    <w:name w:val="toc 6"/>
    <w:basedOn w:val="Normal"/>
    <w:next w:val="Normal"/>
    <w:autoRedefine/>
    <w:rsid w:val="00B764ED"/>
    <w:pPr>
      <w:ind w:left="1200"/>
    </w:pPr>
    <w:rPr>
      <w:rFonts w:asciiTheme="minorHAnsi" w:hAnsiTheme="minorHAnsi"/>
      <w:sz w:val="20"/>
      <w:szCs w:val="20"/>
    </w:rPr>
  </w:style>
  <w:style w:type="paragraph" w:styleId="TOC7">
    <w:name w:val="toc 7"/>
    <w:basedOn w:val="Normal"/>
    <w:next w:val="Normal"/>
    <w:autoRedefine/>
    <w:rsid w:val="00B764ED"/>
    <w:pPr>
      <w:ind w:left="1440"/>
    </w:pPr>
    <w:rPr>
      <w:rFonts w:asciiTheme="minorHAnsi" w:hAnsiTheme="minorHAnsi"/>
      <w:sz w:val="20"/>
      <w:szCs w:val="20"/>
    </w:rPr>
  </w:style>
  <w:style w:type="paragraph" w:styleId="TOC8">
    <w:name w:val="toc 8"/>
    <w:basedOn w:val="Normal"/>
    <w:next w:val="Normal"/>
    <w:autoRedefine/>
    <w:rsid w:val="00B764ED"/>
    <w:pPr>
      <w:ind w:left="1680"/>
    </w:pPr>
    <w:rPr>
      <w:rFonts w:asciiTheme="minorHAnsi" w:hAnsiTheme="minorHAnsi"/>
      <w:sz w:val="20"/>
      <w:szCs w:val="20"/>
    </w:rPr>
  </w:style>
  <w:style w:type="paragraph" w:styleId="TOC9">
    <w:name w:val="toc 9"/>
    <w:basedOn w:val="Normal"/>
    <w:next w:val="Normal"/>
    <w:autoRedefine/>
    <w:rsid w:val="00B764ED"/>
    <w:pPr>
      <w:ind w:left="1920"/>
    </w:pPr>
    <w:rPr>
      <w:rFonts w:asciiTheme="minorHAnsi" w:hAnsiTheme="minorHAnsi"/>
      <w:sz w:val="20"/>
      <w:szCs w:val="20"/>
    </w:rPr>
  </w:style>
  <w:style w:type="paragraph" w:customStyle="1" w:styleId="Bulletform">
    <w:name w:val="Bullet form"/>
    <w:basedOn w:val="Normal"/>
    <w:rsid w:val="001B42A2"/>
    <w:pPr>
      <w:numPr>
        <w:numId w:val="20"/>
      </w:numPr>
      <w:spacing w:before="120"/>
      <w:ind w:left="714" w:hanging="357"/>
      <w:jc w:val="both"/>
    </w:pPr>
    <w:rPr>
      <w:rFonts w:ascii="GoudyOlSt BT" w:hAnsi="GoudyOlSt B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0389">
      <w:bodyDiv w:val="1"/>
      <w:marLeft w:val="0"/>
      <w:marRight w:val="0"/>
      <w:marTop w:val="0"/>
      <w:marBottom w:val="0"/>
      <w:divBdr>
        <w:top w:val="none" w:sz="0" w:space="0" w:color="auto"/>
        <w:left w:val="none" w:sz="0" w:space="0" w:color="auto"/>
        <w:bottom w:val="none" w:sz="0" w:space="0" w:color="auto"/>
        <w:right w:val="none" w:sz="0" w:space="0" w:color="auto"/>
      </w:divBdr>
    </w:div>
    <w:div w:id="337539416">
      <w:bodyDiv w:val="1"/>
      <w:marLeft w:val="0"/>
      <w:marRight w:val="0"/>
      <w:marTop w:val="0"/>
      <w:marBottom w:val="0"/>
      <w:divBdr>
        <w:top w:val="none" w:sz="0" w:space="0" w:color="auto"/>
        <w:left w:val="none" w:sz="0" w:space="0" w:color="auto"/>
        <w:bottom w:val="none" w:sz="0" w:space="0" w:color="auto"/>
        <w:right w:val="none" w:sz="0" w:space="0" w:color="auto"/>
      </w:divBdr>
    </w:div>
    <w:div w:id="703100420">
      <w:bodyDiv w:val="1"/>
      <w:marLeft w:val="0"/>
      <w:marRight w:val="0"/>
      <w:marTop w:val="0"/>
      <w:marBottom w:val="0"/>
      <w:divBdr>
        <w:top w:val="none" w:sz="0" w:space="0" w:color="auto"/>
        <w:left w:val="none" w:sz="0" w:space="0" w:color="auto"/>
        <w:bottom w:val="none" w:sz="0" w:space="0" w:color="auto"/>
        <w:right w:val="none" w:sz="0" w:space="0" w:color="auto"/>
      </w:divBdr>
    </w:div>
    <w:div w:id="1408264523">
      <w:bodyDiv w:val="1"/>
      <w:marLeft w:val="0"/>
      <w:marRight w:val="0"/>
      <w:marTop w:val="0"/>
      <w:marBottom w:val="0"/>
      <w:divBdr>
        <w:top w:val="none" w:sz="0" w:space="0" w:color="auto"/>
        <w:left w:val="none" w:sz="0" w:space="0" w:color="auto"/>
        <w:bottom w:val="none" w:sz="0" w:space="0" w:color="auto"/>
        <w:right w:val="none" w:sz="0" w:space="0" w:color="auto"/>
      </w:divBdr>
    </w:div>
    <w:div w:id="1504125786">
      <w:bodyDiv w:val="1"/>
      <w:marLeft w:val="0"/>
      <w:marRight w:val="0"/>
      <w:marTop w:val="0"/>
      <w:marBottom w:val="0"/>
      <w:divBdr>
        <w:top w:val="none" w:sz="0" w:space="0" w:color="auto"/>
        <w:left w:val="none" w:sz="0" w:space="0" w:color="auto"/>
        <w:bottom w:val="none" w:sz="0" w:space="0" w:color="auto"/>
        <w:right w:val="none" w:sz="0" w:space="0" w:color="auto"/>
      </w:divBdr>
    </w:div>
    <w:div w:id="1546867567">
      <w:bodyDiv w:val="1"/>
      <w:marLeft w:val="0"/>
      <w:marRight w:val="0"/>
      <w:marTop w:val="0"/>
      <w:marBottom w:val="0"/>
      <w:divBdr>
        <w:top w:val="none" w:sz="0" w:space="0" w:color="auto"/>
        <w:left w:val="none" w:sz="0" w:space="0" w:color="auto"/>
        <w:bottom w:val="none" w:sz="0" w:space="0" w:color="auto"/>
        <w:right w:val="none" w:sz="0" w:space="0" w:color="auto"/>
      </w:divBdr>
    </w:div>
    <w:div w:id="1754203262">
      <w:bodyDiv w:val="1"/>
      <w:marLeft w:val="0"/>
      <w:marRight w:val="0"/>
      <w:marTop w:val="0"/>
      <w:marBottom w:val="0"/>
      <w:divBdr>
        <w:top w:val="none" w:sz="0" w:space="0" w:color="auto"/>
        <w:left w:val="none" w:sz="0" w:space="0" w:color="auto"/>
        <w:bottom w:val="none" w:sz="0" w:space="0" w:color="auto"/>
        <w:right w:val="none" w:sz="0" w:space="0" w:color="auto"/>
      </w:divBdr>
    </w:div>
    <w:div w:id="1787920281">
      <w:bodyDiv w:val="1"/>
      <w:marLeft w:val="0"/>
      <w:marRight w:val="0"/>
      <w:marTop w:val="0"/>
      <w:marBottom w:val="0"/>
      <w:divBdr>
        <w:top w:val="none" w:sz="0" w:space="0" w:color="auto"/>
        <w:left w:val="none" w:sz="0" w:space="0" w:color="auto"/>
        <w:bottom w:val="none" w:sz="0" w:space="0" w:color="auto"/>
        <w:right w:val="none" w:sz="0" w:space="0" w:color="auto"/>
      </w:divBdr>
    </w:div>
    <w:div w:id="1824468412">
      <w:bodyDiv w:val="1"/>
      <w:marLeft w:val="0"/>
      <w:marRight w:val="0"/>
      <w:marTop w:val="0"/>
      <w:marBottom w:val="0"/>
      <w:divBdr>
        <w:top w:val="none" w:sz="0" w:space="0" w:color="auto"/>
        <w:left w:val="none" w:sz="0" w:space="0" w:color="auto"/>
        <w:bottom w:val="none" w:sz="0" w:space="0" w:color="auto"/>
        <w:right w:val="none" w:sz="0" w:space="0" w:color="auto"/>
      </w:divBdr>
    </w:div>
    <w:div w:id="1862354206">
      <w:bodyDiv w:val="1"/>
      <w:marLeft w:val="0"/>
      <w:marRight w:val="0"/>
      <w:marTop w:val="0"/>
      <w:marBottom w:val="0"/>
      <w:divBdr>
        <w:top w:val="none" w:sz="0" w:space="0" w:color="auto"/>
        <w:left w:val="none" w:sz="0" w:space="0" w:color="auto"/>
        <w:bottom w:val="none" w:sz="0" w:space="0" w:color="auto"/>
        <w:right w:val="none" w:sz="0" w:space="0" w:color="auto"/>
      </w:divBdr>
    </w:div>
    <w:div w:id="2028560628">
      <w:bodyDiv w:val="1"/>
      <w:marLeft w:val="0"/>
      <w:marRight w:val="0"/>
      <w:marTop w:val="0"/>
      <w:marBottom w:val="0"/>
      <w:divBdr>
        <w:top w:val="none" w:sz="0" w:space="0" w:color="auto"/>
        <w:left w:val="none" w:sz="0" w:space="0" w:color="auto"/>
        <w:bottom w:val="none" w:sz="0" w:space="0" w:color="auto"/>
        <w:right w:val="none" w:sz="0" w:space="0" w:color="auto"/>
      </w:divBdr>
    </w:div>
    <w:div w:id="211558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65FD-48FB-48DD-969C-E5177686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6894</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Submission DR753 - Catholic Education, Diocese of Parramatta - Childcare and Early Childhood Learning - Public inquiry</vt:lpstr>
    </vt:vector>
  </TitlesOfParts>
  <Company>Catholic Education, Diocese of Parramatta</Company>
  <LinksUpToDate>false</LinksUpToDate>
  <CharactersWithSpaces>46343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DR753 - Catholic Education, Diocese of Parramatta - Childcare and Early Childhood Learning - Public inquiry</dc:title>
  <dc:creator>Catholic Education, Diocese of Parramatta</dc:creator>
  <cp:lastModifiedBy>Productivity Commission</cp:lastModifiedBy>
  <cp:revision>2</cp:revision>
  <cp:lastPrinted>2014-09-03T08:07:00Z</cp:lastPrinted>
  <dcterms:created xsi:type="dcterms:W3CDTF">2014-09-11T04:23:00Z</dcterms:created>
  <dcterms:modified xsi:type="dcterms:W3CDTF">2014-09-11T04:23:00Z</dcterms:modified>
</cp:coreProperties>
</file>