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31" w:rsidRPr="00587331" w:rsidRDefault="00753267" w:rsidP="00587331">
      <w:pPr>
        <w:pStyle w:val="Title"/>
        <w:shd w:val="clear" w:color="auto" w:fill="FFFFFF" w:themeFill="background1"/>
        <w:rPr>
          <w:b/>
          <w:color w:val="0070C0"/>
        </w:rPr>
      </w:pPr>
      <w:bookmarkStart w:id="0" w:name="_GoBack"/>
      <w:bookmarkEnd w:id="0"/>
      <w:r w:rsidRPr="00587331">
        <w:rPr>
          <w:b/>
          <w:color w:val="0070C0"/>
        </w:rPr>
        <w:t xml:space="preserve">Child Australia </w:t>
      </w:r>
    </w:p>
    <w:p w:rsidR="00753267" w:rsidRDefault="00753267" w:rsidP="00587331">
      <w:pPr>
        <w:pStyle w:val="Title"/>
        <w:shd w:val="clear" w:color="auto" w:fill="FFFFFF" w:themeFill="background1"/>
      </w:pPr>
      <w:r>
        <w:t xml:space="preserve">Submission to </w:t>
      </w:r>
    </w:p>
    <w:p w:rsidR="00AF4FD5" w:rsidRDefault="00753267" w:rsidP="00587331">
      <w:pPr>
        <w:pStyle w:val="Title"/>
        <w:shd w:val="clear" w:color="auto" w:fill="FFFFFF" w:themeFill="background1"/>
      </w:pPr>
      <w:r>
        <w:t>the Productivity Commission</w:t>
      </w:r>
      <w:r w:rsidR="00587331">
        <w:t xml:space="preserve"> 2014</w:t>
      </w:r>
    </w:p>
    <w:p w:rsidR="00753267" w:rsidRDefault="00753267" w:rsidP="00753267"/>
    <w:p w:rsidR="00753267" w:rsidRPr="002E2B34" w:rsidRDefault="00753267" w:rsidP="002E2B34">
      <w:pPr>
        <w:pStyle w:val="Heading1"/>
        <w:numPr>
          <w:ilvl w:val="0"/>
          <w:numId w:val="0"/>
        </w:numPr>
        <w:ind w:left="432" w:hanging="432"/>
      </w:pPr>
      <w:r w:rsidRPr="002E2B34">
        <w:t>Background</w:t>
      </w:r>
    </w:p>
    <w:p w:rsidR="00753267" w:rsidRPr="00BA2C1F" w:rsidRDefault="00753267" w:rsidP="00753267">
      <w:pPr>
        <w:pStyle w:val="CAText2"/>
        <w:ind w:left="0"/>
      </w:pPr>
      <w:r w:rsidRPr="00BA2C1F">
        <w:t xml:space="preserve">Child Australia is a not for profit organisation dedicated to improving developmental outcomes for children through education, early childhood services, family support and advocacy. </w:t>
      </w:r>
    </w:p>
    <w:p w:rsidR="00753267" w:rsidRDefault="00753267" w:rsidP="00753267">
      <w:pPr>
        <w:pStyle w:val="CABullet2"/>
        <w:ind w:left="369"/>
      </w:pPr>
      <w:r>
        <w:t>We have helped build the capacity of the early childhood sector by providing education and inclusion support for early childhood students and professionals</w:t>
      </w:r>
      <w:r w:rsidR="0080412B">
        <w:t xml:space="preserve"> across WA and the Northern Territory</w:t>
      </w:r>
      <w:r>
        <w:t xml:space="preserve">.  </w:t>
      </w:r>
    </w:p>
    <w:p w:rsidR="00753267" w:rsidRDefault="00753267" w:rsidP="00753267">
      <w:pPr>
        <w:pStyle w:val="CABullet2"/>
        <w:ind w:left="369"/>
      </w:pPr>
      <w:r>
        <w:t xml:space="preserve">We engage directly with families and children through our early learning facilities, mobile services and parent support programs. </w:t>
      </w:r>
    </w:p>
    <w:p w:rsidR="00753267" w:rsidRDefault="00753267" w:rsidP="00753267">
      <w:pPr>
        <w:pStyle w:val="CABullet2"/>
        <w:ind w:left="369"/>
      </w:pPr>
      <w:r>
        <w:t>We actively pursue opportunities to work with others to integrate early childhood development services across Western Australia and the Northern Territory.</w:t>
      </w:r>
    </w:p>
    <w:p w:rsidR="00753267" w:rsidRDefault="00753267" w:rsidP="00753267">
      <w:pPr>
        <w:pStyle w:val="CABullet2"/>
        <w:ind w:left="369"/>
      </w:pPr>
      <w:r>
        <w:t xml:space="preserve">We are sector </w:t>
      </w:r>
      <w:r w:rsidRPr="00BA2C1F">
        <w:t>leaders</w:t>
      </w:r>
      <w:r>
        <w:t xml:space="preserve"> in our advocacy for high quality inclusive early childhood development services.</w:t>
      </w:r>
    </w:p>
    <w:p w:rsidR="001E55CD" w:rsidRDefault="006A16AD" w:rsidP="00753267">
      <w:r>
        <w:t xml:space="preserve">Child Australia has </w:t>
      </w:r>
      <w:r w:rsidR="001E55CD">
        <w:t xml:space="preserve">early </w:t>
      </w:r>
      <w:r w:rsidR="0080412B">
        <w:t>education and care services</w:t>
      </w:r>
      <w:r w:rsidR="00763A9D">
        <w:t>, outside school hours care and budget based funded services</w:t>
      </w:r>
      <w:r>
        <w:t xml:space="preserve"> across Western Australia and the Northern Territory.</w:t>
      </w:r>
      <w:r w:rsidR="007945D2">
        <w:t xml:space="preserve"> </w:t>
      </w:r>
    </w:p>
    <w:p w:rsidR="00DD3E91" w:rsidRDefault="00753267" w:rsidP="00753267">
      <w:r>
        <w:t xml:space="preserve">The </w:t>
      </w:r>
      <w:r w:rsidR="006A16AD">
        <w:t xml:space="preserve">Lockridge Centre in WA is an integrated centre using a </w:t>
      </w:r>
      <w:r>
        <w:t>multidisciplinary approach</w:t>
      </w:r>
      <w:r w:rsidR="00B762B7">
        <w:t>,</w:t>
      </w:r>
      <w:r>
        <w:t xml:space="preserve"> interesting care and education planning and support from family support teams including child health nurse who is embedded on-site as well as external speech, psychological and developmental support such as occupational therapy.</w:t>
      </w:r>
      <w:r w:rsidR="00886212">
        <w:t xml:space="preserve"> </w:t>
      </w:r>
    </w:p>
    <w:p w:rsidR="007945D2" w:rsidRDefault="00886212" w:rsidP="00753267">
      <w:r>
        <w:t xml:space="preserve">In the Northern Territory, the </w:t>
      </w:r>
      <w:r w:rsidR="00BD12D7">
        <w:t xml:space="preserve">Farrar Early Learning Centre </w:t>
      </w:r>
      <w:r>
        <w:t xml:space="preserve">in the Northern Territory </w:t>
      </w:r>
      <w:r w:rsidR="00BD12D7">
        <w:t xml:space="preserve">is collocated with </w:t>
      </w:r>
      <w:r>
        <w:t>a GP</w:t>
      </w:r>
      <w:r w:rsidR="00BD12D7">
        <w:t xml:space="preserve"> Super Clinic</w:t>
      </w:r>
      <w:r>
        <w:t xml:space="preserve"> and the </w:t>
      </w:r>
      <w:r w:rsidR="007945D2">
        <w:t>Nightcliff Centre is collocated on a school site.</w:t>
      </w:r>
      <w:r>
        <w:t xml:space="preserve"> The Bagot Community </w:t>
      </w:r>
      <w:r w:rsidR="0080412B">
        <w:t>Outside</w:t>
      </w:r>
      <w:r>
        <w:t xml:space="preserve"> School Hours Care offers a </w:t>
      </w:r>
      <w:r w:rsidR="00B739CD">
        <w:t>specialised</w:t>
      </w:r>
      <w:r>
        <w:t xml:space="preserve"> </w:t>
      </w:r>
      <w:r w:rsidR="00B739CD">
        <w:t>indigenous program for the community children and training and employment opportunities for local community members.</w:t>
      </w:r>
    </w:p>
    <w:p w:rsidR="00763A9D" w:rsidRDefault="00763A9D">
      <w:r>
        <w:br w:type="page"/>
      </w:r>
    </w:p>
    <w:p w:rsidR="00753267" w:rsidRDefault="0080412B" w:rsidP="002E2B34">
      <w:pPr>
        <w:pStyle w:val="Heading1"/>
        <w:numPr>
          <w:ilvl w:val="0"/>
          <w:numId w:val="0"/>
        </w:numPr>
        <w:ind w:left="432" w:hanging="432"/>
      </w:pPr>
      <w:r>
        <w:lastRenderedPageBreak/>
        <w:t>Submission</w:t>
      </w:r>
    </w:p>
    <w:p w:rsidR="00763A9D" w:rsidRPr="00763A9D" w:rsidRDefault="00763A9D">
      <w:pPr>
        <w:rPr>
          <w:b/>
        </w:rPr>
      </w:pPr>
      <w:r w:rsidRPr="00763A9D">
        <w:rPr>
          <w:b/>
        </w:rPr>
        <w:t>Creating a single child based subsidy</w:t>
      </w:r>
    </w:p>
    <w:p w:rsidR="00753267" w:rsidRDefault="00763A9D" w:rsidP="007945D2">
      <w:pPr>
        <w:jc w:val="both"/>
      </w:pPr>
      <w:r>
        <w:t>Reference: Draft recommendation</w:t>
      </w:r>
      <w:r w:rsidR="006356F8">
        <w:t>s</w:t>
      </w:r>
      <w:r>
        <w:t xml:space="preserve"> 12.2</w:t>
      </w:r>
      <w:r w:rsidR="00DD3E91">
        <w:t xml:space="preserve"> and 12.4</w:t>
      </w:r>
    </w:p>
    <w:p w:rsidR="00763A9D" w:rsidRDefault="00763A9D" w:rsidP="007945D2">
      <w:pPr>
        <w:jc w:val="both"/>
      </w:pPr>
      <w:r>
        <w:t xml:space="preserve">Child Australia supports in </w:t>
      </w:r>
      <w:r w:rsidR="00DD3E91">
        <w:t>principle, the</w:t>
      </w:r>
      <w:r>
        <w:t xml:space="preserve"> simplification of child based subsidy as described in the draft </w:t>
      </w:r>
      <w:r w:rsidR="00491E41">
        <w:t xml:space="preserve">recommendation. We are concerned that caution is taken to ensure that linkage of the JET payment into this bundled payment does not create a payment that is only available to parents who are </w:t>
      </w:r>
      <w:r w:rsidR="00DD3E91">
        <w:t>working,</w:t>
      </w:r>
      <w:r w:rsidR="00491E41">
        <w:t xml:space="preserve"> studying or looking for work. </w:t>
      </w:r>
    </w:p>
    <w:p w:rsidR="00491E41" w:rsidRDefault="00491E41" w:rsidP="007945D2">
      <w:pPr>
        <w:jc w:val="both"/>
      </w:pPr>
      <w:r>
        <w:t xml:space="preserve">Child </w:t>
      </w:r>
      <w:r w:rsidR="00DD3E91">
        <w:t>Australia manages</w:t>
      </w:r>
      <w:r>
        <w:t xml:space="preserve"> a program which supports a number of families who, due to illness</w:t>
      </w:r>
      <w:r w:rsidR="00DD3E91">
        <w:t xml:space="preserve">, </w:t>
      </w:r>
      <w:r>
        <w:t xml:space="preserve">family crisis </w:t>
      </w:r>
      <w:r w:rsidR="00DD3E91">
        <w:t>or factors beyond their control are unable to work or study at this time. These families and their children need the care and education offered at our services. Access to fee subsidies are integral to the support for these families and allows them to develop strategies and seek support to support their families in the longer term.</w:t>
      </w:r>
    </w:p>
    <w:p w:rsidR="007945D2" w:rsidRPr="007945D2" w:rsidRDefault="004A1E17" w:rsidP="007945D2">
      <w:pPr>
        <w:jc w:val="both"/>
        <w:rPr>
          <w:b/>
        </w:rPr>
      </w:pPr>
      <w:r>
        <w:rPr>
          <w:b/>
        </w:rPr>
        <w:t>Funding options for ECEC services (diverting funding from the proposed Paid Parent Leave Scheme)</w:t>
      </w:r>
    </w:p>
    <w:p w:rsidR="007945D2" w:rsidRDefault="007945D2" w:rsidP="007945D2">
      <w:pPr>
        <w:jc w:val="both"/>
      </w:pPr>
      <w:r>
        <w:t>Reference: Draft finding 12.1</w:t>
      </w:r>
    </w:p>
    <w:p w:rsidR="004A1E17" w:rsidRDefault="007945D2" w:rsidP="007945D2">
      <w:pPr>
        <w:jc w:val="both"/>
      </w:pPr>
      <w:r>
        <w:t xml:space="preserve">Child Australia is </w:t>
      </w:r>
      <w:r w:rsidR="00BD12D7">
        <w:t xml:space="preserve">advocating </w:t>
      </w:r>
      <w:r>
        <w:t>that the period of time parents have with their young children in their first year is supported and recognised for its importance to parent child attachment.</w:t>
      </w:r>
    </w:p>
    <w:p w:rsidR="00DD3E91" w:rsidRDefault="004A1E17" w:rsidP="007945D2">
      <w:pPr>
        <w:jc w:val="both"/>
      </w:pPr>
      <w:r>
        <w:t xml:space="preserve">Funding to provide appropriate and flexible support during the earliest years will return benefits to parents and children and better support families whether they are returning to work immediately or seeking support for their children with additional needs </w:t>
      </w:r>
    </w:p>
    <w:p w:rsidR="004A1E17" w:rsidRDefault="006356F8" w:rsidP="007945D2">
      <w:pPr>
        <w:jc w:val="both"/>
      </w:pPr>
      <w:r>
        <w:t>Reference: Draft Recommendations 8.3 and 8.4</w:t>
      </w:r>
    </w:p>
    <w:p w:rsidR="006356F8" w:rsidRDefault="006356F8" w:rsidP="007945D2">
      <w:pPr>
        <w:jc w:val="both"/>
      </w:pPr>
      <w:r>
        <w:t>Child Australia supports both of these recommendations. They both offer services and parents the opportunity to develop more flexible services that better meet family needs.</w:t>
      </w:r>
    </w:p>
    <w:p w:rsidR="006356F8" w:rsidRPr="006356F8" w:rsidRDefault="006356F8" w:rsidP="007945D2">
      <w:pPr>
        <w:jc w:val="both"/>
        <w:rPr>
          <w:b/>
        </w:rPr>
      </w:pPr>
      <w:r w:rsidRPr="006356F8">
        <w:rPr>
          <w:b/>
        </w:rPr>
        <w:t>Approval of Nannies</w:t>
      </w:r>
    </w:p>
    <w:p w:rsidR="00763A9D" w:rsidRDefault="006356F8" w:rsidP="007945D2">
      <w:pPr>
        <w:jc w:val="both"/>
      </w:pPr>
      <w:r>
        <w:t>Reference: Draft recommendation 8.5</w:t>
      </w:r>
    </w:p>
    <w:p w:rsidR="00E51988" w:rsidRDefault="00065DA4" w:rsidP="00065DA4">
      <w:pPr>
        <w:spacing w:after="200" w:line="276" w:lineRule="auto"/>
      </w:pPr>
      <w:r>
        <w:t xml:space="preserve">The term ‘Nanny’ does not yet have an agreed meaning in the Australian community. </w:t>
      </w:r>
      <w:r w:rsidR="00E51988">
        <w:t xml:space="preserve">Community feedback indicates that there is work to be done to codify an agreed set of skills and an agreed description of the role. </w:t>
      </w:r>
    </w:p>
    <w:p w:rsidR="00065DA4" w:rsidRDefault="00E51988" w:rsidP="00E51988">
      <w:pPr>
        <w:spacing w:after="200" w:line="276" w:lineRule="auto"/>
      </w:pPr>
      <w:r>
        <w:t xml:space="preserve">Child Australia notes that the manner of regulation of nannies is also yet to be described. Child Australia sees the role of the regulator as critical in the development of a model that adequately provides protection for the children alone at home with the nanny, reassurance for the families and one that does not create a market imbalance between the regulation of nannies and the regulation of approved services. </w:t>
      </w:r>
    </w:p>
    <w:p w:rsidR="00E51988" w:rsidRDefault="00E51988">
      <w:r>
        <w:br w:type="page"/>
      </w:r>
    </w:p>
    <w:p w:rsidR="00E51988" w:rsidRPr="00E51988" w:rsidRDefault="00E51988" w:rsidP="00E51988">
      <w:pPr>
        <w:spacing w:after="200" w:line="276" w:lineRule="auto"/>
        <w:rPr>
          <w:b/>
        </w:rPr>
      </w:pPr>
      <w:r w:rsidRPr="00E51988">
        <w:rPr>
          <w:b/>
        </w:rPr>
        <w:lastRenderedPageBreak/>
        <w:t>Access of children with additional needs to ECEC services</w:t>
      </w:r>
    </w:p>
    <w:p w:rsidR="006356F8" w:rsidRDefault="00E51988" w:rsidP="007945D2">
      <w:pPr>
        <w:jc w:val="both"/>
      </w:pPr>
      <w:r>
        <w:t xml:space="preserve">Reference: Draft recommendation </w:t>
      </w:r>
      <w:r w:rsidR="00E262FB">
        <w:t xml:space="preserve">12.6 </w:t>
      </w:r>
    </w:p>
    <w:p w:rsidR="00E262FB" w:rsidRDefault="00E262FB" w:rsidP="007945D2">
      <w:pPr>
        <w:jc w:val="both"/>
      </w:pPr>
      <w:r>
        <w:t xml:space="preserve">#1 </w:t>
      </w:r>
      <w:r w:rsidR="0001395F">
        <w:t xml:space="preserve">‘The Special Early Care and Learning </w:t>
      </w:r>
      <w:r w:rsidR="00730439">
        <w:t>Subsidy’:</w:t>
      </w:r>
      <w:r w:rsidR="0001395F">
        <w:t xml:space="preserve"> </w:t>
      </w:r>
      <w:r w:rsidR="004A2804">
        <w:t xml:space="preserve">Child Australia supports any </w:t>
      </w:r>
      <w:r w:rsidR="0001395F">
        <w:t>initiativ</w:t>
      </w:r>
      <w:r w:rsidR="004A2804">
        <w:t xml:space="preserve">e which adequately supports the access of children with additional needs to ECEC services. All parents want the best for their child. The extra </w:t>
      </w:r>
      <w:r w:rsidR="00730439">
        <w:t>costs faced by parents of children with additional needs make</w:t>
      </w:r>
      <w:r w:rsidR="004A2804">
        <w:t xml:space="preserve"> affordable and </w:t>
      </w:r>
      <w:r w:rsidR="0001395F">
        <w:t>accessible all</w:t>
      </w:r>
      <w:r w:rsidR="004A2804">
        <w:t xml:space="preserve"> the more important, but </w:t>
      </w:r>
      <w:r w:rsidR="00727B19">
        <w:t xml:space="preserve">these </w:t>
      </w:r>
      <w:r w:rsidR="004A2804">
        <w:t xml:space="preserve">needs </w:t>
      </w:r>
      <w:r w:rsidR="00727B19">
        <w:t xml:space="preserve">are </w:t>
      </w:r>
      <w:r w:rsidR="004A2804">
        <w:t xml:space="preserve">impacted by the ability of services to offer </w:t>
      </w:r>
      <w:r w:rsidR="0001395F">
        <w:t xml:space="preserve">places. </w:t>
      </w:r>
    </w:p>
    <w:p w:rsidR="004A2804" w:rsidRDefault="004A2804" w:rsidP="007945D2">
      <w:pPr>
        <w:jc w:val="both"/>
      </w:pPr>
      <w:r>
        <w:t xml:space="preserve">Child Australia </w:t>
      </w:r>
      <w:r w:rsidR="0001395F">
        <w:t xml:space="preserve">offers access to children with additional needs, however is routinely asked to cover a significant proportion of the cost of additional staff and resources to support those children. A number of parents have reported to Child Australia staff that previous attempts to enroll their children at other services have been unsuccessful or unable to be maintained at the other services because of these costs. </w:t>
      </w:r>
      <w:r w:rsidR="00FC312C">
        <w:t xml:space="preserve">(Further detail is given below). </w:t>
      </w:r>
    </w:p>
    <w:p w:rsidR="0001395F" w:rsidRDefault="0001395F" w:rsidP="007945D2">
      <w:pPr>
        <w:jc w:val="both"/>
      </w:pPr>
      <w:r>
        <w:t xml:space="preserve">#2 </w:t>
      </w:r>
      <w:r w:rsidR="00730439">
        <w:t>‘The</w:t>
      </w:r>
      <w:r>
        <w:t xml:space="preserve"> Disadvantaged Communities </w:t>
      </w:r>
      <w:r w:rsidR="00730439">
        <w:t>Program’:</w:t>
      </w:r>
      <w:r>
        <w:t xml:space="preserve"> This proposal has merit. Child Australia looks for further </w:t>
      </w:r>
      <w:r w:rsidR="00730439">
        <w:t>detail before</w:t>
      </w:r>
      <w:r>
        <w:t xml:space="preserve"> offering support.</w:t>
      </w:r>
    </w:p>
    <w:p w:rsidR="0001395F" w:rsidRDefault="0001395F" w:rsidP="007945D2">
      <w:pPr>
        <w:jc w:val="both"/>
      </w:pPr>
      <w:r>
        <w:t xml:space="preserve">#3 </w:t>
      </w:r>
      <w:r w:rsidR="00730439">
        <w:t>‘The</w:t>
      </w:r>
      <w:r>
        <w:t xml:space="preserve"> Inclusion Support Program’ Child Australia looks for further </w:t>
      </w:r>
      <w:r w:rsidR="00730439">
        <w:t>detail</w:t>
      </w:r>
      <w:r>
        <w:t xml:space="preserve"> before offering </w:t>
      </w:r>
      <w:r w:rsidR="00BD12D7">
        <w:t>comment</w:t>
      </w:r>
      <w:r>
        <w:t xml:space="preserve">. Of concern </w:t>
      </w:r>
      <w:r w:rsidR="00730439">
        <w:t xml:space="preserve">is the reference to ‘once off payments’. Children’s additional needs often become apparent as the child develops over time. This development often brings new challenges and over time, new costs. Any funding system must include the flexibility to recognise and support the child as they grow and develop, particularly where that development throws up new challenges. </w:t>
      </w:r>
    </w:p>
    <w:p w:rsidR="00730439" w:rsidRDefault="00730439" w:rsidP="007945D2">
      <w:pPr>
        <w:jc w:val="both"/>
      </w:pPr>
      <w:r>
        <w:t>Child Australia understand</w:t>
      </w:r>
      <w:r w:rsidR="00BD12D7">
        <w:t>s</w:t>
      </w:r>
      <w:r>
        <w:t xml:space="preserve"> the concept of services that are framed through the lens</w:t>
      </w:r>
      <w:r w:rsidR="00BD12D7">
        <w:t xml:space="preserve"> of a seamless childhood. This</w:t>
      </w:r>
      <w:r>
        <w:t xml:space="preserve"> service mean that a parent whose child grows and moves from ECEC service to Outside School Hours Services does not face further barriers during that transition and that these children are adequately funded in Outside School Hours Care. </w:t>
      </w:r>
    </w:p>
    <w:p w:rsidR="00730439" w:rsidRPr="00730439" w:rsidRDefault="00730439" w:rsidP="007945D2">
      <w:pPr>
        <w:jc w:val="both"/>
        <w:rPr>
          <w:b/>
        </w:rPr>
      </w:pPr>
      <w:r w:rsidRPr="00730439">
        <w:rPr>
          <w:b/>
        </w:rPr>
        <w:t xml:space="preserve">Access of children deemed to be </w:t>
      </w:r>
      <w:r w:rsidR="00A80647" w:rsidRPr="00730439">
        <w:rPr>
          <w:b/>
        </w:rPr>
        <w:t>‘at</w:t>
      </w:r>
      <w:r w:rsidRPr="00730439">
        <w:rPr>
          <w:b/>
        </w:rPr>
        <w:t xml:space="preserve"> risk’ </w:t>
      </w:r>
      <w:r w:rsidR="00A80647">
        <w:rPr>
          <w:b/>
        </w:rPr>
        <w:t xml:space="preserve">or with diagnosed disability </w:t>
      </w:r>
      <w:r w:rsidRPr="00730439">
        <w:rPr>
          <w:b/>
        </w:rPr>
        <w:t>to ECEC services</w:t>
      </w:r>
    </w:p>
    <w:p w:rsidR="00730439" w:rsidRDefault="00730439" w:rsidP="007945D2">
      <w:pPr>
        <w:jc w:val="both"/>
      </w:pPr>
      <w:r>
        <w:t>Reference: Draft recommendation 12.7</w:t>
      </w:r>
      <w:r w:rsidR="00AB4DED">
        <w:t xml:space="preserve"> and 12.8 </w:t>
      </w:r>
    </w:p>
    <w:p w:rsidR="00AB4DED" w:rsidRDefault="00A80647">
      <w:r>
        <w:t xml:space="preserve">The ongoing support for children accessing ECEC services is critical to their needs being met and families being supported. </w:t>
      </w:r>
    </w:p>
    <w:p w:rsidR="00753267" w:rsidRDefault="00A80647">
      <w:r>
        <w:t xml:space="preserve">Child Australia is concerned that the ‘deemed cost’ of services in the funding model more accurately reflects the actual costs of services. It is important to note that services such as ours provide support to multiples of children and an inadequate ‘deemed cost’ formula for </w:t>
      </w:r>
      <w:r w:rsidR="00AB4DED">
        <w:t>10 children for example, provides an accumulated burden for the service.</w:t>
      </w:r>
    </w:p>
    <w:p w:rsidR="003F1056" w:rsidRPr="003F1056" w:rsidRDefault="003F1056" w:rsidP="0080412B">
      <w:pPr>
        <w:rPr>
          <w:b/>
        </w:rPr>
      </w:pPr>
      <w:r w:rsidRPr="003F1056">
        <w:rPr>
          <w:b/>
        </w:rPr>
        <w:t>Related costs of providing services to children deemed to be ‘ at risk’</w:t>
      </w:r>
    </w:p>
    <w:p w:rsidR="00AB4DED" w:rsidRDefault="00AB4DED" w:rsidP="0080412B">
      <w:r>
        <w:t>Reference: Information request 8.1</w:t>
      </w:r>
    </w:p>
    <w:p w:rsidR="00010BD8" w:rsidRDefault="0080412B">
      <w:pPr>
        <w:rPr>
          <w:b/>
        </w:rPr>
      </w:pPr>
      <w:r>
        <w:t xml:space="preserve">As discussed with the Commission, </w:t>
      </w:r>
      <w:r w:rsidR="00AB4DED">
        <w:t xml:space="preserve">Child Australia </w:t>
      </w:r>
      <w:r>
        <w:t>is</w:t>
      </w:r>
      <w:r w:rsidR="00AB4DED">
        <w:t xml:space="preserve"> happy to provide </w:t>
      </w:r>
      <w:r w:rsidR="00BD12D7">
        <w:t xml:space="preserve">further </w:t>
      </w:r>
      <w:r w:rsidR="00AB4DED">
        <w:t xml:space="preserve">information </w:t>
      </w:r>
      <w:r w:rsidR="00BD12D7">
        <w:t xml:space="preserve">to </w:t>
      </w:r>
      <w:r w:rsidR="00AB4DED">
        <w:t>the</w:t>
      </w:r>
      <w:r w:rsidR="00BD12D7">
        <w:t xml:space="preserve"> Commission </w:t>
      </w:r>
      <w:r w:rsidR="00AB4DED">
        <w:t>on the real world costs of providing services to children deemed to be ‘at risk’ or with a disability</w:t>
      </w:r>
      <w:r w:rsidR="00010BD8">
        <w:t xml:space="preserve"> and</w:t>
      </w:r>
      <w:r w:rsidR="00AB4DED">
        <w:t xml:space="preserve"> invites any further questions that relate to this request. </w:t>
      </w:r>
      <w:r w:rsidR="003F1056">
        <w:t xml:space="preserve">Please see the information at Attachment 1. </w:t>
      </w:r>
      <w:r w:rsidR="00010BD8">
        <w:rPr>
          <w:b/>
        </w:rPr>
        <w:br w:type="page"/>
      </w:r>
    </w:p>
    <w:p w:rsidR="00AB4DED" w:rsidRDefault="00AB4DED">
      <w:pPr>
        <w:rPr>
          <w:b/>
        </w:rPr>
      </w:pPr>
      <w:r>
        <w:rPr>
          <w:b/>
        </w:rPr>
        <w:lastRenderedPageBreak/>
        <w:t xml:space="preserve">Integrated </w:t>
      </w:r>
      <w:r w:rsidR="003F1056">
        <w:rPr>
          <w:b/>
        </w:rPr>
        <w:t>ECE services</w:t>
      </w:r>
      <w:r>
        <w:rPr>
          <w:b/>
        </w:rPr>
        <w:t xml:space="preserve"> </w:t>
      </w:r>
    </w:p>
    <w:p w:rsidR="00AB4DED" w:rsidRDefault="00AB4DED">
      <w:r>
        <w:t>Reference: Draft recommendation 13.1</w:t>
      </w:r>
    </w:p>
    <w:p w:rsidR="00010BD8" w:rsidRDefault="00010BD8">
      <w:r>
        <w:t xml:space="preserve">Child Australia is a provider of integrated services and strongly supports the greater use of these in disadvantaged metropolitan and rural/remote communities. </w:t>
      </w:r>
    </w:p>
    <w:p w:rsidR="003F1056" w:rsidRPr="003F1056" w:rsidRDefault="003F1056">
      <w:pPr>
        <w:rPr>
          <w:b/>
        </w:rPr>
      </w:pPr>
      <w:r w:rsidRPr="003F1056">
        <w:rPr>
          <w:b/>
        </w:rPr>
        <w:t>Related costs of providing integrated services to disadvantaged metropolitan and rural/remote communities</w:t>
      </w:r>
    </w:p>
    <w:p w:rsidR="00010BD8" w:rsidRDefault="00010BD8" w:rsidP="003F1056">
      <w:r>
        <w:t>Reference: Information request 8.2</w:t>
      </w:r>
      <w:r w:rsidR="003F1056">
        <w:t xml:space="preserve"> </w:t>
      </w:r>
    </w:p>
    <w:p w:rsidR="003F1056" w:rsidRDefault="003F1056" w:rsidP="003F1056">
      <w:r>
        <w:t xml:space="preserve">As discussed with the Commission, </w:t>
      </w:r>
      <w:r w:rsidR="00010BD8">
        <w:t xml:space="preserve">Child Australia </w:t>
      </w:r>
      <w:r>
        <w:t>is</w:t>
      </w:r>
      <w:r w:rsidR="00010BD8">
        <w:t xml:space="preserve"> happy to provide the Commission further information on the real world costs of providing integrated services to disadvantaged metropolitan and rural/remote communities </w:t>
      </w:r>
      <w:r w:rsidR="00BD12D7">
        <w:t>and invites</w:t>
      </w:r>
      <w:r w:rsidR="00010BD8">
        <w:t xml:space="preserve"> any further questions that relate to this request. </w:t>
      </w:r>
      <w:r>
        <w:t xml:space="preserve">Please see the information at Attachment 2. </w:t>
      </w:r>
    </w:p>
    <w:p w:rsidR="00010BD8" w:rsidRPr="006B0C45" w:rsidRDefault="006B0C45">
      <w:pPr>
        <w:rPr>
          <w:b/>
        </w:rPr>
      </w:pPr>
      <w:r w:rsidRPr="006B0C45">
        <w:rPr>
          <w:b/>
        </w:rPr>
        <w:t>Qualifications</w:t>
      </w:r>
    </w:p>
    <w:p w:rsidR="006B0C45" w:rsidRPr="0080412B" w:rsidRDefault="006B0C45">
      <w:pPr>
        <w:rPr>
          <w:b/>
        </w:rPr>
      </w:pPr>
      <w:r w:rsidRPr="0080412B">
        <w:rPr>
          <w:b/>
        </w:rPr>
        <w:t>The Commission has discussed the value of qualifications and their value and impact on children.</w:t>
      </w:r>
    </w:p>
    <w:p w:rsidR="006B0C45" w:rsidRDefault="006B0C45" w:rsidP="006B0C45">
      <w:pPr>
        <w:widowControl w:val="0"/>
        <w:tabs>
          <w:tab w:val="left" w:pos="567"/>
          <w:tab w:val="right" w:pos="7088"/>
        </w:tabs>
        <w:jc w:val="both"/>
      </w:pPr>
      <w:r>
        <w:t>Child Australia submits that birth to three is the most rapid period of brain development in life</w:t>
      </w:r>
      <w:r w:rsidR="00AC2F0D">
        <w:rPr>
          <w:rStyle w:val="EndnoteReference"/>
        </w:rPr>
        <w:endnoteReference w:id="1"/>
      </w:r>
      <w:r>
        <w:t>.</w:t>
      </w:r>
    </w:p>
    <w:p w:rsidR="0080412B" w:rsidRDefault="00817198" w:rsidP="00817198">
      <w:r>
        <w:t xml:space="preserve">There are many factors related to providing quality education and care that can influence children’s development but it is teacher education and training that is most effective in promoting optimal child outcomes (Burchinal, Howes &amp;  Kontos, 2002). </w:t>
      </w:r>
    </w:p>
    <w:p w:rsidR="0080412B" w:rsidRDefault="00817198" w:rsidP="00817198">
      <w:r>
        <w:t xml:space="preserve">Educators with an undergraduate degree in early childhood education or a related field have been shown to be more responsive to individual children’s needs and provide more stimulating curricula (Burchinal, Cryer, Clifford, &amp; Howes, 2002; Dwyer, Chait, &amp; McKee, 2000; Weaver, 2002). </w:t>
      </w:r>
    </w:p>
    <w:p w:rsidR="00817198" w:rsidRDefault="00817198" w:rsidP="00817198">
      <w:r>
        <w:t>Furthermore, developmentally appropriate practices improve developmental outcomes for children and these practices have been observed on a more consistent basis when educators receive specific training (File &amp; Gullo, 2002).</w:t>
      </w:r>
    </w:p>
    <w:p w:rsidR="00817198" w:rsidRDefault="0080412B" w:rsidP="00817198">
      <w:r>
        <w:t>The Commission has requested fu</w:t>
      </w:r>
      <w:r w:rsidR="00727B19">
        <w:t>r</w:t>
      </w:r>
      <w:r>
        <w:t>ther relevant references to support consideration and discussion of issues related to qualifications. Dr Sharon Davies at Child Australia submits the following:</w:t>
      </w:r>
    </w:p>
    <w:p w:rsidR="00817198" w:rsidRDefault="00817198" w:rsidP="0080412B">
      <w:pPr>
        <w:pStyle w:val="ListParagraph"/>
        <w:numPr>
          <w:ilvl w:val="0"/>
          <w:numId w:val="17"/>
        </w:numPr>
      </w:pPr>
      <w:r w:rsidRPr="0080412B">
        <w:t>Burchinal, M., Howes, C., &amp; Kontos, S. (2002). Structural predictors of child care quality in child care homes. Early Childhood Research Quarterly, 17(1), 87-105.</w:t>
      </w:r>
    </w:p>
    <w:p w:rsidR="00817198" w:rsidRDefault="00817198" w:rsidP="0080412B">
      <w:pPr>
        <w:pStyle w:val="ListParagraph"/>
        <w:numPr>
          <w:ilvl w:val="0"/>
          <w:numId w:val="17"/>
        </w:numPr>
      </w:pPr>
      <w:r w:rsidRPr="0080412B">
        <w:t>Burchinal, M., Cryer, D., Clifford, R. M., &amp; Howes, C. (2002). Caregiver training and classroom quality in child care centers. Applied Developmental Science, 6(1), 2-11.</w:t>
      </w:r>
    </w:p>
    <w:p w:rsidR="00817198" w:rsidRDefault="00817198" w:rsidP="0080412B">
      <w:pPr>
        <w:pStyle w:val="ListParagraph"/>
        <w:numPr>
          <w:ilvl w:val="0"/>
          <w:numId w:val="17"/>
        </w:numPr>
      </w:pPr>
      <w:r w:rsidRPr="0080412B">
        <w:t>Dwyer, C. M., Chait, R., &amp; McKee, P. (2000). Building strong foundations for early learning: Guide to high-quality early childhood education programs. Washington, DC: U.S. Department of Education, Planning and Evaluation Service.</w:t>
      </w:r>
    </w:p>
    <w:p w:rsidR="00817198" w:rsidRDefault="00817198" w:rsidP="0080412B">
      <w:pPr>
        <w:pStyle w:val="ListParagraph"/>
        <w:numPr>
          <w:ilvl w:val="0"/>
          <w:numId w:val="17"/>
        </w:numPr>
      </w:pPr>
      <w:r w:rsidRPr="0080412B">
        <w:t>File, N., &amp; Gullo, D. F. (2002). A comparison of early childhood and elementary education students' beliefs about primary classroom teaching practices. Early Childhood Research Quarterly, 17(1), 126-137.</w:t>
      </w:r>
    </w:p>
    <w:p w:rsidR="00817198" w:rsidRDefault="00817198" w:rsidP="0080412B">
      <w:pPr>
        <w:pStyle w:val="ListParagraph"/>
        <w:numPr>
          <w:ilvl w:val="0"/>
          <w:numId w:val="17"/>
        </w:numPr>
      </w:pPr>
      <w:r w:rsidRPr="0080412B">
        <w:t>Weaver, R. H. (2002). Predictors of quality and commitment in family child care: Provider education, personal resources, and support. Early Education and Development, 13(3), 265-282.</w:t>
      </w:r>
    </w:p>
    <w:p w:rsidR="0080412B" w:rsidRDefault="0080412B" w:rsidP="0080412B">
      <w:r>
        <w:lastRenderedPageBreak/>
        <w:t>Further to the above, the following international policy statements are particularly relevant:</w:t>
      </w:r>
    </w:p>
    <w:p w:rsidR="00817198" w:rsidRPr="0080412B" w:rsidRDefault="0080412B" w:rsidP="00817198">
      <w:pPr>
        <w:pStyle w:val="ListParagraph"/>
        <w:numPr>
          <w:ilvl w:val="0"/>
          <w:numId w:val="17"/>
        </w:numPr>
      </w:pPr>
      <w:r>
        <w:t>From Canada:</w:t>
      </w:r>
      <w:r w:rsidR="00817198" w:rsidRPr="0080412B">
        <w:rPr>
          <w:rFonts w:ascii="Times New Roman" w:hAnsi="Times New Roman"/>
        </w:rPr>
        <w:t xml:space="preserve"> </w:t>
      </w:r>
      <w:hyperlink r:id="rId10" w:history="1">
        <w:r w:rsidR="00817198" w:rsidRPr="0080412B">
          <w:rPr>
            <w:rStyle w:val="Hyperlink"/>
            <w:rFonts w:ascii="Times New Roman" w:hAnsi="Times New Roman"/>
          </w:rPr>
          <w:t>http://www.google.com/url?sa=t&amp;rct=j&amp;q=first%20duty%20charles%20pascal%20outcomes%20for%20children&amp;source=web&amp;cd=1&amp;ved=0CBwQFjAA&amp;url=http%3A%2F%2Fywcacanada.ca%2Fdata%2Fresearch_docs%2F00000001.pdf&amp;ei=h3f1U6GeE8eLOfjdgdgB&amp;usg=AFQjCNGM4HD7QFfYj-86EqyRDFlVVzZKjg&amp;bvm=bv.73231344,d.bGQ</w:t>
        </w:r>
      </w:hyperlink>
      <w:r w:rsidR="00817198" w:rsidRPr="0080412B">
        <w:rPr>
          <w:rFonts w:ascii="Times New Roman" w:hAnsi="Times New Roman"/>
        </w:rPr>
        <w:t xml:space="preserve"> </w:t>
      </w:r>
    </w:p>
    <w:p w:rsidR="0080412B" w:rsidRDefault="0080412B" w:rsidP="0080412B"/>
    <w:p w:rsidR="00817198" w:rsidRDefault="0080412B" w:rsidP="0080412B">
      <w:pPr>
        <w:pStyle w:val="ListParagraph"/>
        <w:numPr>
          <w:ilvl w:val="0"/>
          <w:numId w:val="17"/>
        </w:numPr>
      </w:pPr>
      <w:r w:rsidRPr="0080412B">
        <w:t>From the United Kingdom:</w:t>
      </w:r>
      <w:r w:rsidR="00817198" w:rsidRPr="0080412B">
        <w:t xml:space="preserve"> </w:t>
      </w:r>
    </w:p>
    <w:p w:rsidR="00817198" w:rsidRDefault="00F14BCE" w:rsidP="00A61852">
      <w:pPr>
        <w:ind w:firstLine="360"/>
      </w:pPr>
      <w:hyperlink r:id="rId11" w:history="1">
        <w:r w:rsidR="00817198">
          <w:rPr>
            <w:rStyle w:val="Hyperlink"/>
            <w:rFonts w:ascii="Times New Roman" w:hAnsi="Times New Roman"/>
          </w:rPr>
          <w:t>https://www.gov.uk/government/news/childcare-qualifications-overhaul</w:t>
        </w:r>
      </w:hyperlink>
    </w:p>
    <w:p w:rsidR="00817198" w:rsidRDefault="00817198" w:rsidP="00817198">
      <w:r>
        <w:rPr>
          <w:rFonts w:ascii="Times New Roman" w:hAnsi="Times New Roman"/>
        </w:rPr>
        <w:t> </w:t>
      </w:r>
    </w:p>
    <w:p w:rsidR="00817198" w:rsidRDefault="00817198" w:rsidP="0080412B">
      <w:pPr>
        <w:pStyle w:val="ListParagraph"/>
        <w:numPr>
          <w:ilvl w:val="0"/>
          <w:numId w:val="18"/>
        </w:numPr>
      </w:pPr>
      <w:r w:rsidRPr="0080412B">
        <w:t>Other -</w:t>
      </w:r>
    </w:p>
    <w:p w:rsidR="00A61852" w:rsidRPr="00A61852" w:rsidRDefault="00A61852" w:rsidP="00A61852">
      <w:pPr>
        <w:pStyle w:val="Default"/>
        <w:ind w:left="360"/>
        <w:rPr>
          <w:rFonts w:asciiTheme="minorHAnsi" w:hAnsiTheme="minorHAnsi"/>
          <w:sz w:val="22"/>
          <w:szCs w:val="22"/>
        </w:rPr>
      </w:pPr>
      <w:r w:rsidRPr="00A61852">
        <w:rPr>
          <w:rFonts w:asciiTheme="minorHAnsi" w:hAnsiTheme="minorHAnsi" w:cstheme="minorBidi"/>
          <w:color w:val="auto"/>
          <w:sz w:val="22"/>
          <w:szCs w:val="22"/>
          <w:lang w:val="en-US"/>
        </w:rPr>
        <w:t xml:space="preserve">Oberklaid, F and Moore, T (2014). Childcare and early childhood learning. </w:t>
      </w:r>
      <w:r>
        <w:t xml:space="preserve"> </w:t>
      </w:r>
      <w:r w:rsidRPr="00A61852">
        <w:rPr>
          <w:rFonts w:asciiTheme="minorHAnsi" w:hAnsiTheme="minorHAnsi"/>
          <w:sz w:val="22"/>
          <w:szCs w:val="22"/>
        </w:rPr>
        <w:t>Presentation to Public Hearing of the Productivity Commission’s Inquiry into Childcare and Early Childhood Learning</w:t>
      </w:r>
    </w:p>
    <w:p w:rsidR="00A61852" w:rsidRDefault="00A61852" w:rsidP="00A61852">
      <w:pPr>
        <w:pStyle w:val="Default"/>
        <w:rPr>
          <w:sz w:val="22"/>
          <w:szCs w:val="22"/>
        </w:rPr>
      </w:pPr>
    </w:p>
    <w:p w:rsidR="00817198" w:rsidRDefault="00F14BCE" w:rsidP="00A61852">
      <w:pPr>
        <w:ind w:left="360"/>
      </w:pPr>
      <w:hyperlink r:id="rId12" w:history="1">
        <w:r w:rsidR="00A61852" w:rsidRPr="002961B6">
          <w:rPr>
            <w:rStyle w:val="Hyperlink"/>
            <w:rFonts w:ascii="Times New Roman" w:hAnsi="Times New Roman"/>
          </w:rPr>
          <w:t>http://www.google.com/url?sa=t&amp;rct=j&amp;q=%E2%80%A2%09burchinal%2C%20m.%2C%20cryer%2C%20d.%2C%20clifford%2C%20r.%20m.%2C%20%26%20howes%2C%20c.%20(2002).%20caregiver%20training%20and%20classroom%20quality%20in%20child%20care%20centers.%20applied%20developmental%20science%2C%206(1)%2C%202-11.&amp;source=web&amp;cd=1&amp;ved=0CBwQFjAA&amp;url=http%3A%2F%2Fwww.community.nsw.gov.au%2Fdocswr%2F_assets%2Fmain%2Fdocuments%2Fresearch_qualitychildcare.pdf&amp;ei=qHn1U6i0HNSiugSil4K4Aw&amp;usg=AFQjCNHwSZAg8UCJHeaiZ6h5qOF6y53WYw&amp;bvm=bv.73231344,d.dGc</w:t>
        </w:r>
      </w:hyperlink>
    </w:p>
    <w:p w:rsidR="00587331" w:rsidRDefault="00587331"/>
    <w:p w:rsidR="003F1056" w:rsidRDefault="003F1056">
      <w:r>
        <w:t xml:space="preserve">Research and program staff from Child </w:t>
      </w:r>
      <w:r w:rsidR="002E2B34">
        <w:t>Australia are</w:t>
      </w:r>
      <w:r>
        <w:t xml:space="preserve"> available for further discussion on this issue. </w:t>
      </w:r>
    </w:p>
    <w:p w:rsidR="003F1056" w:rsidRDefault="003F1056">
      <w:r>
        <w:br w:type="page"/>
      </w:r>
    </w:p>
    <w:p w:rsidR="00AB4DED" w:rsidRPr="002E2B34" w:rsidRDefault="003F1056" w:rsidP="002E2B34">
      <w:pPr>
        <w:pStyle w:val="Heading1"/>
        <w:numPr>
          <w:ilvl w:val="0"/>
          <w:numId w:val="0"/>
        </w:numPr>
        <w:ind w:left="432" w:hanging="432"/>
      </w:pPr>
      <w:r w:rsidRPr="002E2B34">
        <w:lastRenderedPageBreak/>
        <w:t>Attachment 1</w:t>
      </w:r>
    </w:p>
    <w:p w:rsidR="003F1056" w:rsidRPr="003F1056" w:rsidRDefault="003F1056" w:rsidP="00587331">
      <w:pPr>
        <w:shd w:val="clear" w:color="auto" w:fill="FFFFFF" w:themeFill="background1"/>
        <w:rPr>
          <w:b/>
        </w:rPr>
      </w:pPr>
      <w:r w:rsidRPr="003F1056">
        <w:rPr>
          <w:b/>
        </w:rPr>
        <w:t xml:space="preserve">Related costs of providing services to children deemed to be </w:t>
      </w:r>
      <w:r w:rsidR="002E2B34" w:rsidRPr="003F1056">
        <w:rPr>
          <w:b/>
        </w:rPr>
        <w:t>‘at</w:t>
      </w:r>
      <w:r w:rsidRPr="003F1056">
        <w:rPr>
          <w:b/>
        </w:rPr>
        <w:t xml:space="preserve"> risk’</w:t>
      </w:r>
    </w:p>
    <w:p w:rsidR="003F1056" w:rsidRDefault="003F1056"/>
    <w:p w:rsidR="003F1056" w:rsidRPr="00587331" w:rsidRDefault="00587331">
      <w:r w:rsidRPr="00587331">
        <w:t xml:space="preserve">TYPICAL CASE </w:t>
      </w:r>
      <w:r w:rsidR="008858E2">
        <w:t xml:space="preserve">(Example) </w:t>
      </w:r>
    </w:p>
    <w:p w:rsidR="00587331" w:rsidRDefault="008B7188">
      <w:r w:rsidRPr="008B7188">
        <w:rPr>
          <w:u w:val="single"/>
        </w:rPr>
        <w:t>Child history</w:t>
      </w:r>
      <w:r>
        <w:t xml:space="preserve"> </w:t>
      </w:r>
    </w:p>
    <w:p w:rsidR="008B7188" w:rsidRDefault="000976EF">
      <w:r>
        <w:t>J</w:t>
      </w:r>
      <w:r w:rsidR="008B7188">
        <w:t>ohn</w:t>
      </w:r>
      <w:r>
        <w:t xml:space="preserve"> is a 3 year old child with a preliminary diagnosis of global development delay. He has minimal speech, is unable to feed himself, plays alone and is subject to significant swings in behavior related to </w:t>
      </w:r>
      <w:r w:rsidR="008B7188">
        <w:t xml:space="preserve">frustration. </w:t>
      </w:r>
      <w:r w:rsidR="008858E2">
        <w:t xml:space="preserve">John </w:t>
      </w:r>
      <w:r>
        <w:t xml:space="preserve">cannot self settle and is reluctant to sleep. His approaches to other children and staff rapidly </w:t>
      </w:r>
      <w:r w:rsidR="008858E2">
        <w:t>e</w:t>
      </w:r>
      <w:r>
        <w:t xml:space="preserve">volve </w:t>
      </w:r>
      <w:r w:rsidR="008858E2">
        <w:t xml:space="preserve">into John </w:t>
      </w:r>
      <w:r>
        <w:t xml:space="preserve">hitting, scratching and biting. </w:t>
      </w:r>
    </w:p>
    <w:p w:rsidR="00587331" w:rsidRDefault="008B7188">
      <w:r w:rsidRPr="008B7188">
        <w:rPr>
          <w:u w:val="single"/>
        </w:rPr>
        <w:t>Family history</w:t>
      </w:r>
      <w:r>
        <w:t xml:space="preserve"> </w:t>
      </w:r>
    </w:p>
    <w:p w:rsidR="000976EF" w:rsidRDefault="000976EF">
      <w:r>
        <w:t xml:space="preserve">Dad is unable to work due </w:t>
      </w:r>
      <w:r w:rsidR="00727B19">
        <w:t xml:space="preserve">to </w:t>
      </w:r>
      <w:r>
        <w:t>his caring for his son and his own health. J</w:t>
      </w:r>
      <w:r w:rsidR="008B7188">
        <w:t xml:space="preserve">ohn </w:t>
      </w:r>
      <w:r>
        <w:t xml:space="preserve">has two siblings who are struggling to cope with their </w:t>
      </w:r>
      <w:r w:rsidR="008858E2">
        <w:t>brother</w:t>
      </w:r>
      <w:r>
        <w:t xml:space="preserve">. Dad is unable to allow any </w:t>
      </w:r>
      <w:r w:rsidR="008858E2">
        <w:t xml:space="preserve">of the </w:t>
      </w:r>
      <w:r>
        <w:t>children</w:t>
      </w:r>
      <w:r w:rsidR="008858E2">
        <w:t>’s friends</w:t>
      </w:r>
      <w:r>
        <w:t xml:space="preserve"> to </w:t>
      </w:r>
      <w:r w:rsidR="008858E2">
        <w:t>visit. T</w:t>
      </w:r>
      <w:r>
        <w:t>he siblings are unable to attend after school activities such as sport as Dad is unable to afford the cost and unable to guarantee that</w:t>
      </w:r>
      <w:r w:rsidR="008B7188">
        <w:t xml:space="preserve"> John</w:t>
      </w:r>
      <w:r>
        <w:t>’</w:t>
      </w:r>
      <w:r w:rsidR="008B7188">
        <w:t>s</w:t>
      </w:r>
      <w:r>
        <w:t xml:space="preserve"> needs will not </w:t>
      </w:r>
      <w:r w:rsidR="008B7188">
        <w:t>override</w:t>
      </w:r>
      <w:r>
        <w:t xml:space="preserve"> transport </w:t>
      </w:r>
      <w:r w:rsidR="008B7188">
        <w:t>requirements</w:t>
      </w:r>
      <w:r>
        <w:t xml:space="preserve"> or </w:t>
      </w:r>
      <w:r w:rsidR="008B7188">
        <w:t>parent attendance rules</w:t>
      </w:r>
      <w:r>
        <w:t xml:space="preserve">. </w:t>
      </w:r>
    </w:p>
    <w:p w:rsidR="00587331" w:rsidRDefault="008B7188" w:rsidP="008B7188">
      <w:r w:rsidRPr="008B7188">
        <w:rPr>
          <w:u w:val="single"/>
        </w:rPr>
        <w:t>Centre based care history</w:t>
      </w:r>
      <w:r>
        <w:t xml:space="preserve"> </w:t>
      </w:r>
    </w:p>
    <w:p w:rsidR="008B7188" w:rsidRDefault="008B7188" w:rsidP="008B7188">
      <w:r>
        <w:t>Dad is seeking child care while he seeks treatment for depression and arranges specialist intervention for his child. One previous child care service asked John’s dad to remove him as their staff were not able to cope with John and his needs</w:t>
      </w:r>
      <w:r w:rsidR="008858E2">
        <w:t xml:space="preserve">, </w:t>
      </w:r>
      <w:r>
        <w:t xml:space="preserve">and the inclusion support funding available did not adequately cover the cost of a support staff member. </w:t>
      </w:r>
    </w:p>
    <w:p w:rsidR="003F1056" w:rsidRPr="00587331" w:rsidRDefault="00587331">
      <w:pPr>
        <w:rPr>
          <w:u w:val="single"/>
        </w:rPr>
      </w:pPr>
      <w:r w:rsidRPr="00587331">
        <w:rPr>
          <w:u w:val="single"/>
        </w:rPr>
        <w:t>Centre and family plan for J</w:t>
      </w:r>
      <w:r w:rsidR="008858E2">
        <w:rPr>
          <w:u w:val="single"/>
        </w:rPr>
        <w:t>ohn</w:t>
      </w:r>
    </w:p>
    <w:p w:rsidR="003F1056" w:rsidRDefault="00587331">
      <w:r>
        <w:t xml:space="preserve">Enrolment to the Centre: </w:t>
      </w:r>
      <w:r w:rsidR="008B7188">
        <w:t xml:space="preserve">The Centre has </w:t>
      </w:r>
      <w:r w:rsidR="002E2B34">
        <w:t xml:space="preserve">received a referral from </w:t>
      </w:r>
      <w:r>
        <w:t>the</w:t>
      </w:r>
      <w:r w:rsidR="002E2B34">
        <w:t xml:space="preserve"> family support team at the local heath service. The referral includes </w:t>
      </w:r>
      <w:r>
        <w:t>diagnosis</w:t>
      </w:r>
      <w:r w:rsidR="002E2B34">
        <w:t xml:space="preserve"> and </w:t>
      </w:r>
      <w:r>
        <w:t>an offer of information only. No other support is available. The Centre is advised that before a support package can be designed, John is wait listed for assessment for a high needs support unit but this</w:t>
      </w:r>
      <w:r w:rsidR="008858E2">
        <w:t xml:space="preserve"> assessment </w:t>
      </w:r>
      <w:r>
        <w:t xml:space="preserve">is still </w:t>
      </w:r>
      <w:r w:rsidR="008858E2">
        <w:t xml:space="preserve">6 -8 </w:t>
      </w:r>
      <w:r>
        <w:t>months off.</w:t>
      </w:r>
    </w:p>
    <w:p w:rsidR="00587331" w:rsidRDefault="00587331">
      <w:r>
        <w:t xml:space="preserve">John starts at the </w:t>
      </w:r>
      <w:r w:rsidR="009E1CA6">
        <w:t>Centre and</w:t>
      </w:r>
      <w:r w:rsidR="0036449F">
        <w:t xml:space="preserve"> as John is see</w:t>
      </w:r>
      <w:r w:rsidR="008858E2">
        <w:t>n</w:t>
      </w:r>
      <w:r w:rsidR="0036449F">
        <w:t xml:space="preserve"> to have high needs – he cannot be left alone at any time for any reason - an educator is allocated to be his primary carer within 24 hours</w:t>
      </w:r>
      <w:r w:rsidR="008858E2">
        <w:t xml:space="preserve"> of enrolment</w:t>
      </w:r>
      <w:r w:rsidR="0036449F">
        <w:t xml:space="preserve">. The compulsory 4 week observation and orientation period begins where his strengths, needs and his </w:t>
      </w:r>
      <w:r w:rsidR="008858E2">
        <w:t>parent’s</w:t>
      </w:r>
      <w:r w:rsidR="0036449F">
        <w:t xml:space="preserve"> wishes for </w:t>
      </w:r>
      <w:r w:rsidR="008858E2">
        <w:t>his</w:t>
      </w:r>
      <w:r w:rsidR="0036449F">
        <w:t xml:space="preserve"> child are documented. An </w:t>
      </w:r>
      <w:r w:rsidR="009E1CA6">
        <w:t>initial plan</w:t>
      </w:r>
      <w:r w:rsidR="0036449F">
        <w:t xml:space="preserve"> is put in </w:t>
      </w:r>
      <w:r w:rsidR="009E1CA6">
        <w:t xml:space="preserve">place. </w:t>
      </w:r>
    </w:p>
    <w:p w:rsidR="008858E2" w:rsidRDefault="00587331">
      <w:r>
        <w:t xml:space="preserve">The Centre contacted the relevant local </w:t>
      </w:r>
      <w:r w:rsidR="008858E2">
        <w:t>Inclusion Support Provider</w:t>
      </w:r>
      <w:r>
        <w:t>. Flexible</w:t>
      </w:r>
      <w:r w:rsidR="002E2B34">
        <w:t xml:space="preserve"> support funding </w:t>
      </w:r>
      <w:r>
        <w:t xml:space="preserve">is available for 100 hours only. During this period an application can be made for the Inclusion Support Subsidy. </w:t>
      </w:r>
      <w:r w:rsidR="009E1CA6">
        <w:t xml:space="preserve">This funding lasts 12 months before a whole new application has to be made. </w:t>
      </w:r>
      <w:r w:rsidR="008858E2">
        <w:t xml:space="preserve">This process is </w:t>
      </w:r>
      <w:r w:rsidR="00FD1DD0">
        <w:t>begun.</w:t>
      </w:r>
    </w:p>
    <w:p w:rsidR="002E2B34" w:rsidRDefault="009E1CA6">
      <w:r>
        <w:t>Table 1.1 gives the real staffing and funded staffing costs.</w:t>
      </w:r>
    </w:p>
    <w:p w:rsidR="009E1CA6" w:rsidRDefault="009E1CA6"/>
    <w:p w:rsidR="009E1CA6" w:rsidRDefault="009E1CA6"/>
    <w:p w:rsidR="009E1CA6" w:rsidRDefault="009E1CA6"/>
    <w:p w:rsidR="009E1CA6" w:rsidRPr="009E1CA6" w:rsidRDefault="003258B7">
      <w:pPr>
        <w:rPr>
          <w:b/>
        </w:rPr>
      </w:pPr>
      <w:r>
        <w:rPr>
          <w:b/>
        </w:rPr>
        <w:t xml:space="preserve">Table 1.1: </w:t>
      </w:r>
      <w:r w:rsidR="009E1CA6" w:rsidRPr="009E1CA6">
        <w:rPr>
          <w:b/>
        </w:rPr>
        <w:t>Staff costs for John</w:t>
      </w:r>
    </w:p>
    <w:tbl>
      <w:tblPr>
        <w:tblStyle w:val="TableGrid"/>
        <w:tblW w:w="5000" w:type="pct"/>
        <w:tblLook w:val="04A0" w:firstRow="1" w:lastRow="0" w:firstColumn="1" w:lastColumn="0" w:noHBand="0" w:noVBand="1"/>
      </w:tblPr>
      <w:tblGrid>
        <w:gridCol w:w="2372"/>
        <w:gridCol w:w="2404"/>
        <w:gridCol w:w="2400"/>
        <w:gridCol w:w="2400"/>
      </w:tblGrid>
      <w:tr w:rsidR="00075EAB" w:rsidRPr="0086226D" w:rsidTr="00FD1DD0">
        <w:tc>
          <w:tcPr>
            <w:tcW w:w="1238" w:type="pct"/>
          </w:tcPr>
          <w:p w:rsidR="00075EAB" w:rsidRPr="0086226D" w:rsidRDefault="00075EAB">
            <w:pPr>
              <w:rPr>
                <w:b/>
              </w:rPr>
            </w:pPr>
            <w:r w:rsidRPr="0086226D">
              <w:rPr>
                <w:b/>
              </w:rPr>
              <w:t>Flexible support funding for the first 100 hours</w:t>
            </w:r>
          </w:p>
        </w:tc>
        <w:tc>
          <w:tcPr>
            <w:tcW w:w="1255" w:type="pct"/>
          </w:tcPr>
          <w:p w:rsidR="00075EAB" w:rsidRPr="0086226D" w:rsidRDefault="00075EAB">
            <w:pPr>
              <w:rPr>
                <w:b/>
              </w:rPr>
            </w:pPr>
            <w:r w:rsidRPr="0086226D">
              <w:rPr>
                <w:b/>
              </w:rPr>
              <w:t>Inclusion support subsidy for the 12 months</w:t>
            </w:r>
          </w:p>
        </w:tc>
        <w:tc>
          <w:tcPr>
            <w:tcW w:w="1253" w:type="pct"/>
          </w:tcPr>
          <w:p w:rsidR="00075EAB" w:rsidRDefault="00DF5AAC">
            <w:pPr>
              <w:rPr>
                <w:b/>
              </w:rPr>
            </w:pPr>
            <w:r>
              <w:rPr>
                <w:b/>
              </w:rPr>
              <w:t xml:space="preserve">Hourly </w:t>
            </w:r>
            <w:r w:rsidR="00075EAB">
              <w:rPr>
                <w:b/>
              </w:rPr>
              <w:t>wage</w:t>
            </w:r>
          </w:p>
          <w:p w:rsidR="00075EAB" w:rsidRPr="0086226D" w:rsidRDefault="00075EAB">
            <w:pPr>
              <w:rPr>
                <w:b/>
              </w:rPr>
            </w:pPr>
            <w:r>
              <w:rPr>
                <w:b/>
              </w:rPr>
              <w:t>Cert III 1 year experience</w:t>
            </w:r>
            <w:r w:rsidR="00DF5AAC">
              <w:rPr>
                <w:b/>
              </w:rPr>
              <w:t>*</w:t>
            </w:r>
          </w:p>
        </w:tc>
        <w:tc>
          <w:tcPr>
            <w:tcW w:w="1253" w:type="pct"/>
          </w:tcPr>
          <w:p w:rsidR="00075EAB" w:rsidRDefault="00075EAB">
            <w:pPr>
              <w:rPr>
                <w:b/>
              </w:rPr>
            </w:pPr>
            <w:r>
              <w:rPr>
                <w:b/>
              </w:rPr>
              <w:t>Real cost to Centre</w:t>
            </w:r>
          </w:p>
        </w:tc>
      </w:tr>
      <w:tr w:rsidR="00075EAB" w:rsidTr="00FD1DD0">
        <w:tc>
          <w:tcPr>
            <w:tcW w:w="1238" w:type="pct"/>
          </w:tcPr>
          <w:p w:rsidR="00075EAB" w:rsidRDefault="00075EAB" w:rsidP="0086226D">
            <w:r>
              <w:t>$17.19 per hour</w:t>
            </w:r>
          </w:p>
        </w:tc>
        <w:tc>
          <w:tcPr>
            <w:tcW w:w="1255" w:type="pct"/>
          </w:tcPr>
          <w:p w:rsidR="00075EAB" w:rsidRDefault="00075EAB" w:rsidP="0086226D">
            <w:r>
              <w:t>$17.19 per hour</w:t>
            </w:r>
          </w:p>
        </w:tc>
        <w:tc>
          <w:tcPr>
            <w:tcW w:w="1253" w:type="pct"/>
          </w:tcPr>
          <w:p w:rsidR="00075EAB" w:rsidRDefault="00075EAB" w:rsidP="0086226D">
            <w:r>
              <w:t>$19.72 per hour</w:t>
            </w:r>
          </w:p>
        </w:tc>
        <w:tc>
          <w:tcPr>
            <w:tcW w:w="1253" w:type="pct"/>
          </w:tcPr>
          <w:p w:rsidR="00075EAB" w:rsidRDefault="00075EAB" w:rsidP="0086226D">
            <w:r>
              <w:t>$2.53 per hour</w:t>
            </w:r>
          </w:p>
        </w:tc>
      </w:tr>
      <w:tr w:rsidR="00075EAB" w:rsidTr="00FD1DD0">
        <w:tc>
          <w:tcPr>
            <w:tcW w:w="1238" w:type="pct"/>
          </w:tcPr>
          <w:p w:rsidR="00075EAB" w:rsidRDefault="00075EAB">
            <w:r>
              <w:t>100 hours capped</w:t>
            </w:r>
          </w:p>
          <w:p w:rsidR="00075EAB" w:rsidRDefault="00075EAB"/>
          <w:p w:rsidR="00075EAB" w:rsidRDefault="00075EAB" w:rsidP="00075EAB">
            <w:r>
              <w:t>Used up in 4 wks.</w:t>
            </w:r>
          </w:p>
        </w:tc>
        <w:tc>
          <w:tcPr>
            <w:tcW w:w="1255" w:type="pct"/>
          </w:tcPr>
          <w:p w:rsidR="00075EAB" w:rsidRDefault="00075EAB" w:rsidP="00075EAB">
            <w:r>
              <w:t xml:space="preserve">Attended hours </w:t>
            </w:r>
          </w:p>
          <w:p w:rsidR="00075EAB" w:rsidRDefault="00075EAB" w:rsidP="00075EAB"/>
          <w:p w:rsidR="00075EAB" w:rsidRDefault="00075EAB" w:rsidP="00075EAB">
            <w:r>
              <w:t>Av</w:t>
            </w:r>
            <w:r w:rsidR="00F55CC6">
              <w:t>g</w:t>
            </w:r>
            <w:r>
              <w:t>. 6 hours a day</w:t>
            </w:r>
          </w:p>
        </w:tc>
        <w:tc>
          <w:tcPr>
            <w:tcW w:w="1253" w:type="pct"/>
          </w:tcPr>
          <w:p w:rsidR="00075EAB" w:rsidRDefault="00075EAB">
            <w:r>
              <w:t>Attended hours</w:t>
            </w:r>
          </w:p>
          <w:p w:rsidR="00075EAB" w:rsidRDefault="00075EAB"/>
          <w:p w:rsidR="00075EAB" w:rsidRDefault="00075EAB">
            <w:r>
              <w:t xml:space="preserve">Min 4 hours </w:t>
            </w:r>
          </w:p>
        </w:tc>
        <w:tc>
          <w:tcPr>
            <w:tcW w:w="1253" w:type="pct"/>
          </w:tcPr>
          <w:p w:rsidR="00075EAB" w:rsidRDefault="0037106F">
            <w:r>
              <w:t>$15.18 per day</w:t>
            </w:r>
          </w:p>
          <w:p w:rsidR="0037106F" w:rsidRDefault="0037106F"/>
          <w:p w:rsidR="0037106F" w:rsidRDefault="0037106F" w:rsidP="0037106F">
            <w:r>
              <w:t>$303.60 per mth.</w:t>
            </w:r>
          </w:p>
        </w:tc>
      </w:tr>
    </w:tbl>
    <w:p w:rsidR="009E1CA6" w:rsidRDefault="00DF5AAC">
      <w:r>
        <w:t xml:space="preserve">*Full wage figures are given in Attachment 3 </w:t>
      </w:r>
    </w:p>
    <w:p w:rsidR="0086226D" w:rsidRDefault="00D14636">
      <w:r>
        <w:t xml:space="preserve">The Centre costs </w:t>
      </w:r>
      <w:r w:rsidR="00075EAB">
        <w:t xml:space="preserve">incurred for John’s care and education require an </w:t>
      </w:r>
      <w:r>
        <w:t xml:space="preserve">outlay </w:t>
      </w:r>
      <w:r w:rsidR="008858E2">
        <w:t xml:space="preserve">above budget and this </w:t>
      </w:r>
      <w:r>
        <w:t>requires us to</w:t>
      </w:r>
      <w:r w:rsidR="0086226D">
        <w:t xml:space="preserve"> make a decision whether to </w:t>
      </w:r>
      <w:r>
        <w:t xml:space="preserve">limit </w:t>
      </w:r>
      <w:r w:rsidR="0086226D">
        <w:t xml:space="preserve">John’s access to the Centre per day. </w:t>
      </w:r>
    </w:p>
    <w:p w:rsidR="0037106F" w:rsidRDefault="0086226D">
      <w:r>
        <w:t>This is an enormously difficult decision as John’s family is attempting to cope with a parenting and family picture that is daily impacting on the dad and John’s siblings</w:t>
      </w:r>
      <w:r w:rsidR="00FD1DD0">
        <w:t>,</w:t>
      </w:r>
      <w:r w:rsidR="008858E2">
        <w:t xml:space="preserve"> and placing each at risk</w:t>
      </w:r>
      <w:r>
        <w:t xml:space="preserve">. Put simply, </w:t>
      </w:r>
      <w:r w:rsidR="00FD1DD0">
        <w:t xml:space="preserve">such </w:t>
      </w:r>
      <w:r w:rsidR="002E56BB">
        <w:t>a decision</w:t>
      </w:r>
      <w:r>
        <w:t xml:space="preserve"> </w:t>
      </w:r>
      <w:r w:rsidR="00FD1DD0">
        <w:t xml:space="preserve">could </w:t>
      </w:r>
      <w:r w:rsidR="002E56BB">
        <w:t>mean that</w:t>
      </w:r>
      <w:r>
        <w:t xml:space="preserve"> they don’t get a break and a critical chance at time for their own development and healing</w:t>
      </w:r>
      <w:r w:rsidR="0037106F">
        <w:t>; a</w:t>
      </w:r>
      <w:r>
        <w:t xml:space="preserve">nd John will miss out on vital early education and care intervention. </w:t>
      </w:r>
    </w:p>
    <w:p w:rsidR="0037106F" w:rsidRDefault="0037106F">
      <w:r>
        <w:t xml:space="preserve">Child Australia is a not for profit organisation. If there </w:t>
      </w:r>
      <w:r w:rsidR="008858E2">
        <w:t>are</w:t>
      </w:r>
      <w:r>
        <w:t xml:space="preserve"> incurred costs above the funding then they have to be borne by the Centre and passed on to other parents through their fees. </w:t>
      </w:r>
    </w:p>
    <w:p w:rsidR="0037106F" w:rsidRDefault="0037106F">
      <w:pPr>
        <w:rPr>
          <w:b/>
        </w:rPr>
      </w:pPr>
      <w:r w:rsidRPr="0037106F">
        <w:rPr>
          <w:b/>
        </w:rPr>
        <w:t>The issue is…</w:t>
      </w:r>
    </w:p>
    <w:p w:rsidR="0037106F" w:rsidRDefault="0037106F">
      <w:r>
        <w:t xml:space="preserve">In this Centre we have 4 John’s. </w:t>
      </w:r>
    </w:p>
    <w:p w:rsidR="00D76307" w:rsidRDefault="0037106F">
      <w:r>
        <w:t>The impact on the service of taking the additional children is $</w:t>
      </w:r>
      <w:r w:rsidRPr="0037106F">
        <w:rPr>
          <w:b/>
        </w:rPr>
        <w:t>1214.40</w:t>
      </w:r>
      <w:r>
        <w:t xml:space="preserve"> a month. </w:t>
      </w:r>
    </w:p>
    <w:p w:rsidR="00D76307" w:rsidRPr="00D76307" w:rsidRDefault="00D76307">
      <w:pPr>
        <w:rPr>
          <w:b/>
        </w:rPr>
      </w:pPr>
      <w:r w:rsidRPr="00D76307">
        <w:rPr>
          <w:b/>
        </w:rPr>
        <w:t>In addition …</w:t>
      </w:r>
    </w:p>
    <w:p w:rsidR="00D76307" w:rsidRDefault="00D76307">
      <w:r w:rsidRPr="00D76307">
        <w:t xml:space="preserve">The time taken for the application for additional funding, which involves a completely new set of paperwork in addition to the Centre’s already comprehensive documentation kept as required under the National Quality </w:t>
      </w:r>
      <w:r w:rsidR="008858E2">
        <w:t>F</w:t>
      </w:r>
      <w:r w:rsidRPr="00D76307">
        <w:t>ramework</w:t>
      </w:r>
      <w:r w:rsidR="00030475">
        <w:t>. The impact of</w:t>
      </w:r>
      <w:r w:rsidR="008858E2">
        <w:t xml:space="preserve"> this </w:t>
      </w:r>
      <w:r w:rsidRPr="00D76307">
        <w:t>is</w:t>
      </w:r>
      <w:r w:rsidR="003258B7">
        <w:t xml:space="preserve"> set out in Table 1.2 below</w:t>
      </w:r>
      <w:r w:rsidRPr="00D76307">
        <w:t>:</w:t>
      </w:r>
    </w:p>
    <w:p w:rsidR="003258B7" w:rsidRPr="008858E2" w:rsidRDefault="003258B7">
      <w:pPr>
        <w:rPr>
          <w:b/>
        </w:rPr>
      </w:pPr>
      <w:r w:rsidRPr="008858E2">
        <w:rPr>
          <w:b/>
        </w:rPr>
        <w:t xml:space="preserve">Table 1.2: Cost of </w:t>
      </w:r>
      <w:r w:rsidR="00030475" w:rsidRPr="008858E2">
        <w:rPr>
          <w:b/>
        </w:rPr>
        <w:t>making an</w:t>
      </w:r>
      <w:r w:rsidRPr="008858E2">
        <w:rPr>
          <w:b/>
        </w:rPr>
        <w:t xml:space="preserve"> application for </w:t>
      </w:r>
      <w:r w:rsidR="00405BD0" w:rsidRPr="008858E2">
        <w:rPr>
          <w:b/>
        </w:rPr>
        <w:t xml:space="preserve">inclusion support </w:t>
      </w:r>
      <w:r w:rsidRPr="008858E2">
        <w:rPr>
          <w:b/>
        </w:rPr>
        <w:t>funding</w:t>
      </w:r>
    </w:p>
    <w:tbl>
      <w:tblPr>
        <w:tblStyle w:val="TableGrid"/>
        <w:tblW w:w="0" w:type="auto"/>
        <w:tblLook w:val="04A0" w:firstRow="1" w:lastRow="0" w:firstColumn="1" w:lastColumn="0" w:noHBand="0" w:noVBand="1"/>
      </w:tblPr>
      <w:tblGrid>
        <w:gridCol w:w="4788"/>
        <w:gridCol w:w="4788"/>
      </w:tblGrid>
      <w:tr w:rsidR="003258B7" w:rsidTr="00D76307">
        <w:tc>
          <w:tcPr>
            <w:tcW w:w="4788" w:type="dxa"/>
          </w:tcPr>
          <w:p w:rsidR="003258B7" w:rsidRDefault="003258B7" w:rsidP="00D76307">
            <w:pPr>
              <w:rPr>
                <w:b/>
              </w:rPr>
            </w:pPr>
            <w:r>
              <w:rPr>
                <w:b/>
              </w:rPr>
              <w:t>Action</w:t>
            </w:r>
          </w:p>
        </w:tc>
        <w:tc>
          <w:tcPr>
            <w:tcW w:w="4788" w:type="dxa"/>
          </w:tcPr>
          <w:p w:rsidR="003258B7" w:rsidRDefault="003258B7">
            <w:pPr>
              <w:rPr>
                <w:b/>
              </w:rPr>
            </w:pPr>
            <w:r>
              <w:rPr>
                <w:b/>
              </w:rPr>
              <w:t>Time and cost</w:t>
            </w:r>
          </w:p>
        </w:tc>
      </w:tr>
      <w:tr w:rsidR="00D76307" w:rsidRPr="003258B7" w:rsidTr="00D76307">
        <w:tc>
          <w:tcPr>
            <w:tcW w:w="4788" w:type="dxa"/>
          </w:tcPr>
          <w:p w:rsidR="00D76307" w:rsidRPr="003258B7" w:rsidRDefault="00D76307" w:rsidP="00D76307">
            <w:r w:rsidRPr="003258B7">
              <w:t xml:space="preserve">Application form   </w:t>
            </w:r>
          </w:p>
        </w:tc>
        <w:tc>
          <w:tcPr>
            <w:tcW w:w="4788" w:type="dxa"/>
          </w:tcPr>
          <w:p w:rsidR="00D76307" w:rsidRPr="003258B7" w:rsidRDefault="00D76307">
            <w:r w:rsidRPr="003258B7">
              <w:t>1 hour</w:t>
            </w:r>
          </w:p>
        </w:tc>
      </w:tr>
      <w:tr w:rsidR="00D76307" w:rsidRPr="003258B7" w:rsidTr="00D76307">
        <w:tc>
          <w:tcPr>
            <w:tcW w:w="4788" w:type="dxa"/>
          </w:tcPr>
          <w:p w:rsidR="00D76307" w:rsidRPr="003258B7" w:rsidRDefault="00D76307">
            <w:r w:rsidRPr="003258B7">
              <w:t>Time to discuss with parents</w:t>
            </w:r>
          </w:p>
        </w:tc>
        <w:tc>
          <w:tcPr>
            <w:tcW w:w="4788" w:type="dxa"/>
          </w:tcPr>
          <w:p w:rsidR="00D76307" w:rsidRPr="003258B7" w:rsidRDefault="00D76307">
            <w:r w:rsidRPr="003258B7">
              <w:t>1 - 2 hours</w:t>
            </w:r>
          </w:p>
        </w:tc>
      </w:tr>
      <w:tr w:rsidR="00D76307" w:rsidRPr="003258B7" w:rsidTr="00D76307">
        <w:tc>
          <w:tcPr>
            <w:tcW w:w="4788" w:type="dxa"/>
          </w:tcPr>
          <w:p w:rsidR="00D76307" w:rsidRPr="003258B7" w:rsidRDefault="00D76307" w:rsidP="00D76307">
            <w:r w:rsidRPr="003258B7">
              <w:t>Initial observations documentation</w:t>
            </w:r>
          </w:p>
        </w:tc>
        <w:tc>
          <w:tcPr>
            <w:tcW w:w="4788" w:type="dxa"/>
          </w:tcPr>
          <w:p w:rsidR="00D76307" w:rsidRPr="003258B7" w:rsidRDefault="00D76307">
            <w:r w:rsidRPr="003258B7">
              <w:t>6 hours</w:t>
            </w:r>
          </w:p>
        </w:tc>
      </w:tr>
      <w:tr w:rsidR="00D76307" w:rsidRPr="003258B7" w:rsidTr="00D76307">
        <w:tc>
          <w:tcPr>
            <w:tcW w:w="4788" w:type="dxa"/>
          </w:tcPr>
          <w:p w:rsidR="00D76307" w:rsidRPr="003258B7" w:rsidRDefault="00D76307">
            <w:r w:rsidRPr="003258B7">
              <w:t xml:space="preserve">Inclusion support subsidy documentation </w:t>
            </w:r>
          </w:p>
        </w:tc>
        <w:tc>
          <w:tcPr>
            <w:tcW w:w="4788" w:type="dxa"/>
          </w:tcPr>
          <w:p w:rsidR="00D76307" w:rsidRPr="003258B7" w:rsidRDefault="00D76307">
            <w:r w:rsidRPr="003258B7">
              <w:t>8 hours</w:t>
            </w:r>
          </w:p>
        </w:tc>
      </w:tr>
      <w:tr w:rsidR="00D76307" w:rsidRPr="003258B7" w:rsidTr="00D76307">
        <w:tc>
          <w:tcPr>
            <w:tcW w:w="4788" w:type="dxa"/>
          </w:tcPr>
          <w:p w:rsidR="00D76307" w:rsidRPr="003258B7" w:rsidRDefault="00D76307">
            <w:r w:rsidRPr="003258B7">
              <w:t xml:space="preserve">Total </w:t>
            </w:r>
          </w:p>
        </w:tc>
        <w:tc>
          <w:tcPr>
            <w:tcW w:w="4788" w:type="dxa"/>
          </w:tcPr>
          <w:p w:rsidR="00D76307" w:rsidRPr="003258B7" w:rsidRDefault="00D76307">
            <w:r w:rsidRPr="003258B7">
              <w:t>16 -17 hours</w:t>
            </w:r>
          </w:p>
        </w:tc>
      </w:tr>
      <w:tr w:rsidR="003258B7" w:rsidRPr="003258B7" w:rsidTr="00D76307">
        <w:tc>
          <w:tcPr>
            <w:tcW w:w="4788" w:type="dxa"/>
          </w:tcPr>
          <w:p w:rsidR="003258B7" w:rsidRPr="003258B7" w:rsidRDefault="003258B7">
            <w:r w:rsidRPr="003258B7">
              <w:t xml:space="preserve">Rate (Diploma qualified senior educator) </w:t>
            </w:r>
          </w:p>
        </w:tc>
        <w:tc>
          <w:tcPr>
            <w:tcW w:w="4788" w:type="dxa"/>
          </w:tcPr>
          <w:p w:rsidR="003258B7" w:rsidRPr="003258B7" w:rsidRDefault="003258B7">
            <w:r w:rsidRPr="003258B7">
              <w:t>$24.25</w:t>
            </w:r>
          </w:p>
        </w:tc>
      </w:tr>
      <w:tr w:rsidR="003258B7" w:rsidRPr="003258B7" w:rsidTr="00D76307">
        <w:tc>
          <w:tcPr>
            <w:tcW w:w="4788" w:type="dxa"/>
          </w:tcPr>
          <w:p w:rsidR="003258B7" w:rsidRPr="003258B7" w:rsidRDefault="003258B7">
            <w:r w:rsidRPr="003258B7">
              <w:t xml:space="preserve">Cost of funding specific documentation </w:t>
            </w:r>
            <w:r w:rsidRPr="008858E2">
              <w:rPr>
                <w:b/>
              </w:rPr>
              <w:t>per child</w:t>
            </w:r>
          </w:p>
        </w:tc>
        <w:tc>
          <w:tcPr>
            <w:tcW w:w="4788" w:type="dxa"/>
          </w:tcPr>
          <w:p w:rsidR="003258B7" w:rsidRPr="003258B7" w:rsidRDefault="003258B7">
            <w:r w:rsidRPr="003258B7">
              <w:t>$388.00</w:t>
            </w:r>
          </w:p>
        </w:tc>
      </w:tr>
    </w:tbl>
    <w:p w:rsidR="00D76307" w:rsidRDefault="00D76307">
      <w:pPr>
        <w:rPr>
          <w:b/>
        </w:rPr>
      </w:pPr>
    </w:p>
    <w:p w:rsidR="00472944" w:rsidRDefault="00472944">
      <w:pPr>
        <w:rPr>
          <w:b/>
        </w:rPr>
      </w:pPr>
    </w:p>
    <w:p w:rsidR="003F1056" w:rsidRPr="0037106F" w:rsidRDefault="003F1056">
      <w:pPr>
        <w:rPr>
          <w:b/>
        </w:rPr>
      </w:pPr>
      <w:r w:rsidRPr="0037106F">
        <w:rPr>
          <w:b/>
        </w:rPr>
        <w:br w:type="page"/>
      </w:r>
    </w:p>
    <w:p w:rsidR="003F1056" w:rsidRDefault="003F1056" w:rsidP="00587331">
      <w:pPr>
        <w:pStyle w:val="Heading1"/>
        <w:numPr>
          <w:ilvl w:val="0"/>
          <w:numId w:val="0"/>
        </w:numPr>
        <w:ind w:left="432" w:hanging="432"/>
      </w:pPr>
      <w:r>
        <w:lastRenderedPageBreak/>
        <w:t>Attachment 2</w:t>
      </w:r>
    </w:p>
    <w:p w:rsidR="0037106F" w:rsidRDefault="0037106F" w:rsidP="0037106F">
      <w:pPr>
        <w:rPr>
          <w:b/>
        </w:rPr>
      </w:pPr>
      <w:r w:rsidRPr="003F1056">
        <w:rPr>
          <w:b/>
        </w:rPr>
        <w:t>Related costs of providing integrated services to disadvantaged metropolitan and rural/remote communities</w:t>
      </w:r>
    </w:p>
    <w:p w:rsidR="00030475" w:rsidRPr="00030475" w:rsidRDefault="00030475" w:rsidP="0037106F">
      <w:pPr>
        <w:rPr>
          <w:b/>
        </w:rPr>
      </w:pPr>
      <w:r w:rsidRPr="00030475">
        <w:rPr>
          <w:b/>
        </w:rPr>
        <w:t>Definition</w:t>
      </w:r>
    </w:p>
    <w:p w:rsidR="00030475" w:rsidRDefault="00030475" w:rsidP="0037106F">
      <w:r w:rsidRPr="00030475">
        <w:t xml:space="preserve">There are a range of ideas as to what an integrated service is. The consensus is now that the </w:t>
      </w:r>
      <w:r>
        <w:t xml:space="preserve">integrated </w:t>
      </w:r>
      <w:r w:rsidRPr="00030475">
        <w:t>service is defined as a range of services tailored to a local community of any definition, including cultural, geographic or need type</w:t>
      </w:r>
      <w:r>
        <w:t xml:space="preserve">. The components of the integrated service share a management or share a </w:t>
      </w:r>
      <w:r w:rsidR="00751B30">
        <w:t>purpose,</w:t>
      </w:r>
      <w:r>
        <w:t xml:space="preserve"> not necessarily both.</w:t>
      </w:r>
    </w:p>
    <w:p w:rsidR="00751B30" w:rsidRPr="00751B30" w:rsidRDefault="00751B30" w:rsidP="0037106F">
      <w:pPr>
        <w:rPr>
          <w:b/>
        </w:rPr>
      </w:pPr>
      <w:r w:rsidRPr="00751B30">
        <w:rPr>
          <w:b/>
        </w:rPr>
        <w:t>Our service</w:t>
      </w:r>
    </w:p>
    <w:p w:rsidR="00751B30" w:rsidRPr="00C7139F" w:rsidRDefault="00751B30" w:rsidP="00C7139F">
      <w:pPr>
        <w:pStyle w:val="ListParagraph"/>
        <w:numPr>
          <w:ilvl w:val="0"/>
          <w:numId w:val="33"/>
        </w:numPr>
        <w:spacing w:line="240" w:lineRule="auto"/>
        <w:ind w:left="360"/>
        <w:rPr>
          <w:rFonts w:ascii="Calibri" w:hAnsi="Calibri"/>
          <w:lang w:eastAsia="en-US"/>
        </w:rPr>
      </w:pPr>
      <w:r w:rsidRPr="00C7139F">
        <w:rPr>
          <w:rFonts w:ascii="Calibri" w:hAnsi="Calibri"/>
          <w:lang w:eastAsia="en-US"/>
        </w:rPr>
        <w:t>Early Child</w:t>
      </w:r>
      <w:r w:rsidR="00E875AB">
        <w:rPr>
          <w:rFonts w:ascii="Calibri" w:hAnsi="Calibri"/>
          <w:lang w:eastAsia="en-US"/>
        </w:rPr>
        <w:t xml:space="preserve">  </w:t>
      </w:r>
      <w:r w:rsidRPr="00C7139F">
        <w:rPr>
          <w:rFonts w:ascii="Calibri" w:hAnsi="Calibri"/>
          <w:lang w:eastAsia="en-US"/>
        </w:rPr>
        <w:t>hood</w:t>
      </w:r>
    </w:p>
    <w:p w:rsidR="00751B30" w:rsidRDefault="00751B30"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sidR="00F55CC6">
        <w:rPr>
          <w:rFonts w:ascii="Times New Roman" w:hAnsi="Times New Roman" w:cs="Times New Roman"/>
          <w:sz w:val="14"/>
          <w:szCs w:val="14"/>
          <w:lang w:eastAsia="en-US"/>
        </w:rPr>
        <w:tab/>
      </w:r>
      <w:r>
        <w:rPr>
          <w:rFonts w:ascii="Calibri" w:hAnsi="Calibri"/>
          <w:lang w:eastAsia="en-US"/>
        </w:rPr>
        <w:t>Centre based care and education (60 place)</w:t>
      </w:r>
    </w:p>
    <w:p w:rsidR="00751B30" w:rsidRDefault="00751B30"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sidR="00F55CC6">
        <w:rPr>
          <w:rFonts w:ascii="Times New Roman" w:hAnsi="Times New Roman" w:cs="Times New Roman"/>
          <w:sz w:val="14"/>
          <w:szCs w:val="14"/>
          <w:lang w:eastAsia="en-US"/>
        </w:rPr>
        <w:tab/>
      </w:r>
      <w:r>
        <w:rPr>
          <w:rFonts w:ascii="Calibri" w:hAnsi="Calibri"/>
          <w:lang w:eastAsia="en-US"/>
        </w:rPr>
        <w:t>Community Health Nurse</w:t>
      </w:r>
    </w:p>
    <w:p w:rsidR="00751B30" w:rsidRPr="004516E2" w:rsidRDefault="00751B30" w:rsidP="004516E2">
      <w:pPr>
        <w:pStyle w:val="ListParagraph"/>
        <w:numPr>
          <w:ilvl w:val="1"/>
          <w:numId w:val="18"/>
        </w:numPr>
        <w:spacing w:line="240" w:lineRule="auto"/>
        <w:rPr>
          <w:rFonts w:ascii="Calibri" w:hAnsi="Calibri"/>
          <w:lang w:eastAsia="en-US"/>
        </w:rPr>
      </w:pPr>
      <w:r w:rsidRPr="004516E2">
        <w:rPr>
          <w:rFonts w:ascii="Calibri" w:hAnsi="Calibri"/>
          <w:lang w:eastAsia="en-US"/>
        </w:rPr>
        <w:t>Mothers group</w:t>
      </w:r>
    </w:p>
    <w:p w:rsidR="004516E2" w:rsidRDefault="004516E2" w:rsidP="004516E2">
      <w:pPr>
        <w:pStyle w:val="ListParagraph"/>
        <w:numPr>
          <w:ilvl w:val="1"/>
          <w:numId w:val="18"/>
        </w:numPr>
        <w:spacing w:line="240" w:lineRule="auto"/>
        <w:rPr>
          <w:rFonts w:ascii="Calibri" w:hAnsi="Calibri"/>
          <w:lang w:eastAsia="en-US"/>
        </w:rPr>
      </w:pPr>
      <w:r>
        <w:rPr>
          <w:rFonts w:ascii="Calibri" w:hAnsi="Calibri"/>
          <w:lang w:eastAsia="en-US"/>
        </w:rPr>
        <w:t>Parent and child mental health support</w:t>
      </w:r>
    </w:p>
    <w:p w:rsidR="00751B30" w:rsidRDefault="00F55CC6"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Pr>
          <w:rFonts w:ascii="Times New Roman" w:hAnsi="Times New Roman" w:cs="Times New Roman"/>
          <w:sz w:val="14"/>
          <w:szCs w:val="14"/>
          <w:lang w:eastAsia="en-US"/>
        </w:rPr>
        <w:tab/>
      </w:r>
      <w:r w:rsidR="00751B30">
        <w:rPr>
          <w:rFonts w:ascii="Calibri" w:hAnsi="Calibri"/>
          <w:lang w:eastAsia="en-US"/>
        </w:rPr>
        <w:t>Pre-kindergarten</w:t>
      </w:r>
    </w:p>
    <w:p w:rsidR="00751B30" w:rsidRDefault="00F55CC6"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Pr>
          <w:rFonts w:ascii="Times New Roman" w:hAnsi="Times New Roman" w:cs="Times New Roman"/>
          <w:sz w:val="14"/>
          <w:szCs w:val="14"/>
          <w:lang w:eastAsia="en-US"/>
        </w:rPr>
        <w:tab/>
      </w:r>
      <w:r w:rsidR="00751B30">
        <w:rPr>
          <w:rFonts w:ascii="Calibri" w:hAnsi="Calibri"/>
          <w:lang w:eastAsia="en-US"/>
        </w:rPr>
        <w:t>Kindergarten</w:t>
      </w:r>
    </w:p>
    <w:p w:rsidR="00751B30" w:rsidRDefault="00F55CC6"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Pr>
          <w:rFonts w:ascii="Times New Roman" w:hAnsi="Times New Roman" w:cs="Times New Roman"/>
          <w:sz w:val="14"/>
          <w:szCs w:val="14"/>
          <w:lang w:eastAsia="en-US"/>
        </w:rPr>
        <w:tab/>
      </w:r>
      <w:r w:rsidR="00751B30">
        <w:rPr>
          <w:rFonts w:ascii="Calibri" w:hAnsi="Calibri"/>
          <w:lang w:eastAsia="en-US"/>
        </w:rPr>
        <w:t>Hub Services for children who have a therapy team</w:t>
      </w:r>
    </w:p>
    <w:p w:rsidR="00751B30" w:rsidRDefault="00751B30" w:rsidP="00751B30">
      <w:pPr>
        <w:pStyle w:val="ListParagraph"/>
        <w:spacing w:line="240" w:lineRule="auto"/>
        <w:ind w:left="360" w:hanging="360"/>
        <w:rPr>
          <w:rFonts w:ascii="Calibri" w:hAnsi="Calibri"/>
          <w:lang w:eastAsia="en-US"/>
        </w:rPr>
      </w:pPr>
      <w:r>
        <w:rPr>
          <w:rFonts w:ascii="Symbol" w:hAnsi="Symbol"/>
          <w:lang w:eastAsia="en-US"/>
        </w:rPr>
        <w:t></w:t>
      </w:r>
      <w:r>
        <w:rPr>
          <w:rFonts w:ascii="Times New Roman" w:hAnsi="Times New Roman" w:cs="Times New Roman"/>
          <w:sz w:val="14"/>
          <w:szCs w:val="14"/>
          <w:lang w:eastAsia="en-US"/>
        </w:rPr>
        <w:t xml:space="preserve">        </w:t>
      </w:r>
      <w:r>
        <w:rPr>
          <w:rFonts w:ascii="Calibri" w:hAnsi="Calibri"/>
          <w:lang w:eastAsia="en-US"/>
        </w:rPr>
        <w:t>Middle Childhood</w:t>
      </w:r>
    </w:p>
    <w:p w:rsidR="00751B30" w:rsidRDefault="00F55CC6"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Pr>
          <w:rFonts w:ascii="Times New Roman" w:hAnsi="Times New Roman" w:cs="Times New Roman"/>
          <w:sz w:val="14"/>
          <w:szCs w:val="14"/>
          <w:lang w:eastAsia="en-US"/>
        </w:rPr>
        <w:tab/>
      </w:r>
      <w:r w:rsidR="00751B30">
        <w:rPr>
          <w:rFonts w:ascii="Calibri" w:hAnsi="Calibri"/>
          <w:lang w:eastAsia="en-US"/>
        </w:rPr>
        <w:t xml:space="preserve">Outside School Hours Care (30 place) </w:t>
      </w:r>
    </w:p>
    <w:p w:rsidR="00751B30" w:rsidRDefault="00F55CC6"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Pr>
          <w:rFonts w:ascii="Times New Roman" w:hAnsi="Times New Roman" w:cs="Times New Roman"/>
          <w:sz w:val="14"/>
          <w:szCs w:val="14"/>
          <w:lang w:eastAsia="en-US"/>
        </w:rPr>
        <w:tab/>
      </w:r>
      <w:r w:rsidR="00751B30">
        <w:rPr>
          <w:rFonts w:ascii="Calibri" w:hAnsi="Calibri"/>
          <w:lang w:eastAsia="en-US"/>
        </w:rPr>
        <w:t>FIFO parent support</w:t>
      </w:r>
    </w:p>
    <w:p w:rsidR="00751B30" w:rsidRDefault="00F55CC6"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Pr>
          <w:rFonts w:ascii="Times New Roman" w:hAnsi="Times New Roman" w:cs="Times New Roman"/>
          <w:sz w:val="14"/>
          <w:szCs w:val="14"/>
          <w:lang w:eastAsia="en-US"/>
        </w:rPr>
        <w:tab/>
      </w:r>
      <w:r w:rsidR="00751B30">
        <w:rPr>
          <w:rFonts w:ascii="Calibri" w:hAnsi="Calibri"/>
          <w:lang w:eastAsia="en-US"/>
        </w:rPr>
        <w:t>Sibling support for children with a sibling with additional needs</w:t>
      </w:r>
    </w:p>
    <w:p w:rsidR="00751B30" w:rsidRDefault="00F55CC6"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Pr>
          <w:rFonts w:ascii="Times New Roman" w:hAnsi="Times New Roman" w:cs="Times New Roman"/>
          <w:sz w:val="14"/>
          <w:szCs w:val="14"/>
          <w:lang w:eastAsia="en-US"/>
        </w:rPr>
        <w:tab/>
      </w:r>
      <w:r w:rsidR="00751B30">
        <w:rPr>
          <w:rFonts w:ascii="Calibri" w:hAnsi="Calibri"/>
          <w:lang w:eastAsia="en-US"/>
        </w:rPr>
        <w:t>Hub Services for children who have a therapy team</w:t>
      </w:r>
    </w:p>
    <w:p w:rsidR="00751B30" w:rsidRDefault="00751B30" w:rsidP="00751B30">
      <w:pPr>
        <w:pStyle w:val="ListParagraph"/>
        <w:spacing w:line="240" w:lineRule="auto"/>
        <w:ind w:left="360" w:hanging="360"/>
        <w:rPr>
          <w:rFonts w:ascii="Calibri" w:hAnsi="Calibri"/>
          <w:lang w:eastAsia="en-US"/>
        </w:rPr>
      </w:pPr>
      <w:r>
        <w:rPr>
          <w:rFonts w:ascii="Symbol" w:hAnsi="Symbol"/>
          <w:lang w:eastAsia="en-US"/>
        </w:rPr>
        <w:t></w:t>
      </w:r>
      <w:r>
        <w:rPr>
          <w:rFonts w:ascii="Times New Roman" w:hAnsi="Times New Roman" w:cs="Times New Roman"/>
          <w:sz w:val="14"/>
          <w:szCs w:val="14"/>
          <w:lang w:eastAsia="en-US"/>
        </w:rPr>
        <w:t xml:space="preserve">         </w:t>
      </w:r>
      <w:r>
        <w:rPr>
          <w:rFonts w:ascii="Calibri" w:hAnsi="Calibri"/>
          <w:lang w:eastAsia="en-US"/>
        </w:rPr>
        <w:t>Leadership and management teaching and learning</w:t>
      </w:r>
    </w:p>
    <w:p w:rsidR="00751B30" w:rsidRDefault="00F55CC6"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Pr>
          <w:rFonts w:ascii="Times New Roman" w:hAnsi="Times New Roman" w:cs="Times New Roman"/>
          <w:sz w:val="14"/>
          <w:szCs w:val="14"/>
          <w:lang w:eastAsia="en-US"/>
        </w:rPr>
        <w:tab/>
      </w:r>
      <w:r w:rsidR="00751B30">
        <w:rPr>
          <w:rFonts w:ascii="Calibri" w:hAnsi="Calibri"/>
          <w:lang w:eastAsia="en-US"/>
        </w:rPr>
        <w:t>Emerging leader P</w:t>
      </w:r>
      <w:r w:rsidR="00387D17">
        <w:rPr>
          <w:rFonts w:ascii="Calibri" w:hAnsi="Calibri"/>
          <w:lang w:eastAsia="en-US"/>
        </w:rPr>
        <w:t xml:space="preserve">rofessional </w:t>
      </w:r>
      <w:r w:rsidR="00751B30">
        <w:rPr>
          <w:rFonts w:ascii="Calibri" w:hAnsi="Calibri"/>
          <w:lang w:eastAsia="en-US"/>
        </w:rPr>
        <w:t>D</w:t>
      </w:r>
      <w:r w:rsidR="00387D17">
        <w:rPr>
          <w:rFonts w:ascii="Calibri" w:hAnsi="Calibri"/>
          <w:lang w:eastAsia="en-US"/>
        </w:rPr>
        <w:t xml:space="preserve">evelopment program </w:t>
      </w:r>
      <w:r w:rsidR="00751B30">
        <w:rPr>
          <w:rFonts w:ascii="Calibri" w:hAnsi="Calibri"/>
          <w:lang w:eastAsia="en-US"/>
        </w:rPr>
        <w:t xml:space="preserve"> and support sessions</w:t>
      </w:r>
    </w:p>
    <w:p w:rsidR="00751B30" w:rsidRDefault="00F55CC6" w:rsidP="00751B30">
      <w:pPr>
        <w:pStyle w:val="ListParagraph"/>
        <w:spacing w:line="240" w:lineRule="auto"/>
        <w:ind w:left="1080" w:hanging="360"/>
        <w:rPr>
          <w:rFonts w:ascii="Calibri" w:hAnsi="Calibri"/>
          <w:lang w:eastAsia="en-US"/>
        </w:rPr>
      </w:pPr>
      <w:r>
        <w:rPr>
          <w:rFonts w:ascii="Courier New" w:hAnsi="Courier New" w:cs="Courier New"/>
          <w:lang w:eastAsia="en-US"/>
        </w:rPr>
        <w:t>O</w:t>
      </w:r>
      <w:r>
        <w:rPr>
          <w:rFonts w:ascii="Times New Roman" w:hAnsi="Times New Roman" w:cs="Times New Roman"/>
          <w:sz w:val="14"/>
          <w:szCs w:val="14"/>
          <w:lang w:eastAsia="en-US"/>
        </w:rPr>
        <w:tab/>
      </w:r>
      <w:r w:rsidR="00751B30">
        <w:rPr>
          <w:rFonts w:ascii="Calibri" w:hAnsi="Calibri"/>
          <w:lang w:eastAsia="en-US"/>
        </w:rPr>
        <w:t>Management P</w:t>
      </w:r>
      <w:r w:rsidR="00387D17">
        <w:rPr>
          <w:rFonts w:ascii="Calibri" w:hAnsi="Calibri"/>
          <w:lang w:eastAsia="en-US"/>
        </w:rPr>
        <w:t xml:space="preserve">rofessional </w:t>
      </w:r>
      <w:r w:rsidR="00751B30">
        <w:rPr>
          <w:rFonts w:ascii="Calibri" w:hAnsi="Calibri"/>
          <w:lang w:eastAsia="en-US"/>
        </w:rPr>
        <w:t>D</w:t>
      </w:r>
      <w:r w:rsidR="00387D17">
        <w:rPr>
          <w:rFonts w:ascii="Calibri" w:hAnsi="Calibri"/>
          <w:lang w:eastAsia="en-US"/>
        </w:rPr>
        <w:t>evelopment program and support resources</w:t>
      </w:r>
    </w:p>
    <w:p w:rsidR="00751B30" w:rsidRDefault="00751B30" w:rsidP="00751B30">
      <w:pPr>
        <w:pStyle w:val="ListParagraph"/>
        <w:spacing w:line="240" w:lineRule="auto"/>
        <w:ind w:left="360" w:hanging="360"/>
        <w:rPr>
          <w:rFonts w:ascii="Calibri" w:hAnsi="Calibri"/>
          <w:lang w:eastAsia="en-US"/>
        </w:rPr>
      </w:pPr>
      <w:r>
        <w:rPr>
          <w:rFonts w:ascii="Symbol" w:hAnsi="Symbol"/>
          <w:lang w:eastAsia="en-US"/>
        </w:rPr>
        <w:t></w:t>
      </w:r>
      <w:r>
        <w:rPr>
          <w:rFonts w:ascii="Times New Roman" w:hAnsi="Times New Roman" w:cs="Times New Roman"/>
          <w:sz w:val="14"/>
          <w:szCs w:val="14"/>
          <w:lang w:eastAsia="en-US"/>
        </w:rPr>
        <w:t xml:space="preserve">         </w:t>
      </w:r>
      <w:r>
        <w:rPr>
          <w:rFonts w:ascii="Calibri" w:hAnsi="Calibri"/>
          <w:lang w:eastAsia="en-US"/>
        </w:rPr>
        <w:t>Research</w:t>
      </w:r>
    </w:p>
    <w:p w:rsidR="00751B30" w:rsidRDefault="00387D17" w:rsidP="00751B30">
      <w:pPr>
        <w:pStyle w:val="ListParagraph"/>
        <w:numPr>
          <w:ilvl w:val="1"/>
          <w:numId w:val="18"/>
        </w:numPr>
        <w:spacing w:line="240" w:lineRule="auto"/>
        <w:rPr>
          <w:rFonts w:ascii="Calibri" w:hAnsi="Calibri"/>
          <w:lang w:eastAsia="en-US"/>
        </w:rPr>
      </w:pPr>
      <w:r>
        <w:rPr>
          <w:rFonts w:ascii="Calibri" w:hAnsi="Calibri"/>
          <w:lang w:eastAsia="en-US"/>
        </w:rPr>
        <w:t>Emerging multi partner program</w:t>
      </w:r>
    </w:p>
    <w:p w:rsidR="00751B30" w:rsidRDefault="00751B30" w:rsidP="00751B30">
      <w:pPr>
        <w:pStyle w:val="ListParagraph"/>
        <w:numPr>
          <w:ilvl w:val="0"/>
          <w:numId w:val="18"/>
        </w:numPr>
        <w:spacing w:line="240" w:lineRule="auto"/>
        <w:rPr>
          <w:lang w:val="en-AU"/>
        </w:rPr>
      </w:pPr>
      <w:r>
        <w:rPr>
          <w:lang w:val="en-AU"/>
        </w:rPr>
        <w:t>Development</w:t>
      </w:r>
    </w:p>
    <w:p w:rsidR="00751B30" w:rsidRDefault="00751B30" w:rsidP="00751B30">
      <w:pPr>
        <w:pStyle w:val="ListParagraph"/>
        <w:numPr>
          <w:ilvl w:val="1"/>
          <w:numId w:val="18"/>
        </w:numPr>
        <w:spacing w:line="240" w:lineRule="auto"/>
        <w:rPr>
          <w:lang w:val="en-AU"/>
        </w:rPr>
      </w:pPr>
      <w:r>
        <w:rPr>
          <w:lang w:val="en-AU"/>
        </w:rPr>
        <w:t>A</w:t>
      </w:r>
      <w:r w:rsidRPr="00751B30">
        <w:rPr>
          <w:lang w:val="en-AU"/>
        </w:rPr>
        <w:t xml:space="preserve"> real and a virtual place and space devoted to the understanding of early and middle years (policy, </w:t>
      </w:r>
      <w:r>
        <w:rPr>
          <w:lang w:val="en-AU"/>
        </w:rPr>
        <w:t xml:space="preserve">professional </w:t>
      </w:r>
      <w:r w:rsidRPr="00751B30">
        <w:rPr>
          <w:lang w:val="en-AU"/>
        </w:rPr>
        <w:t xml:space="preserve">learning and </w:t>
      </w:r>
      <w:r>
        <w:rPr>
          <w:lang w:val="en-AU"/>
        </w:rPr>
        <w:t>practice</w:t>
      </w:r>
      <w:r w:rsidRPr="00751B30">
        <w:rPr>
          <w:lang w:val="en-AU"/>
        </w:rPr>
        <w:t xml:space="preserve">) </w:t>
      </w:r>
    </w:p>
    <w:p w:rsidR="00751B30" w:rsidRDefault="00751B30" w:rsidP="00751B30">
      <w:pPr>
        <w:spacing w:line="240" w:lineRule="auto"/>
        <w:rPr>
          <w:lang w:val="en-AU"/>
        </w:rPr>
      </w:pPr>
      <w:r>
        <w:rPr>
          <w:lang w:val="en-AU"/>
        </w:rPr>
        <w:t>The cost of th</w:t>
      </w:r>
      <w:r w:rsidR="00443A4F">
        <w:rPr>
          <w:lang w:val="en-AU"/>
        </w:rPr>
        <w:t xml:space="preserve">e integrated </w:t>
      </w:r>
      <w:r>
        <w:rPr>
          <w:lang w:val="en-AU"/>
        </w:rPr>
        <w:t xml:space="preserve">service </w:t>
      </w:r>
      <w:r w:rsidR="00A609CF">
        <w:rPr>
          <w:lang w:val="en-AU"/>
        </w:rPr>
        <w:t>is given</w:t>
      </w:r>
      <w:r>
        <w:rPr>
          <w:lang w:val="en-AU"/>
        </w:rPr>
        <w:t xml:space="preserve"> in Table 2.1 </w:t>
      </w:r>
      <w:r w:rsidR="00443A4F">
        <w:rPr>
          <w:lang w:val="en-AU"/>
        </w:rPr>
        <w:t xml:space="preserve"> - 2.</w:t>
      </w:r>
      <w:r w:rsidR="005013E1">
        <w:rPr>
          <w:lang w:val="en-AU"/>
        </w:rPr>
        <w:t>2</w:t>
      </w:r>
      <w:r w:rsidR="00443A4F">
        <w:rPr>
          <w:lang w:val="en-AU"/>
        </w:rPr>
        <w:t xml:space="preserve"> </w:t>
      </w:r>
      <w:r>
        <w:rPr>
          <w:lang w:val="en-AU"/>
        </w:rPr>
        <w:t>below:</w:t>
      </w:r>
    </w:p>
    <w:p w:rsidR="00751B30" w:rsidRDefault="00751B30">
      <w:pPr>
        <w:rPr>
          <w:lang w:val="en-AU"/>
        </w:rPr>
      </w:pPr>
      <w:r>
        <w:rPr>
          <w:lang w:val="en-AU"/>
        </w:rPr>
        <w:br w:type="page"/>
      </w:r>
    </w:p>
    <w:p w:rsidR="00751B30" w:rsidRDefault="00751B30" w:rsidP="00751B30">
      <w:pPr>
        <w:spacing w:line="240" w:lineRule="auto"/>
        <w:rPr>
          <w:b/>
          <w:lang w:val="en-AU"/>
        </w:rPr>
        <w:sectPr w:rsidR="00751B30">
          <w:footerReference w:type="default" r:id="rId13"/>
          <w:pgSz w:w="12240" w:h="15840"/>
          <w:pgMar w:top="1440" w:right="1440" w:bottom="1440" w:left="1440" w:header="720" w:footer="720" w:gutter="0"/>
          <w:cols w:space="720"/>
        </w:sectPr>
      </w:pPr>
    </w:p>
    <w:p w:rsidR="00751B30" w:rsidRPr="00751B30" w:rsidRDefault="00751B30" w:rsidP="00751B30">
      <w:pPr>
        <w:spacing w:line="240" w:lineRule="auto"/>
        <w:rPr>
          <w:b/>
          <w:lang w:val="en-AU"/>
        </w:rPr>
      </w:pPr>
      <w:r>
        <w:rPr>
          <w:b/>
          <w:lang w:val="en-AU"/>
        </w:rPr>
        <w:lastRenderedPageBreak/>
        <w:t xml:space="preserve">Table 2.1: </w:t>
      </w:r>
      <w:r w:rsidRPr="00751B30">
        <w:rPr>
          <w:b/>
          <w:lang w:val="en-AU"/>
        </w:rPr>
        <w:t xml:space="preserve">Costs of an integrated service </w:t>
      </w:r>
      <w:r w:rsidRPr="00751B30">
        <w:rPr>
          <w:rFonts w:cs="Arial"/>
          <w:b/>
        </w:rPr>
        <w:t>additional to a normal education and care service which are directly related to the integrated service</w:t>
      </w:r>
    </w:p>
    <w:tbl>
      <w:tblPr>
        <w:tblStyle w:val="TableGrid"/>
        <w:tblW w:w="4959" w:type="pct"/>
        <w:tblInd w:w="108" w:type="dxa"/>
        <w:tblLook w:val="04A0" w:firstRow="1" w:lastRow="0" w:firstColumn="1" w:lastColumn="0" w:noHBand="0" w:noVBand="1"/>
      </w:tblPr>
      <w:tblGrid>
        <w:gridCol w:w="2551"/>
        <w:gridCol w:w="5104"/>
        <w:gridCol w:w="5413"/>
      </w:tblGrid>
      <w:tr w:rsidR="00751B30" w:rsidRPr="00882CD8" w:rsidTr="00E21CEF">
        <w:trPr>
          <w:tblHeader/>
        </w:trPr>
        <w:tc>
          <w:tcPr>
            <w:tcW w:w="976" w:type="pct"/>
            <w:shd w:val="clear" w:color="auto" w:fill="D6D6D6" w:themeFill="text2" w:themeFillTint="33"/>
          </w:tcPr>
          <w:p w:rsidR="00751B30" w:rsidRPr="00882CD8" w:rsidRDefault="00751B30" w:rsidP="00751B30">
            <w:pPr>
              <w:tabs>
                <w:tab w:val="left" w:pos="6804"/>
              </w:tabs>
              <w:rPr>
                <w:rFonts w:cs="Arial"/>
                <w:b/>
                <w:color w:val="B35E06" w:themeColor="accent1" w:themeShade="BF"/>
              </w:rPr>
            </w:pPr>
            <w:r w:rsidRPr="00751B30">
              <w:rPr>
                <w:rFonts w:cs="Arial"/>
                <w:b/>
                <w:color w:val="B35E06" w:themeColor="accent1" w:themeShade="BF"/>
              </w:rPr>
              <w:t>Normal education and care service c</w:t>
            </w:r>
            <w:r>
              <w:rPr>
                <w:rFonts w:cs="Arial"/>
                <w:b/>
                <w:color w:val="B35E06" w:themeColor="accent1" w:themeShade="BF"/>
              </w:rPr>
              <w:t>entre budget</w:t>
            </w:r>
            <w:r w:rsidRPr="00882CD8">
              <w:rPr>
                <w:rFonts w:cs="Arial"/>
                <w:b/>
                <w:color w:val="B35E06" w:themeColor="accent1" w:themeShade="BF"/>
              </w:rPr>
              <w:t xml:space="preserve"> checklist</w:t>
            </w:r>
          </w:p>
        </w:tc>
        <w:tc>
          <w:tcPr>
            <w:tcW w:w="1953" w:type="pct"/>
            <w:shd w:val="clear" w:color="auto" w:fill="D6D6D6" w:themeFill="text2" w:themeFillTint="33"/>
          </w:tcPr>
          <w:p w:rsidR="00751B30" w:rsidRPr="00882CD8" w:rsidRDefault="003D51C1" w:rsidP="003D51C1">
            <w:pPr>
              <w:tabs>
                <w:tab w:val="left" w:pos="6804"/>
              </w:tabs>
              <w:rPr>
                <w:rFonts w:cs="Arial"/>
                <w:b/>
                <w:color w:val="B35E06" w:themeColor="accent1" w:themeShade="BF"/>
              </w:rPr>
            </w:pPr>
            <w:r>
              <w:rPr>
                <w:rFonts w:cs="Arial"/>
                <w:b/>
                <w:color w:val="B35E06" w:themeColor="accent1" w:themeShade="BF"/>
              </w:rPr>
              <w:t>Requirements additional to a normal education and care service which are directly related to the integrated service</w:t>
            </w:r>
          </w:p>
        </w:tc>
        <w:tc>
          <w:tcPr>
            <w:tcW w:w="2071" w:type="pct"/>
            <w:shd w:val="clear" w:color="auto" w:fill="D6D6D6" w:themeFill="text2" w:themeFillTint="33"/>
          </w:tcPr>
          <w:p w:rsidR="00751B30" w:rsidRDefault="003D51C1" w:rsidP="003D51C1">
            <w:pPr>
              <w:tabs>
                <w:tab w:val="left" w:pos="6804"/>
              </w:tabs>
              <w:rPr>
                <w:rFonts w:cs="Arial"/>
                <w:b/>
                <w:color w:val="B35E06" w:themeColor="accent1" w:themeShade="BF"/>
              </w:rPr>
            </w:pPr>
            <w:r>
              <w:rPr>
                <w:rFonts w:cs="Arial"/>
                <w:b/>
                <w:color w:val="B35E06" w:themeColor="accent1" w:themeShade="BF"/>
              </w:rPr>
              <w:t>Costs additional to a normal education and care service which are directly related to the integrated service</w:t>
            </w:r>
          </w:p>
        </w:tc>
      </w:tr>
      <w:tr w:rsidR="00751B30" w:rsidRPr="00882CD8" w:rsidTr="00E21CEF">
        <w:trPr>
          <w:tblHeader/>
        </w:trPr>
        <w:tc>
          <w:tcPr>
            <w:tcW w:w="976" w:type="pct"/>
          </w:tcPr>
          <w:p w:rsidR="00751B30" w:rsidRPr="004A7D9C" w:rsidRDefault="00751B30" w:rsidP="003D51C1">
            <w:pPr>
              <w:tabs>
                <w:tab w:val="left" w:pos="6804"/>
              </w:tabs>
              <w:rPr>
                <w:rFonts w:cs="Arial"/>
                <w:b/>
                <w:color w:val="231F20"/>
              </w:rPr>
            </w:pPr>
            <w:r w:rsidRPr="004A7D9C">
              <w:rPr>
                <w:rFonts w:cs="Arial"/>
                <w:b/>
                <w:color w:val="231F20"/>
              </w:rPr>
              <w:t>Income</w:t>
            </w:r>
          </w:p>
        </w:tc>
        <w:tc>
          <w:tcPr>
            <w:tcW w:w="1953" w:type="pct"/>
          </w:tcPr>
          <w:p w:rsidR="00751B30" w:rsidRPr="00882CD8" w:rsidRDefault="00751B30" w:rsidP="003D51C1">
            <w:pPr>
              <w:tabs>
                <w:tab w:val="left" w:pos="6804"/>
              </w:tabs>
              <w:rPr>
                <w:rFonts w:cs="Arial"/>
                <w:color w:val="231F20"/>
              </w:rPr>
            </w:pPr>
          </w:p>
        </w:tc>
        <w:tc>
          <w:tcPr>
            <w:tcW w:w="2071" w:type="pct"/>
          </w:tcPr>
          <w:p w:rsidR="00751B30" w:rsidRPr="00882CD8" w:rsidRDefault="00751B30" w:rsidP="003D51C1">
            <w:pPr>
              <w:tabs>
                <w:tab w:val="left" w:pos="6804"/>
              </w:tabs>
              <w:rPr>
                <w:rFonts w:cs="Arial"/>
                <w:color w:val="231F20"/>
              </w:rPr>
            </w:pPr>
          </w:p>
        </w:tc>
      </w:tr>
      <w:tr w:rsidR="00751B30" w:rsidRPr="00882CD8" w:rsidTr="00E21CEF">
        <w:trPr>
          <w:tblHeader/>
        </w:trPr>
        <w:tc>
          <w:tcPr>
            <w:tcW w:w="976" w:type="pct"/>
          </w:tcPr>
          <w:p w:rsidR="00751B30" w:rsidRPr="00882CD8" w:rsidRDefault="00751B30" w:rsidP="00115C2D">
            <w:pPr>
              <w:tabs>
                <w:tab w:val="left" w:pos="6804"/>
              </w:tabs>
              <w:rPr>
                <w:noProof/>
                <w:lang w:eastAsia="en-AU"/>
              </w:rPr>
            </w:pPr>
            <w:r>
              <w:rPr>
                <w:noProof/>
                <w:lang w:eastAsia="en-AU"/>
              </w:rPr>
              <w:t>Fees</w:t>
            </w:r>
          </w:p>
        </w:tc>
        <w:tc>
          <w:tcPr>
            <w:tcW w:w="1953" w:type="pct"/>
          </w:tcPr>
          <w:p w:rsidR="00751B30" w:rsidRPr="00882CD8" w:rsidRDefault="004A7D9C" w:rsidP="00E21CEF">
            <w:pPr>
              <w:tabs>
                <w:tab w:val="left" w:pos="6804"/>
              </w:tabs>
              <w:rPr>
                <w:rFonts w:cs="Arial"/>
                <w:color w:val="231F20"/>
              </w:rPr>
            </w:pPr>
            <w:r>
              <w:rPr>
                <w:rFonts w:cs="Arial"/>
                <w:color w:val="231F20"/>
              </w:rPr>
              <w:t xml:space="preserve">Early Childhood Centre and Outside School Hours </w:t>
            </w:r>
            <w:r w:rsidR="00E21CEF">
              <w:rPr>
                <w:rFonts w:cs="Arial"/>
                <w:color w:val="231F20"/>
              </w:rPr>
              <w:t>C</w:t>
            </w:r>
            <w:r>
              <w:rPr>
                <w:rFonts w:cs="Arial"/>
                <w:color w:val="231F20"/>
              </w:rPr>
              <w:t xml:space="preserve">are are the only budgeted fee paying services. </w:t>
            </w:r>
          </w:p>
        </w:tc>
        <w:tc>
          <w:tcPr>
            <w:tcW w:w="2071" w:type="pct"/>
          </w:tcPr>
          <w:p w:rsidR="00A433D0" w:rsidRDefault="00E21CEF" w:rsidP="003D51C1">
            <w:pPr>
              <w:tabs>
                <w:tab w:val="left" w:pos="6804"/>
              </w:tabs>
              <w:rPr>
                <w:rFonts w:cs="Arial"/>
                <w:color w:val="231F20"/>
              </w:rPr>
            </w:pPr>
            <w:r>
              <w:rPr>
                <w:rFonts w:cs="Arial"/>
                <w:color w:val="231F20"/>
              </w:rPr>
              <w:t xml:space="preserve">Lockridge is a lower socio economic community. </w:t>
            </w:r>
          </w:p>
          <w:p w:rsidR="00E21CEF" w:rsidRPr="00882CD8" w:rsidRDefault="00E21CEF" w:rsidP="003D51C1">
            <w:pPr>
              <w:tabs>
                <w:tab w:val="left" w:pos="6804"/>
              </w:tabs>
              <w:rPr>
                <w:rFonts w:cs="Arial"/>
                <w:color w:val="231F20"/>
              </w:rPr>
            </w:pPr>
            <w:r>
              <w:rPr>
                <w:rFonts w:cs="Arial"/>
                <w:color w:val="231F20"/>
              </w:rPr>
              <w:t>No further fees are charged</w:t>
            </w:r>
          </w:p>
        </w:tc>
      </w:tr>
      <w:tr w:rsidR="00751B30" w:rsidRPr="00882CD8" w:rsidTr="00E21CEF">
        <w:trPr>
          <w:tblHeader/>
        </w:trPr>
        <w:tc>
          <w:tcPr>
            <w:tcW w:w="976" w:type="pct"/>
          </w:tcPr>
          <w:p w:rsidR="00751B30" w:rsidRDefault="00751B30" w:rsidP="00115C2D">
            <w:pPr>
              <w:autoSpaceDE w:val="0"/>
              <w:autoSpaceDN w:val="0"/>
              <w:adjustRightInd w:val="0"/>
              <w:rPr>
                <w:noProof/>
                <w:lang w:eastAsia="en-AU"/>
              </w:rPr>
            </w:pPr>
            <w:r>
              <w:rPr>
                <w:noProof/>
                <w:lang w:eastAsia="en-AU"/>
              </w:rPr>
              <w:t>Grants</w:t>
            </w:r>
          </w:p>
        </w:tc>
        <w:tc>
          <w:tcPr>
            <w:tcW w:w="1953" w:type="pct"/>
          </w:tcPr>
          <w:p w:rsidR="00751B30" w:rsidRDefault="003D51C1" w:rsidP="003D51C1">
            <w:pPr>
              <w:tabs>
                <w:tab w:val="left" w:pos="6804"/>
              </w:tabs>
              <w:rPr>
                <w:rFonts w:cs="Arial"/>
                <w:color w:val="231F20"/>
              </w:rPr>
            </w:pPr>
            <w:r>
              <w:rPr>
                <w:rFonts w:cs="Arial"/>
                <w:color w:val="231F20"/>
              </w:rPr>
              <w:t>Grant funding is needed for each area of the service that isn’t receiving an income:</w:t>
            </w:r>
          </w:p>
          <w:p w:rsidR="003D51C1" w:rsidRDefault="003D51C1" w:rsidP="003D51C1">
            <w:pPr>
              <w:pStyle w:val="ListParagraph"/>
              <w:ind w:left="360" w:hanging="360"/>
              <w:rPr>
                <w:rFonts w:ascii="Calibri" w:hAnsi="Calibri"/>
                <w:lang w:eastAsia="en-US"/>
              </w:rPr>
            </w:pPr>
            <w:r>
              <w:rPr>
                <w:rFonts w:ascii="Calibri" w:hAnsi="Calibri"/>
                <w:lang w:eastAsia="en-US"/>
              </w:rPr>
              <w:t>Early Childhood</w:t>
            </w:r>
          </w:p>
          <w:p w:rsidR="003D51C1" w:rsidRDefault="003D51C1" w:rsidP="00A433D0">
            <w:pPr>
              <w:pStyle w:val="ListParagraph"/>
              <w:numPr>
                <w:ilvl w:val="0"/>
                <w:numId w:val="26"/>
              </w:numPr>
              <w:rPr>
                <w:rFonts w:ascii="Calibri" w:hAnsi="Calibri"/>
                <w:lang w:eastAsia="en-US"/>
              </w:rPr>
            </w:pPr>
            <w:r>
              <w:rPr>
                <w:rFonts w:ascii="Calibri" w:hAnsi="Calibri"/>
                <w:lang w:eastAsia="en-US"/>
              </w:rPr>
              <w:t>Community Health Nurse</w:t>
            </w:r>
          </w:p>
          <w:p w:rsidR="003D51C1" w:rsidRDefault="003D51C1" w:rsidP="00A433D0">
            <w:pPr>
              <w:pStyle w:val="ListParagraph"/>
              <w:numPr>
                <w:ilvl w:val="0"/>
                <w:numId w:val="26"/>
              </w:numPr>
              <w:rPr>
                <w:rFonts w:ascii="Calibri" w:hAnsi="Calibri"/>
                <w:lang w:eastAsia="en-US"/>
              </w:rPr>
            </w:pPr>
            <w:r>
              <w:rPr>
                <w:rFonts w:ascii="Calibri" w:hAnsi="Calibri"/>
                <w:lang w:eastAsia="en-US"/>
              </w:rPr>
              <w:t>Mothers group</w:t>
            </w:r>
          </w:p>
          <w:p w:rsidR="00A433D0" w:rsidRDefault="00A433D0" w:rsidP="00A433D0">
            <w:pPr>
              <w:pStyle w:val="ListParagraph"/>
              <w:numPr>
                <w:ilvl w:val="0"/>
                <w:numId w:val="26"/>
              </w:numPr>
              <w:rPr>
                <w:rFonts w:ascii="Calibri" w:hAnsi="Calibri"/>
                <w:lang w:eastAsia="en-US"/>
              </w:rPr>
            </w:pPr>
            <w:r>
              <w:rPr>
                <w:rFonts w:ascii="Calibri" w:hAnsi="Calibri"/>
                <w:lang w:eastAsia="en-US"/>
              </w:rPr>
              <w:t xml:space="preserve">Parent and child mental health support </w:t>
            </w:r>
          </w:p>
          <w:p w:rsidR="003D51C1" w:rsidRDefault="003D51C1" w:rsidP="00A433D0">
            <w:pPr>
              <w:pStyle w:val="ListParagraph"/>
              <w:numPr>
                <w:ilvl w:val="0"/>
                <w:numId w:val="26"/>
              </w:numPr>
              <w:rPr>
                <w:rFonts w:ascii="Calibri" w:hAnsi="Calibri"/>
                <w:lang w:eastAsia="en-US"/>
              </w:rPr>
            </w:pPr>
            <w:r>
              <w:rPr>
                <w:rFonts w:ascii="Calibri" w:hAnsi="Calibri"/>
                <w:lang w:eastAsia="en-US"/>
              </w:rPr>
              <w:t>Hub Services for children who have a therapy team</w:t>
            </w:r>
          </w:p>
          <w:p w:rsidR="003D51C1" w:rsidRPr="004A7D9C" w:rsidRDefault="003D51C1" w:rsidP="004A7D9C">
            <w:pPr>
              <w:rPr>
                <w:rFonts w:ascii="Calibri" w:hAnsi="Calibri"/>
                <w:lang w:eastAsia="en-US"/>
              </w:rPr>
            </w:pPr>
            <w:r w:rsidRPr="004A7D9C">
              <w:rPr>
                <w:rFonts w:ascii="Calibri" w:hAnsi="Calibri"/>
                <w:lang w:eastAsia="en-US"/>
              </w:rPr>
              <w:t>Middle Childhood</w:t>
            </w:r>
          </w:p>
          <w:p w:rsidR="003D51C1" w:rsidRDefault="003D51C1" w:rsidP="00A433D0">
            <w:pPr>
              <w:pStyle w:val="ListParagraph"/>
              <w:numPr>
                <w:ilvl w:val="0"/>
                <w:numId w:val="26"/>
              </w:numPr>
              <w:rPr>
                <w:rFonts w:ascii="Calibri" w:hAnsi="Calibri"/>
                <w:lang w:eastAsia="en-US"/>
              </w:rPr>
            </w:pPr>
            <w:r>
              <w:rPr>
                <w:rFonts w:ascii="Calibri" w:hAnsi="Calibri"/>
                <w:lang w:eastAsia="en-US"/>
              </w:rPr>
              <w:t>FIFO parent support</w:t>
            </w:r>
          </w:p>
          <w:p w:rsidR="003D51C1" w:rsidRDefault="003D51C1" w:rsidP="00A433D0">
            <w:pPr>
              <w:pStyle w:val="ListParagraph"/>
              <w:numPr>
                <w:ilvl w:val="0"/>
                <w:numId w:val="26"/>
              </w:numPr>
              <w:rPr>
                <w:rFonts w:ascii="Calibri" w:hAnsi="Calibri"/>
                <w:lang w:eastAsia="en-US"/>
              </w:rPr>
            </w:pPr>
            <w:r>
              <w:rPr>
                <w:rFonts w:ascii="Calibri" w:hAnsi="Calibri"/>
                <w:lang w:eastAsia="en-US"/>
              </w:rPr>
              <w:t>Sibling support for children with a sibling with additional needs</w:t>
            </w:r>
          </w:p>
          <w:p w:rsidR="003D51C1" w:rsidRDefault="003D51C1" w:rsidP="00A433D0">
            <w:pPr>
              <w:pStyle w:val="ListParagraph"/>
              <w:numPr>
                <w:ilvl w:val="0"/>
                <w:numId w:val="26"/>
              </w:numPr>
              <w:rPr>
                <w:rFonts w:ascii="Calibri" w:hAnsi="Calibri"/>
                <w:lang w:eastAsia="en-US"/>
              </w:rPr>
            </w:pPr>
            <w:r>
              <w:rPr>
                <w:rFonts w:ascii="Calibri" w:hAnsi="Calibri"/>
                <w:lang w:eastAsia="en-US"/>
              </w:rPr>
              <w:t>Hub Services for children who have a therapy team</w:t>
            </w:r>
          </w:p>
          <w:p w:rsidR="003D51C1" w:rsidRDefault="003D51C1" w:rsidP="004A7D9C">
            <w:pPr>
              <w:rPr>
                <w:rFonts w:ascii="Calibri" w:hAnsi="Calibri"/>
                <w:lang w:eastAsia="en-US"/>
              </w:rPr>
            </w:pPr>
            <w:r w:rsidRPr="004A7D9C">
              <w:rPr>
                <w:rFonts w:ascii="Calibri" w:hAnsi="Calibri"/>
                <w:lang w:eastAsia="en-US"/>
              </w:rPr>
              <w:t>Research</w:t>
            </w:r>
          </w:p>
          <w:p w:rsidR="006140AB" w:rsidRPr="006140AB" w:rsidRDefault="006140AB" w:rsidP="006140AB">
            <w:pPr>
              <w:pStyle w:val="ListParagraph"/>
              <w:numPr>
                <w:ilvl w:val="0"/>
                <w:numId w:val="29"/>
              </w:numPr>
              <w:rPr>
                <w:rFonts w:ascii="Calibri" w:hAnsi="Calibri"/>
                <w:lang w:eastAsia="en-US"/>
              </w:rPr>
            </w:pPr>
            <w:r>
              <w:rPr>
                <w:rFonts w:ascii="Calibri" w:hAnsi="Calibri"/>
                <w:lang w:eastAsia="en-US"/>
              </w:rPr>
              <w:t>Researching systems and management processes, as well as professional practice issues, requires grant applications</w:t>
            </w:r>
          </w:p>
          <w:p w:rsidR="003D51C1" w:rsidRPr="004A7D9C" w:rsidRDefault="003D51C1" w:rsidP="004A7D9C">
            <w:pPr>
              <w:rPr>
                <w:lang w:val="en-AU"/>
              </w:rPr>
            </w:pPr>
            <w:r w:rsidRPr="004A7D9C">
              <w:rPr>
                <w:lang w:val="en-AU"/>
              </w:rPr>
              <w:t>Development</w:t>
            </w:r>
          </w:p>
          <w:p w:rsidR="003D51C1" w:rsidRPr="00882CD8" w:rsidRDefault="00A433D0" w:rsidP="006140AB">
            <w:pPr>
              <w:pStyle w:val="ListParagraph"/>
              <w:numPr>
                <w:ilvl w:val="0"/>
                <w:numId w:val="26"/>
              </w:numPr>
              <w:rPr>
                <w:rFonts w:cs="Arial"/>
                <w:color w:val="231F20"/>
              </w:rPr>
            </w:pPr>
            <w:r>
              <w:rPr>
                <w:lang w:val="en-AU"/>
              </w:rPr>
              <w:t xml:space="preserve">Funding the </w:t>
            </w:r>
            <w:r w:rsidR="00044B81">
              <w:rPr>
                <w:lang w:val="en-AU"/>
              </w:rPr>
              <w:t xml:space="preserve">development of the </w:t>
            </w:r>
            <w:r w:rsidR="003D51C1" w:rsidRPr="00751B30">
              <w:rPr>
                <w:lang w:val="en-AU"/>
              </w:rPr>
              <w:t xml:space="preserve">real and </w:t>
            </w:r>
            <w:r w:rsidR="00044B81">
              <w:rPr>
                <w:lang w:val="en-AU"/>
              </w:rPr>
              <w:t xml:space="preserve">IT </w:t>
            </w:r>
            <w:r w:rsidR="006140AB">
              <w:rPr>
                <w:lang w:val="en-AU"/>
              </w:rPr>
              <w:t xml:space="preserve">based </w:t>
            </w:r>
            <w:r w:rsidR="006140AB" w:rsidRPr="00751B30">
              <w:rPr>
                <w:lang w:val="en-AU"/>
              </w:rPr>
              <w:t>place</w:t>
            </w:r>
            <w:r w:rsidR="003D51C1" w:rsidRPr="00751B30">
              <w:rPr>
                <w:lang w:val="en-AU"/>
              </w:rPr>
              <w:t xml:space="preserve"> and space </w:t>
            </w:r>
            <w:r w:rsidR="006140AB">
              <w:rPr>
                <w:lang w:val="en-AU"/>
              </w:rPr>
              <w:t xml:space="preserve">that can respond to the needs of the local and professional community. </w:t>
            </w:r>
            <w:r w:rsidR="003D51C1" w:rsidRPr="00751B30">
              <w:rPr>
                <w:lang w:val="en-AU"/>
              </w:rPr>
              <w:t xml:space="preserve"> </w:t>
            </w:r>
          </w:p>
        </w:tc>
        <w:tc>
          <w:tcPr>
            <w:tcW w:w="2071" w:type="pct"/>
          </w:tcPr>
          <w:p w:rsidR="00751B30" w:rsidRDefault="00E21CEF" w:rsidP="003D51C1">
            <w:pPr>
              <w:tabs>
                <w:tab w:val="left" w:pos="6804"/>
              </w:tabs>
              <w:rPr>
                <w:rFonts w:cs="Arial"/>
                <w:color w:val="231F20"/>
              </w:rPr>
            </w:pPr>
            <w:r>
              <w:rPr>
                <w:rFonts w:cs="Arial"/>
                <w:color w:val="231F20"/>
              </w:rPr>
              <w:t>Current grants include:</w:t>
            </w:r>
          </w:p>
          <w:p w:rsidR="00E21CEF" w:rsidRDefault="00E21CEF" w:rsidP="003D51C1">
            <w:pPr>
              <w:tabs>
                <w:tab w:val="left" w:pos="6804"/>
              </w:tabs>
              <w:rPr>
                <w:rFonts w:cs="Arial"/>
                <w:color w:val="231F20"/>
              </w:rPr>
            </w:pPr>
          </w:p>
          <w:p w:rsidR="00E21CEF" w:rsidRDefault="00E21CEF" w:rsidP="003D51C1">
            <w:pPr>
              <w:tabs>
                <w:tab w:val="left" w:pos="6804"/>
              </w:tabs>
              <w:rPr>
                <w:rFonts w:cs="Arial"/>
                <w:color w:val="231F20"/>
              </w:rPr>
            </w:pPr>
            <w:r>
              <w:rPr>
                <w:rFonts w:cs="Arial"/>
                <w:color w:val="231F20"/>
              </w:rPr>
              <w:t>Development Grants  (Child Australia)</w:t>
            </w:r>
          </w:p>
          <w:p w:rsidR="00E21CEF" w:rsidRPr="00882CD8" w:rsidRDefault="00E21CEF" w:rsidP="003D51C1">
            <w:pPr>
              <w:tabs>
                <w:tab w:val="left" w:pos="6804"/>
              </w:tabs>
              <w:rPr>
                <w:rFonts w:cs="Arial"/>
                <w:color w:val="231F20"/>
              </w:rPr>
            </w:pPr>
            <w:r>
              <w:rPr>
                <w:rFonts w:cs="Arial"/>
                <w:color w:val="231F20"/>
              </w:rPr>
              <w:t>Communities for Children Plus (Australian Government)</w:t>
            </w:r>
          </w:p>
        </w:tc>
      </w:tr>
      <w:tr w:rsidR="00751B30" w:rsidRPr="00882CD8" w:rsidTr="00E21CEF">
        <w:trPr>
          <w:tblHeader/>
        </w:trPr>
        <w:tc>
          <w:tcPr>
            <w:tcW w:w="976" w:type="pct"/>
          </w:tcPr>
          <w:p w:rsidR="00751B30" w:rsidRPr="00115C2D" w:rsidRDefault="00751B30" w:rsidP="00115C2D">
            <w:pPr>
              <w:autoSpaceDE w:val="0"/>
              <w:autoSpaceDN w:val="0"/>
              <w:adjustRightInd w:val="0"/>
              <w:rPr>
                <w:rFonts w:cs="Arial"/>
                <w:color w:val="231F20"/>
              </w:rPr>
            </w:pPr>
            <w:r w:rsidRPr="00115C2D">
              <w:rPr>
                <w:rFonts w:cs="Arial"/>
                <w:color w:val="231F20"/>
              </w:rPr>
              <w:lastRenderedPageBreak/>
              <w:t>Fundraising</w:t>
            </w:r>
          </w:p>
        </w:tc>
        <w:tc>
          <w:tcPr>
            <w:tcW w:w="1953" w:type="pct"/>
          </w:tcPr>
          <w:p w:rsidR="00E21CEF" w:rsidRDefault="003D51C1" w:rsidP="00E21CEF">
            <w:pPr>
              <w:tabs>
                <w:tab w:val="left" w:pos="6804"/>
              </w:tabs>
              <w:rPr>
                <w:rFonts w:cs="Arial"/>
                <w:color w:val="231F20"/>
              </w:rPr>
            </w:pPr>
            <w:r>
              <w:rPr>
                <w:rFonts w:cs="Arial"/>
                <w:color w:val="231F20"/>
              </w:rPr>
              <w:t>Fundraising is done through the Centre drawing on its expert team for consultancy work</w:t>
            </w:r>
          </w:p>
          <w:p w:rsidR="00A609CF" w:rsidRDefault="00A609CF" w:rsidP="00E21CEF">
            <w:pPr>
              <w:tabs>
                <w:tab w:val="left" w:pos="6804"/>
              </w:tabs>
              <w:rPr>
                <w:rFonts w:cs="Arial"/>
                <w:color w:val="231F20"/>
              </w:rPr>
            </w:pPr>
          </w:p>
          <w:p w:rsidR="00A609CF" w:rsidRDefault="00A609CF" w:rsidP="00E21CEF">
            <w:pPr>
              <w:tabs>
                <w:tab w:val="left" w:pos="6804"/>
              </w:tabs>
              <w:rPr>
                <w:rFonts w:cs="Arial"/>
                <w:color w:val="231F20"/>
              </w:rPr>
            </w:pPr>
          </w:p>
          <w:p w:rsidR="00E21CEF" w:rsidRPr="00882CD8" w:rsidRDefault="00E21CEF" w:rsidP="00E21CEF">
            <w:pPr>
              <w:tabs>
                <w:tab w:val="left" w:pos="6804"/>
              </w:tabs>
              <w:rPr>
                <w:rFonts w:cs="Arial"/>
                <w:color w:val="231F20"/>
              </w:rPr>
            </w:pPr>
          </w:p>
        </w:tc>
        <w:tc>
          <w:tcPr>
            <w:tcW w:w="2071" w:type="pct"/>
          </w:tcPr>
          <w:p w:rsidR="00751B30" w:rsidRDefault="003967E5" w:rsidP="003D51C1">
            <w:pPr>
              <w:tabs>
                <w:tab w:val="left" w:pos="6804"/>
              </w:tabs>
              <w:rPr>
                <w:rFonts w:cs="Arial"/>
                <w:color w:val="231F20"/>
              </w:rPr>
            </w:pPr>
            <w:r>
              <w:rPr>
                <w:rFonts w:cs="Arial"/>
                <w:color w:val="231F20"/>
              </w:rPr>
              <w:t>Frequency varies, this work is just beginning, current projects include:</w:t>
            </w:r>
          </w:p>
          <w:p w:rsidR="003967E5" w:rsidRDefault="003967E5" w:rsidP="003D51C1">
            <w:pPr>
              <w:tabs>
                <w:tab w:val="left" w:pos="6804"/>
              </w:tabs>
              <w:rPr>
                <w:rFonts w:cs="Arial"/>
                <w:color w:val="231F20"/>
              </w:rPr>
            </w:pPr>
          </w:p>
          <w:p w:rsidR="003967E5" w:rsidRDefault="003967E5" w:rsidP="003D51C1">
            <w:pPr>
              <w:tabs>
                <w:tab w:val="left" w:pos="6804"/>
              </w:tabs>
              <w:rPr>
                <w:rFonts w:cs="Arial"/>
                <w:color w:val="231F20"/>
              </w:rPr>
            </w:pPr>
            <w:r>
              <w:rPr>
                <w:rFonts w:cs="Arial"/>
                <w:color w:val="231F20"/>
              </w:rPr>
              <w:t>Developing role statements</w:t>
            </w:r>
          </w:p>
          <w:p w:rsidR="003967E5" w:rsidRPr="00882CD8" w:rsidRDefault="003967E5" w:rsidP="003967E5">
            <w:pPr>
              <w:tabs>
                <w:tab w:val="left" w:pos="6804"/>
              </w:tabs>
              <w:rPr>
                <w:rFonts w:cs="Arial"/>
                <w:color w:val="231F20"/>
              </w:rPr>
            </w:pPr>
            <w:r>
              <w:rPr>
                <w:rFonts w:cs="Arial"/>
                <w:color w:val="231F20"/>
              </w:rPr>
              <w:t>Teaching management and leadership</w:t>
            </w:r>
          </w:p>
        </w:tc>
      </w:tr>
    </w:tbl>
    <w:p w:rsidR="00A609CF" w:rsidRDefault="00A609CF">
      <w:r>
        <w:br w:type="page"/>
      </w:r>
    </w:p>
    <w:tbl>
      <w:tblPr>
        <w:tblStyle w:val="TableGrid"/>
        <w:tblW w:w="4959" w:type="pct"/>
        <w:tblInd w:w="108" w:type="dxa"/>
        <w:tblLook w:val="04A0" w:firstRow="1" w:lastRow="0" w:firstColumn="1" w:lastColumn="0" w:noHBand="0" w:noVBand="1"/>
      </w:tblPr>
      <w:tblGrid>
        <w:gridCol w:w="2551"/>
        <w:gridCol w:w="5104"/>
        <w:gridCol w:w="5413"/>
      </w:tblGrid>
      <w:tr w:rsidR="00A609CF" w:rsidRPr="00882CD8" w:rsidTr="00640E7A">
        <w:trPr>
          <w:tblHeader/>
        </w:trPr>
        <w:tc>
          <w:tcPr>
            <w:tcW w:w="976" w:type="pct"/>
            <w:shd w:val="clear" w:color="auto" w:fill="D6D6D6" w:themeFill="text2" w:themeFillTint="33"/>
          </w:tcPr>
          <w:p w:rsidR="00A609CF" w:rsidRPr="00882CD8" w:rsidRDefault="00A609CF" w:rsidP="00640E7A">
            <w:pPr>
              <w:tabs>
                <w:tab w:val="left" w:pos="6804"/>
              </w:tabs>
              <w:rPr>
                <w:rFonts w:cs="Arial"/>
                <w:b/>
                <w:color w:val="B35E06" w:themeColor="accent1" w:themeShade="BF"/>
              </w:rPr>
            </w:pPr>
            <w:r w:rsidRPr="00751B30">
              <w:rPr>
                <w:rFonts w:cs="Arial"/>
                <w:b/>
                <w:color w:val="B35E06" w:themeColor="accent1" w:themeShade="BF"/>
              </w:rPr>
              <w:lastRenderedPageBreak/>
              <w:t>Normal education and care service c</w:t>
            </w:r>
            <w:r>
              <w:rPr>
                <w:rFonts w:cs="Arial"/>
                <w:b/>
                <w:color w:val="B35E06" w:themeColor="accent1" w:themeShade="BF"/>
              </w:rPr>
              <w:t>entre budget</w:t>
            </w:r>
            <w:r w:rsidRPr="00882CD8">
              <w:rPr>
                <w:rFonts w:cs="Arial"/>
                <w:b/>
                <w:color w:val="B35E06" w:themeColor="accent1" w:themeShade="BF"/>
              </w:rPr>
              <w:t xml:space="preserve"> checklist</w:t>
            </w:r>
          </w:p>
        </w:tc>
        <w:tc>
          <w:tcPr>
            <w:tcW w:w="1953" w:type="pct"/>
            <w:shd w:val="clear" w:color="auto" w:fill="D6D6D6" w:themeFill="text2" w:themeFillTint="33"/>
          </w:tcPr>
          <w:p w:rsidR="00A609CF" w:rsidRPr="00882CD8" w:rsidRDefault="00A609CF" w:rsidP="00640E7A">
            <w:pPr>
              <w:tabs>
                <w:tab w:val="left" w:pos="6804"/>
              </w:tabs>
              <w:rPr>
                <w:rFonts w:cs="Arial"/>
                <w:b/>
                <w:color w:val="B35E06" w:themeColor="accent1" w:themeShade="BF"/>
              </w:rPr>
            </w:pPr>
            <w:r>
              <w:rPr>
                <w:rFonts w:cs="Arial"/>
                <w:b/>
                <w:color w:val="B35E06" w:themeColor="accent1" w:themeShade="BF"/>
              </w:rPr>
              <w:t xml:space="preserve">Requirements </w:t>
            </w:r>
            <w:r w:rsidRPr="00BF7325">
              <w:rPr>
                <w:rFonts w:cs="Arial"/>
                <w:b/>
                <w:color w:val="B35E06" w:themeColor="accent1" w:themeShade="BF"/>
                <w:u w:val="single"/>
              </w:rPr>
              <w:t xml:space="preserve">additional </w:t>
            </w:r>
            <w:r>
              <w:rPr>
                <w:rFonts w:cs="Arial"/>
                <w:b/>
                <w:color w:val="B35E06" w:themeColor="accent1" w:themeShade="BF"/>
              </w:rPr>
              <w:t>to a normal education and care service which are directly related to the integrated service</w:t>
            </w:r>
          </w:p>
        </w:tc>
        <w:tc>
          <w:tcPr>
            <w:tcW w:w="2071" w:type="pct"/>
            <w:shd w:val="clear" w:color="auto" w:fill="D6D6D6" w:themeFill="text2" w:themeFillTint="33"/>
          </w:tcPr>
          <w:p w:rsidR="00A609CF" w:rsidRDefault="00A609CF" w:rsidP="00640E7A">
            <w:pPr>
              <w:tabs>
                <w:tab w:val="left" w:pos="6804"/>
              </w:tabs>
              <w:rPr>
                <w:rFonts w:cs="Arial"/>
                <w:b/>
                <w:color w:val="B35E06" w:themeColor="accent1" w:themeShade="BF"/>
              </w:rPr>
            </w:pPr>
            <w:r>
              <w:rPr>
                <w:rFonts w:cs="Arial"/>
                <w:b/>
                <w:color w:val="B35E06" w:themeColor="accent1" w:themeShade="BF"/>
              </w:rPr>
              <w:t xml:space="preserve">Costs </w:t>
            </w:r>
            <w:r w:rsidRPr="00BF7325">
              <w:rPr>
                <w:rFonts w:cs="Arial"/>
                <w:b/>
                <w:color w:val="B35E06" w:themeColor="accent1" w:themeShade="BF"/>
                <w:u w:val="single"/>
              </w:rPr>
              <w:t xml:space="preserve">additional </w:t>
            </w:r>
            <w:r>
              <w:rPr>
                <w:rFonts w:cs="Arial"/>
                <w:b/>
                <w:color w:val="B35E06" w:themeColor="accent1" w:themeShade="BF"/>
              </w:rPr>
              <w:t>to a normal education and care service which are directly related to the integrated service</w:t>
            </w:r>
          </w:p>
        </w:tc>
      </w:tr>
      <w:tr w:rsidR="00751B30" w:rsidRPr="00882CD8" w:rsidTr="00E21CEF">
        <w:trPr>
          <w:tblHeader/>
        </w:trPr>
        <w:tc>
          <w:tcPr>
            <w:tcW w:w="976" w:type="pct"/>
          </w:tcPr>
          <w:p w:rsidR="00751B30" w:rsidRPr="004A7D9C" w:rsidRDefault="00751B30" w:rsidP="003D51C1">
            <w:pPr>
              <w:autoSpaceDE w:val="0"/>
              <w:autoSpaceDN w:val="0"/>
              <w:adjustRightInd w:val="0"/>
              <w:rPr>
                <w:rFonts w:cs="Arial"/>
                <w:b/>
                <w:color w:val="231F20"/>
              </w:rPr>
            </w:pPr>
            <w:r w:rsidRPr="004A7D9C">
              <w:rPr>
                <w:rFonts w:cs="Arial"/>
                <w:b/>
                <w:color w:val="231F20"/>
              </w:rPr>
              <w:t>Expenditure</w:t>
            </w:r>
          </w:p>
        </w:tc>
        <w:tc>
          <w:tcPr>
            <w:tcW w:w="1953" w:type="pct"/>
          </w:tcPr>
          <w:p w:rsidR="00751B30" w:rsidRPr="00882CD8" w:rsidRDefault="00751B30" w:rsidP="003D51C1">
            <w:pPr>
              <w:tabs>
                <w:tab w:val="left" w:pos="6804"/>
              </w:tabs>
              <w:rPr>
                <w:rFonts w:cs="Arial"/>
                <w:color w:val="231F20"/>
              </w:rPr>
            </w:pPr>
          </w:p>
        </w:tc>
        <w:tc>
          <w:tcPr>
            <w:tcW w:w="2071" w:type="pct"/>
          </w:tcPr>
          <w:p w:rsidR="00751B30" w:rsidRPr="00882CD8" w:rsidRDefault="00751B30" w:rsidP="003D51C1">
            <w:pPr>
              <w:tabs>
                <w:tab w:val="left" w:pos="6804"/>
              </w:tabs>
              <w:rPr>
                <w:rFonts w:cs="Arial"/>
                <w:color w:val="231F20"/>
              </w:rPr>
            </w:pPr>
          </w:p>
        </w:tc>
      </w:tr>
      <w:tr w:rsidR="00751B30" w:rsidRPr="00882CD8" w:rsidTr="00E21CEF">
        <w:trPr>
          <w:tblHeader/>
        </w:trPr>
        <w:tc>
          <w:tcPr>
            <w:tcW w:w="976" w:type="pct"/>
          </w:tcPr>
          <w:p w:rsidR="00751B30" w:rsidRPr="00115C2D" w:rsidRDefault="003967E5" w:rsidP="003967E5">
            <w:pPr>
              <w:autoSpaceDE w:val="0"/>
              <w:autoSpaceDN w:val="0"/>
              <w:adjustRightInd w:val="0"/>
              <w:rPr>
                <w:rFonts w:cs="Arial"/>
                <w:color w:val="231F20"/>
              </w:rPr>
            </w:pPr>
            <w:r>
              <w:rPr>
                <w:rFonts w:cs="Arial"/>
                <w:color w:val="231F20"/>
              </w:rPr>
              <w:t>Coordination</w:t>
            </w:r>
            <w:r w:rsidR="00751B30" w:rsidRPr="00115C2D">
              <w:rPr>
                <w:rFonts w:cs="Arial"/>
                <w:color w:val="231F20"/>
              </w:rPr>
              <w:t xml:space="preserve"> staff salaries</w:t>
            </w:r>
            <w:r w:rsidR="00BF7325">
              <w:rPr>
                <w:rFonts w:cs="Arial"/>
                <w:color w:val="231F20"/>
              </w:rPr>
              <w:t xml:space="preserve"> and management costs</w:t>
            </w:r>
          </w:p>
        </w:tc>
        <w:tc>
          <w:tcPr>
            <w:tcW w:w="1953" w:type="pct"/>
          </w:tcPr>
          <w:p w:rsidR="00751B30" w:rsidRPr="00882CD8" w:rsidRDefault="003D51C1" w:rsidP="003D51C1">
            <w:pPr>
              <w:tabs>
                <w:tab w:val="left" w:pos="6804"/>
              </w:tabs>
              <w:rPr>
                <w:rFonts w:cs="Arial"/>
                <w:color w:val="231F20"/>
              </w:rPr>
            </w:pPr>
            <w:r>
              <w:rPr>
                <w:rFonts w:cs="Arial"/>
                <w:color w:val="231F20"/>
              </w:rPr>
              <w:t>Associate Director needed to manage service while Director manages the programs (integrated service) and program development</w:t>
            </w:r>
          </w:p>
        </w:tc>
        <w:tc>
          <w:tcPr>
            <w:tcW w:w="2071" w:type="pct"/>
          </w:tcPr>
          <w:p w:rsidR="00751B30" w:rsidRDefault="00976D44" w:rsidP="003D51C1">
            <w:pPr>
              <w:tabs>
                <w:tab w:val="left" w:pos="6804"/>
              </w:tabs>
              <w:rPr>
                <w:rFonts w:cs="Arial"/>
                <w:color w:val="231F20"/>
              </w:rPr>
            </w:pPr>
            <w:r>
              <w:rPr>
                <w:rFonts w:cs="Arial"/>
                <w:color w:val="231F20"/>
              </w:rPr>
              <w:t>$60 000 per year</w:t>
            </w:r>
          </w:p>
          <w:p w:rsidR="00976D44" w:rsidRDefault="00976D44" w:rsidP="003D51C1">
            <w:pPr>
              <w:tabs>
                <w:tab w:val="left" w:pos="6804"/>
              </w:tabs>
              <w:rPr>
                <w:rFonts w:cs="Arial"/>
                <w:color w:val="231F20"/>
              </w:rPr>
            </w:pPr>
            <w:r>
              <w:rPr>
                <w:rFonts w:cs="Arial"/>
                <w:color w:val="231F20"/>
              </w:rPr>
              <w:t xml:space="preserve">(programs </w:t>
            </w:r>
            <w:r w:rsidR="00BF7325">
              <w:rPr>
                <w:rFonts w:cs="Arial"/>
                <w:color w:val="231F20"/>
              </w:rPr>
              <w:t xml:space="preserve">are </w:t>
            </w:r>
            <w:r>
              <w:rPr>
                <w:rFonts w:cs="Arial"/>
                <w:color w:val="231F20"/>
              </w:rPr>
              <w:t xml:space="preserve">part of total salary cost) </w:t>
            </w:r>
          </w:p>
          <w:p w:rsidR="00CA521C" w:rsidRPr="00882CD8" w:rsidRDefault="00CA521C" w:rsidP="003D51C1">
            <w:pPr>
              <w:tabs>
                <w:tab w:val="left" w:pos="6804"/>
              </w:tabs>
              <w:rPr>
                <w:rFonts w:cs="Arial"/>
                <w:color w:val="231F20"/>
              </w:rPr>
            </w:pPr>
          </w:p>
        </w:tc>
      </w:tr>
      <w:tr w:rsidR="00751B30" w:rsidRPr="00882CD8" w:rsidTr="00E21CEF">
        <w:trPr>
          <w:tblHeader/>
        </w:trPr>
        <w:tc>
          <w:tcPr>
            <w:tcW w:w="976" w:type="pct"/>
          </w:tcPr>
          <w:p w:rsidR="00751B30" w:rsidRPr="00115C2D" w:rsidRDefault="003967E5" w:rsidP="00115C2D">
            <w:pPr>
              <w:autoSpaceDE w:val="0"/>
              <w:autoSpaceDN w:val="0"/>
              <w:adjustRightInd w:val="0"/>
              <w:rPr>
                <w:rFonts w:cs="Arial"/>
                <w:color w:val="231F20"/>
              </w:rPr>
            </w:pPr>
            <w:r>
              <w:rPr>
                <w:rFonts w:cs="Arial"/>
                <w:color w:val="231F20"/>
              </w:rPr>
              <w:t xml:space="preserve">Program </w:t>
            </w:r>
            <w:r w:rsidR="00751B30" w:rsidRPr="00115C2D">
              <w:rPr>
                <w:rFonts w:cs="Arial"/>
                <w:color w:val="231F20"/>
              </w:rPr>
              <w:t>staff salaries</w:t>
            </w:r>
          </w:p>
        </w:tc>
        <w:tc>
          <w:tcPr>
            <w:tcW w:w="1953" w:type="pct"/>
          </w:tcPr>
          <w:p w:rsidR="003967E5" w:rsidRDefault="003967E5" w:rsidP="003D51C1">
            <w:pPr>
              <w:tabs>
                <w:tab w:val="left" w:pos="6804"/>
              </w:tabs>
              <w:rPr>
                <w:rFonts w:cs="Arial"/>
                <w:color w:val="231F20"/>
              </w:rPr>
            </w:pPr>
            <w:r>
              <w:rPr>
                <w:rFonts w:cs="Arial"/>
                <w:color w:val="231F20"/>
              </w:rPr>
              <w:t>S</w:t>
            </w:r>
            <w:r w:rsidR="003D51C1">
              <w:rPr>
                <w:rFonts w:cs="Arial"/>
                <w:color w:val="231F20"/>
              </w:rPr>
              <w:t xml:space="preserve">taff required to cover Centre based staff who support the programs (integrated service) </w:t>
            </w:r>
            <w:r>
              <w:rPr>
                <w:rFonts w:cs="Arial"/>
                <w:color w:val="231F20"/>
              </w:rPr>
              <w:t xml:space="preserve">including </w:t>
            </w:r>
            <w:r w:rsidR="003D51C1">
              <w:rPr>
                <w:rFonts w:cs="Arial"/>
                <w:color w:val="231F20"/>
              </w:rPr>
              <w:t xml:space="preserve"> </w:t>
            </w:r>
          </w:p>
          <w:p w:rsidR="003967E5" w:rsidRDefault="003967E5" w:rsidP="003D51C1">
            <w:pPr>
              <w:tabs>
                <w:tab w:val="left" w:pos="6804"/>
              </w:tabs>
              <w:rPr>
                <w:rFonts w:cs="Arial"/>
                <w:color w:val="231F20"/>
              </w:rPr>
            </w:pPr>
            <w:r>
              <w:rPr>
                <w:rFonts w:cs="Arial"/>
                <w:color w:val="231F20"/>
              </w:rPr>
              <w:t>T</w:t>
            </w:r>
            <w:r w:rsidR="003D51C1">
              <w:rPr>
                <w:rFonts w:cs="Arial"/>
                <w:color w:val="231F20"/>
              </w:rPr>
              <w:t>he mothers group (4 hours a week)</w:t>
            </w:r>
            <w:r w:rsidR="00A609CF">
              <w:rPr>
                <w:rFonts w:cs="Arial"/>
                <w:color w:val="231F20"/>
              </w:rPr>
              <w:t xml:space="preserve"> </w:t>
            </w:r>
          </w:p>
          <w:p w:rsidR="003967E5" w:rsidRDefault="003967E5" w:rsidP="003967E5">
            <w:pPr>
              <w:tabs>
                <w:tab w:val="left" w:pos="6804"/>
              </w:tabs>
              <w:rPr>
                <w:rFonts w:cs="Arial"/>
                <w:color w:val="231F20"/>
              </w:rPr>
            </w:pPr>
            <w:r>
              <w:rPr>
                <w:rFonts w:cs="Arial"/>
                <w:color w:val="231F20"/>
              </w:rPr>
              <w:t>O</w:t>
            </w:r>
            <w:r w:rsidR="00A609CF">
              <w:rPr>
                <w:rFonts w:cs="Arial"/>
                <w:color w:val="231F20"/>
              </w:rPr>
              <w:t xml:space="preserve">ther programs (total 38 hours per week) </w:t>
            </w:r>
          </w:p>
          <w:p w:rsidR="00E730A2" w:rsidRPr="00882CD8" w:rsidRDefault="00BF7325" w:rsidP="00BF7325">
            <w:pPr>
              <w:tabs>
                <w:tab w:val="left" w:pos="6804"/>
              </w:tabs>
              <w:rPr>
                <w:rFonts w:cs="Arial"/>
                <w:color w:val="231F20"/>
              </w:rPr>
            </w:pPr>
            <w:r>
              <w:rPr>
                <w:rFonts w:cs="Arial"/>
                <w:color w:val="231F20"/>
              </w:rPr>
              <w:t>Resource development</w:t>
            </w:r>
          </w:p>
        </w:tc>
        <w:tc>
          <w:tcPr>
            <w:tcW w:w="2071" w:type="pct"/>
          </w:tcPr>
          <w:p w:rsidR="00751B30" w:rsidRDefault="00373952" w:rsidP="003D51C1">
            <w:pPr>
              <w:tabs>
                <w:tab w:val="left" w:pos="6804"/>
              </w:tabs>
            </w:pPr>
            <w:r>
              <w:t>$50,395.00</w:t>
            </w:r>
            <w:r w:rsidR="00DF5AAC">
              <w:t xml:space="preserve"> per year</w:t>
            </w:r>
          </w:p>
          <w:p w:rsidR="00373952" w:rsidRPr="00882CD8" w:rsidRDefault="00373952" w:rsidP="003D51C1">
            <w:pPr>
              <w:tabs>
                <w:tab w:val="left" w:pos="6804"/>
              </w:tabs>
              <w:rPr>
                <w:rFonts w:cs="Arial"/>
                <w:color w:val="231F20"/>
              </w:rPr>
            </w:pPr>
            <w:r>
              <w:t xml:space="preserve">(for wage calculations please see Attachment 3 below) </w:t>
            </w:r>
          </w:p>
        </w:tc>
      </w:tr>
      <w:tr w:rsidR="00751B30" w:rsidRPr="00882CD8" w:rsidTr="00E21CEF">
        <w:trPr>
          <w:tblHeader/>
        </w:trPr>
        <w:tc>
          <w:tcPr>
            <w:tcW w:w="976" w:type="pct"/>
          </w:tcPr>
          <w:p w:rsidR="00751B30" w:rsidRPr="00115C2D" w:rsidRDefault="00751B30" w:rsidP="00115C2D">
            <w:pPr>
              <w:autoSpaceDE w:val="0"/>
              <w:autoSpaceDN w:val="0"/>
              <w:adjustRightInd w:val="0"/>
              <w:rPr>
                <w:rFonts w:cs="Arial"/>
                <w:color w:val="231F20"/>
              </w:rPr>
            </w:pPr>
            <w:r w:rsidRPr="00115C2D">
              <w:rPr>
                <w:rFonts w:cs="Arial"/>
                <w:color w:val="231F20"/>
              </w:rPr>
              <w:t>Rent</w:t>
            </w:r>
          </w:p>
        </w:tc>
        <w:tc>
          <w:tcPr>
            <w:tcW w:w="1953" w:type="pct"/>
          </w:tcPr>
          <w:p w:rsidR="00751B30" w:rsidRPr="00882CD8" w:rsidRDefault="00751B30" w:rsidP="003D51C1">
            <w:pPr>
              <w:tabs>
                <w:tab w:val="left" w:pos="6804"/>
              </w:tabs>
              <w:rPr>
                <w:rFonts w:cs="Arial"/>
                <w:color w:val="231F20"/>
              </w:rPr>
            </w:pPr>
          </w:p>
        </w:tc>
        <w:tc>
          <w:tcPr>
            <w:tcW w:w="2071" w:type="pct"/>
          </w:tcPr>
          <w:p w:rsidR="00BF7325" w:rsidRDefault="00BF7325" w:rsidP="003D51C1">
            <w:pPr>
              <w:tabs>
                <w:tab w:val="left" w:pos="6804"/>
              </w:tabs>
              <w:rPr>
                <w:rFonts w:cs="Arial"/>
                <w:color w:val="231F20"/>
              </w:rPr>
            </w:pPr>
            <w:r>
              <w:rPr>
                <w:rFonts w:cs="Arial"/>
                <w:color w:val="231F20"/>
              </w:rPr>
              <w:t>$600.00 per year</w:t>
            </w:r>
          </w:p>
          <w:p w:rsidR="00751B30" w:rsidRPr="00882CD8" w:rsidRDefault="003967E5" w:rsidP="003D51C1">
            <w:pPr>
              <w:tabs>
                <w:tab w:val="left" w:pos="6804"/>
              </w:tabs>
              <w:rPr>
                <w:rFonts w:cs="Arial"/>
                <w:color w:val="231F20"/>
              </w:rPr>
            </w:pPr>
            <w:r>
              <w:rPr>
                <w:rFonts w:cs="Arial"/>
                <w:color w:val="231F20"/>
              </w:rPr>
              <w:t>No rent is charged (this was identified as a barrier to getting the integrated service open)</w:t>
            </w:r>
          </w:p>
        </w:tc>
      </w:tr>
      <w:tr w:rsidR="00751B30" w:rsidRPr="00882CD8" w:rsidTr="00E21CEF">
        <w:trPr>
          <w:tblHeader/>
        </w:trPr>
        <w:tc>
          <w:tcPr>
            <w:tcW w:w="976" w:type="pct"/>
          </w:tcPr>
          <w:p w:rsidR="00751B30" w:rsidRPr="00115C2D" w:rsidRDefault="00751B30" w:rsidP="00115C2D">
            <w:pPr>
              <w:autoSpaceDE w:val="0"/>
              <w:autoSpaceDN w:val="0"/>
              <w:adjustRightInd w:val="0"/>
              <w:rPr>
                <w:rFonts w:cs="Arial"/>
                <w:color w:val="231F20"/>
              </w:rPr>
            </w:pPr>
            <w:r w:rsidRPr="00115C2D">
              <w:rPr>
                <w:rFonts w:cs="Arial"/>
                <w:color w:val="231F20"/>
              </w:rPr>
              <w:t>Utilities</w:t>
            </w:r>
          </w:p>
        </w:tc>
        <w:tc>
          <w:tcPr>
            <w:tcW w:w="1953" w:type="pct"/>
          </w:tcPr>
          <w:p w:rsidR="00751B30" w:rsidRPr="00882CD8" w:rsidRDefault="00751B30" w:rsidP="000E3CEC">
            <w:pPr>
              <w:tabs>
                <w:tab w:val="left" w:pos="6804"/>
              </w:tabs>
              <w:rPr>
                <w:rFonts w:cs="Arial"/>
                <w:color w:val="231F20"/>
              </w:rPr>
            </w:pPr>
          </w:p>
        </w:tc>
        <w:tc>
          <w:tcPr>
            <w:tcW w:w="2071" w:type="pct"/>
          </w:tcPr>
          <w:p w:rsidR="00BF7325" w:rsidRDefault="00BF7325" w:rsidP="003D51C1">
            <w:pPr>
              <w:tabs>
                <w:tab w:val="left" w:pos="6804"/>
              </w:tabs>
              <w:rPr>
                <w:rFonts w:cs="Arial"/>
                <w:color w:val="231F20"/>
              </w:rPr>
            </w:pPr>
            <w:r>
              <w:rPr>
                <w:rFonts w:cs="Arial"/>
                <w:color w:val="231F20"/>
              </w:rPr>
              <w:t>$150.00</w:t>
            </w:r>
          </w:p>
          <w:p w:rsidR="00751B30" w:rsidRPr="00882CD8" w:rsidRDefault="003967E5" w:rsidP="003D51C1">
            <w:pPr>
              <w:tabs>
                <w:tab w:val="left" w:pos="6804"/>
              </w:tabs>
              <w:rPr>
                <w:rFonts w:cs="Arial"/>
                <w:color w:val="231F20"/>
              </w:rPr>
            </w:pPr>
            <w:r>
              <w:rPr>
                <w:rFonts w:cs="Arial"/>
                <w:color w:val="231F20"/>
              </w:rPr>
              <w:t>No fees are charged (this was identified as a barrier to getting the integrated service open)</w:t>
            </w:r>
          </w:p>
        </w:tc>
      </w:tr>
      <w:tr w:rsidR="00751B30" w:rsidRPr="00882CD8" w:rsidTr="00E21CEF">
        <w:trPr>
          <w:tblHeader/>
        </w:trPr>
        <w:tc>
          <w:tcPr>
            <w:tcW w:w="976" w:type="pct"/>
          </w:tcPr>
          <w:p w:rsidR="00751B30" w:rsidRPr="00115C2D" w:rsidRDefault="00751B30" w:rsidP="00115C2D">
            <w:pPr>
              <w:autoSpaceDE w:val="0"/>
              <w:autoSpaceDN w:val="0"/>
              <w:adjustRightInd w:val="0"/>
              <w:rPr>
                <w:rFonts w:cs="Arial"/>
                <w:color w:val="231F20"/>
              </w:rPr>
            </w:pPr>
            <w:r w:rsidRPr="00115C2D">
              <w:rPr>
                <w:rFonts w:cs="Arial"/>
                <w:color w:val="231F20"/>
              </w:rPr>
              <w:t>Phone</w:t>
            </w:r>
            <w:r w:rsidR="00BF7325">
              <w:rPr>
                <w:rFonts w:cs="Arial"/>
                <w:color w:val="231F20"/>
              </w:rPr>
              <w:t>/ Internet</w:t>
            </w:r>
          </w:p>
        </w:tc>
        <w:tc>
          <w:tcPr>
            <w:tcW w:w="1953" w:type="pct"/>
          </w:tcPr>
          <w:p w:rsidR="00751B30" w:rsidRPr="00882CD8" w:rsidRDefault="00BF7325" w:rsidP="003967E5">
            <w:pPr>
              <w:tabs>
                <w:tab w:val="left" w:pos="6804"/>
              </w:tabs>
              <w:rPr>
                <w:rFonts w:cs="Arial"/>
                <w:color w:val="231F20"/>
              </w:rPr>
            </w:pPr>
            <w:r>
              <w:rPr>
                <w:rFonts w:cs="Arial"/>
                <w:color w:val="231F20"/>
              </w:rPr>
              <w:t>A</w:t>
            </w:r>
            <w:r w:rsidR="00E730A2">
              <w:rPr>
                <w:rFonts w:cs="Arial"/>
                <w:color w:val="231F20"/>
              </w:rPr>
              <w:t xml:space="preserve">ccess for staff who support the programs (integrated service) </w:t>
            </w:r>
          </w:p>
        </w:tc>
        <w:tc>
          <w:tcPr>
            <w:tcW w:w="2071" w:type="pct"/>
          </w:tcPr>
          <w:p w:rsidR="00BF7325" w:rsidRDefault="00BF7325" w:rsidP="003D51C1">
            <w:pPr>
              <w:tabs>
                <w:tab w:val="left" w:pos="6804"/>
              </w:tabs>
              <w:rPr>
                <w:rFonts w:cs="Arial"/>
                <w:color w:val="231F20"/>
              </w:rPr>
            </w:pPr>
            <w:r>
              <w:rPr>
                <w:rFonts w:cs="Arial"/>
                <w:color w:val="231F20"/>
              </w:rPr>
              <w:t>$234.00</w:t>
            </w:r>
          </w:p>
          <w:p w:rsidR="00751B30" w:rsidRDefault="003967E5" w:rsidP="003D51C1">
            <w:pPr>
              <w:tabs>
                <w:tab w:val="left" w:pos="6804"/>
              </w:tabs>
              <w:rPr>
                <w:rFonts w:cs="Arial"/>
                <w:color w:val="231F20"/>
              </w:rPr>
            </w:pPr>
            <w:r>
              <w:rPr>
                <w:rFonts w:cs="Arial"/>
                <w:color w:val="231F20"/>
              </w:rPr>
              <w:t>E.g.: the Community Health Nurse (1 day a week)</w:t>
            </w:r>
          </w:p>
          <w:p w:rsidR="00BF7325" w:rsidRPr="00882CD8" w:rsidRDefault="00BF7325" w:rsidP="003D51C1">
            <w:pPr>
              <w:tabs>
                <w:tab w:val="left" w:pos="6804"/>
              </w:tabs>
              <w:rPr>
                <w:rFonts w:cs="Arial"/>
                <w:color w:val="231F20"/>
              </w:rPr>
            </w:pPr>
            <w:r>
              <w:rPr>
                <w:rFonts w:cs="Arial"/>
                <w:color w:val="231F20"/>
              </w:rPr>
              <w:t>No fees are charged (this was identified as a barrier to getting the integrated service open)</w:t>
            </w:r>
          </w:p>
        </w:tc>
      </w:tr>
      <w:tr w:rsidR="00751B30" w:rsidRPr="00882CD8" w:rsidTr="00E21CEF">
        <w:trPr>
          <w:tblHeader/>
        </w:trPr>
        <w:tc>
          <w:tcPr>
            <w:tcW w:w="976" w:type="pct"/>
          </w:tcPr>
          <w:p w:rsidR="00751B30" w:rsidRPr="00115C2D" w:rsidRDefault="00751B30" w:rsidP="00115C2D">
            <w:pPr>
              <w:autoSpaceDE w:val="0"/>
              <w:autoSpaceDN w:val="0"/>
              <w:adjustRightInd w:val="0"/>
              <w:rPr>
                <w:rFonts w:cs="Arial"/>
                <w:color w:val="231F20"/>
              </w:rPr>
            </w:pPr>
            <w:r w:rsidRPr="00115C2D">
              <w:rPr>
                <w:rFonts w:cs="Arial"/>
                <w:color w:val="231F20"/>
              </w:rPr>
              <w:t>Vehicle</w:t>
            </w:r>
          </w:p>
        </w:tc>
        <w:tc>
          <w:tcPr>
            <w:tcW w:w="1953" w:type="pct"/>
          </w:tcPr>
          <w:p w:rsidR="00751B30" w:rsidRPr="00882CD8" w:rsidRDefault="00E730A2" w:rsidP="003D51C1">
            <w:pPr>
              <w:tabs>
                <w:tab w:val="left" w:pos="6804"/>
              </w:tabs>
              <w:rPr>
                <w:rFonts w:cs="Arial"/>
                <w:color w:val="231F20"/>
              </w:rPr>
            </w:pPr>
            <w:r>
              <w:rPr>
                <w:rFonts w:cs="Arial"/>
                <w:color w:val="231F20"/>
              </w:rPr>
              <w:t>Vehicle access for resource gathering and meeting set up as well as access for children to programs</w:t>
            </w:r>
          </w:p>
        </w:tc>
        <w:tc>
          <w:tcPr>
            <w:tcW w:w="2071" w:type="pct"/>
          </w:tcPr>
          <w:p w:rsidR="00751B30" w:rsidRPr="00882CD8" w:rsidRDefault="00AF4CE7" w:rsidP="003D51C1">
            <w:pPr>
              <w:tabs>
                <w:tab w:val="left" w:pos="6804"/>
              </w:tabs>
              <w:rPr>
                <w:rFonts w:cs="Arial"/>
                <w:color w:val="231F20"/>
              </w:rPr>
            </w:pPr>
            <w:r>
              <w:rPr>
                <w:rFonts w:cs="Arial"/>
                <w:color w:val="231F20"/>
              </w:rPr>
              <w:t>Average 15 hours per month</w:t>
            </w:r>
          </w:p>
        </w:tc>
      </w:tr>
      <w:tr w:rsidR="00751B30" w:rsidRPr="00882CD8" w:rsidTr="00E21CEF">
        <w:trPr>
          <w:tblHeader/>
        </w:trPr>
        <w:tc>
          <w:tcPr>
            <w:tcW w:w="976" w:type="pct"/>
          </w:tcPr>
          <w:p w:rsidR="00751B30" w:rsidRPr="00115C2D" w:rsidRDefault="00751B30" w:rsidP="00115C2D">
            <w:pPr>
              <w:autoSpaceDE w:val="0"/>
              <w:autoSpaceDN w:val="0"/>
              <w:adjustRightInd w:val="0"/>
              <w:rPr>
                <w:rFonts w:cs="Arial"/>
                <w:color w:val="231F20"/>
              </w:rPr>
            </w:pPr>
            <w:r w:rsidRPr="00115C2D">
              <w:rPr>
                <w:rFonts w:cs="Arial"/>
                <w:color w:val="231F20"/>
              </w:rPr>
              <w:t>Insurance</w:t>
            </w:r>
          </w:p>
        </w:tc>
        <w:tc>
          <w:tcPr>
            <w:tcW w:w="1953" w:type="pct"/>
          </w:tcPr>
          <w:p w:rsidR="00751B30" w:rsidRPr="00882CD8" w:rsidRDefault="00E730A2" w:rsidP="003D51C1">
            <w:pPr>
              <w:tabs>
                <w:tab w:val="left" w:pos="6804"/>
              </w:tabs>
              <w:rPr>
                <w:rFonts w:cs="Arial"/>
                <w:color w:val="231F20"/>
              </w:rPr>
            </w:pPr>
            <w:r>
              <w:rPr>
                <w:rFonts w:cs="Arial"/>
                <w:color w:val="231F20"/>
              </w:rPr>
              <w:t>For staff as noted</w:t>
            </w:r>
          </w:p>
        </w:tc>
        <w:tc>
          <w:tcPr>
            <w:tcW w:w="2071" w:type="pct"/>
          </w:tcPr>
          <w:p w:rsidR="00751B30" w:rsidRPr="00882CD8" w:rsidRDefault="00BF7325" w:rsidP="003D51C1">
            <w:pPr>
              <w:tabs>
                <w:tab w:val="left" w:pos="6804"/>
              </w:tabs>
              <w:rPr>
                <w:rFonts w:cs="Arial"/>
                <w:color w:val="231F20"/>
              </w:rPr>
            </w:pPr>
            <w:r>
              <w:rPr>
                <w:rFonts w:cs="Arial"/>
                <w:color w:val="231F20"/>
              </w:rPr>
              <w:t>$100.00 per year</w:t>
            </w:r>
          </w:p>
        </w:tc>
      </w:tr>
      <w:tr w:rsidR="00751B30" w:rsidRPr="00882CD8" w:rsidTr="00E21CEF">
        <w:trPr>
          <w:tblHeader/>
        </w:trPr>
        <w:tc>
          <w:tcPr>
            <w:tcW w:w="976" w:type="pct"/>
          </w:tcPr>
          <w:p w:rsidR="00751B30" w:rsidRPr="00115C2D" w:rsidRDefault="00751B30" w:rsidP="00115C2D">
            <w:pPr>
              <w:autoSpaceDE w:val="0"/>
              <w:autoSpaceDN w:val="0"/>
              <w:adjustRightInd w:val="0"/>
              <w:rPr>
                <w:rFonts w:cs="Arial"/>
                <w:color w:val="231F20"/>
              </w:rPr>
            </w:pPr>
            <w:r w:rsidRPr="00115C2D">
              <w:rPr>
                <w:rFonts w:cs="Arial"/>
                <w:color w:val="231F20"/>
              </w:rPr>
              <w:t xml:space="preserve">Equipment (large) </w:t>
            </w:r>
          </w:p>
        </w:tc>
        <w:tc>
          <w:tcPr>
            <w:tcW w:w="1953" w:type="pct"/>
          </w:tcPr>
          <w:p w:rsidR="00AF4CE7" w:rsidRDefault="00AA3DB9" w:rsidP="00AF4CE7">
            <w:pPr>
              <w:tabs>
                <w:tab w:val="left" w:pos="6804"/>
              </w:tabs>
              <w:rPr>
                <w:rFonts w:cs="Arial"/>
                <w:color w:val="231F20"/>
              </w:rPr>
            </w:pPr>
            <w:r>
              <w:rPr>
                <w:rFonts w:cs="Arial"/>
                <w:color w:val="231F20"/>
              </w:rPr>
              <w:t xml:space="preserve">For </w:t>
            </w:r>
            <w:r w:rsidR="00AF4CE7">
              <w:rPr>
                <w:rFonts w:cs="Arial"/>
                <w:color w:val="231F20"/>
              </w:rPr>
              <w:t xml:space="preserve">the programs (integrated service) including  </w:t>
            </w:r>
          </w:p>
          <w:p w:rsidR="00AF4CE7" w:rsidRDefault="00AA3DB9" w:rsidP="00AF4CE7">
            <w:pPr>
              <w:tabs>
                <w:tab w:val="left" w:pos="6804"/>
              </w:tabs>
              <w:rPr>
                <w:rFonts w:cs="Arial"/>
                <w:color w:val="231F20"/>
              </w:rPr>
            </w:pPr>
            <w:r>
              <w:rPr>
                <w:rFonts w:cs="Arial"/>
                <w:color w:val="231F20"/>
              </w:rPr>
              <w:t>t</w:t>
            </w:r>
            <w:r w:rsidR="00AF4CE7">
              <w:rPr>
                <w:rFonts w:cs="Arial"/>
                <w:color w:val="231F20"/>
              </w:rPr>
              <w:t xml:space="preserve">he mothers group </w:t>
            </w:r>
          </w:p>
          <w:p w:rsidR="00751B30" w:rsidRPr="00882CD8" w:rsidRDefault="00751B30" w:rsidP="00AA3DB9">
            <w:pPr>
              <w:tabs>
                <w:tab w:val="left" w:pos="6804"/>
              </w:tabs>
              <w:rPr>
                <w:rFonts w:cs="Arial"/>
                <w:color w:val="231F20"/>
              </w:rPr>
            </w:pPr>
          </w:p>
        </w:tc>
        <w:tc>
          <w:tcPr>
            <w:tcW w:w="2071" w:type="pct"/>
          </w:tcPr>
          <w:p w:rsidR="00751B30" w:rsidRDefault="00AA3DB9" w:rsidP="00AA3DB9">
            <w:pPr>
              <w:tabs>
                <w:tab w:val="left" w:pos="6804"/>
              </w:tabs>
              <w:rPr>
                <w:rFonts w:cs="Arial"/>
                <w:color w:val="231F20"/>
              </w:rPr>
            </w:pPr>
            <w:r>
              <w:rPr>
                <w:rFonts w:cs="Arial"/>
                <w:color w:val="231F20"/>
              </w:rPr>
              <w:t>Mothers group $500.00</w:t>
            </w:r>
          </w:p>
          <w:p w:rsidR="00AA3DB9" w:rsidRPr="00882CD8" w:rsidRDefault="00AA3DB9" w:rsidP="00AA3DB9">
            <w:pPr>
              <w:tabs>
                <w:tab w:val="left" w:pos="6804"/>
              </w:tabs>
              <w:rPr>
                <w:rFonts w:cs="Arial"/>
                <w:color w:val="231F20"/>
              </w:rPr>
            </w:pPr>
            <w:r>
              <w:rPr>
                <w:rFonts w:cs="Arial"/>
                <w:color w:val="231F20"/>
              </w:rPr>
              <w:t xml:space="preserve">Other groups $1000 </w:t>
            </w:r>
          </w:p>
        </w:tc>
      </w:tr>
      <w:tr w:rsidR="00751B30" w:rsidRPr="00882CD8" w:rsidTr="00E21CEF">
        <w:trPr>
          <w:tblHeader/>
        </w:trPr>
        <w:tc>
          <w:tcPr>
            <w:tcW w:w="976" w:type="pct"/>
          </w:tcPr>
          <w:p w:rsidR="00751B30" w:rsidRPr="00115C2D" w:rsidRDefault="00751B30" w:rsidP="00115C2D">
            <w:pPr>
              <w:autoSpaceDE w:val="0"/>
              <w:autoSpaceDN w:val="0"/>
              <w:adjustRightInd w:val="0"/>
              <w:rPr>
                <w:rFonts w:cs="Arial"/>
                <w:color w:val="231F20"/>
              </w:rPr>
            </w:pPr>
            <w:r w:rsidRPr="00115C2D">
              <w:rPr>
                <w:rFonts w:cs="Arial"/>
                <w:color w:val="231F20"/>
              </w:rPr>
              <w:t>Stationary and printing</w:t>
            </w:r>
          </w:p>
        </w:tc>
        <w:tc>
          <w:tcPr>
            <w:tcW w:w="1953" w:type="pct"/>
          </w:tcPr>
          <w:p w:rsidR="00751B30" w:rsidRPr="00882CD8" w:rsidRDefault="00E730A2" w:rsidP="00E730A2">
            <w:pPr>
              <w:tabs>
                <w:tab w:val="left" w:pos="6804"/>
              </w:tabs>
              <w:rPr>
                <w:rFonts w:cs="Arial"/>
                <w:color w:val="231F20"/>
              </w:rPr>
            </w:pPr>
            <w:r>
              <w:rPr>
                <w:rFonts w:cs="Arial"/>
                <w:color w:val="231F20"/>
              </w:rPr>
              <w:t>For staff who support the programs (integrated service)e</w:t>
            </w:r>
            <w:r w:rsidR="00F55CC6">
              <w:rPr>
                <w:rFonts w:cs="Arial"/>
                <w:color w:val="231F20"/>
              </w:rPr>
              <w:t>.</w:t>
            </w:r>
            <w:r>
              <w:rPr>
                <w:rFonts w:cs="Arial"/>
                <w:color w:val="231F20"/>
              </w:rPr>
              <w:t>g: FIFO resource development (3 reams, 1 toner, 2 hours machine use)</w:t>
            </w:r>
          </w:p>
        </w:tc>
        <w:tc>
          <w:tcPr>
            <w:tcW w:w="2071" w:type="pct"/>
          </w:tcPr>
          <w:p w:rsidR="00751B30" w:rsidRPr="00882CD8" w:rsidRDefault="00BF7325" w:rsidP="003D51C1">
            <w:pPr>
              <w:tabs>
                <w:tab w:val="left" w:pos="6804"/>
              </w:tabs>
              <w:rPr>
                <w:rFonts w:cs="Arial"/>
                <w:color w:val="231F20"/>
              </w:rPr>
            </w:pPr>
            <w:r>
              <w:rPr>
                <w:rFonts w:cs="Arial"/>
                <w:color w:val="231F20"/>
              </w:rPr>
              <w:t>$250.00 per year</w:t>
            </w:r>
          </w:p>
        </w:tc>
      </w:tr>
      <w:tr w:rsidR="00751B30" w:rsidRPr="00882CD8" w:rsidTr="00E21CEF">
        <w:trPr>
          <w:tblHeader/>
        </w:trPr>
        <w:tc>
          <w:tcPr>
            <w:tcW w:w="976" w:type="pct"/>
          </w:tcPr>
          <w:p w:rsidR="00751B30" w:rsidRPr="00115C2D" w:rsidRDefault="00751B30" w:rsidP="00115C2D">
            <w:pPr>
              <w:autoSpaceDE w:val="0"/>
              <w:autoSpaceDN w:val="0"/>
              <w:adjustRightInd w:val="0"/>
              <w:rPr>
                <w:rFonts w:cs="Arial"/>
                <w:color w:val="231F20"/>
              </w:rPr>
            </w:pPr>
            <w:r w:rsidRPr="00115C2D">
              <w:rPr>
                <w:rFonts w:cs="Arial"/>
                <w:color w:val="231F20"/>
              </w:rPr>
              <w:t>Food</w:t>
            </w:r>
          </w:p>
        </w:tc>
        <w:tc>
          <w:tcPr>
            <w:tcW w:w="1953" w:type="pct"/>
          </w:tcPr>
          <w:p w:rsidR="00751B30" w:rsidRPr="00882CD8" w:rsidRDefault="00E730A2" w:rsidP="003967E5">
            <w:pPr>
              <w:tabs>
                <w:tab w:val="left" w:pos="6804"/>
              </w:tabs>
              <w:rPr>
                <w:rFonts w:cs="Arial"/>
                <w:color w:val="231F20"/>
              </w:rPr>
            </w:pPr>
            <w:r>
              <w:rPr>
                <w:rFonts w:cs="Arial"/>
                <w:color w:val="231F20"/>
              </w:rPr>
              <w:t>For staff who support the programs (integrated service)</w:t>
            </w:r>
          </w:p>
        </w:tc>
        <w:tc>
          <w:tcPr>
            <w:tcW w:w="2071" w:type="pct"/>
          </w:tcPr>
          <w:p w:rsidR="003967E5" w:rsidRDefault="003967E5" w:rsidP="003D51C1">
            <w:pPr>
              <w:tabs>
                <w:tab w:val="left" w:pos="6804"/>
              </w:tabs>
              <w:rPr>
                <w:rFonts w:cs="Arial"/>
                <w:color w:val="231F20"/>
              </w:rPr>
            </w:pPr>
            <w:r>
              <w:rPr>
                <w:rFonts w:cs="Arial"/>
                <w:color w:val="231F20"/>
              </w:rPr>
              <w:t xml:space="preserve">Mothers group morning tea 12 people 1 morning a week </w:t>
            </w:r>
          </w:p>
          <w:p w:rsidR="00751B30" w:rsidRPr="00882CD8" w:rsidRDefault="003967E5" w:rsidP="003D51C1">
            <w:pPr>
              <w:tabs>
                <w:tab w:val="left" w:pos="6804"/>
              </w:tabs>
              <w:rPr>
                <w:rFonts w:cs="Arial"/>
                <w:color w:val="231F20"/>
              </w:rPr>
            </w:pPr>
            <w:r>
              <w:rPr>
                <w:rFonts w:cs="Arial"/>
                <w:color w:val="231F20"/>
              </w:rPr>
              <w:t>Parent meetings various topics 6  - 30 people a month</w:t>
            </w:r>
          </w:p>
        </w:tc>
      </w:tr>
      <w:tr w:rsidR="00751B30" w:rsidRPr="00882CD8" w:rsidTr="00E21CEF">
        <w:trPr>
          <w:tblHeader/>
        </w:trPr>
        <w:tc>
          <w:tcPr>
            <w:tcW w:w="976" w:type="pct"/>
          </w:tcPr>
          <w:p w:rsidR="00751B30" w:rsidRPr="00115C2D" w:rsidRDefault="00751B30" w:rsidP="00115C2D">
            <w:pPr>
              <w:autoSpaceDE w:val="0"/>
              <w:autoSpaceDN w:val="0"/>
              <w:adjustRightInd w:val="0"/>
              <w:rPr>
                <w:rFonts w:cs="Arial"/>
                <w:color w:val="231F20"/>
              </w:rPr>
            </w:pPr>
            <w:r w:rsidRPr="00115C2D">
              <w:rPr>
                <w:rFonts w:cs="Arial"/>
                <w:color w:val="231F20"/>
              </w:rPr>
              <w:lastRenderedPageBreak/>
              <w:t>Furniture</w:t>
            </w:r>
          </w:p>
        </w:tc>
        <w:tc>
          <w:tcPr>
            <w:tcW w:w="1953" w:type="pct"/>
          </w:tcPr>
          <w:p w:rsidR="00751B30" w:rsidRPr="00882CD8" w:rsidRDefault="00E730A2" w:rsidP="003967E5">
            <w:pPr>
              <w:tabs>
                <w:tab w:val="left" w:pos="6804"/>
              </w:tabs>
              <w:rPr>
                <w:rFonts w:cs="Arial"/>
                <w:color w:val="231F20"/>
              </w:rPr>
            </w:pPr>
            <w:r>
              <w:rPr>
                <w:rFonts w:cs="Arial"/>
                <w:color w:val="231F20"/>
              </w:rPr>
              <w:t xml:space="preserve">Office space for staff who support the programs (integrated service) </w:t>
            </w:r>
          </w:p>
        </w:tc>
        <w:tc>
          <w:tcPr>
            <w:tcW w:w="2071" w:type="pct"/>
          </w:tcPr>
          <w:p w:rsidR="00BF7325" w:rsidRDefault="00BF7325" w:rsidP="003D51C1">
            <w:pPr>
              <w:tabs>
                <w:tab w:val="left" w:pos="6804"/>
              </w:tabs>
              <w:rPr>
                <w:rFonts w:cs="Arial"/>
                <w:color w:val="231F20"/>
              </w:rPr>
            </w:pPr>
            <w:r>
              <w:rPr>
                <w:rFonts w:cs="Arial"/>
                <w:color w:val="231F20"/>
              </w:rPr>
              <w:t>$450.00</w:t>
            </w:r>
          </w:p>
          <w:p w:rsidR="003967E5" w:rsidRDefault="003967E5" w:rsidP="003D51C1">
            <w:pPr>
              <w:tabs>
                <w:tab w:val="left" w:pos="6804"/>
              </w:tabs>
              <w:rPr>
                <w:rFonts w:cs="Arial"/>
                <w:color w:val="231F20"/>
              </w:rPr>
            </w:pPr>
            <w:r>
              <w:rPr>
                <w:rFonts w:cs="Arial"/>
                <w:color w:val="231F20"/>
              </w:rPr>
              <w:t xml:space="preserve">Eg: </w:t>
            </w:r>
          </w:p>
          <w:p w:rsidR="00751B30" w:rsidRPr="00882CD8" w:rsidRDefault="003967E5" w:rsidP="003D51C1">
            <w:pPr>
              <w:tabs>
                <w:tab w:val="left" w:pos="6804"/>
              </w:tabs>
              <w:rPr>
                <w:rFonts w:cs="Arial"/>
                <w:color w:val="231F20"/>
              </w:rPr>
            </w:pPr>
            <w:r>
              <w:rPr>
                <w:rFonts w:cs="Arial"/>
                <w:color w:val="231F20"/>
              </w:rPr>
              <w:t>the Community Health Nurse (1 day a week)</w:t>
            </w:r>
          </w:p>
        </w:tc>
      </w:tr>
    </w:tbl>
    <w:p w:rsidR="0037106F" w:rsidRDefault="0037106F"/>
    <w:p w:rsidR="00443A4F" w:rsidRPr="00443A4F" w:rsidRDefault="00443A4F">
      <w:pPr>
        <w:rPr>
          <w:b/>
        </w:rPr>
      </w:pPr>
      <w:r w:rsidRPr="00443A4F">
        <w:rPr>
          <w:b/>
        </w:rPr>
        <w:t xml:space="preserve">Table 2.2: Child Australia Lockridge </w:t>
      </w:r>
      <w:r w:rsidR="00BF7325">
        <w:rPr>
          <w:b/>
        </w:rPr>
        <w:t xml:space="preserve">Current </w:t>
      </w:r>
      <w:r w:rsidRPr="00443A4F">
        <w:rPr>
          <w:b/>
        </w:rPr>
        <w:t>Fee Structure</w:t>
      </w:r>
      <w:r w:rsidR="00457822">
        <w:rPr>
          <w:b/>
        </w:rPr>
        <w:t xml:space="preserve"> (as at June 30 2014)</w:t>
      </w:r>
    </w:p>
    <w:p w:rsidR="00443A4F" w:rsidRDefault="00443A4F" w:rsidP="00443A4F">
      <w:pPr>
        <w:tabs>
          <w:tab w:val="left" w:pos="6804"/>
        </w:tabs>
        <w:rPr>
          <w:rFonts w:cs="Arial"/>
          <w:color w:val="231F20"/>
        </w:rPr>
      </w:pPr>
    </w:p>
    <w:tbl>
      <w:tblPr>
        <w:tblStyle w:val="TableGrid"/>
        <w:tblW w:w="4565" w:type="dxa"/>
        <w:tblLook w:val="04A0" w:firstRow="1" w:lastRow="0" w:firstColumn="1" w:lastColumn="0" w:noHBand="0" w:noVBand="1"/>
      </w:tblPr>
      <w:tblGrid>
        <w:gridCol w:w="2282"/>
        <w:gridCol w:w="2283"/>
      </w:tblGrid>
      <w:tr w:rsidR="00443A4F" w:rsidRPr="003A230A" w:rsidTr="00443A4F">
        <w:tc>
          <w:tcPr>
            <w:tcW w:w="2282" w:type="dxa"/>
          </w:tcPr>
          <w:p w:rsidR="00443A4F" w:rsidRPr="003A230A" w:rsidRDefault="00443A4F" w:rsidP="00640E7A">
            <w:pPr>
              <w:rPr>
                <w:b/>
              </w:rPr>
            </w:pPr>
            <w:r w:rsidRPr="003A230A">
              <w:rPr>
                <w:b/>
              </w:rPr>
              <w:t>Area</w:t>
            </w:r>
          </w:p>
        </w:tc>
        <w:tc>
          <w:tcPr>
            <w:tcW w:w="2283" w:type="dxa"/>
          </w:tcPr>
          <w:p w:rsidR="00443A4F" w:rsidRPr="003A230A" w:rsidRDefault="00443A4F" w:rsidP="00640E7A">
            <w:pPr>
              <w:rPr>
                <w:b/>
              </w:rPr>
            </w:pPr>
            <w:r>
              <w:rPr>
                <w:b/>
              </w:rPr>
              <w:t>F</w:t>
            </w:r>
            <w:r w:rsidRPr="003A230A">
              <w:rPr>
                <w:b/>
              </w:rPr>
              <w:t>ee</w:t>
            </w:r>
          </w:p>
        </w:tc>
      </w:tr>
      <w:tr w:rsidR="00443A4F" w:rsidRPr="003A230A" w:rsidTr="00443A4F">
        <w:tc>
          <w:tcPr>
            <w:tcW w:w="2282" w:type="dxa"/>
          </w:tcPr>
          <w:p w:rsidR="00443A4F" w:rsidRPr="003A230A" w:rsidRDefault="00443A4F" w:rsidP="00640E7A">
            <w:r w:rsidRPr="003A230A">
              <w:t>Early Learning Centre</w:t>
            </w:r>
          </w:p>
        </w:tc>
        <w:tc>
          <w:tcPr>
            <w:tcW w:w="2283" w:type="dxa"/>
          </w:tcPr>
          <w:p w:rsidR="00443A4F" w:rsidRPr="003A230A" w:rsidRDefault="00443A4F" w:rsidP="00640E7A">
            <w:r w:rsidRPr="003A230A">
              <w:t>$76.00 per day</w:t>
            </w:r>
          </w:p>
        </w:tc>
      </w:tr>
      <w:tr w:rsidR="00443A4F" w:rsidRPr="003A230A" w:rsidTr="00443A4F">
        <w:tc>
          <w:tcPr>
            <w:tcW w:w="2282" w:type="dxa"/>
          </w:tcPr>
          <w:p w:rsidR="00443A4F" w:rsidRPr="003A230A" w:rsidRDefault="00443A4F" w:rsidP="00640E7A">
            <w:r w:rsidRPr="003A230A">
              <w:t>Before School Care</w:t>
            </w:r>
          </w:p>
        </w:tc>
        <w:tc>
          <w:tcPr>
            <w:tcW w:w="2283" w:type="dxa"/>
          </w:tcPr>
          <w:p w:rsidR="00443A4F" w:rsidRPr="003A230A" w:rsidRDefault="00443A4F" w:rsidP="00640E7A">
            <w:r w:rsidRPr="003A230A">
              <w:t>$23.00 per session</w:t>
            </w:r>
          </w:p>
        </w:tc>
      </w:tr>
      <w:tr w:rsidR="00443A4F" w:rsidRPr="003A230A" w:rsidTr="00443A4F">
        <w:tc>
          <w:tcPr>
            <w:tcW w:w="2282" w:type="dxa"/>
          </w:tcPr>
          <w:p w:rsidR="00443A4F" w:rsidRPr="003A230A" w:rsidRDefault="00443A4F" w:rsidP="00640E7A">
            <w:r w:rsidRPr="003A230A">
              <w:t>After school care</w:t>
            </w:r>
          </w:p>
        </w:tc>
        <w:tc>
          <w:tcPr>
            <w:tcW w:w="2283" w:type="dxa"/>
          </w:tcPr>
          <w:p w:rsidR="00443A4F" w:rsidRPr="003A230A" w:rsidRDefault="00443A4F" w:rsidP="00640E7A">
            <w:r w:rsidRPr="003A230A">
              <w:t>$25.00 per session</w:t>
            </w:r>
          </w:p>
        </w:tc>
      </w:tr>
      <w:tr w:rsidR="00443A4F" w:rsidRPr="003A230A" w:rsidTr="00443A4F">
        <w:tc>
          <w:tcPr>
            <w:tcW w:w="2282" w:type="dxa"/>
          </w:tcPr>
          <w:p w:rsidR="00443A4F" w:rsidRPr="003A230A" w:rsidRDefault="00443A4F" w:rsidP="00640E7A">
            <w:r w:rsidRPr="003A230A">
              <w:t xml:space="preserve">Vacation Care </w:t>
            </w:r>
          </w:p>
        </w:tc>
        <w:tc>
          <w:tcPr>
            <w:tcW w:w="2283" w:type="dxa"/>
          </w:tcPr>
          <w:p w:rsidR="00443A4F" w:rsidRPr="003A230A" w:rsidRDefault="00443A4F" w:rsidP="00640E7A">
            <w:r w:rsidRPr="003A230A">
              <w:t>$60.00 per day</w:t>
            </w:r>
          </w:p>
        </w:tc>
      </w:tr>
    </w:tbl>
    <w:p w:rsidR="00A609CF" w:rsidRDefault="00A609CF" w:rsidP="00443A4F">
      <w:pPr>
        <w:tabs>
          <w:tab w:val="left" w:pos="6804"/>
        </w:tabs>
        <w:rPr>
          <w:rFonts w:cs="Arial"/>
          <w:color w:val="231F20"/>
        </w:rPr>
      </w:pPr>
    </w:p>
    <w:p w:rsidR="00A609CF" w:rsidRDefault="00A609CF" w:rsidP="00A609CF">
      <w:r>
        <w:br w:type="page"/>
      </w:r>
    </w:p>
    <w:p w:rsidR="00A609CF" w:rsidRDefault="00A609CF" w:rsidP="00A609CF">
      <w:pPr>
        <w:pStyle w:val="Heading1"/>
        <w:numPr>
          <w:ilvl w:val="0"/>
          <w:numId w:val="0"/>
        </w:numPr>
        <w:ind w:left="432" w:hanging="432"/>
      </w:pPr>
      <w:r>
        <w:lastRenderedPageBreak/>
        <w:t>Attachment 3</w:t>
      </w:r>
    </w:p>
    <w:p w:rsidR="00A609CF" w:rsidRDefault="00373952" w:rsidP="00A609CF">
      <w:pPr>
        <w:rPr>
          <w:b/>
        </w:rPr>
      </w:pPr>
      <w:r>
        <w:rPr>
          <w:b/>
        </w:rPr>
        <w:t>Staff wages</w:t>
      </w:r>
      <w:r w:rsidR="00A609CF">
        <w:rPr>
          <w:b/>
        </w:rPr>
        <w:t xml:space="preserve"> calculations</w:t>
      </w:r>
    </w:p>
    <w:p w:rsidR="00A609CF" w:rsidRDefault="00A609CF" w:rsidP="00443A4F">
      <w:pPr>
        <w:tabs>
          <w:tab w:val="left" w:pos="6804"/>
        </w:tabs>
        <w:rPr>
          <w:rFonts w:cs="Arial"/>
          <w:color w:val="231F20"/>
        </w:rPr>
      </w:pPr>
    </w:p>
    <w:tbl>
      <w:tblPr>
        <w:tblpPr w:leftFromText="189" w:rightFromText="189" w:vertAnchor="text"/>
        <w:tblW w:w="5000" w:type="pct"/>
        <w:tblCellMar>
          <w:left w:w="0" w:type="dxa"/>
          <w:right w:w="0" w:type="dxa"/>
        </w:tblCellMar>
        <w:tblLook w:val="04A0" w:firstRow="1" w:lastRow="0" w:firstColumn="1" w:lastColumn="0" w:noHBand="0" w:noVBand="1"/>
      </w:tblPr>
      <w:tblGrid>
        <w:gridCol w:w="1852"/>
        <w:gridCol w:w="1513"/>
        <w:gridCol w:w="1648"/>
        <w:gridCol w:w="1569"/>
        <w:gridCol w:w="1425"/>
        <w:gridCol w:w="1425"/>
        <w:gridCol w:w="1169"/>
        <w:gridCol w:w="1170"/>
        <w:gridCol w:w="1405"/>
      </w:tblGrid>
      <w:tr w:rsidR="00A609CF" w:rsidTr="00A609CF">
        <w:trPr>
          <w:trHeight w:val="576"/>
        </w:trPr>
        <w:tc>
          <w:tcPr>
            <w:tcW w:w="722"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 </w:t>
            </w:r>
          </w:p>
        </w:tc>
        <w:tc>
          <w:tcPr>
            <w:tcW w:w="56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Fortnight Base</w:t>
            </w:r>
          </w:p>
        </w:tc>
        <w:tc>
          <w:tcPr>
            <w:tcW w:w="5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09CF" w:rsidRDefault="00A609CF">
            <w:pPr>
              <w:rPr>
                <w:rFonts w:eastAsiaTheme="minorHAnsi"/>
              </w:rPr>
            </w:pPr>
            <w:r>
              <w:t>Superannuation 9.5%</w:t>
            </w:r>
          </w:p>
        </w:tc>
        <w:tc>
          <w:tcPr>
            <w:tcW w:w="5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09CF" w:rsidRDefault="00A609CF">
            <w:pPr>
              <w:rPr>
                <w:rFonts w:eastAsiaTheme="minorHAnsi"/>
              </w:rPr>
            </w:pPr>
            <w:r>
              <w:t>Annual Leave           (20 days)</w:t>
            </w:r>
          </w:p>
        </w:tc>
        <w:tc>
          <w:tcPr>
            <w:tcW w:w="5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09CF" w:rsidRDefault="00A609CF">
            <w:pPr>
              <w:rPr>
                <w:rFonts w:eastAsiaTheme="minorHAnsi"/>
              </w:rPr>
            </w:pPr>
            <w:r>
              <w:t>Sick leave (2 days)</w:t>
            </w:r>
          </w:p>
        </w:tc>
        <w:tc>
          <w:tcPr>
            <w:tcW w:w="5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09CF" w:rsidRDefault="00A609CF">
            <w:pPr>
              <w:rPr>
                <w:rFonts w:eastAsiaTheme="minorHAnsi"/>
              </w:rPr>
            </w:pPr>
            <w:r>
              <w:t>Training (1 day)</w:t>
            </w:r>
          </w:p>
        </w:tc>
        <w:tc>
          <w:tcPr>
            <w:tcW w:w="4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09CF" w:rsidRDefault="00A609CF">
            <w:pPr>
              <w:rPr>
                <w:rFonts w:eastAsiaTheme="minorHAnsi"/>
              </w:rPr>
            </w:pPr>
            <w:r>
              <w:t>Increment 3.5%</w:t>
            </w:r>
          </w:p>
        </w:tc>
        <w:tc>
          <w:tcPr>
            <w:tcW w:w="4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09CF" w:rsidRDefault="00A609CF">
            <w:pPr>
              <w:rPr>
                <w:rFonts w:eastAsiaTheme="minorHAnsi"/>
              </w:rPr>
            </w:pPr>
            <w:r>
              <w:t>CPI 3%</w:t>
            </w:r>
          </w:p>
        </w:tc>
        <w:tc>
          <w:tcPr>
            <w:tcW w:w="5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09CF" w:rsidRDefault="00A609CF">
            <w:pPr>
              <w:rPr>
                <w:rFonts w:eastAsiaTheme="minorHAnsi"/>
              </w:rPr>
            </w:pPr>
            <w:r>
              <w:t>TOTAL</w:t>
            </w:r>
          </w:p>
        </w:tc>
      </w:tr>
      <w:tr w:rsidR="00A609CF" w:rsidTr="00A609CF">
        <w:trPr>
          <w:trHeight w:val="444"/>
        </w:trPr>
        <w:tc>
          <w:tcPr>
            <w:tcW w:w="72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609CF" w:rsidRPr="00373952" w:rsidRDefault="00A609CF">
            <w:pPr>
              <w:rPr>
                <w:rFonts w:eastAsiaTheme="minorHAnsi"/>
                <w:b/>
              </w:rPr>
            </w:pPr>
            <w:r w:rsidRPr="00373952">
              <w:rPr>
                <w:b/>
              </w:rPr>
              <w:t>Educator (Cert III)</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$1,546.50</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$146.92</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463"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463"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54"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r>
      <w:tr w:rsidR="00A609CF" w:rsidTr="00A609CF">
        <w:trPr>
          <w:trHeight w:val="288"/>
        </w:trPr>
        <w:tc>
          <w:tcPr>
            <w:tcW w:w="72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463"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463"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54"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r>
      <w:tr w:rsidR="00A609CF" w:rsidTr="00A609CF">
        <w:trPr>
          <w:trHeight w:val="432"/>
        </w:trPr>
        <w:tc>
          <w:tcPr>
            <w:tcW w:w="72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Yearly Costs</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$40,342.00</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$3,832.00</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$3,093.00</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$309.30</w:t>
            </w: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$154.65</w:t>
            </w:r>
          </w:p>
        </w:tc>
        <w:tc>
          <w:tcPr>
            <w:tcW w:w="463"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$1,412.00</w:t>
            </w:r>
          </w:p>
        </w:tc>
        <w:tc>
          <w:tcPr>
            <w:tcW w:w="463"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$1,252.00</w:t>
            </w:r>
          </w:p>
        </w:tc>
        <w:tc>
          <w:tcPr>
            <w:tcW w:w="554"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heme="minorHAnsi"/>
              </w:rPr>
            </w:pPr>
            <w:r>
              <w:t>$50,395.00</w:t>
            </w:r>
          </w:p>
        </w:tc>
      </w:tr>
      <w:tr w:rsidR="00A609CF" w:rsidTr="00A609CF">
        <w:trPr>
          <w:trHeight w:val="288"/>
        </w:trPr>
        <w:tc>
          <w:tcPr>
            <w:tcW w:w="722"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60"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463"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463"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c>
          <w:tcPr>
            <w:tcW w:w="554" w:type="pct"/>
            <w:tcBorders>
              <w:top w:val="nil"/>
              <w:left w:val="nil"/>
              <w:bottom w:val="single" w:sz="8" w:space="0" w:color="auto"/>
              <w:right w:val="single" w:sz="8" w:space="0" w:color="auto"/>
            </w:tcBorders>
            <w:noWrap/>
            <w:tcMar>
              <w:top w:w="0" w:type="dxa"/>
              <w:left w:w="108" w:type="dxa"/>
              <w:bottom w:w="0" w:type="dxa"/>
              <w:right w:w="108" w:type="dxa"/>
            </w:tcMar>
            <w:hideMark/>
          </w:tcPr>
          <w:p w:rsidR="00A609CF" w:rsidRDefault="00A609CF">
            <w:pPr>
              <w:rPr>
                <w:rFonts w:eastAsia="Times New Roman"/>
                <w:sz w:val="20"/>
                <w:szCs w:val="20"/>
              </w:rPr>
            </w:pPr>
          </w:p>
        </w:tc>
      </w:tr>
    </w:tbl>
    <w:p w:rsidR="00A609CF" w:rsidRDefault="00A609CF" w:rsidP="00443A4F">
      <w:pPr>
        <w:tabs>
          <w:tab w:val="left" w:pos="6804"/>
        </w:tabs>
        <w:rPr>
          <w:rFonts w:cs="Arial"/>
          <w:color w:val="231F20"/>
        </w:rPr>
      </w:pPr>
    </w:p>
    <w:p w:rsidR="00443A4F" w:rsidRPr="00AB4DED" w:rsidRDefault="00443A4F"/>
    <w:sectPr w:rsidR="00443A4F" w:rsidRPr="00AB4DED" w:rsidSect="00751B30">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D7A" w:rsidRDefault="000A1D7A" w:rsidP="006B0C45">
      <w:pPr>
        <w:spacing w:after="0" w:line="240" w:lineRule="auto"/>
      </w:pPr>
      <w:r>
        <w:separator/>
      </w:r>
    </w:p>
  </w:endnote>
  <w:endnote w:type="continuationSeparator" w:id="0">
    <w:p w:rsidR="000A1D7A" w:rsidRDefault="000A1D7A" w:rsidP="006B0C45">
      <w:pPr>
        <w:spacing w:after="0" w:line="240" w:lineRule="auto"/>
      </w:pPr>
      <w:r>
        <w:continuationSeparator/>
      </w:r>
    </w:p>
  </w:endnote>
  <w:endnote w:id="1">
    <w:p w:rsidR="003D51C1" w:rsidRDefault="003D51C1">
      <w:pPr>
        <w:pStyle w:val="EndnoteText"/>
        <w:rPr>
          <w:lang w:val="en-AU"/>
        </w:rPr>
      </w:pPr>
      <w:r>
        <w:rPr>
          <w:rStyle w:val="EndnoteReference"/>
        </w:rPr>
        <w:endnoteRef/>
      </w:r>
      <w:r>
        <w:t xml:space="preserve"> </w:t>
      </w:r>
      <w:r>
        <w:rPr>
          <w:lang w:val="en-AU"/>
        </w:rPr>
        <w:t xml:space="preserve">Shonkoff and Phillips 2000 </w:t>
      </w:r>
    </w:p>
    <w:p w:rsidR="003D51C1" w:rsidRPr="00AC2F0D" w:rsidRDefault="003D51C1">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PlusBold-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oudyOlSt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80010C">
      <w:tc>
        <w:tcPr>
          <w:tcW w:w="4500" w:type="pct"/>
          <w:tcBorders>
            <w:top w:val="single" w:sz="4" w:space="0" w:color="000000" w:themeColor="text1"/>
          </w:tcBorders>
        </w:tcPr>
        <w:p w:rsidR="0080010C" w:rsidRDefault="00F14BCE" w:rsidP="0080010C">
          <w:pPr>
            <w:pStyle w:val="Footer"/>
            <w:jc w:val="right"/>
          </w:pPr>
          <w:sdt>
            <w:sdtPr>
              <w:rPr>
                <w:rFonts w:asciiTheme="majorHAnsi" w:eastAsiaTheme="majorEastAsia" w:hAnsiTheme="majorHAnsi" w:cstheme="majorBidi"/>
                <w:b/>
                <w:color w:val="0070C0"/>
                <w:sz w:val="20"/>
                <w:szCs w:val="20"/>
              </w:rPr>
              <w:alias w:val="Company"/>
              <w:id w:val="75971759"/>
              <w:placeholder>
                <w:docPart w:val="12C5E409BC3145509929AC1E68367608"/>
              </w:placeholder>
              <w:showingPlcHdr/>
              <w:dataBinding w:prefixMappings="xmlns:ns0='http://schemas.openxmlformats.org/officeDocument/2006/extended-properties'" w:xpath="/ns0:Properties[1]/ns0:Company[1]" w:storeItemID="{6668398D-A668-4E3E-A5EB-62B293D839F1}"/>
              <w:text/>
            </w:sdtPr>
            <w:sdtEndPr/>
            <w:sdtContent>
              <w:r>
                <w:t>[Type the company name]</w:t>
              </w:r>
            </w:sdtContent>
          </w:sdt>
          <w:r w:rsidR="0080010C">
            <w:t xml:space="preserve"> | </w:t>
          </w:r>
          <w:r>
            <w:fldChar w:fldCharType="begin"/>
          </w:r>
          <w:r>
            <w:instrText xml:space="preserve"> STYLEREF  "1"  </w:instrText>
          </w:r>
          <w:r>
            <w:fldChar w:fldCharType="separate"/>
          </w:r>
          <w:r>
            <w:rPr>
              <w:noProof/>
            </w:rPr>
            <w:t>Background</w:t>
          </w:r>
          <w:r>
            <w:rPr>
              <w:noProof/>
            </w:rPr>
            <w:fldChar w:fldCharType="end"/>
          </w:r>
        </w:p>
      </w:tc>
      <w:tc>
        <w:tcPr>
          <w:tcW w:w="500" w:type="pct"/>
          <w:tcBorders>
            <w:top w:val="single" w:sz="4" w:space="0" w:color="9F2936" w:themeColor="accent2"/>
          </w:tcBorders>
          <w:shd w:val="clear" w:color="auto" w:fill="761E28" w:themeFill="accent2" w:themeFillShade="BF"/>
        </w:tcPr>
        <w:p w:rsidR="0080010C" w:rsidRDefault="0080010C">
          <w:pPr>
            <w:pStyle w:val="Header"/>
            <w:rPr>
              <w:color w:val="FFFFFF" w:themeColor="background1"/>
            </w:rPr>
          </w:pPr>
          <w:r>
            <w:fldChar w:fldCharType="begin"/>
          </w:r>
          <w:r>
            <w:instrText xml:space="preserve"> PAGE   \* MERGEFORMAT </w:instrText>
          </w:r>
          <w:r>
            <w:fldChar w:fldCharType="separate"/>
          </w:r>
          <w:r w:rsidR="00F14BCE" w:rsidRPr="00F14BCE">
            <w:rPr>
              <w:noProof/>
              <w:color w:val="FFFFFF" w:themeColor="background1"/>
            </w:rPr>
            <w:t>1</w:t>
          </w:r>
          <w:r>
            <w:rPr>
              <w:noProof/>
              <w:color w:val="FFFFFF" w:themeColor="background1"/>
            </w:rPr>
            <w:fldChar w:fldCharType="end"/>
          </w:r>
        </w:p>
      </w:tc>
    </w:tr>
  </w:tbl>
  <w:p w:rsidR="0080010C" w:rsidRDefault="00800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D7A" w:rsidRDefault="000A1D7A" w:rsidP="006B0C45">
      <w:pPr>
        <w:spacing w:after="0" w:line="240" w:lineRule="auto"/>
      </w:pPr>
      <w:r>
        <w:separator/>
      </w:r>
    </w:p>
  </w:footnote>
  <w:footnote w:type="continuationSeparator" w:id="0">
    <w:p w:rsidR="000A1D7A" w:rsidRDefault="000A1D7A" w:rsidP="006B0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66F2D74"/>
    <w:multiLevelType w:val="hybridMultilevel"/>
    <w:tmpl w:val="ED14A0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27257345"/>
    <w:multiLevelType w:val="hybridMultilevel"/>
    <w:tmpl w:val="A6F6D0F0"/>
    <w:lvl w:ilvl="0" w:tplc="B06E0708">
      <w:start w:val="1"/>
      <w:numFmt w:val="bullet"/>
      <w:lvlText w:val=""/>
      <w:lvlJc w:val="left"/>
      <w:pPr>
        <w:ind w:left="360" w:hanging="360"/>
      </w:pPr>
      <w:rPr>
        <w:rFonts w:ascii="Symbol" w:hAnsi="Symbol" w:hint="default"/>
      </w:rPr>
    </w:lvl>
    <w:lvl w:ilvl="1" w:tplc="B06E0708">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BA80CC0"/>
    <w:multiLevelType w:val="hybridMultilevel"/>
    <w:tmpl w:val="52A85AD0"/>
    <w:lvl w:ilvl="0" w:tplc="769CD414">
      <w:start w:val="1"/>
      <w:numFmt w:val="bullet"/>
      <w:pStyle w:val="CABullet2"/>
      <w:lvlText w:val="o"/>
      <w:lvlJc w:val="left"/>
      <w:pPr>
        <w:ind w:left="1115" w:hanging="360"/>
      </w:pPr>
      <w:rPr>
        <w:rFonts w:ascii="Courier New" w:hAnsi="Courier New" w:hint="default"/>
        <w:color w:val="auto"/>
      </w:rPr>
    </w:lvl>
    <w:lvl w:ilvl="1" w:tplc="04090003">
      <w:start w:val="1"/>
      <w:numFmt w:val="bullet"/>
      <w:lvlText w:val="o"/>
      <w:lvlJc w:val="left"/>
      <w:pPr>
        <w:ind w:left="1851" w:hanging="360"/>
      </w:pPr>
      <w:rPr>
        <w:rFonts w:ascii="Courier New" w:hAnsi="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4">
    <w:nsid w:val="3974612E"/>
    <w:multiLevelType w:val="hybridMultilevel"/>
    <w:tmpl w:val="F524E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AEE76AC"/>
    <w:multiLevelType w:val="hybridMultilevel"/>
    <w:tmpl w:val="48C2D0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CE857B6"/>
    <w:multiLevelType w:val="hybridMultilevel"/>
    <w:tmpl w:val="5366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732C78"/>
    <w:multiLevelType w:val="hybridMultilevel"/>
    <w:tmpl w:val="683A150A"/>
    <w:lvl w:ilvl="0" w:tplc="B06E0708">
      <w:start w:val="1"/>
      <w:numFmt w:val="bullet"/>
      <w:lvlText w:val=""/>
      <w:lvlJc w:val="left"/>
      <w:pPr>
        <w:ind w:left="360" w:hanging="360"/>
      </w:pPr>
      <w:rPr>
        <w:rFonts w:ascii="Symbol" w:hAnsi="Symbol" w:hint="default"/>
      </w:rPr>
    </w:lvl>
    <w:lvl w:ilvl="1" w:tplc="936C18A4">
      <w:numFmt w:val="bullet"/>
      <w:lvlText w:val="•"/>
      <w:lvlJc w:val="left"/>
      <w:pPr>
        <w:ind w:left="1080" w:hanging="360"/>
      </w:pPr>
      <w:rPr>
        <w:rFonts w:ascii="Calibri" w:eastAsiaTheme="minorHAnsi" w:hAnsi="Calibri" w:cs="MetaPlusBold-Roman" w:hint="default"/>
        <w:b/>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1BB6C1D"/>
    <w:multiLevelType w:val="hybridMultilevel"/>
    <w:tmpl w:val="B0F41F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5837301"/>
    <w:multiLevelType w:val="hybridMultilevel"/>
    <w:tmpl w:val="79226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B11155"/>
    <w:multiLevelType w:val="hybridMultilevel"/>
    <w:tmpl w:val="503C62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1D4059B"/>
    <w:multiLevelType w:val="hybridMultilevel"/>
    <w:tmpl w:val="77A46820"/>
    <w:lvl w:ilvl="0" w:tplc="9D680CC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9096E40"/>
    <w:multiLevelType w:val="hybridMultilevel"/>
    <w:tmpl w:val="BD4EF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C171E24"/>
    <w:multiLevelType w:val="hybridMultilevel"/>
    <w:tmpl w:val="1862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CED43B2"/>
    <w:multiLevelType w:val="hybridMultilevel"/>
    <w:tmpl w:val="82D6D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90504D"/>
    <w:multiLevelType w:val="hybridMultilevel"/>
    <w:tmpl w:val="9CF6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B0636"/>
    <w:multiLevelType w:val="hybridMultilevel"/>
    <w:tmpl w:val="CE787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BAA1D51"/>
    <w:multiLevelType w:val="hybridMultilevel"/>
    <w:tmpl w:val="BCD4C98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99D56FC"/>
    <w:multiLevelType w:val="hybridMultilevel"/>
    <w:tmpl w:val="8318D8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9"/>
  </w:num>
  <w:num w:numId="15">
    <w:abstractNumId w:val="10"/>
  </w:num>
  <w:num w:numId="16">
    <w:abstractNumId w:val="11"/>
  </w:num>
  <w:num w:numId="17">
    <w:abstractNumId w:val="4"/>
  </w:num>
  <w:num w:numId="18">
    <w:abstractNumId w:val="5"/>
  </w:num>
  <w:num w:numId="19">
    <w:abstractNumId w:val="0"/>
  </w:num>
  <w:num w:numId="20">
    <w:abstractNumId w:val="0"/>
  </w:num>
  <w:num w:numId="21">
    <w:abstractNumId w:val="0"/>
  </w:num>
  <w:num w:numId="22">
    <w:abstractNumId w:val="2"/>
  </w:num>
  <w:num w:numId="23">
    <w:abstractNumId w:val="7"/>
  </w:num>
  <w:num w:numId="24">
    <w:abstractNumId w:val="14"/>
  </w:num>
  <w:num w:numId="25">
    <w:abstractNumId w:val="8"/>
  </w:num>
  <w:num w:numId="26">
    <w:abstractNumId w:val="12"/>
  </w:num>
  <w:num w:numId="27">
    <w:abstractNumId w:val="13"/>
  </w:num>
  <w:num w:numId="28">
    <w:abstractNumId w:val="17"/>
  </w:num>
  <w:num w:numId="29">
    <w:abstractNumId w:val="16"/>
  </w:num>
  <w:num w:numId="30">
    <w:abstractNumId w:val="6"/>
  </w:num>
  <w:num w:numId="31">
    <w:abstractNumId w:val="15"/>
  </w:num>
  <w:num w:numId="32">
    <w:abstractNumId w:val="19"/>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67"/>
    <w:rsid w:val="00010BD8"/>
    <w:rsid w:val="0001395F"/>
    <w:rsid w:val="00030475"/>
    <w:rsid w:val="00044B81"/>
    <w:rsid w:val="00045C84"/>
    <w:rsid w:val="00065DA4"/>
    <w:rsid w:val="00075EAB"/>
    <w:rsid w:val="000976EF"/>
    <w:rsid w:val="000A1D7A"/>
    <w:rsid w:val="000B0C5D"/>
    <w:rsid w:val="000E3CEC"/>
    <w:rsid w:val="00115C2D"/>
    <w:rsid w:val="001318EE"/>
    <w:rsid w:val="00154A4E"/>
    <w:rsid w:val="001604C5"/>
    <w:rsid w:val="001E55CD"/>
    <w:rsid w:val="001F2642"/>
    <w:rsid w:val="00296CF0"/>
    <w:rsid w:val="00297DDB"/>
    <w:rsid w:val="002C7A2E"/>
    <w:rsid w:val="002E2B34"/>
    <w:rsid w:val="002E56BB"/>
    <w:rsid w:val="003258B7"/>
    <w:rsid w:val="0036449F"/>
    <w:rsid w:val="0037106F"/>
    <w:rsid w:val="00373952"/>
    <w:rsid w:val="00387D17"/>
    <w:rsid w:val="003967E5"/>
    <w:rsid w:val="003A0577"/>
    <w:rsid w:val="003C5E18"/>
    <w:rsid w:val="003D51C1"/>
    <w:rsid w:val="003F1056"/>
    <w:rsid w:val="00405BD0"/>
    <w:rsid w:val="00443A4F"/>
    <w:rsid w:val="004516E2"/>
    <w:rsid w:val="00457822"/>
    <w:rsid w:val="00472944"/>
    <w:rsid w:val="00491E41"/>
    <w:rsid w:val="004A1E17"/>
    <w:rsid w:val="004A2804"/>
    <w:rsid w:val="004A7D9C"/>
    <w:rsid w:val="005013E1"/>
    <w:rsid w:val="00570EEA"/>
    <w:rsid w:val="00587331"/>
    <w:rsid w:val="006140AB"/>
    <w:rsid w:val="006356F8"/>
    <w:rsid w:val="006A16AD"/>
    <w:rsid w:val="006B0C45"/>
    <w:rsid w:val="007143C3"/>
    <w:rsid w:val="00727B19"/>
    <w:rsid w:val="00730439"/>
    <w:rsid w:val="00751B30"/>
    <w:rsid w:val="00753267"/>
    <w:rsid w:val="00755240"/>
    <w:rsid w:val="00763A9D"/>
    <w:rsid w:val="007945D2"/>
    <w:rsid w:val="0080010C"/>
    <w:rsid w:val="0080412B"/>
    <w:rsid w:val="00817198"/>
    <w:rsid w:val="0086226D"/>
    <w:rsid w:val="008858E2"/>
    <w:rsid w:val="00886212"/>
    <w:rsid w:val="008B666C"/>
    <w:rsid w:val="008B7188"/>
    <w:rsid w:val="00976D44"/>
    <w:rsid w:val="00985031"/>
    <w:rsid w:val="009B63E7"/>
    <w:rsid w:val="009D4BE2"/>
    <w:rsid w:val="009E1CA6"/>
    <w:rsid w:val="00A02CBF"/>
    <w:rsid w:val="00A433D0"/>
    <w:rsid w:val="00A609CF"/>
    <w:rsid w:val="00A61852"/>
    <w:rsid w:val="00A80647"/>
    <w:rsid w:val="00AA0D8D"/>
    <w:rsid w:val="00AA3DB9"/>
    <w:rsid w:val="00AB4DED"/>
    <w:rsid w:val="00AB597E"/>
    <w:rsid w:val="00AC0F7F"/>
    <w:rsid w:val="00AC2F0D"/>
    <w:rsid w:val="00AF4CE7"/>
    <w:rsid w:val="00AF4FD5"/>
    <w:rsid w:val="00B54896"/>
    <w:rsid w:val="00B739CD"/>
    <w:rsid w:val="00B762B7"/>
    <w:rsid w:val="00BD12D7"/>
    <w:rsid w:val="00BE5BF1"/>
    <w:rsid w:val="00BF7325"/>
    <w:rsid w:val="00C7139F"/>
    <w:rsid w:val="00CA521C"/>
    <w:rsid w:val="00D14636"/>
    <w:rsid w:val="00D173AC"/>
    <w:rsid w:val="00D636D8"/>
    <w:rsid w:val="00D76307"/>
    <w:rsid w:val="00DD3E91"/>
    <w:rsid w:val="00DE54A6"/>
    <w:rsid w:val="00DF5AAC"/>
    <w:rsid w:val="00E21CEF"/>
    <w:rsid w:val="00E23732"/>
    <w:rsid w:val="00E262FB"/>
    <w:rsid w:val="00E51988"/>
    <w:rsid w:val="00E730A2"/>
    <w:rsid w:val="00E81B5F"/>
    <w:rsid w:val="00E875AB"/>
    <w:rsid w:val="00EB0332"/>
    <w:rsid w:val="00F14BCE"/>
    <w:rsid w:val="00F55CC6"/>
    <w:rsid w:val="00FC312C"/>
    <w:rsid w:val="00FD1DD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75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67"/>
    <w:rPr>
      <w:rFonts w:ascii="Segoe UI" w:hAnsi="Segoe UI" w:cs="Segoe UI"/>
      <w:sz w:val="18"/>
      <w:szCs w:val="18"/>
    </w:rPr>
  </w:style>
  <w:style w:type="paragraph" w:customStyle="1" w:styleId="CAText2">
    <w:name w:val="CA Text 2"/>
    <w:basedOn w:val="Normal"/>
    <w:link w:val="CAText2Char"/>
    <w:qFormat/>
    <w:rsid w:val="00753267"/>
    <w:pPr>
      <w:spacing w:after="120" w:line="276" w:lineRule="auto"/>
      <w:ind w:left="742"/>
    </w:pPr>
    <w:rPr>
      <w:rFonts w:ascii="Calibri" w:eastAsia="Times New Roman" w:hAnsi="Calibri" w:cs="Arial"/>
      <w:lang w:eastAsia="en-US"/>
    </w:rPr>
  </w:style>
  <w:style w:type="character" w:customStyle="1" w:styleId="CAText2Char">
    <w:name w:val="CA Text 2 Char"/>
    <w:basedOn w:val="DefaultParagraphFont"/>
    <w:link w:val="CAText2"/>
    <w:locked/>
    <w:rsid w:val="00753267"/>
    <w:rPr>
      <w:rFonts w:ascii="Calibri" w:eastAsia="Times New Roman" w:hAnsi="Calibri" w:cs="Arial"/>
      <w:lang w:eastAsia="en-US"/>
    </w:rPr>
  </w:style>
  <w:style w:type="paragraph" w:customStyle="1" w:styleId="CABullet2">
    <w:name w:val="CA Bullet 2"/>
    <w:basedOn w:val="Normal"/>
    <w:link w:val="CABullet2Char"/>
    <w:qFormat/>
    <w:rsid w:val="00753267"/>
    <w:pPr>
      <w:numPr>
        <w:numId w:val="13"/>
      </w:numPr>
      <w:spacing w:after="120" w:line="276" w:lineRule="auto"/>
      <w:ind w:left="1111"/>
    </w:pPr>
    <w:rPr>
      <w:rFonts w:eastAsia="Times New Roman" w:cs="Arial"/>
      <w:lang w:eastAsia="en-US"/>
    </w:rPr>
  </w:style>
  <w:style w:type="character" w:customStyle="1" w:styleId="CABullet2Char">
    <w:name w:val="CA Bullet 2 Char"/>
    <w:basedOn w:val="DefaultParagraphFont"/>
    <w:link w:val="CABullet2"/>
    <w:locked/>
    <w:rsid w:val="00753267"/>
    <w:rPr>
      <w:rFonts w:eastAsia="Times New Roman" w:cs="Arial"/>
      <w:lang w:eastAsia="en-US"/>
    </w:rPr>
  </w:style>
  <w:style w:type="paragraph" w:styleId="EndnoteText">
    <w:name w:val="endnote text"/>
    <w:basedOn w:val="Normal"/>
    <w:link w:val="EndnoteTextChar"/>
    <w:uiPriority w:val="99"/>
    <w:semiHidden/>
    <w:unhideWhenUsed/>
    <w:rsid w:val="006B0C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0C45"/>
    <w:rPr>
      <w:sz w:val="20"/>
      <w:szCs w:val="20"/>
    </w:rPr>
  </w:style>
  <w:style w:type="character" w:styleId="EndnoteReference">
    <w:name w:val="endnote reference"/>
    <w:basedOn w:val="DefaultParagraphFont"/>
    <w:uiPriority w:val="99"/>
    <w:semiHidden/>
    <w:unhideWhenUsed/>
    <w:rsid w:val="006B0C45"/>
    <w:rPr>
      <w:vertAlign w:val="superscript"/>
    </w:rPr>
  </w:style>
  <w:style w:type="character" w:styleId="Hyperlink">
    <w:name w:val="Hyperlink"/>
    <w:basedOn w:val="DefaultParagraphFont"/>
    <w:uiPriority w:val="99"/>
    <w:unhideWhenUsed/>
    <w:rsid w:val="00817198"/>
    <w:rPr>
      <w:color w:val="0563C1"/>
      <w:u w:val="single"/>
    </w:rPr>
  </w:style>
  <w:style w:type="character" w:styleId="FollowedHyperlink">
    <w:name w:val="FollowedHyperlink"/>
    <w:basedOn w:val="DefaultParagraphFont"/>
    <w:uiPriority w:val="99"/>
    <w:semiHidden/>
    <w:unhideWhenUsed/>
    <w:rsid w:val="0080412B"/>
    <w:rPr>
      <w:color w:val="B26B02" w:themeColor="followedHyperlink"/>
      <w:u w:val="single"/>
    </w:rPr>
  </w:style>
  <w:style w:type="table" w:styleId="TableGrid">
    <w:name w:val="Table Grid"/>
    <w:basedOn w:val="TableNormal"/>
    <w:uiPriority w:val="59"/>
    <w:rsid w:val="009E1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0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10C"/>
  </w:style>
  <w:style w:type="paragraph" w:styleId="Footer">
    <w:name w:val="footer"/>
    <w:basedOn w:val="Normal"/>
    <w:link w:val="FooterChar"/>
    <w:uiPriority w:val="99"/>
    <w:unhideWhenUsed/>
    <w:rsid w:val="00800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10C"/>
  </w:style>
  <w:style w:type="paragraph" w:customStyle="1" w:styleId="Default">
    <w:name w:val="Default"/>
    <w:rsid w:val="00A61852"/>
    <w:pPr>
      <w:autoSpaceDE w:val="0"/>
      <w:autoSpaceDN w:val="0"/>
      <w:adjustRightInd w:val="0"/>
      <w:spacing w:after="0" w:line="240" w:lineRule="auto"/>
    </w:pPr>
    <w:rPr>
      <w:rFonts w:ascii="Arial" w:hAnsi="Arial" w:cs="Arial"/>
      <w:color w:val="000000"/>
      <w:sz w:val="24"/>
      <w:szCs w:val="24"/>
      <w:lang w:val="en-AU"/>
    </w:rPr>
  </w:style>
  <w:style w:type="paragraph" w:styleId="Revision">
    <w:name w:val="Revision"/>
    <w:hidden/>
    <w:uiPriority w:val="99"/>
    <w:semiHidden/>
    <w:rsid w:val="00F55CC6"/>
    <w:pPr>
      <w:spacing w:after="0" w:line="240" w:lineRule="auto"/>
    </w:pPr>
  </w:style>
  <w:style w:type="paragraph" w:customStyle="1" w:styleId="Bulletform">
    <w:name w:val="Bullet form"/>
    <w:basedOn w:val="Normal"/>
    <w:rsid w:val="001318EE"/>
    <w:pPr>
      <w:numPr>
        <w:numId w:val="34"/>
      </w:numPr>
      <w:spacing w:before="120" w:after="0" w:line="240" w:lineRule="auto"/>
      <w:ind w:left="714" w:hanging="357"/>
      <w:jc w:val="both"/>
    </w:pPr>
    <w:rPr>
      <w:rFonts w:ascii="GoudyOlSt BT" w:eastAsia="Times New Roman" w:hAnsi="GoudyOlSt BT" w:cs="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75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67"/>
    <w:rPr>
      <w:rFonts w:ascii="Segoe UI" w:hAnsi="Segoe UI" w:cs="Segoe UI"/>
      <w:sz w:val="18"/>
      <w:szCs w:val="18"/>
    </w:rPr>
  </w:style>
  <w:style w:type="paragraph" w:customStyle="1" w:styleId="CAText2">
    <w:name w:val="CA Text 2"/>
    <w:basedOn w:val="Normal"/>
    <w:link w:val="CAText2Char"/>
    <w:qFormat/>
    <w:rsid w:val="00753267"/>
    <w:pPr>
      <w:spacing w:after="120" w:line="276" w:lineRule="auto"/>
      <w:ind w:left="742"/>
    </w:pPr>
    <w:rPr>
      <w:rFonts w:ascii="Calibri" w:eastAsia="Times New Roman" w:hAnsi="Calibri" w:cs="Arial"/>
      <w:lang w:eastAsia="en-US"/>
    </w:rPr>
  </w:style>
  <w:style w:type="character" w:customStyle="1" w:styleId="CAText2Char">
    <w:name w:val="CA Text 2 Char"/>
    <w:basedOn w:val="DefaultParagraphFont"/>
    <w:link w:val="CAText2"/>
    <w:locked/>
    <w:rsid w:val="00753267"/>
    <w:rPr>
      <w:rFonts w:ascii="Calibri" w:eastAsia="Times New Roman" w:hAnsi="Calibri" w:cs="Arial"/>
      <w:lang w:eastAsia="en-US"/>
    </w:rPr>
  </w:style>
  <w:style w:type="paragraph" w:customStyle="1" w:styleId="CABullet2">
    <w:name w:val="CA Bullet 2"/>
    <w:basedOn w:val="Normal"/>
    <w:link w:val="CABullet2Char"/>
    <w:qFormat/>
    <w:rsid w:val="00753267"/>
    <w:pPr>
      <w:numPr>
        <w:numId w:val="13"/>
      </w:numPr>
      <w:spacing w:after="120" w:line="276" w:lineRule="auto"/>
      <w:ind w:left="1111"/>
    </w:pPr>
    <w:rPr>
      <w:rFonts w:eastAsia="Times New Roman" w:cs="Arial"/>
      <w:lang w:eastAsia="en-US"/>
    </w:rPr>
  </w:style>
  <w:style w:type="character" w:customStyle="1" w:styleId="CABullet2Char">
    <w:name w:val="CA Bullet 2 Char"/>
    <w:basedOn w:val="DefaultParagraphFont"/>
    <w:link w:val="CABullet2"/>
    <w:locked/>
    <w:rsid w:val="00753267"/>
    <w:rPr>
      <w:rFonts w:eastAsia="Times New Roman" w:cs="Arial"/>
      <w:lang w:eastAsia="en-US"/>
    </w:rPr>
  </w:style>
  <w:style w:type="paragraph" w:styleId="EndnoteText">
    <w:name w:val="endnote text"/>
    <w:basedOn w:val="Normal"/>
    <w:link w:val="EndnoteTextChar"/>
    <w:uiPriority w:val="99"/>
    <w:semiHidden/>
    <w:unhideWhenUsed/>
    <w:rsid w:val="006B0C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0C45"/>
    <w:rPr>
      <w:sz w:val="20"/>
      <w:szCs w:val="20"/>
    </w:rPr>
  </w:style>
  <w:style w:type="character" w:styleId="EndnoteReference">
    <w:name w:val="endnote reference"/>
    <w:basedOn w:val="DefaultParagraphFont"/>
    <w:uiPriority w:val="99"/>
    <w:semiHidden/>
    <w:unhideWhenUsed/>
    <w:rsid w:val="006B0C45"/>
    <w:rPr>
      <w:vertAlign w:val="superscript"/>
    </w:rPr>
  </w:style>
  <w:style w:type="character" w:styleId="Hyperlink">
    <w:name w:val="Hyperlink"/>
    <w:basedOn w:val="DefaultParagraphFont"/>
    <w:uiPriority w:val="99"/>
    <w:unhideWhenUsed/>
    <w:rsid w:val="00817198"/>
    <w:rPr>
      <w:color w:val="0563C1"/>
      <w:u w:val="single"/>
    </w:rPr>
  </w:style>
  <w:style w:type="character" w:styleId="FollowedHyperlink">
    <w:name w:val="FollowedHyperlink"/>
    <w:basedOn w:val="DefaultParagraphFont"/>
    <w:uiPriority w:val="99"/>
    <w:semiHidden/>
    <w:unhideWhenUsed/>
    <w:rsid w:val="0080412B"/>
    <w:rPr>
      <w:color w:val="B26B02" w:themeColor="followedHyperlink"/>
      <w:u w:val="single"/>
    </w:rPr>
  </w:style>
  <w:style w:type="table" w:styleId="TableGrid">
    <w:name w:val="Table Grid"/>
    <w:basedOn w:val="TableNormal"/>
    <w:uiPriority w:val="59"/>
    <w:rsid w:val="009E1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0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10C"/>
  </w:style>
  <w:style w:type="paragraph" w:styleId="Footer">
    <w:name w:val="footer"/>
    <w:basedOn w:val="Normal"/>
    <w:link w:val="FooterChar"/>
    <w:uiPriority w:val="99"/>
    <w:unhideWhenUsed/>
    <w:rsid w:val="00800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10C"/>
  </w:style>
  <w:style w:type="paragraph" w:customStyle="1" w:styleId="Default">
    <w:name w:val="Default"/>
    <w:rsid w:val="00A61852"/>
    <w:pPr>
      <w:autoSpaceDE w:val="0"/>
      <w:autoSpaceDN w:val="0"/>
      <w:adjustRightInd w:val="0"/>
      <w:spacing w:after="0" w:line="240" w:lineRule="auto"/>
    </w:pPr>
    <w:rPr>
      <w:rFonts w:ascii="Arial" w:hAnsi="Arial" w:cs="Arial"/>
      <w:color w:val="000000"/>
      <w:sz w:val="24"/>
      <w:szCs w:val="24"/>
      <w:lang w:val="en-AU"/>
    </w:rPr>
  </w:style>
  <w:style w:type="paragraph" w:styleId="Revision">
    <w:name w:val="Revision"/>
    <w:hidden/>
    <w:uiPriority w:val="99"/>
    <w:semiHidden/>
    <w:rsid w:val="00F55CC6"/>
    <w:pPr>
      <w:spacing w:after="0" w:line="240" w:lineRule="auto"/>
    </w:pPr>
  </w:style>
  <w:style w:type="paragraph" w:customStyle="1" w:styleId="Bulletform">
    <w:name w:val="Bullet form"/>
    <w:basedOn w:val="Normal"/>
    <w:rsid w:val="001318EE"/>
    <w:pPr>
      <w:numPr>
        <w:numId w:val="34"/>
      </w:numPr>
      <w:spacing w:before="120" w:after="0" w:line="240" w:lineRule="auto"/>
      <w:ind w:left="714" w:hanging="357"/>
      <w:jc w:val="both"/>
    </w:pPr>
    <w:rPr>
      <w:rFonts w:ascii="GoudyOlSt BT" w:eastAsia="Times New Roman" w:hAnsi="GoudyOlSt BT"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9691">
      <w:bodyDiv w:val="1"/>
      <w:marLeft w:val="0"/>
      <w:marRight w:val="0"/>
      <w:marTop w:val="0"/>
      <w:marBottom w:val="0"/>
      <w:divBdr>
        <w:top w:val="none" w:sz="0" w:space="0" w:color="auto"/>
        <w:left w:val="none" w:sz="0" w:space="0" w:color="auto"/>
        <w:bottom w:val="none" w:sz="0" w:space="0" w:color="auto"/>
        <w:right w:val="none" w:sz="0" w:space="0" w:color="auto"/>
      </w:divBdr>
    </w:div>
    <w:div w:id="398140259">
      <w:bodyDiv w:val="1"/>
      <w:marLeft w:val="0"/>
      <w:marRight w:val="0"/>
      <w:marTop w:val="0"/>
      <w:marBottom w:val="0"/>
      <w:divBdr>
        <w:top w:val="none" w:sz="0" w:space="0" w:color="auto"/>
        <w:left w:val="none" w:sz="0" w:space="0" w:color="auto"/>
        <w:bottom w:val="none" w:sz="0" w:space="0" w:color="auto"/>
        <w:right w:val="none" w:sz="0" w:space="0" w:color="auto"/>
      </w:divBdr>
    </w:div>
    <w:div w:id="772045198">
      <w:bodyDiv w:val="1"/>
      <w:marLeft w:val="0"/>
      <w:marRight w:val="0"/>
      <w:marTop w:val="0"/>
      <w:marBottom w:val="0"/>
      <w:divBdr>
        <w:top w:val="none" w:sz="0" w:space="0" w:color="auto"/>
        <w:left w:val="none" w:sz="0" w:space="0" w:color="auto"/>
        <w:bottom w:val="none" w:sz="0" w:space="0" w:color="auto"/>
        <w:right w:val="none" w:sz="0" w:space="0" w:color="auto"/>
      </w:divBdr>
    </w:div>
    <w:div w:id="1362173223">
      <w:bodyDiv w:val="1"/>
      <w:marLeft w:val="0"/>
      <w:marRight w:val="0"/>
      <w:marTop w:val="0"/>
      <w:marBottom w:val="0"/>
      <w:divBdr>
        <w:top w:val="none" w:sz="0" w:space="0" w:color="auto"/>
        <w:left w:val="none" w:sz="0" w:space="0" w:color="auto"/>
        <w:bottom w:val="none" w:sz="0" w:space="0" w:color="auto"/>
        <w:right w:val="none" w:sz="0" w:space="0" w:color="auto"/>
      </w:divBdr>
    </w:div>
    <w:div w:id="143034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oogle.com/url?sa=t&amp;rct=j&amp;q=%E2%80%A2%09burchinal%2C%20m.%2C%20cryer%2C%20d.%2C%20clifford%2C%20r.%20m.%2C%20%26%20howes%2C%20c.%20(2002).%20caregiver%20training%20and%20classroom%20quality%20in%20child%20care%20centers.%20applied%20developmental%20science%2C%206(1)%2C%202-11.&amp;source=web&amp;cd=1&amp;ved=0CBwQFjAA&amp;url=http%3A%2F%2Fwww.community.nsw.gov.au%2Fdocswr%2F_assets%2Fmain%2Fdocuments%2Fresearch_qualitychildcare.pdf&amp;ei=qHn1U6i0HNSiugSil4K4Aw&amp;usg=AFQjCNHwSZAg8UCJHeaiZ6h5qOF6y53WYw&amp;bvm=bv.73231344,d.dG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childcare-qualifications-overhaul"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www.google.com/url?sa=t&amp;rct=j&amp;q=first%20duty%20charles%20pascal%20outcomes%20for%20children&amp;source=web&amp;cd=1&amp;ved=0CBwQFjAA&amp;url=http%3A%2F%2Fywcacanada.ca%2Fdata%2Fresearch_docs%2F00000001.pdf&amp;ei=h3f1U6GeE8eLOfjdgdgB&amp;usg=AFQjCNGM4HD7QFfYj-86EqyRDFlVVzZKjg&amp;bvm=bv.73231344,d.bGQ"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eenb\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C5E409BC3145509929AC1E68367608"/>
        <w:category>
          <w:name w:val="General"/>
          <w:gallery w:val="placeholder"/>
        </w:category>
        <w:types>
          <w:type w:val="bbPlcHdr"/>
        </w:types>
        <w:behaviors>
          <w:behavior w:val="content"/>
        </w:behaviors>
        <w:guid w:val="{4C795869-6F3E-4D11-9A5E-5A12064A6A74}"/>
      </w:docPartPr>
      <w:docPartBody>
        <w:p w:rsidR="00D73080" w:rsidRDefault="00C96F41" w:rsidP="00C96F41">
          <w:pPr>
            <w:pStyle w:val="12C5E409BC3145509929AC1E6836760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PlusBold-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41"/>
    <w:rsid w:val="00BF734E"/>
    <w:rsid w:val="00C96F41"/>
    <w:rsid w:val="00D73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C5E409BC3145509929AC1E68367608">
    <w:name w:val="12C5E409BC3145509929AC1E68367608"/>
    <w:rsid w:val="00C96F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C5E409BC3145509929AC1E68367608">
    <w:name w:val="12C5E409BC3145509929AC1E68367608"/>
    <w:rsid w:val="00C96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044BBFF3-8B0E-4E35-A16C-262B6AF0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27</TotalTime>
  <Pages>13</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Submission DR806 - Child Australia - Childcare and Early Childhood Learning - Public inquiry</vt:lpstr>
    </vt:vector>
  </TitlesOfParts>
  <Company/>
  <LinksUpToDate>false</LinksUpToDate>
  <CharactersWithSpaces>22211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DR806 - Child Australia - Childcare and Early Childhood Learning - Public inquiry</dc:title>
  <dc:creator>Child Australia</dc:creator>
  <cp:lastModifiedBy>Mark Pimperl</cp:lastModifiedBy>
  <cp:revision>6</cp:revision>
  <cp:lastPrinted>2014-08-21T00:56:00Z</cp:lastPrinted>
  <dcterms:created xsi:type="dcterms:W3CDTF">2014-09-05T04:52:00Z</dcterms:created>
  <dcterms:modified xsi:type="dcterms:W3CDTF">2014-09-12T04:49:00Z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