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B9" w:rsidRDefault="00026BB9" w:rsidP="00026BB9">
      <w:pPr>
        <w:jc w:val="center"/>
        <w:rPr>
          <w:b/>
        </w:rPr>
      </w:pPr>
    </w:p>
    <w:p w:rsidR="006039C1" w:rsidRDefault="006039C1"/>
    <w:p w:rsidR="002B7CB2" w:rsidRPr="00AC03BC" w:rsidRDefault="002B7CB2" w:rsidP="002B7CB2">
      <w:pPr>
        <w:rPr>
          <w:rStyle w:val="A0"/>
          <w:b/>
          <w:color w:val="F79646" w:themeColor="accent6"/>
          <w:sz w:val="36"/>
          <w:szCs w:val="36"/>
        </w:rPr>
      </w:pPr>
      <w:r w:rsidRPr="00AC03BC">
        <w:rPr>
          <w:rStyle w:val="A0"/>
          <w:b/>
          <w:color w:val="F79646" w:themeColor="accent6"/>
          <w:sz w:val="36"/>
          <w:szCs w:val="36"/>
        </w:rPr>
        <w:t>SDN Children’s Services</w:t>
      </w:r>
    </w:p>
    <w:p w:rsidR="002B7CB2" w:rsidRDefault="002B7CB2" w:rsidP="002B7CB2">
      <w:pPr>
        <w:rPr>
          <w:rStyle w:val="A0"/>
          <w:b/>
          <w:color w:val="F79646" w:themeColor="accent6"/>
          <w:sz w:val="36"/>
          <w:szCs w:val="36"/>
        </w:rPr>
      </w:pPr>
      <w:r w:rsidRPr="00AC03BC">
        <w:rPr>
          <w:rStyle w:val="A0"/>
          <w:b/>
          <w:color w:val="F79646" w:themeColor="accent6"/>
          <w:sz w:val="36"/>
          <w:szCs w:val="36"/>
        </w:rPr>
        <w:t>Respons</w:t>
      </w:r>
      <w:r>
        <w:rPr>
          <w:rStyle w:val="A0"/>
          <w:b/>
          <w:color w:val="F79646" w:themeColor="accent6"/>
          <w:sz w:val="36"/>
          <w:szCs w:val="36"/>
        </w:rPr>
        <w:t>e to the Draft Report of the Productivity Commission Inquiry into Childcare and Early Childhood Learning 2014</w:t>
      </w:r>
    </w:p>
    <w:p w:rsidR="002B7CB2" w:rsidRDefault="002B7CB2"/>
    <w:p w:rsidR="00026BB9" w:rsidRDefault="00026BB9">
      <w:pPr>
        <w:rPr>
          <w:b/>
        </w:rPr>
      </w:pPr>
    </w:p>
    <w:p w:rsidR="006039C1" w:rsidRPr="00BD1747" w:rsidRDefault="006039C1" w:rsidP="00B5517D">
      <w:pPr>
        <w:spacing w:line="276" w:lineRule="auto"/>
        <w:rPr>
          <w:b/>
          <w:color w:val="F79646" w:themeColor="accent6"/>
          <w:sz w:val="24"/>
        </w:rPr>
      </w:pPr>
      <w:r w:rsidRPr="00BD1747">
        <w:rPr>
          <w:b/>
          <w:color w:val="F79646" w:themeColor="accent6"/>
          <w:sz w:val="24"/>
        </w:rPr>
        <w:t>Introduction</w:t>
      </w:r>
    </w:p>
    <w:p w:rsidR="00BD1747" w:rsidRDefault="00BD1747" w:rsidP="00B5517D">
      <w:pPr>
        <w:spacing w:line="276" w:lineRule="auto"/>
      </w:pPr>
    </w:p>
    <w:p w:rsidR="00BD1747" w:rsidRDefault="003332C5" w:rsidP="00B5517D">
      <w:pPr>
        <w:spacing w:line="276" w:lineRule="auto"/>
      </w:pPr>
      <w:r>
        <w:t xml:space="preserve">SDN Children’s Services currently provides high quality early childhood education and care (ECEC) services to 2,000 </w:t>
      </w:r>
      <w:r w:rsidR="00BD1747">
        <w:t xml:space="preserve">children per </w:t>
      </w:r>
      <w:r>
        <w:t xml:space="preserve">day and about 3,000 </w:t>
      </w:r>
      <w:r w:rsidR="002D335B">
        <w:t xml:space="preserve">children </w:t>
      </w:r>
      <w:r>
        <w:t>across any one year. We operate an integrated services model of service delivery that incorporates a range of family strengthening supports, case management, and therapeutic services for children with disabilities. In all</w:t>
      </w:r>
      <w:r w:rsidR="002D335B">
        <w:t>,</w:t>
      </w:r>
      <w:r>
        <w:t xml:space="preserve"> </w:t>
      </w:r>
      <w:r w:rsidR="00BD1747">
        <w:t>around 11</w:t>
      </w:r>
      <w:r>
        <w:t>,000 children, families and other service providers benefit from SDN’s wo</w:t>
      </w:r>
      <w:r w:rsidR="00BD1747">
        <w:t>r</w:t>
      </w:r>
      <w:r>
        <w:t>k each year.</w:t>
      </w:r>
    </w:p>
    <w:p w:rsidR="00BD1747" w:rsidRDefault="00BD1747" w:rsidP="00B5517D">
      <w:pPr>
        <w:spacing w:line="276" w:lineRule="auto"/>
      </w:pPr>
    </w:p>
    <w:p w:rsidR="006039C1" w:rsidRDefault="003332C5" w:rsidP="00B5517D">
      <w:pPr>
        <w:spacing w:line="276" w:lineRule="auto"/>
      </w:pPr>
      <w:r>
        <w:t xml:space="preserve">As an organisation committed to social and educational inclusion, we support the </w:t>
      </w:r>
      <w:r w:rsidR="006039C1">
        <w:t>Productivity Commission</w:t>
      </w:r>
      <w:r>
        <w:t xml:space="preserve">’s view that there is a role </w:t>
      </w:r>
      <w:r w:rsidR="006039C1">
        <w:t xml:space="preserve">for government to </w:t>
      </w:r>
      <w:r w:rsidR="002D335B">
        <w:t xml:space="preserve">play in </w:t>
      </w:r>
      <w:r w:rsidR="006039C1">
        <w:t>support</w:t>
      </w:r>
      <w:r w:rsidR="002D335B">
        <w:t xml:space="preserve">ing </w:t>
      </w:r>
      <w:r w:rsidR="006039C1">
        <w:t>ECEC because of the role ECEC plays in:</w:t>
      </w:r>
    </w:p>
    <w:p w:rsidR="006039C1" w:rsidRDefault="006039C1" w:rsidP="00B5517D">
      <w:pPr>
        <w:pStyle w:val="ListParagraph"/>
        <w:numPr>
          <w:ilvl w:val="0"/>
          <w:numId w:val="1"/>
        </w:numPr>
        <w:spacing w:line="276" w:lineRule="auto"/>
      </w:pPr>
      <w:r>
        <w:t>Supporting families</w:t>
      </w:r>
      <w:r w:rsidR="0060470D">
        <w:t>’</w:t>
      </w:r>
      <w:r>
        <w:t xml:space="preserve"> access to </w:t>
      </w:r>
      <w:r w:rsidR="0060470D">
        <w:t xml:space="preserve">the </w:t>
      </w:r>
      <w:r>
        <w:t>workforce</w:t>
      </w:r>
    </w:p>
    <w:p w:rsidR="006039C1" w:rsidRDefault="006039C1" w:rsidP="00B5517D">
      <w:pPr>
        <w:pStyle w:val="ListParagraph"/>
        <w:numPr>
          <w:ilvl w:val="0"/>
          <w:numId w:val="1"/>
        </w:numPr>
        <w:spacing w:line="276" w:lineRule="auto"/>
      </w:pPr>
      <w:r>
        <w:t>Helping children with developmental delays start school better prepared</w:t>
      </w:r>
    </w:p>
    <w:p w:rsidR="0060470D" w:rsidRDefault="006039C1" w:rsidP="00B5517D">
      <w:pPr>
        <w:pStyle w:val="ListParagraph"/>
        <w:numPr>
          <w:ilvl w:val="0"/>
          <w:numId w:val="1"/>
        </w:numPr>
        <w:spacing w:line="276" w:lineRule="auto"/>
      </w:pPr>
      <w:r>
        <w:t>Addressing inequalities in opportunity for children</w:t>
      </w:r>
      <w:r w:rsidR="0060470D">
        <w:t>:</w:t>
      </w:r>
      <w:r>
        <w:t xml:space="preserve"> </w:t>
      </w:r>
    </w:p>
    <w:p w:rsidR="006039C1" w:rsidRDefault="006039C1" w:rsidP="0060470D">
      <w:pPr>
        <w:pStyle w:val="ListParagraph"/>
        <w:numPr>
          <w:ilvl w:val="1"/>
          <w:numId w:val="3"/>
        </w:numPr>
        <w:spacing w:line="276" w:lineRule="auto"/>
      </w:pPr>
      <w:r>
        <w:t>with disabilities</w:t>
      </w:r>
    </w:p>
    <w:p w:rsidR="006039C1" w:rsidRDefault="006039C1" w:rsidP="00B5517D">
      <w:pPr>
        <w:pStyle w:val="ListParagraph"/>
        <w:numPr>
          <w:ilvl w:val="1"/>
          <w:numId w:val="3"/>
        </w:numPr>
        <w:spacing w:line="276" w:lineRule="auto"/>
      </w:pPr>
      <w:r>
        <w:t>in challenging circumstances</w:t>
      </w:r>
    </w:p>
    <w:p w:rsidR="006039C1" w:rsidRDefault="006039C1" w:rsidP="00B5517D">
      <w:pPr>
        <w:pStyle w:val="ListParagraph"/>
        <w:numPr>
          <w:ilvl w:val="1"/>
          <w:numId w:val="3"/>
        </w:numPr>
        <w:spacing w:line="276" w:lineRule="auto"/>
      </w:pPr>
      <w:proofErr w:type="gramStart"/>
      <w:r>
        <w:t>living</w:t>
      </w:r>
      <w:proofErr w:type="gramEnd"/>
      <w:r>
        <w:t xml:space="preserve"> in rural and remote areas</w:t>
      </w:r>
      <w:r w:rsidR="0060470D">
        <w:t>.</w:t>
      </w:r>
    </w:p>
    <w:p w:rsidR="003332C5" w:rsidRDefault="003332C5" w:rsidP="00B5517D">
      <w:pPr>
        <w:spacing w:line="276" w:lineRule="auto"/>
      </w:pPr>
    </w:p>
    <w:p w:rsidR="006039C1" w:rsidRDefault="003332C5" w:rsidP="00B5517D">
      <w:pPr>
        <w:spacing w:line="276" w:lineRule="auto"/>
      </w:pPr>
      <w:r>
        <w:t xml:space="preserve">The social and public good that high quality ECEC provides cannot be ignored in any re-setting of public policy levers.  </w:t>
      </w:r>
    </w:p>
    <w:p w:rsidR="00026BB9" w:rsidRDefault="00026BB9" w:rsidP="00B5517D">
      <w:pPr>
        <w:spacing w:line="276" w:lineRule="auto"/>
      </w:pPr>
    </w:p>
    <w:p w:rsidR="006039C1" w:rsidRPr="00BD1747" w:rsidRDefault="003332C5" w:rsidP="003332C5">
      <w:pPr>
        <w:spacing w:line="276" w:lineRule="auto"/>
        <w:rPr>
          <w:b/>
          <w:color w:val="F79646" w:themeColor="accent6"/>
          <w:sz w:val="24"/>
        </w:rPr>
      </w:pPr>
      <w:r w:rsidRPr="00BD1747">
        <w:rPr>
          <w:b/>
          <w:color w:val="F79646" w:themeColor="accent6"/>
          <w:sz w:val="24"/>
        </w:rPr>
        <w:t>The main r</w:t>
      </w:r>
      <w:r w:rsidR="006039C1" w:rsidRPr="00BD1747">
        <w:rPr>
          <w:b/>
          <w:color w:val="F79646" w:themeColor="accent6"/>
          <w:sz w:val="24"/>
        </w:rPr>
        <w:t>ecommendations</w:t>
      </w:r>
      <w:r w:rsidRPr="00BD1747">
        <w:rPr>
          <w:b/>
          <w:color w:val="F79646" w:themeColor="accent6"/>
          <w:sz w:val="24"/>
        </w:rPr>
        <w:t xml:space="preserve"> of the Productivity Commission and SDN’s response</w:t>
      </w:r>
      <w:r w:rsidR="0091440A">
        <w:rPr>
          <w:b/>
          <w:color w:val="F79646" w:themeColor="accent6"/>
          <w:sz w:val="24"/>
        </w:rPr>
        <w:t>s</w:t>
      </w:r>
    </w:p>
    <w:p w:rsidR="003332C5" w:rsidRDefault="003332C5" w:rsidP="003332C5">
      <w:pPr>
        <w:spacing w:line="276" w:lineRule="auto"/>
      </w:pPr>
    </w:p>
    <w:p w:rsidR="002B0EE2" w:rsidRPr="002B0EE2" w:rsidRDefault="003332C5" w:rsidP="003332C5">
      <w:pPr>
        <w:pStyle w:val="ListParagraph"/>
        <w:numPr>
          <w:ilvl w:val="0"/>
          <w:numId w:val="9"/>
        </w:numPr>
        <w:spacing w:line="276" w:lineRule="auto"/>
        <w:rPr>
          <w:b/>
        </w:rPr>
      </w:pPr>
      <w:r>
        <w:t>The o</w:t>
      </w:r>
      <w:r w:rsidR="006039C1">
        <w:t>ne new means</w:t>
      </w:r>
      <w:r w:rsidR="0091440A">
        <w:t>-</w:t>
      </w:r>
      <w:r w:rsidR="006039C1">
        <w:t>tested payment to families</w:t>
      </w:r>
    </w:p>
    <w:p w:rsidR="002B0EE2" w:rsidRPr="002B0EE2" w:rsidRDefault="002B0EE2" w:rsidP="002B0EE2">
      <w:pPr>
        <w:pStyle w:val="ListParagraph"/>
        <w:spacing w:line="276" w:lineRule="auto"/>
        <w:ind w:left="360"/>
        <w:rPr>
          <w:b/>
        </w:rPr>
      </w:pPr>
    </w:p>
    <w:p w:rsidR="0025076E" w:rsidRDefault="002B0EE2" w:rsidP="002B0EE2">
      <w:pPr>
        <w:pStyle w:val="ListParagraph"/>
        <w:spacing w:line="276" w:lineRule="auto"/>
        <w:ind w:left="360"/>
        <w:rPr>
          <w:b/>
        </w:rPr>
      </w:pPr>
      <w:r>
        <w:t>An</w:t>
      </w:r>
      <w:r w:rsidR="0060470D">
        <w:t xml:space="preserve"> Early Care and Learning Subsidy (</w:t>
      </w:r>
      <w:r w:rsidR="006039C1">
        <w:t>ECLS</w:t>
      </w:r>
      <w:r w:rsidR="0060470D">
        <w:t>)</w:t>
      </w:r>
      <w:r w:rsidR="006039C1">
        <w:t xml:space="preserve"> based on a </w:t>
      </w:r>
      <w:r w:rsidR="0060470D">
        <w:t>‘</w:t>
      </w:r>
      <w:r w:rsidR="006039C1">
        <w:t>deemed</w:t>
      </w:r>
      <w:r w:rsidR="0060470D">
        <w:t>’</w:t>
      </w:r>
      <w:r w:rsidR="006039C1">
        <w:t xml:space="preserve"> cost of care set at the moment at $7.53</w:t>
      </w:r>
      <w:r w:rsidR="00BD1747">
        <w:t xml:space="preserve"> per </w:t>
      </w:r>
      <w:r w:rsidR="006039C1">
        <w:t>h</w:t>
      </w:r>
      <w:r w:rsidR="00BD1747">
        <w:t>ou</w:t>
      </w:r>
      <w:r w:rsidR="006039C1">
        <w:t>r</w:t>
      </w:r>
      <w:r w:rsidR="003332C5">
        <w:t xml:space="preserve"> does not take into account the high cost of high quality service provision in the capital cities. </w:t>
      </w:r>
      <w:r w:rsidR="0025076E">
        <w:t xml:space="preserve">An average ‘deemed rate’ will not be sensitive enough to local cost drivers and </w:t>
      </w:r>
      <w:r w:rsidR="0025076E" w:rsidRPr="0025076E">
        <w:rPr>
          <w:b/>
        </w:rPr>
        <w:t>we recommend a post-code-based system</w:t>
      </w:r>
      <w:r w:rsidR="0025076E">
        <w:rPr>
          <w:b/>
        </w:rPr>
        <w:t>, not a national average</w:t>
      </w:r>
      <w:r w:rsidR="0025076E" w:rsidRPr="0025076E">
        <w:rPr>
          <w:b/>
        </w:rPr>
        <w:t xml:space="preserve">. </w:t>
      </w:r>
      <w:r w:rsidR="00BD1747">
        <w:rPr>
          <w:b/>
        </w:rPr>
        <w:t xml:space="preserve">We further recommend </w:t>
      </w:r>
      <w:r w:rsidR="00F97B51">
        <w:rPr>
          <w:b/>
        </w:rPr>
        <w:t xml:space="preserve">that the postcode of the centre, not </w:t>
      </w:r>
      <w:r w:rsidR="0091440A">
        <w:rPr>
          <w:b/>
        </w:rPr>
        <w:t xml:space="preserve">of </w:t>
      </w:r>
      <w:r w:rsidR="00F97B51">
        <w:rPr>
          <w:b/>
        </w:rPr>
        <w:t>the families</w:t>
      </w:r>
      <w:r w:rsidR="00BD1747">
        <w:rPr>
          <w:b/>
        </w:rPr>
        <w:t>,</w:t>
      </w:r>
      <w:r w:rsidR="00F97B51">
        <w:rPr>
          <w:b/>
        </w:rPr>
        <w:t xml:space="preserve"> is used. </w:t>
      </w:r>
    </w:p>
    <w:p w:rsidR="004404D0" w:rsidRDefault="004404D0" w:rsidP="002B0EE2">
      <w:pPr>
        <w:pStyle w:val="ListParagraph"/>
        <w:spacing w:line="276" w:lineRule="auto"/>
        <w:ind w:left="360"/>
        <w:rPr>
          <w:b/>
        </w:rPr>
      </w:pPr>
    </w:p>
    <w:p w:rsidR="004404D0" w:rsidRDefault="004404D0" w:rsidP="004404D0">
      <w:pPr>
        <w:ind w:left="360"/>
      </w:pPr>
      <w:r>
        <w:lastRenderedPageBreak/>
        <w:t xml:space="preserve">Many of our centres are in the inner city of Sydney where costs are high, so nearly half of the families we support attend a centre in a high cost area. This means that based on current actual circumstances, 745 or 41% of our 1,816 families will be worse off under the ‘deemed cost of care’ ECLS model. </w:t>
      </w:r>
    </w:p>
    <w:p w:rsidR="004404D0" w:rsidRDefault="004404D0" w:rsidP="004404D0"/>
    <w:p w:rsidR="004404D0" w:rsidRDefault="004404D0" w:rsidP="004404D0">
      <w:pPr>
        <w:ind w:left="360"/>
      </w:pPr>
      <w:r>
        <w:t>Coming from the inner city suburbs of Sydney, we anticipate this will affect families who are already facing a range of cost-of-living demands. And we believe an increase in their childcare costs would impact negatively on their workplace choices. We don’t believe that this was the intention of the Productivity Commission. Any changes made to the system should result in more encouragement to participate in paid work, not less.</w:t>
      </w:r>
    </w:p>
    <w:p w:rsidR="001A68FF" w:rsidRDefault="001A68FF" w:rsidP="004404D0">
      <w:pPr>
        <w:ind w:left="360"/>
      </w:pPr>
    </w:p>
    <w:p w:rsidR="001A68FF" w:rsidRDefault="001A68FF" w:rsidP="001A68FF">
      <w:pPr>
        <w:pStyle w:val="ListParagraph"/>
        <w:numPr>
          <w:ilvl w:val="0"/>
          <w:numId w:val="9"/>
        </w:numPr>
      </w:pPr>
      <w:r>
        <w:t>The percentage of ECLS to be applied is not high enough for low income earners. When combined with the deemed cost that is set unrealistically low, the daily fees do not need to be uncommonly high before the combined impact makes all families in our services worse off:</w:t>
      </w:r>
    </w:p>
    <w:p w:rsidR="0025076E" w:rsidRPr="00134829" w:rsidRDefault="0025076E" w:rsidP="007D2866">
      <w:pPr>
        <w:spacing w:line="276" w:lineRule="auto"/>
      </w:pPr>
    </w:p>
    <w:p w:rsidR="004404D0" w:rsidRDefault="0025076E" w:rsidP="004404D0">
      <w:pPr>
        <w:pStyle w:val="ListParagraph"/>
        <w:numPr>
          <w:ilvl w:val="0"/>
          <w:numId w:val="10"/>
        </w:numPr>
      </w:pPr>
      <w:r>
        <w:t xml:space="preserve">Our modelling shows that that </w:t>
      </w:r>
      <w:r w:rsidR="008B7C45">
        <w:t>for a family with one child enrolled for two days per week and</w:t>
      </w:r>
      <w:r w:rsidR="004404D0" w:rsidRPr="004404D0">
        <w:t xml:space="preserve"> </w:t>
      </w:r>
      <w:r w:rsidR="004404D0">
        <w:t xml:space="preserve">where the daily fee is </w:t>
      </w:r>
      <w:r w:rsidR="004404D0" w:rsidRPr="0091440A">
        <w:rPr>
          <w:b/>
        </w:rPr>
        <w:t>$</w:t>
      </w:r>
      <w:r w:rsidR="004404D0">
        <w:rPr>
          <w:b/>
        </w:rPr>
        <w:t>92</w:t>
      </w:r>
      <w:r w:rsidR="004404D0" w:rsidRPr="0091440A">
        <w:rPr>
          <w:b/>
        </w:rPr>
        <w:t xml:space="preserve"> or less,</w:t>
      </w:r>
      <w:r w:rsidR="004404D0" w:rsidRPr="0091440A">
        <w:t xml:space="preserve"> </w:t>
      </w:r>
      <w:r w:rsidR="004404D0">
        <w:t>families are the same or better off until their income level hits $180,000.</w:t>
      </w:r>
    </w:p>
    <w:p w:rsidR="004404D0" w:rsidRDefault="004404D0" w:rsidP="004404D0">
      <w:pPr>
        <w:ind w:left="360"/>
      </w:pPr>
    </w:p>
    <w:p w:rsidR="004404D0" w:rsidRDefault="004404D0" w:rsidP="004404D0">
      <w:pPr>
        <w:pStyle w:val="ListParagraph"/>
        <w:numPr>
          <w:ilvl w:val="0"/>
          <w:numId w:val="10"/>
        </w:numPr>
      </w:pPr>
      <w:r>
        <w:t xml:space="preserve">The more the daily fee increases over $92 per day, the worse off families become. For daily fees </w:t>
      </w:r>
      <w:r w:rsidRPr="004404D0">
        <w:rPr>
          <w:b/>
        </w:rPr>
        <w:t>between $94 and $100 per day</w:t>
      </w:r>
      <w:r>
        <w:t xml:space="preserve">, families with incomes under $40,000 (which currently attracts the maximum rate of CCB) are all worse off </w:t>
      </w:r>
    </w:p>
    <w:p w:rsidR="004404D0" w:rsidRDefault="004404D0" w:rsidP="004404D0">
      <w:pPr>
        <w:ind w:left="360"/>
      </w:pPr>
    </w:p>
    <w:p w:rsidR="001A68FF" w:rsidRPr="001A68FF" w:rsidRDefault="001A68FF" w:rsidP="001A68FF">
      <w:pPr>
        <w:pStyle w:val="ListParagraph"/>
        <w:numPr>
          <w:ilvl w:val="0"/>
          <w:numId w:val="10"/>
        </w:numPr>
        <w:ind w:left="714" w:hanging="357"/>
        <w:rPr>
          <w:b/>
        </w:rPr>
      </w:pPr>
      <w:r>
        <w:t xml:space="preserve">Once the daily fee reaches </w:t>
      </w:r>
      <w:r w:rsidRPr="001A68FF">
        <w:rPr>
          <w:b/>
        </w:rPr>
        <w:t>$10</w:t>
      </w:r>
      <w:r>
        <w:rPr>
          <w:b/>
        </w:rPr>
        <w:t>2</w:t>
      </w:r>
      <w:r w:rsidRPr="001A68FF">
        <w:rPr>
          <w:b/>
        </w:rPr>
        <w:t xml:space="preserve"> per day</w:t>
      </w:r>
      <w:r>
        <w:t>,</w:t>
      </w:r>
      <w:r w:rsidRPr="001A68FF">
        <w:t xml:space="preserve"> </w:t>
      </w:r>
      <w:r>
        <w:t xml:space="preserve">families with an income below $60,000 </w:t>
      </w:r>
      <w:r w:rsidRPr="001A68FF">
        <w:rPr>
          <w:b/>
        </w:rPr>
        <w:t xml:space="preserve">are </w:t>
      </w:r>
      <w:r>
        <w:rPr>
          <w:b/>
        </w:rPr>
        <w:t xml:space="preserve">all </w:t>
      </w:r>
      <w:r w:rsidRPr="001A68FF">
        <w:rPr>
          <w:b/>
        </w:rPr>
        <w:t xml:space="preserve">worse off </w:t>
      </w:r>
      <w:r>
        <w:t xml:space="preserve">than under the current CCB and CCR regime. Payment of 90% of the deemed cost of care is not enough for them. </w:t>
      </w:r>
    </w:p>
    <w:p w:rsidR="001A68FF" w:rsidRDefault="001A68FF" w:rsidP="001A68FF">
      <w:pPr>
        <w:pStyle w:val="ListParagraph"/>
      </w:pPr>
    </w:p>
    <w:p w:rsidR="005D7E26" w:rsidRDefault="001A68FF" w:rsidP="0091440A">
      <w:pPr>
        <w:pStyle w:val="ListParagraph"/>
        <w:numPr>
          <w:ilvl w:val="0"/>
          <w:numId w:val="10"/>
        </w:numPr>
      </w:pPr>
      <w:r>
        <w:t>O</w:t>
      </w:r>
      <w:r w:rsidR="004404D0">
        <w:t>nce</w:t>
      </w:r>
      <w:r w:rsidR="0091440A">
        <w:t xml:space="preserve"> the daily fee is </w:t>
      </w:r>
      <w:r w:rsidR="0091440A" w:rsidRPr="0091440A">
        <w:rPr>
          <w:b/>
        </w:rPr>
        <w:t>$1</w:t>
      </w:r>
      <w:r w:rsidR="008B7C45">
        <w:rPr>
          <w:b/>
        </w:rPr>
        <w:t>05</w:t>
      </w:r>
      <w:r w:rsidR="0091440A" w:rsidRPr="0091440A">
        <w:rPr>
          <w:b/>
        </w:rPr>
        <w:t xml:space="preserve"> a day or above</w:t>
      </w:r>
      <w:r w:rsidR="0091440A" w:rsidRPr="004404D0">
        <w:t>,</w:t>
      </w:r>
      <w:r w:rsidR="0091440A">
        <w:t xml:space="preserve"> </w:t>
      </w:r>
      <w:r w:rsidR="007D2866">
        <w:t xml:space="preserve">all </w:t>
      </w:r>
      <w:r w:rsidR="0025076E">
        <w:t xml:space="preserve">users of </w:t>
      </w:r>
      <w:r w:rsidR="008B7C45">
        <w:t xml:space="preserve">our </w:t>
      </w:r>
      <w:r w:rsidR="0025076E">
        <w:t xml:space="preserve">centres are </w:t>
      </w:r>
      <w:r w:rsidR="0025076E" w:rsidRPr="0091440A">
        <w:rPr>
          <w:b/>
        </w:rPr>
        <w:t>all worse off</w:t>
      </w:r>
      <w:r w:rsidR="0025076E">
        <w:t xml:space="preserve"> under the ‘deemed cost of care’ ECLS model, </w:t>
      </w:r>
      <w:r w:rsidR="0025076E" w:rsidRPr="0091440A">
        <w:rPr>
          <w:b/>
        </w:rPr>
        <w:t>at all income levels</w:t>
      </w:r>
      <w:r w:rsidR="007D2866" w:rsidRPr="0091440A">
        <w:rPr>
          <w:b/>
        </w:rPr>
        <w:t>: l</w:t>
      </w:r>
      <w:r w:rsidR="00B21D11" w:rsidRPr="0091440A">
        <w:rPr>
          <w:b/>
        </w:rPr>
        <w:t>ow, middle or high</w:t>
      </w:r>
      <w:r w:rsidR="0025076E" w:rsidRPr="0091440A">
        <w:rPr>
          <w:b/>
        </w:rPr>
        <w:t>.</w:t>
      </w:r>
      <w:r w:rsidR="00642D64" w:rsidRPr="00642D64">
        <w:t xml:space="preserve"> </w:t>
      </w:r>
    </w:p>
    <w:p w:rsidR="00F97B51" w:rsidRDefault="00F97B51" w:rsidP="00642D64"/>
    <w:p w:rsidR="005D7E26" w:rsidRDefault="00D12CBA" w:rsidP="0091440A">
      <w:pPr>
        <w:pStyle w:val="ListParagraph"/>
        <w:numPr>
          <w:ilvl w:val="0"/>
          <w:numId w:val="10"/>
        </w:numPr>
      </w:pPr>
      <w:r>
        <w:t>Finally,</w:t>
      </w:r>
      <w:r w:rsidR="001A68FF">
        <w:t xml:space="preserve"> </w:t>
      </w:r>
      <w:r w:rsidR="001A68FF" w:rsidRPr="001A68FF">
        <w:rPr>
          <w:b/>
        </w:rPr>
        <w:t>all</w:t>
      </w:r>
      <w:r w:rsidRPr="001A68FF">
        <w:rPr>
          <w:b/>
        </w:rPr>
        <w:t xml:space="preserve"> f</w:t>
      </w:r>
      <w:r w:rsidR="00642D64" w:rsidRPr="001A68FF">
        <w:rPr>
          <w:b/>
        </w:rPr>
        <w:t>amilies</w:t>
      </w:r>
      <w:r w:rsidR="00642D64">
        <w:t xml:space="preserve"> with </w:t>
      </w:r>
      <w:r w:rsidR="0091440A">
        <w:t xml:space="preserve">combined </w:t>
      </w:r>
      <w:r w:rsidR="00642D64">
        <w:t xml:space="preserve">incomes </w:t>
      </w:r>
      <w:r w:rsidR="0091440A">
        <w:t xml:space="preserve">of </w:t>
      </w:r>
      <w:r w:rsidR="00642D64">
        <w:t xml:space="preserve">over $230,000 </w:t>
      </w:r>
      <w:r w:rsidR="00642D64" w:rsidRPr="0091440A">
        <w:rPr>
          <w:b/>
        </w:rPr>
        <w:t>are worse off</w:t>
      </w:r>
      <w:r w:rsidR="00642D64">
        <w:t xml:space="preserve">, regardless of </w:t>
      </w:r>
      <w:r w:rsidR="0091440A">
        <w:t xml:space="preserve">the daily </w:t>
      </w:r>
      <w:r w:rsidR="00642D64">
        <w:t xml:space="preserve">fee charged. </w:t>
      </w:r>
    </w:p>
    <w:p w:rsidR="00B52EA0" w:rsidRDefault="00B52EA0" w:rsidP="00B52EA0">
      <w:pPr>
        <w:spacing w:line="276" w:lineRule="auto"/>
      </w:pPr>
    </w:p>
    <w:p w:rsidR="00AF227D" w:rsidRDefault="006C7CDC" w:rsidP="00B52EA0">
      <w:pPr>
        <w:spacing w:line="276" w:lineRule="auto"/>
        <w:ind w:left="360"/>
      </w:pPr>
      <w:r w:rsidRPr="00134829">
        <w:t xml:space="preserve">We have several families on low incomes </w:t>
      </w:r>
      <w:proofErr w:type="gramStart"/>
      <w:r w:rsidRPr="00134829">
        <w:t>who</w:t>
      </w:r>
      <w:proofErr w:type="gramEnd"/>
      <w:r w:rsidRPr="00134829">
        <w:t xml:space="preserve"> choos</w:t>
      </w:r>
      <w:r>
        <w:t>e</w:t>
      </w:r>
      <w:r w:rsidRPr="00134829">
        <w:t xml:space="preserve"> to travel to and use centres where the fee is </w:t>
      </w:r>
      <w:r>
        <w:t>above $100 per day</w:t>
      </w:r>
      <w:r w:rsidRPr="00134829">
        <w:t xml:space="preserve">. </w:t>
      </w:r>
      <w:r w:rsidR="00B52EA0">
        <w:t>B</w:t>
      </w:r>
      <w:r w:rsidR="00D12CBA">
        <w:t xml:space="preserve">y encouraging both high and low income families to access the same centre, a better social mix and </w:t>
      </w:r>
      <w:r w:rsidR="00CB7497">
        <w:t xml:space="preserve">greater social </w:t>
      </w:r>
      <w:r w:rsidR="00D12CBA">
        <w:t>cohesion is created. For this reason we support low income families still having the choice of using a higher fee-charging centre by providing them with an a</w:t>
      </w:r>
      <w:r w:rsidR="00CB7497">
        <w:t>dditional benefit:</w:t>
      </w:r>
      <w:r w:rsidR="00D12CBA">
        <w:t xml:space="preserve"> increasing the ECLS </w:t>
      </w:r>
      <w:r w:rsidR="00B52EA0">
        <w:t>per cent</w:t>
      </w:r>
      <w:r w:rsidR="00D12CBA">
        <w:t xml:space="preserve"> payable to them.  </w:t>
      </w:r>
    </w:p>
    <w:p w:rsidR="006C7CDC" w:rsidRPr="00134829" w:rsidRDefault="006C7CDC" w:rsidP="00B52EA0">
      <w:pPr>
        <w:spacing w:line="276" w:lineRule="auto"/>
        <w:ind w:left="360"/>
      </w:pPr>
    </w:p>
    <w:p w:rsidR="006C7CDC" w:rsidRDefault="006C7CDC" w:rsidP="006C7CDC">
      <w:pPr>
        <w:pStyle w:val="ListParagraph"/>
        <w:numPr>
          <w:ilvl w:val="0"/>
          <w:numId w:val="12"/>
        </w:numPr>
        <w:spacing w:line="276" w:lineRule="auto"/>
      </w:pPr>
      <w:r>
        <w:lastRenderedPageBreak/>
        <w:t>We have 386 families who are on a combined family income of $40,000 or less. Of t</w:t>
      </w:r>
      <w:r w:rsidRPr="00134829">
        <w:t>hese families,</w:t>
      </w:r>
      <w:r>
        <w:t xml:space="preserve"> 150 or 39% will be worse off under the ECLS, effectively being penalised for using a centre that might be close to their workplace as opposed to being close to their home (where they might be able to access a lower cost centre).</w:t>
      </w:r>
    </w:p>
    <w:p w:rsidR="0025076E" w:rsidRDefault="0025076E" w:rsidP="0025076E"/>
    <w:p w:rsidR="005D7E26" w:rsidRDefault="0025076E" w:rsidP="005D7E26">
      <w:pPr>
        <w:rPr>
          <w:b/>
        </w:rPr>
      </w:pPr>
      <w:r w:rsidRPr="00642D64">
        <w:rPr>
          <w:b/>
        </w:rPr>
        <w:t xml:space="preserve">Thus we </w:t>
      </w:r>
      <w:r w:rsidR="00642D64" w:rsidRPr="00642D64">
        <w:rPr>
          <w:b/>
        </w:rPr>
        <w:t>recommend that for familie</w:t>
      </w:r>
      <w:r w:rsidRPr="00642D64">
        <w:rPr>
          <w:b/>
        </w:rPr>
        <w:t xml:space="preserve">s whose income is below $60,000 that 100% not 90% </w:t>
      </w:r>
      <w:r w:rsidR="00642D64" w:rsidRPr="00642D64">
        <w:rPr>
          <w:b/>
        </w:rPr>
        <w:t xml:space="preserve">of the ECLS is payable. </w:t>
      </w:r>
    </w:p>
    <w:p w:rsidR="005D7E26" w:rsidRPr="005D7E26" w:rsidRDefault="005D7E26" w:rsidP="005D7E26">
      <w:pPr>
        <w:rPr>
          <w:b/>
        </w:rPr>
      </w:pPr>
    </w:p>
    <w:p w:rsidR="006039C1" w:rsidRDefault="0079512E" w:rsidP="0079512E">
      <w:pPr>
        <w:pStyle w:val="ListParagraph"/>
        <w:numPr>
          <w:ilvl w:val="0"/>
          <w:numId w:val="9"/>
        </w:numPr>
        <w:spacing w:line="276" w:lineRule="auto"/>
      </w:pPr>
      <w:r>
        <w:t xml:space="preserve">All of the available evidence shows that the </w:t>
      </w:r>
      <w:proofErr w:type="gramStart"/>
      <w:r>
        <w:t>qualifications of educators and carers in a service is</w:t>
      </w:r>
      <w:proofErr w:type="gramEnd"/>
      <w:r>
        <w:t xml:space="preserve"> the main indicator of quality. </w:t>
      </w:r>
      <w:r w:rsidR="006039C1">
        <w:t>Use of approved n</w:t>
      </w:r>
      <w:r w:rsidR="0060470D">
        <w:t xml:space="preserve">annies </w:t>
      </w:r>
      <w:r>
        <w:t xml:space="preserve">who have at least a </w:t>
      </w:r>
      <w:r w:rsidR="0060470D">
        <w:t>Cert</w:t>
      </w:r>
      <w:r>
        <w:t>ificate</w:t>
      </w:r>
      <w:r w:rsidR="0060470D">
        <w:t xml:space="preserve"> III or better</w:t>
      </w:r>
      <w:r>
        <w:t xml:space="preserve"> (and</w:t>
      </w:r>
      <w:r w:rsidR="006039C1">
        <w:t xml:space="preserve"> not unqualified ‘au pairs’</w:t>
      </w:r>
      <w:r w:rsidR="0060470D">
        <w:t xml:space="preserve">) </w:t>
      </w:r>
      <w:proofErr w:type="gramStart"/>
      <w:r w:rsidR="0060470D">
        <w:t>who</w:t>
      </w:r>
      <w:proofErr w:type="gramEnd"/>
      <w:r w:rsidR="006039C1">
        <w:t xml:space="preserve"> would also get the 90% - 30% rate of assistance</w:t>
      </w:r>
      <w:r w:rsidR="00432696">
        <w:t>,</w:t>
      </w:r>
      <w:r w:rsidR="006039C1">
        <w:t xml:space="preserve"> but at </w:t>
      </w:r>
      <w:r w:rsidR="00432696">
        <w:t xml:space="preserve">an hourly </w:t>
      </w:r>
      <w:r w:rsidR="006039C1">
        <w:t xml:space="preserve">rate of </w:t>
      </w:r>
      <w:r w:rsidR="00C15269">
        <w:t>$6.84</w:t>
      </w:r>
      <w:r w:rsidR="005D7E26">
        <w:t xml:space="preserve"> is reasonable</w:t>
      </w:r>
      <w:r w:rsidR="00432696">
        <w:t>. W</w:t>
      </w:r>
      <w:r w:rsidR="005D7E26">
        <w:t>e also support t</w:t>
      </w:r>
      <w:r w:rsidR="0060470D">
        <w:t>his assis</w:t>
      </w:r>
      <w:r w:rsidR="005D7E26">
        <w:t xml:space="preserve">tance </w:t>
      </w:r>
      <w:r w:rsidR="0060470D">
        <w:t>be</w:t>
      </w:r>
      <w:r w:rsidR="005D7E26">
        <w:t>ing</w:t>
      </w:r>
      <w:r w:rsidR="0060470D">
        <w:t xml:space="preserve"> extended to</w:t>
      </w:r>
      <w:r w:rsidR="00C15269">
        <w:t xml:space="preserve"> grandparent carers who also</w:t>
      </w:r>
      <w:r>
        <w:t xml:space="preserve"> have</w:t>
      </w:r>
      <w:r w:rsidR="00C15269">
        <w:t xml:space="preserve"> a Cert</w:t>
      </w:r>
      <w:r>
        <w:t>ificate</w:t>
      </w:r>
      <w:r w:rsidR="00C15269">
        <w:t xml:space="preserve"> III qualification.</w:t>
      </w:r>
    </w:p>
    <w:p w:rsidR="00C15269" w:rsidRDefault="00C15269" w:rsidP="00B5517D">
      <w:pPr>
        <w:pStyle w:val="ListParagraph"/>
        <w:spacing w:line="276" w:lineRule="auto"/>
        <w:ind w:left="426" w:hanging="426"/>
      </w:pPr>
    </w:p>
    <w:p w:rsidR="005D7E26" w:rsidRDefault="005D7E26" w:rsidP="005D7E26">
      <w:pPr>
        <w:pStyle w:val="ListParagraph"/>
        <w:numPr>
          <w:ilvl w:val="0"/>
          <w:numId w:val="9"/>
        </w:numPr>
        <w:spacing w:line="276" w:lineRule="auto"/>
      </w:pPr>
      <w:r>
        <w:t xml:space="preserve">We </w:t>
      </w:r>
      <w:r w:rsidR="00E04646">
        <w:t>s</w:t>
      </w:r>
      <w:r>
        <w:t>upport a</w:t>
      </w:r>
      <w:r w:rsidR="00C15269">
        <w:t xml:space="preserve"> new Disadvantaged Communities Program </w:t>
      </w:r>
      <w:r w:rsidR="00E04646">
        <w:t>that</w:t>
      </w:r>
      <w:r>
        <w:t xml:space="preserve"> </w:t>
      </w:r>
      <w:r w:rsidR="00C15269">
        <w:t xml:space="preserve">would </w:t>
      </w:r>
      <w:r w:rsidR="00E04646">
        <w:t>‘</w:t>
      </w:r>
      <w:r w:rsidR="00C15269">
        <w:t>block fund</w:t>
      </w:r>
      <w:r w:rsidR="00E04646">
        <w:t>’</w:t>
      </w:r>
      <w:r w:rsidR="00C15269">
        <w:t xml:space="preserve"> providers who operate in highly disadvanta</w:t>
      </w:r>
      <w:r>
        <w:t>ged communities. Our experience tell</w:t>
      </w:r>
      <w:r w:rsidR="00E04646">
        <w:t>s</w:t>
      </w:r>
      <w:r>
        <w:t xml:space="preserve"> us that the best outcomes are achieved when an integrated approach is taken and funded. A range of disciplines and perspective s are needed to make a real difference for children and families in challenging circumstances and neighbourhoods.</w:t>
      </w:r>
    </w:p>
    <w:p w:rsidR="00B21D11" w:rsidRDefault="00B21D11" w:rsidP="00B21D11">
      <w:pPr>
        <w:pStyle w:val="ListParagraph"/>
      </w:pPr>
    </w:p>
    <w:p w:rsidR="00B21D11" w:rsidRDefault="00B21D11" w:rsidP="00E04646">
      <w:pPr>
        <w:pStyle w:val="ListParagraph"/>
        <w:numPr>
          <w:ilvl w:val="0"/>
          <w:numId w:val="12"/>
        </w:numPr>
        <w:spacing w:line="276" w:lineRule="auto"/>
      </w:pPr>
      <w:r>
        <w:t xml:space="preserve">Our model of support </w:t>
      </w:r>
      <w:r w:rsidR="00E04646">
        <w:t>for</w:t>
      </w:r>
      <w:r>
        <w:t xml:space="preserve"> disadvantaged communities and its</w:t>
      </w:r>
      <w:r w:rsidR="00E04646">
        <w:t xml:space="preserve"> estimated cost</w:t>
      </w:r>
      <w:r>
        <w:t xml:space="preserve"> is attached. This </w:t>
      </w:r>
      <w:r w:rsidR="004545B7">
        <w:t>support sh</w:t>
      </w:r>
      <w:r>
        <w:t xml:space="preserve">ould be on top of the 100% of ECLS payable to low income families (under $60,000) and addresses the particular engagement strategies that are required and the cost of capacity building for staff. </w:t>
      </w:r>
    </w:p>
    <w:p w:rsidR="005D7E26" w:rsidRDefault="005D7E26" w:rsidP="005D7E26">
      <w:pPr>
        <w:pStyle w:val="ListParagraph"/>
      </w:pPr>
    </w:p>
    <w:p w:rsidR="00026BB9" w:rsidRDefault="00C15269" w:rsidP="005D7E26">
      <w:pPr>
        <w:pStyle w:val="ListParagraph"/>
        <w:numPr>
          <w:ilvl w:val="0"/>
          <w:numId w:val="9"/>
        </w:numPr>
        <w:spacing w:line="276" w:lineRule="auto"/>
      </w:pPr>
      <w:r>
        <w:t xml:space="preserve">A new Inclusion Support Program would </w:t>
      </w:r>
      <w:r w:rsidR="005D7E26">
        <w:t xml:space="preserve">need to </w:t>
      </w:r>
      <w:r w:rsidRPr="007C3A2C">
        <w:rPr>
          <w:b/>
        </w:rPr>
        <w:t>build</w:t>
      </w:r>
      <w:r w:rsidR="005D7E26">
        <w:t xml:space="preserve"> on not replace </w:t>
      </w:r>
      <w:r>
        <w:t>the existing Inclusion and Pro</w:t>
      </w:r>
      <w:r w:rsidR="005D7E26">
        <w:t>fessional Support Program (IPSP</w:t>
      </w:r>
      <w:r w:rsidR="007C3A2C">
        <w:t>)</w:t>
      </w:r>
      <w:r w:rsidR="005D7E26">
        <w:t xml:space="preserve">. </w:t>
      </w:r>
      <w:r w:rsidR="007C3A2C">
        <w:t>Merely p</w:t>
      </w:r>
      <w:r w:rsidR="005D7E26">
        <w:t>roviding</w:t>
      </w:r>
      <w:r>
        <w:t xml:space="preserve"> one</w:t>
      </w:r>
      <w:r w:rsidR="007C3A2C">
        <w:t>-</w:t>
      </w:r>
      <w:r>
        <w:t>off grants for equipment and training</w:t>
      </w:r>
      <w:r w:rsidR="00CE3226">
        <w:t xml:space="preserve"> in order to</w:t>
      </w:r>
      <w:r w:rsidR="007C3A2C">
        <w:t xml:space="preserve"> includ</w:t>
      </w:r>
      <w:r w:rsidR="00CE3226">
        <w:t>e</w:t>
      </w:r>
      <w:r>
        <w:t xml:space="preserve"> </w:t>
      </w:r>
      <w:r w:rsidR="0060470D">
        <w:t>children with additional needs</w:t>
      </w:r>
      <w:r w:rsidR="005D7E26">
        <w:t xml:space="preserve"> is not sufficient</w:t>
      </w:r>
      <w:r w:rsidR="0060470D">
        <w:t xml:space="preserve">. This </w:t>
      </w:r>
      <w:r w:rsidR="007C3A2C">
        <w:t>i</w:t>
      </w:r>
      <w:r>
        <w:t>s a step back from the current practice and approach of the I</w:t>
      </w:r>
      <w:r w:rsidR="007C3A2C">
        <w:t xml:space="preserve">nclusion </w:t>
      </w:r>
      <w:r>
        <w:t>S</w:t>
      </w:r>
      <w:r w:rsidR="007C3A2C">
        <w:t xml:space="preserve">upport </w:t>
      </w:r>
      <w:r>
        <w:t>A</w:t>
      </w:r>
      <w:r w:rsidR="007C3A2C">
        <w:t>gencie</w:t>
      </w:r>
      <w:r>
        <w:t xml:space="preserve">s we </w:t>
      </w:r>
      <w:r w:rsidR="007C3A2C">
        <w:t xml:space="preserve">currently </w:t>
      </w:r>
      <w:r>
        <w:t xml:space="preserve">run </w:t>
      </w:r>
      <w:r w:rsidR="007C3A2C">
        <w:t xml:space="preserve">that are </w:t>
      </w:r>
      <w:r>
        <w:t>funded by</w:t>
      </w:r>
      <w:r w:rsidR="0060470D">
        <w:t xml:space="preserve"> the IPSP</w:t>
      </w:r>
      <w:r w:rsidR="007C3A2C">
        <w:t xml:space="preserve">. </w:t>
      </w:r>
    </w:p>
    <w:p w:rsidR="005D7E26" w:rsidRDefault="005D7E26" w:rsidP="005D7E26">
      <w:pPr>
        <w:pStyle w:val="ListParagraph"/>
      </w:pPr>
    </w:p>
    <w:p w:rsidR="00277BED" w:rsidRDefault="006A5A78" w:rsidP="005D7E26">
      <w:pPr>
        <w:pStyle w:val="ListParagraph"/>
        <w:numPr>
          <w:ilvl w:val="0"/>
          <w:numId w:val="9"/>
        </w:numPr>
        <w:spacing w:line="276" w:lineRule="auto"/>
      </w:pPr>
      <w:r>
        <w:t>We do not support the r</w:t>
      </w:r>
      <w:r w:rsidR="00C15269">
        <w:t xml:space="preserve">emoval of </w:t>
      </w:r>
      <w:r w:rsidR="005D7E26">
        <w:t xml:space="preserve">tax benefits to </w:t>
      </w:r>
      <w:r>
        <w:t>not for profit</w:t>
      </w:r>
      <w:r w:rsidR="005D7E26">
        <w:t xml:space="preserve"> providers</w:t>
      </w:r>
      <w:r w:rsidR="00277BED">
        <w:t>.</w:t>
      </w:r>
    </w:p>
    <w:p w:rsidR="00277BED" w:rsidRDefault="00277BED" w:rsidP="00277BED">
      <w:pPr>
        <w:pStyle w:val="ListParagraph"/>
        <w:spacing w:line="276" w:lineRule="auto"/>
        <w:ind w:left="360"/>
      </w:pPr>
    </w:p>
    <w:p w:rsidR="005D7E26" w:rsidRDefault="005D7E26" w:rsidP="00277BED">
      <w:pPr>
        <w:pStyle w:val="ListParagraph"/>
        <w:spacing w:line="276" w:lineRule="auto"/>
        <w:ind w:left="360"/>
      </w:pPr>
      <w:proofErr w:type="gramStart"/>
      <w:r>
        <w:t>The Australian Charities and Not for Profit Commission estimates that there are 600,000 not for profit organisations in Australia, of which 56,000 receive tax exemptions.</w:t>
      </w:r>
      <w:proofErr w:type="gramEnd"/>
      <w:r>
        <w:t xml:space="preserve"> Not for </w:t>
      </w:r>
      <w:r>
        <w:lastRenderedPageBreak/>
        <w:t xml:space="preserve">profit child care receives its tax exemptions because of the ATO ruling and considerations given to all not for profit organisations. Dismantling this would be quite an undertaking. </w:t>
      </w:r>
      <w:r w:rsidR="007D2866">
        <w:t xml:space="preserve">We also believe this would counter to the 2010 Productivity Commission’s report </w:t>
      </w:r>
      <w:r w:rsidR="007D2866" w:rsidRPr="007D2866">
        <w:rPr>
          <w:i/>
        </w:rPr>
        <w:t>Contribution of the Not-for-Profit Sector</w:t>
      </w:r>
      <w:r w:rsidR="007D2866">
        <w:t>, which found that $43 billion is contributed to Australia’s gross domestic product, and represents 8.5% of employment in Australia. We recommend re-reading this report and noting its recommendations to ensure that any of the recommendations stemming from this current work of the Productivity Commission are consistent with previous recommendations of the</w:t>
      </w:r>
      <w:r w:rsidR="006A5A78">
        <w:t xml:space="preserve"> P</w:t>
      </w:r>
      <w:r w:rsidR="00277BED">
        <w:t>roductivity Commission.</w:t>
      </w:r>
    </w:p>
    <w:p w:rsidR="00277BED" w:rsidRDefault="00277BED" w:rsidP="00277BED">
      <w:pPr>
        <w:pStyle w:val="ListParagraph"/>
        <w:spacing w:line="276" w:lineRule="auto"/>
        <w:ind w:left="360"/>
      </w:pPr>
    </w:p>
    <w:p w:rsidR="00277BED" w:rsidRDefault="00277BED" w:rsidP="00277BED">
      <w:pPr>
        <w:pStyle w:val="ListParagraph"/>
        <w:spacing w:line="276" w:lineRule="auto"/>
        <w:ind w:left="360"/>
      </w:pPr>
      <w:r>
        <w:t xml:space="preserve">As a not for profit provider, tax concessions and other rebates such as community-based rental rates on premises allows us to keep our running costs down, and to be able to invest in high quality, qualified staff. Loss of the tax concessions would mean our costs would rise, which would need to be passed on directly to families through increases in daily fees. </w:t>
      </w:r>
    </w:p>
    <w:p w:rsidR="005D7E26" w:rsidRDefault="005D7E26" w:rsidP="005D7E26">
      <w:pPr>
        <w:spacing w:line="276" w:lineRule="auto"/>
      </w:pPr>
    </w:p>
    <w:p w:rsidR="00C15269" w:rsidRDefault="005D7E26" w:rsidP="005D7E26">
      <w:pPr>
        <w:pStyle w:val="ListParagraph"/>
        <w:numPr>
          <w:ilvl w:val="0"/>
          <w:numId w:val="9"/>
        </w:numPr>
        <w:spacing w:line="276" w:lineRule="auto"/>
      </w:pPr>
      <w:r>
        <w:t>We support p</w:t>
      </w:r>
      <w:r w:rsidR="00C15269">
        <w:t>reschool</w:t>
      </w:r>
      <w:r w:rsidR="00F46B24">
        <w:t xml:space="preserve"> program</w:t>
      </w:r>
      <w:r w:rsidR="00C15269">
        <w:t xml:space="preserve">s </w:t>
      </w:r>
      <w:r w:rsidR="00F46B24">
        <w:t xml:space="preserve">that are </w:t>
      </w:r>
      <w:r w:rsidR="00C15269">
        <w:t>provided</w:t>
      </w:r>
      <w:r w:rsidR="00F46B24">
        <w:t xml:space="preserve"> within</w:t>
      </w:r>
      <w:r>
        <w:t xml:space="preserve"> a </w:t>
      </w:r>
      <w:r w:rsidR="00F46B24">
        <w:t>l</w:t>
      </w:r>
      <w:r>
        <w:t xml:space="preserve">ong </w:t>
      </w:r>
      <w:r w:rsidR="00F46B24">
        <w:t>d</w:t>
      </w:r>
      <w:r>
        <w:t xml:space="preserve">ay </w:t>
      </w:r>
      <w:r w:rsidR="00F46B24">
        <w:t>c</w:t>
      </w:r>
      <w:r>
        <w:t xml:space="preserve">are </w:t>
      </w:r>
      <w:r w:rsidR="00F46B24">
        <w:t>setting</w:t>
      </w:r>
      <w:r>
        <w:t xml:space="preserve"> </w:t>
      </w:r>
      <w:r w:rsidR="00C15269">
        <w:t>be</w:t>
      </w:r>
      <w:r>
        <w:t>ing</w:t>
      </w:r>
      <w:r w:rsidR="00C15269">
        <w:t xml:space="preserve"> subsidised at the same rate as stand-alone preschools. Where parents choose, for work or other reasons, to use preschool programs in </w:t>
      </w:r>
      <w:r w:rsidR="00F46B24">
        <w:t>long day care centres</w:t>
      </w:r>
      <w:r w:rsidR="00C15269">
        <w:t xml:space="preserve">, the </w:t>
      </w:r>
      <w:r w:rsidR="002D335B">
        <w:t>preschool program component</w:t>
      </w:r>
      <w:r w:rsidR="00C15269">
        <w:t xml:space="preserve"> be</w:t>
      </w:r>
      <w:r w:rsidR="002D335B">
        <w:t>ing</w:t>
      </w:r>
      <w:r w:rsidR="00C15269">
        <w:t xml:space="preserve"> subsidised by the Australian Government at the same rate per chi</w:t>
      </w:r>
      <w:r w:rsidR="002D335B">
        <w:t>ld as in dedicated preschools is a positive move.</w:t>
      </w:r>
    </w:p>
    <w:p w:rsidR="002D335B" w:rsidRDefault="002D335B" w:rsidP="002D335B">
      <w:pPr>
        <w:pStyle w:val="ListParagraph"/>
      </w:pPr>
    </w:p>
    <w:p w:rsidR="00026BB9" w:rsidRDefault="002D335B" w:rsidP="00540C46">
      <w:pPr>
        <w:pStyle w:val="ListParagraph"/>
        <w:numPr>
          <w:ilvl w:val="0"/>
          <w:numId w:val="9"/>
        </w:numPr>
        <w:spacing w:line="276" w:lineRule="auto"/>
      </w:pPr>
      <w:r>
        <w:t xml:space="preserve">We actively support </w:t>
      </w:r>
      <w:r w:rsidR="00F46B24">
        <w:t>university-trained t</w:t>
      </w:r>
      <w:r w:rsidR="00C15269">
        <w:t>eachers</w:t>
      </w:r>
      <w:r>
        <w:t xml:space="preserve"> being required for all age children, not just </w:t>
      </w:r>
      <w:r w:rsidR="00C15269">
        <w:t>required for children aged 36 months and above. Carers for children 0-36 months</w:t>
      </w:r>
      <w:r>
        <w:t xml:space="preserve"> need as much if not more expertise and skill than those teaching older children due to the formative nature of human beings at the earliest stages of life. </w:t>
      </w:r>
      <w:r w:rsidR="00F46B24">
        <w:t xml:space="preserve">All evidence supports the fact that children learn from birth, and this is reflected in the national curriculum, the Early Years Learning Framework, which is part of the National Quality Framework. Any move to not require university-trained teachers from birth onwards would be a retrograde step and in direct contradiction of Australian and international evidence. </w:t>
      </w:r>
    </w:p>
    <w:p w:rsidR="00540C46" w:rsidRDefault="00540C46" w:rsidP="00540C46">
      <w:pPr>
        <w:spacing w:line="276" w:lineRule="auto"/>
      </w:pPr>
    </w:p>
    <w:p w:rsidR="00540C46" w:rsidRPr="00425516" w:rsidRDefault="00540C46" w:rsidP="003A0802">
      <w:pPr>
        <w:pStyle w:val="Bullet"/>
        <w:numPr>
          <w:ilvl w:val="0"/>
          <w:numId w:val="0"/>
        </w:numPr>
        <w:spacing w:after="120" w:line="276" w:lineRule="auto"/>
        <w:rPr>
          <w:rFonts w:ascii="StoneSansITC TT" w:hAnsi="StoneSansITC TT"/>
          <w:b/>
          <w:color w:val="F79646" w:themeColor="accent6"/>
          <w:sz w:val="28"/>
        </w:rPr>
      </w:pPr>
      <w:r w:rsidRPr="00425516">
        <w:rPr>
          <w:rFonts w:ascii="StoneSansITC TT" w:hAnsi="StoneSansITC TT"/>
          <w:b/>
          <w:color w:val="F79646" w:themeColor="accent6"/>
          <w:sz w:val="28"/>
        </w:rPr>
        <w:t>For more information</w:t>
      </w:r>
    </w:p>
    <w:p w:rsidR="00540C46" w:rsidRDefault="00540C46" w:rsidP="003A0802">
      <w:pPr>
        <w:pStyle w:val="Submissionbodytext"/>
      </w:pPr>
      <w:r w:rsidRPr="00360E18">
        <w:t>Contact</w:t>
      </w:r>
      <w:proofErr w:type="gramStart"/>
      <w:r w:rsidRPr="00360E18">
        <w:t>:</w:t>
      </w:r>
      <w:proofErr w:type="gramEnd"/>
      <w:r w:rsidR="003A0802">
        <w:br/>
      </w:r>
      <w:proofErr w:type="spellStart"/>
      <w:r>
        <w:t>Ginie</w:t>
      </w:r>
      <w:proofErr w:type="spellEnd"/>
      <w:r>
        <w:t xml:space="preserve"> </w:t>
      </w:r>
      <w:proofErr w:type="spellStart"/>
      <w:r>
        <w:t>Udy</w:t>
      </w:r>
      <w:proofErr w:type="spellEnd"/>
      <w:r w:rsidR="003A0802">
        <w:br/>
      </w:r>
      <w:r>
        <w:t>Chief Executive Officer</w:t>
      </w:r>
      <w:r w:rsidR="003A0802">
        <w:br/>
      </w:r>
      <w:r>
        <w:t>SDN Children’s Services</w:t>
      </w:r>
      <w:bookmarkStart w:id="0" w:name="_GoBack"/>
      <w:bookmarkEnd w:id="0"/>
    </w:p>
    <w:sectPr w:rsidR="00540C46" w:rsidSect="00B5289D">
      <w:headerReference w:type="default" r:id="rId8"/>
      <w:footerReference w:type="default" r:id="rId9"/>
      <w:headerReference w:type="first" r:id="rId10"/>
      <w:pgSz w:w="11907" w:h="16839" w:code="9"/>
      <w:pgMar w:top="1440" w:right="1467" w:bottom="993" w:left="156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D0" w:rsidRDefault="004404D0" w:rsidP="00026BB9">
      <w:r>
        <w:separator/>
      </w:r>
    </w:p>
  </w:endnote>
  <w:endnote w:type="continuationSeparator" w:id="0">
    <w:p w:rsidR="004404D0" w:rsidRDefault="004404D0" w:rsidP="0002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ITC T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D0" w:rsidRDefault="004404D0" w:rsidP="00026BB9">
    <w:pPr>
      <w:pStyle w:val="Footer"/>
      <w:jc w:val="right"/>
      <w:rPr>
        <w:sz w:val="16"/>
        <w:szCs w:val="16"/>
      </w:rPr>
    </w:pPr>
    <w:r>
      <w:rPr>
        <w:sz w:val="16"/>
        <w:szCs w:val="16"/>
      </w:rPr>
      <w:t>_________________________________________________________________________________________________________</w:t>
    </w:r>
  </w:p>
  <w:p w:rsidR="004404D0" w:rsidRDefault="004404D0" w:rsidP="00540C46">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C1430E">
      <w:rPr>
        <w:noProof/>
        <w:sz w:val="16"/>
        <w:szCs w:val="16"/>
      </w:rPr>
      <w:t>PC Inquiry into Childcare and Early Childhood Learning 2014 - SDN Children's Services response to draft report 050914</w:t>
    </w:r>
    <w:r>
      <w:rPr>
        <w:sz w:val="16"/>
        <w:szCs w:val="16"/>
      </w:rPr>
      <w:fldChar w:fldCharType="end"/>
    </w:r>
  </w:p>
  <w:p w:rsidR="004404D0" w:rsidRPr="00026BB9" w:rsidRDefault="004404D0" w:rsidP="00540C46">
    <w:pPr>
      <w:pStyle w:val="Footer"/>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1367E5">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 Arabic  \* MERGEFORMAT </w:instrText>
    </w:r>
    <w:r>
      <w:rPr>
        <w:sz w:val="16"/>
        <w:szCs w:val="16"/>
      </w:rPr>
      <w:fldChar w:fldCharType="separate"/>
    </w:r>
    <w:r w:rsidR="001367E5">
      <w:rPr>
        <w:noProof/>
        <w:sz w:val="16"/>
        <w:szCs w:val="16"/>
      </w:rPr>
      <w:t>4</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D0" w:rsidRDefault="004404D0" w:rsidP="00026BB9">
      <w:r>
        <w:separator/>
      </w:r>
    </w:p>
  </w:footnote>
  <w:footnote w:type="continuationSeparator" w:id="0">
    <w:p w:rsidR="004404D0" w:rsidRDefault="004404D0" w:rsidP="00026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D0" w:rsidRDefault="004404D0" w:rsidP="00026BB9">
    <w:pPr>
      <w:pStyle w:val="Header"/>
      <w:ind w:right="-28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D0" w:rsidRPr="00B5289D" w:rsidRDefault="004404D0" w:rsidP="00B5289D">
    <w:pPr>
      <w:pStyle w:val="Header"/>
    </w:pPr>
    <w:r>
      <w:rPr>
        <w:noProof/>
      </w:rPr>
      <w:drawing>
        <wp:anchor distT="0" distB="0" distL="114300" distR="114300" simplePos="0" relativeHeight="251658240" behindDoc="0" locked="0" layoutInCell="1" allowOverlap="1">
          <wp:simplePos x="0" y="0"/>
          <wp:positionH relativeFrom="column">
            <wp:posOffset>3257550</wp:posOffset>
          </wp:positionH>
          <wp:positionV relativeFrom="paragraph">
            <wp:posOffset>1270</wp:posOffset>
          </wp:positionV>
          <wp:extent cx="2830195" cy="638175"/>
          <wp:effectExtent l="0" t="0" r="8255" b="9525"/>
          <wp:wrapSquare wrapText="bothSides"/>
          <wp:docPr id="2" name="Picture 2" descr="P:\Office of the CEO\2011\PA ADMIN\ADMIN\Logo - SDN Children Service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 of the CEO\2011\PA ADMIN\ADMIN\Logo - SDN Children Services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019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9A1"/>
    <w:multiLevelType w:val="hybridMultilevel"/>
    <w:tmpl w:val="0974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8C5AEB"/>
    <w:multiLevelType w:val="multilevel"/>
    <w:tmpl w:val="4F0E5E7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1F164CA"/>
    <w:multiLevelType w:val="hybridMultilevel"/>
    <w:tmpl w:val="F1C6C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E11CBE"/>
    <w:multiLevelType w:val="hybridMultilevel"/>
    <w:tmpl w:val="CD7EEDC6"/>
    <w:lvl w:ilvl="0" w:tplc="79006654">
      <w:start w:val="1"/>
      <w:numFmt w:val="bullet"/>
      <w:lvlText w:val="­"/>
      <w:lvlJc w:val="left"/>
      <w:pPr>
        <w:ind w:left="720" w:hanging="360"/>
      </w:pPr>
      <w:rPr>
        <w:rFonts w:ascii="Courier New" w:hAnsi="Courier New" w:hint="default"/>
      </w:rPr>
    </w:lvl>
    <w:lvl w:ilvl="1" w:tplc="7900665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7774BF"/>
    <w:multiLevelType w:val="hybridMultilevel"/>
    <w:tmpl w:val="6C241DB0"/>
    <w:lvl w:ilvl="0" w:tplc="55CCD15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1D26FBC"/>
    <w:multiLevelType w:val="hybridMultilevel"/>
    <w:tmpl w:val="A2CAC6B6"/>
    <w:lvl w:ilvl="0" w:tplc="6C882B4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657646"/>
    <w:multiLevelType w:val="hybridMultilevel"/>
    <w:tmpl w:val="5AD29B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3B0188"/>
    <w:multiLevelType w:val="hybridMultilevel"/>
    <w:tmpl w:val="C284FCD6"/>
    <w:lvl w:ilvl="0" w:tplc="7900665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A26C7F"/>
    <w:multiLevelType w:val="hybridMultilevel"/>
    <w:tmpl w:val="158AA8CA"/>
    <w:lvl w:ilvl="0" w:tplc="7900665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D3217F"/>
    <w:multiLevelType w:val="hybridMultilevel"/>
    <w:tmpl w:val="6C8CA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033559"/>
    <w:multiLevelType w:val="hybridMultilevel"/>
    <w:tmpl w:val="AB3E0A94"/>
    <w:lvl w:ilvl="0" w:tplc="7900665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8679D8"/>
    <w:multiLevelType w:val="hybridMultilevel"/>
    <w:tmpl w:val="49CA25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9B73954"/>
    <w:multiLevelType w:val="hybridMultilevel"/>
    <w:tmpl w:val="79B4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9"/>
  </w:num>
  <w:num w:numId="5">
    <w:abstractNumId w:val="8"/>
  </w:num>
  <w:num w:numId="6">
    <w:abstractNumId w:val="6"/>
  </w:num>
  <w:num w:numId="7">
    <w:abstractNumId w:val="7"/>
  </w:num>
  <w:num w:numId="8">
    <w:abstractNumId w:val="5"/>
  </w:num>
  <w:num w:numId="9">
    <w:abstractNumId w:val="4"/>
  </w:num>
  <w:num w:numId="10">
    <w:abstractNumId w:val="12"/>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C1"/>
    <w:rsid w:val="00026BB9"/>
    <w:rsid w:val="00047A02"/>
    <w:rsid w:val="000E430A"/>
    <w:rsid w:val="00134829"/>
    <w:rsid w:val="001367E5"/>
    <w:rsid w:val="001A68FF"/>
    <w:rsid w:val="0025076E"/>
    <w:rsid w:val="00277BED"/>
    <w:rsid w:val="002B0EE2"/>
    <w:rsid w:val="002B7CB2"/>
    <w:rsid w:val="002D335B"/>
    <w:rsid w:val="002F1B44"/>
    <w:rsid w:val="002F43BC"/>
    <w:rsid w:val="00322164"/>
    <w:rsid w:val="003332C5"/>
    <w:rsid w:val="00360E18"/>
    <w:rsid w:val="003A0802"/>
    <w:rsid w:val="00432696"/>
    <w:rsid w:val="004404D0"/>
    <w:rsid w:val="004545B7"/>
    <w:rsid w:val="004F65BD"/>
    <w:rsid w:val="00500978"/>
    <w:rsid w:val="005339BE"/>
    <w:rsid w:val="00540C46"/>
    <w:rsid w:val="005D3B52"/>
    <w:rsid w:val="005D7E26"/>
    <w:rsid w:val="005E07C4"/>
    <w:rsid w:val="006039C1"/>
    <w:rsid w:val="0060470D"/>
    <w:rsid w:val="00642D64"/>
    <w:rsid w:val="006A5A78"/>
    <w:rsid w:val="006C7CDC"/>
    <w:rsid w:val="0079512E"/>
    <w:rsid w:val="007C3A2C"/>
    <w:rsid w:val="007D2866"/>
    <w:rsid w:val="008B7C45"/>
    <w:rsid w:val="0091440A"/>
    <w:rsid w:val="00927BAB"/>
    <w:rsid w:val="00A00B80"/>
    <w:rsid w:val="00A64417"/>
    <w:rsid w:val="00AA58FE"/>
    <w:rsid w:val="00AC6D26"/>
    <w:rsid w:val="00AF227D"/>
    <w:rsid w:val="00AF7A03"/>
    <w:rsid w:val="00B00D13"/>
    <w:rsid w:val="00B21D11"/>
    <w:rsid w:val="00B5289D"/>
    <w:rsid w:val="00B52EA0"/>
    <w:rsid w:val="00B5517D"/>
    <w:rsid w:val="00BD1747"/>
    <w:rsid w:val="00C1430E"/>
    <w:rsid w:val="00C15269"/>
    <w:rsid w:val="00CB7497"/>
    <w:rsid w:val="00CE3226"/>
    <w:rsid w:val="00D01908"/>
    <w:rsid w:val="00D12CBA"/>
    <w:rsid w:val="00DB21E2"/>
    <w:rsid w:val="00E04646"/>
    <w:rsid w:val="00F046EE"/>
    <w:rsid w:val="00F22473"/>
    <w:rsid w:val="00F46B24"/>
    <w:rsid w:val="00F97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toneSansITC TT" w:eastAsia="Times New Roman" w:hAnsi="StoneSansITC TT"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9C1"/>
    <w:pPr>
      <w:ind w:left="720"/>
      <w:contextualSpacing/>
    </w:pPr>
  </w:style>
  <w:style w:type="paragraph" w:styleId="Header">
    <w:name w:val="header"/>
    <w:basedOn w:val="Normal"/>
    <w:link w:val="HeaderChar"/>
    <w:rsid w:val="00026BB9"/>
    <w:pPr>
      <w:tabs>
        <w:tab w:val="center" w:pos="4513"/>
        <w:tab w:val="right" w:pos="9026"/>
      </w:tabs>
    </w:pPr>
  </w:style>
  <w:style w:type="character" w:customStyle="1" w:styleId="HeaderChar">
    <w:name w:val="Header Char"/>
    <w:basedOn w:val="DefaultParagraphFont"/>
    <w:link w:val="Header"/>
    <w:rsid w:val="00026BB9"/>
  </w:style>
  <w:style w:type="paragraph" w:styleId="Footer">
    <w:name w:val="footer"/>
    <w:basedOn w:val="Normal"/>
    <w:link w:val="FooterChar"/>
    <w:rsid w:val="00026BB9"/>
    <w:pPr>
      <w:tabs>
        <w:tab w:val="center" w:pos="4513"/>
        <w:tab w:val="right" w:pos="9026"/>
      </w:tabs>
    </w:pPr>
  </w:style>
  <w:style w:type="character" w:customStyle="1" w:styleId="FooterChar">
    <w:name w:val="Footer Char"/>
    <w:basedOn w:val="DefaultParagraphFont"/>
    <w:link w:val="Footer"/>
    <w:rsid w:val="00026BB9"/>
  </w:style>
  <w:style w:type="paragraph" w:styleId="BalloonText">
    <w:name w:val="Balloon Text"/>
    <w:basedOn w:val="Normal"/>
    <w:link w:val="BalloonTextChar"/>
    <w:rsid w:val="00026BB9"/>
    <w:rPr>
      <w:rFonts w:ascii="Tahoma" w:hAnsi="Tahoma" w:cs="Tahoma"/>
      <w:sz w:val="16"/>
      <w:szCs w:val="16"/>
    </w:rPr>
  </w:style>
  <w:style w:type="character" w:customStyle="1" w:styleId="BalloonTextChar">
    <w:name w:val="Balloon Text Char"/>
    <w:basedOn w:val="DefaultParagraphFont"/>
    <w:link w:val="BalloonText"/>
    <w:rsid w:val="00026BB9"/>
    <w:rPr>
      <w:rFonts w:ascii="Tahoma" w:hAnsi="Tahoma" w:cs="Tahoma"/>
      <w:sz w:val="16"/>
      <w:szCs w:val="16"/>
    </w:rPr>
  </w:style>
  <w:style w:type="character" w:customStyle="1" w:styleId="A0">
    <w:name w:val="A0"/>
    <w:uiPriority w:val="99"/>
    <w:rsid w:val="002B7CB2"/>
    <w:rPr>
      <w:rFonts w:cs="Museo Sans 100"/>
      <w:color w:val="000000"/>
      <w:sz w:val="40"/>
      <w:szCs w:val="40"/>
    </w:rPr>
  </w:style>
  <w:style w:type="paragraph" w:customStyle="1" w:styleId="Bullet">
    <w:name w:val="Bullet"/>
    <w:basedOn w:val="Normal"/>
    <w:link w:val="BulletChar"/>
    <w:rsid w:val="00540C46"/>
    <w:pPr>
      <w:numPr>
        <w:numId w:val="13"/>
      </w:numPr>
      <w:spacing w:after="240"/>
    </w:pPr>
    <w:rPr>
      <w:rFonts w:ascii="Calibri" w:hAnsi="Calibri"/>
      <w:sz w:val="24"/>
      <w:lang w:eastAsia="en-US"/>
    </w:rPr>
  </w:style>
  <w:style w:type="character" w:customStyle="1" w:styleId="BulletChar">
    <w:name w:val="Bullet Char"/>
    <w:link w:val="Bullet"/>
    <w:locked/>
    <w:rsid w:val="00540C46"/>
    <w:rPr>
      <w:rFonts w:ascii="Calibri" w:hAnsi="Calibri"/>
      <w:sz w:val="24"/>
      <w:lang w:eastAsia="en-US"/>
    </w:rPr>
  </w:style>
  <w:style w:type="paragraph" w:customStyle="1" w:styleId="Dash">
    <w:name w:val="Dash"/>
    <w:basedOn w:val="Normal"/>
    <w:rsid w:val="00540C46"/>
    <w:pPr>
      <w:numPr>
        <w:ilvl w:val="1"/>
        <w:numId w:val="13"/>
      </w:numPr>
      <w:spacing w:after="240"/>
    </w:pPr>
    <w:rPr>
      <w:rFonts w:ascii="Calibri" w:hAnsi="Calibri"/>
      <w:sz w:val="24"/>
      <w:lang w:eastAsia="en-US"/>
    </w:rPr>
  </w:style>
  <w:style w:type="paragraph" w:customStyle="1" w:styleId="DoubleDot">
    <w:name w:val="Double Dot"/>
    <w:basedOn w:val="Normal"/>
    <w:rsid w:val="00540C46"/>
    <w:pPr>
      <w:numPr>
        <w:ilvl w:val="2"/>
        <w:numId w:val="13"/>
      </w:numPr>
      <w:spacing w:after="240"/>
    </w:pPr>
    <w:rPr>
      <w:rFonts w:ascii="Calibri" w:hAnsi="Calibri"/>
      <w:sz w:val="24"/>
      <w:lang w:eastAsia="en-US"/>
    </w:rPr>
  </w:style>
  <w:style w:type="paragraph" w:styleId="NoSpacing">
    <w:name w:val="No Spacing"/>
    <w:uiPriority w:val="1"/>
    <w:qFormat/>
    <w:rsid w:val="00540C46"/>
  </w:style>
  <w:style w:type="paragraph" w:customStyle="1" w:styleId="Submissionbodytext">
    <w:name w:val="Submission body text"/>
    <w:link w:val="SubmissionbodytextChar"/>
    <w:autoRedefine/>
    <w:qFormat/>
    <w:rsid w:val="00360E18"/>
    <w:pPr>
      <w:spacing w:after="120" w:line="360" w:lineRule="auto"/>
    </w:pPr>
    <w:rPr>
      <w:rFonts w:eastAsia="Calibri"/>
      <w:sz w:val="24"/>
      <w:lang w:eastAsia="en-US"/>
    </w:rPr>
  </w:style>
  <w:style w:type="character" w:customStyle="1" w:styleId="SubmissionbodytextChar">
    <w:name w:val="Submission body text Char"/>
    <w:basedOn w:val="BulletChar"/>
    <w:link w:val="Submissionbodytext"/>
    <w:rsid w:val="00360E18"/>
    <w:rPr>
      <w:rFonts w:ascii="Calibri" w:eastAsia="Calibri" w:hAnsi="Calibr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toneSansITC TT" w:eastAsia="Times New Roman" w:hAnsi="StoneSansITC TT" w:cs="Times New Roman"/>
        <w:sz w:val="22"/>
        <w:szCs w:val="22"/>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9C1"/>
    <w:pPr>
      <w:ind w:left="720"/>
      <w:contextualSpacing/>
    </w:pPr>
  </w:style>
  <w:style w:type="paragraph" w:styleId="Header">
    <w:name w:val="header"/>
    <w:basedOn w:val="Normal"/>
    <w:link w:val="HeaderChar"/>
    <w:rsid w:val="00026BB9"/>
    <w:pPr>
      <w:tabs>
        <w:tab w:val="center" w:pos="4513"/>
        <w:tab w:val="right" w:pos="9026"/>
      </w:tabs>
    </w:pPr>
  </w:style>
  <w:style w:type="character" w:customStyle="1" w:styleId="HeaderChar">
    <w:name w:val="Header Char"/>
    <w:basedOn w:val="DefaultParagraphFont"/>
    <w:link w:val="Header"/>
    <w:rsid w:val="00026BB9"/>
  </w:style>
  <w:style w:type="paragraph" w:styleId="Footer">
    <w:name w:val="footer"/>
    <w:basedOn w:val="Normal"/>
    <w:link w:val="FooterChar"/>
    <w:rsid w:val="00026BB9"/>
    <w:pPr>
      <w:tabs>
        <w:tab w:val="center" w:pos="4513"/>
        <w:tab w:val="right" w:pos="9026"/>
      </w:tabs>
    </w:pPr>
  </w:style>
  <w:style w:type="character" w:customStyle="1" w:styleId="FooterChar">
    <w:name w:val="Footer Char"/>
    <w:basedOn w:val="DefaultParagraphFont"/>
    <w:link w:val="Footer"/>
    <w:rsid w:val="00026BB9"/>
  </w:style>
  <w:style w:type="paragraph" w:styleId="BalloonText">
    <w:name w:val="Balloon Text"/>
    <w:basedOn w:val="Normal"/>
    <w:link w:val="BalloonTextChar"/>
    <w:rsid w:val="00026BB9"/>
    <w:rPr>
      <w:rFonts w:ascii="Tahoma" w:hAnsi="Tahoma" w:cs="Tahoma"/>
      <w:sz w:val="16"/>
      <w:szCs w:val="16"/>
    </w:rPr>
  </w:style>
  <w:style w:type="character" w:customStyle="1" w:styleId="BalloonTextChar">
    <w:name w:val="Balloon Text Char"/>
    <w:basedOn w:val="DefaultParagraphFont"/>
    <w:link w:val="BalloonText"/>
    <w:rsid w:val="00026BB9"/>
    <w:rPr>
      <w:rFonts w:ascii="Tahoma" w:hAnsi="Tahoma" w:cs="Tahoma"/>
      <w:sz w:val="16"/>
      <w:szCs w:val="16"/>
    </w:rPr>
  </w:style>
  <w:style w:type="character" w:customStyle="1" w:styleId="A0">
    <w:name w:val="A0"/>
    <w:uiPriority w:val="99"/>
    <w:rsid w:val="002B7CB2"/>
    <w:rPr>
      <w:rFonts w:cs="Museo Sans 100"/>
      <w:color w:val="000000"/>
      <w:sz w:val="40"/>
      <w:szCs w:val="40"/>
    </w:rPr>
  </w:style>
  <w:style w:type="paragraph" w:customStyle="1" w:styleId="Bullet">
    <w:name w:val="Bullet"/>
    <w:basedOn w:val="Normal"/>
    <w:link w:val="BulletChar"/>
    <w:rsid w:val="00540C46"/>
    <w:pPr>
      <w:numPr>
        <w:numId w:val="13"/>
      </w:numPr>
      <w:spacing w:after="240"/>
    </w:pPr>
    <w:rPr>
      <w:rFonts w:ascii="Calibri" w:hAnsi="Calibri"/>
      <w:sz w:val="24"/>
      <w:lang w:eastAsia="en-US"/>
    </w:rPr>
  </w:style>
  <w:style w:type="character" w:customStyle="1" w:styleId="BulletChar">
    <w:name w:val="Bullet Char"/>
    <w:link w:val="Bullet"/>
    <w:locked/>
    <w:rsid w:val="00540C46"/>
    <w:rPr>
      <w:rFonts w:ascii="Calibri" w:hAnsi="Calibri"/>
      <w:sz w:val="24"/>
      <w:lang w:eastAsia="en-US"/>
    </w:rPr>
  </w:style>
  <w:style w:type="paragraph" w:customStyle="1" w:styleId="Dash">
    <w:name w:val="Dash"/>
    <w:basedOn w:val="Normal"/>
    <w:rsid w:val="00540C46"/>
    <w:pPr>
      <w:numPr>
        <w:ilvl w:val="1"/>
        <w:numId w:val="13"/>
      </w:numPr>
      <w:spacing w:after="240"/>
    </w:pPr>
    <w:rPr>
      <w:rFonts w:ascii="Calibri" w:hAnsi="Calibri"/>
      <w:sz w:val="24"/>
      <w:lang w:eastAsia="en-US"/>
    </w:rPr>
  </w:style>
  <w:style w:type="paragraph" w:customStyle="1" w:styleId="DoubleDot">
    <w:name w:val="Double Dot"/>
    <w:basedOn w:val="Normal"/>
    <w:rsid w:val="00540C46"/>
    <w:pPr>
      <w:numPr>
        <w:ilvl w:val="2"/>
        <w:numId w:val="13"/>
      </w:numPr>
      <w:spacing w:after="240"/>
    </w:pPr>
    <w:rPr>
      <w:rFonts w:ascii="Calibri" w:hAnsi="Calibri"/>
      <w:sz w:val="24"/>
      <w:lang w:eastAsia="en-US"/>
    </w:rPr>
  </w:style>
  <w:style w:type="paragraph" w:styleId="NoSpacing">
    <w:name w:val="No Spacing"/>
    <w:uiPriority w:val="1"/>
    <w:qFormat/>
    <w:rsid w:val="00540C46"/>
  </w:style>
  <w:style w:type="paragraph" w:customStyle="1" w:styleId="Submissionbodytext">
    <w:name w:val="Submission body text"/>
    <w:link w:val="SubmissionbodytextChar"/>
    <w:autoRedefine/>
    <w:qFormat/>
    <w:rsid w:val="00360E18"/>
    <w:pPr>
      <w:spacing w:after="120" w:line="360" w:lineRule="auto"/>
    </w:pPr>
    <w:rPr>
      <w:rFonts w:eastAsia="Calibri"/>
      <w:sz w:val="24"/>
      <w:lang w:eastAsia="en-US"/>
    </w:rPr>
  </w:style>
  <w:style w:type="character" w:customStyle="1" w:styleId="SubmissionbodytextChar">
    <w:name w:val="Submission body text Char"/>
    <w:basedOn w:val="BulletChar"/>
    <w:link w:val="Submissionbodytext"/>
    <w:rsid w:val="00360E18"/>
    <w:rPr>
      <w:rFonts w:ascii="Calibri" w:eastAsia="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1426</Words>
  <Characters>7230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Submission DR808 - SDN Children’s Services - Childcare and Early Childhood Learning - Public inquiry</vt:lpstr>
    </vt:vector>
  </TitlesOfParts>
  <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DR808 - SDN Children’s Services - Childcare and Early Childhood Learning - Public inquiry</dc:title>
  <dc:creator>SDN Children’s Services</dc:creator>
  <cp:lastModifiedBy>Mark Pimperl</cp:lastModifiedBy>
  <cp:revision>28</cp:revision>
  <cp:lastPrinted>2014-09-05T05:48:00Z</cp:lastPrinted>
  <dcterms:created xsi:type="dcterms:W3CDTF">2014-09-02T06:29:00Z</dcterms:created>
  <dcterms:modified xsi:type="dcterms:W3CDTF">2014-09-12T04:57:00Z</dcterms:modified>
</cp:coreProperties>
</file>