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2C" w:rsidRPr="00B33BE8" w:rsidRDefault="002C702C" w:rsidP="00B33BE8">
      <w:p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>5 September 2014</w:t>
      </w:r>
    </w:p>
    <w:p w:rsidR="002C702C" w:rsidRPr="00B33BE8" w:rsidRDefault="002C702C" w:rsidP="00B33BE8">
      <w:pPr>
        <w:jc w:val="both"/>
        <w:rPr>
          <w:rFonts w:asciiTheme="majorHAnsi" w:hAnsiTheme="majorHAnsi"/>
        </w:rPr>
      </w:pP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  <w:r w:rsidRPr="00B33BE8">
        <w:rPr>
          <w:rFonts w:asciiTheme="majorHAnsi" w:hAnsiTheme="majorHAnsi"/>
          <w:b/>
        </w:rPr>
        <w:t>Submission to the Productivity Commission’s Draft Report on Childcare and Early Childhood Learning</w:t>
      </w: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  <w:r w:rsidRPr="00B33BE8">
        <w:rPr>
          <w:rFonts w:asciiTheme="majorHAnsi" w:hAnsiTheme="majorHAnsi"/>
          <w:b/>
        </w:rPr>
        <w:t>Associate Professor Jill Murray</w:t>
      </w: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  <w:r w:rsidRPr="00B33BE8">
        <w:rPr>
          <w:rFonts w:asciiTheme="majorHAnsi" w:hAnsiTheme="majorHAnsi"/>
          <w:b/>
        </w:rPr>
        <w:t>Law School</w:t>
      </w: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  <w:r w:rsidRPr="00B33BE8">
        <w:rPr>
          <w:rFonts w:asciiTheme="majorHAnsi" w:hAnsiTheme="majorHAnsi"/>
          <w:b/>
        </w:rPr>
        <w:t xml:space="preserve">La Trobe University </w:t>
      </w:r>
      <w:proofErr w:type="spellStart"/>
      <w:r w:rsidRPr="00B33BE8">
        <w:rPr>
          <w:rFonts w:asciiTheme="majorHAnsi" w:hAnsiTheme="majorHAnsi"/>
          <w:b/>
        </w:rPr>
        <w:t>Bundoora</w:t>
      </w:r>
      <w:proofErr w:type="spellEnd"/>
      <w:r w:rsidRPr="00B33BE8">
        <w:rPr>
          <w:rFonts w:asciiTheme="majorHAnsi" w:hAnsiTheme="majorHAnsi"/>
          <w:b/>
        </w:rPr>
        <w:t xml:space="preserve"> 3086</w:t>
      </w:r>
    </w:p>
    <w:p w:rsidR="002C702C" w:rsidRPr="00B33BE8" w:rsidRDefault="002C702C" w:rsidP="00B33BE8">
      <w:pPr>
        <w:jc w:val="both"/>
        <w:rPr>
          <w:rFonts w:asciiTheme="majorHAnsi" w:hAnsiTheme="majorHAnsi"/>
          <w:b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B33BE8">
        <w:rPr>
          <w:rFonts w:asciiTheme="majorHAnsi" w:hAnsiTheme="majorHAnsi"/>
          <w:b/>
        </w:rPr>
        <w:t>This submission relates to the Draft Report’s recommendations on in-home care.</w:t>
      </w: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  <w:b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>Work performed in the private home has recently been the subject of sustained scrutiny in various national settings</w:t>
      </w:r>
      <w:r w:rsidR="00B33BE8">
        <w:rPr>
          <w:rStyle w:val="FootnoteReference"/>
          <w:rFonts w:asciiTheme="majorHAnsi" w:hAnsiTheme="majorHAnsi"/>
        </w:rPr>
        <w:footnoteReference w:id="1"/>
      </w:r>
      <w:r w:rsidRPr="00B33BE8">
        <w:rPr>
          <w:rFonts w:asciiTheme="majorHAnsi" w:hAnsiTheme="majorHAnsi"/>
        </w:rPr>
        <w:t xml:space="preserve"> and within the International</w:t>
      </w:r>
      <w:r w:rsidR="00E02E95" w:rsidRPr="00B33BE8">
        <w:rPr>
          <w:rFonts w:asciiTheme="majorHAnsi" w:hAnsiTheme="majorHAnsi"/>
        </w:rPr>
        <w:t xml:space="preserve"> </w:t>
      </w:r>
      <w:proofErr w:type="spellStart"/>
      <w:r w:rsidR="00E02E95" w:rsidRPr="00B33BE8">
        <w:rPr>
          <w:rFonts w:asciiTheme="majorHAnsi" w:hAnsiTheme="majorHAnsi"/>
        </w:rPr>
        <w:t>Labour</w:t>
      </w:r>
      <w:proofErr w:type="spellEnd"/>
      <w:r w:rsidR="00E02E95" w:rsidRPr="00B33BE8">
        <w:rPr>
          <w:rFonts w:asciiTheme="majorHAnsi" w:hAnsiTheme="majorHAnsi"/>
        </w:rPr>
        <w:t xml:space="preserve"> </w:t>
      </w:r>
      <w:proofErr w:type="spellStart"/>
      <w:r w:rsidR="00E02E95" w:rsidRPr="00B33BE8">
        <w:rPr>
          <w:rFonts w:asciiTheme="majorHAnsi" w:hAnsiTheme="majorHAnsi"/>
        </w:rPr>
        <w:t>Organisation</w:t>
      </w:r>
      <w:proofErr w:type="spellEnd"/>
      <w:r w:rsidR="00E02E95" w:rsidRPr="00B33BE8">
        <w:rPr>
          <w:rFonts w:asciiTheme="majorHAnsi" w:hAnsiTheme="majorHAnsi"/>
        </w:rPr>
        <w:t xml:space="preserve"> (ILO).</w:t>
      </w:r>
      <w:r w:rsidR="00B33BE8">
        <w:rPr>
          <w:rStyle w:val="FootnoteReference"/>
          <w:rFonts w:asciiTheme="majorHAnsi" w:hAnsiTheme="majorHAnsi"/>
        </w:rPr>
        <w:footnoteReference w:id="2"/>
      </w:r>
    </w:p>
    <w:p w:rsidR="00E02E95" w:rsidRPr="00B33BE8" w:rsidRDefault="00E02E95" w:rsidP="00B33BE8">
      <w:pPr>
        <w:jc w:val="both"/>
        <w:rPr>
          <w:rFonts w:asciiTheme="majorHAnsi" w:hAnsiTheme="majorHAnsi"/>
        </w:rPr>
      </w:pP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>Domestic workers in the private home present some unique challenges to the maintenance of decent work of a kind acceptable in a civilized state.</w:t>
      </w:r>
      <w:r w:rsidR="002F15CA">
        <w:rPr>
          <w:rStyle w:val="FootnoteReference"/>
          <w:rFonts w:asciiTheme="majorHAnsi" w:hAnsiTheme="majorHAnsi"/>
        </w:rPr>
        <w:footnoteReference w:id="3"/>
      </w:r>
      <w:r w:rsidRPr="00B33BE8">
        <w:rPr>
          <w:rFonts w:asciiTheme="majorHAnsi" w:hAnsiTheme="majorHAnsi"/>
        </w:rPr>
        <w:t xml:space="preserve"> This submission identifies a number of issues central to this challenge. </w:t>
      </w:r>
      <w:r w:rsidR="00E02E95" w:rsidRPr="00B33BE8">
        <w:rPr>
          <w:rFonts w:asciiTheme="majorHAnsi" w:hAnsiTheme="majorHAnsi"/>
        </w:rPr>
        <w:t xml:space="preserve">It is submitted that the changes proposed in the regulatory environment to </w:t>
      </w:r>
      <w:proofErr w:type="gramStart"/>
      <w:r w:rsidR="00E02E95" w:rsidRPr="00B33BE8">
        <w:rPr>
          <w:rFonts w:asciiTheme="majorHAnsi" w:hAnsiTheme="majorHAnsi"/>
        </w:rPr>
        <w:t>encourage</w:t>
      </w:r>
      <w:proofErr w:type="gramEnd"/>
      <w:r w:rsidR="00E02E95" w:rsidRPr="00B33BE8">
        <w:rPr>
          <w:rFonts w:asciiTheme="majorHAnsi" w:hAnsiTheme="majorHAnsi"/>
        </w:rPr>
        <w:t xml:space="preserve"> and facilitate in-home child care should not proceed because of these risks or, if they do proceed, a closely aligned regulatory strategy to support decent work for the workforce will be initiated at the same time. </w:t>
      </w: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 xml:space="preserve">First, the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process and the kinds of workers likely to be undertaking it make it difficult to ensure that appropriate</w:t>
      </w:r>
      <w:r w:rsidR="00E02E95" w:rsidRPr="00B33BE8">
        <w:rPr>
          <w:rFonts w:asciiTheme="majorHAnsi" w:hAnsiTheme="majorHAnsi"/>
        </w:rPr>
        <w:t xml:space="preserve"> working</w:t>
      </w:r>
      <w:r w:rsidRPr="00B33BE8">
        <w:rPr>
          <w:rFonts w:asciiTheme="majorHAnsi" w:hAnsiTheme="majorHAnsi"/>
        </w:rPr>
        <w:t xml:space="preserve"> standards are maintained.</w:t>
      </w:r>
      <w:r w:rsidR="002F15CA">
        <w:rPr>
          <w:rStyle w:val="FootnoteReference"/>
          <w:rFonts w:asciiTheme="majorHAnsi" w:hAnsiTheme="majorHAnsi"/>
        </w:rPr>
        <w:footnoteReference w:id="4"/>
      </w:r>
      <w:r w:rsidRPr="00B33BE8">
        <w:rPr>
          <w:rFonts w:asciiTheme="majorHAnsi" w:hAnsiTheme="majorHAnsi"/>
        </w:rPr>
        <w:t xml:space="preserve"> Where the worker lives with the family, empirical evidence suggests that extreme exploitation may arise in relation to the boundaries between work and rest for the domestic worker.</w:t>
      </w:r>
      <w:r w:rsidR="00B33BE8">
        <w:rPr>
          <w:rStyle w:val="FootnoteReference"/>
          <w:rFonts w:asciiTheme="majorHAnsi" w:hAnsiTheme="majorHAnsi"/>
        </w:rPr>
        <w:footnoteReference w:id="5"/>
      </w:r>
      <w:r w:rsidRPr="00B33BE8">
        <w:rPr>
          <w:rFonts w:asciiTheme="majorHAnsi" w:hAnsiTheme="majorHAnsi"/>
        </w:rPr>
        <w:t xml:space="preserve"> Cases of near-slavery, </w:t>
      </w:r>
      <w:r w:rsidRPr="00B33BE8">
        <w:rPr>
          <w:rFonts w:asciiTheme="majorHAnsi" w:hAnsiTheme="majorHAnsi"/>
        </w:rPr>
        <w:lastRenderedPageBreak/>
        <w:t>where every waking hour of the worker is consumed by their domestic tasks, have been identified and, in some countries, prosecuted under civil and statutory codes.</w:t>
      </w:r>
      <w:r w:rsidR="002F15CA">
        <w:rPr>
          <w:rStyle w:val="FootnoteReference"/>
          <w:rFonts w:asciiTheme="majorHAnsi" w:hAnsiTheme="majorHAnsi"/>
        </w:rPr>
        <w:footnoteReference w:id="6"/>
      </w:r>
      <w:r w:rsidRPr="00B33BE8">
        <w:rPr>
          <w:rFonts w:asciiTheme="majorHAnsi" w:hAnsiTheme="majorHAnsi"/>
        </w:rPr>
        <w:t xml:space="preserve">  The home setting also means that there are risks </w:t>
      </w:r>
      <w:r w:rsidR="00B33BE8">
        <w:rPr>
          <w:rFonts w:asciiTheme="majorHAnsi" w:hAnsiTheme="majorHAnsi"/>
        </w:rPr>
        <w:t>of violence and harassment that</w:t>
      </w:r>
      <w:r w:rsidRPr="00B33BE8">
        <w:rPr>
          <w:rFonts w:asciiTheme="majorHAnsi" w:hAnsiTheme="majorHAnsi"/>
        </w:rPr>
        <w:t xml:space="preserve"> may be difficult to detect and police.</w:t>
      </w:r>
      <w:r w:rsidR="00E02E95" w:rsidRPr="00B33BE8">
        <w:rPr>
          <w:rFonts w:asciiTheme="majorHAnsi" w:hAnsiTheme="majorHAnsi"/>
        </w:rPr>
        <w:t xml:space="preserve"> In part, these problems are exacerbated by the intensely personal relationship between the worker and the family engaging their services. Migrant workers would be especially vulnerable. </w:t>
      </w:r>
    </w:p>
    <w:p w:rsidR="00E02E95" w:rsidRPr="00B33BE8" w:rsidRDefault="00E02E95" w:rsidP="00B33BE8">
      <w:pPr>
        <w:jc w:val="both"/>
        <w:rPr>
          <w:rFonts w:asciiTheme="majorHAnsi" w:hAnsiTheme="majorHAnsi"/>
        </w:rPr>
      </w:pP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 xml:space="preserve">The second problem is that the definition of appropriate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standards in pay, working time, leave, collective voice etc may be under-developed </w:t>
      </w:r>
      <w:r w:rsidR="00E02E95" w:rsidRPr="00B33BE8">
        <w:rPr>
          <w:rFonts w:asciiTheme="majorHAnsi" w:hAnsiTheme="majorHAnsi"/>
        </w:rPr>
        <w:t xml:space="preserve">(and ‘under-imagined’) </w:t>
      </w:r>
      <w:r w:rsidRPr="00B33BE8">
        <w:rPr>
          <w:rFonts w:asciiTheme="majorHAnsi" w:hAnsiTheme="majorHAnsi"/>
        </w:rPr>
        <w:t xml:space="preserve">compared to those applying in traditional workplaces. The importation of migrant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to fill in-home child care jobs risks the creation of an underclass of nannies </w:t>
      </w:r>
      <w:proofErr w:type="gramStart"/>
      <w:r w:rsidRPr="00B33BE8">
        <w:rPr>
          <w:rFonts w:asciiTheme="majorHAnsi" w:hAnsiTheme="majorHAnsi"/>
        </w:rPr>
        <w:t>who</w:t>
      </w:r>
      <w:proofErr w:type="gramEnd"/>
      <w:r w:rsidRPr="00B33BE8">
        <w:rPr>
          <w:rFonts w:asciiTheme="majorHAnsi" w:hAnsiTheme="majorHAnsi"/>
        </w:rPr>
        <w:t xml:space="preserve"> are excluded from the minimum standards applying to other workers in Australia. The particular problems of live-in workers mean that non-traditional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standards need to be considered, including </w:t>
      </w:r>
      <w:r w:rsidR="00E02E95" w:rsidRPr="00B33BE8">
        <w:rPr>
          <w:rFonts w:asciiTheme="majorHAnsi" w:hAnsiTheme="majorHAnsi"/>
        </w:rPr>
        <w:t xml:space="preserve">issues to do with </w:t>
      </w:r>
      <w:r w:rsidRPr="00B33BE8">
        <w:rPr>
          <w:rFonts w:asciiTheme="majorHAnsi" w:hAnsiTheme="majorHAnsi"/>
        </w:rPr>
        <w:t xml:space="preserve">access to private space, telephone and internet access and defined time away from the family. Migrant in-home workers may require access to the recognized necessities of such international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>, including assistance with repatriation of funds if this is required, i</w:t>
      </w:r>
      <w:r w:rsidR="00E02E95" w:rsidRPr="00B33BE8">
        <w:rPr>
          <w:rFonts w:asciiTheme="majorHAnsi" w:hAnsiTheme="majorHAnsi"/>
        </w:rPr>
        <w:t>nformation on migration rights and working rights and obligations in language suitable to the worker.</w:t>
      </w:r>
      <w:r w:rsidR="00B33BE8">
        <w:rPr>
          <w:rFonts w:asciiTheme="majorHAnsi" w:hAnsiTheme="majorHAnsi"/>
        </w:rPr>
        <w:t xml:space="preserve"> All domestic workers are vulnerable to breaches of fundamental human rights and liberties in ways not often evident in traditional workplaces. </w:t>
      </w: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</w:rPr>
      </w:pPr>
    </w:p>
    <w:p w:rsidR="00E02E95" w:rsidRPr="00B33BE8" w:rsidRDefault="002C702C" w:rsidP="00B33BE8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 xml:space="preserve">The third problem is that even if an appropriate catalogue of minimum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standards is identified and legally enacted, knowledge of these standards and the monitoring </w:t>
      </w:r>
      <w:r w:rsidR="00E02E95" w:rsidRPr="00B33BE8">
        <w:rPr>
          <w:rFonts w:asciiTheme="majorHAnsi" w:hAnsiTheme="majorHAnsi"/>
        </w:rPr>
        <w:t xml:space="preserve">and enforcement </w:t>
      </w:r>
      <w:r w:rsidRPr="00B33BE8">
        <w:rPr>
          <w:rFonts w:asciiTheme="majorHAnsi" w:hAnsiTheme="majorHAnsi"/>
        </w:rPr>
        <w:t xml:space="preserve">of compliance are particularly difficult to ensure for workers whose workplaces are private homes. </w:t>
      </w:r>
      <w:r w:rsidR="00B33BE8">
        <w:rPr>
          <w:rFonts w:asciiTheme="majorHAnsi" w:hAnsiTheme="majorHAnsi"/>
        </w:rPr>
        <w:t xml:space="preserve">Even fundamental issues like record keeping of hours and wages and other entitlements will be difficult to establish to a suitable standard in the household setting. </w:t>
      </w:r>
      <w:r w:rsidRPr="00B33BE8">
        <w:rPr>
          <w:rFonts w:asciiTheme="majorHAnsi" w:hAnsiTheme="majorHAnsi"/>
        </w:rPr>
        <w:t xml:space="preserve">Private families are not organized into employer associations, and the only emergent intermediary bodies in civil society are those businesses aiming to provide ‘nanny agency’-type services. The family home is traditionally hidden to the kind of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inspection systems designed around the public workplaces like offices and factories. Traditional systems of worker representation are difficult to foster where the workers are isolated and perhaps from non-English speaking backgrounds. </w:t>
      </w:r>
      <w:r w:rsidR="00E02E95" w:rsidRPr="00B33BE8">
        <w:rPr>
          <w:rFonts w:asciiTheme="majorHAnsi" w:hAnsiTheme="majorHAnsi"/>
        </w:rPr>
        <w:t xml:space="preserve"> This means that the traditional concept of collective bargaining, which is still the central means of access to appropriate working conditions under the Fair Work Act, is unlikely to be a reality for in-home workers. </w:t>
      </w:r>
      <w:r w:rsidR="00B33BE8">
        <w:rPr>
          <w:rFonts w:asciiTheme="majorHAnsi" w:hAnsiTheme="majorHAnsi"/>
        </w:rPr>
        <w:t xml:space="preserve">The need to foster effective collective voice and networking opportunities amongst an in-home workforce could be addressed through innovative regulatory forms utilized </w:t>
      </w:r>
      <w:r w:rsidR="00B33BE8">
        <w:rPr>
          <w:rFonts w:asciiTheme="majorHAnsi" w:hAnsiTheme="majorHAnsi"/>
        </w:rPr>
        <w:lastRenderedPageBreak/>
        <w:t xml:space="preserve">by the European Union, which should be considered if the Commission’s proposals are accepted by Government. </w:t>
      </w:r>
    </w:p>
    <w:p w:rsidR="00E02E95" w:rsidRPr="00B33BE8" w:rsidRDefault="00E02E95" w:rsidP="00B33BE8">
      <w:pPr>
        <w:jc w:val="both"/>
        <w:rPr>
          <w:rFonts w:asciiTheme="majorHAnsi" w:hAnsiTheme="majorHAnsi"/>
        </w:rPr>
      </w:pPr>
    </w:p>
    <w:p w:rsidR="002C702C" w:rsidRPr="00B33BE8" w:rsidRDefault="002C702C" w:rsidP="00B33BE8">
      <w:pPr>
        <w:pStyle w:val="ListParagraph"/>
        <w:jc w:val="both"/>
        <w:rPr>
          <w:rFonts w:asciiTheme="majorHAnsi" w:hAnsiTheme="majorHAnsi"/>
        </w:rPr>
      </w:pPr>
    </w:p>
    <w:p w:rsidR="002C702C" w:rsidRPr="001A5064" w:rsidRDefault="002C702C" w:rsidP="001A506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B33BE8">
        <w:rPr>
          <w:rFonts w:asciiTheme="majorHAnsi" w:hAnsiTheme="majorHAnsi"/>
        </w:rPr>
        <w:t xml:space="preserve">A number of the issues raised above are addressed in terms of minimum standards by the International </w:t>
      </w:r>
      <w:proofErr w:type="spellStart"/>
      <w:r w:rsidRPr="00B33BE8">
        <w:rPr>
          <w:rFonts w:asciiTheme="majorHAnsi" w:hAnsiTheme="majorHAnsi"/>
        </w:rPr>
        <w:t>Labour</w:t>
      </w:r>
      <w:proofErr w:type="spellEnd"/>
      <w:r w:rsidRPr="00B33BE8">
        <w:rPr>
          <w:rFonts w:asciiTheme="majorHAnsi" w:hAnsiTheme="majorHAnsi"/>
        </w:rPr>
        <w:t xml:space="preserve"> </w:t>
      </w:r>
      <w:proofErr w:type="spellStart"/>
      <w:r w:rsidRPr="00B33BE8">
        <w:rPr>
          <w:rFonts w:asciiTheme="majorHAnsi" w:hAnsiTheme="majorHAnsi"/>
        </w:rPr>
        <w:t>Organisation’s</w:t>
      </w:r>
      <w:proofErr w:type="spellEnd"/>
      <w:r w:rsidRPr="00B33BE8">
        <w:rPr>
          <w:rFonts w:asciiTheme="majorHAnsi" w:hAnsiTheme="majorHAnsi"/>
        </w:rPr>
        <w:t xml:space="preserve"> Convention on Domestic Work</w:t>
      </w:r>
      <w:r w:rsidR="00E02E95" w:rsidRPr="00B33BE8">
        <w:rPr>
          <w:rFonts w:asciiTheme="majorHAnsi" w:hAnsiTheme="majorHAnsi"/>
        </w:rPr>
        <w:t xml:space="preserve"> (Convention No 198)</w:t>
      </w:r>
      <w:r w:rsidR="002F15CA">
        <w:rPr>
          <w:rFonts w:asciiTheme="majorHAnsi" w:hAnsiTheme="majorHAnsi"/>
        </w:rPr>
        <w:t>, created in 2011</w:t>
      </w:r>
      <w:r w:rsidRPr="00B33BE8">
        <w:rPr>
          <w:rFonts w:asciiTheme="majorHAnsi" w:hAnsiTheme="majorHAnsi"/>
        </w:rPr>
        <w:t xml:space="preserve">. </w:t>
      </w:r>
      <w:r w:rsidR="002F15CA">
        <w:rPr>
          <w:rFonts w:asciiTheme="majorHAnsi" w:hAnsiTheme="majorHAnsi"/>
        </w:rPr>
        <w:t>T</w:t>
      </w:r>
      <w:r w:rsidRPr="00B33BE8">
        <w:rPr>
          <w:rFonts w:asciiTheme="majorHAnsi" w:hAnsiTheme="majorHAnsi"/>
        </w:rPr>
        <w:t xml:space="preserve">he Australian Government has indicated it will not ratify the Convention. This decision, if it remains current, cannot be </w:t>
      </w:r>
      <w:r w:rsidR="00AA44DB" w:rsidRPr="00B33BE8">
        <w:rPr>
          <w:rFonts w:asciiTheme="majorHAnsi" w:hAnsiTheme="majorHAnsi"/>
        </w:rPr>
        <w:t>sustained is a major recalibration of the child care system is engineered to foster in-home care of the kind provided by workers which this Convention seeks to protect.</w:t>
      </w:r>
      <w:bookmarkStart w:id="0" w:name="_GoBack"/>
      <w:bookmarkEnd w:id="0"/>
    </w:p>
    <w:sectPr w:rsidR="002C702C" w:rsidRPr="001A5064" w:rsidSect="002C702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64" w:rsidRDefault="00431ED3">
      <w:r>
        <w:separator/>
      </w:r>
    </w:p>
  </w:endnote>
  <w:endnote w:type="continuationSeparator" w:id="0">
    <w:p w:rsidR="00E56B64" w:rsidRDefault="0043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E8" w:rsidRDefault="00B33BE8" w:rsidP="007C5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BE8" w:rsidRDefault="00B33BE8" w:rsidP="00B33B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E8" w:rsidRDefault="00B33BE8" w:rsidP="007C58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064">
      <w:rPr>
        <w:rStyle w:val="PageNumber"/>
        <w:noProof/>
      </w:rPr>
      <w:t>1</w:t>
    </w:r>
    <w:r>
      <w:rPr>
        <w:rStyle w:val="PageNumber"/>
      </w:rPr>
      <w:fldChar w:fldCharType="end"/>
    </w:r>
  </w:p>
  <w:p w:rsidR="00B33BE8" w:rsidRDefault="00B33BE8" w:rsidP="00B33B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64" w:rsidRDefault="00431ED3">
      <w:r>
        <w:separator/>
      </w:r>
    </w:p>
  </w:footnote>
  <w:footnote w:type="continuationSeparator" w:id="0">
    <w:p w:rsidR="00E56B64" w:rsidRDefault="00431ED3">
      <w:r>
        <w:continuationSeparator/>
      </w:r>
    </w:p>
  </w:footnote>
  <w:footnote w:id="1">
    <w:p w:rsidR="00B33BE8" w:rsidRDefault="00B33BE8">
      <w:pPr>
        <w:pStyle w:val="FootnoteText"/>
      </w:pPr>
      <w:r>
        <w:rPr>
          <w:rStyle w:val="FootnoteReference"/>
        </w:rPr>
        <w:footnoteRef/>
      </w:r>
      <w:r>
        <w:t xml:space="preserve"> See for example South Africa’s </w:t>
      </w:r>
      <w:proofErr w:type="spellStart"/>
      <w:r>
        <w:t>Sectoral</w:t>
      </w:r>
      <w:proofErr w:type="spellEnd"/>
      <w:r>
        <w:t xml:space="preserve"> Determination 7: Domestic Worker Sector (binding as of September 2002) made under the Basic Conditions of Service Act. For a complete list of national legislative provisions on domestic work see ILO, </w:t>
      </w:r>
      <w:r w:rsidRPr="00B33BE8">
        <w:rPr>
          <w:i/>
        </w:rPr>
        <w:t xml:space="preserve">Effective Protection for Domestic Workers; A Guide to Designing </w:t>
      </w:r>
      <w:proofErr w:type="spellStart"/>
      <w:r w:rsidRPr="00B33BE8">
        <w:rPr>
          <w:i/>
        </w:rPr>
        <w:t>Labour</w:t>
      </w:r>
      <w:proofErr w:type="spellEnd"/>
      <w:r w:rsidRPr="00B33BE8">
        <w:rPr>
          <w:i/>
        </w:rPr>
        <w:t xml:space="preserve"> Law</w:t>
      </w:r>
      <w:r>
        <w:t xml:space="preserve">, International </w:t>
      </w:r>
      <w:proofErr w:type="spellStart"/>
      <w:r>
        <w:t>Labour</w:t>
      </w:r>
      <w:proofErr w:type="spellEnd"/>
      <w:r>
        <w:t xml:space="preserve"> Office, Geneva, 2012. </w:t>
      </w:r>
    </w:p>
  </w:footnote>
  <w:footnote w:id="2">
    <w:p w:rsidR="00B33BE8" w:rsidRDefault="00B33BE8">
      <w:pPr>
        <w:pStyle w:val="FootnoteText"/>
      </w:pPr>
      <w:r>
        <w:rPr>
          <w:rStyle w:val="FootnoteReference"/>
        </w:rPr>
        <w:footnoteRef/>
      </w:r>
      <w:r>
        <w:t xml:space="preserve"> D McCann and J Murray, ‘Prompting Formalization through </w:t>
      </w:r>
      <w:proofErr w:type="spellStart"/>
      <w:r>
        <w:t>Labour</w:t>
      </w:r>
      <w:proofErr w:type="spellEnd"/>
      <w:r>
        <w:t xml:space="preserve"> Market Regulation: a “Framed Flexibility” Model for Domestic Work’ (2014</w:t>
      </w:r>
      <w:proofErr w:type="gramStart"/>
      <w:r>
        <w:t>)  43</w:t>
      </w:r>
      <w:proofErr w:type="gramEnd"/>
      <w:r>
        <w:t xml:space="preserve">(3) </w:t>
      </w:r>
      <w:r w:rsidRPr="00B33BE8">
        <w:rPr>
          <w:i/>
        </w:rPr>
        <w:t>Industrial Law Journal</w:t>
      </w:r>
      <w:r>
        <w:t xml:space="preserve"> 319.</w:t>
      </w:r>
    </w:p>
  </w:footnote>
  <w:footnote w:id="3">
    <w:p w:rsidR="002F15CA" w:rsidRDefault="002F15CA">
      <w:pPr>
        <w:pStyle w:val="FootnoteText"/>
      </w:pPr>
      <w:r>
        <w:rPr>
          <w:rStyle w:val="FootnoteReference"/>
        </w:rPr>
        <w:footnoteRef/>
      </w:r>
      <w:r>
        <w:t xml:space="preserve"> ILO, Decent Work for Domestic Workers, Report No </w:t>
      </w:r>
      <w:proofErr w:type="gramStart"/>
      <w:r>
        <w:t>IV(</w:t>
      </w:r>
      <w:proofErr w:type="gramEnd"/>
      <w:r>
        <w:t xml:space="preserve">1) at the International </w:t>
      </w:r>
      <w:proofErr w:type="spellStart"/>
      <w:r>
        <w:t>Labour</w:t>
      </w:r>
      <w:proofErr w:type="spellEnd"/>
      <w:r>
        <w:t xml:space="preserve"> Conference, 99</w:t>
      </w:r>
      <w:r w:rsidRPr="002F15CA">
        <w:rPr>
          <w:vertAlign w:val="superscript"/>
        </w:rPr>
        <w:t>th</w:t>
      </w:r>
      <w:r>
        <w:t xml:space="preserve"> Session, 2010, Fourth Item on the Agenda, International </w:t>
      </w:r>
      <w:proofErr w:type="spellStart"/>
      <w:r>
        <w:t>Labour</w:t>
      </w:r>
      <w:proofErr w:type="spellEnd"/>
      <w:r>
        <w:t xml:space="preserve"> Office, Geneva, 2010. </w:t>
      </w:r>
    </w:p>
  </w:footnote>
  <w:footnote w:id="4">
    <w:p w:rsidR="002F15CA" w:rsidRDefault="002F15CA">
      <w:pPr>
        <w:pStyle w:val="FootnoteText"/>
      </w:pPr>
      <w:r>
        <w:rPr>
          <w:rStyle w:val="FootnoteReference"/>
        </w:rPr>
        <w:footnoteRef/>
      </w:r>
      <w:r>
        <w:t xml:space="preserve"> N </w:t>
      </w:r>
      <w:proofErr w:type="spellStart"/>
      <w:r>
        <w:t>Ghosheh</w:t>
      </w:r>
      <w:proofErr w:type="spellEnd"/>
      <w:r>
        <w:t xml:space="preserve">, ‘Protecting the Housekeeper: Legal Agreements Applicable to International Migrant Domestic Workers’ (2009) 25(30 </w:t>
      </w:r>
      <w:r w:rsidRPr="002F15CA">
        <w:rPr>
          <w:i/>
        </w:rPr>
        <w:t xml:space="preserve">International Journal of Comparative </w:t>
      </w:r>
      <w:proofErr w:type="spellStart"/>
      <w:r w:rsidRPr="002F15CA">
        <w:rPr>
          <w:i/>
        </w:rPr>
        <w:t>Labour</w:t>
      </w:r>
      <w:proofErr w:type="spellEnd"/>
      <w:r w:rsidRPr="002F15CA">
        <w:rPr>
          <w:i/>
        </w:rPr>
        <w:t xml:space="preserve"> Law and Industrial Relations</w:t>
      </w:r>
      <w:r>
        <w:t xml:space="preserve"> 301.</w:t>
      </w:r>
    </w:p>
  </w:footnote>
  <w:footnote w:id="5">
    <w:p w:rsidR="00B33BE8" w:rsidRDefault="00B33BE8">
      <w:pPr>
        <w:pStyle w:val="FootnoteText"/>
      </w:pPr>
      <w:r>
        <w:rPr>
          <w:rStyle w:val="FootnoteReference"/>
        </w:rPr>
        <w:footnoteRef/>
      </w:r>
      <w:r>
        <w:t xml:space="preserve"> D McCann and J Murray, ‘The Legal Regulation of Working Time in Domestic Work’, Conditions of Work and Employment Series No 27, International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, Geneva, 2010. </w:t>
      </w:r>
    </w:p>
  </w:footnote>
  <w:footnote w:id="6">
    <w:p w:rsidR="002F15CA" w:rsidRDefault="002F15CA">
      <w:pPr>
        <w:pStyle w:val="FootnoteText"/>
      </w:pPr>
      <w:r>
        <w:rPr>
          <w:rStyle w:val="FootnoteReference"/>
        </w:rPr>
        <w:footnoteRef/>
      </w:r>
      <w:r>
        <w:t xml:space="preserve"> V </w:t>
      </w:r>
      <w:proofErr w:type="spellStart"/>
      <w:r>
        <w:t>Mantouvalou</w:t>
      </w:r>
      <w:proofErr w:type="spellEnd"/>
      <w:r>
        <w:t xml:space="preserve">, ‘Servitude and Forced </w:t>
      </w:r>
      <w:proofErr w:type="spellStart"/>
      <w:r>
        <w:t>Labour</w:t>
      </w:r>
      <w:proofErr w:type="spellEnd"/>
      <w:r>
        <w:t xml:space="preserve"> in the 21</w:t>
      </w:r>
      <w:r w:rsidRPr="002F15CA">
        <w:rPr>
          <w:vertAlign w:val="superscript"/>
        </w:rPr>
        <w:t>st</w:t>
      </w:r>
      <w:r>
        <w:t xml:space="preserve"> Century: the Human Rights of Domestic Workers’ (2006) 35(4) </w:t>
      </w:r>
      <w:r w:rsidRPr="002F15CA">
        <w:rPr>
          <w:i/>
        </w:rPr>
        <w:t>Industrial Law Journal</w:t>
      </w:r>
      <w:r>
        <w:t xml:space="preserve"> 395. See for example </w:t>
      </w:r>
      <w:proofErr w:type="spellStart"/>
      <w:r w:rsidRPr="002F15CA">
        <w:rPr>
          <w:i/>
        </w:rPr>
        <w:t>Mustaji</w:t>
      </w:r>
      <w:proofErr w:type="spellEnd"/>
      <w:r w:rsidRPr="002F15CA">
        <w:rPr>
          <w:i/>
        </w:rPr>
        <w:t xml:space="preserve"> v </w:t>
      </w:r>
      <w:proofErr w:type="spellStart"/>
      <w:r w:rsidRPr="002F15CA">
        <w:rPr>
          <w:i/>
        </w:rPr>
        <w:t>Tjin</w:t>
      </w:r>
      <w:proofErr w:type="spellEnd"/>
      <w:r w:rsidRPr="002F15CA">
        <w:rPr>
          <w:i/>
        </w:rPr>
        <w:t xml:space="preserve"> </w:t>
      </w:r>
      <w:r>
        <w:t xml:space="preserve">25 BCLR 220; (1996) </w:t>
      </w:r>
      <w:proofErr w:type="spellStart"/>
      <w:r>
        <w:t>CanLii</w:t>
      </w:r>
      <w:proofErr w:type="spellEnd"/>
      <w:r>
        <w:t xml:space="preserve"> 1907 (BC CA).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A49"/>
    <w:multiLevelType w:val="hybridMultilevel"/>
    <w:tmpl w:val="29B6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C702C"/>
    <w:rsid w:val="001A5064"/>
    <w:rsid w:val="002C702C"/>
    <w:rsid w:val="002F15CA"/>
    <w:rsid w:val="00431ED3"/>
    <w:rsid w:val="00AA44DB"/>
    <w:rsid w:val="00B33BE8"/>
    <w:rsid w:val="00CA66DC"/>
    <w:rsid w:val="00E02E95"/>
    <w:rsid w:val="00E56B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70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0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33B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BE8"/>
  </w:style>
  <w:style w:type="character" w:styleId="PageNumber">
    <w:name w:val="page number"/>
    <w:basedOn w:val="DefaultParagraphFont"/>
    <w:uiPriority w:val="99"/>
    <w:semiHidden/>
    <w:unhideWhenUsed/>
    <w:rsid w:val="00B33BE8"/>
  </w:style>
  <w:style w:type="paragraph" w:styleId="FootnoteText">
    <w:name w:val="footnote text"/>
    <w:basedOn w:val="Normal"/>
    <w:link w:val="FootnoteTextChar"/>
    <w:uiPriority w:val="99"/>
    <w:semiHidden/>
    <w:unhideWhenUsed/>
    <w:rsid w:val="00B33BE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BE8"/>
  </w:style>
  <w:style w:type="character" w:styleId="FootnoteReference">
    <w:name w:val="footnote reference"/>
    <w:basedOn w:val="DefaultParagraphFont"/>
    <w:uiPriority w:val="99"/>
    <w:semiHidden/>
    <w:unhideWhenUsed/>
    <w:rsid w:val="00B33B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DR834 - Dr Jill Murray - Childcare and Early Childhood Learning - Public inquiry</vt:lpstr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DR834 - Dr Jill Murray - Childcare and Early Childhood Learning - Public inquiry</dc:title>
  <dc:subject/>
  <dc:creator>Dr Jill Murray</dc:creator>
  <cp:keywords/>
  <cp:lastModifiedBy>Mark Pimperl</cp:lastModifiedBy>
  <cp:revision>7</cp:revision>
  <dcterms:created xsi:type="dcterms:W3CDTF">2014-09-05T06:14:00Z</dcterms:created>
  <dcterms:modified xsi:type="dcterms:W3CDTF">2014-09-14T23:47:00Z</dcterms:modified>
</cp:coreProperties>
</file>