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084" w:rsidRPr="00197084" w:rsidRDefault="001C2DE2" w:rsidP="00197084">
      <w:pPr>
        <w:pStyle w:val="Heading1"/>
        <w:spacing w:before="100" w:beforeAutospacing="1" w:after="100" w:afterAutospacing="1" w:line="240" w:lineRule="auto"/>
        <w:jc w:val="both"/>
        <w:rPr>
          <w:color w:val="FFFFFF" w:themeColor="background1"/>
          <w:sz w:val="2"/>
          <w:szCs w:val="2"/>
        </w:rPr>
      </w:pPr>
      <w:bookmarkStart w:id="0" w:name="ChapterTitle"/>
      <w:r>
        <w:rPr>
          <w:noProof/>
        </w:rPr>
        <w:drawing>
          <wp:anchor distT="0" distB="0" distL="114300" distR="114300" simplePos="0" relativeHeight="251658240" behindDoc="0" locked="0" layoutInCell="1" allowOverlap="1" wp14:anchorId="436EBCAF" wp14:editId="0A496C61">
            <wp:simplePos x="1152525" y="-6286500"/>
            <wp:positionH relativeFrom="margin">
              <wp:align>center</wp:align>
            </wp:positionH>
            <wp:positionV relativeFrom="margin">
              <wp:align>center</wp:align>
            </wp:positionV>
            <wp:extent cx="7888734" cy="11160000"/>
            <wp:effectExtent l="0" t="0" r="0" b="3810"/>
            <wp:wrapSquare wrapText="bothSides"/>
            <wp:docPr id="4" name="Picture 4" descr="Cover of the 'Modelling the Effects of Childcare Policy Changes' technical supplement to the Childcare and Early Childhood Learning Inquiry report. October 2014. 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technical-supplement-childcare-report.png"/>
                    <pic:cNvPicPr/>
                  </pic:nvPicPr>
                  <pic:blipFill>
                    <a:blip r:embed="rId9">
                      <a:extLst>
                        <a:ext uri="{28A0092B-C50C-407E-A947-70E740481C1C}">
                          <a14:useLocalDpi xmlns:a14="http://schemas.microsoft.com/office/drawing/2010/main" val="0"/>
                        </a:ext>
                      </a:extLst>
                    </a:blip>
                    <a:stretch>
                      <a:fillRect/>
                    </a:stretch>
                  </pic:blipFill>
                  <pic:spPr>
                    <a:xfrm>
                      <a:off x="0" y="0"/>
                      <a:ext cx="7888734" cy="11160000"/>
                    </a:xfrm>
                    <a:prstGeom prst="rect">
                      <a:avLst/>
                    </a:prstGeom>
                    <a:ln>
                      <a:noFill/>
                    </a:ln>
                  </pic:spPr>
                </pic:pic>
              </a:graphicData>
            </a:graphic>
            <wp14:sizeRelH relativeFrom="margin">
              <wp14:pctWidth>0</wp14:pctWidth>
            </wp14:sizeRelH>
            <wp14:sizeRelV relativeFrom="margin">
              <wp14:pctHeight>0</wp14:pctHeight>
            </wp14:sizeRelV>
          </wp:anchor>
        </w:drawing>
      </w:r>
      <w:r w:rsidR="00197084" w:rsidRPr="00197084">
        <w:rPr>
          <w:color w:val="FFFFFF" w:themeColor="background1"/>
          <w:sz w:val="2"/>
          <w:szCs w:val="2"/>
        </w:rPr>
        <w:t xml:space="preserve">Cover for the Australian Government Productivity Commission publication titled ‘Modelling the Effects of Childcare Policy Changes’. </w:t>
      </w:r>
    </w:p>
    <w:p w:rsidR="00197084" w:rsidRDefault="00197084" w:rsidP="00197084">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2014</w:t>
      </w:r>
    </w:p>
    <w:p w:rsidR="00197084" w:rsidRDefault="00197084" w:rsidP="00197084">
      <w:pPr>
        <w:pStyle w:val="BodyText"/>
        <w:spacing w:after="120"/>
      </w:pPr>
      <w:bookmarkStart w:id="1" w:name="ISSN"/>
      <w:bookmarkEnd w:id="1"/>
      <w:r w:rsidRPr="00862D8F">
        <w:rPr>
          <w:noProof/>
          <w:sz w:val="22"/>
          <w:szCs w:val="22"/>
        </w:rPr>
        <w:drawing>
          <wp:inline distT="0" distB="0" distL="0" distR="0" wp14:anchorId="112FD5B9" wp14:editId="7326E043">
            <wp:extent cx="843280" cy="295043"/>
            <wp:effectExtent l="0" t="0" r="0" b="0"/>
            <wp:docPr id="14" name="Picture 14"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197084" w:rsidRPr="008A3857" w:rsidRDefault="00197084" w:rsidP="00197084">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w:t>
      </w:r>
      <w:proofErr w:type="gramStart"/>
      <w:r w:rsidRPr="008A3857">
        <w:t xml:space="preserve">visit </w:t>
      </w:r>
      <w:proofErr w:type="gramEnd"/>
      <w:r w:rsidR="007B7F17">
        <w:fldChar w:fldCharType="begin"/>
      </w:r>
      <w:r w:rsidR="007B7F17">
        <w:instrText xml:space="preserve"> HYPERLINK "http://creativecommons.or</w:instrText>
      </w:r>
      <w:r w:rsidR="007B7F17">
        <w:instrText xml:space="preserve">g/licenses/by/3.0/au" </w:instrText>
      </w:r>
      <w:r w:rsidR="007B7F17">
        <w:fldChar w:fldCharType="separate"/>
      </w:r>
      <w:hyperlink r:id="rId11" w:history="1">
        <w:r w:rsidRPr="00805FD7">
          <w:t>http://creativecommons.org/licenses/by/3.0/au</w:t>
        </w:r>
      </w:hyperlink>
      <w:r w:rsidR="007B7F17">
        <w:fldChar w:fldCharType="end"/>
      </w:r>
      <w:r w:rsidRPr="008A3857">
        <w:rPr>
          <w:szCs w:val="24"/>
        </w:rPr>
        <w:t>.</w:t>
      </w:r>
      <w:r w:rsidRPr="008A3857">
        <w:t xml:space="preserve"> In essence, you are free to copy, communicate and adapt the work, as long as you attribute the work to the Productivity Commission (but not in any way that suggests the Commission </w:t>
      </w:r>
      <w:proofErr w:type="gramStart"/>
      <w:r w:rsidRPr="008A3857">
        <w:t>endorses</w:t>
      </w:r>
      <w:proofErr w:type="gramEnd"/>
      <w:r w:rsidRPr="008A3857">
        <w:t xml:space="preserve"> you or your use) and abide by the other licence terms.</w:t>
      </w:r>
    </w:p>
    <w:p w:rsidR="00197084" w:rsidRPr="008A3857" w:rsidRDefault="00197084" w:rsidP="00197084">
      <w:pPr>
        <w:pStyle w:val="Copyrightsubtitle"/>
      </w:pPr>
      <w:r w:rsidRPr="008A3857">
        <w:t>Use of the Commonwealth Coat of Arms</w:t>
      </w:r>
    </w:p>
    <w:p w:rsidR="00197084" w:rsidRPr="008A3857" w:rsidRDefault="00197084" w:rsidP="00197084">
      <w:pPr>
        <w:pStyle w:val="Copyrightbodytext"/>
      </w:pPr>
      <w:r w:rsidRPr="008A3857">
        <w:t>For terms of use of the Coat of Arms visit the ‘</w:t>
      </w:r>
      <w:hyperlink r:id="rId12" w:history="1">
        <w:r w:rsidRPr="00805FD7">
          <w:t>It’s an Honour</w:t>
        </w:r>
      </w:hyperlink>
      <w:r w:rsidRPr="008A3857">
        <w:t>’ website</w:t>
      </w:r>
      <w:r w:rsidRPr="00BA0B81">
        <w:t xml:space="preserve">: </w:t>
      </w:r>
      <w:hyperlink r:id="rId13" w:history="1">
        <w:r w:rsidRPr="00805FD7">
          <w:t>http://www.itsanhonour.gov.au</w:t>
        </w:r>
      </w:hyperlink>
    </w:p>
    <w:p w:rsidR="00197084" w:rsidRPr="008A3857" w:rsidRDefault="00197084" w:rsidP="00197084">
      <w:pPr>
        <w:pStyle w:val="Copyrightsubtitle"/>
      </w:pPr>
      <w:r w:rsidRPr="008A3857">
        <w:t>Third party copyright</w:t>
      </w:r>
      <w:bookmarkStart w:id="2" w:name="_GoBack"/>
      <w:bookmarkEnd w:id="2"/>
    </w:p>
    <w:p w:rsidR="00197084" w:rsidRPr="008A3857" w:rsidRDefault="00197084" w:rsidP="00197084">
      <w:pPr>
        <w:pStyle w:val="Copyrightbodytext"/>
      </w:pPr>
      <w:r w:rsidRPr="008A3857">
        <w:t>Wherever a third party holds copyright in this material, the copyright remains with that party. Their permission may be required to use the material, please contact them directly.</w:t>
      </w:r>
    </w:p>
    <w:p w:rsidR="00197084" w:rsidRPr="008A3857" w:rsidRDefault="00197084" w:rsidP="00197084">
      <w:pPr>
        <w:pStyle w:val="Copyrightsubtitle"/>
      </w:pPr>
      <w:r w:rsidRPr="008A3857">
        <w:t>Attribution</w:t>
      </w:r>
    </w:p>
    <w:p w:rsidR="00197084" w:rsidRPr="008A3857" w:rsidRDefault="00197084" w:rsidP="00197084">
      <w:pPr>
        <w:pStyle w:val="Copyrightbodytext"/>
      </w:pPr>
      <w:r w:rsidRPr="008A3857">
        <w:t xml:space="preserve">This work should be attributed as follows, </w:t>
      </w:r>
      <w:r w:rsidRPr="008E242D">
        <w:rPr>
          <w:i/>
        </w:rPr>
        <w:t xml:space="preserve">Source: Productivity Commission, </w:t>
      </w:r>
      <w:r>
        <w:rPr>
          <w:i/>
        </w:rPr>
        <w:t>‘Modelling the Effects of Childcare Policy Changes’</w:t>
      </w:r>
      <w:r w:rsidRPr="008A3857">
        <w:t>.</w:t>
      </w:r>
    </w:p>
    <w:p w:rsidR="00197084" w:rsidRPr="008A3857" w:rsidRDefault="00197084" w:rsidP="00197084">
      <w:pPr>
        <w:pStyle w:val="Copyrightbodytext"/>
        <w:spacing w:before="120"/>
      </w:pPr>
      <w:r w:rsidRPr="008A3857">
        <w:t xml:space="preserve">If you have adapted, modified or transformed this work in anyway, please use the following, </w:t>
      </w:r>
      <w:r w:rsidRPr="008E242D">
        <w:rPr>
          <w:i/>
        </w:rPr>
        <w:t>Source: based on Productivity Commission</w:t>
      </w:r>
      <w:r>
        <w:rPr>
          <w:i/>
        </w:rPr>
        <w:t xml:space="preserve"> </w:t>
      </w:r>
      <w:r w:rsidRPr="008E242D">
        <w:rPr>
          <w:i/>
        </w:rPr>
        <w:t xml:space="preserve">data, </w:t>
      </w:r>
      <w:r>
        <w:rPr>
          <w:i/>
        </w:rPr>
        <w:t>‘Modelling the Effects of Childcare Policy Changes’</w:t>
      </w:r>
      <w:r w:rsidRPr="008A3857">
        <w:t>.</w:t>
      </w:r>
    </w:p>
    <w:p w:rsidR="00197084" w:rsidRPr="008A3857" w:rsidRDefault="00197084" w:rsidP="00197084">
      <w:pPr>
        <w:pStyle w:val="Copyrightsubtitle"/>
      </w:pPr>
      <w:r w:rsidRPr="008A3857">
        <w:t xml:space="preserve">An appropriate </w:t>
      </w:r>
      <w:r>
        <w:t>reference</w:t>
      </w:r>
      <w:r w:rsidRPr="008A3857">
        <w:t xml:space="preserve"> for this publication is:</w:t>
      </w:r>
    </w:p>
    <w:p w:rsidR="00197084" w:rsidRPr="00CD469A" w:rsidRDefault="00197084" w:rsidP="00197084">
      <w:pPr>
        <w:pStyle w:val="Copyrightbodytext"/>
      </w:pPr>
      <w:r>
        <w:t>Productivity Commission 2014, ‘</w:t>
      </w:r>
      <w:r w:rsidRPr="00CD469A">
        <w:t>Modelling the Effects of Childcare Policy Changes</w:t>
      </w:r>
      <w:r>
        <w:t>’</w:t>
      </w:r>
      <w:r w:rsidRPr="00CD469A">
        <w:t>,</w:t>
      </w:r>
      <w:r>
        <w:t xml:space="preserve"> Technical Supplement to the Draft Report </w:t>
      </w:r>
      <w:r w:rsidRPr="00CD469A">
        <w:rPr>
          <w:i/>
        </w:rPr>
        <w:t>Childcare and Early Childhood Learning</w:t>
      </w:r>
      <w:r>
        <w:t>, Canberra, October.</w:t>
      </w:r>
    </w:p>
    <w:p w:rsidR="00197084" w:rsidRPr="008A3857" w:rsidRDefault="00197084" w:rsidP="00197084">
      <w:pPr>
        <w:pStyle w:val="Copyrightsubtitle"/>
      </w:pPr>
      <w:bookmarkStart w:id="3" w:name="JEL"/>
      <w:bookmarkEnd w:id="3"/>
      <w:r w:rsidRPr="008A3857">
        <w:t>Publications enquiries</w:t>
      </w:r>
    </w:p>
    <w:p w:rsidR="00197084" w:rsidRDefault="00197084" w:rsidP="00197084">
      <w:pPr>
        <w:pStyle w:val="Copyrightbodytext"/>
      </w:pPr>
      <w:r w:rsidRPr="008A3857">
        <w:t xml:space="preserve">Media and Publications, </w:t>
      </w:r>
      <w:r>
        <w:rPr>
          <w:szCs w:val="24"/>
        </w:rPr>
        <w:t>phone:</w:t>
      </w:r>
      <w:r w:rsidRPr="00BB5DCF">
        <w:rPr>
          <w:szCs w:val="24"/>
        </w:rPr>
        <w:t xml:space="preserve"> (03) 9653 2244 or email: maps@pc.gov.au</w:t>
      </w:r>
    </w:p>
    <w:p w:rsidR="00197084" w:rsidRDefault="00197084" w:rsidP="0019708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97084" w:rsidTr="00B37383">
        <w:tc>
          <w:tcPr>
            <w:tcW w:w="8771" w:type="dxa"/>
            <w:tcBorders>
              <w:top w:val="single" w:sz="6" w:space="0" w:color="78A22F"/>
              <w:left w:val="nil"/>
              <w:bottom w:val="nil"/>
              <w:right w:val="nil"/>
            </w:tcBorders>
            <w:shd w:val="clear" w:color="auto" w:fill="F2F2F2" w:themeFill="background1" w:themeFillShade="F2"/>
          </w:tcPr>
          <w:p w:rsidR="00197084" w:rsidRPr="008A3857" w:rsidRDefault="00197084" w:rsidP="00B37383">
            <w:pPr>
              <w:pStyle w:val="BoxTitle"/>
            </w:pPr>
            <w:r w:rsidRPr="008A3857">
              <w:t>The Productivity Commission</w:t>
            </w:r>
          </w:p>
        </w:tc>
      </w:tr>
      <w:tr w:rsidR="00197084" w:rsidTr="00B37383">
        <w:trPr>
          <w:cantSplit/>
        </w:trPr>
        <w:tc>
          <w:tcPr>
            <w:tcW w:w="8771" w:type="dxa"/>
            <w:tcBorders>
              <w:top w:val="nil"/>
              <w:left w:val="nil"/>
              <w:bottom w:val="nil"/>
              <w:right w:val="nil"/>
            </w:tcBorders>
            <w:shd w:val="clear" w:color="auto" w:fill="F2F2F2" w:themeFill="background1" w:themeFillShade="F2"/>
          </w:tcPr>
          <w:p w:rsidR="00197084" w:rsidRDefault="00197084" w:rsidP="00B37383">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197084" w:rsidRDefault="00197084" w:rsidP="00B37383">
            <w:pPr>
              <w:pStyle w:val="Box"/>
            </w:pPr>
            <w:r w:rsidRPr="00BB5DCF">
              <w:t>The Commission’s independence is underpinned by an Act of Parliament. Its processes and outputs are open to public scrutiny and are driven by concern for the wellbeing of the community as a whole.</w:t>
            </w:r>
          </w:p>
          <w:p w:rsidR="00197084" w:rsidRDefault="00197084" w:rsidP="00B37383">
            <w:pPr>
              <w:pStyle w:val="Box"/>
            </w:pPr>
            <w:r w:rsidRPr="00BB5DCF">
              <w:rPr>
                <w:szCs w:val="24"/>
              </w:rPr>
              <w:t>Further information on the Productivity Commission can be obtained from the Commission’s website (</w:t>
            </w:r>
            <w:hyperlink r:id="rId14" w:history="1">
              <w:r w:rsidRPr="00805FD7">
                <w:t>www.pc.gov.au</w:t>
              </w:r>
            </w:hyperlink>
            <w:r w:rsidRPr="00BB5DCF">
              <w:rPr>
                <w:szCs w:val="24"/>
              </w:rPr>
              <w:t>)</w:t>
            </w:r>
            <w:r>
              <w:rPr>
                <w:szCs w:val="24"/>
              </w:rPr>
              <w:t>.</w:t>
            </w:r>
          </w:p>
        </w:tc>
      </w:tr>
      <w:tr w:rsidR="00197084" w:rsidTr="00B37383">
        <w:trPr>
          <w:cantSplit/>
        </w:trPr>
        <w:tc>
          <w:tcPr>
            <w:tcW w:w="8771" w:type="dxa"/>
            <w:tcBorders>
              <w:top w:val="nil"/>
              <w:left w:val="nil"/>
              <w:bottom w:val="single" w:sz="6" w:space="0" w:color="78A22F"/>
              <w:right w:val="nil"/>
            </w:tcBorders>
            <w:shd w:val="clear" w:color="auto" w:fill="F2F2F2" w:themeFill="background1" w:themeFillShade="F2"/>
          </w:tcPr>
          <w:p w:rsidR="00197084" w:rsidRDefault="00197084" w:rsidP="00B37383">
            <w:pPr>
              <w:pStyle w:val="Box"/>
              <w:spacing w:before="0" w:line="120" w:lineRule="exact"/>
            </w:pPr>
          </w:p>
        </w:tc>
      </w:tr>
    </w:tbl>
    <w:p w:rsidR="00197084" w:rsidRDefault="00197084" w:rsidP="00197084">
      <w:pPr>
        <w:pStyle w:val="BodyText"/>
      </w:pPr>
    </w:p>
    <w:p w:rsidR="00197084" w:rsidRDefault="00197084" w:rsidP="007438EE">
      <w:pPr>
        <w:pStyle w:val="Heading1nochapterno"/>
        <w:sectPr w:rsidR="00197084" w:rsidSect="00197084">
          <w:type w:val="oddPage"/>
          <w:pgSz w:w="11907" w:h="16840" w:code="9"/>
          <w:pgMar w:top="1985" w:right="1304" w:bottom="568" w:left="1814" w:header="1701" w:footer="397" w:gutter="0"/>
          <w:pgNumType w:start="0" w:chapSep="period"/>
          <w:cols w:space="720"/>
          <w:docGrid w:linePitch="326"/>
        </w:sectPr>
      </w:pPr>
    </w:p>
    <w:p w:rsidR="00A33DFF" w:rsidRDefault="00DB39D6" w:rsidP="007438EE">
      <w:pPr>
        <w:pStyle w:val="Heading1nochapterno"/>
      </w:pPr>
      <w:r>
        <w:lastRenderedPageBreak/>
        <w:t>Modelling the effects</w:t>
      </w:r>
      <w:r w:rsidR="00053D21">
        <w:t xml:space="preserve"> </w:t>
      </w:r>
      <w:r>
        <w:t>of childcare policy changes</w:t>
      </w:r>
      <w:bookmarkEnd w:id="0"/>
    </w:p>
    <w:p w:rsidR="00CF6B94" w:rsidRDefault="00CF6B94" w:rsidP="00CF6B94">
      <w:pPr>
        <w:pStyle w:val="BodyText"/>
      </w:pPr>
      <w:bookmarkStart w:id="4" w:name="begin"/>
      <w:bookmarkEnd w:id="4"/>
      <w:r w:rsidRPr="006843B7">
        <w:t xml:space="preserve">The </w:t>
      </w:r>
      <w:r>
        <w:t xml:space="preserve">Childcare and Early Childhood Learning inquiry </w:t>
      </w:r>
      <w:r w:rsidRPr="006843B7">
        <w:t xml:space="preserve">terms of reference require the Commission to assess the contribution that access to affordable, </w:t>
      </w:r>
      <w:r>
        <w:t xml:space="preserve">quality childcare can make to child development and </w:t>
      </w:r>
      <w:r w:rsidRPr="006843B7">
        <w:t>increased participation in the workforce</w:t>
      </w:r>
      <w:r>
        <w:t>. The Commission has been requested to consider new policy options within the current government funding parameters.</w:t>
      </w:r>
    </w:p>
    <w:p w:rsidR="00CF6B94" w:rsidRDefault="00CF6B94" w:rsidP="00CF6B94">
      <w:pPr>
        <w:pStyle w:val="BodyText"/>
      </w:pPr>
      <w:r>
        <w:t>In addressing its task, the Commission has developed a model — referred to as the Productivity Commission Micro-simulation (PCMC) model — to gauge the potential impacts of policy scenarios recommended in the inquiry report. This technical supplement presents the final version of this model and results used for the inquiry report. It also outlines some caveats and limitations to bear in mind when interpreting the results.</w:t>
      </w:r>
    </w:p>
    <w:p w:rsidR="00CF6B94" w:rsidRDefault="00CF6B94" w:rsidP="00CF6B94">
      <w:pPr>
        <w:pStyle w:val="BodyText"/>
      </w:pPr>
      <w:r>
        <w:t>The main results show that the recommended simplification of the existing childcare arrangements — while remaining in the same budget envelope — could increase demand for childcare and labour supply from parents. The changes are likely to benefit low</w:t>
      </w:r>
      <w:r>
        <w:noBreakHyphen/>
        <w:t xml:space="preserve"> and middle</w:t>
      </w:r>
      <w:r>
        <w:noBreakHyphen/>
        <w:t xml:space="preserve">income households and increase workforce participation in these groups. </w:t>
      </w:r>
    </w:p>
    <w:p w:rsidR="00CF6B94" w:rsidRDefault="00CF6B94" w:rsidP="00CF6B94">
      <w:pPr>
        <w:pStyle w:val="BodyText"/>
      </w:pPr>
      <w:r>
        <w:t>This paper is divided into 5 sections:</w:t>
      </w:r>
    </w:p>
    <w:p w:rsidR="00CF6B94" w:rsidRPr="00CF6B94" w:rsidRDefault="00CF6B94" w:rsidP="00CF6B94">
      <w:pPr>
        <w:pStyle w:val="ListBullet"/>
      </w:pPr>
      <w:r w:rsidRPr="00CF6B94">
        <w:t>The first provides a broad overview of the Commission’s approach to the modelling task and the framework adopted.</w:t>
      </w:r>
    </w:p>
    <w:p w:rsidR="00CF6B94" w:rsidRPr="00CF6B94" w:rsidRDefault="00CF6B94" w:rsidP="00CF6B94">
      <w:pPr>
        <w:pStyle w:val="ListBullet"/>
      </w:pPr>
      <w:r w:rsidRPr="00CF6B94">
        <w:t>The second highlights the assumptions, caveats and limitations that are important when considering the results and implications of the Commission’s modelling.</w:t>
      </w:r>
    </w:p>
    <w:p w:rsidR="00CF6B94" w:rsidRPr="00CF6B94" w:rsidRDefault="00CF6B94" w:rsidP="00CF6B94">
      <w:pPr>
        <w:pStyle w:val="ListBullet"/>
      </w:pPr>
      <w:r w:rsidRPr="00CF6B94">
        <w:t>The third details the policy changes contained in the Commission’s recommended policy.</w:t>
      </w:r>
    </w:p>
    <w:p w:rsidR="00CF6B94" w:rsidRPr="00CF6B94" w:rsidRDefault="00CF6B94" w:rsidP="00CF6B94">
      <w:pPr>
        <w:pStyle w:val="ListBullet"/>
      </w:pPr>
      <w:r w:rsidRPr="00CF6B94">
        <w:t>The fourth explains the illustrative results, as well as the intuition behind them.</w:t>
      </w:r>
    </w:p>
    <w:p w:rsidR="00CF6B94" w:rsidRPr="00CF6B94" w:rsidRDefault="00CF6B94" w:rsidP="00CF6B94">
      <w:pPr>
        <w:pStyle w:val="ListBullet"/>
      </w:pPr>
      <w:r w:rsidRPr="00CF6B94">
        <w:t>The fifth section explains the sensitivity of model results to alternative policy specifications.</w:t>
      </w:r>
    </w:p>
    <w:p w:rsidR="00CF6B94" w:rsidRDefault="00CF6B94" w:rsidP="00CF6B94">
      <w:pPr>
        <w:pStyle w:val="BodyText"/>
      </w:pPr>
      <w:r>
        <w:t>The paper also includes appendixes — on model data sources and preparation; a detailed model specification, and an explanation and presentation of the econometric estimations used to parameterise the model.</w:t>
      </w:r>
    </w:p>
    <w:p w:rsidR="00CF6B94" w:rsidRDefault="00CF6B94" w:rsidP="00CF6B94">
      <w:pPr>
        <w:pStyle w:val="BodyText"/>
      </w:pPr>
      <w:r>
        <w:t xml:space="preserve">The Commission conducted a modelling workshop on 6 August 2014, seeking input on refining the </w:t>
      </w:r>
      <w:r w:rsidRPr="00161C22">
        <w:t>modelling</w:t>
      </w:r>
      <w:r>
        <w:t xml:space="preserve"> for the inquiry final report</w:t>
      </w:r>
      <w:r w:rsidRPr="00161C22">
        <w:t xml:space="preserve">. </w:t>
      </w:r>
      <w:r>
        <w:t>T</w:t>
      </w:r>
      <w:r w:rsidRPr="00161C22">
        <w:t>he Commission</w:t>
      </w:r>
      <w:r>
        <w:t xml:space="preserve"> also </w:t>
      </w:r>
      <w:r w:rsidRPr="00161C22">
        <w:t xml:space="preserve">appointed Professor </w:t>
      </w:r>
      <w:r>
        <w:t xml:space="preserve">Guyonne Kalb, Director of the Labour Economics and Social Policy Program at </w:t>
      </w:r>
      <w:r>
        <w:lastRenderedPageBreak/>
        <w:t xml:space="preserve">the Melbourne Institute </w:t>
      </w:r>
      <w:r w:rsidRPr="00161C22">
        <w:t xml:space="preserve">(University of </w:t>
      </w:r>
      <w:r>
        <w:t>Melbourne</w:t>
      </w:r>
      <w:r w:rsidRPr="00161C22">
        <w:t>)</w:t>
      </w:r>
      <w:r>
        <w:t xml:space="preserve"> to review the modelling approach. Professor </w:t>
      </w:r>
      <w:proofErr w:type="spellStart"/>
      <w:r>
        <w:t>Kalb’s</w:t>
      </w:r>
      <w:proofErr w:type="spellEnd"/>
      <w:r>
        <w:t xml:space="preserve"> </w:t>
      </w:r>
      <w:proofErr w:type="gramStart"/>
      <w:r w:rsidRPr="00161C22">
        <w:t>report</w:t>
      </w:r>
      <w:r>
        <w:t xml:space="preserve"> on the version of the Commission’s model used for the draft report, as well as a list of the attendees at the workshop,</w:t>
      </w:r>
      <w:r w:rsidRPr="00161C22">
        <w:t xml:space="preserve"> are</w:t>
      </w:r>
      <w:proofErr w:type="gramEnd"/>
      <w:r w:rsidRPr="00161C22">
        <w:t xml:space="preserve"> included in appendix D.</w:t>
      </w:r>
      <w:r>
        <w:t xml:space="preserve"> The final version of the model documented in this paper incorporates improvements relative to the draft version based on the comments received from Professor Kalb and at the workshop.</w:t>
      </w:r>
    </w:p>
    <w:p w:rsidR="00CF6B94" w:rsidRPr="00EE65F4" w:rsidRDefault="00CF6B94" w:rsidP="00CF6B94">
      <w:pPr>
        <w:pStyle w:val="Heading2"/>
      </w:pPr>
      <w:r w:rsidRPr="00EE65F4">
        <w:t>1</w:t>
      </w:r>
      <w:r w:rsidRPr="00EE65F4">
        <w:tab/>
      </w:r>
      <w:r>
        <w:t xml:space="preserve">The </w:t>
      </w:r>
      <w:r w:rsidRPr="00EE65F4">
        <w:t>Commission’s approach</w:t>
      </w:r>
    </w:p>
    <w:p w:rsidR="00CF6B94" w:rsidRPr="00054890" w:rsidRDefault="00CF6B94" w:rsidP="00CF6B94">
      <w:pPr>
        <w:pStyle w:val="BodyText"/>
        <w:spacing w:before="360"/>
        <w:rPr>
          <w:b/>
        </w:rPr>
      </w:pPr>
      <w:r>
        <w:t>The Commission has developed a behavioural micro-simulation model to understand/explain the effects of the Commission’s recommended policy, and to examine the sensitivity of the effects to alternative policy specifications.</w:t>
      </w:r>
    </w:p>
    <w:p w:rsidR="00CF6B94" w:rsidRDefault="00CF6B94" w:rsidP="00CF6B94">
      <w:pPr>
        <w:pStyle w:val="BodyText"/>
      </w:pPr>
      <w:r>
        <w:t>Behavioural micro-simulation models — models that simulate individual</w:t>
      </w:r>
      <w:r>
        <w:noBreakHyphen/>
        <w:t>level decisions and sometimes the interaction of individual decision makers — are commonly used within an economic framework to assess the impact of government policy changes, such as changes in tax and benefits, on governments’ fiscal position and on aggregate labour supply. They are particularly useful where there is a wide variety in decision makers and complex policy changes are likely to impact these decision makers in different ways. Micro-simulation models can incorporate information from</w:t>
      </w:r>
      <w:r w:rsidRPr="004C5E3D">
        <w:t xml:space="preserve"> </w:t>
      </w:r>
      <w:r>
        <w:t xml:space="preserve">large </w:t>
      </w:r>
      <w:r w:rsidRPr="004C5E3D">
        <w:t>data set</w:t>
      </w:r>
      <w:r>
        <w:t>s that reflect</w:t>
      </w:r>
      <w:r w:rsidRPr="004C5E3D">
        <w:t xml:space="preserve"> the heterogeneity found in the population</w:t>
      </w:r>
      <w:r>
        <w:t xml:space="preserve"> and generate disaggregated results to facilitate a detailed analysis of how a policy might affect particular groups (</w:t>
      </w:r>
      <w:proofErr w:type="spellStart"/>
      <w:r>
        <w:t>Creedy</w:t>
      </w:r>
      <w:proofErr w:type="spellEnd"/>
      <w:r>
        <w:t xml:space="preserve"> et al. 2004).</w:t>
      </w:r>
    </w:p>
    <w:p w:rsidR="00CF6B94" w:rsidRDefault="00CF6B94" w:rsidP="00CF6B94">
      <w:pPr>
        <w:pStyle w:val="BodyText"/>
      </w:pPr>
      <w:r>
        <w:t>The simplest micro-simulation models are used to calculate, for example, changes in tax bills and net incomes that arise from changing eligibility for a benefit, assuming no behavioural responses of those affected by the policy. These types of models, so-called static micro-simulation models, are designed to capture ‘morning after’ effects. More sophisticated models contain an additional behavioural component, designed to model the effects of policy changes on the decisions of households.</w:t>
      </w:r>
    </w:p>
    <w:p w:rsidR="00666E02" w:rsidRDefault="00CF6B94" w:rsidP="00120072">
      <w:pPr>
        <w:pStyle w:val="BodyText"/>
      </w:pPr>
      <w:r>
        <w:t>Several researchers have used behavioural micro-simulation models to estimate the effects on labour markets from changes in Australian childcare policy</w:t>
      </w:r>
      <w:r>
        <w:rPr>
          <w:rStyle w:val="FootnoteReference"/>
        </w:rPr>
        <w:footnoteReference w:id="1"/>
      </w:r>
      <w:r>
        <w:t xml:space="preserve"> The Commission’s model draws on features of two previous models (Box 1).</w:t>
      </w:r>
    </w:p>
    <w:p w:rsidR="00666E02" w:rsidRDefault="00666E02" w:rsidP="00120072">
      <w:pPr>
        <w:pStyle w:val="BodyText"/>
      </w:pPr>
    </w:p>
    <w:p w:rsidR="001C0AED" w:rsidRDefault="00A33DFF" w:rsidP="00120072">
      <w:pPr>
        <w:pStyle w:val="BodyText"/>
      </w:pPr>
      <w:r>
        <w:br w:type="page"/>
      </w:r>
    </w:p>
    <w:p w:rsidR="00CF6B94" w:rsidRDefault="00CF6B94" w:rsidP="00CF6B9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F6B94" w:rsidTr="00CF6B94">
        <w:trPr>
          <w:cantSplit/>
        </w:trPr>
        <w:tc>
          <w:tcPr>
            <w:tcW w:w="8771" w:type="dxa"/>
            <w:tcBorders>
              <w:top w:val="single" w:sz="6" w:space="0" w:color="78A22F"/>
              <w:left w:val="nil"/>
              <w:bottom w:val="nil"/>
              <w:right w:val="nil"/>
            </w:tcBorders>
            <w:shd w:val="clear" w:color="auto" w:fill="F2F2F2" w:themeFill="background1" w:themeFillShade="F2"/>
          </w:tcPr>
          <w:p w:rsidR="00CF6B94" w:rsidRDefault="00CF6B94" w:rsidP="00CF6B94">
            <w:pPr>
              <w:pStyle w:val="BoxTitle"/>
            </w:pPr>
            <w:r>
              <w:rPr>
                <w:b w:val="0"/>
              </w:rPr>
              <w:t xml:space="preserve">Box </w:t>
            </w:r>
            <w:r>
              <w:rPr>
                <w:b w:val="0"/>
                <w:noProof/>
              </w:rPr>
              <w:t>1</w:t>
            </w:r>
            <w:r>
              <w:tab/>
              <w:t xml:space="preserve">Previous </w:t>
            </w:r>
            <w:r w:rsidRPr="005D1263">
              <w:t xml:space="preserve">childcare policy </w:t>
            </w:r>
            <w:r>
              <w:t>micro-simulation</w:t>
            </w:r>
            <w:r w:rsidRPr="005D1263">
              <w:t xml:space="preserve"> models</w:t>
            </w:r>
          </w:p>
        </w:tc>
      </w:tr>
      <w:tr w:rsidR="00CF6B94" w:rsidTr="00CF6B94">
        <w:trPr>
          <w:cantSplit/>
        </w:trPr>
        <w:tc>
          <w:tcPr>
            <w:tcW w:w="8771" w:type="dxa"/>
            <w:tcBorders>
              <w:top w:val="nil"/>
              <w:left w:val="nil"/>
              <w:bottom w:val="nil"/>
              <w:right w:val="nil"/>
            </w:tcBorders>
            <w:shd w:val="clear" w:color="auto" w:fill="F2F2F2" w:themeFill="background1" w:themeFillShade="F2"/>
          </w:tcPr>
          <w:p w:rsidR="00CF6B94" w:rsidRDefault="00CF6B94" w:rsidP="00CF6B94">
            <w:pPr>
              <w:pStyle w:val="Box"/>
            </w:pPr>
            <w:r>
              <w:t>In developing its model, the Commission has drawn on two existing micro-simulation models that have been used previously to estimate the effects of childcare policy on household behaviour in Australia.</w:t>
            </w:r>
          </w:p>
          <w:p w:rsidR="00CF6B94" w:rsidRPr="00005033" w:rsidRDefault="00CF6B94" w:rsidP="00CF6B94">
            <w:pPr>
              <w:pStyle w:val="Box"/>
              <w:rPr>
                <w:b/>
              </w:rPr>
            </w:pPr>
            <w:proofErr w:type="spellStart"/>
            <w:r w:rsidRPr="00005033">
              <w:rPr>
                <w:b/>
              </w:rPr>
              <w:t>Doiron</w:t>
            </w:r>
            <w:proofErr w:type="spellEnd"/>
            <w:r w:rsidRPr="00005033">
              <w:rPr>
                <w:b/>
              </w:rPr>
              <w:t xml:space="preserve"> and </w:t>
            </w:r>
            <w:proofErr w:type="spellStart"/>
            <w:r w:rsidRPr="00005033">
              <w:rPr>
                <w:b/>
              </w:rPr>
              <w:t>Kalb</w:t>
            </w:r>
            <w:proofErr w:type="spellEnd"/>
            <w:r w:rsidRPr="00005033">
              <w:rPr>
                <w:b/>
              </w:rPr>
              <w:t xml:space="preserve"> (2005)</w:t>
            </w:r>
          </w:p>
          <w:p w:rsidR="00CF6B94" w:rsidRDefault="00CF6B94" w:rsidP="00CF6B94">
            <w:pPr>
              <w:pStyle w:val="Box"/>
            </w:pPr>
            <w:r>
              <w:t xml:space="preserve">The model developed by </w:t>
            </w:r>
            <w:proofErr w:type="spellStart"/>
            <w:r>
              <w:t>Doiron</w:t>
            </w:r>
            <w:proofErr w:type="spellEnd"/>
            <w:r>
              <w:t xml:space="preserve"> and </w:t>
            </w:r>
            <w:proofErr w:type="spellStart"/>
            <w:r>
              <w:t>Kalb</w:t>
            </w:r>
            <w:proofErr w:type="spellEnd"/>
            <w:r>
              <w:t xml:space="preserve"> builds on the Melbourne Institute Tax and Transfer Simulator (MITTS) model. The latter was designed to model household behavioural responses and to estimate the effects of a policy change on labour supply. To adapt that model to a childcare policy context, </w:t>
            </w:r>
            <w:proofErr w:type="spellStart"/>
            <w:r>
              <w:t>Doiron</w:t>
            </w:r>
            <w:proofErr w:type="spellEnd"/>
            <w:r>
              <w:t xml:space="preserve"> and </w:t>
            </w:r>
            <w:proofErr w:type="spellStart"/>
            <w:r>
              <w:t>Kalb</w:t>
            </w:r>
            <w:proofErr w:type="spellEnd"/>
            <w:r>
              <w:t xml:space="preserve"> added a childcare module. The childcare module consists of equations that determine demands for childcare by sole parent and coupled households for each work choice, based on household characteristics. </w:t>
            </w:r>
          </w:p>
          <w:p w:rsidR="00CF6B94" w:rsidRDefault="00CF6B94" w:rsidP="00CF6B94">
            <w:pPr>
              <w:pStyle w:val="Box"/>
            </w:pPr>
            <w:r>
              <w:t xml:space="preserve">The </w:t>
            </w:r>
            <w:proofErr w:type="spellStart"/>
            <w:r>
              <w:t>Doiron</w:t>
            </w:r>
            <w:proofErr w:type="spellEnd"/>
            <w:r>
              <w:t xml:space="preserve"> and </w:t>
            </w:r>
            <w:proofErr w:type="spellStart"/>
            <w:r>
              <w:t>Kalb</w:t>
            </w:r>
            <w:proofErr w:type="spellEnd"/>
            <w:r>
              <w:t xml:space="preserve"> model estimates a household’s labour supply on the basis of the household’s income net of childcare costs. The demand for formal childcare is derived from the household’s labour supply. Expenditure on formal childcare is used as an input into the household’s budget constraint, which itself is an input into the decision to supply labour. </w:t>
            </w:r>
          </w:p>
          <w:p w:rsidR="00CF6B94" w:rsidRPr="00005033" w:rsidRDefault="00CF6B94" w:rsidP="00CF6B94">
            <w:pPr>
              <w:pStyle w:val="Box"/>
              <w:rPr>
                <w:b/>
              </w:rPr>
            </w:pPr>
            <w:r w:rsidRPr="00005033">
              <w:rPr>
                <w:b/>
              </w:rPr>
              <w:t xml:space="preserve">Gong and </w:t>
            </w:r>
            <w:proofErr w:type="spellStart"/>
            <w:r w:rsidRPr="00005033">
              <w:rPr>
                <w:b/>
              </w:rPr>
              <w:t>Breunig</w:t>
            </w:r>
            <w:proofErr w:type="spellEnd"/>
            <w:r w:rsidRPr="00005033">
              <w:rPr>
                <w:b/>
              </w:rPr>
              <w:t xml:space="preserve"> (2012)</w:t>
            </w:r>
          </w:p>
          <w:p w:rsidR="00CF6B94" w:rsidRDefault="00CF6B94" w:rsidP="00CF6B94">
            <w:pPr>
              <w:pStyle w:val="Box"/>
            </w:pPr>
            <w:r>
              <w:t xml:space="preserve">In the Gong and </w:t>
            </w:r>
            <w:proofErr w:type="spellStart"/>
            <w:r>
              <w:t>Breunig</w:t>
            </w:r>
            <w:proofErr w:type="spellEnd"/>
            <w:r>
              <w:t xml:space="preserve"> model, a household’s demand for formal childcare is modelled explicitly, jointly with the primary carer’s decision to supply labour. A household is assumed to make the decisions simultaneously to maximise utility. The demand for childcare enters directly into the household’s utility function and the model allows formal childcare to be valued for reasons other than freeing up time for mothers to work, such as child development. This framework is consistent with the </w:t>
            </w:r>
            <w:proofErr w:type="spellStart"/>
            <w:r>
              <w:t>Doiron</w:t>
            </w:r>
            <w:proofErr w:type="spellEnd"/>
            <w:r>
              <w:t xml:space="preserve"> and </w:t>
            </w:r>
            <w:proofErr w:type="spellStart"/>
            <w:r>
              <w:t>Kalb</w:t>
            </w:r>
            <w:proofErr w:type="spellEnd"/>
            <w:r>
              <w:t xml:space="preserve"> approach, but allows formal childcare to be determined without being dependent solely on individual labour supply decisions.</w:t>
            </w:r>
          </w:p>
        </w:tc>
      </w:tr>
      <w:tr w:rsidR="00CF6B94" w:rsidTr="00CF6B94">
        <w:trPr>
          <w:cantSplit/>
        </w:trPr>
        <w:tc>
          <w:tcPr>
            <w:tcW w:w="8771" w:type="dxa"/>
            <w:tcBorders>
              <w:top w:val="nil"/>
              <w:left w:val="nil"/>
              <w:bottom w:val="single" w:sz="6" w:space="0" w:color="78A22F"/>
              <w:right w:val="nil"/>
            </w:tcBorders>
            <w:shd w:val="clear" w:color="auto" w:fill="F2F2F2" w:themeFill="background1" w:themeFillShade="F2"/>
          </w:tcPr>
          <w:p w:rsidR="00CF6B94" w:rsidRDefault="00CF6B94" w:rsidP="00CF6B94">
            <w:pPr>
              <w:pStyle w:val="Box"/>
              <w:spacing w:before="0" w:line="120" w:lineRule="exact"/>
            </w:pPr>
          </w:p>
        </w:tc>
      </w:tr>
      <w:tr w:rsidR="00CF6B94" w:rsidRPr="000863A5" w:rsidTr="00CF6B94">
        <w:trPr>
          <w:cantSplit/>
        </w:trPr>
        <w:tc>
          <w:tcPr>
            <w:tcW w:w="8771" w:type="dxa"/>
            <w:tcBorders>
              <w:top w:val="single" w:sz="6" w:space="0" w:color="78A22F"/>
              <w:left w:val="nil"/>
              <w:bottom w:val="nil"/>
              <w:right w:val="nil"/>
            </w:tcBorders>
          </w:tcPr>
          <w:p w:rsidR="00CF6B94" w:rsidRPr="00626D32" w:rsidRDefault="00CF6B94" w:rsidP="00CF6B94">
            <w:pPr>
              <w:pStyle w:val="BoxSpaceBelow"/>
            </w:pPr>
          </w:p>
        </w:tc>
      </w:tr>
    </w:tbl>
    <w:p w:rsidR="00CF6B94" w:rsidRPr="00EE65F4" w:rsidRDefault="00CF6B94" w:rsidP="00CF6B94">
      <w:pPr>
        <w:pStyle w:val="Heading3"/>
      </w:pPr>
      <w:r w:rsidRPr="00EE65F4">
        <w:t>Model specification</w:t>
      </w:r>
    </w:p>
    <w:p w:rsidR="00CF6B94" w:rsidRDefault="00CF6B94" w:rsidP="00CF6B94">
      <w:pPr>
        <w:pStyle w:val="BodyText"/>
      </w:pPr>
      <w:r>
        <w:t xml:space="preserve">The PCMC model is comprised of five modules (one data, three </w:t>
      </w:r>
      <w:proofErr w:type="gramStart"/>
      <w:r>
        <w:t>micro-simulation</w:t>
      </w:r>
      <w:proofErr w:type="gramEnd"/>
      <w:r>
        <w:t>, and one reporting):</w:t>
      </w:r>
    </w:p>
    <w:p w:rsidR="00CF6B94" w:rsidRDefault="00CF6B94" w:rsidP="00CF6B94">
      <w:pPr>
        <w:pStyle w:val="ListBullet"/>
        <w:numPr>
          <w:ilvl w:val="6"/>
          <w:numId w:val="9"/>
        </w:numPr>
        <w:tabs>
          <w:tab w:val="clear" w:pos="2520"/>
          <w:tab w:val="num" w:pos="340"/>
        </w:tabs>
        <w:spacing w:line="320" w:lineRule="atLeast"/>
        <w:ind w:left="340" w:hanging="340"/>
      </w:pPr>
      <w:r>
        <w:t>A data module, which reads in and processes the data</w:t>
      </w:r>
    </w:p>
    <w:p w:rsidR="00CF6B94" w:rsidRDefault="00CF6B94" w:rsidP="00CF6B94">
      <w:pPr>
        <w:pStyle w:val="ListBullet"/>
        <w:numPr>
          <w:ilvl w:val="6"/>
          <w:numId w:val="9"/>
        </w:numPr>
        <w:tabs>
          <w:tab w:val="clear" w:pos="2520"/>
          <w:tab w:val="num" w:pos="340"/>
        </w:tabs>
        <w:spacing w:line="320" w:lineRule="atLeast"/>
        <w:ind w:left="340" w:hanging="340"/>
      </w:pPr>
      <w:r>
        <w:t>The tax and transfer module, which calculates disposable income based on market income, tax and transfers; the module reproduces the main features of the income tax schedule as well as the transfer system</w:t>
      </w:r>
    </w:p>
    <w:p w:rsidR="00CF6B94" w:rsidRDefault="00CF6B94" w:rsidP="00CF6B94">
      <w:pPr>
        <w:pStyle w:val="ListBullet"/>
        <w:numPr>
          <w:ilvl w:val="6"/>
          <w:numId w:val="9"/>
        </w:numPr>
        <w:tabs>
          <w:tab w:val="clear" w:pos="2520"/>
          <w:tab w:val="num" w:pos="340"/>
        </w:tabs>
        <w:spacing w:line="320" w:lineRule="atLeast"/>
        <w:ind w:left="340" w:hanging="340"/>
      </w:pPr>
      <w:r>
        <w:t>The childcare module, which calculates income net of out</w:t>
      </w:r>
      <w:r>
        <w:noBreakHyphen/>
        <w:t>of</w:t>
      </w:r>
      <w:r>
        <w:noBreakHyphen/>
        <w:t>pocket (OOP) fees; reproduces the features of the childcare rebate (CCR), childcare benefit (CCB)</w:t>
      </w:r>
      <w:r w:rsidRPr="00E03D8E">
        <w:t xml:space="preserve"> </w:t>
      </w:r>
      <w:r>
        <w:t xml:space="preserve">and </w:t>
      </w:r>
      <w:r w:rsidRPr="00C84305">
        <w:t>Jobs, Education and Training Child Care Fee Assistance (JETCCFA)</w:t>
      </w:r>
      <w:r>
        <w:t>; this module is adapted when modelling alternative childcare policies</w:t>
      </w:r>
    </w:p>
    <w:p w:rsidR="00CF6B94" w:rsidRDefault="00CF6B94" w:rsidP="00CF6B94">
      <w:pPr>
        <w:pStyle w:val="ListBullet"/>
        <w:numPr>
          <w:ilvl w:val="6"/>
          <w:numId w:val="9"/>
        </w:numPr>
        <w:tabs>
          <w:tab w:val="clear" w:pos="2520"/>
          <w:tab w:val="num" w:pos="340"/>
        </w:tabs>
        <w:spacing w:line="320" w:lineRule="atLeast"/>
        <w:ind w:left="340" w:hanging="340"/>
      </w:pPr>
      <w:r>
        <w:t>The behavioural module, which models households’ reactions to changes in the incentives before them</w:t>
      </w:r>
    </w:p>
    <w:p w:rsidR="00CF6B94" w:rsidRDefault="00CF6B94" w:rsidP="00CF6B94">
      <w:pPr>
        <w:pStyle w:val="ListBullet"/>
        <w:numPr>
          <w:ilvl w:val="6"/>
          <w:numId w:val="9"/>
        </w:numPr>
        <w:tabs>
          <w:tab w:val="clear" w:pos="2520"/>
          <w:tab w:val="num" w:pos="340"/>
        </w:tabs>
        <w:spacing w:line="320" w:lineRule="atLeast"/>
        <w:ind w:left="340" w:hanging="340"/>
      </w:pPr>
      <w:r>
        <w:t>The reporting module, which converts data and decisions into variables of interest.</w:t>
      </w:r>
    </w:p>
    <w:p w:rsidR="00CF6B94" w:rsidRDefault="00CF6B94" w:rsidP="00CF6B94">
      <w:pPr>
        <w:pStyle w:val="Heading4"/>
      </w:pPr>
      <w:r>
        <w:lastRenderedPageBreak/>
        <w:t>Tax and transfer module</w:t>
      </w:r>
    </w:p>
    <w:p w:rsidR="00CF6B94" w:rsidRDefault="00CF6B94" w:rsidP="00CF6B94">
      <w:pPr>
        <w:pStyle w:val="BodyText"/>
      </w:pPr>
      <w:r>
        <w:t xml:space="preserve">The tax and transfer module calculates net income given the rules of the Australian tax and transfer system, based on gross income and household characteristics. The income tax schedule, all aspects of income support for working age families (including, for example, </w:t>
      </w:r>
      <w:proofErr w:type="spellStart"/>
      <w:r>
        <w:t>Newstart</w:t>
      </w:r>
      <w:proofErr w:type="spellEnd"/>
      <w:r>
        <w:t xml:space="preserve"> Allowance, the Parenting Payment and the Disability Support Pension), Medicare Levy, Commonwealth Rent Assistance and Family Tax Benefit A and B</w:t>
      </w:r>
      <w:r>
        <w:rPr>
          <w:rStyle w:val="FootnoteReference"/>
        </w:rPr>
        <w:footnoteReference w:id="2"/>
      </w:r>
      <w:r>
        <w:t xml:space="preserve"> are accounted for in this module. This module serves as an input into the behavioural module.</w:t>
      </w:r>
    </w:p>
    <w:p w:rsidR="00CF6B94" w:rsidRDefault="00CF6B94" w:rsidP="00CF6B94">
      <w:pPr>
        <w:pStyle w:val="Heading4"/>
      </w:pPr>
      <w:r>
        <w:t>Childcare module</w:t>
      </w:r>
    </w:p>
    <w:p w:rsidR="00CF6B94" w:rsidRDefault="00CF6B94" w:rsidP="00CF6B94">
      <w:pPr>
        <w:pStyle w:val="BodyText"/>
      </w:pPr>
      <w:r>
        <w:t>The module includes the rules that govern the existing CCB, CCR and JETCCFA, including the current income and activity tests for CCB and the annual per child cap on CCR. It also enables alternative income and activity tests for the recommended new single child</w:t>
      </w:r>
      <w:r>
        <w:noBreakHyphen/>
        <w:t>based payment, Early Care and Learning Subsidy (ECLS). Income net of out</w:t>
      </w:r>
      <w:r>
        <w:noBreakHyphen/>
        <w:t>of</w:t>
      </w:r>
      <w:r>
        <w:noBreakHyphen/>
        <w:t>pocket childcare costs to families is calculated based on family labour income and transfers, net of income taxes, for given household characteristics.</w:t>
      </w:r>
      <w:r>
        <w:rPr>
          <w:rStyle w:val="FootnoteReference"/>
        </w:rPr>
        <w:footnoteReference w:id="3"/>
      </w:r>
      <w:r>
        <w:t xml:space="preserve"> This module also serves as an input into the household behavioural module.</w:t>
      </w:r>
    </w:p>
    <w:p w:rsidR="00CF6B94" w:rsidRDefault="00CF6B94" w:rsidP="00CF6B94">
      <w:pPr>
        <w:pStyle w:val="Heading4"/>
      </w:pPr>
      <w:r>
        <w:t>Behavioural module</w:t>
      </w:r>
    </w:p>
    <w:p w:rsidR="00CF6B94" w:rsidRDefault="00CF6B94" w:rsidP="00CF6B94">
      <w:pPr>
        <w:pStyle w:val="BodyText"/>
      </w:pPr>
      <w:r>
        <w:t>The model represents household decisions about work and childcare in response to a change in out</w:t>
      </w:r>
      <w:r>
        <w:noBreakHyphen/>
        <w:t>of</w:t>
      </w:r>
      <w:r>
        <w:noBreakHyphen/>
        <w:t xml:space="preserve">pocket childcare fees for sole parent and coupled households where the youngest child is aged between 0 and 12 years. The main results consist of a projected choice, for each household of: </w:t>
      </w:r>
    </w:p>
    <w:p w:rsidR="00CF6B94" w:rsidRPr="00CF6B94" w:rsidRDefault="00CF6B94" w:rsidP="00CF6B94">
      <w:pPr>
        <w:pStyle w:val="ListBullet"/>
      </w:pPr>
      <w:r w:rsidRPr="00CF6B94">
        <w:t>the number of hours of work supplied by the primary care giver (including whether to enter or leave the workforce)</w:t>
      </w:r>
    </w:p>
    <w:p w:rsidR="00CF6B94" w:rsidRPr="00CF6B94" w:rsidRDefault="00CF6B94" w:rsidP="00CF6B94">
      <w:pPr>
        <w:pStyle w:val="ListBullet"/>
      </w:pPr>
      <w:proofErr w:type="gramStart"/>
      <w:r w:rsidRPr="00CF6B94">
        <w:t>the</w:t>
      </w:r>
      <w:proofErr w:type="gramEnd"/>
      <w:r w:rsidRPr="00CF6B94">
        <w:t xml:space="preserve"> number of hours of formal childcare demanded. </w:t>
      </w:r>
    </w:p>
    <w:p w:rsidR="00CF6B94" w:rsidRDefault="00CF6B94" w:rsidP="00CF6B94">
      <w:pPr>
        <w:pStyle w:val="BodyText"/>
      </w:pPr>
      <w:r>
        <w:t xml:space="preserve">The decisions are modelled simultaneously, consistent with the methodology developed in Gong and </w:t>
      </w:r>
      <w:proofErr w:type="spellStart"/>
      <w:r>
        <w:t>Breunig</w:t>
      </w:r>
      <w:proofErr w:type="spellEnd"/>
      <w:r>
        <w:t xml:space="preserve"> (2012). The manner in which these decisions are made, and the constraints facing households, are described in appendix B.</w:t>
      </w:r>
    </w:p>
    <w:p w:rsidR="00CF6B94" w:rsidRDefault="00CF6B94" w:rsidP="00CF6B94">
      <w:pPr>
        <w:pStyle w:val="BodyText"/>
      </w:pPr>
      <w:r>
        <w:t>The results at the household level are aggregated to obtain estimates of shifts in labour supply and demand for formal childcare at an aggregate level, and for particular demographic groups. Combined with a demand for labour and a supply for childcare services, the results can be used to estimate fiscal costs.</w:t>
      </w:r>
    </w:p>
    <w:p w:rsidR="00CF6B94" w:rsidRDefault="00CF6B94" w:rsidP="00CF6B94">
      <w:pPr>
        <w:pStyle w:val="BodyText"/>
      </w:pPr>
      <w:r>
        <w:t xml:space="preserve">The behavioural module is specified to generate a decision that maximises each household’s utility. A household’s utility is assumed to be quadratic and driven by the </w:t>
      </w:r>
      <w:r>
        <w:lastRenderedPageBreak/>
        <w:t>following variables (which are included in the utility function): household disposable income net of out-of-pocket childcare expenses; labour supply; childcare from the primary care giver; and use of formal and informal childcare. The exact terms in the household utility functions are detailed in appendix B.</w:t>
      </w:r>
    </w:p>
    <w:p w:rsidR="00CF6B94" w:rsidRDefault="00CF6B94" w:rsidP="00CF6B94">
      <w:pPr>
        <w:pStyle w:val="Heading5"/>
      </w:pPr>
      <w:r>
        <w:t>Net disposable income after out-of-pocket childcare expenses</w:t>
      </w:r>
    </w:p>
    <w:p w:rsidR="00CF6B94" w:rsidRDefault="00CF6B94" w:rsidP="00CF6B94">
      <w:pPr>
        <w:pStyle w:val="BodyText"/>
      </w:pPr>
      <w:r>
        <w:t xml:space="preserve">Households are modelled to derive utility from income, as it can be spent on goods and services. The model uses the </w:t>
      </w:r>
      <w:r w:rsidRPr="00A00F7C">
        <w:rPr>
          <w:i/>
        </w:rPr>
        <w:t>household</w:t>
      </w:r>
      <w:r>
        <w:t xml:space="preserve"> income from labour and transfers net of taxes and out</w:t>
      </w:r>
      <w:r>
        <w:noBreakHyphen/>
        <w:t>of</w:t>
      </w:r>
      <w:r>
        <w:noBreakHyphen/>
        <w:t xml:space="preserve">pocket childcare fees as the input into the utility function. </w:t>
      </w:r>
    </w:p>
    <w:p w:rsidR="00CF6B94" w:rsidRDefault="00CF6B94" w:rsidP="00CF6B94">
      <w:pPr>
        <w:pStyle w:val="BodyText"/>
      </w:pPr>
      <w:r>
        <w:t xml:space="preserve">For tractability, the model only estimates the impact of a change in the net income of the </w:t>
      </w:r>
      <w:r w:rsidRPr="0022329C">
        <w:rPr>
          <w:i/>
        </w:rPr>
        <w:t>primary carer</w:t>
      </w:r>
      <w:r>
        <w:t xml:space="preserve">; the hours worked and wage rate of the </w:t>
      </w:r>
      <w:r>
        <w:rPr>
          <w:i/>
        </w:rPr>
        <w:t>primary earner</w:t>
      </w:r>
      <w:r>
        <w:t xml:space="preserve"> are assumed to be exogenous. Although the primary earner could reduce their hours worked as their partner increases them, simulations not detailed in this document (where the hours of the primary earner were allowed to vary) indicated that this effect is small.</w:t>
      </w:r>
    </w:p>
    <w:p w:rsidR="00CF6B94" w:rsidRDefault="00CF6B94" w:rsidP="00CF6B94">
      <w:pPr>
        <w:pStyle w:val="Heading5"/>
      </w:pPr>
      <w:r>
        <w:t>Hours of labour supplied</w:t>
      </w:r>
    </w:p>
    <w:p w:rsidR="00CF6B94" w:rsidRDefault="00CF6B94" w:rsidP="00CF6B94">
      <w:pPr>
        <w:pStyle w:val="BodyText"/>
      </w:pPr>
      <w:r>
        <w:t>Some households derive utility from reducing the hours worked by the primary carer, because that time can be used in other ways, including for leisure, caring for children, or other home production. Households derive utility from labour supplied by the primary carer (where the primary carer enjoys working, but the household can also derive disutility from hours working). Households are assumed to derive utility from working zero hours. The model includes a fixed cost associated with supplying labour (regardless of the hours chosen)</w:t>
      </w:r>
      <w:r>
        <w:rPr>
          <w:rStyle w:val="FootnoteReference"/>
        </w:rPr>
        <w:footnoteReference w:id="4"/>
      </w:r>
      <w:r>
        <w:t>, such as travel and other costs (aside from childcare costs) associated with working.</w:t>
      </w:r>
    </w:p>
    <w:p w:rsidR="00CF6B94" w:rsidRDefault="00CF6B94" w:rsidP="00CF6B94">
      <w:pPr>
        <w:pStyle w:val="BodyText"/>
      </w:pPr>
      <w:r>
        <w:t xml:space="preserve">Leisure and home production are not explicitly represented in the household utility function. However, households derive utility from income and from time spent caring for children directly. Given that each member of the household is subject to </w:t>
      </w:r>
      <w:proofErr w:type="gramStart"/>
      <w:r>
        <w:t>a 24</w:t>
      </w:r>
      <w:proofErr w:type="gramEnd"/>
      <w:r>
        <w:t> hours a day time constraint, leisure and home production are valued implicitly.</w:t>
      </w:r>
    </w:p>
    <w:p w:rsidR="00CF6B94" w:rsidRDefault="00CF6B94" w:rsidP="00CF6B94">
      <w:pPr>
        <w:pStyle w:val="Heading5"/>
      </w:pPr>
      <w:r>
        <w:t>Childcare from the primary care giver</w:t>
      </w:r>
    </w:p>
    <w:p w:rsidR="00CF6B94" w:rsidRDefault="00CF6B94" w:rsidP="00CF6B94">
      <w:pPr>
        <w:pStyle w:val="BodyText"/>
      </w:pPr>
      <w:r>
        <w:t xml:space="preserve">Households derive utility from caring for children at home. The amount of childcare provided by the primary carer appears directly in the household’s utility function. </w:t>
      </w:r>
    </w:p>
    <w:p w:rsidR="00CF6B94" w:rsidRDefault="00CF6B94" w:rsidP="00CF6B94">
      <w:pPr>
        <w:pStyle w:val="Heading5"/>
      </w:pPr>
      <w:r>
        <w:lastRenderedPageBreak/>
        <w:t>Formal childcare</w:t>
      </w:r>
    </w:p>
    <w:p w:rsidR="00CF6B94" w:rsidRDefault="00CF6B94" w:rsidP="00CF6B94">
      <w:pPr>
        <w:pStyle w:val="BodyText"/>
        <w:spacing w:before="200"/>
      </w:pPr>
      <w:r>
        <w:t>The number of hours of formal childcare used by a household appears indirectly in the utility function (representing, for example, the household’s valuation of educational or social development of childcare). This means that use of formal childcare can provide households with benefits beyond those from enabling the primary carer to work. For this reason, formal childcare and the income that it enables households to earn</w:t>
      </w:r>
      <w:r w:rsidDel="00E74A32">
        <w:t xml:space="preserve"> </w:t>
      </w:r>
      <w:r>
        <w:t>appear separately in the utility function.</w:t>
      </w:r>
    </w:p>
    <w:p w:rsidR="00CF6B94" w:rsidRDefault="00CF6B94" w:rsidP="00CF6B94">
      <w:pPr>
        <w:pStyle w:val="BodyText"/>
        <w:spacing w:before="200"/>
      </w:pPr>
      <w:r>
        <w:t>The model contains three broad forms of childcare: formal childcare; maternal childcare; and informal childcare. Only two of the three forms are directly incorporated into the objective function, as the third would be superfluous. For the purposes of this model, formal childcare is determined by the other two forms of care (maternal and informal), a binding time constraint for the primary carer, a binding time constraint for care of the child, and the cost of formal childcare (which enters through the income term). The model could be respecified to include any pair of forms of care, and produce identical results.</w:t>
      </w:r>
    </w:p>
    <w:p w:rsidR="00CF6B94" w:rsidRDefault="00CF6B94" w:rsidP="00CF6B94">
      <w:pPr>
        <w:pStyle w:val="Heading5"/>
        <w:spacing w:before="400"/>
      </w:pPr>
      <w:r>
        <w:t>Behaviour of households with multiple children</w:t>
      </w:r>
    </w:p>
    <w:p w:rsidR="00CF6B94" w:rsidRDefault="00CF6B94" w:rsidP="00CF6B94">
      <w:pPr>
        <w:pStyle w:val="BodyText"/>
      </w:pPr>
      <w:r>
        <w:t>Households with multiple children are assumed to base labour supply and childcare hours demand decisions on the caring needs of the youngest child. That is, childcare for school age children mirrors the decision for the youngest child. For example, for a family with one pre</w:t>
      </w:r>
      <w:r>
        <w:noBreakHyphen/>
        <w:t>school- and one school</w:t>
      </w:r>
      <w:r>
        <w:noBreakHyphen/>
        <w:t>age child, if the younger child requires 40 hours per week of non</w:t>
      </w:r>
      <w:r>
        <w:noBreakHyphen/>
        <w:t>parental childcare, the older child would also require 40 hours of non</w:t>
      </w:r>
      <w:r>
        <w:noBreakHyphen/>
        <w:t xml:space="preserve">parental supervision/care (consisting of a combination of school, outside school hours care (OSHC) and informal care). </w:t>
      </w:r>
    </w:p>
    <w:p w:rsidR="00CF6B94" w:rsidRPr="0022329C" w:rsidRDefault="00CF6B94" w:rsidP="00CF6B94">
      <w:pPr>
        <w:pStyle w:val="Heading5"/>
        <w:spacing w:before="400"/>
      </w:pPr>
      <w:r w:rsidRPr="0022329C">
        <w:t>Substitution between formal and informal childcare</w:t>
      </w:r>
    </w:p>
    <w:p w:rsidR="00CF6B94" w:rsidRDefault="00CF6B94" w:rsidP="00CF6B94">
      <w:pPr>
        <w:pStyle w:val="BodyText"/>
        <w:spacing w:before="200"/>
      </w:pPr>
      <w:r>
        <w:t>F</w:t>
      </w:r>
      <w:r w:rsidRPr="0022329C">
        <w:t xml:space="preserve">ormal childcare is specified as the residual care required, net of the household’s </w:t>
      </w:r>
      <w:r>
        <w:t>use of</w:t>
      </w:r>
      <w:r w:rsidRPr="0022329C">
        <w:t xml:space="preserve"> </w:t>
      </w:r>
      <w:r>
        <w:t>in</w:t>
      </w:r>
      <w:r w:rsidRPr="0022329C">
        <w:t xml:space="preserve">formal childcare and </w:t>
      </w:r>
      <w:r>
        <w:t xml:space="preserve">of </w:t>
      </w:r>
      <w:r w:rsidRPr="0022329C">
        <w:t xml:space="preserve">the </w:t>
      </w:r>
      <w:r>
        <w:t xml:space="preserve">time spent with the </w:t>
      </w:r>
      <w:r w:rsidRPr="0022329C">
        <w:t xml:space="preserve">primary carer. </w:t>
      </w:r>
      <w:r>
        <w:t>Informal care can come from a range of sources not explicitly represented in the model, including care by the primary earner, other family members, neighbours and friends. The</w:t>
      </w:r>
      <w:r w:rsidRPr="0022329C">
        <w:t xml:space="preserve"> costs associated with informal care</w:t>
      </w:r>
      <w:r>
        <w:t xml:space="preserve"> are not observed, but must be accounted for. If no utility parameters governed the relative value placed on the different forms of care, households would source all non</w:t>
      </w:r>
      <w:r>
        <w:noBreakHyphen/>
        <w:t>maternal care from informal care (since maternal care is bound by the primary carer’s total time, and formal childcare has a financial cost). Constraints on maternal time and required total childcare, combined with utility parameters for maternal and informal childcare, ensure the model reproduces the observed data.</w:t>
      </w:r>
      <w:r w:rsidDel="004F69A6">
        <w:t xml:space="preserve"> </w:t>
      </w:r>
      <w:r>
        <w:t>Observed data show that a</w:t>
      </w:r>
      <w:r w:rsidRPr="0022329C">
        <w:t xml:space="preserve">s people work more, their </w:t>
      </w:r>
      <w:r>
        <w:t>use of</w:t>
      </w:r>
      <w:r w:rsidRPr="0022329C">
        <w:t xml:space="preserve"> formal care increases. </w:t>
      </w:r>
    </w:p>
    <w:p w:rsidR="00D434A0" w:rsidRDefault="00CF6B94" w:rsidP="00CF6B94">
      <w:pPr>
        <w:pStyle w:val="BodyText"/>
        <w:spacing w:before="200"/>
      </w:pPr>
      <w:r>
        <w:t xml:space="preserve">Figure 1 provides a stylised representation of the model at the household level. It breaks down the model into the separate modules detailed above. It also shows the components generated in each module, that </w:t>
      </w:r>
      <w:proofErr w:type="gramStart"/>
      <w:r>
        <w:t>are</w:t>
      </w:r>
      <w:proofErr w:type="gramEnd"/>
      <w:r>
        <w:t xml:space="preserve"> inputs to other modules, and how each of those inputs is calculated.</w:t>
      </w:r>
    </w:p>
    <w:p w:rsidR="00CF6B94" w:rsidRDefault="00CF6B94" w:rsidP="00CF6B94">
      <w:pPr>
        <w:pStyle w:val="BodyText"/>
        <w:sectPr w:rsidR="00CF6B94" w:rsidSect="00053D21">
          <w:headerReference w:type="even" r:id="rId15"/>
          <w:headerReference w:type="default" r:id="rId16"/>
          <w:footerReference w:type="even" r:id="rId17"/>
          <w:footerReference w:type="default" r:id="rId18"/>
          <w:type w:val="oddPage"/>
          <w:pgSz w:w="11907" w:h="16840" w:code="9"/>
          <w:pgMar w:top="1985" w:right="1304" w:bottom="1247" w:left="1814" w:header="1701" w:footer="397" w:gutter="0"/>
          <w:pgNumType w:start="0" w:chapSep="period"/>
          <w:cols w:space="720"/>
          <w:docGrid w:linePitch="326"/>
        </w:sectPr>
      </w:pPr>
    </w:p>
    <w:p w:rsidR="00CF6B94" w:rsidRDefault="00CF6B94" w:rsidP="00CF6B94">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13721"/>
      </w:tblGrid>
      <w:tr w:rsidR="00CF6B94" w:rsidTr="00CF6B94">
        <w:tc>
          <w:tcPr>
            <w:tcW w:w="13721" w:type="dxa"/>
            <w:tcBorders>
              <w:top w:val="single" w:sz="6" w:space="0" w:color="78A22F"/>
              <w:left w:val="nil"/>
              <w:bottom w:val="nil"/>
              <w:right w:val="nil"/>
            </w:tcBorders>
            <w:shd w:val="clear" w:color="auto" w:fill="auto"/>
          </w:tcPr>
          <w:p w:rsidR="00CF6B94" w:rsidRPr="00176D3F" w:rsidRDefault="00CF6B94" w:rsidP="00CF6B94">
            <w:pPr>
              <w:pStyle w:val="FigureTitle"/>
            </w:pPr>
            <w:r w:rsidRPr="00784A05">
              <w:rPr>
                <w:b w:val="0"/>
              </w:rPr>
              <w:t xml:space="preserve">Figure </w:t>
            </w:r>
            <w:r>
              <w:rPr>
                <w:b w:val="0"/>
              </w:rPr>
              <w:t>1</w:t>
            </w:r>
            <w:r>
              <w:tab/>
            </w:r>
            <w:r w:rsidRPr="002611BD">
              <w:t xml:space="preserve">Stylised Productivity Commission </w:t>
            </w:r>
            <w:r>
              <w:t>Micro-simulation</w:t>
            </w:r>
            <w:r w:rsidRPr="002611BD">
              <w:t xml:space="preserve"> Childcare Model</w:t>
            </w:r>
            <w:r w:rsidRPr="00AE4A30">
              <w:rPr>
                <w:rStyle w:val="NoteLabel"/>
              </w:rPr>
              <w:t>a</w:t>
            </w:r>
          </w:p>
        </w:tc>
      </w:tr>
      <w:tr w:rsidR="00CF6B94" w:rsidTr="00CF6B94">
        <w:tc>
          <w:tcPr>
            <w:tcW w:w="13721" w:type="dxa"/>
            <w:tcBorders>
              <w:top w:val="nil"/>
              <w:left w:val="nil"/>
              <w:bottom w:val="nil"/>
              <w:right w:val="nil"/>
            </w:tcBorders>
            <w:shd w:val="clear" w:color="auto" w:fill="auto"/>
            <w:tcMar>
              <w:top w:w="28" w:type="dxa"/>
              <w:bottom w:w="28" w:type="dxa"/>
            </w:tcMar>
          </w:tcPr>
          <w:tbl>
            <w:tblPr>
              <w:tblW w:w="12792" w:type="dxa"/>
              <w:jc w:val="center"/>
              <w:tblInd w:w="490" w:type="dxa"/>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12792"/>
            </w:tblGrid>
            <w:tr w:rsidR="00CF6B94" w:rsidTr="00CF6B94">
              <w:trPr>
                <w:jc w:val="center"/>
              </w:trPr>
              <w:tc>
                <w:tcPr>
                  <w:tcW w:w="5000" w:type="pct"/>
                  <w:tcBorders>
                    <w:top w:val="nil"/>
                    <w:bottom w:val="nil"/>
                  </w:tcBorders>
                </w:tcPr>
                <w:p w:rsidR="00CF6B94" w:rsidRDefault="00E44627" w:rsidP="00CF6B94">
                  <w:pPr>
                    <w:pStyle w:val="Figure"/>
                    <w:spacing w:before="60" w:after="60"/>
                  </w:pPr>
                  <w:r>
                    <w:rPr>
                      <w:noProof/>
                    </w:rPr>
                    <w:drawing>
                      <wp:inline distT="0" distB="0" distL="0" distR="0">
                        <wp:extent cx="8115300" cy="4286250"/>
                        <wp:effectExtent l="0" t="0" r="0" b="0"/>
                        <wp:docPr id="1" name="Picture 1" descr="representation of the model at the househol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15300" cy="4286250"/>
                                </a:xfrm>
                                <a:prstGeom prst="rect">
                                  <a:avLst/>
                                </a:prstGeom>
                                <a:noFill/>
                                <a:ln>
                                  <a:noFill/>
                                </a:ln>
                              </pic:spPr>
                            </pic:pic>
                          </a:graphicData>
                        </a:graphic>
                      </wp:inline>
                    </w:drawing>
                  </w:r>
                </w:p>
              </w:tc>
            </w:tr>
          </w:tbl>
          <w:p w:rsidR="00CF6B94" w:rsidRDefault="00CF6B94" w:rsidP="00CF6B94">
            <w:pPr>
              <w:pStyle w:val="Figure"/>
            </w:pPr>
          </w:p>
        </w:tc>
      </w:tr>
      <w:tr w:rsidR="00CF6B94" w:rsidRPr="00176D3F" w:rsidTr="00CF6B94">
        <w:tc>
          <w:tcPr>
            <w:tcW w:w="13721" w:type="dxa"/>
            <w:tcBorders>
              <w:top w:val="nil"/>
              <w:left w:val="nil"/>
              <w:bottom w:val="nil"/>
              <w:right w:val="nil"/>
            </w:tcBorders>
            <w:shd w:val="clear" w:color="auto" w:fill="auto"/>
          </w:tcPr>
          <w:p w:rsidR="00CF6B94" w:rsidRPr="00176D3F" w:rsidRDefault="00CF6B94" w:rsidP="00CF6B94">
            <w:pPr>
              <w:pStyle w:val="Note"/>
            </w:pPr>
            <w:proofErr w:type="gramStart"/>
            <w:r>
              <w:rPr>
                <w:rStyle w:val="NoteLabel"/>
              </w:rPr>
              <w:t>a</w:t>
            </w:r>
            <w:proofErr w:type="gramEnd"/>
            <w:r>
              <w:t xml:space="preserve"> </w:t>
            </w:r>
            <w:r w:rsidRPr="00CF6B94">
              <w:t xml:space="preserve">The model contains 8 work choices (each in 8 hour increments) and 6 formal childcare choices (each in 10 hour increments) giving each household up to 48 (8x6) possible choices. OOP stands for ‘out-of-pocket’, </w:t>
            </w:r>
            <w:proofErr w:type="spellStart"/>
            <w:r w:rsidRPr="00CF6B94">
              <w:t>fcc</w:t>
            </w:r>
            <w:proofErr w:type="spellEnd"/>
            <w:r w:rsidRPr="00CF6B94">
              <w:t xml:space="preserve"> for ‘formal childcare’, mcc for ‘maternal childcare’, and </w:t>
            </w:r>
            <w:proofErr w:type="spellStart"/>
            <w:r w:rsidRPr="00CF6B94">
              <w:t>icc</w:t>
            </w:r>
            <w:proofErr w:type="spellEnd"/>
            <w:r w:rsidRPr="00CF6B94">
              <w:t xml:space="preserve"> for ‘informal childcare’.</w:t>
            </w:r>
          </w:p>
        </w:tc>
      </w:tr>
      <w:tr w:rsidR="00CF6B94" w:rsidTr="00CF6B94">
        <w:tc>
          <w:tcPr>
            <w:tcW w:w="13721" w:type="dxa"/>
            <w:tcBorders>
              <w:top w:val="nil"/>
              <w:left w:val="nil"/>
              <w:bottom w:val="single" w:sz="6" w:space="0" w:color="78A22F"/>
              <w:right w:val="nil"/>
            </w:tcBorders>
            <w:shd w:val="clear" w:color="auto" w:fill="auto"/>
          </w:tcPr>
          <w:p w:rsidR="00CF6B94" w:rsidRDefault="00CF6B94" w:rsidP="00CF6B94">
            <w:pPr>
              <w:pStyle w:val="Figurespace"/>
            </w:pPr>
          </w:p>
        </w:tc>
      </w:tr>
      <w:tr w:rsidR="00CF6B94" w:rsidRPr="000863A5" w:rsidTr="00CF6B94">
        <w:tc>
          <w:tcPr>
            <w:tcW w:w="13721" w:type="dxa"/>
            <w:tcBorders>
              <w:top w:val="single" w:sz="6" w:space="0" w:color="78A22F"/>
              <w:left w:val="nil"/>
              <w:bottom w:val="nil"/>
              <w:right w:val="nil"/>
            </w:tcBorders>
          </w:tcPr>
          <w:p w:rsidR="00CF6B94" w:rsidRPr="00626D32" w:rsidRDefault="00CF6B94" w:rsidP="00CF6B94">
            <w:pPr>
              <w:pStyle w:val="BoxSpaceBelow"/>
            </w:pPr>
          </w:p>
        </w:tc>
      </w:tr>
    </w:tbl>
    <w:p w:rsidR="00CF6B94" w:rsidRDefault="00CF6B94" w:rsidP="00CF6B94">
      <w:pPr>
        <w:pStyle w:val="BodyText"/>
        <w:sectPr w:rsidR="00CF6B94" w:rsidSect="00CF6B94">
          <w:headerReference w:type="default" r:id="rId20"/>
          <w:footerReference w:type="default" r:id="rId21"/>
          <w:type w:val="oddPage"/>
          <w:pgSz w:w="16840" w:h="11907" w:orient="landscape" w:code="9"/>
          <w:pgMar w:top="1814" w:right="1984" w:bottom="1304" w:left="1247" w:header="1701" w:footer="397" w:gutter="0"/>
          <w:pgNumType w:chapSep="period"/>
          <w:cols w:space="720"/>
          <w:docGrid w:linePitch="326"/>
        </w:sectPr>
      </w:pPr>
    </w:p>
    <w:p w:rsidR="00CF6B94" w:rsidRDefault="00CF6B94" w:rsidP="00CF6B94">
      <w:pPr>
        <w:pStyle w:val="Heading3"/>
        <w:spacing w:before="240"/>
      </w:pPr>
      <w:r>
        <w:lastRenderedPageBreak/>
        <w:t xml:space="preserve">The framework adopted </w:t>
      </w:r>
    </w:p>
    <w:p w:rsidR="00CF6B94" w:rsidRDefault="00CF6B94" w:rsidP="00CF6B94">
      <w:pPr>
        <w:pStyle w:val="BodyText"/>
      </w:pPr>
      <w:r>
        <w:t xml:space="preserve">Rather than specify labour supply and childcare demand as a continuous range, where primary carers could adjust those decisions in infinitely small increments, care and work choices in the model are divided into blocks approximating observed values (for example, an individual is assumed to choose to work 8 or 16 hours, not 10.71 hours). Under this approach, primary carers can make a choice from a limited set of combinations of labour and childcare hours. </w:t>
      </w:r>
    </w:p>
    <w:p w:rsidR="00CF6B94" w:rsidRDefault="00CF6B94" w:rsidP="00CF6B94">
      <w:pPr>
        <w:pStyle w:val="BodyText"/>
      </w:pPr>
      <w:r>
        <w:t xml:space="preserve">This approach has practical, computational advantages, does not compromise materially the accuracy of results, and offers a tractable way to model policies and outcomes that involve ‘discontinuities’ or </w:t>
      </w:r>
      <w:proofErr w:type="spellStart"/>
      <w:r>
        <w:t>non</w:t>
      </w:r>
      <w:r>
        <w:noBreakHyphen/>
        <w:t>linear</w:t>
      </w:r>
      <w:proofErr w:type="spellEnd"/>
      <w:r>
        <w:t xml:space="preserve"> relationships that would be challenging to specify and estimate in a model with continuous variables (</w:t>
      </w:r>
      <w:proofErr w:type="spellStart"/>
      <w:r>
        <w:t>Creedy</w:t>
      </w:r>
      <w:proofErr w:type="spellEnd"/>
      <w:r>
        <w:t xml:space="preserve"> and </w:t>
      </w:r>
      <w:proofErr w:type="spellStart"/>
      <w:r>
        <w:t>Kalb</w:t>
      </w:r>
      <w:proofErr w:type="spellEnd"/>
      <w:r>
        <w:t> 2006). In the case of childcare policy and workforce participation, the tax and transfer system (as well as the CCB and CCR rules), are characterised by complex sliding scales and eligibility thresholds.</w:t>
      </w:r>
    </w:p>
    <w:p w:rsidR="00CF6B94" w:rsidRDefault="00CF6B94" w:rsidP="00CF6B94">
      <w:pPr>
        <w:pStyle w:val="BodyText"/>
      </w:pPr>
      <w:r>
        <w:t>Furthermore, the characteristics of the labour and childcare markets mean that there is typically a limited number of part</w:t>
      </w:r>
      <w:r>
        <w:noBreakHyphen/>
        <w:t>time work and formal childcare combinations that the primary carer would be able to secure.</w:t>
      </w:r>
    </w:p>
    <w:p w:rsidR="00CF6B94" w:rsidRDefault="00CF6B94" w:rsidP="00CF6B94">
      <w:pPr>
        <w:pStyle w:val="Heading4"/>
      </w:pPr>
      <w:r>
        <w:t>Labour supply and childcare demand options available to primary carers</w:t>
      </w:r>
    </w:p>
    <w:p w:rsidR="00CF6B94" w:rsidRDefault="00CF6B94" w:rsidP="00CF6B94">
      <w:pPr>
        <w:pStyle w:val="BodyText"/>
      </w:pPr>
      <w:r>
        <w:t>Households are assumed to choose a level of the primary carer’s weekly supply of labour within the range of 0–56 hours, in 8</w:t>
      </w:r>
      <w:r>
        <w:noBreakHyphen/>
        <w:t>hour increments. That is, they can choose from eight options, including 0 hours. They can also choose one of six 10</w:t>
      </w:r>
      <w:r>
        <w:noBreakHyphen/>
        <w:t>hour increment options of formal childcare demanded in the range of 0–50 hours, including 0 hours. OSHC care is divided into 4-hour increments</w:t>
      </w:r>
      <w:r w:rsidRPr="001A7D84">
        <w:t xml:space="preserve"> </w:t>
      </w:r>
      <w:r>
        <w:t>(up to a total of 20 hours per week), which is used in conjunction with 6 hours of school per day. Households can elect from 48 combinations of hours of labour supplied and formal childcare demanded.</w:t>
      </w:r>
    </w:p>
    <w:p w:rsidR="00CF6B94" w:rsidRDefault="00CF6B94" w:rsidP="00CF6B94">
      <w:pPr>
        <w:pStyle w:val="BodyText"/>
      </w:pPr>
      <w:r>
        <w:t>Households can choose between long day care, family day care, OSHC, nannies and pre</w:t>
      </w:r>
      <w:r>
        <w:noBreakHyphen/>
        <w:t>school (where they do not already use pre</w:t>
      </w:r>
      <w:r>
        <w:noBreakHyphen/>
        <w:t>school for a 4 year old child). Under the base case of current childcare assistance arrangements, the choice of childcare type is determined by a household’s initial choice as described in the database; for new users, 98 per cent of households are randomly assigned to a care type, based on shares observed in the administrative data (by income group), and 2 per cent are assumed to use nannies.</w:t>
      </w:r>
    </w:p>
    <w:p w:rsidR="00CF6B94" w:rsidRDefault="00CF6B94" w:rsidP="00CF6B94">
      <w:pPr>
        <w:pStyle w:val="BodyText"/>
      </w:pPr>
      <w:r>
        <w:t xml:space="preserve">While the introduction of subsidies for approved nannies would increase the use of nannies, the extent to which households entering the childcare market would start choosing to use nannies is unclear. The 2 per cent figure was chosen in the absence of any information about household response; it is larger than the proportion of nanny use observed in the Survey of Income and Housing. Due to the relatively high hourly cost of nannies, results show that nannies are typically chosen by families with 2 or more children. </w:t>
      </w:r>
      <w:r>
        <w:lastRenderedPageBreak/>
        <w:t>In the model, a nanny can take care of up to four children under 5 years old at one time (mirroring the existing staff-to-child ratio for family day care). Only households where the youngest child was under 5 were assigned the option of using nannies (appendix B).</w:t>
      </w:r>
      <w:r w:rsidDel="00AE4A30">
        <w:rPr>
          <w:rStyle w:val="FootnoteReference"/>
        </w:rPr>
        <w:t xml:space="preserve"> </w:t>
      </w:r>
    </w:p>
    <w:p w:rsidR="00CF6B94" w:rsidRPr="002652FA" w:rsidRDefault="00CF6B94" w:rsidP="00CF6B94">
      <w:pPr>
        <w:pStyle w:val="BodyText"/>
      </w:pPr>
      <w:r>
        <w:t xml:space="preserve">The full technical specification of the model is detailed in appendix B. </w:t>
      </w:r>
    </w:p>
    <w:p w:rsidR="00CF6B94" w:rsidRDefault="00CF6B94" w:rsidP="00CF6B94">
      <w:pPr>
        <w:pStyle w:val="Heading3"/>
      </w:pPr>
      <w:r>
        <w:t>Data set and estimation</w:t>
      </w:r>
    </w:p>
    <w:p w:rsidR="00CF6B94" w:rsidRDefault="00CF6B94" w:rsidP="00CF6B94">
      <w:pPr>
        <w:pStyle w:val="BodyText"/>
      </w:pPr>
      <w:r>
        <w:t>In addition to the administrative rules governing the CCB, CCR, JETCCFA and the broader tax and transfer system, the model integrates two data sets</w:t>
      </w:r>
      <w:r w:rsidRPr="00FC732F">
        <w:t xml:space="preserve"> </w:t>
      </w:r>
      <w:r>
        <w:t>to establish the baseline, and obtain weights for subsequent aggregation of results:</w:t>
      </w:r>
    </w:p>
    <w:p w:rsidR="00CF6B94" w:rsidRPr="00CF6B94" w:rsidRDefault="00CF6B94" w:rsidP="00CF6B94">
      <w:pPr>
        <w:pStyle w:val="ListBullet"/>
      </w:pPr>
      <w:r w:rsidRPr="00CF6B94">
        <w:t>data from the ABS Survey of Income and Housing 2011</w:t>
      </w:r>
      <w:r w:rsidRPr="00CF6B94">
        <w:noBreakHyphen/>
        <w:t>12 (SIH)</w:t>
      </w:r>
    </w:p>
    <w:p w:rsidR="00CF6B94" w:rsidRPr="00CF6B94" w:rsidRDefault="00CF6B94" w:rsidP="00CF6B94">
      <w:pPr>
        <w:pStyle w:val="ListBullet"/>
      </w:pPr>
      <w:proofErr w:type="gramStart"/>
      <w:r w:rsidRPr="00CF6B94">
        <w:t>administrative</w:t>
      </w:r>
      <w:proofErr w:type="gramEnd"/>
      <w:r w:rsidRPr="00CF6B94">
        <w:t xml:space="preserve"> data about childcare fees by type of care used and location for 2011</w:t>
      </w:r>
      <w:r w:rsidRPr="00CF6B94">
        <w:noBreakHyphen/>
        <w:t>12 which has been supplied by the Department of Education.</w:t>
      </w:r>
    </w:p>
    <w:p w:rsidR="00CF6B94" w:rsidRDefault="00CF6B94" w:rsidP="00CF6B94">
      <w:pPr>
        <w:pStyle w:val="BodyText"/>
      </w:pPr>
      <w:r>
        <w:t>The SIH includes data for over 3000 households representative of sole and couple parent households in Australia.</w:t>
      </w:r>
      <w:r>
        <w:rPr>
          <w:rStyle w:val="FootnoteReference"/>
        </w:rPr>
        <w:footnoteReference w:id="5"/>
      </w:r>
      <w:r>
        <w:t xml:space="preserve"> The data for each observation were combined with administrative childcare fee data for 1.29 million children, based on location. The procedures used to produce the model database are summarised in appendix A. A brief overview of the data sources is included in box 2.</w:t>
      </w:r>
    </w:p>
    <w:p w:rsidR="00CF6B94" w:rsidRDefault="00CF6B94" w:rsidP="00CF6B94">
      <w:pPr>
        <w:pStyle w:val="BodyText"/>
      </w:pPr>
      <w:r>
        <w:t xml:space="preserve">Utility function and wage equation parameters were estimated for the PCMC model using the Commission’s database (appendix C). These parameter estimates reflect the latest data available to the Commission (2011-12), and match the PCMC model specification. The approach adopted in the estimation follows the approach used in </w:t>
      </w:r>
      <w:proofErr w:type="spellStart"/>
      <w:r>
        <w:t>Doiron</w:t>
      </w:r>
      <w:proofErr w:type="spellEnd"/>
      <w:r>
        <w:t xml:space="preserve"> and </w:t>
      </w:r>
      <w:proofErr w:type="spellStart"/>
      <w:r>
        <w:t>Kalb</w:t>
      </w:r>
      <w:proofErr w:type="spellEnd"/>
      <w:r>
        <w:t xml:space="preserve"> (2005).</w:t>
      </w:r>
    </w:p>
    <w:p w:rsidR="00CF6B94" w:rsidRDefault="00CF6B94" w:rsidP="00CF6B94">
      <w:pPr>
        <w:pStyle w:val="BodyText"/>
      </w:pPr>
    </w:p>
    <w:p w:rsidR="00CF6B94" w:rsidRDefault="00CF6B94" w:rsidP="00CF6B9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left w:val="nil"/>
              <w:bottom w:val="nil"/>
              <w:right w:val="nil"/>
            </w:tcBorders>
            <w:shd w:val="clear" w:color="auto" w:fill="F2F2F2" w:themeFill="background1" w:themeFillShade="F2"/>
          </w:tcPr>
          <w:p w:rsidR="00CF6B94" w:rsidRDefault="00CF6B94" w:rsidP="00CF6B94">
            <w:pPr>
              <w:pStyle w:val="BoxTitle"/>
            </w:pPr>
            <w:r>
              <w:rPr>
                <w:b w:val="0"/>
              </w:rPr>
              <w:t>Box 2</w:t>
            </w:r>
            <w:r>
              <w:tab/>
            </w:r>
            <w:r w:rsidRPr="00AB173F">
              <w:t>Data sources</w:t>
            </w:r>
          </w:p>
        </w:tc>
      </w:tr>
      <w:tr w:rsidR="00CF6B94" w:rsidTr="00CF6B94">
        <w:trPr>
          <w:cantSplit/>
        </w:trPr>
        <w:tc>
          <w:tcPr>
            <w:tcW w:w="8771" w:type="dxa"/>
            <w:tcBorders>
              <w:top w:val="nil"/>
              <w:left w:val="nil"/>
              <w:bottom w:val="nil"/>
              <w:right w:val="nil"/>
            </w:tcBorders>
            <w:shd w:val="clear" w:color="auto" w:fill="F2F2F2" w:themeFill="background1" w:themeFillShade="F2"/>
          </w:tcPr>
          <w:p w:rsidR="00CF6B94" w:rsidRDefault="00CF6B94" w:rsidP="00CF6B94">
            <w:pPr>
              <w:pStyle w:val="Box"/>
            </w:pPr>
            <w:r>
              <w:t>The micro-simulation model uses two data sources:</w:t>
            </w:r>
          </w:p>
          <w:p w:rsidR="00CF6B94" w:rsidRPr="00AB173F" w:rsidRDefault="00CF6B94" w:rsidP="00CF6B94">
            <w:pPr>
              <w:pStyle w:val="BoxListBullet"/>
            </w:pPr>
            <w:r w:rsidRPr="00AB173F">
              <w:t>The 2011</w:t>
            </w:r>
            <w:r>
              <w:t>-</w:t>
            </w:r>
            <w:r w:rsidRPr="00AB173F">
              <w:t>12 Survey of Income and Housing (ABS 2013</w:t>
            </w:r>
            <w:r>
              <w:t>b</w:t>
            </w:r>
            <w:r w:rsidRPr="00AB173F">
              <w:t>) contains key demographic and economic characteristics of residents in private dwellings across Australia. The model database focuses on a subsample of the survey describing lone and coupled parents. All variables except childcare price are derived from this subsample.</w:t>
            </w:r>
          </w:p>
          <w:p w:rsidR="00CF6B94" w:rsidRDefault="00CF6B94" w:rsidP="00CF6B94">
            <w:pPr>
              <w:pStyle w:val="BoxListBullet"/>
            </w:pPr>
            <w:r w:rsidRPr="00AB173F">
              <w:t xml:space="preserve">An </w:t>
            </w:r>
            <w:r>
              <w:t xml:space="preserve">unpublished </w:t>
            </w:r>
            <w:r w:rsidRPr="00AB173F">
              <w:t xml:space="preserve">administrative childcare database (Department of Education </w:t>
            </w:r>
            <w:r>
              <w:t>2011</w:t>
            </w:r>
            <w:r>
              <w:noBreakHyphen/>
              <w:t>12</w:t>
            </w:r>
            <w:r w:rsidRPr="00AB173F">
              <w:t>), which provides a comprehensive description of childcare use, price, location of service and subsidies (</w:t>
            </w:r>
            <w:r>
              <w:t xml:space="preserve">including </w:t>
            </w:r>
            <w:r w:rsidRPr="00AB173F">
              <w:t>CCR and CCB). The administrative database was used to provide the mean and standard deviation of childca</w:t>
            </w:r>
            <w:r>
              <w:t>re prices by geographic location and type of care.</w:t>
            </w:r>
          </w:p>
          <w:p w:rsidR="00CF6B94" w:rsidRDefault="00CF6B94" w:rsidP="00CF6B94">
            <w:pPr>
              <w:pStyle w:val="Box"/>
            </w:pPr>
            <w:r>
              <w:t>Several observations were excluded from the model database. Specifically, observations that reported positive employee income and zero labour supply were removed. Similarly, observations that reported parents with no children were also removed. Following consultation with the ABS, observations that reported zero employee income and positive labour supply were attributed an imputed wage using the estimated wage equation (appendix C)</w:t>
            </w:r>
            <w:proofErr w:type="gramStart"/>
            <w:r>
              <w:t>,</w:t>
            </w:r>
            <w:proofErr w:type="gramEnd"/>
            <w:r>
              <w:t xml:space="preserve"> because it was felt that the absence of a wage could be explained without assuming the household’s response to the survey was invalid.</w:t>
            </w:r>
          </w:p>
          <w:p w:rsidR="00CF6B94" w:rsidRDefault="00CF6B94" w:rsidP="00CF6B94">
            <w:pPr>
              <w:pStyle w:val="Box"/>
            </w:pPr>
            <w:r>
              <w:t>The final model database contains 3030 households (comprising 628 lone parent and 2402 coupled parent families). The database contains variables describing income, labour supply, number of children, age of parents, occupation, industry of employment, location, educational attainment, transfer payments received, hours of childcare used and childcare prices faced for each household. Some households are dropped as part of the model calibration, where their behaviour is particularly inconsistent with the model theory (appendix B).</w:t>
            </w:r>
          </w:p>
        </w:tc>
      </w:tr>
      <w:tr w:rsidR="00CF6B94" w:rsidTr="00CF6B94">
        <w:trPr>
          <w:cantSplit/>
        </w:trPr>
        <w:tc>
          <w:tcPr>
            <w:tcW w:w="8771" w:type="dxa"/>
            <w:tcBorders>
              <w:top w:val="nil"/>
              <w:left w:val="nil"/>
              <w:bottom w:val="single" w:sz="6" w:space="0" w:color="78A22F"/>
              <w:right w:val="nil"/>
            </w:tcBorders>
            <w:shd w:val="clear" w:color="auto" w:fill="F2F2F2" w:themeFill="background1" w:themeFillShade="F2"/>
          </w:tcPr>
          <w:p w:rsidR="00CF6B94" w:rsidRDefault="00CF6B94" w:rsidP="00CF6B94">
            <w:pPr>
              <w:pStyle w:val="Box"/>
              <w:spacing w:before="0" w:line="120" w:lineRule="exact"/>
            </w:pPr>
          </w:p>
        </w:tc>
      </w:tr>
      <w:tr w:rsidR="00CF6B94" w:rsidRPr="000863A5" w:rsidTr="00CF6B94">
        <w:tc>
          <w:tcPr>
            <w:tcW w:w="8771" w:type="dxa"/>
            <w:tcBorders>
              <w:top w:val="single" w:sz="6" w:space="0" w:color="78A22F"/>
              <w:left w:val="nil"/>
              <w:bottom w:val="nil"/>
              <w:right w:val="nil"/>
            </w:tcBorders>
          </w:tcPr>
          <w:p w:rsidR="00CF6B94" w:rsidRPr="00626D32" w:rsidRDefault="00CF6B94" w:rsidP="00CF6B94">
            <w:pPr>
              <w:pStyle w:val="BoxSpaceBelow"/>
            </w:pPr>
          </w:p>
        </w:tc>
      </w:tr>
    </w:tbl>
    <w:p w:rsidR="00CF6B94" w:rsidRDefault="00CF6B94" w:rsidP="00CF6B94">
      <w:pPr>
        <w:pStyle w:val="Heading2"/>
      </w:pPr>
      <w:r>
        <w:rPr>
          <w:noProof/>
        </w:rPr>
        <w:t>2</w:t>
      </w:r>
      <w:r>
        <w:tab/>
        <w:t>Assumptions, caveats and limitations</w:t>
      </w:r>
    </w:p>
    <w:p w:rsidR="00CF6B94" w:rsidRDefault="00CF6B94" w:rsidP="00CF6B94">
      <w:pPr>
        <w:pStyle w:val="BodyText"/>
      </w:pPr>
      <w:r>
        <w:t>There are important caveats that need to be remembered when interpreting the results from the PCMC model. Among others, the following issues are most prominent.</w:t>
      </w:r>
    </w:p>
    <w:p w:rsidR="00CF6B94" w:rsidRPr="00CF6B94" w:rsidRDefault="00CF6B94" w:rsidP="00CF6B94">
      <w:pPr>
        <w:pStyle w:val="ListNumber"/>
        <w:numPr>
          <w:ilvl w:val="0"/>
          <w:numId w:val="24"/>
        </w:numPr>
      </w:pPr>
      <w:r w:rsidRPr="00CF6B94">
        <w:t>Data: responses in the SIH might not be internally consistent, or questions could be misunderstood or answered incorrectly by participants. For example, some observations included zero hours worked and non-zero labour income (appendix A). The data were reconciled with the administrative data. However, these data too, could contain inaccuracies, in particular, where people are incentivised to overstate the number of hours worked, or to overstate the amount of childcare they use.</w:t>
      </w:r>
    </w:p>
    <w:p w:rsidR="00CF6B94" w:rsidRPr="00CF6B94" w:rsidRDefault="00CF6B94" w:rsidP="00CF6B94">
      <w:pPr>
        <w:pStyle w:val="ListNumber"/>
      </w:pPr>
      <w:r w:rsidRPr="00CF6B94">
        <w:t xml:space="preserve">Unemployment benefits: The model assumes that people who stop working as a result of the policy change will claim the </w:t>
      </w:r>
      <w:proofErr w:type="spellStart"/>
      <w:r w:rsidRPr="00CF6B94">
        <w:t>NewStart</w:t>
      </w:r>
      <w:proofErr w:type="spellEnd"/>
      <w:r w:rsidRPr="00CF6B94">
        <w:t xml:space="preserve"> Allowance. In the SIH data, a number of seemingly eligible people do not claim unemployment benefits; as such, the assumed behaviour could overstate the number of people who claim </w:t>
      </w:r>
      <w:proofErr w:type="spellStart"/>
      <w:r w:rsidRPr="00CF6B94">
        <w:t>NewStart</w:t>
      </w:r>
      <w:proofErr w:type="spellEnd"/>
      <w:r w:rsidRPr="00CF6B94">
        <w:t>.</w:t>
      </w:r>
    </w:p>
    <w:p w:rsidR="00CF6B94" w:rsidRPr="00CF6B94" w:rsidRDefault="00CF6B94" w:rsidP="00CF6B94">
      <w:pPr>
        <w:pStyle w:val="ListNumber"/>
      </w:pPr>
      <w:r w:rsidRPr="00CF6B94">
        <w:t xml:space="preserve">Childcare demand: the childcare hour result is best interpreted as a shift in the demand for childcare. The model assumes that each individual can obtain as many hours of childcare as they want at the supply price they currently face. There is no representation of childcare supply response: there is no increasing cost of childcare, nor any capacity </w:t>
      </w:r>
      <w:r w:rsidRPr="00CF6B94">
        <w:lastRenderedPageBreak/>
        <w:t>constraints. To the extent that childcare availability is constrained at current supply prices, the labour supply response could be smaller than projected. If childcare prices were to increase, the returns to labour net of taxes and out-of-pocket costs would decrease and the labour supply response and childcare demand response would reduce accordingly.</w:t>
      </w:r>
    </w:p>
    <w:p w:rsidR="00CF6B94" w:rsidRPr="00CF6B94" w:rsidRDefault="00CF6B94" w:rsidP="00CF6B94">
      <w:pPr>
        <w:pStyle w:val="ListNumber"/>
      </w:pPr>
      <w:r w:rsidRPr="00CF6B94">
        <w:t>Labour supply: the labour hour results represent a shift in the supply of labour from households included in the model. This is equivalent to assuming that each individual can work as many hours as they want at the current wage. There is no representation of the demand for labour from workers with children, or of the labour response of those outside the PCMC model (workers without children). Any employment projection is likely to be smaller than the projected labour supply shifts. To the extent that labour supply increases, the real wage might fall, which could reduce the quantity of labour supplied by other individuals in the economy (i.e. individuals not included in the PCMC model).</w:t>
      </w:r>
    </w:p>
    <w:p w:rsidR="00CF6B94" w:rsidRPr="00CF6B94" w:rsidRDefault="00CF6B94" w:rsidP="00CF6B94">
      <w:pPr>
        <w:pStyle w:val="ListNumber"/>
      </w:pPr>
      <w:r w:rsidRPr="00CF6B94">
        <w:t>Tax impacts: There is no representation of the potential reductions in labour supply if taxes have to be increased to fund any increases in fiscal cost. To the extent that additional funding is required through additional taxes, labour supply responses among those modelled could be lower than in the model results, and could be negative from individuals not included in the model (those without children). Given the Commission’s recommended approach is within the same fiscal envelope (i.e. the net fiscal impact for government is small or zero) this impact is expected to be small.</w:t>
      </w:r>
    </w:p>
    <w:p w:rsidR="00CF6B94" w:rsidRPr="00CF6B94" w:rsidRDefault="00CF6B94" w:rsidP="00CF6B94">
      <w:pPr>
        <w:pStyle w:val="ListNumber"/>
      </w:pPr>
      <w:r w:rsidRPr="00CF6B94">
        <w:t>Broader economic impacts: the projected shifts in labour supply and childcare demand can be interpreted as upper bounds on the estimated effects on employment and childcare use. Any GDP extrapolation based on these shifts is therefore best interpreted as an upper bound on the possible effects on GDP.</w:t>
      </w:r>
      <w:r w:rsidRPr="00CF6B94">
        <w:rPr>
          <w:rStyle w:val="FootnoteReference"/>
          <w:position w:val="0"/>
          <w:sz w:val="24"/>
        </w:rPr>
        <w:footnoteReference w:id="6"/>
      </w:r>
      <w:r w:rsidRPr="00CF6B94">
        <w:t xml:space="preserve"> </w:t>
      </w:r>
    </w:p>
    <w:p w:rsidR="00CF6B94" w:rsidRDefault="00CF6B94" w:rsidP="00CF6B94">
      <w:pPr>
        <w:pStyle w:val="Heading2"/>
      </w:pPr>
      <w:r>
        <w:rPr>
          <w:noProof/>
        </w:rPr>
        <w:t>3</w:t>
      </w:r>
      <w:r>
        <w:tab/>
        <w:t xml:space="preserve">Policy simulations </w:t>
      </w:r>
    </w:p>
    <w:p w:rsidR="00CF6B94" w:rsidRDefault="00CF6B94" w:rsidP="00CF6B94">
      <w:pPr>
        <w:pStyle w:val="BodyText"/>
      </w:pPr>
      <w:r>
        <w:t>For each policy scenario, the model produces results that include:</w:t>
      </w:r>
      <w:r>
        <w:rPr>
          <w:rStyle w:val="FootnoteReference"/>
        </w:rPr>
        <w:footnoteReference w:id="7"/>
      </w:r>
    </w:p>
    <w:p w:rsidR="00CF6B94" w:rsidRPr="00CF6B94" w:rsidRDefault="00CF6B94" w:rsidP="00CF6B94">
      <w:pPr>
        <w:pStyle w:val="ListNumber"/>
        <w:numPr>
          <w:ilvl w:val="0"/>
          <w:numId w:val="37"/>
        </w:numPr>
      </w:pPr>
      <w:r w:rsidRPr="00CF6B94">
        <w:t>net change in the supply of labour</w:t>
      </w:r>
    </w:p>
    <w:p w:rsidR="00CF6B94" w:rsidRPr="00CF6B94" w:rsidRDefault="00CF6B94" w:rsidP="00CF6B94">
      <w:pPr>
        <w:pStyle w:val="ListNumber"/>
      </w:pPr>
      <w:r w:rsidRPr="00CF6B94">
        <w:t>net change in demand for formal childcare</w:t>
      </w:r>
    </w:p>
    <w:p w:rsidR="00CF6B94" w:rsidRPr="00CF6B94" w:rsidRDefault="00CF6B94" w:rsidP="00CF6B94">
      <w:pPr>
        <w:pStyle w:val="ListNumber"/>
      </w:pPr>
      <w:r w:rsidRPr="00CF6B94">
        <w:lastRenderedPageBreak/>
        <w:t>ECEC costs to government, changes in income tax collections, changes in transfer payments, and the net impact on the government’s fiscal position</w:t>
      </w:r>
    </w:p>
    <w:p w:rsidR="00CF6B94" w:rsidRPr="00CF6B94" w:rsidRDefault="00CF6B94" w:rsidP="00CF6B94">
      <w:pPr>
        <w:pStyle w:val="ListNumber"/>
      </w:pPr>
      <w:proofErr w:type="gramStart"/>
      <w:r w:rsidRPr="00CF6B94">
        <w:t>a</w:t>
      </w:r>
      <w:proofErr w:type="gramEnd"/>
      <w:r w:rsidRPr="00CF6B94">
        <w:t xml:space="preserve"> range of aggregations for the impacts on various cohorts for labour supply, childcare demand, out-of-pocket expenses, effective subsidy rates.</w:t>
      </w:r>
    </w:p>
    <w:p w:rsidR="00CF6B94" w:rsidRDefault="00CF6B94" w:rsidP="00CF6B94">
      <w:pPr>
        <w:pStyle w:val="BodyText"/>
      </w:pPr>
      <w:r>
        <w:t>Given the uncertainty surrounding the data and parameter values, results include ranges. The sensitivity tests varied the utility parameters based on the distributions from the econometric estimations and the variance-covariance matrixes (appendix B). Sensitivity ranges were constructed based on 1000 simulations.</w:t>
      </w:r>
    </w:p>
    <w:p w:rsidR="00CF6B94" w:rsidRDefault="00CF6B94" w:rsidP="00CF6B94">
      <w:pPr>
        <w:pStyle w:val="BodyText"/>
      </w:pPr>
      <w:r>
        <w:t xml:space="preserve">The Commission has used the micro-simulation model to examine several alternative variants of early childhood subsidy arrangements recommended in the inquiry report. Each of these ECLS variants </w:t>
      </w:r>
      <w:proofErr w:type="gramStart"/>
      <w:r>
        <w:t>include</w:t>
      </w:r>
      <w:proofErr w:type="gramEnd"/>
      <w:r>
        <w:t>:</w:t>
      </w:r>
    </w:p>
    <w:p w:rsidR="00CF6B94" w:rsidRPr="00CF6B94" w:rsidRDefault="00CF6B94" w:rsidP="00CF6B94">
      <w:pPr>
        <w:pStyle w:val="ListNumber"/>
        <w:numPr>
          <w:ilvl w:val="0"/>
          <w:numId w:val="44"/>
        </w:numPr>
      </w:pPr>
      <w:r w:rsidRPr="00CF6B94">
        <w:t>A simplified assistance scheme replacing existing childcare subsides with a single payment (means tested against household income), calculated as a percentage of a benchmark price of childcare.</w:t>
      </w:r>
    </w:p>
    <w:p w:rsidR="00CF6B94" w:rsidRPr="00CF6B94" w:rsidRDefault="00CF6B94" w:rsidP="00CF6B94">
      <w:pPr>
        <w:pStyle w:val="ListNumber"/>
      </w:pPr>
      <w:r w:rsidRPr="00CF6B94">
        <w:t>The benchmark price is set per hour of childcare.</w:t>
      </w:r>
      <w:r w:rsidRPr="00E66A24">
        <w:rPr>
          <w:rStyle w:val="FootnoteReference"/>
        </w:rPr>
        <w:footnoteReference w:id="8"/>
      </w:r>
      <w:r w:rsidRPr="00CF6B94">
        <w:t xml:space="preserve"> The benchmark price varies by type of care (long day care, home based care (including family day care and approved nannies), and OSHC). For long day care, the benchmark price also varies with the child age — 0 to 35 months and 36 months to primary school age. A household cannot receive a subsidy in excess of childcare fees.</w:t>
      </w:r>
      <w:r w:rsidRPr="00E66A24">
        <w:rPr>
          <w:rStyle w:val="FootnoteReference"/>
        </w:rPr>
        <w:footnoteReference w:id="9"/>
      </w:r>
    </w:p>
    <w:p w:rsidR="00CF6B94" w:rsidRPr="00CF6B94" w:rsidRDefault="00CF6B94" w:rsidP="00CF6B94">
      <w:pPr>
        <w:pStyle w:val="ListNumber"/>
      </w:pPr>
      <w:r w:rsidRPr="00CF6B94">
        <w:t>A new activity test for childcare assistance eligibility. At present, the CCB has no activity test for households claiming 24 hours or less of childcare a week; households must meet an activity test (15 hours a week) to receive a subsidy for childcare hours in excess of 24 hours per week. The CCR simply requires that each parent be working/training/studying/seeking work/volunteering to be eligible. The scenarios institute a single fortnightly activity test on each parent in the household to be eligible for formal childcare assistance (not including pre</w:t>
      </w:r>
      <w:r w:rsidRPr="00CF6B94">
        <w:noBreakHyphen/>
        <w:t>school).</w:t>
      </w:r>
      <w:r w:rsidRPr="00E66A24">
        <w:rPr>
          <w:rStyle w:val="FootnoteReference"/>
        </w:rPr>
        <w:footnoteReference w:id="10"/>
      </w:r>
    </w:p>
    <w:p w:rsidR="00CF6B94" w:rsidRDefault="00CF6B94">
      <w:pPr>
        <w:rPr>
          <w:szCs w:val="20"/>
        </w:rPr>
      </w:pPr>
      <w:r>
        <w:br w:type="page"/>
      </w:r>
    </w:p>
    <w:p w:rsidR="00CF6B94" w:rsidRDefault="00CF6B94" w:rsidP="00CF6B94">
      <w:pPr>
        <w:pStyle w:val="BodyText"/>
      </w:pPr>
      <w:r>
        <w:lastRenderedPageBreak/>
        <w:t xml:space="preserve">The policy recommendations in the inquiry report examined in this technical supplement includes (figure 2): </w:t>
      </w:r>
    </w:p>
    <w:p w:rsidR="00CF6B94" w:rsidRDefault="00CF6B94" w:rsidP="00CF6B94">
      <w:pPr>
        <w:pStyle w:val="ListNumber"/>
        <w:numPr>
          <w:ilvl w:val="0"/>
          <w:numId w:val="47"/>
        </w:numPr>
      </w:pPr>
      <w:r>
        <w:t>A 24-hour fortnightly activity test for all members of a household enabling the household to receive up to 100 hours per fortnight of subsidised care. Households receiving the Parenting Payment can access up to 20 hours per fortnight of subsidised care without passing the activity test.</w:t>
      </w:r>
    </w:p>
    <w:p w:rsidR="00CF6B94" w:rsidRDefault="00CF6B94" w:rsidP="00CF6B94">
      <w:pPr>
        <w:pStyle w:val="ListNumber"/>
      </w:pPr>
      <w:r>
        <w:t>Assistance at 85 per cent of the benchmark price for households with gross income less than $60 000.</w:t>
      </w:r>
    </w:p>
    <w:p w:rsidR="00CF6B94" w:rsidRDefault="00CF6B94" w:rsidP="00CF6B94">
      <w:pPr>
        <w:pStyle w:val="ListNumber"/>
      </w:pPr>
      <w:r>
        <w:t>Assistance at 20 per cent of the benchmark price for households with gross income at or above $250 000</w:t>
      </w:r>
    </w:p>
    <w:p w:rsidR="00CF6B94" w:rsidRDefault="00CF6B94" w:rsidP="00CF6B94">
      <w:pPr>
        <w:pStyle w:val="ListNumber"/>
      </w:pPr>
      <w:r>
        <w:t>Subsidy rates for households with a gross income between $60 000 and $250 000 are calculated using a linear taper rate. For example, a household with an income of $100 000 would receive 71 per cent of the benchmark price.</w:t>
      </w:r>
    </w:p>
    <w:p w:rsidR="00CF6B94" w:rsidRDefault="00CF6B94" w:rsidP="00CF6B94">
      <w:pPr>
        <w:pStyle w:val="ListNumber"/>
      </w:pPr>
      <w:r>
        <w:t xml:space="preserve">The benchmark price is set equal to the median fee paid as reported in the administrative data. Households can </w:t>
      </w:r>
      <w:proofErr w:type="gramStart"/>
      <w:r>
        <w:t>receive,</w:t>
      </w:r>
      <w:proofErr w:type="gramEnd"/>
      <w:r>
        <w:t xml:space="preserve"> at most, a 100 per cent subsidy where their subsidy rate times the benchmark price exceeds the childcare price they face.</w:t>
      </w:r>
    </w:p>
    <w:p w:rsidR="00CF6B94" w:rsidRDefault="00CF6B94" w:rsidP="00CF6B9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left w:val="nil"/>
              <w:bottom w:val="nil"/>
              <w:right w:val="nil"/>
            </w:tcBorders>
            <w:shd w:val="clear" w:color="auto" w:fill="auto"/>
          </w:tcPr>
          <w:p w:rsidR="00CF6B94" w:rsidRPr="00176D3F" w:rsidRDefault="00CF6B94" w:rsidP="00E66A24">
            <w:pPr>
              <w:pStyle w:val="FigureTitle"/>
            </w:pPr>
            <w:r w:rsidRPr="00784A05">
              <w:rPr>
                <w:b w:val="0"/>
              </w:rPr>
              <w:t xml:space="preserve">Figure </w:t>
            </w:r>
            <w:r>
              <w:rPr>
                <w:b w:val="0"/>
              </w:rPr>
              <w:t>2</w:t>
            </w:r>
            <w:r>
              <w:tab/>
            </w:r>
            <w:r w:rsidRPr="00623B91">
              <w:t xml:space="preserve">Schedule of subsidy rates under </w:t>
            </w:r>
            <w:r>
              <w:t>ECLS</w:t>
            </w:r>
            <w:r w:rsidRPr="00E66A24">
              <w:rPr>
                <w:rStyle w:val="NoteLabel"/>
              </w:rPr>
              <w:t>a</w:t>
            </w:r>
          </w:p>
        </w:tc>
      </w:tr>
      <w:tr w:rsidR="00CF6B94" w:rsidTr="00CF6B94">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487"/>
            </w:tblGrid>
            <w:tr w:rsidR="00CF6B94" w:rsidTr="00CF6B94">
              <w:tc>
                <w:tcPr>
                  <w:tcW w:w="8487" w:type="dxa"/>
                  <w:tcBorders>
                    <w:top w:val="nil"/>
                    <w:bottom w:val="nil"/>
                  </w:tcBorders>
                </w:tcPr>
                <w:p w:rsidR="00CF6B94" w:rsidRDefault="00E44627" w:rsidP="00CF6B94">
                  <w:pPr>
                    <w:pStyle w:val="Figure"/>
                    <w:spacing w:before="60" w:after="60"/>
                  </w:pPr>
                  <w:r>
                    <w:rPr>
                      <w:noProof/>
                    </w:rPr>
                    <w:drawing>
                      <wp:inline distT="0" distB="0" distL="0" distR="0">
                        <wp:extent cx="5067300" cy="2971800"/>
                        <wp:effectExtent l="0" t="0" r="0" b="0"/>
                        <wp:docPr id="2" name="Picture 2" descr="Schedule of subsidy rates under EC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0" cy="2971800"/>
                                </a:xfrm>
                                <a:prstGeom prst="rect">
                                  <a:avLst/>
                                </a:prstGeom>
                                <a:noFill/>
                                <a:ln>
                                  <a:noFill/>
                                </a:ln>
                              </pic:spPr>
                            </pic:pic>
                          </a:graphicData>
                        </a:graphic>
                      </wp:inline>
                    </w:drawing>
                  </w:r>
                </w:p>
              </w:tc>
            </w:tr>
          </w:tbl>
          <w:p w:rsidR="00CF6B94" w:rsidRDefault="00CF6B94" w:rsidP="00CF6B94">
            <w:pPr>
              <w:pStyle w:val="Figure"/>
            </w:pPr>
          </w:p>
        </w:tc>
      </w:tr>
      <w:tr w:rsidR="00CF6B94" w:rsidRPr="00176D3F" w:rsidTr="00CF6B94">
        <w:tc>
          <w:tcPr>
            <w:tcW w:w="8771" w:type="dxa"/>
            <w:tcBorders>
              <w:top w:val="nil"/>
              <w:left w:val="nil"/>
              <w:bottom w:val="nil"/>
              <w:right w:val="nil"/>
            </w:tcBorders>
            <w:shd w:val="clear" w:color="auto" w:fill="auto"/>
          </w:tcPr>
          <w:p w:rsidR="00CF6B94" w:rsidRPr="00176D3F" w:rsidRDefault="00CF6B94" w:rsidP="00CF6B94">
            <w:pPr>
              <w:pStyle w:val="Note"/>
            </w:pPr>
            <w:proofErr w:type="gramStart"/>
            <w:r>
              <w:rPr>
                <w:rStyle w:val="NoteLabel"/>
              </w:rPr>
              <w:t>a</w:t>
            </w:r>
            <w:proofErr w:type="gramEnd"/>
            <w:r>
              <w:t xml:space="preserve"> ECLS</w:t>
            </w:r>
            <w:r w:rsidRPr="00131996">
              <w:t xml:space="preserve"> replaces existing </w:t>
            </w:r>
            <w:r>
              <w:t>childcare subsidies</w:t>
            </w:r>
            <w:r w:rsidRPr="00131996">
              <w:t xml:space="preserve"> with a single means tested subsidy rate applied to a </w:t>
            </w:r>
            <w:r>
              <w:t>benchmark price base</w:t>
            </w:r>
            <w:r w:rsidRPr="00131996">
              <w:t>.</w:t>
            </w:r>
          </w:p>
        </w:tc>
      </w:tr>
      <w:tr w:rsidR="00CF6B94" w:rsidTr="00CF6B94">
        <w:tc>
          <w:tcPr>
            <w:tcW w:w="8771" w:type="dxa"/>
            <w:tcBorders>
              <w:top w:val="nil"/>
              <w:left w:val="nil"/>
              <w:bottom w:val="single" w:sz="6" w:space="0" w:color="78A22F"/>
              <w:right w:val="nil"/>
            </w:tcBorders>
            <w:shd w:val="clear" w:color="auto" w:fill="auto"/>
          </w:tcPr>
          <w:p w:rsidR="00CF6B94" w:rsidRDefault="00CF6B94" w:rsidP="00CF6B94">
            <w:pPr>
              <w:pStyle w:val="Figurespace"/>
            </w:pPr>
          </w:p>
        </w:tc>
      </w:tr>
      <w:tr w:rsidR="00CF6B94" w:rsidRPr="000863A5" w:rsidTr="00CF6B94">
        <w:tc>
          <w:tcPr>
            <w:tcW w:w="8771" w:type="dxa"/>
            <w:tcBorders>
              <w:top w:val="single" w:sz="6" w:space="0" w:color="78A22F"/>
              <w:left w:val="nil"/>
              <w:bottom w:val="nil"/>
              <w:right w:val="nil"/>
            </w:tcBorders>
          </w:tcPr>
          <w:p w:rsidR="00CF6B94" w:rsidRPr="00626D32" w:rsidRDefault="00CF6B94" w:rsidP="00CF6B94">
            <w:pPr>
              <w:pStyle w:val="BoxSpaceBelow"/>
            </w:pPr>
          </w:p>
        </w:tc>
      </w:tr>
    </w:tbl>
    <w:p w:rsidR="00CF6B94" w:rsidRDefault="00CF6B94" w:rsidP="00CF6B94">
      <w:pPr>
        <w:pStyle w:val="Heading2"/>
      </w:pPr>
      <w:r>
        <w:rPr>
          <w:noProof/>
        </w:rPr>
        <w:lastRenderedPageBreak/>
        <w:t>4</w:t>
      </w:r>
      <w:r w:rsidRPr="0097630A">
        <w:tab/>
      </w:r>
      <w:r>
        <w:t>Model results, mechanisms and drivers</w:t>
      </w:r>
    </w:p>
    <w:p w:rsidR="00CF6B94" w:rsidRDefault="00CF6B94" w:rsidP="00CF6B94">
      <w:pPr>
        <w:pStyle w:val="BodyText"/>
      </w:pPr>
      <w:r>
        <w:t xml:space="preserve">Table 1 presents illustrative results ranges, as well as the ‘central’ result for the simulation based on the estimated parameters (appendix C). The ranges were constructed by defining ranges around these parameters based on the variance-covariance matrixes taken from the econometric estimation of the model utility functions (appendix B). Simulations were completed with different parameter values — 1000 simulations, drawing parameter value </w:t>
      </w:r>
      <w:proofErr w:type="gramStart"/>
      <w:r>
        <w:t>sets</w:t>
      </w:r>
      <w:proofErr w:type="gramEnd"/>
      <w:r>
        <w:t xml:space="preserve"> using the variance-covariance matrixes from the estimation. The ‘lower bounds’ and ‘upper bounds’ cover 95 per cent of the results obtained from the 1000 simulations.</w:t>
      </w:r>
    </w:p>
    <w:p w:rsidR="00CF6B94" w:rsidRDefault="00CF6B94" w:rsidP="00CF6B94">
      <w:pPr>
        <w:pStyle w:val="BodyText"/>
      </w:pPr>
      <w:r>
        <w:t xml:space="preserve">Unless stated otherwise, model results for labour supply are couched in terms of shifts in </w:t>
      </w:r>
      <w:r w:rsidRPr="00F43B78">
        <w:rPr>
          <w:i/>
        </w:rPr>
        <w:t>aggregate</w:t>
      </w:r>
      <w:r>
        <w:t xml:space="preserve"> national labour supply — that is, the increase in total hours (or FTEs) in the economy from those primary carers changing their labour supply decision in the PCMC model.</w:t>
      </w:r>
    </w:p>
    <w:p w:rsidR="00E66A24" w:rsidRDefault="00E66A24" w:rsidP="00E66A24">
      <w:pPr>
        <w:pStyle w:val="BodyText"/>
      </w:pPr>
      <w:r>
        <w:t xml:space="preserve">Table 1 </w:t>
      </w:r>
      <w:proofErr w:type="gramStart"/>
      <w:r>
        <w:t>shows</w:t>
      </w:r>
      <w:proofErr w:type="gramEnd"/>
      <w:r>
        <w:t xml:space="preserve"> that the results are sensitive to parameter values. Results for childcare demand are somewhat more sensitive than those for labour supply. Total ECEC cost is largely driven by childcare demand, while changes in government transfers and tax receipts are driven by labour response, making the net fiscal implications more complex to analyse, but still close to neutral. </w:t>
      </w:r>
    </w:p>
    <w:p w:rsidR="00E66A24" w:rsidRDefault="00E66A24" w:rsidP="00E66A24">
      <w:pPr>
        <w:pStyle w:val="BodyText"/>
      </w:pPr>
      <w:proofErr w:type="gramStart"/>
      <w:r>
        <w:t>In general, increasing subsidy payments increases demand for childcare, and the supply of labour hours.</w:t>
      </w:r>
      <w:proofErr w:type="gramEnd"/>
      <w:r>
        <w:t xml:space="preserve"> Higher income</w:t>
      </w:r>
      <w:r w:rsidDel="002E4CB1">
        <w:t xml:space="preserve"> </w:t>
      </w:r>
      <w:r>
        <w:t>households who receive reduced subsidies tend not to change their behaviour much — to an extent, high income households (as shown in the data) are willing to fund childcare out-of-pocket, and make a labour supply decision that is not heavily dependent on their level of childcare subsidy. Low</w:t>
      </w:r>
      <w:r>
        <w:noBreakHyphen/>
        <w:t xml:space="preserve"> and middle</w:t>
      </w:r>
      <w:r>
        <w:noBreakHyphen/>
        <w:t xml:space="preserve">income households who receive higher subsidy rates respond by increasing their demand for childcare and their supply of labour. Households that are impacted by the activity test tend to either increase their labour supply, or stop demanding care; in aggregate, they increase labour supply and reduce net fiscal costs. </w:t>
      </w:r>
    </w:p>
    <w:p w:rsidR="00E66A24" w:rsidRDefault="00E66A24" w:rsidP="00E66A24">
      <w:pPr>
        <w:pStyle w:val="BodyText"/>
      </w:pPr>
      <w:r>
        <w:t>There is potentially a small net fiscal cost for government associated with the Commission’s recommendations as a whole, as income tax and transfer payment changes from increased labour supply do not completely offset the additional childcare subsidy expense. However, the range indicates that the net fiscal impact is likely to be close to zero.</w:t>
      </w:r>
    </w:p>
    <w:p w:rsidR="00E66A24" w:rsidRDefault="00E66A24" w:rsidP="00E66A24">
      <w:pPr>
        <w:pStyle w:val="BodyText"/>
      </w:pPr>
      <w:r>
        <w:t xml:space="preserve">It is also worth noting that for some individuals, it can appear that despite an apparent reduction in their rate of childcare subsidy their childcare demand and labour supply can increase. This is because people shift between income groups — reporting is based on initial income, but some households will supply more labour and earn more post-policy change — as illustrated using an example family (figure 3). A primary carer may initially choose to work 12 hours per week and be eligible for a subsidy rate of 70 per cent (when CCB and CCR entitlements are combined). Alternatively, they could work for 32 hours a week. Under the current CCB and CCR arrangements, due to the means testing of the CCB </w:t>
      </w:r>
      <w:r>
        <w:lastRenderedPageBreak/>
        <w:t xml:space="preserve">subsidy rate, they would only receive the 50 per cent CCR subsidy if they worked 32 hours a week (assuming they have not reached the CCR cap). Under ECLS, the subsidy rate at 32 hours could be 60 per cent for this person. </w:t>
      </w:r>
    </w:p>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themeColor="accent1"/>
              <w:left w:val="nil"/>
              <w:bottom w:val="nil"/>
              <w:right w:val="nil"/>
            </w:tcBorders>
            <w:shd w:val="clear" w:color="auto" w:fill="auto"/>
          </w:tcPr>
          <w:p w:rsidR="00CF6B94" w:rsidRPr="00784A05" w:rsidRDefault="00CF6B94" w:rsidP="00CF6B94">
            <w:pPr>
              <w:pStyle w:val="TableTitle"/>
            </w:pPr>
            <w:r>
              <w:rPr>
                <w:b w:val="0"/>
              </w:rPr>
              <w:t xml:space="preserve">Table </w:t>
            </w:r>
            <w:r>
              <w:rPr>
                <w:b w:val="0"/>
                <w:noProof/>
              </w:rPr>
              <w:t>1</w:t>
            </w:r>
            <w:r>
              <w:tab/>
            </w:r>
            <w:r w:rsidRPr="00131996">
              <w:t>Illustrative labour supply, childcare demand and fiscal results</w:t>
            </w:r>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947"/>
              <w:gridCol w:w="1559"/>
              <w:gridCol w:w="1418"/>
              <w:gridCol w:w="1563"/>
            </w:tblGrid>
            <w:tr w:rsidR="00CF6B94" w:rsidTr="00E66A24">
              <w:tc>
                <w:tcPr>
                  <w:tcW w:w="2325"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E66A24">
                  <w:pPr>
                    <w:pStyle w:val="TableColumnHeading"/>
                  </w:pPr>
                </w:p>
              </w:tc>
              <w:tc>
                <w:tcPr>
                  <w:tcW w:w="918"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E66A24">
                  <w:pPr>
                    <w:pStyle w:val="TableColumnHeading"/>
                  </w:pPr>
                  <w:r w:rsidRPr="00131996">
                    <w:t>Lower bound results from all sensitivity simulations</w:t>
                  </w:r>
                  <w:r w:rsidRPr="00E66A24">
                    <w:rPr>
                      <w:rStyle w:val="NoteLabel"/>
                      <w:i w:val="0"/>
                    </w:rPr>
                    <w:t>a</w:t>
                  </w:r>
                </w:p>
              </w:tc>
              <w:tc>
                <w:tcPr>
                  <w:tcW w:w="835" w:type="pct"/>
                  <w:tcBorders>
                    <w:top w:val="single" w:sz="6" w:space="0" w:color="BFBFBF" w:themeColor="background2"/>
                    <w:bottom w:val="single" w:sz="6" w:space="0" w:color="BFBFBF" w:themeColor="background2"/>
                  </w:tcBorders>
                  <w:vAlign w:val="bottom"/>
                </w:tcPr>
                <w:p w:rsidR="00CF6B94" w:rsidRDefault="00CF6B94" w:rsidP="00E66A24">
                  <w:pPr>
                    <w:pStyle w:val="TableColumnHeading"/>
                    <w:ind w:right="28"/>
                  </w:pPr>
                  <w:r w:rsidRPr="005756F4">
                    <w:t>Results for central parameter values</w:t>
                  </w:r>
                  <w:r w:rsidRPr="00E66A24">
                    <w:rPr>
                      <w:rStyle w:val="NoteLabel"/>
                      <w:i w:val="0"/>
                    </w:rPr>
                    <w:t>b</w:t>
                  </w:r>
                </w:p>
              </w:tc>
              <w:tc>
                <w:tcPr>
                  <w:tcW w:w="921"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E66A24">
                  <w:pPr>
                    <w:pStyle w:val="TableColumnHeading"/>
                    <w:ind w:right="28"/>
                  </w:pPr>
                  <w:r w:rsidRPr="005756F4">
                    <w:t>Upper bound results from all sensitivity simulations</w:t>
                  </w:r>
                </w:p>
              </w:tc>
            </w:tr>
            <w:tr w:rsidR="00CF6B94" w:rsidTr="00CF6B94">
              <w:tc>
                <w:tcPr>
                  <w:tcW w:w="2325" w:type="pct"/>
                  <w:tcBorders>
                    <w:top w:val="single" w:sz="6" w:space="0" w:color="BFBFBF" w:themeColor="background2"/>
                  </w:tcBorders>
                </w:tcPr>
                <w:p w:rsidR="00CF6B94" w:rsidRPr="00F523A6" w:rsidRDefault="00CF6B94" w:rsidP="00CF6B94">
                  <w:pPr>
                    <w:pStyle w:val="TableBodyText"/>
                    <w:jc w:val="left"/>
                    <w:rPr>
                      <w:b/>
                    </w:rPr>
                  </w:pPr>
                  <w:r w:rsidRPr="00F523A6">
                    <w:rPr>
                      <w:b/>
                    </w:rPr>
                    <w:t>Millions of hours per week</w:t>
                  </w:r>
                </w:p>
              </w:tc>
              <w:tc>
                <w:tcPr>
                  <w:tcW w:w="918" w:type="pct"/>
                  <w:tcBorders>
                    <w:top w:val="single" w:sz="6" w:space="0" w:color="BFBFBF" w:themeColor="background2"/>
                  </w:tcBorders>
                </w:tcPr>
                <w:p w:rsidR="00CF6B94" w:rsidRDefault="00CF6B94" w:rsidP="00CF6B94">
                  <w:pPr>
                    <w:pStyle w:val="TableUnitsRow"/>
                  </w:pPr>
                </w:p>
              </w:tc>
              <w:tc>
                <w:tcPr>
                  <w:tcW w:w="835" w:type="pct"/>
                  <w:tcBorders>
                    <w:top w:val="single" w:sz="6" w:space="0" w:color="BFBFBF" w:themeColor="background2"/>
                  </w:tcBorders>
                </w:tcPr>
                <w:p w:rsidR="00CF6B94" w:rsidRDefault="00CF6B94" w:rsidP="00CF6B94">
                  <w:pPr>
                    <w:pStyle w:val="TableUnitsRow"/>
                    <w:ind w:right="28"/>
                  </w:pPr>
                </w:p>
              </w:tc>
              <w:tc>
                <w:tcPr>
                  <w:tcW w:w="921" w:type="pct"/>
                  <w:tcBorders>
                    <w:top w:val="single" w:sz="6" w:space="0" w:color="BFBFBF" w:themeColor="background2"/>
                  </w:tcBorders>
                </w:tcPr>
                <w:p w:rsidR="00CF6B94" w:rsidRDefault="00CF6B94" w:rsidP="00CF6B94">
                  <w:pPr>
                    <w:pStyle w:val="TableUnitsRow"/>
                    <w:ind w:right="28"/>
                  </w:pPr>
                </w:p>
              </w:tc>
            </w:tr>
            <w:tr w:rsidR="00CF6B94" w:rsidTr="00CF6B94">
              <w:tc>
                <w:tcPr>
                  <w:tcW w:w="2325" w:type="pct"/>
                </w:tcPr>
                <w:p w:rsidR="00CF6B94" w:rsidRPr="005756F4" w:rsidRDefault="00CF6B94" w:rsidP="00CF6B94">
                  <w:pPr>
                    <w:pStyle w:val="TableBodyText"/>
                    <w:ind w:left="113"/>
                    <w:jc w:val="left"/>
                  </w:pPr>
                  <w:r w:rsidRPr="005756F4">
                    <w:t>Demand and supply shifts</w:t>
                  </w:r>
                </w:p>
              </w:tc>
              <w:tc>
                <w:tcPr>
                  <w:tcW w:w="918" w:type="pct"/>
                </w:tcPr>
                <w:p w:rsidR="00CF6B94" w:rsidRDefault="00CF6B94" w:rsidP="00CF6B94">
                  <w:pPr>
                    <w:pStyle w:val="TableBodyText"/>
                  </w:pPr>
                </w:p>
              </w:tc>
              <w:tc>
                <w:tcPr>
                  <w:tcW w:w="835" w:type="pct"/>
                </w:tcPr>
                <w:p w:rsidR="00CF6B94" w:rsidRDefault="00CF6B94" w:rsidP="00CF6B94">
                  <w:pPr>
                    <w:pStyle w:val="TableBodyText"/>
                    <w:ind w:right="28"/>
                  </w:pPr>
                </w:p>
              </w:tc>
              <w:tc>
                <w:tcPr>
                  <w:tcW w:w="921" w:type="pct"/>
                </w:tcPr>
                <w:p w:rsidR="00CF6B94" w:rsidRDefault="00CF6B94" w:rsidP="00CF6B94">
                  <w:pPr>
                    <w:pStyle w:val="TableBodyText"/>
                    <w:ind w:right="28"/>
                  </w:pPr>
                </w:p>
              </w:tc>
            </w:tr>
            <w:tr w:rsidR="00CF6B94" w:rsidTr="00CF6B94">
              <w:tc>
                <w:tcPr>
                  <w:tcW w:w="2325" w:type="pct"/>
                  <w:shd w:val="clear" w:color="auto" w:fill="auto"/>
                </w:tcPr>
                <w:p w:rsidR="00CF6B94" w:rsidRPr="005756F4" w:rsidRDefault="00CF6B94" w:rsidP="00CF6B94">
                  <w:pPr>
                    <w:pStyle w:val="TableBodyText"/>
                    <w:ind w:left="227"/>
                    <w:jc w:val="left"/>
                  </w:pPr>
                  <w:r w:rsidRPr="005756F4">
                    <w:t>Labour supply base</w:t>
                  </w:r>
                </w:p>
              </w:tc>
              <w:tc>
                <w:tcPr>
                  <w:tcW w:w="918" w:type="pct"/>
                  <w:shd w:val="clear" w:color="auto" w:fill="auto"/>
                  <w:vAlign w:val="center"/>
                </w:tcPr>
                <w:p w:rsidR="00CF6B94" w:rsidRPr="00DF3643" w:rsidRDefault="00CF6B94" w:rsidP="00CF6B94">
                  <w:pPr>
                    <w:pStyle w:val="TableBodyText"/>
                  </w:pPr>
                  <w:r w:rsidRPr="00DF3643">
                    <w:t>51.72</w:t>
                  </w:r>
                </w:p>
              </w:tc>
              <w:tc>
                <w:tcPr>
                  <w:tcW w:w="835" w:type="pct"/>
                  <w:vAlign w:val="center"/>
                </w:tcPr>
                <w:p w:rsidR="00CF6B94" w:rsidRPr="00DF3643" w:rsidRDefault="00CF6B94" w:rsidP="00CF6B94">
                  <w:pPr>
                    <w:pStyle w:val="TableBodyText"/>
                  </w:pPr>
                  <w:r w:rsidRPr="00DF3643">
                    <w:t>51.72</w:t>
                  </w:r>
                </w:p>
              </w:tc>
              <w:tc>
                <w:tcPr>
                  <w:tcW w:w="921" w:type="pct"/>
                  <w:shd w:val="clear" w:color="auto" w:fill="auto"/>
                  <w:vAlign w:val="center"/>
                </w:tcPr>
                <w:p w:rsidR="00CF6B94" w:rsidRPr="00DF3643" w:rsidRDefault="00CF6B94" w:rsidP="00CF6B94">
                  <w:pPr>
                    <w:pStyle w:val="TableBodyText"/>
                  </w:pPr>
                  <w:r w:rsidRPr="00DF3643">
                    <w:t>51.72</w:t>
                  </w:r>
                </w:p>
              </w:tc>
            </w:tr>
            <w:tr w:rsidR="00CF6B94" w:rsidTr="00CF6B94">
              <w:tc>
                <w:tcPr>
                  <w:tcW w:w="2325" w:type="pct"/>
                  <w:shd w:val="clear" w:color="auto" w:fill="auto"/>
                </w:tcPr>
                <w:p w:rsidR="00CF6B94" w:rsidRPr="005756F4" w:rsidRDefault="00CF6B94" w:rsidP="00CF6B94">
                  <w:pPr>
                    <w:pStyle w:val="TableBodyText"/>
                    <w:ind w:left="227"/>
                    <w:jc w:val="left"/>
                  </w:pPr>
                  <w:r w:rsidRPr="005756F4">
                    <w:t>Labour supply policy</w:t>
                  </w:r>
                </w:p>
              </w:tc>
              <w:tc>
                <w:tcPr>
                  <w:tcW w:w="918" w:type="pct"/>
                  <w:shd w:val="clear" w:color="auto" w:fill="auto"/>
                  <w:vAlign w:val="center"/>
                </w:tcPr>
                <w:p w:rsidR="00CF6B94" w:rsidRPr="00DF3643" w:rsidRDefault="00CF6B94" w:rsidP="00CF6B94">
                  <w:pPr>
                    <w:pStyle w:val="TableBodyText"/>
                  </w:pPr>
                  <w:r w:rsidRPr="00DF3643">
                    <w:t>52.06</w:t>
                  </w:r>
                </w:p>
              </w:tc>
              <w:tc>
                <w:tcPr>
                  <w:tcW w:w="835" w:type="pct"/>
                  <w:vAlign w:val="center"/>
                </w:tcPr>
                <w:p w:rsidR="00CF6B94" w:rsidRPr="00DF3643" w:rsidRDefault="00CF6B94" w:rsidP="00CF6B94">
                  <w:pPr>
                    <w:pStyle w:val="TableBodyText"/>
                  </w:pPr>
                  <w:r w:rsidRPr="00DF3643">
                    <w:t>52.34</w:t>
                  </w:r>
                </w:p>
              </w:tc>
              <w:tc>
                <w:tcPr>
                  <w:tcW w:w="921" w:type="pct"/>
                  <w:shd w:val="clear" w:color="auto" w:fill="auto"/>
                  <w:vAlign w:val="center"/>
                </w:tcPr>
                <w:p w:rsidR="00CF6B94" w:rsidRPr="00DF3643" w:rsidRDefault="00CF6B94" w:rsidP="00CF6B94">
                  <w:pPr>
                    <w:pStyle w:val="TableBodyText"/>
                  </w:pPr>
                  <w:r w:rsidRPr="00DF3643">
                    <w:t>52.98</w:t>
                  </w:r>
                </w:p>
              </w:tc>
            </w:tr>
            <w:tr w:rsidR="00CF6B94" w:rsidTr="00CF6B94">
              <w:tc>
                <w:tcPr>
                  <w:tcW w:w="2325" w:type="pct"/>
                  <w:shd w:val="clear" w:color="auto" w:fill="auto"/>
                </w:tcPr>
                <w:p w:rsidR="00CF6B94" w:rsidRPr="005756F4" w:rsidRDefault="00CF6B94" w:rsidP="00CF6B94">
                  <w:pPr>
                    <w:pStyle w:val="TableBodyText"/>
                    <w:ind w:left="227"/>
                    <w:jc w:val="left"/>
                  </w:pPr>
                  <w:r w:rsidRPr="005756F4">
                    <w:t>Labour supply change</w:t>
                  </w:r>
                </w:p>
              </w:tc>
              <w:tc>
                <w:tcPr>
                  <w:tcW w:w="918" w:type="pct"/>
                  <w:shd w:val="clear" w:color="auto" w:fill="auto"/>
                  <w:vAlign w:val="center"/>
                </w:tcPr>
                <w:p w:rsidR="00CF6B94" w:rsidRPr="00DF3643" w:rsidRDefault="00CF6B94" w:rsidP="00CF6B94">
                  <w:pPr>
                    <w:pStyle w:val="TableBodyText"/>
                  </w:pPr>
                  <w:r w:rsidRPr="00DF3643">
                    <w:t>0.34</w:t>
                  </w:r>
                </w:p>
              </w:tc>
              <w:tc>
                <w:tcPr>
                  <w:tcW w:w="835" w:type="pct"/>
                  <w:vAlign w:val="center"/>
                </w:tcPr>
                <w:p w:rsidR="00CF6B94" w:rsidRPr="00DF3643" w:rsidRDefault="00CF6B94" w:rsidP="00CF6B94">
                  <w:pPr>
                    <w:pStyle w:val="TableBodyText"/>
                  </w:pPr>
                  <w:r w:rsidRPr="00DF3643">
                    <w:t>0.62</w:t>
                  </w:r>
                </w:p>
              </w:tc>
              <w:tc>
                <w:tcPr>
                  <w:tcW w:w="921" w:type="pct"/>
                  <w:shd w:val="clear" w:color="auto" w:fill="auto"/>
                  <w:vAlign w:val="center"/>
                </w:tcPr>
                <w:p w:rsidR="00CF6B94" w:rsidRPr="00DF3643" w:rsidRDefault="00CF6B94" w:rsidP="00CF6B94">
                  <w:pPr>
                    <w:pStyle w:val="TableBodyText"/>
                  </w:pPr>
                  <w:r w:rsidRPr="00DF3643">
                    <w:t>1.26</w:t>
                  </w:r>
                </w:p>
              </w:tc>
            </w:tr>
            <w:tr w:rsidR="00CF6B94" w:rsidTr="00CF6B94">
              <w:tc>
                <w:tcPr>
                  <w:tcW w:w="2325" w:type="pct"/>
                  <w:shd w:val="clear" w:color="auto" w:fill="auto"/>
                </w:tcPr>
                <w:p w:rsidR="00CF6B94" w:rsidRDefault="00CF6B94" w:rsidP="00CF6B94">
                  <w:pPr>
                    <w:pStyle w:val="TableBodyText"/>
                    <w:spacing w:before="200"/>
                    <w:ind w:left="227"/>
                    <w:jc w:val="left"/>
                  </w:pPr>
                  <w:r>
                    <w:t>Childcare demand base</w:t>
                  </w:r>
                </w:p>
              </w:tc>
              <w:tc>
                <w:tcPr>
                  <w:tcW w:w="918" w:type="pct"/>
                  <w:shd w:val="clear" w:color="auto" w:fill="auto"/>
                  <w:vAlign w:val="center"/>
                </w:tcPr>
                <w:p w:rsidR="00CF6B94" w:rsidRPr="00DF3643" w:rsidRDefault="00CF6B94" w:rsidP="00CF6B94">
                  <w:pPr>
                    <w:pStyle w:val="TableBodyText"/>
                  </w:pPr>
                  <w:r w:rsidRPr="00DF3643">
                    <w:t>21.19</w:t>
                  </w:r>
                </w:p>
              </w:tc>
              <w:tc>
                <w:tcPr>
                  <w:tcW w:w="835" w:type="pct"/>
                  <w:vAlign w:val="center"/>
                </w:tcPr>
                <w:p w:rsidR="00CF6B94" w:rsidRPr="00DF3643" w:rsidRDefault="00CF6B94" w:rsidP="00CF6B94">
                  <w:pPr>
                    <w:pStyle w:val="TableBodyText"/>
                  </w:pPr>
                  <w:r w:rsidRPr="00DF3643">
                    <w:t>21.19</w:t>
                  </w:r>
                </w:p>
              </w:tc>
              <w:tc>
                <w:tcPr>
                  <w:tcW w:w="921" w:type="pct"/>
                  <w:shd w:val="clear" w:color="auto" w:fill="auto"/>
                  <w:vAlign w:val="center"/>
                </w:tcPr>
                <w:p w:rsidR="00CF6B94" w:rsidRPr="00DF3643" w:rsidRDefault="00CF6B94" w:rsidP="00CF6B94">
                  <w:pPr>
                    <w:pStyle w:val="TableBodyText"/>
                  </w:pPr>
                  <w:r w:rsidRPr="00DF3643">
                    <w:t>21.19</w:t>
                  </w:r>
                </w:p>
              </w:tc>
            </w:tr>
            <w:tr w:rsidR="00CF6B94" w:rsidTr="00CF6B94">
              <w:tc>
                <w:tcPr>
                  <w:tcW w:w="2325" w:type="pct"/>
                  <w:shd w:val="clear" w:color="auto" w:fill="auto"/>
                </w:tcPr>
                <w:p w:rsidR="00CF6B94" w:rsidRDefault="00CF6B94" w:rsidP="00CF6B94">
                  <w:pPr>
                    <w:pStyle w:val="TableBodyText"/>
                    <w:ind w:left="227"/>
                    <w:jc w:val="left"/>
                  </w:pPr>
                  <w:r>
                    <w:t>Childcare demand policy</w:t>
                  </w:r>
                </w:p>
              </w:tc>
              <w:tc>
                <w:tcPr>
                  <w:tcW w:w="918" w:type="pct"/>
                  <w:shd w:val="clear" w:color="auto" w:fill="auto"/>
                  <w:vAlign w:val="center"/>
                </w:tcPr>
                <w:p w:rsidR="00CF6B94" w:rsidRPr="00DF3643" w:rsidRDefault="00CF6B94" w:rsidP="00CF6B94">
                  <w:pPr>
                    <w:pStyle w:val="TableBodyText"/>
                  </w:pPr>
                  <w:r w:rsidRPr="00DF3643">
                    <w:t>21.49</w:t>
                  </w:r>
                </w:p>
              </w:tc>
              <w:tc>
                <w:tcPr>
                  <w:tcW w:w="835" w:type="pct"/>
                  <w:vAlign w:val="center"/>
                </w:tcPr>
                <w:p w:rsidR="00CF6B94" w:rsidRPr="00DF3643" w:rsidRDefault="00CF6B94" w:rsidP="00CF6B94">
                  <w:pPr>
                    <w:pStyle w:val="TableBodyText"/>
                  </w:pPr>
                  <w:r w:rsidRPr="00DF3643">
                    <w:t>21.85</w:t>
                  </w:r>
                </w:p>
              </w:tc>
              <w:tc>
                <w:tcPr>
                  <w:tcW w:w="921" w:type="pct"/>
                  <w:shd w:val="clear" w:color="auto" w:fill="auto"/>
                  <w:vAlign w:val="center"/>
                </w:tcPr>
                <w:p w:rsidR="00CF6B94" w:rsidRPr="00DF3643" w:rsidRDefault="00CF6B94" w:rsidP="00CF6B94">
                  <w:pPr>
                    <w:pStyle w:val="TableBodyText"/>
                  </w:pPr>
                  <w:r w:rsidRPr="00DF3643">
                    <w:t>22.71</w:t>
                  </w:r>
                </w:p>
              </w:tc>
            </w:tr>
            <w:tr w:rsidR="00CF6B94" w:rsidTr="00CF6B94">
              <w:tc>
                <w:tcPr>
                  <w:tcW w:w="2325" w:type="pct"/>
                  <w:shd w:val="clear" w:color="auto" w:fill="auto"/>
                </w:tcPr>
                <w:p w:rsidR="00CF6B94" w:rsidRDefault="00CF6B94" w:rsidP="00CF6B94">
                  <w:pPr>
                    <w:pStyle w:val="TableBodyText"/>
                    <w:ind w:left="227"/>
                    <w:jc w:val="left"/>
                  </w:pPr>
                  <w:r>
                    <w:t>Childcare demand change</w:t>
                  </w:r>
                </w:p>
              </w:tc>
              <w:tc>
                <w:tcPr>
                  <w:tcW w:w="918" w:type="pct"/>
                  <w:shd w:val="clear" w:color="auto" w:fill="auto"/>
                  <w:vAlign w:val="center"/>
                </w:tcPr>
                <w:p w:rsidR="00CF6B94" w:rsidRPr="00DF3643" w:rsidRDefault="00CF6B94" w:rsidP="00CF6B94">
                  <w:pPr>
                    <w:pStyle w:val="TableBodyText"/>
                  </w:pPr>
                  <w:r w:rsidRPr="00DF3643">
                    <w:t>0.30</w:t>
                  </w:r>
                </w:p>
              </w:tc>
              <w:tc>
                <w:tcPr>
                  <w:tcW w:w="835" w:type="pct"/>
                  <w:vAlign w:val="center"/>
                </w:tcPr>
                <w:p w:rsidR="00CF6B94" w:rsidRPr="00DF3643" w:rsidRDefault="00CF6B94" w:rsidP="00CF6B94">
                  <w:pPr>
                    <w:pStyle w:val="TableBodyText"/>
                  </w:pPr>
                  <w:r w:rsidRPr="00DF3643">
                    <w:t>0.67</w:t>
                  </w:r>
                </w:p>
              </w:tc>
              <w:tc>
                <w:tcPr>
                  <w:tcW w:w="921" w:type="pct"/>
                  <w:shd w:val="clear" w:color="auto" w:fill="auto"/>
                  <w:vAlign w:val="center"/>
                </w:tcPr>
                <w:p w:rsidR="00CF6B94" w:rsidRPr="00DF3643" w:rsidRDefault="00CF6B94" w:rsidP="00CF6B94">
                  <w:pPr>
                    <w:pStyle w:val="TableBodyText"/>
                  </w:pPr>
                  <w:r w:rsidRPr="00DF3643">
                    <w:t>1.52</w:t>
                  </w:r>
                </w:p>
              </w:tc>
            </w:tr>
            <w:tr w:rsidR="00CF6B94" w:rsidTr="00E66A24">
              <w:trPr>
                <w:trHeight w:val="227"/>
              </w:trPr>
              <w:tc>
                <w:tcPr>
                  <w:tcW w:w="2325" w:type="pct"/>
                  <w:shd w:val="clear" w:color="auto" w:fill="auto"/>
                </w:tcPr>
                <w:p w:rsidR="00CF6B94" w:rsidRPr="00F523A6" w:rsidRDefault="00CF6B94" w:rsidP="00E66A24">
                  <w:pPr>
                    <w:pStyle w:val="TableBodyText"/>
                    <w:spacing w:before="120"/>
                    <w:jc w:val="left"/>
                    <w:rPr>
                      <w:b/>
                    </w:rPr>
                  </w:pPr>
                  <w:r w:rsidRPr="00F523A6">
                    <w:rPr>
                      <w:b/>
                    </w:rPr>
                    <w:t>Billions of dollars per year (2013-14)</w:t>
                  </w:r>
                </w:p>
              </w:tc>
              <w:tc>
                <w:tcPr>
                  <w:tcW w:w="918" w:type="pct"/>
                  <w:shd w:val="clear" w:color="auto" w:fill="auto"/>
                </w:tcPr>
                <w:p w:rsidR="00CF6B94" w:rsidRDefault="00CF6B94" w:rsidP="00E66A24">
                  <w:pPr>
                    <w:pStyle w:val="TableBodyText"/>
                    <w:spacing w:before="120"/>
                  </w:pPr>
                </w:p>
              </w:tc>
              <w:tc>
                <w:tcPr>
                  <w:tcW w:w="835" w:type="pct"/>
                </w:tcPr>
                <w:p w:rsidR="00CF6B94" w:rsidRDefault="00CF6B94" w:rsidP="00E66A24">
                  <w:pPr>
                    <w:pStyle w:val="TableBodyText"/>
                    <w:spacing w:before="120"/>
                    <w:ind w:right="28"/>
                  </w:pPr>
                </w:p>
              </w:tc>
              <w:tc>
                <w:tcPr>
                  <w:tcW w:w="921" w:type="pct"/>
                  <w:shd w:val="clear" w:color="auto" w:fill="auto"/>
                </w:tcPr>
                <w:p w:rsidR="00CF6B94" w:rsidRDefault="00CF6B94" w:rsidP="00E66A24">
                  <w:pPr>
                    <w:pStyle w:val="TableBodyText"/>
                    <w:spacing w:before="120"/>
                    <w:ind w:right="28"/>
                    <w:jc w:val="center"/>
                  </w:pPr>
                </w:p>
              </w:tc>
            </w:tr>
            <w:tr w:rsidR="00CF6B94" w:rsidTr="00CF6B94">
              <w:tc>
                <w:tcPr>
                  <w:tcW w:w="2325" w:type="pct"/>
                  <w:shd w:val="clear" w:color="auto" w:fill="auto"/>
                </w:tcPr>
                <w:p w:rsidR="00CF6B94" w:rsidRDefault="00CF6B94" w:rsidP="00CF6B94">
                  <w:pPr>
                    <w:pStyle w:val="TableBodyText"/>
                    <w:ind w:left="113"/>
                    <w:jc w:val="left"/>
                  </w:pPr>
                  <w:r>
                    <w:t>Net change in government fiscal position</w:t>
                  </w:r>
                  <w:r>
                    <w:rPr>
                      <w:rStyle w:val="NoteLabel"/>
                    </w:rPr>
                    <w:t>c</w:t>
                  </w:r>
                </w:p>
              </w:tc>
              <w:tc>
                <w:tcPr>
                  <w:tcW w:w="918" w:type="pct"/>
                  <w:shd w:val="clear" w:color="auto" w:fill="auto"/>
                  <w:vAlign w:val="center"/>
                </w:tcPr>
                <w:p w:rsidR="00CF6B94" w:rsidRPr="007D4A1F" w:rsidRDefault="00CF6B94" w:rsidP="00CF6B94">
                  <w:pPr>
                    <w:pStyle w:val="TableBodyText"/>
                  </w:pPr>
                  <w:r w:rsidRPr="007D4A1F">
                    <w:t>-0.24</w:t>
                  </w:r>
                </w:p>
              </w:tc>
              <w:tc>
                <w:tcPr>
                  <w:tcW w:w="835" w:type="pct"/>
                  <w:vAlign w:val="center"/>
                </w:tcPr>
                <w:p w:rsidR="00CF6B94" w:rsidRPr="007D4A1F" w:rsidRDefault="00CF6B94" w:rsidP="00CF6B94">
                  <w:pPr>
                    <w:pStyle w:val="TableBodyText"/>
                  </w:pPr>
                  <w:r w:rsidRPr="007D4A1F">
                    <w:t>-0.07</w:t>
                  </w:r>
                </w:p>
              </w:tc>
              <w:tc>
                <w:tcPr>
                  <w:tcW w:w="921" w:type="pct"/>
                  <w:shd w:val="clear" w:color="auto" w:fill="auto"/>
                  <w:vAlign w:val="center"/>
                </w:tcPr>
                <w:p w:rsidR="00CF6B94" w:rsidRPr="007D4A1F" w:rsidRDefault="00CF6B94" w:rsidP="00CF6B94">
                  <w:pPr>
                    <w:pStyle w:val="TableBodyText"/>
                  </w:pPr>
                  <w:r w:rsidRPr="007D4A1F">
                    <w:t>0.12</w:t>
                  </w:r>
                </w:p>
              </w:tc>
            </w:tr>
            <w:tr w:rsidR="00CF6B94" w:rsidTr="00CF6B94">
              <w:tc>
                <w:tcPr>
                  <w:tcW w:w="2325" w:type="pct"/>
                  <w:shd w:val="clear" w:color="auto" w:fill="auto"/>
                </w:tcPr>
                <w:p w:rsidR="00CF6B94" w:rsidRDefault="00CF6B94" w:rsidP="00CF6B94">
                  <w:pPr>
                    <w:pStyle w:val="TableBodyText"/>
                    <w:ind w:left="227"/>
                    <w:jc w:val="left"/>
                  </w:pPr>
                  <w:r>
                    <w:t xml:space="preserve">Change in childcare subsidy expense </w:t>
                  </w:r>
                </w:p>
              </w:tc>
              <w:tc>
                <w:tcPr>
                  <w:tcW w:w="918" w:type="pct"/>
                  <w:shd w:val="clear" w:color="auto" w:fill="auto"/>
                  <w:vAlign w:val="center"/>
                </w:tcPr>
                <w:p w:rsidR="00CF6B94" w:rsidRPr="007D4A1F" w:rsidRDefault="00CF6B94" w:rsidP="00CF6B94">
                  <w:pPr>
                    <w:pStyle w:val="TableBodyText"/>
                  </w:pPr>
                  <w:r w:rsidRPr="007D4A1F">
                    <w:t>0.12</w:t>
                  </w:r>
                </w:p>
              </w:tc>
              <w:tc>
                <w:tcPr>
                  <w:tcW w:w="835" w:type="pct"/>
                  <w:vAlign w:val="center"/>
                </w:tcPr>
                <w:p w:rsidR="00CF6B94" w:rsidRPr="007D4A1F" w:rsidRDefault="00CF6B94" w:rsidP="00CF6B94">
                  <w:pPr>
                    <w:pStyle w:val="TableBodyText"/>
                  </w:pPr>
                  <w:r w:rsidRPr="007D4A1F">
                    <w:t>0.27</w:t>
                  </w:r>
                </w:p>
              </w:tc>
              <w:tc>
                <w:tcPr>
                  <w:tcW w:w="921" w:type="pct"/>
                  <w:shd w:val="clear" w:color="auto" w:fill="auto"/>
                  <w:vAlign w:val="center"/>
                </w:tcPr>
                <w:p w:rsidR="00CF6B94" w:rsidRPr="007D4A1F" w:rsidRDefault="00CF6B94" w:rsidP="00CF6B94">
                  <w:pPr>
                    <w:pStyle w:val="TableBodyText"/>
                  </w:pPr>
                  <w:r w:rsidRPr="007D4A1F">
                    <w:t>0.58</w:t>
                  </w:r>
                </w:p>
              </w:tc>
            </w:tr>
            <w:tr w:rsidR="00CF6B94" w:rsidTr="00CF6B94">
              <w:tc>
                <w:tcPr>
                  <w:tcW w:w="2325" w:type="pct"/>
                  <w:shd w:val="clear" w:color="auto" w:fill="auto"/>
                </w:tcPr>
                <w:p w:rsidR="00CF6B94" w:rsidRDefault="00CF6B94" w:rsidP="00CF6B94">
                  <w:pPr>
                    <w:pStyle w:val="TableBodyText"/>
                    <w:ind w:left="227"/>
                    <w:jc w:val="left"/>
                  </w:pPr>
                  <w:r>
                    <w:t>Change in transfer expense</w:t>
                  </w:r>
                </w:p>
              </w:tc>
              <w:tc>
                <w:tcPr>
                  <w:tcW w:w="918" w:type="pct"/>
                  <w:shd w:val="clear" w:color="auto" w:fill="auto"/>
                  <w:vAlign w:val="center"/>
                </w:tcPr>
                <w:p w:rsidR="00CF6B94" w:rsidRPr="007D4A1F" w:rsidRDefault="00CF6B94" w:rsidP="00CF6B94">
                  <w:pPr>
                    <w:pStyle w:val="TableBodyText"/>
                  </w:pPr>
                  <w:r w:rsidRPr="007D4A1F">
                    <w:t>-0.31</w:t>
                  </w:r>
                </w:p>
              </w:tc>
              <w:tc>
                <w:tcPr>
                  <w:tcW w:w="835" w:type="pct"/>
                  <w:vAlign w:val="center"/>
                </w:tcPr>
                <w:p w:rsidR="00CF6B94" w:rsidRPr="007D4A1F" w:rsidRDefault="00CF6B94" w:rsidP="00CF6B94">
                  <w:pPr>
                    <w:pStyle w:val="TableBodyText"/>
                  </w:pPr>
                  <w:r w:rsidRPr="007D4A1F">
                    <w:t>-0.14</w:t>
                  </w:r>
                </w:p>
              </w:tc>
              <w:tc>
                <w:tcPr>
                  <w:tcW w:w="921" w:type="pct"/>
                  <w:shd w:val="clear" w:color="auto" w:fill="auto"/>
                  <w:vAlign w:val="center"/>
                </w:tcPr>
                <w:p w:rsidR="00CF6B94" w:rsidRPr="007D4A1F" w:rsidRDefault="00CF6B94" w:rsidP="00CF6B94">
                  <w:pPr>
                    <w:pStyle w:val="TableBodyText"/>
                  </w:pPr>
                  <w:r w:rsidRPr="007D4A1F">
                    <w:t>-0.07</w:t>
                  </w:r>
                </w:p>
              </w:tc>
            </w:tr>
            <w:tr w:rsidR="00CF6B94" w:rsidTr="00CF6B94">
              <w:tc>
                <w:tcPr>
                  <w:tcW w:w="2325" w:type="pct"/>
                  <w:shd w:val="clear" w:color="auto" w:fill="auto"/>
                </w:tcPr>
                <w:p w:rsidR="00CF6B94" w:rsidRDefault="00CF6B94" w:rsidP="00CF6B94">
                  <w:pPr>
                    <w:pStyle w:val="TableBodyText"/>
                    <w:ind w:left="227"/>
                    <w:jc w:val="left"/>
                  </w:pPr>
                  <w:r>
                    <w:t>Change in income tax receipts</w:t>
                  </w:r>
                </w:p>
              </w:tc>
              <w:tc>
                <w:tcPr>
                  <w:tcW w:w="918" w:type="pct"/>
                  <w:shd w:val="clear" w:color="auto" w:fill="auto"/>
                  <w:vAlign w:val="center"/>
                </w:tcPr>
                <w:p w:rsidR="00CF6B94" w:rsidRPr="007D4A1F" w:rsidRDefault="00CF6B94" w:rsidP="00CF6B94">
                  <w:pPr>
                    <w:pStyle w:val="TableBodyText"/>
                  </w:pPr>
                  <w:r w:rsidRPr="007D4A1F">
                    <w:t>0.00</w:t>
                  </w:r>
                </w:p>
              </w:tc>
              <w:tc>
                <w:tcPr>
                  <w:tcW w:w="835" w:type="pct"/>
                  <w:vAlign w:val="center"/>
                </w:tcPr>
                <w:p w:rsidR="00CF6B94" w:rsidRPr="007D4A1F" w:rsidRDefault="00CF6B94" w:rsidP="00CF6B94">
                  <w:pPr>
                    <w:pStyle w:val="TableBodyText"/>
                  </w:pPr>
                  <w:r w:rsidRPr="007D4A1F">
                    <w:t>0.06</w:t>
                  </w:r>
                </w:p>
              </w:tc>
              <w:tc>
                <w:tcPr>
                  <w:tcW w:w="921" w:type="pct"/>
                  <w:shd w:val="clear" w:color="auto" w:fill="auto"/>
                  <w:vAlign w:val="center"/>
                </w:tcPr>
                <w:p w:rsidR="00CF6B94" w:rsidRPr="007D4A1F" w:rsidRDefault="00CF6B94" w:rsidP="00CF6B94">
                  <w:pPr>
                    <w:pStyle w:val="TableBodyText"/>
                  </w:pPr>
                  <w:r w:rsidRPr="007D4A1F">
                    <w:t>0.22</w:t>
                  </w:r>
                </w:p>
              </w:tc>
            </w:tr>
            <w:tr w:rsidR="00CF6B94" w:rsidTr="00CF6B94">
              <w:tc>
                <w:tcPr>
                  <w:tcW w:w="2325" w:type="pct"/>
                  <w:shd w:val="clear" w:color="auto" w:fill="auto"/>
                </w:tcPr>
                <w:p w:rsidR="00CF6B94" w:rsidRDefault="00CF6B94" w:rsidP="00CF6B94">
                  <w:pPr>
                    <w:pStyle w:val="TableBodyText"/>
                    <w:spacing w:before="200"/>
                    <w:ind w:left="57"/>
                    <w:jc w:val="left"/>
                  </w:pPr>
                  <w:r>
                    <w:t>Change in full</w:t>
                  </w:r>
                  <w:r>
                    <w:noBreakHyphen/>
                    <w:t>time equivalent labour supply (persons ‘000s)</w:t>
                  </w:r>
                  <w:r>
                    <w:rPr>
                      <w:rStyle w:val="NoteLabel"/>
                    </w:rPr>
                    <w:t>d</w:t>
                  </w:r>
                </w:p>
              </w:tc>
              <w:tc>
                <w:tcPr>
                  <w:tcW w:w="918" w:type="pct"/>
                  <w:shd w:val="clear" w:color="auto" w:fill="auto"/>
                  <w:vAlign w:val="center"/>
                </w:tcPr>
                <w:p w:rsidR="00CF6B94" w:rsidRPr="00DF3643" w:rsidRDefault="00CF6B94" w:rsidP="00CF6B94">
                  <w:pPr>
                    <w:pStyle w:val="TableBodyText"/>
                  </w:pPr>
                  <w:r w:rsidRPr="00DF3643">
                    <w:t>8.46</w:t>
                  </w:r>
                </w:p>
              </w:tc>
              <w:tc>
                <w:tcPr>
                  <w:tcW w:w="835" w:type="pct"/>
                  <w:vAlign w:val="center"/>
                </w:tcPr>
                <w:p w:rsidR="00CF6B94" w:rsidRPr="00DF3643" w:rsidRDefault="00CF6B94" w:rsidP="00CF6B94">
                  <w:pPr>
                    <w:pStyle w:val="TableBodyText"/>
                  </w:pPr>
                  <w:r w:rsidRPr="00DF3643">
                    <w:t>15.61</w:t>
                  </w:r>
                </w:p>
              </w:tc>
              <w:tc>
                <w:tcPr>
                  <w:tcW w:w="921" w:type="pct"/>
                  <w:shd w:val="clear" w:color="auto" w:fill="auto"/>
                  <w:vAlign w:val="center"/>
                </w:tcPr>
                <w:p w:rsidR="00CF6B94" w:rsidRPr="00DF3643" w:rsidRDefault="00CF6B94" w:rsidP="00CF6B94">
                  <w:pPr>
                    <w:pStyle w:val="TableBodyText"/>
                  </w:pPr>
                  <w:r w:rsidRPr="00DF3643">
                    <w:t>31.55</w:t>
                  </w:r>
                </w:p>
              </w:tc>
            </w:tr>
            <w:tr w:rsidR="00CF6B94" w:rsidTr="009C6D44">
              <w:tc>
                <w:tcPr>
                  <w:tcW w:w="2325" w:type="pct"/>
                  <w:tcBorders>
                    <w:bottom w:val="single" w:sz="6" w:space="0" w:color="C8C8C8"/>
                  </w:tcBorders>
                  <w:shd w:val="clear" w:color="auto" w:fill="auto"/>
                  <w:vAlign w:val="center"/>
                </w:tcPr>
                <w:p w:rsidR="00CF6B94" w:rsidRDefault="00CF6B94" w:rsidP="009C6D44">
                  <w:pPr>
                    <w:pStyle w:val="TableBodyText"/>
                    <w:spacing w:before="200"/>
                    <w:ind w:left="57"/>
                  </w:pPr>
                  <w:r>
                    <w:t>Extrapolated GDP change ($ billion 2013-14)</w:t>
                  </w:r>
                  <w:r w:rsidRPr="00DF3643">
                    <w:rPr>
                      <w:rStyle w:val="NoteLabel"/>
                    </w:rPr>
                    <w:t>e</w:t>
                  </w:r>
                </w:p>
              </w:tc>
              <w:tc>
                <w:tcPr>
                  <w:tcW w:w="918" w:type="pct"/>
                  <w:tcBorders>
                    <w:bottom w:val="single" w:sz="6" w:space="0" w:color="C8C8C8"/>
                  </w:tcBorders>
                  <w:shd w:val="clear" w:color="auto" w:fill="auto"/>
                  <w:vAlign w:val="bottom"/>
                </w:tcPr>
                <w:p w:rsidR="00CF6B94" w:rsidRPr="00DF3643" w:rsidRDefault="00CF6B94" w:rsidP="009C6D44">
                  <w:pPr>
                    <w:pStyle w:val="TableBodyText"/>
                  </w:pPr>
                  <w:r w:rsidRPr="00DF3643">
                    <w:t>0.59</w:t>
                  </w:r>
                </w:p>
              </w:tc>
              <w:tc>
                <w:tcPr>
                  <w:tcW w:w="835" w:type="pct"/>
                  <w:tcBorders>
                    <w:bottom w:val="single" w:sz="6" w:space="0" w:color="C8C8C8"/>
                  </w:tcBorders>
                  <w:vAlign w:val="bottom"/>
                </w:tcPr>
                <w:p w:rsidR="00CF6B94" w:rsidRPr="00DF3643" w:rsidRDefault="00CF6B94" w:rsidP="009C6D44">
                  <w:pPr>
                    <w:pStyle w:val="TableBodyText"/>
                  </w:pPr>
                  <w:r w:rsidRPr="00DF3643">
                    <w:t>1.26</w:t>
                  </w:r>
                </w:p>
              </w:tc>
              <w:tc>
                <w:tcPr>
                  <w:tcW w:w="921" w:type="pct"/>
                  <w:tcBorders>
                    <w:bottom w:val="single" w:sz="6" w:space="0" w:color="C8C8C8"/>
                  </w:tcBorders>
                  <w:shd w:val="clear" w:color="auto" w:fill="auto"/>
                  <w:vAlign w:val="bottom"/>
                </w:tcPr>
                <w:p w:rsidR="00CF6B94" w:rsidRPr="00DF3643" w:rsidRDefault="00CF6B94" w:rsidP="009C6D44">
                  <w:pPr>
                    <w:pStyle w:val="TableBodyText"/>
                  </w:pPr>
                  <w:r w:rsidRPr="00DF3643">
                    <w:t>2.99</w:t>
                  </w:r>
                </w:p>
              </w:tc>
            </w:tr>
          </w:tbl>
          <w:p w:rsidR="00CF6B94" w:rsidRDefault="00CF6B94" w:rsidP="00CF6B94">
            <w:pPr>
              <w:pStyle w:val="Box"/>
            </w:pPr>
          </w:p>
        </w:tc>
      </w:tr>
      <w:tr w:rsidR="00CF6B94" w:rsidTr="00CF6B94">
        <w:trPr>
          <w:cantSplit/>
        </w:trPr>
        <w:tc>
          <w:tcPr>
            <w:tcW w:w="8771" w:type="dxa"/>
            <w:tcBorders>
              <w:top w:val="nil"/>
              <w:left w:val="nil"/>
              <w:bottom w:val="nil"/>
              <w:right w:val="nil"/>
            </w:tcBorders>
            <w:shd w:val="clear" w:color="auto" w:fill="auto"/>
          </w:tcPr>
          <w:p w:rsidR="00CF6B94" w:rsidRPr="0006453C" w:rsidRDefault="00CF6B94" w:rsidP="00CF6B94">
            <w:pPr>
              <w:pStyle w:val="Note"/>
            </w:pPr>
            <w:proofErr w:type="spellStart"/>
            <w:proofErr w:type="gramStart"/>
            <w:r w:rsidRPr="003106A9">
              <w:rPr>
                <w:rStyle w:val="NoteLabel"/>
              </w:rPr>
              <w:t>a</w:t>
            </w:r>
            <w:proofErr w:type="spellEnd"/>
            <w:proofErr w:type="gramEnd"/>
            <w:r>
              <w:t xml:space="preserve"> </w:t>
            </w:r>
            <w:proofErr w:type="spellStart"/>
            <w:r>
              <w:t>A</w:t>
            </w:r>
            <w:proofErr w:type="spellEnd"/>
            <w:r>
              <w:t xml:space="preserve"> range of simulations were completed with different parameter values — 1000 simulations, drawing parameter value sets using the variance-covariance matrixes from the estimation. The ‘lower bounds’ and ‘upper bounds’ cover 95 per cent of the results obtained from the 1000 simulations. </w:t>
            </w:r>
            <w:r>
              <w:rPr>
                <w:rStyle w:val="NoteLabel"/>
              </w:rPr>
              <w:t>b </w:t>
            </w:r>
            <w:r>
              <w:t xml:space="preserve">Parameter values used for this model run are detailed in appendix C. </w:t>
            </w:r>
            <w:r>
              <w:rPr>
                <w:rStyle w:val="NoteLabel"/>
              </w:rPr>
              <w:t>c</w:t>
            </w:r>
            <w:r>
              <w:t xml:space="preserve"> Since the lowest (highest) result for one variable was not necessarily taken from the same simulation as the lowest (highest) value for another variable, the elements within the lower/upper bound columns do not sum to the ‘Net change in government fiscal position’. </w:t>
            </w:r>
            <w:proofErr w:type="gramStart"/>
            <w:r>
              <w:rPr>
                <w:rStyle w:val="NoteLabel"/>
              </w:rPr>
              <w:t>d</w:t>
            </w:r>
            <w:proofErr w:type="gramEnd"/>
            <w:r>
              <w:t xml:space="preserve"> Results are produced in terms of the change in the number of hours of labour supply; these are converted to full-time equivalent labour supply for ease of interpretation. The full-time </w:t>
            </w:r>
            <w:proofErr w:type="gramStart"/>
            <w:r>
              <w:t>equivalents are a combination of net additions of new workers and net additions of hours by existing workers; and is</w:t>
            </w:r>
            <w:proofErr w:type="gramEnd"/>
            <w:r>
              <w:t xml:space="preserve"> calculated by assuming 8 hours per day as full-time equivalent. </w:t>
            </w:r>
            <w:r>
              <w:rPr>
                <w:rStyle w:val="NoteLabel"/>
              </w:rPr>
              <w:t>e</w:t>
            </w:r>
            <w:r>
              <w:t xml:space="preserve"> The extrapolated GDP change assumes that: all people supplying additional labour gain employment at their current wage; there is no change in childcare supply prices in response to the additional childcare demand; individuals outside the PCMC model do not experience wage reductions or increased unemployment as a result of the net increase in labour supply by workers with children; and any additional labour is combined with capital in the same proportion as labour and capital are combined </w:t>
            </w:r>
            <w:proofErr w:type="spellStart"/>
            <w:r>
              <w:t>economy-wide</w:t>
            </w:r>
            <w:proofErr w:type="spellEnd"/>
            <w:r>
              <w:t xml:space="preserve"> (appendix B).</w:t>
            </w: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Source"/>
            </w:pPr>
            <w:r>
              <w:rPr>
                <w:i/>
              </w:rPr>
              <w:t>Source</w:t>
            </w:r>
            <w:r w:rsidRPr="00167F06">
              <w:t xml:space="preserve">: </w:t>
            </w:r>
            <w:r>
              <w:t>PCMC model estimates.</w:t>
            </w:r>
          </w:p>
        </w:tc>
      </w:tr>
      <w:tr w:rsidR="00CF6B94" w:rsidTr="00CF6B94">
        <w:trPr>
          <w:cantSplit/>
        </w:trPr>
        <w:tc>
          <w:tcPr>
            <w:tcW w:w="8771" w:type="dxa"/>
            <w:tcBorders>
              <w:top w:val="nil"/>
              <w:left w:val="nil"/>
              <w:bottom w:val="single" w:sz="6" w:space="0" w:color="78A22F" w:themeColor="accent1"/>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themeColor="accent1"/>
              <w:left w:val="nil"/>
              <w:bottom w:val="nil"/>
              <w:right w:val="nil"/>
            </w:tcBorders>
          </w:tcPr>
          <w:p w:rsidR="00CF6B94" w:rsidRPr="00626D32" w:rsidRDefault="00CF6B94" w:rsidP="00CF6B94">
            <w:pPr>
              <w:pStyle w:val="BoxSpaceBelow"/>
            </w:pPr>
          </w:p>
        </w:tc>
      </w:tr>
    </w:tbl>
    <w:p w:rsidR="00E66A24" w:rsidRDefault="00E66A24" w:rsidP="00CF6B94">
      <w:pPr>
        <w:pStyle w:val="BodyText"/>
      </w:pPr>
    </w:p>
    <w:p w:rsidR="00E66A24" w:rsidRDefault="00E66A24">
      <w:pPr>
        <w:rPr>
          <w:szCs w:val="20"/>
        </w:rPr>
      </w:pPr>
      <w:r>
        <w:br w:type="page"/>
      </w:r>
    </w:p>
    <w:p w:rsidR="00CF6B94" w:rsidRDefault="00CF6B94" w:rsidP="00CF6B94">
      <w:pPr>
        <w:pStyle w:val="BodyText"/>
      </w:pPr>
      <w:r>
        <w:lastRenderedPageBreak/>
        <w:t>As the recommended arrangements offer many families higher subsidies than are currently available, they may be encouraged to work more, despite an apparent reduction in their subsidy rate (from 70 to 60 per cent). This highlights that it is not only the point value of the subsidy at a particular income that matters to a household, it is also the range of possible subsidies available to the household for all the income ranges that they could achieve.</w:t>
      </w:r>
    </w:p>
    <w:p w:rsidR="00E66A24" w:rsidRDefault="00E66A24" w:rsidP="00E66A2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66A24" w:rsidTr="00E66A24">
        <w:tc>
          <w:tcPr>
            <w:tcW w:w="8771" w:type="dxa"/>
            <w:tcBorders>
              <w:top w:val="single" w:sz="6" w:space="0" w:color="78A22F"/>
              <w:left w:val="nil"/>
              <w:bottom w:val="nil"/>
              <w:right w:val="nil"/>
            </w:tcBorders>
            <w:shd w:val="clear" w:color="auto" w:fill="auto"/>
          </w:tcPr>
          <w:p w:rsidR="00E66A24" w:rsidRPr="00176D3F" w:rsidRDefault="00E66A24" w:rsidP="00B14997">
            <w:pPr>
              <w:pStyle w:val="FigureTitle"/>
            </w:pPr>
            <w:r w:rsidRPr="00784A05">
              <w:rPr>
                <w:b w:val="0"/>
              </w:rPr>
              <w:t xml:space="preserve">Figure </w:t>
            </w:r>
            <w:r>
              <w:rPr>
                <w:b w:val="0"/>
              </w:rPr>
              <w:t>3</w:t>
            </w:r>
            <w:r>
              <w:tab/>
              <w:t xml:space="preserve">Example family: work choices </w:t>
            </w:r>
            <w:r w:rsidR="00B14997">
              <w:t>a</w:t>
            </w:r>
            <w:r>
              <w:t xml:space="preserve">ffect subsidies </w:t>
            </w:r>
          </w:p>
        </w:tc>
      </w:tr>
      <w:tr w:rsidR="00E66A24" w:rsidTr="00E66A24">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E66A24" w:rsidTr="00E66A24">
              <w:trPr>
                <w:jc w:val="center"/>
              </w:trPr>
              <w:tc>
                <w:tcPr>
                  <w:tcW w:w="5000" w:type="pct"/>
                  <w:tcBorders>
                    <w:top w:val="nil"/>
                    <w:bottom w:val="nil"/>
                  </w:tcBorders>
                </w:tcPr>
                <w:p w:rsidR="00E66A24" w:rsidRDefault="00E44627" w:rsidP="00E66A24">
                  <w:pPr>
                    <w:pStyle w:val="Figure"/>
                    <w:spacing w:before="60" w:after="60"/>
                  </w:pPr>
                  <w:r>
                    <w:rPr>
                      <w:noProof/>
                    </w:rPr>
                    <w:drawing>
                      <wp:inline distT="0" distB="0" distL="0" distR="0">
                        <wp:extent cx="5076825" cy="3105150"/>
                        <wp:effectExtent l="0" t="0" r="0" b="0"/>
                        <wp:docPr id="3" name="Picture 3" descr="Example family: work choices affect subsid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76825" cy="3105150"/>
                                </a:xfrm>
                                <a:prstGeom prst="rect">
                                  <a:avLst/>
                                </a:prstGeom>
                                <a:noFill/>
                                <a:ln>
                                  <a:noFill/>
                                </a:ln>
                              </pic:spPr>
                            </pic:pic>
                          </a:graphicData>
                        </a:graphic>
                      </wp:inline>
                    </w:drawing>
                  </w:r>
                </w:p>
              </w:tc>
            </w:tr>
          </w:tbl>
          <w:p w:rsidR="00E66A24" w:rsidRDefault="00E66A24" w:rsidP="00E66A24">
            <w:pPr>
              <w:pStyle w:val="Figure"/>
            </w:pPr>
          </w:p>
        </w:tc>
      </w:tr>
      <w:tr w:rsidR="00E66A24" w:rsidTr="00E66A24">
        <w:tc>
          <w:tcPr>
            <w:tcW w:w="8771" w:type="dxa"/>
            <w:tcBorders>
              <w:top w:val="nil"/>
              <w:left w:val="nil"/>
              <w:bottom w:val="single" w:sz="6" w:space="0" w:color="78A22F"/>
              <w:right w:val="nil"/>
            </w:tcBorders>
            <w:shd w:val="clear" w:color="auto" w:fill="auto"/>
          </w:tcPr>
          <w:p w:rsidR="00E66A24" w:rsidRDefault="00E66A24" w:rsidP="00E66A24">
            <w:pPr>
              <w:pStyle w:val="Figurespace"/>
            </w:pPr>
          </w:p>
        </w:tc>
      </w:tr>
      <w:tr w:rsidR="00E66A24" w:rsidRPr="000863A5" w:rsidTr="00E66A24">
        <w:tc>
          <w:tcPr>
            <w:tcW w:w="8771" w:type="dxa"/>
            <w:tcBorders>
              <w:top w:val="single" w:sz="6" w:space="0" w:color="78A22F"/>
              <w:left w:val="nil"/>
              <w:bottom w:val="nil"/>
              <w:right w:val="nil"/>
            </w:tcBorders>
          </w:tcPr>
          <w:p w:rsidR="00E66A24" w:rsidRPr="00626D32" w:rsidRDefault="00E66A24" w:rsidP="00E66A24">
            <w:pPr>
              <w:pStyle w:val="BoxSpaceBelow"/>
            </w:pPr>
          </w:p>
        </w:tc>
      </w:tr>
    </w:tbl>
    <w:p w:rsidR="00CF6B94" w:rsidRDefault="00CF6B94" w:rsidP="00CF6B94">
      <w:pPr>
        <w:pStyle w:val="Heading2"/>
      </w:pPr>
      <w:r>
        <w:t>Drivers and mechanisms</w:t>
      </w:r>
    </w:p>
    <w:p w:rsidR="00CF6B94" w:rsidRDefault="00CF6B94" w:rsidP="00CF6B94">
      <w:pPr>
        <w:pStyle w:val="BodyText"/>
      </w:pPr>
      <w:r>
        <w:t xml:space="preserve">The following mechanisms are at work, conditioning the results. </w:t>
      </w:r>
    </w:p>
    <w:p w:rsidR="00CF6B94" w:rsidRDefault="00CF6B94" w:rsidP="00CF6B94">
      <w:pPr>
        <w:pStyle w:val="ListNumber"/>
        <w:numPr>
          <w:ilvl w:val="0"/>
          <w:numId w:val="36"/>
        </w:numPr>
        <w:spacing w:line="320" w:lineRule="atLeast"/>
      </w:pPr>
      <w:r>
        <w:t>ECLS increases the overall supply of labour by primary carers. Households can — in some instances — increase their labour supply despite a decrease in their subsidy rate. This is primarily because:</w:t>
      </w:r>
    </w:p>
    <w:p w:rsidR="00CF6B94" w:rsidRDefault="00CF6B94" w:rsidP="00CF6B94">
      <w:pPr>
        <w:pStyle w:val="ListNumber2"/>
        <w:spacing w:line="320" w:lineRule="atLeast"/>
      </w:pPr>
      <w:r>
        <w:t>Some households increase their hours of work to meet the new, more stringent activity test requirements.</w:t>
      </w:r>
    </w:p>
    <w:p w:rsidR="00CF6B94" w:rsidRDefault="00CF6B94" w:rsidP="00CF6B94">
      <w:pPr>
        <w:pStyle w:val="ListNumber2"/>
        <w:spacing w:line="320" w:lineRule="atLeast"/>
      </w:pPr>
      <w:r>
        <w:t>If a subsidy rate increases in a higher income bracket, a person might be induced to work more. This can occur when the subsidy under ECLS is larger in the higher income bracket than it is under the current childcare subsidies. This might still be a lower rate of subsidy than is received at the lower, initial income level (with the original, lower labour supply).</w:t>
      </w:r>
    </w:p>
    <w:p w:rsidR="00CF6B94" w:rsidRDefault="00CF6B94" w:rsidP="00CF6B94">
      <w:pPr>
        <w:pStyle w:val="ListNumber"/>
        <w:spacing w:line="320" w:lineRule="atLeast"/>
      </w:pPr>
      <w:r>
        <w:lastRenderedPageBreak/>
        <w:t>The magnitude of the result for formal childcare demand — in aggregate across all households in the model — is less clear: it could be larger or smaller than the change in labour supply. The change in childcare demand can be different from the labour supply change for three reasons:</w:t>
      </w:r>
    </w:p>
    <w:p w:rsidR="00CF6B94" w:rsidRDefault="00CF6B94" w:rsidP="00CF6B94">
      <w:pPr>
        <w:pStyle w:val="ListNumber2"/>
        <w:spacing w:line="320" w:lineRule="atLeast"/>
      </w:pPr>
      <w:r>
        <w:t>Compositional change in labour supply: some of the policy changes induce a decline in labour supply from people who use a small amount of childcare relative to the hours of labour that they supply, and an increase in labour supply from people who use a large amount of childcare relative to their labour supply. Put differently, there is a larger increase in childcare demand from people who value childcare relatively highly. This can result in a net increase in childcare demand that is proportionately larger than the labour supply change (box 3).</w:t>
      </w:r>
    </w:p>
    <w:p w:rsidR="00CF6B94" w:rsidRDefault="00CF6B94" w:rsidP="00CF6B94">
      <w:pPr>
        <w:pStyle w:val="ListNumber2"/>
        <w:spacing w:line="320" w:lineRule="atLeast"/>
      </w:pPr>
      <w:r>
        <w:t xml:space="preserve">Substitution away from informal and maternal care: a decrease in the relative cost of formal childcare causes a substitution away from informal and maternal care. </w:t>
      </w:r>
    </w:p>
    <w:p w:rsidR="00CF6B94" w:rsidRPr="00427FF6" w:rsidRDefault="00CF6B94" w:rsidP="00CF6B94">
      <w:pPr>
        <w:pStyle w:val="ListNumber2"/>
        <w:spacing w:line="320" w:lineRule="atLeast"/>
      </w:pPr>
      <w:r>
        <w:t>SIH data highlight that</w:t>
      </w:r>
      <w:r w:rsidRPr="00427FF6">
        <w:t xml:space="preserve"> some households have levels of childcare demand that </w:t>
      </w:r>
      <w:r>
        <w:t>exceed what would be required to facilitate</w:t>
      </w:r>
      <w:r w:rsidRPr="00427FF6">
        <w:t xml:space="preserve"> work. The model does not specify which attributes of formal childcare </w:t>
      </w:r>
      <w:r>
        <w:t xml:space="preserve">such </w:t>
      </w:r>
      <w:r w:rsidRPr="00427FF6">
        <w:t xml:space="preserve">households find desirable (for example, educational or social experience for children), </w:t>
      </w:r>
      <w:r>
        <w:t xml:space="preserve">but the functional form of the household utility function allows </w:t>
      </w:r>
      <w:r w:rsidRPr="00427FF6">
        <w:t xml:space="preserve">households </w:t>
      </w:r>
      <w:r>
        <w:t>to</w:t>
      </w:r>
      <w:r w:rsidRPr="00427FF6">
        <w:t xml:space="preserve"> der</w:t>
      </w:r>
      <w:r>
        <w:t>ive different levels of utility from formal care, informal and maternal care.</w:t>
      </w:r>
      <w:r w:rsidRPr="00427FF6">
        <w:t xml:space="preserve"> </w:t>
      </w:r>
      <w:r>
        <w:t>The calibration process — which ensures that the families’ modelled work and care choices are consistent with the behaviour identified in the SIH — allocates higher utility from using care to families with high care use relative to labour supplied.</w:t>
      </w:r>
    </w:p>
    <w:p w:rsidR="00CF6B94" w:rsidRDefault="00CF6B94" w:rsidP="00CF6B94">
      <w:pPr>
        <w:pStyle w:val="ListNumber"/>
        <w:spacing w:line="320" w:lineRule="atLeast"/>
      </w:pPr>
      <w:r>
        <w:t xml:space="preserve">Results for childcare subsidy expenses, income tax receipts and </w:t>
      </w:r>
      <w:proofErr w:type="gramStart"/>
      <w:r>
        <w:t>transfers  assume</w:t>
      </w:r>
      <w:proofErr w:type="gramEnd"/>
      <w:r>
        <w:t xml:space="preserve"> no changes in wages and no changes in childcare fees associated with changes in labour supply and childcare demand. The net change in government fiscal position is highly uncertain.</w:t>
      </w:r>
      <w:r>
        <w:rPr>
          <w:rStyle w:val="FootnoteReference"/>
        </w:rPr>
        <w:footnoteReference w:id="11"/>
      </w:r>
      <w:r>
        <w:t xml:space="preserve"> Several factors pull the net fiscal position in different directions:</w:t>
      </w:r>
    </w:p>
    <w:p w:rsidR="00CF6B94" w:rsidRDefault="00CF6B94" w:rsidP="00CF6B94">
      <w:pPr>
        <w:pStyle w:val="ListNumber2"/>
        <w:spacing w:line="320" w:lineRule="atLeast"/>
      </w:pPr>
      <w:r>
        <w:t>More direct factors: The change in the level and rates of childcare assistance has a direct impact on fiscal cost through the cost of childcare subsidies to government. Some people receive more assistance and some receive less (relative to the base). The net impact depends on the compositional change in the labour supply relative to the changes in assistance payment. To the extent that demand for childcare increases in more heavily assisted (lower income) groups or high childcare demand cohorts (groups demanding large amounts for childcare, such as groups with high labour participation pre-policy change), the fiscal cost directly attributable to the childcare subsidy expense will increase.</w:t>
      </w:r>
    </w:p>
    <w:p w:rsidR="00CF6B94" w:rsidRDefault="00CF6B94" w:rsidP="00CF6B94">
      <w:pPr>
        <w:pStyle w:val="ListNumber2"/>
        <w:spacing w:line="320" w:lineRule="atLeast"/>
      </w:pPr>
      <w:r>
        <w:t xml:space="preserve">More indirect factors: As stated above, the policy is likely to increase labour supply. As labour supply increases, the total cost of transfer payments will be </w:t>
      </w:r>
      <w:r>
        <w:lastRenderedPageBreak/>
        <w:t>reduced (for example, means</w:t>
      </w:r>
      <w:r>
        <w:noBreakHyphen/>
        <w:t xml:space="preserve">tested family tax benefits are reduced as earnings increase). Further, as people work more, income tax collections increase. </w:t>
      </w:r>
    </w:p>
    <w:p w:rsidR="00CF6B94" w:rsidRDefault="00CF6B94" w:rsidP="00CF6B9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left w:val="nil"/>
              <w:bottom w:val="nil"/>
              <w:right w:val="nil"/>
            </w:tcBorders>
            <w:shd w:val="clear" w:color="auto" w:fill="F2F2F2" w:themeFill="background1" w:themeFillShade="F2"/>
          </w:tcPr>
          <w:p w:rsidR="00CF6B94" w:rsidRDefault="00CF6B94" w:rsidP="00CF6B94">
            <w:pPr>
              <w:pStyle w:val="BoxTitle"/>
            </w:pPr>
            <w:r>
              <w:rPr>
                <w:b w:val="0"/>
              </w:rPr>
              <w:t xml:space="preserve">Box </w:t>
            </w:r>
            <w:r>
              <w:rPr>
                <w:b w:val="0"/>
                <w:noProof/>
              </w:rPr>
              <w:t>3</w:t>
            </w:r>
            <w:r>
              <w:tab/>
            </w:r>
            <w:r w:rsidRPr="00495E21">
              <w:t>Illustrations of compositional change and aggregate results</w:t>
            </w:r>
          </w:p>
        </w:tc>
      </w:tr>
      <w:tr w:rsidR="00CF6B94" w:rsidTr="00CF6B94">
        <w:trPr>
          <w:cantSplit/>
        </w:trPr>
        <w:tc>
          <w:tcPr>
            <w:tcW w:w="8771" w:type="dxa"/>
            <w:tcBorders>
              <w:top w:val="nil"/>
              <w:left w:val="nil"/>
              <w:bottom w:val="nil"/>
              <w:right w:val="nil"/>
            </w:tcBorders>
            <w:shd w:val="clear" w:color="auto" w:fill="F2F2F2" w:themeFill="background1" w:themeFillShade="F2"/>
          </w:tcPr>
          <w:p w:rsidR="00CF6B94" w:rsidRDefault="00CF6B94" w:rsidP="00CF6B94">
            <w:pPr>
              <w:pStyle w:val="Box"/>
            </w:pPr>
            <w:r>
              <w:t>The micro-simulation model aggregates heterogeneous household level responses to produce aggregate results. In a number of cases, this aggregation can produce results that appear counter intuitive. In particular, this occurs where there are either (a) changes in the patterns of childcare use among workers; or (b) differential responses within a group.</w:t>
            </w:r>
          </w:p>
          <w:p w:rsidR="00CF6B94" w:rsidRDefault="00CF6B94" w:rsidP="00CF6B94">
            <w:pPr>
              <w:pStyle w:val="Box"/>
            </w:pPr>
            <w:r>
              <w:t>(a) Changes in patterns of childcare use among workers</w:t>
            </w:r>
          </w:p>
          <w:p w:rsidR="00CF6B94" w:rsidRDefault="00CF6B94" w:rsidP="00CF6B94">
            <w:pPr>
              <w:pStyle w:val="Box"/>
            </w:pPr>
            <w:r>
              <w:t>Assume person A is initially supplying 16 labour hours and demanding 10 childcare hours per week, while person B is initially out of the labour force. Further assume that a policy change causes person A to drop out of the labour force (and cease demanding childcare), while person B starts working. Person B starts supplying 24 labour hours and demanding 20 childcare hours.</w:t>
            </w:r>
          </w:p>
          <w:p w:rsidR="00CF6B94" w:rsidRDefault="00CF6B94" w:rsidP="00CF6B94">
            <w:pPr>
              <w:pStyle w:val="Box"/>
            </w:pPr>
            <w:r>
              <w:t xml:space="preserve">The aggregate change (across person A and B) is an additional 8 hours (24 </w:t>
            </w:r>
            <w:r w:rsidR="00E66A24">
              <w:t>–</w:t>
            </w:r>
            <w:r>
              <w:t xml:space="preserve"> 16) of labour supply with an additional 10 hours (20 </w:t>
            </w:r>
            <w:r w:rsidR="00E66A24">
              <w:t>–</w:t>
            </w:r>
            <w:r>
              <w:t xml:space="preserve"> 10) of childcare demand per week. In aggregate, it appears that a large amount of additional childcare is required to induce a relatively small amount of additional labour supply.</w:t>
            </w:r>
          </w:p>
          <w:p w:rsidR="00CF6B94" w:rsidRDefault="00CF6B94" w:rsidP="00CF6B94">
            <w:pPr>
              <w:pStyle w:val="Box"/>
            </w:pPr>
            <w:r>
              <w:t>(b) Differential responses within a group</w:t>
            </w:r>
          </w:p>
          <w:p w:rsidR="00CF6B94" w:rsidRDefault="00CF6B94" w:rsidP="00CF6B94">
            <w:pPr>
              <w:pStyle w:val="Box"/>
            </w:pPr>
            <w:r>
              <w:t>If individuals within a group experience different changes, the aggregate results can exhibit counter intuitive results. Person C might get a large reduction in their childcare subsidy ($1000), but might only reduce their labour supply by a small amount (8 hours per week). Person D might get only a small increase in their subsidy ($200), but increase their labour supply by a larger amount (16 hours per week).</w:t>
            </w:r>
          </w:p>
          <w:p w:rsidR="00CF6B94" w:rsidRDefault="00CF6B94" w:rsidP="00CF6B94">
            <w:pPr>
              <w:pStyle w:val="Box"/>
            </w:pPr>
            <w:r>
              <w:t xml:space="preserve">The aggregate change (across persons C and D) is an aggregate </w:t>
            </w:r>
            <w:r w:rsidRPr="00546C7F">
              <w:rPr>
                <w:i/>
              </w:rPr>
              <w:t>decrease</w:t>
            </w:r>
            <w:r>
              <w:t xml:space="preserve"> in $800 subsidy ($1000 – $200) and an aggregate 8 hour </w:t>
            </w:r>
            <w:r w:rsidRPr="00546C7F">
              <w:rPr>
                <w:i/>
              </w:rPr>
              <w:t xml:space="preserve">increase </w:t>
            </w:r>
            <w:r>
              <w:t>in labour supply. While this aggregate result may appear counter intuitive, it is based on expected behaviour at the household level.</w:t>
            </w:r>
          </w:p>
        </w:tc>
      </w:tr>
      <w:tr w:rsidR="00CF6B94" w:rsidTr="00CF6B94">
        <w:trPr>
          <w:cantSplit/>
        </w:trPr>
        <w:tc>
          <w:tcPr>
            <w:tcW w:w="8771" w:type="dxa"/>
            <w:tcBorders>
              <w:top w:val="nil"/>
              <w:left w:val="nil"/>
              <w:bottom w:val="single" w:sz="6" w:space="0" w:color="78A22F"/>
              <w:right w:val="nil"/>
            </w:tcBorders>
            <w:shd w:val="clear" w:color="auto" w:fill="F2F2F2" w:themeFill="background1" w:themeFillShade="F2"/>
          </w:tcPr>
          <w:p w:rsidR="00CF6B94" w:rsidRDefault="00CF6B94" w:rsidP="00CF6B94">
            <w:pPr>
              <w:pStyle w:val="Box"/>
              <w:spacing w:before="0" w:line="120" w:lineRule="exact"/>
            </w:pPr>
          </w:p>
        </w:tc>
      </w:tr>
      <w:tr w:rsidR="00CF6B94" w:rsidRPr="000863A5" w:rsidTr="00CF6B94">
        <w:tc>
          <w:tcPr>
            <w:tcW w:w="8771" w:type="dxa"/>
            <w:tcBorders>
              <w:top w:val="single" w:sz="6" w:space="0" w:color="78A22F"/>
              <w:left w:val="nil"/>
              <w:bottom w:val="nil"/>
              <w:right w:val="nil"/>
            </w:tcBorders>
          </w:tcPr>
          <w:p w:rsidR="00CF6B94" w:rsidRPr="00626D32" w:rsidRDefault="00CF6B94" w:rsidP="00CF6B94">
            <w:pPr>
              <w:pStyle w:val="BoxSpaceBelow"/>
            </w:pPr>
          </w:p>
        </w:tc>
      </w:tr>
    </w:tbl>
    <w:p w:rsidR="00CF6B94" w:rsidRPr="00E66A24" w:rsidRDefault="00CF6B94" w:rsidP="00E66A24">
      <w:pPr>
        <w:pStyle w:val="BodyText"/>
      </w:pPr>
      <w:r w:rsidRPr="00E66A24">
        <w:t>Understanding the following interactions in the model can help explain the results:</w:t>
      </w:r>
    </w:p>
    <w:p w:rsidR="00CF6B94" w:rsidRDefault="00CF6B94" w:rsidP="00CF6B94">
      <w:pPr>
        <w:pStyle w:val="ListNumber"/>
        <w:numPr>
          <w:ilvl w:val="0"/>
          <w:numId w:val="25"/>
        </w:numPr>
        <w:spacing w:line="320" w:lineRule="atLeast"/>
      </w:pPr>
      <w:r w:rsidRPr="001C4D70">
        <w:rPr>
          <w:b/>
        </w:rPr>
        <w:t>The activity test has a positive impact on labour supply</w:t>
      </w:r>
      <w:r>
        <w:t>. The database contains a number of people (about 2.5 per cent of households) who initially work fewer hours than required under the proposed activity test, use some childcare, and are not exempted from the proposed activity test for reasons such as pursuing education. These households face an incentive to increase their work hours to meet the activity test (or lose their childcare subsidy). This incentive exists even for households where the subsidy rate (once the activity test is met) is reduced. For this reason, the labour supply response for households that face a lower subsidy rate can be positive — this effect is driven by the activity test. The work test causes an increased concentration of subsidies accruing to those using childcare for work purposes, and encourages those working fewer hours to increase their work hours or drop out of the childcare market entirely (or reduce their childcare demand to 10 hours per week if they receive the Parenting Payment).</w:t>
      </w:r>
    </w:p>
    <w:p w:rsidR="00CF6B94" w:rsidRDefault="00CF6B94" w:rsidP="00CF6B94">
      <w:pPr>
        <w:pStyle w:val="ListNumber"/>
        <w:numPr>
          <w:ilvl w:val="0"/>
          <w:numId w:val="25"/>
        </w:numPr>
        <w:spacing w:line="320" w:lineRule="atLeast"/>
      </w:pPr>
      <w:r w:rsidRPr="001C4D70">
        <w:rPr>
          <w:b/>
        </w:rPr>
        <w:lastRenderedPageBreak/>
        <w:t>Relatively high income groups receive less assistance and their disposable income net of out</w:t>
      </w:r>
      <w:r w:rsidRPr="001C4D70">
        <w:rPr>
          <w:b/>
        </w:rPr>
        <w:noBreakHyphen/>
        <w:t>of</w:t>
      </w:r>
      <w:r w:rsidRPr="001C4D70">
        <w:rPr>
          <w:b/>
        </w:rPr>
        <w:noBreakHyphen/>
        <w:t>pocket fees is reduced</w:t>
      </w:r>
      <w:r>
        <w:t>. This is because the CCR subsidy (50 per cent of childcare costs, up to $7500 per child per year) is replaced by the lower subsidy of 20 per cent of the benchmark price. Some work less as a result, although some substitute towards/using more informal care or increasing out-of-pocket expenditure on formal childcare and maintaining hours worked. The utility of this group is reduced: high income households are relatively unresponsive to reduced assistance (compared to other income groups), opting to fund their relatively fixed use of childcare through increased out</w:t>
      </w:r>
      <w:r>
        <w:noBreakHyphen/>
        <w:t>of</w:t>
      </w:r>
      <w:r>
        <w:noBreakHyphen/>
        <w:t>pocket spending.</w:t>
      </w:r>
    </w:p>
    <w:p w:rsidR="00CF6B94" w:rsidRDefault="00CF6B94" w:rsidP="00CF6B94">
      <w:pPr>
        <w:pStyle w:val="ListNumber"/>
        <w:numPr>
          <w:ilvl w:val="0"/>
          <w:numId w:val="25"/>
        </w:numPr>
        <w:spacing w:line="320" w:lineRule="atLeast"/>
      </w:pPr>
      <w:r w:rsidRPr="001C4D70">
        <w:rPr>
          <w:b/>
        </w:rPr>
        <w:t xml:space="preserve">Half of families have childcare fees that exceed the </w:t>
      </w:r>
      <w:r>
        <w:rPr>
          <w:b/>
        </w:rPr>
        <w:t>benchmark price</w:t>
      </w:r>
      <w:r>
        <w:t xml:space="preserve">. For these families, the effective subsidy </w:t>
      </w:r>
      <w:r w:rsidRPr="009435E2">
        <w:t>rate</w:t>
      </w:r>
      <w:r>
        <w:t xml:space="preserve"> is lower than it appears from the rate schedule, because the benchmark price</w:t>
      </w:r>
      <w:r w:rsidDel="00A709E9">
        <w:t xml:space="preserve"> </w:t>
      </w:r>
      <w:r>
        <w:t>to which the rate applies is below the childcare fee they face. This increases the possibility that the effective subsidy rate is lower than under current arrangements. Such households typically reduce their childcare demand and labour supply. Note that the micro-simulation framework does not account for any supply</w:t>
      </w:r>
      <w:r>
        <w:noBreakHyphen/>
        <w:t>side changes that could be induced by reduced subsidies, so any changes in out</w:t>
      </w:r>
      <w:r>
        <w:noBreakHyphen/>
        <w:t>of</w:t>
      </w:r>
      <w:r>
        <w:noBreakHyphen/>
        <w:t>pocket childcare fees brought about by switching to the benchmark price approach are assumed to be borne by — or to benefit — households.</w:t>
      </w:r>
      <w:r>
        <w:rPr>
          <w:rStyle w:val="FootnoteReference"/>
        </w:rPr>
        <w:footnoteReference w:id="12"/>
      </w:r>
    </w:p>
    <w:p w:rsidR="00CF6B94" w:rsidRDefault="00CF6B94" w:rsidP="00CF6B94">
      <w:pPr>
        <w:pStyle w:val="ListNumber"/>
        <w:numPr>
          <w:ilvl w:val="0"/>
          <w:numId w:val="25"/>
        </w:numPr>
        <w:spacing w:line="320" w:lineRule="atLeast"/>
      </w:pPr>
      <w:r w:rsidRPr="001C4D70">
        <w:rPr>
          <w:b/>
        </w:rPr>
        <w:t xml:space="preserve">The primary </w:t>
      </w:r>
      <w:r>
        <w:rPr>
          <w:b/>
        </w:rPr>
        <w:t xml:space="preserve">financial </w:t>
      </w:r>
      <w:r w:rsidRPr="001C4D70">
        <w:rPr>
          <w:b/>
        </w:rPr>
        <w:t>beneficiaries of the policy change are low</w:t>
      </w:r>
      <w:r w:rsidRPr="001C4D70">
        <w:rPr>
          <w:b/>
        </w:rPr>
        <w:noBreakHyphen/>
        <w:t xml:space="preserve"> and middle</w:t>
      </w:r>
      <w:r w:rsidRPr="001C4D70">
        <w:rPr>
          <w:b/>
        </w:rPr>
        <w:noBreakHyphen/>
        <w:t xml:space="preserve">income households. </w:t>
      </w:r>
      <w:r>
        <w:t>While the simplified system tends to cut assistance to the upper</w:t>
      </w:r>
      <w:r>
        <w:noBreakHyphen/>
        <w:t>income groups (and some people affected by the new activity test), payments to the low</w:t>
      </w:r>
      <w:r>
        <w:noBreakHyphen/>
        <w:t xml:space="preserve"> and middle</w:t>
      </w:r>
      <w:r>
        <w:noBreakHyphen/>
        <w:t>income groups tend to increase relative to current arrangements. While some households experience a decrease in other transfers as they increase their labour supply, the new childcare subsidies more than compensate for this loss, resulting in a net increase in government payments to that group. Some middle</w:t>
      </w:r>
      <w:r>
        <w:noBreakHyphen/>
        <w:t xml:space="preserve"> and high</w:t>
      </w:r>
      <w:r>
        <w:noBreakHyphen/>
        <w:t xml:space="preserve"> income households who would hit the $7500 CCR cap if they worked more than 2</w:t>
      </w:r>
      <w:r>
        <w:noBreakHyphen/>
        <w:t>3 days per week could also benefit financially from the policy change as the net return from working more than 2</w:t>
      </w:r>
      <w:r>
        <w:noBreakHyphen/>
        <w:t>3 days may be higher under the new subsidy arrangements. The new arrangements are not capped.</w:t>
      </w:r>
    </w:p>
    <w:p w:rsidR="00CF6B94" w:rsidRDefault="00CF6B94" w:rsidP="00CF6B94">
      <w:pPr>
        <w:pStyle w:val="ListNumber"/>
        <w:numPr>
          <w:ilvl w:val="0"/>
          <w:numId w:val="25"/>
        </w:numPr>
        <w:spacing w:line="320" w:lineRule="atLeast"/>
      </w:pPr>
      <w:r>
        <w:rPr>
          <w:b/>
        </w:rPr>
        <w:t>T</w:t>
      </w:r>
      <w:r w:rsidRPr="001C4D70">
        <w:rPr>
          <w:b/>
        </w:rPr>
        <w:t>here is a substitution away from non</w:t>
      </w:r>
      <w:r w:rsidRPr="001C4D70">
        <w:rPr>
          <w:b/>
        </w:rPr>
        <w:noBreakHyphen/>
        <w:t>market childcare (parental and informal) in favour of formal childcare.</w:t>
      </w:r>
      <w:r>
        <w:t xml:space="preserve"> Not all increases in childcare demand are driven by increased labour supply. As the out-of-pocket costs of childcare decrease for some households (mainly low- and middle-income), they increase their use of childcare. This means that there is not a one</w:t>
      </w:r>
      <w:r>
        <w:noBreakHyphen/>
        <w:t>to</w:t>
      </w:r>
      <w:r>
        <w:noBreakHyphen/>
        <w:t>one correspondence between increases in childcare hours and increases in labour supply hours for all groups in the model. The relative price decrease of formal childcare causes a substitution away from informal care and towards formal care.</w:t>
      </w:r>
    </w:p>
    <w:p w:rsidR="00CF6B94" w:rsidRDefault="00CF6B94" w:rsidP="00CF6B94">
      <w:pPr>
        <w:pStyle w:val="Heading3"/>
      </w:pPr>
      <w:r>
        <w:lastRenderedPageBreak/>
        <w:t>Decomposition of model results</w:t>
      </w:r>
    </w:p>
    <w:p w:rsidR="00CF6B94" w:rsidRDefault="00CF6B94" w:rsidP="00CF6B94">
      <w:pPr>
        <w:pStyle w:val="BodyText"/>
      </w:pPr>
      <w:r>
        <w:t>This section illustrates the intuition behind the micro</w:t>
      </w:r>
      <w:r>
        <w:noBreakHyphen/>
        <w:t>level responses seen in the model. This is followed by a decomposition of model results. The section concludes with the utility payoff matrixes for an example household under the current arrangements and under the Commission’s recommended policy to illustrate the mechanisms at work.</w:t>
      </w:r>
    </w:p>
    <w:p w:rsidR="00CF6B94" w:rsidRPr="00CA7D1B" w:rsidRDefault="00CF6B94" w:rsidP="00CF6B94">
      <w:pPr>
        <w:pStyle w:val="Heading4"/>
      </w:pPr>
      <w:r>
        <w:t>Intuition underlying the micro</w:t>
      </w:r>
      <w:r>
        <w:noBreakHyphen/>
        <w:t>level behaviour</w:t>
      </w:r>
    </w:p>
    <w:p w:rsidR="00CF6B94" w:rsidRDefault="00CF6B94" w:rsidP="00CF6B94">
      <w:pPr>
        <w:pStyle w:val="BodyText"/>
      </w:pPr>
      <w:r>
        <w:t xml:space="preserve">The drivers of results can be explained by grouping households based on their behaviour under the current arrangements (table 2). </w:t>
      </w:r>
    </w:p>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themeColor="accent1"/>
              <w:left w:val="nil"/>
              <w:bottom w:val="nil"/>
              <w:right w:val="nil"/>
            </w:tcBorders>
            <w:shd w:val="clear" w:color="auto" w:fill="auto"/>
          </w:tcPr>
          <w:p w:rsidR="00CF6B94" w:rsidRPr="007C5512" w:rsidRDefault="00CF6B94" w:rsidP="00CF6B94">
            <w:pPr>
              <w:pStyle w:val="TableTitle"/>
            </w:pPr>
            <w:r>
              <w:rPr>
                <w:b w:val="0"/>
              </w:rPr>
              <w:t xml:space="preserve">Table </w:t>
            </w:r>
            <w:r>
              <w:rPr>
                <w:b w:val="0"/>
                <w:noProof/>
              </w:rPr>
              <w:t>2</w:t>
            </w:r>
            <w:r>
              <w:tab/>
              <w:t>Share</w:t>
            </w:r>
            <w:r w:rsidRPr="00495E21">
              <w:t xml:space="preserve"> of household groups </w:t>
            </w:r>
            <w:r>
              <w:t>in</w:t>
            </w:r>
            <w:r w:rsidRPr="00495E21">
              <w:t xml:space="preserve"> </w:t>
            </w:r>
            <w:r>
              <w:t xml:space="preserve">the </w:t>
            </w:r>
            <w:r w:rsidRPr="00495E21">
              <w:t>database</w:t>
            </w:r>
          </w:p>
          <w:p w:rsidR="00CF6B94" w:rsidRPr="00784A05" w:rsidRDefault="00CF6B94" w:rsidP="00CF6B94">
            <w:pPr>
              <w:pStyle w:val="Subtitle"/>
            </w:pPr>
            <w:r w:rsidRPr="00495E21">
              <w:t>Based on pre</w:t>
            </w:r>
            <w:r>
              <w:t>-</w:t>
            </w:r>
            <w:r w:rsidRPr="00495E21">
              <w:t>policy</w:t>
            </w:r>
            <w:r>
              <w:t xml:space="preserve"> change</w:t>
            </w:r>
            <w:r w:rsidRPr="00495E21">
              <w:t xml:space="preserve"> behaviour</w:t>
            </w:r>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753"/>
              <w:gridCol w:w="2251"/>
              <w:gridCol w:w="2483"/>
            </w:tblGrid>
            <w:tr w:rsidR="00CF6B94" w:rsidTr="00CF6B94">
              <w:tc>
                <w:tcPr>
                  <w:tcW w:w="2211" w:type="pct"/>
                  <w:tcBorders>
                    <w:top w:val="single" w:sz="6" w:space="0" w:color="BFBFBF" w:themeColor="background2"/>
                    <w:bottom w:val="single" w:sz="6" w:space="0" w:color="BFBFBF" w:themeColor="background2"/>
                  </w:tcBorders>
                  <w:shd w:val="clear" w:color="auto" w:fill="auto"/>
                  <w:tcMar>
                    <w:top w:w="28" w:type="dxa"/>
                  </w:tcMar>
                </w:tcPr>
                <w:p w:rsidR="00CF6B94" w:rsidRPr="00495E21" w:rsidRDefault="00CF6B94" w:rsidP="00CF6B94">
                  <w:pPr>
                    <w:pStyle w:val="TableColumnHeading"/>
                  </w:pPr>
                </w:p>
              </w:tc>
              <w:tc>
                <w:tcPr>
                  <w:tcW w:w="1326" w:type="pct"/>
                  <w:tcBorders>
                    <w:top w:val="single" w:sz="6" w:space="0" w:color="BFBFBF" w:themeColor="background2"/>
                    <w:bottom w:val="single" w:sz="6" w:space="0" w:color="BFBFBF" w:themeColor="background2"/>
                  </w:tcBorders>
                  <w:shd w:val="clear" w:color="auto" w:fill="auto"/>
                  <w:tcMar>
                    <w:top w:w="28" w:type="dxa"/>
                  </w:tcMar>
                </w:tcPr>
                <w:p w:rsidR="00CF6B94" w:rsidRPr="003561BE" w:rsidRDefault="00CF6B94" w:rsidP="00CF6B94">
                  <w:pPr>
                    <w:pStyle w:val="TableColumnHeading"/>
                  </w:pPr>
                  <w:r w:rsidRPr="003561BE">
                    <w:t>Zero childcare demand</w:t>
                  </w:r>
                </w:p>
              </w:tc>
              <w:tc>
                <w:tcPr>
                  <w:tcW w:w="1463" w:type="pct"/>
                  <w:tcBorders>
                    <w:top w:val="single" w:sz="6" w:space="0" w:color="BFBFBF" w:themeColor="background2"/>
                    <w:bottom w:val="single" w:sz="6" w:space="0" w:color="BFBFBF" w:themeColor="background2"/>
                  </w:tcBorders>
                  <w:shd w:val="clear" w:color="auto" w:fill="auto"/>
                  <w:tcMar>
                    <w:top w:w="28" w:type="dxa"/>
                  </w:tcMar>
                </w:tcPr>
                <w:p w:rsidR="00CF6B94" w:rsidRDefault="00CF6B94" w:rsidP="00CF6B94">
                  <w:pPr>
                    <w:pStyle w:val="TableColumnHeading"/>
                  </w:pPr>
                  <w:r w:rsidRPr="003561BE">
                    <w:t xml:space="preserve">Positive childcare demand </w:t>
                  </w:r>
                </w:p>
              </w:tc>
            </w:tr>
            <w:tr w:rsidR="00CF6B94" w:rsidTr="00E66A24">
              <w:tc>
                <w:tcPr>
                  <w:tcW w:w="2211" w:type="pct"/>
                  <w:tcBorders>
                    <w:top w:val="single" w:sz="6" w:space="0" w:color="BFBFBF" w:themeColor="background2"/>
                  </w:tcBorders>
                </w:tcPr>
                <w:p w:rsidR="00CF6B94" w:rsidRPr="001C071E" w:rsidRDefault="00CF6B94" w:rsidP="00E66A24">
                  <w:pPr>
                    <w:pStyle w:val="TableBodyText"/>
                    <w:spacing w:before="120"/>
                    <w:jc w:val="left"/>
                  </w:pPr>
                  <w:r>
                    <w:t>Initial behaviour would fail new activity test</w:t>
                  </w:r>
                </w:p>
              </w:tc>
              <w:tc>
                <w:tcPr>
                  <w:tcW w:w="1326" w:type="pct"/>
                  <w:tcBorders>
                    <w:top w:val="single" w:sz="6" w:space="0" w:color="BFBFBF" w:themeColor="background2"/>
                  </w:tcBorders>
                </w:tcPr>
                <w:p w:rsidR="00CF6B94" w:rsidRPr="001C071E" w:rsidRDefault="00CF6B94" w:rsidP="00E66A24">
                  <w:pPr>
                    <w:pStyle w:val="TableBodyText"/>
                    <w:spacing w:before="120"/>
                  </w:pPr>
                  <w:r w:rsidRPr="001C071E">
                    <w:t>Group A (</w:t>
                  </w:r>
                  <w:r>
                    <w:t>23</w:t>
                  </w:r>
                  <w:r w:rsidRPr="001C071E">
                    <w:t>%)</w:t>
                  </w:r>
                </w:p>
              </w:tc>
              <w:tc>
                <w:tcPr>
                  <w:tcW w:w="1463" w:type="pct"/>
                  <w:tcBorders>
                    <w:top w:val="single" w:sz="6" w:space="0" w:color="BFBFBF" w:themeColor="background2"/>
                  </w:tcBorders>
                </w:tcPr>
                <w:p w:rsidR="00CF6B94" w:rsidRPr="001C071E" w:rsidRDefault="00CF6B94" w:rsidP="00E66A24">
                  <w:pPr>
                    <w:pStyle w:val="TableBodyText"/>
                    <w:spacing w:before="120"/>
                  </w:pPr>
                  <w:r w:rsidRPr="001C071E">
                    <w:t>Group B (</w:t>
                  </w:r>
                  <w:r>
                    <w:t>3</w:t>
                  </w:r>
                  <w:r w:rsidRPr="001C071E">
                    <w:t>%)</w:t>
                  </w:r>
                </w:p>
              </w:tc>
            </w:tr>
            <w:tr w:rsidR="00CF6B94" w:rsidTr="00E66A24">
              <w:tc>
                <w:tcPr>
                  <w:tcW w:w="2211" w:type="pct"/>
                  <w:shd w:val="clear" w:color="auto" w:fill="auto"/>
                </w:tcPr>
                <w:p w:rsidR="00CF6B94" w:rsidRPr="001C071E" w:rsidRDefault="00CF6B94" w:rsidP="00CF6B94">
                  <w:pPr>
                    <w:pStyle w:val="TableBodyText"/>
                    <w:jc w:val="left"/>
                  </w:pPr>
                  <w:r>
                    <w:t>Initial behaviour would pass new activity test</w:t>
                  </w:r>
                </w:p>
              </w:tc>
              <w:tc>
                <w:tcPr>
                  <w:tcW w:w="1326" w:type="pct"/>
                  <w:shd w:val="clear" w:color="auto" w:fill="auto"/>
                </w:tcPr>
                <w:p w:rsidR="00CF6B94" w:rsidRPr="001C071E" w:rsidRDefault="00CF6B94" w:rsidP="00CF6B94">
                  <w:pPr>
                    <w:pStyle w:val="TableBodyText"/>
                  </w:pPr>
                  <w:r w:rsidRPr="001C071E">
                    <w:t>Group C (</w:t>
                  </w:r>
                  <w:r>
                    <w:t>50</w:t>
                  </w:r>
                  <w:r w:rsidRPr="001C071E">
                    <w:t>%)</w:t>
                  </w:r>
                </w:p>
              </w:tc>
              <w:tc>
                <w:tcPr>
                  <w:tcW w:w="1463" w:type="pct"/>
                  <w:shd w:val="clear" w:color="auto" w:fill="auto"/>
                </w:tcPr>
                <w:p w:rsidR="00CF6B94" w:rsidRDefault="00CF6B94" w:rsidP="00CF6B94">
                  <w:pPr>
                    <w:pStyle w:val="TableBodyText"/>
                  </w:pPr>
                  <w:r w:rsidRPr="001C071E">
                    <w:t>Group D (2</w:t>
                  </w:r>
                  <w:r>
                    <w:t>4</w:t>
                  </w:r>
                  <w:r w:rsidRPr="001C071E">
                    <w:t>%)</w:t>
                  </w:r>
                </w:p>
              </w:tc>
            </w:tr>
          </w:tbl>
          <w:p w:rsidR="00CF6B94" w:rsidRDefault="00CF6B94" w:rsidP="00CF6B94">
            <w:pPr>
              <w:pStyle w:val="Box"/>
            </w:pPr>
          </w:p>
        </w:tc>
      </w:tr>
      <w:tr w:rsidR="00CF6B94" w:rsidTr="00CF6B94">
        <w:trPr>
          <w:cantSplit/>
        </w:trPr>
        <w:tc>
          <w:tcPr>
            <w:tcW w:w="8771" w:type="dxa"/>
            <w:tcBorders>
              <w:top w:val="nil"/>
              <w:left w:val="nil"/>
              <w:bottom w:val="single" w:sz="6" w:space="0" w:color="78A22F" w:themeColor="accent1"/>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themeColor="accent1"/>
              <w:left w:val="nil"/>
              <w:bottom w:val="nil"/>
              <w:right w:val="nil"/>
            </w:tcBorders>
          </w:tcPr>
          <w:p w:rsidR="00CF6B94" w:rsidRPr="00626D32" w:rsidRDefault="00CF6B94" w:rsidP="00CF6B94">
            <w:pPr>
              <w:pStyle w:val="BoxSpaceBelow"/>
            </w:pPr>
          </w:p>
        </w:tc>
      </w:tr>
    </w:tbl>
    <w:p w:rsidR="00CF6B94" w:rsidRDefault="00CF6B94" w:rsidP="00CF6B94">
      <w:pPr>
        <w:pStyle w:val="Heading5"/>
      </w:pPr>
      <w:r>
        <w:t>Group A</w:t>
      </w:r>
    </w:p>
    <w:p w:rsidR="00CF6B94" w:rsidRDefault="00CF6B94" w:rsidP="00CF6B94">
      <w:pPr>
        <w:pStyle w:val="BodyText"/>
      </w:pPr>
      <w:r>
        <w:t xml:space="preserve">For many in this category, the incentive to work is weaker under the policy change than it is under the current arrangements, due to the activity test. The main reason is that group A is comprised mainly of relatively low income parents, many of whom do not work or demand formal childcare, despite being currently eligible for large subsidies (in excess of the 80 per cent under the current arrangements provided they do some </w:t>
      </w:r>
      <w:r w:rsidRPr="00BA3D1B">
        <w:t>working/training/studying/seeking work/volunteering to be eligible</w:t>
      </w:r>
      <w:r>
        <w:t xml:space="preserve"> for CCR). The more stringent recommended activity test increases the hurdle to childcare assistance and decreases the likelihood of entering the labour force for some of these households. Considering that increases in the rate of assistance are relatively small for this group (having initial subsidies potentially in excess of 80 per cent of full childcare fees), the additional incentive is </w:t>
      </w:r>
      <w:r w:rsidRPr="000533C3">
        <w:t xml:space="preserve">unlikely </w:t>
      </w:r>
      <w:r>
        <w:t xml:space="preserve">to be sufficient to overcome the effect of the activity test. </w:t>
      </w:r>
    </w:p>
    <w:p w:rsidR="00CF6B94" w:rsidRDefault="00CF6B94" w:rsidP="00CF6B94">
      <w:pPr>
        <w:pStyle w:val="BodyText"/>
      </w:pPr>
      <w:r>
        <w:t xml:space="preserve">When others in this group do increase their labour supply, it is typically by relatively large amounts (to reach the new activity test), and tends to be accompanied by a proportionately large increase in demand for formal childcare (larger than the average childcare demand per hour of labour supply across all individuals in the initial database). </w:t>
      </w:r>
    </w:p>
    <w:p w:rsidR="00CF6B94" w:rsidRDefault="00CF6B94" w:rsidP="00CF6B94">
      <w:pPr>
        <w:pStyle w:val="Heading5"/>
      </w:pPr>
      <w:r>
        <w:lastRenderedPageBreak/>
        <w:t>Group B</w:t>
      </w:r>
    </w:p>
    <w:p w:rsidR="00CF6B94" w:rsidRDefault="00CF6B94" w:rsidP="00CF6B94">
      <w:pPr>
        <w:pStyle w:val="BodyText"/>
      </w:pPr>
      <w:r>
        <w:t xml:space="preserve">Individuals in group B tend to respond in one of two ways: they either increase their labour supply hours to meet the new activity test level (or higher); or remain at low/zero labour supply and cut their childcare demand. </w:t>
      </w:r>
    </w:p>
    <w:p w:rsidR="00CF6B94" w:rsidRDefault="00CF6B94" w:rsidP="00CF6B94">
      <w:pPr>
        <w:pStyle w:val="BodyText"/>
      </w:pPr>
      <w:r>
        <w:t xml:space="preserve">Despite its small size (3 per cent of households), this group makes a large contribution to overall outcomes in terms of labour supply and of net fiscal impacts. In particular, those who increase their labour supply to meet (or exceed) the number of working hours required to satisfy the new activity test are significant contributors to the total increase in labour supply. </w:t>
      </w:r>
    </w:p>
    <w:p w:rsidR="00CF6B94" w:rsidRDefault="00CF6B94" w:rsidP="00CF6B94">
      <w:pPr>
        <w:pStyle w:val="BodyText"/>
      </w:pPr>
      <w:r>
        <w:t xml:space="preserve">Since nearly everyone in group B has access to childcare subsidies in the initial data, the activity test makes those who do not change their behaviour unambiguously worse off (because they will be working and using the same amount of childcare, but will be paying more for that care if they are not eligible for ECLS). </w:t>
      </w:r>
    </w:p>
    <w:p w:rsidR="00CF6B94" w:rsidRDefault="00CF6B94" w:rsidP="00CF6B94">
      <w:pPr>
        <w:pStyle w:val="BodyText"/>
      </w:pPr>
      <w:r>
        <w:t>However, those who receive a higher rate of assistance than before and change their behaviour (</w:t>
      </w:r>
      <w:r w:rsidR="00E44627">
        <w:t>this is,</w:t>
      </w:r>
      <w:r>
        <w:t xml:space="preserve"> allowing other factors besides the activity test to vary) can experience either an increase or decrease in their utility. In particular, utility can increase for a household if subsidy rates have become more favourable by sufficient magnitude that the rate change alone would have been sufficient to induce them to their higher level of activity (i.e. the new activity test is not what is changing their behaviour). To the extent that any subsidy increase (or, considering the new benchmark price arrangements, subsidy decrease) is not sufficient to induce additional labour supply, these households will experience a decrease in utility if the activity test induces them to supply additional labour. </w:t>
      </w:r>
    </w:p>
    <w:p w:rsidR="00CF6B94" w:rsidRDefault="00CF6B94" w:rsidP="00CF6B94">
      <w:pPr>
        <w:pStyle w:val="BodyText"/>
      </w:pPr>
      <w:r>
        <w:t>Individual characteristics (such as education, age and current wage) are important for this group, and influence the nature of the tradeoff between childcare and work for the household. The tradeoff between maintaining the pre</w:t>
      </w:r>
      <w:r>
        <w:noBreakHyphen/>
        <w:t>policy level of childcare and working (governed by utility parameters) plays a key role in determining their decision.</w:t>
      </w:r>
    </w:p>
    <w:p w:rsidR="00CF6B94" w:rsidRDefault="00CF6B94" w:rsidP="00CF6B94">
      <w:pPr>
        <w:pStyle w:val="BodyText"/>
      </w:pPr>
      <w:r>
        <w:t xml:space="preserve">This is the group most likely to improve the government’s net fiscal position. Either </w:t>
      </w:r>
      <w:proofErr w:type="gramStart"/>
      <w:r>
        <w:t>they</w:t>
      </w:r>
      <w:proofErr w:type="gramEnd"/>
      <w:r>
        <w:t xml:space="preserve">: </w:t>
      </w:r>
    </w:p>
    <w:p w:rsidR="00CF6B94" w:rsidRPr="00BF66A0" w:rsidRDefault="00CF6B94" w:rsidP="00DB39D6">
      <w:pPr>
        <w:pStyle w:val="ListBullet"/>
      </w:pPr>
      <w:proofErr w:type="gramStart"/>
      <w:r>
        <w:t>i</w:t>
      </w:r>
      <w:r w:rsidRPr="00BF66A0">
        <w:t>ncrease</w:t>
      </w:r>
      <w:proofErr w:type="gramEnd"/>
      <w:r w:rsidRPr="00BF66A0">
        <w:t xml:space="preserve"> labour supply while maintaining a relatively stable level of childcare demand. In this case transfers decrease, income tax receipts increase and subsidy costs remain relatively stable, or</w:t>
      </w:r>
    </w:p>
    <w:p w:rsidR="00CF6B94" w:rsidRPr="00174F3F" w:rsidRDefault="00CF6B94" w:rsidP="00DB39D6">
      <w:pPr>
        <w:pStyle w:val="ListBullet"/>
      </w:pPr>
      <w:proofErr w:type="gramStart"/>
      <w:r>
        <w:t>m</w:t>
      </w:r>
      <w:r w:rsidRPr="00BF66A0">
        <w:t>aintain</w:t>
      </w:r>
      <w:proofErr w:type="gramEnd"/>
      <w:r w:rsidRPr="00BF66A0">
        <w:t xml:space="preserve"> a low level of labour supply and reduce their demand for childcare services (since they are no longer eligi</w:t>
      </w:r>
      <w:r w:rsidRPr="00174F3F">
        <w:t xml:space="preserve">ble for the subsidy). In this case, transfers and income tax collections remain relatively unchanged and the subsidy cost is reduced. </w:t>
      </w:r>
    </w:p>
    <w:p w:rsidR="00CF6B94" w:rsidRDefault="00CF6B94" w:rsidP="00CF6B94">
      <w:pPr>
        <w:pStyle w:val="BodyText"/>
      </w:pPr>
      <w:r>
        <w:t xml:space="preserve">The activity test is a significant contributor to labour supply and the improvement in the net fiscal position (this is illustrated quantitatively below). In scenarios where the fiscal position improves, it is because the fiscal savings from the activity test combined with savings from reduced payments to high income earners more than offset any increases in childcare subsidies to other groups. To the extent that the activity test hours are reduced or </w:t>
      </w:r>
      <w:r>
        <w:lastRenderedPageBreak/>
        <w:t>more exemptions are granted beyond those on a parenting payment, the cost of any scheme increases.</w:t>
      </w:r>
    </w:p>
    <w:p w:rsidR="00CF6B94" w:rsidRDefault="00CF6B94" w:rsidP="00CF6B94">
      <w:pPr>
        <w:pStyle w:val="BodyText"/>
      </w:pPr>
      <w:r>
        <w:t>The 10-hour per week childcare exemption for Parenting Payment recipients reduces the negative impact on low income households that do not change their hours of work to meet the activity test. However, this also mutes the labour supply response from the lowest income households.</w:t>
      </w:r>
      <w:r>
        <w:rPr>
          <w:rStyle w:val="FootnoteReference"/>
        </w:rPr>
        <w:footnoteReference w:id="13"/>
      </w:r>
    </w:p>
    <w:p w:rsidR="00CF6B94" w:rsidRDefault="00CF6B94" w:rsidP="00CF6B94">
      <w:pPr>
        <w:pStyle w:val="Heading5"/>
      </w:pPr>
      <w:r>
        <w:t>Groups C and D</w:t>
      </w:r>
    </w:p>
    <w:p w:rsidR="00CF6B94" w:rsidRDefault="00CF6B94" w:rsidP="00CF6B94">
      <w:pPr>
        <w:pStyle w:val="BodyText"/>
      </w:pPr>
      <w:r>
        <w:t>Groups C and D are the most responsive to changes in the rate of assistance and are largely unaffected by the activity test. For those households who experience cuts in their rate of assistance, they typically:</w:t>
      </w:r>
    </w:p>
    <w:p w:rsidR="00CF6B94" w:rsidRDefault="00CF6B94" w:rsidP="00CF6B94">
      <w:pPr>
        <w:pStyle w:val="ListNumber"/>
        <w:numPr>
          <w:ilvl w:val="0"/>
          <w:numId w:val="35"/>
        </w:numPr>
        <w:spacing w:line="320" w:lineRule="atLeast"/>
      </w:pPr>
      <w:r>
        <w:t>do not change their choices but experience lower utility (due to lower income net of taxes and out</w:t>
      </w:r>
      <w:r>
        <w:noBreakHyphen/>
        <w:t>of</w:t>
      </w:r>
      <w:r>
        <w:noBreakHyphen/>
        <w:t>pocket fees), or</w:t>
      </w:r>
    </w:p>
    <w:p w:rsidR="00CF6B94" w:rsidRDefault="00CF6B94" w:rsidP="00CF6B94">
      <w:pPr>
        <w:pStyle w:val="ListNumber"/>
        <w:numPr>
          <w:ilvl w:val="0"/>
          <w:numId w:val="35"/>
        </w:numPr>
        <w:spacing w:line="320" w:lineRule="atLeast"/>
      </w:pPr>
      <w:r>
        <w:t>use more informal care, or</w:t>
      </w:r>
    </w:p>
    <w:p w:rsidR="00CF6B94" w:rsidRDefault="00CF6B94" w:rsidP="00CF6B94">
      <w:pPr>
        <w:pStyle w:val="ListNumber"/>
        <w:numPr>
          <w:ilvl w:val="0"/>
          <w:numId w:val="35"/>
        </w:numPr>
        <w:spacing w:line="320" w:lineRule="atLeast"/>
      </w:pPr>
      <w:proofErr w:type="gramStart"/>
      <w:r>
        <w:t>reduce</w:t>
      </w:r>
      <w:proofErr w:type="gramEnd"/>
      <w:r>
        <w:t xml:space="preserve"> their hours of labour supply to be at or slightly above the activity test.</w:t>
      </w:r>
    </w:p>
    <w:p w:rsidR="00CF6B94" w:rsidRDefault="00CF6B94" w:rsidP="00CF6B94">
      <w:pPr>
        <w:pStyle w:val="BodyText"/>
      </w:pPr>
      <w:r>
        <w:t>Households that experience an increase in the rate of assistance tend not to be a large source of additional labour supply compared with groups A and B. In general, households in groups C and D already supply labour under the current arrangements (some pass the activity test by studying). Decreasing out</w:t>
      </w:r>
      <w:r>
        <w:noBreakHyphen/>
        <w:t>of</w:t>
      </w:r>
      <w:r>
        <w:noBreakHyphen/>
        <w:t>pocket fees increases net returns to labour, which (other things equal) will increase the supply of labour. However, because they are already supplying labour, their marginal change is unlikely to be as large as a primary carer making the decision to start supplying labour.</w:t>
      </w:r>
    </w:p>
    <w:p w:rsidR="00CF6B94" w:rsidRDefault="00CF6B94" w:rsidP="00CF6B94">
      <w:pPr>
        <w:pStyle w:val="BodyText"/>
      </w:pPr>
      <w:r>
        <w:t>Many in group D are already at the CCR cap under the current arrangements. For some, the new arrangements increase the rate of assistance they receive, which increases childcare subsidy expenses to government. For example, a high income household that spends a very large amount on childcare could hit the $7500 CCR cap, but this could be a smaller amount than their total hours of care multiplied by 20 per cent (the new, lowest rate) of the benchmark price.</w:t>
      </w:r>
    </w:p>
    <w:p w:rsidR="00CF6B94" w:rsidRPr="00BE77F1" w:rsidRDefault="00CF6B94" w:rsidP="00CF6B94">
      <w:pPr>
        <w:pStyle w:val="Heading4"/>
      </w:pPr>
      <w:r w:rsidRPr="00BE77F1">
        <w:t>Illustrative decomposition of model results</w:t>
      </w:r>
    </w:p>
    <w:p w:rsidR="00CF6B94" w:rsidRDefault="00CF6B94" w:rsidP="00CF6B94">
      <w:pPr>
        <w:pStyle w:val="BodyText"/>
      </w:pPr>
      <w:r>
        <w:t>This section uses the four groups and intuition in the previous section to explain the illustrative results for the recommended subsidy arrangements detailed in section 3 above. Given the parameter and data limitations discussed previously these results should be considered illustrative of the potential impacts of ECLS.</w:t>
      </w:r>
    </w:p>
    <w:p w:rsidR="00CF6B94" w:rsidRDefault="00CF6B94" w:rsidP="00CF6B94">
      <w:pPr>
        <w:pStyle w:val="BodyText"/>
      </w:pPr>
      <w:r>
        <w:lastRenderedPageBreak/>
        <w:t>In order to illustrate the impact of the activity test separately from the changes in the subsidy rates, it is useful to first decompose the aggregate model results by the four groups discussed above (table 3).</w:t>
      </w:r>
    </w:p>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themeColor="accent1"/>
              <w:left w:val="nil"/>
              <w:bottom w:val="nil"/>
              <w:right w:val="nil"/>
            </w:tcBorders>
            <w:shd w:val="clear" w:color="auto" w:fill="auto"/>
          </w:tcPr>
          <w:p w:rsidR="00CF6B94" w:rsidRPr="00784A05" w:rsidRDefault="00CF6B94" w:rsidP="00CF6B94">
            <w:pPr>
              <w:pStyle w:val="TableTitle"/>
            </w:pPr>
            <w:r>
              <w:rPr>
                <w:b w:val="0"/>
              </w:rPr>
              <w:t xml:space="preserve">Table </w:t>
            </w:r>
            <w:r>
              <w:rPr>
                <w:b w:val="0"/>
                <w:noProof/>
              </w:rPr>
              <w:t>3</w:t>
            </w:r>
            <w:r>
              <w:tab/>
              <w:t>Contribution to illustrative results by each group</w:t>
            </w:r>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239"/>
              <w:gridCol w:w="925"/>
              <w:gridCol w:w="1081"/>
              <w:gridCol w:w="1081"/>
              <w:gridCol w:w="1081"/>
              <w:gridCol w:w="1080"/>
            </w:tblGrid>
            <w:tr w:rsidR="00CF6B94" w:rsidTr="00CF6B94">
              <w:tc>
                <w:tcPr>
                  <w:tcW w:w="1908" w:type="pct"/>
                  <w:tcBorders>
                    <w:top w:val="single" w:sz="6" w:space="0" w:color="BFBFBF" w:themeColor="background2"/>
                    <w:bottom w:val="single" w:sz="6" w:space="0" w:color="BFBFBF" w:themeColor="background2"/>
                  </w:tcBorders>
                  <w:shd w:val="clear" w:color="auto" w:fill="auto"/>
                  <w:tcMar>
                    <w:top w:w="28" w:type="dxa"/>
                  </w:tcMar>
                </w:tcPr>
                <w:p w:rsidR="00CF6B94" w:rsidRDefault="00CF6B94" w:rsidP="00CF6B94">
                  <w:pPr>
                    <w:pStyle w:val="TableColumnHeading"/>
                    <w:jc w:val="left"/>
                  </w:pPr>
                </w:p>
              </w:tc>
              <w:tc>
                <w:tcPr>
                  <w:tcW w:w="545" w:type="pct"/>
                  <w:tcBorders>
                    <w:top w:val="single" w:sz="6" w:space="0" w:color="BFBFBF" w:themeColor="background2"/>
                    <w:bottom w:val="single" w:sz="6" w:space="0" w:color="BFBFBF" w:themeColor="background2"/>
                  </w:tcBorders>
                  <w:shd w:val="clear" w:color="auto" w:fill="auto"/>
                  <w:tcMar>
                    <w:top w:w="28" w:type="dxa"/>
                  </w:tcMar>
                </w:tcPr>
                <w:p w:rsidR="00CF6B94" w:rsidRPr="00205533" w:rsidRDefault="00CF6B94" w:rsidP="00CF6B94">
                  <w:pPr>
                    <w:pStyle w:val="TableColumnHeading"/>
                  </w:pPr>
                  <w:r w:rsidRPr="00205533">
                    <w:t>Group A</w:t>
                  </w:r>
                </w:p>
              </w:tc>
              <w:tc>
                <w:tcPr>
                  <w:tcW w:w="637" w:type="pct"/>
                  <w:tcBorders>
                    <w:top w:val="single" w:sz="6" w:space="0" w:color="BFBFBF" w:themeColor="background2"/>
                    <w:bottom w:val="single" w:sz="6" w:space="0" w:color="BFBFBF" w:themeColor="background2"/>
                  </w:tcBorders>
                </w:tcPr>
                <w:p w:rsidR="00CF6B94" w:rsidRPr="00205533" w:rsidRDefault="00CF6B94" w:rsidP="00CF6B94">
                  <w:pPr>
                    <w:pStyle w:val="TableColumnHeading"/>
                  </w:pPr>
                  <w:r w:rsidRPr="00205533">
                    <w:t>Group B</w:t>
                  </w:r>
                </w:p>
              </w:tc>
              <w:tc>
                <w:tcPr>
                  <w:tcW w:w="637" w:type="pct"/>
                  <w:tcBorders>
                    <w:top w:val="single" w:sz="6" w:space="0" w:color="BFBFBF" w:themeColor="background2"/>
                    <w:bottom w:val="single" w:sz="6" w:space="0" w:color="BFBFBF" w:themeColor="background2"/>
                  </w:tcBorders>
                </w:tcPr>
                <w:p w:rsidR="00CF6B94" w:rsidRPr="00205533" w:rsidRDefault="00CF6B94" w:rsidP="00CF6B94">
                  <w:pPr>
                    <w:pStyle w:val="TableColumnHeading"/>
                  </w:pPr>
                  <w:r w:rsidRPr="00205533">
                    <w:t>Group C</w:t>
                  </w:r>
                </w:p>
              </w:tc>
              <w:tc>
                <w:tcPr>
                  <w:tcW w:w="637" w:type="pct"/>
                  <w:tcBorders>
                    <w:top w:val="single" w:sz="6" w:space="0" w:color="BFBFBF" w:themeColor="background2"/>
                    <w:bottom w:val="single" w:sz="6" w:space="0" w:color="BFBFBF" w:themeColor="background2"/>
                  </w:tcBorders>
                </w:tcPr>
                <w:p w:rsidR="00CF6B94" w:rsidRPr="00205533" w:rsidRDefault="00CF6B94" w:rsidP="00CF6B94">
                  <w:pPr>
                    <w:pStyle w:val="TableColumnHeading"/>
                  </w:pPr>
                  <w:r w:rsidRPr="00205533">
                    <w:t>Group D</w:t>
                  </w:r>
                </w:p>
              </w:tc>
              <w:tc>
                <w:tcPr>
                  <w:tcW w:w="636" w:type="pct"/>
                  <w:tcBorders>
                    <w:top w:val="single" w:sz="6" w:space="0" w:color="BFBFBF" w:themeColor="background2"/>
                    <w:bottom w:val="single" w:sz="6" w:space="0" w:color="BFBFBF" w:themeColor="background2"/>
                  </w:tcBorders>
                  <w:shd w:val="clear" w:color="auto" w:fill="auto"/>
                  <w:tcMar>
                    <w:top w:w="28" w:type="dxa"/>
                  </w:tcMar>
                </w:tcPr>
                <w:p w:rsidR="00CF6B94" w:rsidRDefault="00CF6B94" w:rsidP="00CF6B94">
                  <w:pPr>
                    <w:pStyle w:val="TableColumnHeading"/>
                  </w:pPr>
                  <w:r w:rsidRPr="00205533">
                    <w:t>Total</w:t>
                  </w:r>
                </w:p>
              </w:tc>
            </w:tr>
            <w:tr w:rsidR="00CF6B94" w:rsidTr="00CF6B94">
              <w:tc>
                <w:tcPr>
                  <w:tcW w:w="1908" w:type="pct"/>
                  <w:tcBorders>
                    <w:top w:val="single" w:sz="6" w:space="0" w:color="BFBFBF" w:themeColor="background2"/>
                  </w:tcBorders>
                </w:tcPr>
                <w:p w:rsidR="00CF6B94" w:rsidRDefault="00CF6B94" w:rsidP="00E15700">
                  <w:pPr>
                    <w:pStyle w:val="TableBodyText"/>
                    <w:spacing w:before="120"/>
                    <w:jc w:val="left"/>
                  </w:pPr>
                  <w:r>
                    <w:t>Initial childcare demand</w:t>
                  </w:r>
                </w:p>
              </w:tc>
              <w:tc>
                <w:tcPr>
                  <w:tcW w:w="545" w:type="pct"/>
                  <w:tcBorders>
                    <w:top w:val="single" w:sz="6" w:space="0" w:color="BFBFBF" w:themeColor="background2"/>
                  </w:tcBorders>
                </w:tcPr>
                <w:p w:rsidR="00CF6B94" w:rsidRPr="005B30B3" w:rsidRDefault="00CF6B94" w:rsidP="00E15700">
                  <w:pPr>
                    <w:pStyle w:val="TableBodyText"/>
                    <w:spacing w:before="120"/>
                  </w:pPr>
                  <w:r w:rsidRPr="005B30B3">
                    <w:t>Zero</w:t>
                  </w:r>
                </w:p>
              </w:tc>
              <w:tc>
                <w:tcPr>
                  <w:tcW w:w="637" w:type="pct"/>
                  <w:tcBorders>
                    <w:top w:val="single" w:sz="6" w:space="0" w:color="BFBFBF" w:themeColor="background2"/>
                  </w:tcBorders>
                </w:tcPr>
                <w:p w:rsidR="00CF6B94" w:rsidRPr="005B30B3" w:rsidRDefault="00CF6B94" w:rsidP="00E15700">
                  <w:pPr>
                    <w:pStyle w:val="TableBodyText"/>
                    <w:spacing w:before="120"/>
                  </w:pPr>
                  <w:r w:rsidRPr="005B30B3">
                    <w:t>Non-zero</w:t>
                  </w:r>
                </w:p>
              </w:tc>
              <w:tc>
                <w:tcPr>
                  <w:tcW w:w="637" w:type="pct"/>
                  <w:tcBorders>
                    <w:top w:val="single" w:sz="6" w:space="0" w:color="BFBFBF" w:themeColor="background2"/>
                  </w:tcBorders>
                </w:tcPr>
                <w:p w:rsidR="00CF6B94" w:rsidRPr="005B30B3" w:rsidRDefault="00CF6B94" w:rsidP="00E15700">
                  <w:pPr>
                    <w:pStyle w:val="TableBodyText"/>
                    <w:spacing w:before="120"/>
                  </w:pPr>
                  <w:r w:rsidRPr="005B30B3">
                    <w:t>Zero</w:t>
                  </w:r>
                </w:p>
              </w:tc>
              <w:tc>
                <w:tcPr>
                  <w:tcW w:w="637" w:type="pct"/>
                  <w:tcBorders>
                    <w:top w:val="single" w:sz="6" w:space="0" w:color="BFBFBF" w:themeColor="background2"/>
                  </w:tcBorders>
                </w:tcPr>
                <w:p w:rsidR="00CF6B94" w:rsidRPr="005B30B3" w:rsidRDefault="00CF6B94" w:rsidP="00E15700">
                  <w:pPr>
                    <w:pStyle w:val="TableBodyText"/>
                    <w:spacing w:before="120"/>
                  </w:pPr>
                  <w:r w:rsidRPr="005B30B3">
                    <w:t>Non-zero</w:t>
                  </w:r>
                </w:p>
              </w:tc>
              <w:tc>
                <w:tcPr>
                  <w:tcW w:w="636" w:type="pct"/>
                  <w:tcBorders>
                    <w:top w:val="single" w:sz="6" w:space="0" w:color="BFBFBF" w:themeColor="background2"/>
                  </w:tcBorders>
                </w:tcPr>
                <w:p w:rsidR="00CF6B94" w:rsidRDefault="00CF6B94" w:rsidP="00E15700">
                  <w:pPr>
                    <w:pStyle w:val="TableUnitsRow"/>
                    <w:spacing w:before="120"/>
                    <w:ind w:right="28"/>
                  </w:pPr>
                </w:p>
              </w:tc>
            </w:tr>
            <w:tr w:rsidR="00CF6B94" w:rsidTr="00CF6B94">
              <w:tc>
                <w:tcPr>
                  <w:tcW w:w="1908" w:type="pct"/>
                </w:tcPr>
                <w:p w:rsidR="00CF6B94" w:rsidRDefault="00CF6B94" w:rsidP="00CF6B94">
                  <w:pPr>
                    <w:pStyle w:val="TableBodyText"/>
                    <w:jc w:val="left"/>
                  </w:pPr>
                  <w:r>
                    <w:t>Pass or fail new activity test based on original behaviour</w:t>
                  </w:r>
                </w:p>
              </w:tc>
              <w:tc>
                <w:tcPr>
                  <w:tcW w:w="545" w:type="pct"/>
                </w:tcPr>
                <w:p w:rsidR="00CF6B94" w:rsidRPr="005B30B3" w:rsidRDefault="00CF6B94" w:rsidP="00CF6B94">
                  <w:pPr>
                    <w:pStyle w:val="TableBodyText"/>
                  </w:pPr>
                  <w:r>
                    <w:t>Fail</w:t>
                  </w:r>
                </w:p>
              </w:tc>
              <w:tc>
                <w:tcPr>
                  <w:tcW w:w="637" w:type="pct"/>
                </w:tcPr>
                <w:p w:rsidR="00CF6B94" w:rsidRPr="005B30B3" w:rsidRDefault="00CF6B94" w:rsidP="00CF6B94">
                  <w:pPr>
                    <w:pStyle w:val="TableBodyText"/>
                  </w:pPr>
                  <w:r>
                    <w:t>Fail</w:t>
                  </w:r>
                </w:p>
              </w:tc>
              <w:tc>
                <w:tcPr>
                  <w:tcW w:w="637" w:type="pct"/>
                </w:tcPr>
                <w:p w:rsidR="00CF6B94" w:rsidRPr="005B30B3" w:rsidRDefault="00CF6B94" w:rsidP="00CF6B94">
                  <w:pPr>
                    <w:pStyle w:val="TableBodyText"/>
                  </w:pPr>
                  <w:r>
                    <w:t>Pass</w:t>
                  </w:r>
                </w:p>
              </w:tc>
              <w:tc>
                <w:tcPr>
                  <w:tcW w:w="637" w:type="pct"/>
                </w:tcPr>
                <w:p w:rsidR="00CF6B94" w:rsidRPr="005B30B3" w:rsidRDefault="00CF6B94" w:rsidP="00CF6B94">
                  <w:pPr>
                    <w:pStyle w:val="TableBodyText"/>
                  </w:pPr>
                  <w:r>
                    <w:t>Pass</w:t>
                  </w:r>
                </w:p>
              </w:tc>
              <w:tc>
                <w:tcPr>
                  <w:tcW w:w="636" w:type="pct"/>
                </w:tcPr>
                <w:p w:rsidR="00CF6B94" w:rsidRDefault="00CF6B94" w:rsidP="00CF6B94">
                  <w:pPr>
                    <w:pStyle w:val="TableBodyText"/>
                    <w:ind w:right="28"/>
                  </w:pPr>
                </w:p>
              </w:tc>
            </w:tr>
            <w:tr w:rsidR="00CF6B94" w:rsidTr="00CF6B94">
              <w:tc>
                <w:tcPr>
                  <w:tcW w:w="1908" w:type="pct"/>
                </w:tcPr>
                <w:p w:rsidR="00CF6B94" w:rsidRDefault="00CF6B94" w:rsidP="00CF6B94">
                  <w:pPr>
                    <w:pStyle w:val="TableBodyText"/>
                    <w:jc w:val="left"/>
                  </w:pPr>
                </w:p>
              </w:tc>
              <w:tc>
                <w:tcPr>
                  <w:tcW w:w="545" w:type="pct"/>
                </w:tcPr>
                <w:p w:rsidR="00CF6B94" w:rsidRDefault="00CF6B94" w:rsidP="00CF6B94">
                  <w:pPr>
                    <w:pStyle w:val="TableBodyText"/>
                  </w:pPr>
                </w:p>
              </w:tc>
              <w:tc>
                <w:tcPr>
                  <w:tcW w:w="637" w:type="pct"/>
                </w:tcPr>
                <w:p w:rsidR="00CF6B94" w:rsidRDefault="00CF6B94" w:rsidP="00CF6B94">
                  <w:pPr>
                    <w:pStyle w:val="TableBodyText"/>
                  </w:pPr>
                </w:p>
              </w:tc>
              <w:tc>
                <w:tcPr>
                  <w:tcW w:w="637" w:type="pct"/>
                </w:tcPr>
                <w:p w:rsidR="00CF6B94" w:rsidRDefault="00CF6B94" w:rsidP="00CF6B94">
                  <w:pPr>
                    <w:pStyle w:val="TableBodyText"/>
                  </w:pPr>
                </w:p>
              </w:tc>
              <w:tc>
                <w:tcPr>
                  <w:tcW w:w="637" w:type="pct"/>
                </w:tcPr>
                <w:p w:rsidR="00CF6B94" w:rsidRDefault="00CF6B94" w:rsidP="00CF6B94">
                  <w:pPr>
                    <w:pStyle w:val="TableBodyText"/>
                  </w:pPr>
                </w:p>
              </w:tc>
              <w:tc>
                <w:tcPr>
                  <w:tcW w:w="636" w:type="pct"/>
                </w:tcPr>
                <w:p w:rsidR="00CF6B94" w:rsidRDefault="00CF6B94" w:rsidP="00CF6B94">
                  <w:pPr>
                    <w:pStyle w:val="TableBodyText"/>
                    <w:ind w:right="28"/>
                  </w:pPr>
                </w:p>
              </w:tc>
            </w:tr>
            <w:tr w:rsidR="00CF6B94" w:rsidTr="00CF6B94">
              <w:tc>
                <w:tcPr>
                  <w:tcW w:w="1908" w:type="pct"/>
                </w:tcPr>
                <w:p w:rsidR="00CF6B94" w:rsidRDefault="00CF6B94" w:rsidP="00CF6B94">
                  <w:pPr>
                    <w:pStyle w:val="TableBodyText"/>
                    <w:jc w:val="left"/>
                  </w:pPr>
                  <w:r>
                    <w:t>Mean annual income net of taxes and out-of-pocket childcare fees ($)</w:t>
                  </w:r>
                </w:p>
              </w:tc>
              <w:tc>
                <w:tcPr>
                  <w:tcW w:w="545" w:type="pct"/>
                  <w:vAlign w:val="center"/>
                </w:tcPr>
                <w:p w:rsidR="00CF6B94" w:rsidRPr="00815C4F" w:rsidRDefault="00CF6B94" w:rsidP="00CF6B94">
                  <w:pPr>
                    <w:pStyle w:val="TableBodyText"/>
                  </w:pPr>
                  <w:r w:rsidRPr="00815C4F">
                    <w:t>85</w:t>
                  </w:r>
                  <w:r>
                    <w:t> </w:t>
                  </w:r>
                  <w:r w:rsidRPr="00815C4F">
                    <w:t>169</w:t>
                  </w:r>
                </w:p>
              </w:tc>
              <w:tc>
                <w:tcPr>
                  <w:tcW w:w="637" w:type="pct"/>
                  <w:vAlign w:val="center"/>
                </w:tcPr>
                <w:p w:rsidR="00CF6B94" w:rsidRPr="00815C4F" w:rsidRDefault="00CF6B94" w:rsidP="00CF6B94">
                  <w:pPr>
                    <w:pStyle w:val="TableBodyText"/>
                  </w:pPr>
                  <w:r w:rsidRPr="00815C4F">
                    <w:t>75</w:t>
                  </w:r>
                  <w:r>
                    <w:t> </w:t>
                  </w:r>
                  <w:r w:rsidRPr="00815C4F">
                    <w:t>321</w:t>
                  </w:r>
                </w:p>
              </w:tc>
              <w:tc>
                <w:tcPr>
                  <w:tcW w:w="637" w:type="pct"/>
                  <w:vAlign w:val="center"/>
                </w:tcPr>
                <w:p w:rsidR="00CF6B94" w:rsidRPr="00815C4F" w:rsidRDefault="00CF6B94" w:rsidP="00CF6B94">
                  <w:pPr>
                    <w:pStyle w:val="TableBodyText"/>
                  </w:pPr>
                  <w:r w:rsidRPr="00815C4F">
                    <w:t>80</w:t>
                  </w:r>
                  <w:r>
                    <w:t> </w:t>
                  </w:r>
                  <w:r w:rsidRPr="00815C4F">
                    <w:t>613</w:t>
                  </w:r>
                </w:p>
              </w:tc>
              <w:tc>
                <w:tcPr>
                  <w:tcW w:w="637" w:type="pct"/>
                  <w:vAlign w:val="center"/>
                </w:tcPr>
                <w:p w:rsidR="00CF6B94" w:rsidRPr="00815C4F" w:rsidRDefault="00CF6B94" w:rsidP="00CF6B94">
                  <w:pPr>
                    <w:pStyle w:val="TableBodyText"/>
                  </w:pPr>
                  <w:r w:rsidRPr="00815C4F">
                    <w:t>78</w:t>
                  </w:r>
                  <w:r>
                    <w:t> </w:t>
                  </w:r>
                  <w:r w:rsidRPr="00815C4F">
                    <w:t>588</w:t>
                  </w:r>
                </w:p>
              </w:tc>
              <w:tc>
                <w:tcPr>
                  <w:tcW w:w="636" w:type="pct"/>
                  <w:vAlign w:val="center"/>
                </w:tcPr>
                <w:p w:rsidR="00CF6B94" w:rsidRDefault="00CF6B94" w:rsidP="00CF6B94">
                  <w:pPr>
                    <w:jc w:val="right"/>
                    <w:rPr>
                      <w:rFonts w:ascii="Consolas" w:hAnsi="Consolas" w:cs="Consolas"/>
                      <w:color w:val="000000"/>
                      <w:sz w:val="16"/>
                      <w:szCs w:val="16"/>
                    </w:rPr>
                  </w:pPr>
                </w:p>
              </w:tc>
            </w:tr>
            <w:tr w:rsidR="00CF6B94" w:rsidTr="00CF6B94">
              <w:tc>
                <w:tcPr>
                  <w:tcW w:w="1908" w:type="pct"/>
                </w:tcPr>
                <w:p w:rsidR="00CF6B94" w:rsidRDefault="00CF6B94" w:rsidP="00CF6B94">
                  <w:pPr>
                    <w:pStyle w:val="TableBodyText"/>
                    <w:jc w:val="left"/>
                  </w:pPr>
                  <w:r>
                    <w:t>Mean weekly hours worked by the primary carer (hours)</w:t>
                  </w:r>
                </w:p>
              </w:tc>
              <w:tc>
                <w:tcPr>
                  <w:tcW w:w="545" w:type="pct"/>
                  <w:vAlign w:val="center"/>
                </w:tcPr>
                <w:p w:rsidR="00CF6B94" w:rsidRPr="00815C4F" w:rsidRDefault="00CF6B94" w:rsidP="00CF6B94">
                  <w:pPr>
                    <w:pStyle w:val="TableBodyText"/>
                  </w:pPr>
                  <w:r w:rsidRPr="00815C4F">
                    <w:t>2.57</w:t>
                  </w:r>
                </w:p>
              </w:tc>
              <w:tc>
                <w:tcPr>
                  <w:tcW w:w="637" w:type="pct"/>
                  <w:vAlign w:val="center"/>
                </w:tcPr>
                <w:p w:rsidR="00CF6B94" w:rsidRPr="00815C4F" w:rsidRDefault="00CF6B94" w:rsidP="00CF6B94">
                  <w:pPr>
                    <w:pStyle w:val="TableBodyText"/>
                  </w:pPr>
                  <w:r w:rsidRPr="00815C4F">
                    <w:t>3.51</w:t>
                  </w:r>
                </w:p>
              </w:tc>
              <w:tc>
                <w:tcPr>
                  <w:tcW w:w="637" w:type="pct"/>
                  <w:vAlign w:val="center"/>
                </w:tcPr>
                <w:p w:rsidR="00CF6B94" w:rsidRPr="00815C4F" w:rsidRDefault="00CF6B94" w:rsidP="00CF6B94">
                  <w:pPr>
                    <w:pStyle w:val="TableBodyText"/>
                  </w:pPr>
                  <w:r w:rsidRPr="00815C4F">
                    <w:t>19.66</w:t>
                  </w:r>
                </w:p>
              </w:tc>
              <w:tc>
                <w:tcPr>
                  <w:tcW w:w="637" w:type="pct"/>
                  <w:vAlign w:val="center"/>
                </w:tcPr>
                <w:p w:rsidR="00CF6B94" w:rsidRPr="00815C4F" w:rsidRDefault="00CF6B94" w:rsidP="00CF6B94">
                  <w:pPr>
                    <w:pStyle w:val="TableBodyText"/>
                  </w:pPr>
                  <w:r w:rsidRPr="00815C4F">
                    <w:t>23.25</w:t>
                  </w:r>
                </w:p>
              </w:tc>
              <w:tc>
                <w:tcPr>
                  <w:tcW w:w="636" w:type="pct"/>
                  <w:vAlign w:val="center"/>
                </w:tcPr>
                <w:p w:rsidR="00CF6B94" w:rsidRDefault="00CF6B94" w:rsidP="00CF6B94">
                  <w:pPr>
                    <w:jc w:val="right"/>
                    <w:rPr>
                      <w:rFonts w:ascii="Consolas" w:hAnsi="Consolas" w:cs="Consolas"/>
                      <w:color w:val="000000"/>
                      <w:sz w:val="16"/>
                      <w:szCs w:val="16"/>
                    </w:rPr>
                  </w:pPr>
                </w:p>
              </w:tc>
            </w:tr>
            <w:tr w:rsidR="00CF6B94" w:rsidTr="00CF6B94">
              <w:tc>
                <w:tcPr>
                  <w:tcW w:w="1908" w:type="pct"/>
                  <w:shd w:val="clear" w:color="auto" w:fill="auto"/>
                </w:tcPr>
                <w:p w:rsidR="00CF6B94" w:rsidRPr="00995ABF" w:rsidRDefault="00CF6B94" w:rsidP="00CF6B94">
                  <w:pPr>
                    <w:pStyle w:val="TableBodyText"/>
                    <w:spacing w:before="200"/>
                    <w:jc w:val="left"/>
                    <w:rPr>
                      <w:b/>
                    </w:rPr>
                  </w:pPr>
                  <w:r w:rsidRPr="00995ABF">
                    <w:rPr>
                      <w:b/>
                    </w:rPr>
                    <w:t>Millions of hours per week</w:t>
                  </w:r>
                </w:p>
              </w:tc>
              <w:tc>
                <w:tcPr>
                  <w:tcW w:w="545" w:type="pct"/>
                  <w:shd w:val="clear" w:color="auto" w:fill="auto"/>
                </w:tcPr>
                <w:p w:rsidR="00CF6B94" w:rsidRDefault="00CF6B94" w:rsidP="00CF6B94">
                  <w:pPr>
                    <w:pStyle w:val="TableBodyText"/>
                  </w:pPr>
                </w:p>
              </w:tc>
              <w:tc>
                <w:tcPr>
                  <w:tcW w:w="637" w:type="pct"/>
                </w:tcPr>
                <w:p w:rsidR="00CF6B94" w:rsidRDefault="00CF6B94" w:rsidP="00CF6B94">
                  <w:pPr>
                    <w:pStyle w:val="TableBodyText"/>
                    <w:ind w:right="28"/>
                  </w:pPr>
                </w:p>
              </w:tc>
              <w:tc>
                <w:tcPr>
                  <w:tcW w:w="637" w:type="pct"/>
                </w:tcPr>
                <w:p w:rsidR="00CF6B94" w:rsidRDefault="00CF6B94" w:rsidP="00CF6B94">
                  <w:pPr>
                    <w:pStyle w:val="TableBodyText"/>
                    <w:ind w:right="28"/>
                  </w:pPr>
                </w:p>
              </w:tc>
              <w:tc>
                <w:tcPr>
                  <w:tcW w:w="637" w:type="pct"/>
                </w:tcPr>
                <w:p w:rsidR="00CF6B94" w:rsidRDefault="00CF6B94" w:rsidP="00CF6B94">
                  <w:pPr>
                    <w:pStyle w:val="TableBodyText"/>
                    <w:ind w:right="28"/>
                  </w:pPr>
                </w:p>
              </w:tc>
              <w:tc>
                <w:tcPr>
                  <w:tcW w:w="636" w:type="pct"/>
                  <w:shd w:val="clear" w:color="auto" w:fill="auto"/>
                </w:tcPr>
                <w:p w:rsidR="00CF6B94" w:rsidRDefault="00CF6B94" w:rsidP="00CF6B94">
                  <w:pPr>
                    <w:pStyle w:val="TableBodyText"/>
                    <w:ind w:right="28"/>
                  </w:pPr>
                </w:p>
              </w:tc>
            </w:tr>
            <w:tr w:rsidR="00CF6B94" w:rsidTr="00CF6B94">
              <w:tc>
                <w:tcPr>
                  <w:tcW w:w="1908" w:type="pct"/>
                  <w:shd w:val="clear" w:color="auto" w:fill="auto"/>
                </w:tcPr>
                <w:p w:rsidR="00CF6B94" w:rsidRPr="00815C4F" w:rsidRDefault="00CF6B94" w:rsidP="00CF6B94">
                  <w:pPr>
                    <w:pStyle w:val="TableBodyText"/>
                    <w:ind w:left="113"/>
                    <w:jc w:val="left"/>
                  </w:pPr>
                  <w:r>
                    <w:t>Initial d</w:t>
                  </w:r>
                  <w:r w:rsidRPr="00995ABF">
                    <w:t>emand and supply (hours)</w:t>
                  </w:r>
                </w:p>
              </w:tc>
              <w:tc>
                <w:tcPr>
                  <w:tcW w:w="545" w:type="pct"/>
                  <w:shd w:val="clear" w:color="auto" w:fill="auto"/>
                </w:tcPr>
                <w:p w:rsidR="00CF6B94" w:rsidRDefault="00CF6B94" w:rsidP="00CF6B94">
                  <w:pPr>
                    <w:pStyle w:val="TableBodyText"/>
                    <w:ind w:left="113"/>
                  </w:pPr>
                </w:p>
              </w:tc>
              <w:tc>
                <w:tcPr>
                  <w:tcW w:w="637" w:type="pct"/>
                </w:tcPr>
                <w:p w:rsidR="00CF6B94" w:rsidRDefault="00CF6B94" w:rsidP="00CF6B94">
                  <w:pPr>
                    <w:pStyle w:val="TableBodyText"/>
                    <w:ind w:left="113" w:right="28"/>
                  </w:pPr>
                </w:p>
              </w:tc>
              <w:tc>
                <w:tcPr>
                  <w:tcW w:w="637" w:type="pct"/>
                </w:tcPr>
                <w:p w:rsidR="00CF6B94" w:rsidRDefault="00CF6B94" w:rsidP="00CF6B94">
                  <w:pPr>
                    <w:pStyle w:val="TableBodyText"/>
                    <w:ind w:left="113" w:right="28"/>
                  </w:pPr>
                </w:p>
              </w:tc>
              <w:tc>
                <w:tcPr>
                  <w:tcW w:w="637" w:type="pct"/>
                </w:tcPr>
                <w:p w:rsidR="00CF6B94" w:rsidRDefault="00CF6B94" w:rsidP="00CF6B94">
                  <w:pPr>
                    <w:pStyle w:val="TableBodyText"/>
                    <w:ind w:left="113" w:right="28"/>
                  </w:pPr>
                </w:p>
              </w:tc>
              <w:tc>
                <w:tcPr>
                  <w:tcW w:w="636" w:type="pct"/>
                  <w:shd w:val="clear" w:color="auto" w:fill="auto"/>
                </w:tcPr>
                <w:p w:rsidR="00CF6B94" w:rsidRDefault="00CF6B94" w:rsidP="00CF6B94">
                  <w:pPr>
                    <w:pStyle w:val="TableBodyText"/>
                    <w:ind w:left="113" w:right="28"/>
                  </w:pPr>
                </w:p>
              </w:tc>
            </w:tr>
            <w:tr w:rsidR="00CF6B94" w:rsidTr="00CF6B94">
              <w:tc>
                <w:tcPr>
                  <w:tcW w:w="1908" w:type="pct"/>
                  <w:shd w:val="clear" w:color="auto" w:fill="auto"/>
                </w:tcPr>
                <w:p w:rsidR="00CF6B94" w:rsidRPr="009136CE" w:rsidRDefault="00CF6B94" w:rsidP="00CF6B94">
                  <w:pPr>
                    <w:pStyle w:val="TableBodyText"/>
                    <w:ind w:left="227"/>
                    <w:jc w:val="left"/>
                  </w:pPr>
                  <w:r w:rsidRPr="009136CE">
                    <w:t xml:space="preserve">Labour supply </w:t>
                  </w:r>
                </w:p>
              </w:tc>
              <w:tc>
                <w:tcPr>
                  <w:tcW w:w="545" w:type="pct"/>
                  <w:shd w:val="clear" w:color="auto" w:fill="auto"/>
                  <w:vAlign w:val="center"/>
                </w:tcPr>
                <w:p w:rsidR="00CF6B94" w:rsidRPr="00815C4F" w:rsidRDefault="00CF6B94" w:rsidP="00CF6B94">
                  <w:pPr>
                    <w:pStyle w:val="TableBodyText"/>
                  </w:pPr>
                  <w:r w:rsidRPr="00815C4F">
                    <w:t>1.89</w:t>
                  </w:r>
                </w:p>
              </w:tc>
              <w:tc>
                <w:tcPr>
                  <w:tcW w:w="637" w:type="pct"/>
                  <w:vAlign w:val="center"/>
                </w:tcPr>
                <w:p w:rsidR="00CF6B94" w:rsidRPr="00815C4F" w:rsidRDefault="00CF6B94" w:rsidP="00CF6B94">
                  <w:pPr>
                    <w:pStyle w:val="TableBodyText"/>
                  </w:pPr>
                  <w:r w:rsidRPr="00815C4F">
                    <w:t>0.28</w:t>
                  </w:r>
                </w:p>
              </w:tc>
              <w:tc>
                <w:tcPr>
                  <w:tcW w:w="637" w:type="pct"/>
                  <w:vAlign w:val="center"/>
                </w:tcPr>
                <w:p w:rsidR="00CF6B94" w:rsidRPr="00815C4F" w:rsidRDefault="00CF6B94" w:rsidP="00CF6B94">
                  <w:pPr>
                    <w:pStyle w:val="TableBodyText"/>
                  </w:pPr>
                  <w:r w:rsidRPr="00815C4F">
                    <w:t>31.50</w:t>
                  </w:r>
                </w:p>
              </w:tc>
              <w:tc>
                <w:tcPr>
                  <w:tcW w:w="637" w:type="pct"/>
                  <w:vAlign w:val="center"/>
                </w:tcPr>
                <w:p w:rsidR="00CF6B94" w:rsidRPr="00815C4F" w:rsidRDefault="00CF6B94" w:rsidP="00CF6B94">
                  <w:pPr>
                    <w:pStyle w:val="TableBodyText"/>
                  </w:pPr>
                  <w:r w:rsidRPr="00815C4F">
                    <w:t>18.05</w:t>
                  </w:r>
                </w:p>
              </w:tc>
              <w:tc>
                <w:tcPr>
                  <w:tcW w:w="636" w:type="pct"/>
                  <w:shd w:val="clear" w:color="auto" w:fill="auto"/>
                  <w:vAlign w:val="bottom"/>
                </w:tcPr>
                <w:p w:rsidR="00CF6B94" w:rsidRPr="00815C4F" w:rsidRDefault="00CF6B94" w:rsidP="00CF6B94">
                  <w:pPr>
                    <w:pStyle w:val="TableBodyText"/>
                  </w:pPr>
                  <w:r w:rsidRPr="00815C4F">
                    <w:t>51.72</w:t>
                  </w:r>
                </w:p>
              </w:tc>
            </w:tr>
            <w:tr w:rsidR="00CF6B94" w:rsidTr="00CF6B94">
              <w:tc>
                <w:tcPr>
                  <w:tcW w:w="1908" w:type="pct"/>
                  <w:shd w:val="clear" w:color="auto" w:fill="auto"/>
                </w:tcPr>
                <w:p w:rsidR="00CF6B94" w:rsidRPr="009136CE" w:rsidRDefault="00CF6B94" w:rsidP="00CF6B94">
                  <w:pPr>
                    <w:pStyle w:val="TableBodyText"/>
                    <w:ind w:left="227"/>
                    <w:jc w:val="left"/>
                  </w:pPr>
                  <w:r w:rsidRPr="009136CE">
                    <w:t xml:space="preserve">Childcare demand </w:t>
                  </w:r>
                </w:p>
              </w:tc>
              <w:tc>
                <w:tcPr>
                  <w:tcW w:w="545" w:type="pct"/>
                  <w:shd w:val="clear" w:color="auto" w:fill="auto"/>
                  <w:vAlign w:val="center"/>
                </w:tcPr>
                <w:p w:rsidR="00CF6B94" w:rsidRPr="00815C4F" w:rsidRDefault="00CF6B94" w:rsidP="00CF6B94">
                  <w:pPr>
                    <w:pStyle w:val="TableBodyText"/>
                  </w:pPr>
                  <w:r w:rsidRPr="00815C4F">
                    <w:t>0.00</w:t>
                  </w:r>
                </w:p>
              </w:tc>
              <w:tc>
                <w:tcPr>
                  <w:tcW w:w="637" w:type="pct"/>
                  <w:vAlign w:val="center"/>
                </w:tcPr>
                <w:p w:rsidR="00CF6B94" w:rsidRPr="00815C4F" w:rsidRDefault="00CF6B94" w:rsidP="00CF6B94">
                  <w:pPr>
                    <w:pStyle w:val="TableBodyText"/>
                  </w:pPr>
                  <w:r w:rsidRPr="00815C4F">
                    <w:t>1.52</w:t>
                  </w:r>
                </w:p>
              </w:tc>
              <w:tc>
                <w:tcPr>
                  <w:tcW w:w="637" w:type="pct"/>
                  <w:vAlign w:val="center"/>
                </w:tcPr>
                <w:p w:rsidR="00CF6B94" w:rsidRPr="00815C4F" w:rsidRDefault="00CF6B94" w:rsidP="00CF6B94">
                  <w:pPr>
                    <w:pStyle w:val="TableBodyText"/>
                  </w:pPr>
                  <w:r w:rsidRPr="00815C4F">
                    <w:t>0.00</w:t>
                  </w:r>
                </w:p>
              </w:tc>
              <w:tc>
                <w:tcPr>
                  <w:tcW w:w="637" w:type="pct"/>
                  <w:vAlign w:val="center"/>
                </w:tcPr>
                <w:p w:rsidR="00CF6B94" w:rsidRPr="00815C4F" w:rsidRDefault="00CF6B94" w:rsidP="00CF6B94">
                  <w:pPr>
                    <w:pStyle w:val="TableBodyText"/>
                  </w:pPr>
                  <w:r w:rsidRPr="00815C4F">
                    <w:t>19.67</w:t>
                  </w:r>
                </w:p>
              </w:tc>
              <w:tc>
                <w:tcPr>
                  <w:tcW w:w="636" w:type="pct"/>
                  <w:shd w:val="clear" w:color="auto" w:fill="auto"/>
                  <w:vAlign w:val="bottom"/>
                </w:tcPr>
                <w:p w:rsidR="00CF6B94" w:rsidRPr="00815C4F" w:rsidRDefault="00CF6B94" w:rsidP="00CF6B94">
                  <w:pPr>
                    <w:pStyle w:val="TableBodyText"/>
                  </w:pPr>
                  <w:r w:rsidRPr="00815C4F">
                    <w:t>21.19</w:t>
                  </w:r>
                </w:p>
              </w:tc>
            </w:tr>
            <w:tr w:rsidR="00CF6B94" w:rsidTr="00CF6B94">
              <w:tc>
                <w:tcPr>
                  <w:tcW w:w="1908" w:type="pct"/>
                  <w:shd w:val="clear" w:color="auto" w:fill="auto"/>
                </w:tcPr>
                <w:p w:rsidR="00CF6B94" w:rsidRDefault="00CF6B94" w:rsidP="00CF6B94">
                  <w:pPr>
                    <w:pStyle w:val="TableBodyText"/>
                    <w:ind w:left="113"/>
                    <w:jc w:val="left"/>
                  </w:pPr>
                  <w:r w:rsidRPr="00995ABF">
                    <w:t>Demand and supply shifts (hours)</w:t>
                  </w:r>
                </w:p>
              </w:tc>
              <w:tc>
                <w:tcPr>
                  <w:tcW w:w="545" w:type="pct"/>
                  <w:shd w:val="clear" w:color="auto" w:fill="auto"/>
                </w:tcPr>
                <w:p w:rsidR="00CF6B94" w:rsidRDefault="00CF6B94" w:rsidP="00CF6B94">
                  <w:pPr>
                    <w:pStyle w:val="TableBodyText"/>
                  </w:pPr>
                </w:p>
              </w:tc>
              <w:tc>
                <w:tcPr>
                  <w:tcW w:w="637" w:type="pct"/>
                </w:tcPr>
                <w:p w:rsidR="00CF6B94" w:rsidRDefault="00CF6B94" w:rsidP="00CF6B94">
                  <w:pPr>
                    <w:pStyle w:val="TableBodyText"/>
                    <w:ind w:right="28"/>
                  </w:pPr>
                </w:p>
              </w:tc>
              <w:tc>
                <w:tcPr>
                  <w:tcW w:w="637" w:type="pct"/>
                </w:tcPr>
                <w:p w:rsidR="00CF6B94" w:rsidRDefault="00CF6B94" w:rsidP="00CF6B94">
                  <w:pPr>
                    <w:pStyle w:val="TableBodyText"/>
                    <w:ind w:right="28"/>
                  </w:pPr>
                </w:p>
              </w:tc>
              <w:tc>
                <w:tcPr>
                  <w:tcW w:w="637" w:type="pct"/>
                </w:tcPr>
                <w:p w:rsidR="00CF6B94" w:rsidRDefault="00CF6B94" w:rsidP="00CF6B94">
                  <w:pPr>
                    <w:pStyle w:val="TableBodyText"/>
                    <w:ind w:right="28"/>
                  </w:pPr>
                </w:p>
              </w:tc>
              <w:tc>
                <w:tcPr>
                  <w:tcW w:w="636" w:type="pct"/>
                  <w:shd w:val="clear" w:color="auto" w:fill="auto"/>
                </w:tcPr>
                <w:p w:rsidR="00CF6B94" w:rsidRDefault="00CF6B94" w:rsidP="00CF6B94">
                  <w:pPr>
                    <w:pStyle w:val="TableBodyText"/>
                    <w:ind w:right="28"/>
                  </w:pPr>
                </w:p>
              </w:tc>
            </w:tr>
            <w:tr w:rsidR="00CF6B94" w:rsidTr="00CF6B94">
              <w:tc>
                <w:tcPr>
                  <w:tcW w:w="1908" w:type="pct"/>
                  <w:shd w:val="clear" w:color="auto" w:fill="auto"/>
                </w:tcPr>
                <w:p w:rsidR="00CF6B94" w:rsidRPr="009136CE" w:rsidRDefault="00CF6B94" w:rsidP="00CF6B94">
                  <w:pPr>
                    <w:pStyle w:val="TableBodyText"/>
                    <w:ind w:left="227"/>
                    <w:jc w:val="left"/>
                  </w:pPr>
                  <w:r w:rsidRPr="009136CE">
                    <w:t xml:space="preserve">Labour supply </w:t>
                  </w:r>
                </w:p>
              </w:tc>
              <w:tc>
                <w:tcPr>
                  <w:tcW w:w="545" w:type="pct"/>
                  <w:shd w:val="clear" w:color="auto" w:fill="auto"/>
                  <w:vAlign w:val="center"/>
                </w:tcPr>
                <w:p w:rsidR="00CF6B94" w:rsidRPr="00091981" w:rsidRDefault="00CF6B94" w:rsidP="00CF6B94">
                  <w:pPr>
                    <w:pStyle w:val="TableBodyText"/>
                  </w:pPr>
                  <w:r w:rsidRPr="00091981">
                    <w:t>0.21</w:t>
                  </w:r>
                </w:p>
              </w:tc>
              <w:tc>
                <w:tcPr>
                  <w:tcW w:w="637" w:type="pct"/>
                  <w:vAlign w:val="center"/>
                </w:tcPr>
                <w:p w:rsidR="00CF6B94" w:rsidRPr="00091981" w:rsidRDefault="00CF6B94" w:rsidP="00CF6B94">
                  <w:pPr>
                    <w:pStyle w:val="TableBodyText"/>
                  </w:pPr>
                  <w:r w:rsidRPr="00091981">
                    <w:t>0.31</w:t>
                  </w:r>
                </w:p>
              </w:tc>
              <w:tc>
                <w:tcPr>
                  <w:tcW w:w="637" w:type="pct"/>
                  <w:vAlign w:val="center"/>
                </w:tcPr>
                <w:p w:rsidR="00CF6B94" w:rsidRPr="00091981" w:rsidRDefault="00CF6B94" w:rsidP="00CF6B94">
                  <w:pPr>
                    <w:pStyle w:val="TableBodyText"/>
                  </w:pPr>
                  <w:r w:rsidRPr="00091981">
                    <w:t>0.10</w:t>
                  </w:r>
                </w:p>
              </w:tc>
              <w:tc>
                <w:tcPr>
                  <w:tcW w:w="637" w:type="pct"/>
                  <w:vAlign w:val="center"/>
                </w:tcPr>
                <w:p w:rsidR="00CF6B94" w:rsidRPr="00091981" w:rsidRDefault="00CF6B94" w:rsidP="00CF6B94">
                  <w:pPr>
                    <w:pStyle w:val="TableBodyText"/>
                  </w:pPr>
                  <w:r w:rsidRPr="00091981">
                    <w:t>0.00</w:t>
                  </w:r>
                </w:p>
              </w:tc>
              <w:tc>
                <w:tcPr>
                  <w:tcW w:w="636" w:type="pct"/>
                  <w:shd w:val="clear" w:color="auto" w:fill="auto"/>
                  <w:vAlign w:val="center"/>
                </w:tcPr>
                <w:p w:rsidR="00CF6B94" w:rsidRPr="00091981" w:rsidRDefault="00CF6B94" w:rsidP="00CF6B94">
                  <w:pPr>
                    <w:pStyle w:val="TableBodyText"/>
                  </w:pPr>
                  <w:r w:rsidRPr="00091981">
                    <w:t>0.62</w:t>
                  </w:r>
                </w:p>
              </w:tc>
            </w:tr>
            <w:tr w:rsidR="00CF6B94" w:rsidTr="00CF6B94">
              <w:tc>
                <w:tcPr>
                  <w:tcW w:w="1908" w:type="pct"/>
                  <w:shd w:val="clear" w:color="auto" w:fill="auto"/>
                </w:tcPr>
                <w:p w:rsidR="00CF6B94" w:rsidRPr="009136CE" w:rsidRDefault="00CF6B94" w:rsidP="00CF6B94">
                  <w:pPr>
                    <w:pStyle w:val="TableBodyText"/>
                    <w:ind w:left="227"/>
                    <w:jc w:val="left"/>
                  </w:pPr>
                  <w:r w:rsidRPr="009136CE">
                    <w:t xml:space="preserve">Childcare demand </w:t>
                  </w:r>
                </w:p>
              </w:tc>
              <w:tc>
                <w:tcPr>
                  <w:tcW w:w="545" w:type="pct"/>
                  <w:shd w:val="clear" w:color="auto" w:fill="auto"/>
                  <w:vAlign w:val="center"/>
                </w:tcPr>
                <w:p w:rsidR="00CF6B94" w:rsidRPr="00091981" w:rsidRDefault="00CF6B94" w:rsidP="00CF6B94">
                  <w:pPr>
                    <w:pStyle w:val="TableBodyText"/>
                  </w:pPr>
                  <w:r w:rsidRPr="00091981">
                    <w:t>0.33</w:t>
                  </w:r>
                </w:p>
              </w:tc>
              <w:tc>
                <w:tcPr>
                  <w:tcW w:w="637" w:type="pct"/>
                  <w:vAlign w:val="center"/>
                </w:tcPr>
                <w:p w:rsidR="00CF6B94" w:rsidRPr="00091981" w:rsidRDefault="00CF6B94" w:rsidP="00CF6B94">
                  <w:pPr>
                    <w:pStyle w:val="TableBodyText"/>
                  </w:pPr>
                  <w:r w:rsidRPr="00091981">
                    <w:t>-0.11</w:t>
                  </w:r>
                </w:p>
              </w:tc>
              <w:tc>
                <w:tcPr>
                  <w:tcW w:w="637" w:type="pct"/>
                  <w:vAlign w:val="center"/>
                </w:tcPr>
                <w:p w:rsidR="00CF6B94" w:rsidRPr="00091981" w:rsidRDefault="00CF6B94" w:rsidP="00CF6B94">
                  <w:pPr>
                    <w:pStyle w:val="TableBodyText"/>
                  </w:pPr>
                  <w:r w:rsidRPr="00091981">
                    <w:t>0.71</w:t>
                  </w:r>
                </w:p>
              </w:tc>
              <w:tc>
                <w:tcPr>
                  <w:tcW w:w="637" w:type="pct"/>
                  <w:vAlign w:val="center"/>
                </w:tcPr>
                <w:p w:rsidR="00CF6B94" w:rsidRPr="00091981" w:rsidRDefault="00CF6B94" w:rsidP="00CF6B94">
                  <w:pPr>
                    <w:pStyle w:val="TableBodyText"/>
                  </w:pPr>
                  <w:r w:rsidRPr="00091981">
                    <w:t>-0.27</w:t>
                  </w:r>
                </w:p>
              </w:tc>
              <w:tc>
                <w:tcPr>
                  <w:tcW w:w="636" w:type="pct"/>
                  <w:shd w:val="clear" w:color="auto" w:fill="auto"/>
                  <w:vAlign w:val="center"/>
                </w:tcPr>
                <w:p w:rsidR="00CF6B94" w:rsidRPr="00091981" w:rsidRDefault="00CF6B94" w:rsidP="00CF6B94">
                  <w:pPr>
                    <w:pStyle w:val="TableBodyText"/>
                  </w:pPr>
                  <w:r w:rsidRPr="00091981">
                    <w:t>0.67</w:t>
                  </w:r>
                </w:p>
              </w:tc>
            </w:tr>
            <w:tr w:rsidR="00CF6B94" w:rsidTr="00CF6B94">
              <w:tc>
                <w:tcPr>
                  <w:tcW w:w="1908" w:type="pct"/>
                  <w:shd w:val="clear" w:color="auto" w:fill="auto"/>
                </w:tcPr>
                <w:p w:rsidR="00CF6B94" w:rsidRPr="00995ABF" w:rsidRDefault="00CF6B94" w:rsidP="00CF6B94">
                  <w:pPr>
                    <w:pStyle w:val="TableBodyText"/>
                    <w:spacing w:before="200"/>
                    <w:jc w:val="left"/>
                    <w:rPr>
                      <w:b/>
                    </w:rPr>
                  </w:pPr>
                  <w:r w:rsidRPr="00995ABF">
                    <w:rPr>
                      <w:b/>
                    </w:rPr>
                    <w:t>Billions of dollars per year (2013-14)</w:t>
                  </w:r>
                </w:p>
              </w:tc>
              <w:tc>
                <w:tcPr>
                  <w:tcW w:w="545" w:type="pct"/>
                  <w:shd w:val="clear" w:color="auto" w:fill="auto"/>
                </w:tcPr>
                <w:p w:rsidR="00CF6B94" w:rsidRDefault="00CF6B94" w:rsidP="00CF6B94">
                  <w:pPr>
                    <w:pStyle w:val="TableBodyText"/>
                  </w:pPr>
                </w:p>
              </w:tc>
              <w:tc>
                <w:tcPr>
                  <w:tcW w:w="637" w:type="pct"/>
                </w:tcPr>
                <w:p w:rsidR="00CF6B94" w:rsidRDefault="00CF6B94" w:rsidP="00CF6B94">
                  <w:pPr>
                    <w:pStyle w:val="TableBodyText"/>
                    <w:ind w:right="28"/>
                  </w:pPr>
                </w:p>
              </w:tc>
              <w:tc>
                <w:tcPr>
                  <w:tcW w:w="637" w:type="pct"/>
                </w:tcPr>
                <w:p w:rsidR="00CF6B94" w:rsidRDefault="00CF6B94" w:rsidP="00CF6B94">
                  <w:pPr>
                    <w:pStyle w:val="TableBodyText"/>
                    <w:ind w:right="28"/>
                  </w:pPr>
                </w:p>
              </w:tc>
              <w:tc>
                <w:tcPr>
                  <w:tcW w:w="637" w:type="pct"/>
                </w:tcPr>
                <w:p w:rsidR="00CF6B94" w:rsidRDefault="00CF6B94" w:rsidP="00CF6B94">
                  <w:pPr>
                    <w:pStyle w:val="TableBodyText"/>
                    <w:ind w:right="28"/>
                  </w:pPr>
                </w:p>
              </w:tc>
              <w:tc>
                <w:tcPr>
                  <w:tcW w:w="636" w:type="pct"/>
                  <w:shd w:val="clear" w:color="auto" w:fill="auto"/>
                </w:tcPr>
                <w:p w:rsidR="00CF6B94" w:rsidRDefault="00CF6B94" w:rsidP="00CF6B94">
                  <w:pPr>
                    <w:pStyle w:val="TableBodyText"/>
                    <w:ind w:right="28"/>
                  </w:pPr>
                </w:p>
              </w:tc>
            </w:tr>
            <w:tr w:rsidR="00CF6B94" w:rsidTr="00CF6B94">
              <w:tc>
                <w:tcPr>
                  <w:tcW w:w="1908" w:type="pct"/>
                  <w:shd w:val="clear" w:color="auto" w:fill="auto"/>
                </w:tcPr>
                <w:p w:rsidR="00CF6B94" w:rsidRDefault="00CF6B94" w:rsidP="00CF6B94">
                  <w:pPr>
                    <w:pStyle w:val="TableBodyText"/>
                    <w:ind w:left="113"/>
                    <w:jc w:val="left"/>
                  </w:pPr>
                  <w:r>
                    <w:t>Contributions to fiscal position</w:t>
                  </w:r>
                  <w:r w:rsidRPr="005B0F03">
                    <w:rPr>
                      <w:rStyle w:val="NoteLabel"/>
                    </w:rPr>
                    <w:t>a</w:t>
                  </w:r>
                </w:p>
              </w:tc>
              <w:tc>
                <w:tcPr>
                  <w:tcW w:w="545" w:type="pct"/>
                  <w:shd w:val="clear" w:color="auto" w:fill="auto"/>
                </w:tcPr>
                <w:p w:rsidR="00CF6B94" w:rsidRDefault="00CF6B94" w:rsidP="00CF6B94">
                  <w:pPr>
                    <w:pStyle w:val="TableBodyText"/>
                  </w:pPr>
                </w:p>
              </w:tc>
              <w:tc>
                <w:tcPr>
                  <w:tcW w:w="637" w:type="pct"/>
                </w:tcPr>
                <w:p w:rsidR="00CF6B94" w:rsidRDefault="00CF6B94" w:rsidP="00CF6B94">
                  <w:pPr>
                    <w:pStyle w:val="TableBodyText"/>
                    <w:ind w:right="28"/>
                  </w:pPr>
                </w:p>
              </w:tc>
              <w:tc>
                <w:tcPr>
                  <w:tcW w:w="637" w:type="pct"/>
                </w:tcPr>
                <w:p w:rsidR="00CF6B94" w:rsidRDefault="00CF6B94" w:rsidP="00CF6B94">
                  <w:pPr>
                    <w:pStyle w:val="TableBodyText"/>
                    <w:ind w:right="28"/>
                  </w:pPr>
                </w:p>
              </w:tc>
              <w:tc>
                <w:tcPr>
                  <w:tcW w:w="637" w:type="pct"/>
                </w:tcPr>
                <w:p w:rsidR="00CF6B94" w:rsidRDefault="00CF6B94" w:rsidP="00CF6B94">
                  <w:pPr>
                    <w:pStyle w:val="TableBodyText"/>
                    <w:ind w:right="28"/>
                  </w:pPr>
                </w:p>
              </w:tc>
              <w:tc>
                <w:tcPr>
                  <w:tcW w:w="636" w:type="pct"/>
                  <w:shd w:val="clear" w:color="auto" w:fill="auto"/>
                </w:tcPr>
                <w:p w:rsidR="00CF6B94" w:rsidRDefault="00CF6B94" w:rsidP="00CF6B94">
                  <w:pPr>
                    <w:pStyle w:val="TableBodyText"/>
                    <w:ind w:right="28"/>
                  </w:pPr>
                </w:p>
              </w:tc>
            </w:tr>
            <w:tr w:rsidR="00CF6B94" w:rsidTr="00CF6B94">
              <w:tc>
                <w:tcPr>
                  <w:tcW w:w="1908" w:type="pct"/>
                  <w:shd w:val="clear" w:color="auto" w:fill="auto"/>
                </w:tcPr>
                <w:p w:rsidR="00CF6B94" w:rsidRPr="00181CA2" w:rsidRDefault="00CF6B94" w:rsidP="00CF6B94">
                  <w:pPr>
                    <w:pStyle w:val="TableBodyText"/>
                    <w:ind w:left="227"/>
                    <w:jc w:val="left"/>
                  </w:pPr>
                  <w:r w:rsidRPr="00181CA2">
                    <w:t xml:space="preserve">Childcare subsidy expense </w:t>
                  </w:r>
                </w:p>
              </w:tc>
              <w:tc>
                <w:tcPr>
                  <w:tcW w:w="545" w:type="pct"/>
                  <w:shd w:val="clear" w:color="auto" w:fill="auto"/>
                  <w:vAlign w:val="center"/>
                </w:tcPr>
                <w:p w:rsidR="00CF6B94" w:rsidRPr="00091981" w:rsidRDefault="00CF6B94" w:rsidP="00CF6B94">
                  <w:pPr>
                    <w:pStyle w:val="TableBodyText"/>
                  </w:pPr>
                  <w:r w:rsidRPr="00091981">
                    <w:t>0.10</w:t>
                  </w:r>
                </w:p>
              </w:tc>
              <w:tc>
                <w:tcPr>
                  <w:tcW w:w="637" w:type="pct"/>
                  <w:vAlign w:val="center"/>
                </w:tcPr>
                <w:p w:rsidR="00CF6B94" w:rsidRPr="00091981" w:rsidRDefault="00CF6B94" w:rsidP="00CF6B94">
                  <w:pPr>
                    <w:pStyle w:val="TableBodyText"/>
                  </w:pPr>
                  <w:r w:rsidRPr="00091981">
                    <w:t>-0.17</w:t>
                  </w:r>
                </w:p>
              </w:tc>
              <w:tc>
                <w:tcPr>
                  <w:tcW w:w="637" w:type="pct"/>
                  <w:vAlign w:val="center"/>
                </w:tcPr>
                <w:p w:rsidR="00CF6B94" w:rsidRPr="00091981" w:rsidRDefault="00CF6B94" w:rsidP="00CF6B94">
                  <w:pPr>
                    <w:pStyle w:val="TableBodyText"/>
                  </w:pPr>
                  <w:r w:rsidRPr="00091981">
                    <w:t>0.20</w:t>
                  </w:r>
                </w:p>
              </w:tc>
              <w:tc>
                <w:tcPr>
                  <w:tcW w:w="637" w:type="pct"/>
                  <w:vAlign w:val="center"/>
                </w:tcPr>
                <w:p w:rsidR="00CF6B94" w:rsidRPr="00091981" w:rsidRDefault="00CF6B94" w:rsidP="00CF6B94">
                  <w:pPr>
                    <w:pStyle w:val="TableBodyText"/>
                  </w:pPr>
                  <w:r w:rsidRPr="00091981">
                    <w:t>0.14</w:t>
                  </w:r>
                </w:p>
              </w:tc>
              <w:tc>
                <w:tcPr>
                  <w:tcW w:w="636" w:type="pct"/>
                  <w:shd w:val="clear" w:color="auto" w:fill="auto"/>
                  <w:vAlign w:val="center"/>
                </w:tcPr>
                <w:p w:rsidR="00CF6B94" w:rsidRPr="00091981" w:rsidRDefault="00CF6B94" w:rsidP="00CF6B94">
                  <w:pPr>
                    <w:pStyle w:val="TableBodyText"/>
                  </w:pPr>
                  <w:r w:rsidRPr="00091981">
                    <w:t>0.27</w:t>
                  </w:r>
                </w:p>
              </w:tc>
            </w:tr>
            <w:tr w:rsidR="00CF6B94" w:rsidTr="00CF6B94">
              <w:tc>
                <w:tcPr>
                  <w:tcW w:w="1908" w:type="pct"/>
                  <w:shd w:val="clear" w:color="auto" w:fill="auto"/>
                </w:tcPr>
                <w:p w:rsidR="00CF6B94" w:rsidRPr="00181CA2" w:rsidRDefault="00CF6B94" w:rsidP="00CF6B94">
                  <w:pPr>
                    <w:pStyle w:val="TableBodyText"/>
                    <w:ind w:left="227"/>
                    <w:jc w:val="left"/>
                  </w:pPr>
                  <w:r w:rsidRPr="00181CA2">
                    <w:t>Transfer expenses</w:t>
                  </w:r>
                </w:p>
              </w:tc>
              <w:tc>
                <w:tcPr>
                  <w:tcW w:w="545" w:type="pct"/>
                  <w:shd w:val="clear" w:color="auto" w:fill="auto"/>
                  <w:vAlign w:val="center"/>
                </w:tcPr>
                <w:p w:rsidR="00CF6B94" w:rsidRPr="00091981" w:rsidRDefault="00CF6B94" w:rsidP="00CF6B94">
                  <w:pPr>
                    <w:pStyle w:val="TableBodyText"/>
                  </w:pPr>
                  <w:r w:rsidRPr="00091981">
                    <w:t>-0.04</w:t>
                  </w:r>
                </w:p>
              </w:tc>
              <w:tc>
                <w:tcPr>
                  <w:tcW w:w="637" w:type="pct"/>
                  <w:vAlign w:val="center"/>
                </w:tcPr>
                <w:p w:rsidR="00CF6B94" w:rsidRPr="00091981" w:rsidRDefault="00CF6B94" w:rsidP="00CF6B94">
                  <w:pPr>
                    <w:pStyle w:val="TableBodyText"/>
                  </w:pPr>
                  <w:r w:rsidRPr="00091981">
                    <w:t>-0.07</w:t>
                  </w:r>
                </w:p>
              </w:tc>
              <w:tc>
                <w:tcPr>
                  <w:tcW w:w="637" w:type="pct"/>
                  <w:vAlign w:val="center"/>
                </w:tcPr>
                <w:p w:rsidR="00CF6B94" w:rsidRPr="00091981" w:rsidRDefault="00CF6B94" w:rsidP="00CF6B94">
                  <w:pPr>
                    <w:pStyle w:val="TableBodyText"/>
                  </w:pPr>
                  <w:r w:rsidRPr="00091981">
                    <w:t>-0.02</w:t>
                  </w:r>
                </w:p>
              </w:tc>
              <w:tc>
                <w:tcPr>
                  <w:tcW w:w="637" w:type="pct"/>
                  <w:vAlign w:val="center"/>
                </w:tcPr>
                <w:p w:rsidR="00CF6B94" w:rsidRPr="00091981" w:rsidRDefault="00CF6B94" w:rsidP="00CF6B94">
                  <w:pPr>
                    <w:pStyle w:val="TableBodyText"/>
                  </w:pPr>
                  <w:r w:rsidRPr="00091981">
                    <w:t>-0.01</w:t>
                  </w:r>
                </w:p>
              </w:tc>
              <w:tc>
                <w:tcPr>
                  <w:tcW w:w="636" w:type="pct"/>
                  <w:shd w:val="clear" w:color="auto" w:fill="auto"/>
                  <w:vAlign w:val="center"/>
                </w:tcPr>
                <w:p w:rsidR="00CF6B94" w:rsidRPr="00091981" w:rsidRDefault="00CF6B94" w:rsidP="00CF6B94">
                  <w:pPr>
                    <w:pStyle w:val="TableBodyText"/>
                  </w:pPr>
                  <w:r w:rsidRPr="00091981">
                    <w:t>-0.14</w:t>
                  </w:r>
                </w:p>
              </w:tc>
            </w:tr>
            <w:tr w:rsidR="00CF6B94" w:rsidTr="00CF6B94">
              <w:tc>
                <w:tcPr>
                  <w:tcW w:w="1908" w:type="pct"/>
                  <w:shd w:val="clear" w:color="auto" w:fill="auto"/>
                </w:tcPr>
                <w:p w:rsidR="00CF6B94" w:rsidRPr="00181CA2" w:rsidRDefault="00CF6B94" w:rsidP="00CF6B94">
                  <w:pPr>
                    <w:pStyle w:val="TableBodyText"/>
                    <w:ind w:left="227"/>
                    <w:jc w:val="left"/>
                  </w:pPr>
                  <w:r w:rsidRPr="00181CA2">
                    <w:t>Income tax receipts</w:t>
                  </w:r>
                </w:p>
              </w:tc>
              <w:tc>
                <w:tcPr>
                  <w:tcW w:w="545" w:type="pct"/>
                  <w:shd w:val="clear" w:color="auto" w:fill="auto"/>
                  <w:vAlign w:val="center"/>
                </w:tcPr>
                <w:p w:rsidR="00CF6B94" w:rsidRPr="00091981" w:rsidRDefault="00CF6B94" w:rsidP="00CF6B94">
                  <w:pPr>
                    <w:pStyle w:val="TableBodyText"/>
                  </w:pPr>
                  <w:r w:rsidRPr="00091981">
                    <w:t>0.01</w:t>
                  </w:r>
                </w:p>
              </w:tc>
              <w:tc>
                <w:tcPr>
                  <w:tcW w:w="637" w:type="pct"/>
                  <w:vAlign w:val="center"/>
                </w:tcPr>
                <w:p w:rsidR="00CF6B94" w:rsidRPr="00091981" w:rsidRDefault="00CF6B94" w:rsidP="00CF6B94">
                  <w:pPr>
                    <w:pStyle w:val="TableBodyText"/>
                  </w:pPr>
                  <w:r w:rsidRPr="00091981">
                    <w:t>0.04</w:t>
                  </w:r>
                </w:p>
              </w:tc>
              <w:tc>
                <w:tcPr>
                  <w:tcW w:w="637" w:type="pct"/>
                  <w:vAlign w:val="center"/>
                </w:tcPr>
                <w:p w:rsidR="00CF6B94" w:rsidRPr="00091981" w:rsidRDefault="00CF6B94" w:rsidP="00CF6B94">
                  <w:pPr>
                    <w:pStyle w:val="TableBodyText"/>
                  </w:pPr>
                  <w:r w:rsidRPr="00091981">
                    <w:t>0.00</w:t>
                  </w:r>
                </w:p>
              </w:tc>
              <w:tc>
                <w:tcPr>
                  <w:tcW w:w="637" w:type="pct"/>
                  <w:vAlign w:val="center"/>
                </w:tcPr>
                <w:p w:rsidR="00CF6B94" w:rsidRPr="00091981" w:rsidRDefault="00CF6B94" w:rsidP="00CF6B94">
                  <w:pPr>
                    <w:pStyle w:val="TableBodyText"/>
                  </w:pPr>
                  <w:r w:rsidRPr="00091981">
                    <w:t>0.01</w:t>
                  </w:r>
                </w:p>
              </w:tc>
              <w:tc>
                <w:tcPr>
                  <w:tcW w:w="636" w:type="pct"/>
                  <w:shd w:val="clear" w:color="auto" w:fill="auto"/>
                  <w:vAlign w:val="center"/>
                </w:tcPr>
                <w:p w:rsidR="00CF6B94" w:rsidRPr="00091981" w:rsidRDefault="00CF6B94" w:rsidP="00CF6B94">
                  <w:pPr>
                    <w:pStyle w:val="TableBodyText"/>
                  </w:pPr>
                  <w:r w:rsidRPr="00091981">
                    <w:t>0.06</w:t>
                  </w:r>
                </w:p>
              </w:tc>
            </w:tr>
            <w:tr w:rsidR="00CF6B94" w:rsidTr="00CF6B94">
              <w:tc>
                <w:tcPr>
                  <w:tcW w:w="1908" w:type="pct"/>
                  <w:shd w:val="clear" w:color="auto" w:fill="auto"/>
                </w:tcPr>
                <w:p w:rsidR="00CF6B94" w:rsidRPr="00181CA2" w:rsidRDefault="00CF6B94" w:rsidP="00CF6B94">
                  <w:pPr>
                    <w:pStyle w:val="TableBodyText"/>
                    <w:ind w:left="113"/>
                    <w:jc w:val="left"/>
                  </w:pPr>
                  <w:r>
                    <w:t>C</w:t>
                  </w:r>
                  <w:r w:rsidRPr="00181CA2">
                    <w:t>hange in fiscal position</w:t>
                  </w:r>
                  <w:r w:rsidRPr="005B0F03">
                    <w:rPr>
                      <w:rStyle w:val="NoteLabel"/>
                    </w:rPr>
                    <w:t>b</w:t>
                  </w:r>
                </w:p>
              </w:tc>
              <w:tc>
                <w:tcPr>
                  <w:tcW w:w="545" w:type="pct"/>
                  <w:shd w:val="clear" w:color="auto" w:fill="auto"/>
                  <w:vAlign w:val="center"/>
                </w:tcPr>
                <w:p w:rsidR="00CF6B94" w:rsidRPr="00091981" w:rsidRDefault="00CF6B94" w:rsidP="00CF6B94">
                  <w:pPr>
                    <w:pStyle w:val="TableBodyText"/>
                  </w:pPr>
                  <w:r w:rsidRPr="00091981">
                    <w:t>-0.05</w:t>
                  </w:r>
                </w:p>
              </w:tc>
              <w:tc>
                <w:tcPr>
                  <w:tcW w:w="637" w:type="pct"/>
                  <w:vAlign w:val="center"/>
                </w:tcPr>
                <w:p w:rsidR="00CF6B94" w:rsidRPr="00091981" w:rsidRDefault="00CF6B94" w:rsidP="00CF6B94">
                  <w:pPr>
                    <w:pStyle w:val="TableBodyText"/>
                  </w:pPr>
                  <w:r w:rsidRPr="00091981">
                    <w:t>0.29</w:t>
                  </w:r>
                </w:p>
              </w:tc>
              <w:tc>
                <w:tcPr>
                  <w:tcW w:w="637" w:type="pct"/>
                  <w:vAlign w:val="center"/>
                </w:tcPr>
                <w:p w:rsidR="00CF6B94" w:rsidRPr="00091981" w:rsidRDefault="00CF6B94" w:rsidP="00CF6B94">
                  <w:pPr>
                    <w:pStyle w:val="TableBodyText"/>
                  </w:pPr>
                  <w:r w:rsidRPr="00091981">
                    <w:t>-0.18</w:t>
                  </w:r>
                </w:p>
              </w:tc>
              <w:tc>
                <w:tcPr>
                  <w:tcW w:w="637" w:type="pct"/>
                  <w:vAlign w:val="center"/>
                </w:tcPr>
                <w:p w:rsidR="00CF6B94" w:rsidRPr="00091981" w:rsidRDefault="00CF6B94" w:rsidP="00CF6B94">
                  <w:pPr>
                    <w:pStyle w:val="TableBodyText"/>
                  </w:pPr>
                  <w:r w:rsidRPr="00091981">
                    <w:t>-0.13</w:t>
                  </w:r>
                </w:p>
              </w:tc>
              <w:tc>
                <w:tcPr>
                  <w:tcW w:w="636" w:type="pct"/>
                  <w:shd w:val="clear" w:color="auto" w:fill="auto"/>
                  <w:vAlign w:val="center"/>
                </w:tcPr>
                <w:p w:rsidR="00CF6B94" w:rsidRPr="00091981" w:rsidRDefault="00CF6B94" w:rsidP="00CF6B94">
                  <w:pPr>
                    <w:pStyle w:val="TableBodyText"/>
                  </w:pPr>
                  <w:r w:rsidRPr="00091981">
                    <w:t>-0.07</w:t>
                  </w:r>
                </w:p>
              </w:tc>
            </w:tr>
            <w:tr w:rsidR="00CF6B94" w:rsidTr="00CF6B94">
              <w:tc>
                <w:tcPr>
                  <w:tcW w:w="1908" w:type="pct"/>
                  <w:tcBorders>
                    <w:bottom w:val="single" w:sz="6" w:space="0" w:color="C8C8C8"/>
                  </w:tcBorders>
                  <w:shd w:val="clear" w:color="auto" w:fill="auto"/>
                </w:tcPr>
                <w:p w:rsidR="00CF6B94" w:rsidRDefault="00CF6B94" w:rsidP="00CF6B94">
                  <w:pPr>
                    <w:pStyle w:val="TableBodyText"/>
                    <w:spacing w:before="200"/>
                    <w:jc w:val="left"/>
                  </w:pPr>
                  <w:r>
                    <w:t>Change in full</w:t>
                  </w:r>
                  <w:r>
                    <w:noBreakHyphen/>
                    <w:t>time equivalent labour supply (persons ‘000s)</w:t>
                  </w:r>
                </w:p>
              </w:tc>
              <w:tc>
                <w:tcPr>
                  <w:tcW w:w="545" w:type="pct"/>
                  <w:tcBorders>
                    <w:bottom w:val="single" w:sz="6" w:space="0" w:color="C8C8C8"/>
                  </w:tcBorders>
                  <w:shd w:val="clear" w:color="auto" w:fill="auto"/>
                  <w:vAlign w:val="center"/>
                </w:tcPr>
                <w:p w:rsidR="00CF6B94" w:rsidRPr="00091981" w:rsidRDefault="00CF6B94" w:rsidP="00CF6B94">
                  <w:pPr>
                    <w:pStyle w:val="TableBodyText"/>
                  </w:pPr>
                  <w:r w:rsidRPr="00091981">
                    <w:t>5.36</w:t>
                  </w:r>
                </w:p>
              </w:tc>
              <w:tc>
                <w:tcPr>
                  <w:tcW w:w="637" w:type="pct"/>
                  <w:tcBorders>
                    <w:bottom w:val="single" w:sz="6" w:space="0" w:color="C8C8C8"/>
                  </w:tcBorders>
                  <w:vAlign w:val="center"/>
                </w:tcPr>
                <w:p w:rsidR="00CF6B94" w:rsidRPr="00091981" w:rsidRDefault="00CF6B94" w:rsidP="00CF6B94">
                  <w:pPr>
                    <w:pStyle w:val="TableBodyText"/>
                  </w:pPr>
                  <w:r w:rsidRPr="00091981">
                    <w:t>7.69</w:t>
                  </w:r>
                </w:p>
              </w:tc>
              <w:tc>
                <w:tcPr>
                  <w:tcW w:w="637" w:type="pct"/>
                  <w:tcBorders>
                    <w:bottom w:val="single" w:sz="6" w:space="0" w:color="C8C8C8"/>
                  </w:tcBorders>
                  <w:vAlign w:val="center"/>
                </w:tcPr>
                <w:p w:rsidR="00CF6B94" w:rsidRPr="00091981" w:rsidRDefault="00CF6B94" w:rsidP="00CF6B94">
                  <w:pPr>
                    <w:pStyle w:val="TableBodyText"/>
                  </w:pPr>
                  <w:r w:rsidRPr="00091981">
                    <w:t>2.60</w:t>
                  </w:r>
                </w:p>
              </w:tc>
              <w:tc>
                <w:tcPr>
                  <w:tcW w:w="637" w:type="pct"/>
                  <w:tcBorders>
                    <w:bottom w:val="single" w:sz="6" w:space="0" w:color="C8C8C8"/>
                  </w:tcBorders>
                  <w:vAlign w:val="center"/>
                </w:tcPr>
                <w:p w:rsidR="00CF6B94" w:rsidRPr="00091981" w:rsidRDefault="00CF6B94" w:rsidP="00CF6B94">
                  <w:pPr>
                    <w:pStyle w:val="TableBodyText"/>
                  </w:pPr>
                  <w:r w:rsidRPr="00091981">
                    <w:t>-0.03</w:t>
                  </w:r>
                </w:p>
              </w:tc>
              <w:tc>
                <w:tcPr>
                  <w:tcW w:w="636" w:type="pct"/>
                  <w:tcBorders>
                    <w:bottom w:val="single" w:sz="6" w:space="0" w:color="C8C8C8"/>
                  </w:tcBorders>
                  <w:shd w:val="clear" w:color="auto" w:fill="auto"/>
                  <w:vAlign w:val="center"/>
                </w:tcPr>
                <w:p w:rsidR="00CF6B94" w:rsidRPr="00091981" w:rsidRDefault="00CF6B94" w:rsidP="00CF6B94">
                  <w:pPr>
                    <w:pStyle w:val="TableBodyText"/>
                  </w:pPr>
                  <w:r w:rsidRPr="00091981">
                    <w:t>15.61</w:t>
                  </w:r>
                </w:p>
              </w:tc>
            </w:tr>
          </w:tbl>
          <w:p w:rsidR="00CF6B94" w:rsidRDefault="00CF6B94" w:rsidP="00CF6B94">
            <w:pPr>
              <w:pStyle w:val="Box"/>
            </w:pP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Note"/>
              <w:rPr>
                <w:i/>
              </w:rPr>
            </w:pPr>
            <w:proofErr w:type="gramStart"/>
            <w:r>
              <w:rPr>
                <w:rStyle w:val="NoteLabel"/>
              </w:rPr>
              <w:t>a</w:t>
            </w:r>
            <w:proofErr w:type="gramEnd"/>
            <w:r>
              <w:t xml:space="preserve"> Holding wages and childcare fees constant.</w:t>
            </w:r>
            <w:r>
              <w:rPr>
                <w:rStyle w:val="NoteLabel"/>
              </w:rPr>
              <w:t xml:space="preserve"> </w:t>
            </w:r>
            <w:proofErr w:type="gramStart"/>
            <w:r>
              <w:rPr>
                <w:rStyle w:val="NoteLabel"/>
              </w:rPr>
              <w:t>b</w:t>
            </w:r>
            <w:proofErr w:type="gramEnd"/>
            <w:r>
              <w:t xml:space="preserve"> May not add up due to rounding.</w:t>
            </w: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Source"/>
            </w:pPr>
            <w:r>
              <w:rPr>
                <w:i/>
              </w:rPr>
              <w:t>Source</w:t>
            </w:r>
            <w:r w:rsidRPr="00167F06">
              <w:t xml:space="preserve">: </w:t>
            </w:r>
            <w:r>
              <w:t>PCMC model estimates.</w:t>
            </w:r>
          </w:p>
        </w:tc>
      </w:tr>
      <w:tr w:rsidR="00CF6B94" w:rsidTr="00CF6B94">
        <w:trPr>
          <w:cantSplit/>
        </w:trPr>
        <w:tc>
          <w:tcPr>
            <w:tcW w:w="8771" w:type="dxa"/>
            <w:tcBorders>
              <w:top w:val="nil"/>
              <w:left w:val="nil"/>
              <w:bottom w:val="single" w:sz="6" w:space="0" w:color="78A22F" w:themeColor="accent1"/>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themeColor="accent1"/>
              <w:left w:val="nil"/>
              <w:bottom w:val="nil"/>
              <w:right w:val="nil"/>
            </w:tcBorders>
          </w:tcPr>
          <w:p w:rsidR="00CF6B94" w:rsidRPr="00626D32" w:rsidRDefault="00CF6B94" w:rsidP="00CF6B94">
            <w:pPr>
              <w:pStyle w:val="BoxSpaceBelow"/>
            </w:pPr>
          </w:p>
        </w:tc>
      </w:tr>
    </w:tbl>
    <w:p w:rsidR="00CF6B94" w:rsidRDefault="00CF6B94" w:rsidP="00CF6B94">
      <w:pPr>
        <w:pStyle w:val="BodyText"/>
      </w:pPr>
      <w:r>
        <w:t>Table 3 shows that the majority of the aggregate labour supply increase comes from people who initially supply low levels of labour and would initially fail the new activity test (groups A and B, increasing labour supply by 0.21 and 0.31 million hours per week respectively), and that the majority of the fiscal savings comes from people who are affected by the new activity test and initially use childcare (group B, with a net fiscal position improvement of $0.29 billion per year).</w:t>
      </w:r>
    </w:p>
    <w:p w:rsidR="00CF6B94" w:rsidRDefault="00CF6B94" w:rsidP="00CF6B94">
      <w:pPr>
        <w:pStyle w:val="BodyText"/>
      </w:pPr>
      <w:proofErr w:type="gramStart"/>
      <w:r>
        <w:t>People with no initial childcare demand benefit from the subsidy rate increases and changes to the activity test (groups A and C, receiving additional ECEC subsidies of 0.10 billion and 0.20 billion per year).</w:t>
      </w:r>
      <w:proofErr w:type="gramEnd"/>
      <w:r>
        <w:t xml:space="preserve"> This is reflected in their large increase in childcare </w:t>
      </w:r>
      <w:r>
        <w:lastRenderedPageBreak/>
        <w:t>demand (0.33 and 0.71 million hours per week respectively). While there are reductions in other transfer payments ($0.04 and $0.02 billion per year for group A and B respectively), net government transfers to both groups increase (by $0.05 and 0.18 billion per year respectively).</w:t>
      </w:r>
    </w:p>
    <w:p w:rsidR="00CF6B94" w:rsidRDefault="00CF6B94" w:rsidP="00CF6B94">
      <w:pPr>
        <w:pStyle w:val="BodyText"/>
      </w:pPr>
      <w:r>
        <w:t>Group B reduce their aggregate childcare demand under the recommended arrangements. As discussed above, the new activity test makes people in this group either (</w:t>
      </w:r>
      <w:proofErr w:type="spellStart"/>
      <w:r>
        <w:t>i</w:t>
      </w:r>
      <w:proofErr w:type="spellEnd"/>
      <w:r>
        <w:t>) start working/work more to satisfy the activity test or (ii) reduce their childcare demand. Both choices improve the government’s fiscal position, by respectively (</w:t>
      </w:r>
      <w:proofErr w:type="spellStart"/>
      <w:r>
        <w:t>i</w:t>
      </w:r>
      <w:proofErr w:type="spellEnd"/>
      <w:r>
        <w:t>) reducing transfer payments ($0.07 billion per year) and increasing income tax revenue slightly ($0.04 billion per year) or (ii) decreasing childcare subsidy payments ($0.17 billion per year).</w:t>
      </w:r>
    </w:p>
    <w:p w:rsidR="00CF6B94" w:rsidRDefault="00CF6B94" w:rsidP="00CF6B94">
      <w:pPr>
        <w:pStyle w:val="BodyText"/>
      </w:pPr>
      <w:r>
        <w:t xml:space="preserve">Groups C and D contribute to increasing fiscal costs ($0.18 and $0.13 billion per year respectively). The drivers of these expenses are different for the two groups. </w:t>
      </w:r>
    </w:p>
    <w:p w:rsidR="00CF6B94" w:rsidRDefault="00CF6B94" w:rsidP="00CF6B94">
      <w:pPr>
        <w:pStyle w:val="ListBullet"/>
        <w:spacing w:line="320" w:lineRule="atLeast"/>
      </w:pPr>
      <w:r>
        <w:t>Group C — who increase their labour supply (0.10 million hours per week) by a small proportion compared to their childcare demand increase (0.71 million hours per week) — substitute towards formal care and away from informal care due to the relative decrease in the out-of-pocket prices they face. Since this is not driving a large labour supply response, the government ECEC expense is not materially offset by any increases in income tax revenue collections or transfer payments savings.</w:t>
      </w:r>
    </w:p>
    <w:p w:rsidR="00CF6B94" w:rsidRDefault="00CF6B94" w:rsidP="00CF6B94">
      <w:pPr>
        <w:pStyle w:val="ListBullet"/>
        <w:spacing w:line="320" w:lineRule="atLeast"/>
      </w:pPr>
      <w:r>
        <w:t>Group D have two compositional effects. First, high income households reduce their demand for childcare (see next section). Second, households that already use childcare and receive more favourable subsidy rates under the new arrangements receive higher subsidies on their base-level demand for childcare. Neither group changes their labour supply in any material way as a result of the policy change.</w:t>
      </w:r>
    </w:p>
    <w:p w:rsidR="00CF6B94" w:rsidRDefault="00CF6B94" w:rsidP="00CF6B94">
      <w:pPr>
        <w:pStyle w:val="ListBullet"/>
      </w:pPr>
      <w:r>
        <w:t>In general, the results indicate that a large share of additional labour supply comes from people with no or low initial labour supply (groups A and B), while a large share of the fiscal costs comes from households with pre-existing labour supply (groups C and D).</w:t>
      </w:r>
    </w:p>
    <w:p w:rsidR="00CF6B94" w:rsidRDefault="00CF6B94" w:rsidP="00CF6B94">
      <w:pPr>
        <w:pStyle w:val="Heading4"/>
      </w:pPr>
      <w:r>
        <w:t>Impacts by income groups</w:t>
      </w:r>
    </w:p>
    <w:p w:rsidR="00CF6B94" w:rsidRDefault="00CF6B94" w:rsidP="00CF6B94">
      <w:pPr>
        <w:pStyle w:val="BodyText"/>
      </w:pPr>
      <w:r>
        <w:t xml:space="preserve">The impact of ECLS can be disaggregated based on the income ranges of </w:t>
      </w:r>
      <w:proofErr w:type="gramStart"/>
      <w:r>
        <w:t>households</w:t>
      </w:r>
      <w:proofErr w:type="gramEnd"/>
      <w:r>
        <w:t xml:space="preserve"> pre</w:t>
      </w:r>
      <w:r>
        <w:noBreakHyphen/>
        <w:t>policy (table 4).</w:t>
      </w:r>
    </w:p>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themeColor="accent1"/>
              <w:left w:val="nil"/>
              <w:bottom w:val="nil"/>
              <w:right w:val="nil"/>
            </w:tcBorders>
            <w:shd w:val="clear" w:color="auto" w:fill="auto"/>
          </w:tcPr>
          <w:p w:rsidR="00CF6B94" w:rsidRPr="00784A05" w:rsidRDefault="00CF6B94" w:rsidP="00CF6B94">
            <w:pPr>
              <w:pStyle w:val="TableTitle"/>
            </w:pPr>
            <w:r>
              <w:rPr>
                <w:b w:val="0"/>
              </w:rPr>
              <w:t xml:space="preserve">Table </w:t>
            </w:r>
            <w:r>
              <w:rPr>
                <w:b w:val="0"/>
                <w:noProof/>
              </w:rPr>
              <w:t>4</w:t>
            </w:r>
            <w:r>
              <w:tab/>
            </w:r>
            <w:r w:rsidRPr="00B954E4">
              <w:t xml:space="preserve">Illustrative impacts on labour supply, childcare demand, and childcare subsidy cost by </w:t>
            </w:r>
            <w:r>
              <w:t xml:space="preserve">gross </w:t>
            </w:r>
            <w:r w:rsidRPr="00B954E4">
              <w:t>household income</w:t>
            </w:r>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822"/>
              <w:gridCol w:w="1132"/>
              <w:gridCol w:w="1669"/>
              <w:gridCol w:w="1288"/>
              <w:gridCol w:w="1288"/>
              <w:gridCol w:w="1288"/>
            </w:tblGrid>
            <w:tr w:rsidR="00CF6B94" w:rsidTr="00E15700">
              <w:tc>
                <w:tcPr>
                  <w:tcW w:w="1073"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Pr="007E0D23" w:rsidRDefault="00CF6B94" w:rsidP="00E15700">
                  <w:pPr>
                    <w:pStyle w:val="TableColumnHeading"/>
                    <w:jc w:val="left"/>
                  </w:pPr>
                  <w:r w:rsidRPr="007E0D23">
                    <w:t xml:space="preserve">Household </w:t>
                  </w:r>
                  <w:r w:rsidR="00E15700">
                    <w:br/>
                  </w:r>
                  <w:r w:rsidRPr="007E0D23">
                    <w:t>income range</w:t>
                  </w:r>
                </w:p>
              </w:tc>
              <w:tc>
                <w:tcPr>
                  <w:tcW w:w="667"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Pr="007E0D23" w:rsidRDefault="00CF6B94" w:rsidP="00E15700">
                  <w:pPr>
                    <w:pStyle w:val="TableColumnHeading"/>
                  </w:pPr>
                  <w:r w:rsidRPr="007E0D23">
                    <w:t xml:space="preserve">Share of households </w:t>
                  </w:r>
                  <w:r w:rsidR="00E15700">
                    <w:br/>
                    <w:t>(</w:t>
                  </w:r>
                  <w:r w:rsidR="00E15700" w:rsidRPr="007E0D23">
                    <w:t>%</w:t>
                  </w:r>
                  <w:r w:rsidR="00E15700">
                    <w:t>)</w:t>
                  </w:r>
                </w:p>
              </w:tc>
              <w:tc>
                <w:tcPr>
                  <w:tcW w:w="983" w:type="pct"/>
                  <w:tcBorders>
                    <w:top w:val="single" w:sz="6" w:space="0" w:color="BFBFBF" w:themeColor="background2"/>
                    <w:bottom w:val="single" w:sz="6" w:space="0" w:color="BFBFBF" w:themeColor="background2"/>
                  </w:tcBorders>
                  <w:vAlign w:val="bottom"/>
                </w:tcPr>
                <w:p w:rsidR="00CF6B94" w:rsidRPr="007E0D23" w:rsidRDefault="00CF6B94" w:rsidP="00E15700">
                  <w:pPr>
                    <w:pStyle w:val="TableColumnHeading"/>
                  </w:pPr>
                  <w:r w:rsidRPr="007E0D23">
                    <w:t xml:space="preserve">Change </w:t>
                  </w:r>
                  <w:r w:rsidR="00E15700">
                    <w:t xml:space="preserve">in </w:t>
                  </w:r>
                  <w:r w:rsidR="00E15700">
                    <w:br/>
                    <w:t xml:space="preserve">full time </w:t>
                  </w:r>
                  <w:r w:rsidR="00E15700">
                    <w:br/>
                    <w:t>equivalent workers</w:t>
                  </w:r>
                  <w:r>
                    <w:rPr>
                      <w:rStyle w:val="NoteLabel"/>
                    </w:rPr>
                    <w:t>a</w:t>
                  </w:r>
                  <w:r w:rsidR="00E15700">
                    <w:rPr>
                      <w:rStyle w:val="NoteLabel"/>
                    </w:rPr>
                    <w:br/>
                  </w:r>
                  <w:r w:rsidR="00E15700">
                    <w:t>(‘000s)</w:t>
                  </w:r>
                </w:p>
              </w:tc>
              <w:tc>
                <w:tcPr>
                  <w:tcW w:w="759" w:type="pct"/>
                  <w:tcBorders>
                    <w:top w:val="single" w:sz="6" w:space="0" w:color="BFBFBF" w:themeColor="background2"/>
                    <w:bottom w:val="single" w:sz="6" w:space="0" w:color="BFBFBF" w:themeColor="background2"/>
                  </w:tcBorders>
                  <w:vAlign w:val="bottom"/>
                </w:tcPr>
                <w:p w:rsidR="00CF6B94" w:rsidRDefault="00CF6B94" w:rsidP="00E15700">
                  <w:pPr>
                    <w:pStyle w:val="TableColumnHeading"/>
                  </w:pPr>
                  <w:r>
                    <w:t xml:space="preserve">Change </w:t>
                  </w:r>
                  <w:r w:rsidR="00E15700">
                    <w:br/>
                  </w:r>
                  <w:r>
                    <w:t xml:space="preserve">in labour </w:t>
                  </w:r>
                  <w:r w:rsidR="00E15700">
                    <w:br/>
                    <w:t xml:space="preserve">supply </w:t>
                  </w:r>
                  <w:r w:rsidR="00E15700">
                    <w:br/>
                    <w:t>(millions of hours per week)</w:t>
                  </w:r>
                </w:p>
              </w:tc>
              <w:tc>
                <w:tcPr>
                  <w:tcW w:w="759" w:type="pct"/>
                  <w:tcBorders>
                    <w:top w:val="single" w:sz="6" w:space="0" w:color="BFBFBF" w:themeColor="background2"/>
                    <w:bottom w:val="single" w:sz="6" w:space="0" w:color="BFBFBF" w:themeColor="background2"/>
                  </w:tcBorders>
                  <w:vAlign w:val="bottom"/>
                </w:tcPr>
                <w:p w:rsidR="00CF6B94" w:rsidRDefault="00E15700" w:rsidP="00E15700">
                  <w:pPr>
                    <w:pStyle w:val="TableColumnHeading"/>
                  </w:pPr>
                  <w:r>
                    <w:t>Change in childcare demand</w:t>
                  </w:r>
                  <w:r>
                    <w:br/>
                    <w:t xml:space="preserve"> (millions of hours per week)</w:t>
                  </w:r>
                </w:p>
              </w:tc>
              <w:tc>
                <w:tcPr>
                  <w:tcW w:w="759"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E15700">
                  <w:pPr>
                    <w:pStyle w:val="TableColumnHeading"/>
                  </w:pPr>
                  <w:r>
                    <w:t>Change in total childcare subsidy</w:t>
                  </w:r>
                  <w:proofErr w:type="spellStart"/>
                  <w:r w:rsidR="00E15700">
                    <w:rPr>
                      <w:rStyle w:val="NoteLabel"/>
                    </w:rPr>
                    <w:t>b,c</w:t>
                  </w:r>
                  <w:proofErr w:type="spellEnd"/>
                  <w:r w:rsidR="00E15700">
                    <w:rPr>
                      <w:rStyle w:val="NoteLabel"/>
                    </w:rPr>
                    <w:br/>
                  </w:r>
                  <w:r w:rsidR="00E15700">
                    <w:t xml:space="preserve">($m per </w:t>
                  </w:r>
                  <w:r w:rsidR="00E15700">
                    <w:br/>
                    <w:t>week)</w:t>
                  </w:r>
                  <w:r>
                    <w:rPr>
                      <w:rStyle w:val="NoteLabel"/>
                    </w:rPr>
                    <w:t xml:space="preserve"> </w:t>
                  </w:r>
                  <w:r>
                    <w:t xml:space="preserve"> </w:t>
                  </w:r>
                </w:p>
              </w:tc>
            </w:tr>
            <w:tr w:rsidR="00CF6B94" w:rsidRPr="00E66A24" w:rsidTr="00E66A24">
              <w:tc>
                <w:tcPr>
                  <w:tcW w:w="1073" w:type="pct"/>
                </w:tcPr>
                <w:p w:rsidR="00CF6B94" w:rsidRPr="00E66A24" w:rsidRDefault="00CF6B94" w:rsidP="00E66A24">
                  <w:pPr>
                    <w:pStyle w:val="TableBodyText"/>
                    <w:spacing w:before="120"/>
                    <w:jc w:val="left"/>
                  </w:pPr>
                  <w:r w:rsidRPr="00E66A24">
                    <w:t>Under 40 000</w:t>
                  </w:r>
                </w:p>
              </w:tc>
              <w:tc>
                <w:tcPr>
                  <w:tcW w:w="667" w:type="pct"/>
                  <w:vAlign w:val="center"/>
                </w:tcPr>
                <w:p w:rsidR="00CF6B94" w:rsidRPr="00E66A24" w:rsidRDefault="00CF6B94" w:rsidP="00E66A24">
                  <w:pPr>
                    <w:pStyle w:val="TableBodyText"/>
                    <w:spacing w:before="120"/>
                  </w:pPr>
                  <w:r w:rsidRPr="00E66A24">
                    <w:t>21.99</w:t>
                  </w:r>
                </w:p>
              </w:tc>
              <w:tc>
                <w:tcPr>
                  <w:tcW w:w="983" w:type="pct"/>
                  <w:vAlign w:val="center"/>
                </w:tcPr>
                <w:p w:rsidR="00CF6B94" w:rsidRPr="00E66A24" w:rsidRDefault="00CF6B94" w:rsidP="00E66A24">
                  <w:pPr>
                    <w:pStyle w:val="TableBodyText"/>
                    <w:spacing w:before="120"/>
                  </w:pPr>
                  <w:r w:rsidRPr="00E66A24">
                    <w:t>3.22</w:t>
                  </w:r>
                </w:p>
              </w:tc>
              <w:tc>
                <w:tcPr>
                  <w:tcW w:w="759" w:type="pct"/>
                  <w:vAlign w:val="center"/>
                </w:tcPr>
                <w:p w:rsidR="00CF6B94" w:rsidRPr="00E66A24" w:rsidRDefault="00CF6B94" w:rsidP="00E66A24">
                  <w:pPr>
                    <w:pStyle w:val="TableBodyText"/>
                    <w:spacing w:before="120"/>
                  </w:pPr>
                  <w:r w:rsidRPr="00E66A24">
                    <w:t>0.13</w:t>
                  </w:r>
                </w:p>
              </w:tc>
              <w:tc>
                <w:tcPr>
                  <w:tcW w:w="759" w:type="pct"/>
                  <w:vAlign w:val="center"/>
                </w:tcPr>
                <w:p w:rsidR="00CF6B94" w:rsidRPr="00E66A24" w:rsidRDefault="00CF6B94" w:rsidP="00E66A24">
                  <w:pPr>
                    <w:pStyle w:val="TableBodyText"/>
                    <w:spacing w:before="120"/>
                  </w:pPr>
                  <w:r w:rsidRPr="00E66A24">
                    <w:t>0.12</w:t>
                  </w:r>
                </w:p>
              </w:tc>
              <w:tc>
                <w:tcPr>
                  <w:tcW w:w="759" w:type="pct"/>
                  <w:vAlign w:val="center"/>
                </w:tcPr>
                <w:p w:rsidR="00CF6B94" w:rsidRPr="00E66A24" w:rsidRDefault="00CF6B94" w:rsidP="00E66A24">
                  <w:pPr>
                    <w:pStyle w:val="TableBodyText"/>
                    <w:spacing w:before="120"/>
                  </w:pPr>
                  <w:r w:rsidRPr="00E66A24">
                    <w:t>1.94</w:t>
                  </w:r>
                </w:p>
              </w:tc>
            </w:tr>
            <w:tr w:rsidR="00CF6B94" w:rsidTr="00CF6B94">
              <w:tc>
                <w:tcPr>
                  <w:tcW w:w="1073" w:type="pct"/>
                </w:tcPr>
                <w:p w:rsidR="00CF6B94" w:rsidRPr="00E522C1" w:rsidRDefault="00CF6B94" w:rsidP="00CF6B94">
                  <w:pPr>
                    <w:pStyle w:val="TableBodyText"/>
                    <w:jc w:val="left"/>
                  </w:pPr>
                  <w:r w:rsidRPr="00E522C1">
                    <w:t>40</w:t>
                  </w:r>
                  <w:r>
                    <w:t> </w:t>
                  </w:r>
                  <w:r w:rsidRPr="00E522C1">
                    <w:t>000 to 60</w:t>
                  </w:r>
                  <w:r>
                    <w:t> </w:t>
                  </w:r>
                  <w:r w:rsidRPr="00E522C1">
                    <w:t>000</w:t>
                  </w:r>
                </w:p>
              </w:tc>
              <w:tc>
                <w:tcPr>
                  <w:tcW w:w="667" w:type="pct"/>
                  <w:vAlign w:val="center"/>
                </w:tcPr>
                <w:p w:rsidR="00CF6B94" w:rsidRPr="00914D90" w:rsidRDefault="00CF6B94" w:rsidP="00CF6B94">
                  <w:pPr>
                    <w:pStyle w:val="TableBodyText"/>
                  </w:pPr>
                  <w:r w:rsidRPr="00914D90">
                    <w:t>14.73</w:t>
                  </w:r>
                </w:p>
              </w:tc>
              <w:tc>
                <w:tcPr>
                  <w:tcW w:w="983" w:type="pct"/>
                  <w:vAlign w:val="center"/>
                </w:tcPr>
                <w:p w:rsidR="00CF6B94" w:rsidRPr="00914D90" w:rsidRDefault="00CF6B94" w:rsidP="00CF6B94">
                  <w:pPr>
                    <w:pStyle w:val="TableBodyText"/>
                  </w:pPr>
                  <w:r w:rsidRPr="00914D90">
                    <w:t>3.86</w:t>
                  </w:r>
                </w:p>
              </w:tc>
              <w:tc>
                <w:tcPr>
                  <w:tcW w:w="759" w:type="pct"/>
                  <w:vAlign w:val="center"/>
                </w:tcPr>
                <w:p w:rsidR="00CF6B94" w:rsidRPr="00914D90" w:rsidRDefault="00CF6B94" w:rsidP="00CF6B94">
                  <w:pPr>
                    <w:pStyle w:val="TableBodyText"/>
                  </w:pPr>
                  <w:r w:rsidRPr="00914D90">
                    <w:t>0.15</w:t>
                  </w:r>
                </w:p>
              </w:tc>
              <w:tc>
                <w:tcPr>
                  <w:tcW w:w="759" w:type="pct"/>
                  <w:vAlign w:val="center"/>
                </w:tcPr>
                <w:p w:rsidR="00CF6B94" w:rsidRPr="00914D90" w:rsidRDefault="00CF6B94" w:rsidP="00CF6B94">
                  <w:pPr>
                    <w:pStyle w:val="TableBodyText"/>
                  </w:pPr>
                  <w:r w:rsidRPr="00914D90">
                    <w:t>0.05</w:t>
                  </w:r>
                </w:p>
              </w:tc>
              <w:tc>
                <w:tcPr>
                  <w:tcW w:w="759" w:type="pct"/>
                  <w:vAlign w:val="center"/>
                </w:tcPr>
                <w:p w:rsidR="00CF6B94" w:rsidRPr="00914D90" w:rsidRDefault="00CF6B94" w:rsidP="00CF6B94">
                  <w:pPr>
                    <w:pStyle w:val="TableBodyText"/>
                  </w:pPr>
                  <w:r w:rsidRPr="00914D90">
                    <w:t>-0.30</w:t>
                  </w:r>
                </w:p>
              </w:tc>
            </w:tr>
            <w:tr w:rsidR="00CF6B94" w:rsidTr="00CF6B94">
              <w:tc>
                <w:tcPr>
                  <w:tcW w:w="1073" w:type="pct"/>
                  <w:shd w:val="clear" w:color="auto" w:fill="auto"/>
                </w:tcPr>
                <w:p w:rsidR="00CF6B94" w:rsidRPr="00E522C1" w:rsidRDefault="00CF6B94" w:rsidP="00CF6B94">
                  <w:pPr>
                    <w:pStyle w:val="TableBodyText"/>
                    <w:jc w:val="left"/>
                  </w:pPr>
                  <w:r w:rsidRPr="00E522C1">
                    <w:t>60</w:t>
                  </w:r>
                  <w:r>
                    <w:t> </w:t>
                  </w:r>
                  <w:r w:rsidRPr="00E522C1">
                    <w:t>000 to 80</w:t>
                  </w:r>
                  <w:r>
                    <w:t> </w:t>
                  </w:r>
                  <w:r w:rsidRPr="00E522C1">
                    <w:t>000</w:t>
                  </w:r>
                </w:p>
              </w:tc>
              <w:tc>
                <w:tcPr>
                  <w:tcW w:w="667" w:type="pct"/>
                  <w:shd w:val="clear" w:color="auto" w:fill="auto"/>
                  <w:vAlign w:val="center"/>
                </w:tcPr>
                <w:p w:rsidR="00CF6B94" w:rsidRPr="00914D90" w:rsidRDefault="00CF6B94" w:rsidP="00CF6B94">
                  <w:pPr>
                    <w:pStyle w:val="TableBodyText"/>
                  </w:pPr>
                  <w:r w:rsidRPr="00914D90">
                    <w:t>11.33</w:t>
                  </w:r>
                </w:p>
              </w:tc>
              <w:tc>
                <w:tcPr>
                  <w:tcW w:w="983" w:type="pct"/>
                  <w:vAlign w:val="center"/>
                </w:tcPr>
                <w:p w:rsidR="00CF6B94" w:rsidRPr="00914D90" w:rsidRDefault="00CF6B94" w:rsidP="00CF6B94">
                  <w:pPr>
                    <w:pStyle w:val="TableBodyText"/>
                  </w:pPr>
                  <w:r w:rsidRPr="00914D90">
                    <w:t>5.61</w:t>
                  </w:r>
                </w:p>
              </w:tc>
              <w:tc>
                <w:tcPr>
                  <w:tcW w:w="759" w:type="pct"/>
                  <w:vAlign w:val="center"/>
                </w:tcPr>
                <w:p w:rsidR="00CF6B94" w:rsidRPr="00914D90" w:rsidRDefault="00CF6B94" w:rsidP="00CF6B94">
                  <w:pPr>
                    <w:pStyle w:val="TableBodyText"/>
                  </w:pPr>
                  <w:r w:rsidRPr="00914D90">
                    <w:t>0.22</w:t>
                  </w:r>
                </w:p>
              </w:tc>
              <w:tc>
                <w:tcPr>
                  <w:tcW w:w="759" w:type="pct"/>
                  <w:vAlign w:val="center"/>
                </w:tcPr>
                <w:p w:rsidR="00CF6B94" w:rsidRPr="00914D90" w:rsidRDefault="00CF6B94" w:rsidP="00CF6B94">
                  <w:pPr>
                    <w:pStyle w:val="TableBodyText"/>
                  </w:pPr>
                  <w:r w:rsidRPr="00914D90">
                    <w:t>0.18</w:t>
                  </w:r>
                </w:p>
              </w:tc>
              <w:tc>
                <w:tcPr>
                  <w:tcW w:w="759" w:type="pct"/>
                  <w:shd w:val="clear" w:color="auto" w:fill="auto"/>
                  <w:vAlign w:val="center"/>
                </w:tcPr>
                <w:p w:rsidR="00CF6B94" w:rsidRPr="00914D90" w:rsidRDefault="00CF6B94" w:rsidP="00CF6B94">
                  <w:pPr>
                    <w:pStyle w:val="TableBodyText"/>
                  </w:pPr>
                  <w:r w:rsidRPr="00914D90">
                    <w:t>1.18</w:t>
                  </w:r>
                </w:p>
              </w:tc>
            </w:tr>
            <w:tr w:rsidR="00CF6B94" w:rsidTr="00CF6B94">
              <w:tc>
                <w:tcPr>
                  <w:tcW w:w="1073" w:type="pct"/>
                  <w:shd w:val="clear" w:color="auto" w:fill="auto"/>
                </w:tcPr>
                <w:p w:rsidR="00CF6B94" w:rsidRPr="00E522C1" w:rsidRDefault="00CF6B94" w:rsidP="00CF6B94">
                  <w:pPr>
                    <w:pStyle w:val="TableBodyText"/>
                    <w:jc w:val="left"/>
                  </w:pPr>
                  <w:r w:rsidRPr="00E522C1">
                    <w:t>80</w:t>
                  </w:r>
                  <w:r>
                    <w:t> </w:t>
                  </w:r>
                  <w:r w:rsidRPr="00E522C1">
                    <w:t>000 to 100</w:t>
                  </w:r>
                  <w:r>
                    <w:t> </w:t>
                  </w:r>
                  <w:r w:rsidRPr="00E522C1">
                    <w:t>000</w:t>
                  </w:r>
                </w:p>
              </w:tc>
              <w:tc>
                <w:tcPr>
                  <w:tcW w:w="667" w:type="pct"/>
                  <w:shd w:val="clear" w:color="auto" w:fill="auto"/>
                  <w:vAlign w:val="center"/>
                </w:tcPr>
                <w:p w:rsidR="00CF6B94" w:rsidRPr="00914D90" w:rsidRDefault="00CF6B94" w:rsidP="00CF6B94">
                  <w:pPr>
                    <w:pStyle w:val="TableBodyText"/>
                  </w:pPr>
                  <w:r w:rsidRPr="00914D90">
                    <w:t>12.24</w:t>
                  </w:r>
                </w:p>
              </w:tc>
              <w:tc>
                <w:tcPr>
                  <w:tcW w:w="983" w:type="pct"/>
                  <w:vAlign w:val="center"/>
                </w:tcPr>
                <w:p w:rsidR="00CF6B94" w:rsidRPr="00914D90" w:rsidRDefault="00CF6B94" w:rsidP="00CF6B94">
                  <w:pPr>
                    <w:pStyle w:val="TableBodyText"/>
                  </w:pPr>
                  <w:r w:rsidRPr="00914D90">
                    <w:t>3.74</w:t>
                  </w:r>
                </w:p>
              </w:tc>
              <w:tc>
                <w:tcPr>
                  <w:tcW w:w="759" w:type="pct"/>
                  <w:vAlign w:val="center"/>
                </w:tcPr>
                <w:p w:rsidR="00CF6B94" w:rsidRPr="00914D90" w:rsidRDefault="00CF6B94" w:rsidP="00CF6B94">
                  <w:pPr>
                    <w:pStyle w:val="TableBodyText"/>
                  </w:pPr>
                  <w:r w:rsidRPr="00914D90">
                    <w:t>0.15</w:t>
                  </w:r>
                </w:p>
              </w:tc>
              <w:tc>
                <w:tcPr>
                  <w:tcW w:w="759" w:type="pct"/>
                  <w:vAlign w:val="center"/>
                </w:tcPr>
                <w:p w:rsidR="00CF6B94" w:rsidRPr="00914D90" w:rsidRDefault="00CF6B94" w:rsidP="00CF6B94">
                  <w:pPr>
                    <w:pStyle w:val="TableBodyText"/>
                  </w:pPr>
                  <w:r w:rsidRPr="00914D90">
                    <w:t>0.14</w:t>
                  </w:r>
                </w:p>
              </w:tc>
              <w:tc>
                <w:tcPr>
                  <w:tcW w:w="759" w:type="pct"/>
                  <w:shd w:val="clear" w:color="auto" w:fill="auto"/>
                  <w:vAlign w:val="center"/>
                </w:tcPr>
                <w:p w:rsidR="00CF6B94" w:rsidRPr="00914D90" w:rsidRDefault="00CF6B94" w:rsidP="00CF6B94">
                  <w:pPr>
                    <w:pStyle w:val="TableBodyText"/>
                  </w:pPr>
                  <w:r w:rsidRPr="00914D90">
                    <w:t>0.84</w:t>
                  </w:r>
                </w:p>
              </w:tc>
            </w:tr>
            <w:tr w:rsidR="00CF6B94" w:rsidTr="00CF6B94">
              <w:tc>
                <w:tcPr>
                  <w:tcW w:w="1073" w:type="pct"/>
                  <w:shd w:val="clear" w:color="auto" w:fill="auto"/>
                </w:tcPr>
                <w:p w:rsidR="00CF6B94" w:rsidRPr="00E522C1" w:rsidRDefault="00CF6B94" w:rsidP="00CF6B94">
                  <w:pPr>
                    <w:pStyle w:val="TableBodyText"/>
                    <w:jc w:val="left"/>
                  </w:pPr>
                  <w:r w:rsidRPr="00E522C1">
                    <w:t>100</w:t>
                  </w:r>
                  <w:r>
                    <w:t> </w:t>
                  </w:r>
                  <w:r w:rsidRPr="00E522C1">
                    <w:t>000 to 130</w:t>
                  </w:r>
                  <w:r>
                    <w:t> </w:t>
                  </w:r>
                  <w:r w:rsidRPr="00E522C1">
                    <w:t>000</w:t>
                  </w:r>
                </w:p>
              </w:tc>
              <w:tc>
                <w:tcPr>
                  <w:tcW w:w="667" w:type="pct"/>
                  <w:shd w:val="clear" w:color="auto" w:fill="auto"/>
                  <w:vAlign w:val="center"/>
                </w:tcPr>
                <w:p w:rsidR="00CF6B94" w:rsidRPr="00914D90" w:rsidRDefault="00CF6B94" w:rsidP="00CF6B94">
                  <w:pPr>
                    <w:pStyle w:val="TableBodyText"/>
                  </w:pPr>
                  <w:r w:rsidRPr="00914D90">
                    <w:t>15.10</w:t>
                  </w:r>
                </w:p>
              </w:tc>
              <w:tc>
                <w:tcPr>
                  <w:tcW w:w="983" w:type="pct"/>
                  <w:vAlign w:val="center"/>
                </w:tcPr>
                <w:p w:rsidR="00CF6B94" w:rsidRPr="00914D90" w:rsidRDefault="00CF6B94" w:rsidP="00CF6B94">
                  <w:pPr>
                    <w:pStyle w:val="TableBodyText"/>
                  </w:pPr>
                  <w:r w:rsidRPr="00914D90">
                    <w:t>0.82</w:t>
                  </w:r>
                </w:p>
              </w:tc>
              <w:tc>
                <w:tcPr>
                  <w:tcW w:w="759" w:type="pct"/>
                  <w:vAlign w:val="center"/>
                </w:tcPr>
                <w:p w:rsidR="00CF6B94" w:rsidRPr="00914D90" w:rsidRDefault="00CF6B94" w:rsidP="00CF6B94">
                  <w:pPr>
                    <w:pStyle w:val="TableBodyText"/>
                  </w:pPr>
                  <w:r w:rsidRPr="00914D90">
                    <w:t>0.03</w:t>
                  </w:r>
                </w:p>
              </w:tc>
              <w:tc>
                <w:tcPr>
                  <w:tcW w:w="759" w:type="pct"/>
                  <w:vAlign w:val="center"/>
                </w:tcPr>
                <w:p w:rsidR="00CF6B94" w:rsidRPr="00914D90" w:rsidRDefault="00CF6B94" w:rsidP="00CF6B94">
                  <w:pPr>
                    <w:pStyle w:val="TableBodyText"/>
                  </w:pPr>
                  <w:r w:rsidRPr="00914D90">
                    <w:t>0.19</w:t>
                  </w:r>
                </w:p>
              </w:tc>
              <w:tc>
                <w:tcPr>
                  <w:tcW w:w="759" w:type="pct"/>
                  <w:shd w:val="clear" w:color="auto" w:fill="auto"/>
                  <w:vAlign w:val="center"/>
                </w:tcPr>
                <w:p w:rsidR="00CF6B94" w:rsidRPr="00914D90" w:rsidRDefault="00CF6B94" w:rsidP="00CF6B94">
                  <w:pPr>
                    <w:pStyle w:val="TableBodyText"/>
                  </w:pPr>
                  <w:r w:rsidRPr="00914D90">
                    <w:t>4.69</w:t>
                  </w:r>
                </w:p>
              </w:tc>
            </w:tr>
            <w:tr w:rsidR="00CF6B94" w:rsidTr="00CF6B94">
              <w:tc>
                <w:tcPr>
                  <w:tcW w:w="1073" w:type="pct"/>
                  <w:shd w:val="clear" w:color="auto" w:fill="auto"/>
                </w:tcPr>
                <w:p w:rsidR="00CF6B94" w:rsidRPr="00E522C1" w:rsidRDefault="00CF6B94" w:rsidP="00CF6B94">
                  <w:pPr>
                    <w:pStyle w:val="TableBodyText"/>
                    <w:jc w:val="left"/>
                  </w:pPr>
                  <w:r w:rsidRPr="00E522C1">
                    <w:t>130</w:t>
                  </w:r>
                  <w:r>
                    <w:t> </w:t>
                  </w:r>
                  <w:r w:rsidRPr="00E522C1">
                    <w:t>000 to 160</w:t>
                  </w:r>
                  <w:r>
                    <w:t> </w:t>
                  </w:r>
                  <w:r w:rsidRPr="00E522C1">
                    <w:t>000</w:t>
                  </w:r>
                </w:p>
              </w:tc>
              <w:tc>
                <w:tcPr>
                  <w:tcW w:w="667" w:type="pct"/>
                  <w:shd w:val="clear" w:color="auto" w:fill="auto"/>
                  <w:vAlign w:val="center"/>
                </w:tcPr>
                <w:p w:rsidR="00CF6B94" w:rsidRPr="00914D90" w:rsidRDefault="00CF6B94" w:rsidP="00CF6B94">
                  <w:pPr>
                    <w:pStyle w:val="TableBodyText"/>
                  </w:pPr>
                  <w:r w:rsidRPr="00914D90">
                    <w:t>10.92</w:t>
                  </w:r>
                </w:p>
              </w:tc>
              <w:tc>
                <w:tcPr>
                  <w:tcW w:w="983" w:type="pct"/>
                  <w:vAlign w:val="center"/>
                </w:tcPr>
                <w:p w:rsidR="00CF6B94" w:rsidRPr="00914D90" w:rsidRDefault="00CF6B94" w:rsidP="00CF6B94">
                  <w:pPr>
                    <w:pStyle w:val="TableBodyText"/>
                  </w:pPr>
                  <w:r w:rsidRPr="00914D90">
                    <w:t>-0.33</w:t>
                  </w:r>
                </w:p>
              </w:tc>
              <w:tc>
                <w:tcPr>
                  <w:tcW w:w="759" w:type="pct"/>
                  <w:vAlign w:val="center"/>
                </w:tcPr>
                <w:p w:rsidR="00CF6B94" w:rsidRPr="00914D90" w:rsidRDefault="00CF6B94" w:rsidP="00CF6B94">
                  <w:pPr>
                    <w:pStyle w:val="TableBodyText"/>
                  </w:pPr>
                  <w:r w:rsidRPr="00914D90">
                    <w:t>-0.01</w:t>
                  </w:r>
                </w:p>
              </w:tc>
              <w:tc>
                <w:tcPr>
                  <w:tcW w:w="759" w:type="pct"/>
                  <w:vAlign w:val="center"/>
                </w:tcPr>
                <w:p w:rsidR="00CF6B94" w:rsidRPr="00914D90" w:rsidRDefault="00CF6B94" w:rsidP="00CF6B94">
                  <w:pPr>
                    <w:pStyle w:val="TableBodyText"/>
                  </w:pPr>
                  <w:r w:rsidRPr="00914D90">
                    <w:t>0.09</w:t>
                  </w:r>
                </w:p>
              </w:tc>
              <w:tc>
                <w:tcPr>
                  <w:tcW w:w="759" w:type="pct"/>
                  <w:shd w:val="clear" w:color="auto" w:fill="auto"/>
                  <w:vAlign w:val="center"/>
                </w:tcPr>
                <w:p w:rsidR="00CF6B94" w:rsidRPr="00914D90" w:rsidRDefault="00CF6B94" w:rsidP="00CF6B94">
                  <w:pPr>
                    <w:pStyle w:val="TableBodyText"/>
                  </w:pPr>
                  <w:r w:rsidRPr="00914D90">
                    <w:t>0.53</w:t>
                  </w:r>
                </w:p>
              </w:tc>
            </w:tr>
            <w:tr w:rsidR="00CF6B94" w:rsidTr="00CF6B94">
              <w:tc>
                <w:tcPr>
                  <w:tcW w:w="1073" w:type="pct"/>
                  <w:shd w:val="clear" w:color="auto" w:fill="auto"/>
                </w:tcPr>
                <w:p w:rsidR="00CF6B94" w:rsidRPr="00E522C1" w:rsidRDefault="00CF6B94" w:rsidP="00CF6B94">
                  <w:pPr>
                    <w:pStyle w:val="TableBodyText"/>
                    <w:jc w:val="left"/>
                  </w:pPr>
                  <w:r w:rsidRPr="00E522C1">
                    <w:t>160</w:t>
                  </w:r>
                  <w:r>
                    <w:t> </w:t>
                  </w:r>
                  <w:r w:rsidRPr="00E522C1">
                    <w:t>000 to 200</w:t>
                  </w:r>
                  <w:r>
                    <w:t> </w:t>
                  </w:r>
                  <w:r w:rsidRPr="00E522C1">
                    <w:t>000</w:t>
                  </w:r>
                </w:p>
              </w:tc>
              <w:tc>
                <w:tcPr>
                  <w:tcW w:w="667" w:type="pct"/>
                  <w:shd w:val="clear" w:color="auto" w:fill="auto"/>
                  <w:vAlign w:val="center"/>
                </w:tcPr>
                <w:p w:rsidR="00CF6B94" w:rsidRPr="00914D90" w:rsidRDefault="00CF6B94" w:rsidP="00CF6B94">
                  <w:pPr>
                    <w:pStyle w:val="TableBodyText"/>
                  </w:pPr>
                  <w:r w:rsidRPr="00914D90">
                    <w:t>7.20</w:t>
                  </w:r>
                </w:p>
              </w:tc>
              <w:tc>
                <w:tcPr>
                  <w:tcW w:w="983" w:type="pct"/>
                  <w:vAlign w:val="center"/>
                </w:tcPr>
                <w:p w:rsidR="00CF6B94" w:rsidRPr="00914D90" w:rsidRDefault="00CF6B94" w:rsidP="00CF6B94">
                  <w:pPr>
                    <w:pStyle w:val="TableBodyText"/>
                  </w:pPr>
                  <w:r w:rsidRPr="00914D90">
                    <w:t>-0.29</w:t>
                  </w:r>
                </w:p>
              </w:tc>
              <w:tc>
                <w:tcPr>
                  <w:tcW w:w="759" w:type="pct"/>
                  <w:vAlign w:val="center"/>
                </w:tcPr>
                <w:p w:rsidR="00CF6B94" w:rsidRPr="00914D90" w:rsidRDefault="00CF6B94" w:rsidP="00CF6B94">
                  <w:pPr>
                    <w:pStyle w:val="TableBodyText"/>
                  </w:pPr>
                  <w:r w:rsidRPr="00914D90">
                    <w:t>-0.01</w:t>
                  </w:r>
                </w:p>
              </w:tc>
              <w:tc>
                <w:tcPr>
                  <w:tcW w:w="759" w:type="pct"/>
                  <w:vAlign w:val="center"/>
                </w:tcPr>
                <w:p w:rsidR="00CF6B94" w:rsidRPr="00914D90" w:rsidRDefault="00CF6B94" w:rsidP="00CF6B94">
                  <w:pPr>
                    <w:pStyle w:val="TableBodyText"/>
                  </w:pPr>
                  <w:r w:rsidRPr="00914D90">
                    <w:t>0.04</w:t>
                  </w:r>
                </w:p>
              </w:tc>
              <w:tc>
                <w:tcPr>
                  <w:tcW w:w="759" w:type="pct"/>
                  <w:shd w:val="clear" w:color="auto" w:fill="auto"/>
                  <w:vAlign w:val="center"/>
                </w:tcPr>
                <w:p w:rsidR="00CF6B94" w:rsidRPr="00914D90" w:rsidRDefault="00CF6B94" w:rsidP="00CF6B94">
                  <w:pPr>
                    <w:pStyle w:val="TableBodyText"/>
                  </w:pPr>
                  <w:r w:rsidRPr="00914D90">
                    <w:t>-0.70</w:t>
                  </w:r>
                </w:p>
              </w:tc>
            </w:tr>
            <w:tr w:rsidR="00CF6B94" w:rsidTr="00CF6B94">
              <w:tc>
                <w:tcPr>
                  <w:tcW w:w="1073" w:type="pct"/>
                  <w:shd w:val="clear" w:color="auto" w:fill="auto"/>
                </w:tcPr>
                <w:p w:rsidR="00CF6B94" w:rsidRPr="00E522C1" w:rsidRDefault="00CF6B94" w:rsidP="00CF6B94">
                  <w:pPr>
                    <w:pStyle w:val="TableBodyText"/>
                    <w:jc w:val="left"/>
                  </w:pPr>
                  <w:r w:rsidRPr="00E522C1">
                    <w:t>200</w:t>
                  </w:r>
                  <w:r>
                    <w:t> </w:t>
                  </w:r>
                  <w:r w:rsidRPr="00E522C1">
                    <w:t>000 to 300</w:t>
                  </w:r>
                  <w:r>
                    <w:t> </w:t>
                  </w:r>
                  <w:r w:rsidRPr="00E522C1">
                    <w:t>000</w:t>
                  </w:r>
                </w:p>
              </w:tc>
              <w:tc>
                <w:tcPr>
                  <w:tcW w:w="667" w:type="pct"/>
                  <w:shd w:val="clear" w:color="auto" w:fill="auto"/>
                  <w:vAlign w:val="center"/>
                </w:tcPr>
                <w:p w:rsidR="00CF6B94" w:rsidRPr="00914D90" w:rsidRDefault="00CF6B94" w:rsidP="00CF6B94">
                  <w:pPr>
                    <w:pStyle w:val="TableBodyText"/>
                  </w:pPr>
                  <w:r w:rsidRPr="00914D90">
                    <w:t>4.90</w:t>
                  </w:r>
                </w:p>
              </w:tc>
              <w:tc>
                <w:tcPr>
                  <w:tcW w:w="983" w:type="pct"/>
                  <w:vAlign w:val="center"/>
                </w:tcPr>
                <w:p w:rsidR="00CF6B94" w:rsidRPr="00914D90" w:rsidRDefault="00CF6B94" w:rsidP="00CF6B94">
                  <w:pPr>
                    <w:pStyle w:val="TableBodyText"/>
                  </w:pPr>
                  <w:r w:rsidRPr="00914D90">
                    <w:t>-0.58</w:t>
                  </w:r>
                </w:p>
              </w:tc>
              <w:tc>
                <w:tcPr>
                  <w:tcW w:w="759" w:type="pct"/>
                  <w:vAlign w:val="center"/>
                </w:tcPr>
                <w:p w:rsidR="00CF6B94" w:rsidRPr="00914D90" w:rsidRDefault="00CF6B94" w:rsidP="00CF6B94">
                  <w:pPr>
                    <w:pStyle w:val="TableBodyText"/>
                  </w:pPr>
                  <w:r w:rsidRPr="00914D90">
                    <w:t>-0.02</w:t>
                  </w:r>
                </w:p>
              </w:tc>
              <w:tc>
                <w:tcPr>
                  <w:tcW w:w="759" w:type="pct"/>
                  <w:vAlign w:val="center"/>
                </w:tcPr>
                <w:p w:rsidR="00CF6B94" w:rsidRPr="00914D90" w:rsidRDefault="00CF6B94" w:rsidP="00CF6B94">
                  <w:pPr>
                    <w:pStyle w:val="TableBodyText"/>
                  </w:pPr>
                  <w:r w:rsidRPr="00914D90">
                    <w:t>-0.10</w:t>
                  </w:r>
                </w:p>
              </w:tc>
              <w:tc>
                <w:tcPr>
                  <w:tcW w:w="759" w:type="pct"/>
                  <w:shd w:val="clear" w:color="auto" w:fill="auto"/>
                  <w:vAlign w:val="center"/>
                </w:tcPr>
                <w:p w:rsidR="00CF6B94" w:rsidRPr="00914D90" w:rsidRDefault="00CF6B94" w:rsidP="00CF6B94">
                  <w:pPr>
                    <w:pStyle w:val="TableBodyText"/>
                  </w:pPr>
                  <w:r w:rsidRPr="00914D90">
                    <w:t>-1.92</w:t>
                  </w:r>
                </w:p>
              </w:tc>
            </w:tr>
            <w:tr w:rsidR="00CF6B94" w:rsidTr="00CF6B94">
              <w:tc>
                <w:tcPr>
                  <w:tcW w:w="1073" w:type="pct"/>
                  <w:tcBorders>
                    <w:bottom w:val="single" w:sz="6" w:space="0" w:color="C8C8C8"/>
                  </w:tcBorders>
                  <w:shd w:val="clear" w:color="auto" w:fill="auto"/>
                </w:tcPr>
                <w:p w:rsidR="00CF6B94" w:rsidRPr="00E522C1" w:rsidRDefault="00CF6B94" w:rsidP="00CF6B94">
                  <w:pPr>
                    <w:pStyle w:val="TableBodyText"/>
                    <w:jc w:val="left"/>
                  </w:pPr>
                  <w:r w:rsidRPr="00E522C1">
                    <w:t>Above 300</w:t>
                  </w:r>
                  <w:r>
                    <w:t> </w:t>
                  </w:r>
                  <w:r w:rsidRPr="00E522C1">
                    <w:t>000</w:t>
                  </w:r>
                </w:p>
              </w:tc>
              <w:tc>
                <w:tcPr>
                  <w:tcW w:w="667" w:type="pct"/>
                  <w:tcBorders>
                    <w:bottom w:val="single" w:sz="6" w:space="0" w:color="C8C8C8"/>
                  </w:tcBorders>
                  <w:shd w:val="clear" w:color="auto" w:fill="auto"/>
                  <w:vAlign w:val="center"/>
                </w:tcPr>
                <w:p w:rsidR="00CF6B94" w:rsidRPr="00914D90" w:rsidRDefault="00CF6B94" w:rsidP="00CF6B94">
                  <w:pPr>
                    <w:pStyle w:val="TableBodyText"/>
                  </w:pPr>
                  <w:r w:rsidRPr="00914D90">
                    <w:t>1.60</w:t>
                  </w:r>
                </w:p>
              </w:tc>
              <w:tc>
                <w:tcPr>
                  <w:tcW w:w="983" w:type="pct"/>
                  <w:tcBorders>
                    <w:bottom w:val="single" w:sz="6" w:space="0" w:color="C8C8C8"/>
                  </w:tcBorders>
                  <w:vAlign w:val="center"/>
                </w:tcPr>
                <w:p w:rsidR="00CF6B94" w:rsidRPr="00914D90" w:rsidRDefault="00CF6B94" w:rsidP="00CF6B94">
                  <w:pPr>
                    <w:pStyle w:val="TableBodyText"/>
                  </w:pPr>
                  <w:r w:rsidRPr="00914D90">
                    <w:t>-0.41</w:t>
                  </w:r>
                </w:p>
              </w:tc>
              <w:tc>
                <w:tcPr>
                  <w:tcW w:w="759" w:type="pct"/>
                  <w:tcBorders>
                    <w:bottom w:val="single" w:sz="6" w:space="0" w:color="C8C8C8"/>
                  </w:tcBorders>
                  <w:vAlign w:val="center"/>
                </w:tcPr>
                <w:p w:rsidR="00CF6B94" w:rsidRPr="00914D90" w:rsidRDefault="00CF6B94" w:rsidP="00CF6B94">
                  <w:pPr>
                    <w:pStyle w:val="TableBodyText"/>
                  </w:pPr>
                  <w:r w:rsidRPr="00914D90">
                    <w:t>-0.02</w:t>
                  </w:r>
                </w:p>
              </w:tc>
              <w:tc>
                <w:tcPr>
                  <w:tcW w:w="759" w:type="pct"/>
                  <w:tcBorders>
                    <w:bottom w:val="single" w:sz="6" w:space="0" w:color="C8C8C8"/>
                  </w:tcBorders>
                  <w:vAlign w:val="center"/>
                </w:tcPr>
                <w:p w:rsidR="00CF6B94" w:rsidRPr="00914D90" w:rsidRDefault="00CF6B94" w:rsidP="00CF6B94">
                  <w:pPr>
                    <w:pStyle w:val="TableBodyText"/>
                  </w:pPr>
                  <w:r w:rsidRPr="00914D90">
                    <w:t>-0.04</w:t>
                  </w:r>
                </w:p>
              </w:tc>
              <w:tc>
                <w:tcPr>
                  <w:tcW w:w="759" w:type="pct"/>
                  <w:tcBorders>
                    <w:bottom w:val="single" w:sz="6" w:space="0" w:color="C8C8C8"/>
                  </w:tcBorders>
                  <w:shd w:val="clear" w:color="auto" w:fill="auto"/>
                  <w:vAlign w:val="center"/>
                </w:tcPr>
                <w:p w:rsidR="00CF6B94" w:rsidRPr="00914D90" w:rsidRDefault="00CF6B94" w:rsidP="00CF6B94">
                  <w:pPr>
                    <w:pStyle w:val="TableBodyText"/>
                  </w:pPr>
                  <w:r w:rsidRPr="00914D90">
                    <w:t>-1.14</w:t>
                  </w:r>
                </w:p>
              </w:tc>
            </w:tr>
          </w:tbl>
          <w:p w:rsidR="00CF6B94" w:rsidRDefault="00CF6B94" w:rsidP="00CF6B94">
            <w:pPr>
              <w:pStyle w:val="Box"/>
            </w:pP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Note"/>
              <w:rPr>
                <w:i/>
              </w:rPr>
            </w:pPr>
            <w:proofErr w:type="gramStart"/>
            <w:r>
              <w:rPr>
                <w:rStyle w:val="NoteLabel"/>
              </w:rPr>
              <w:t>a</w:t>
            </w:r>
            <w:proofErr w:type="gramEnd"/>
            <w:r>
              <w:t xml:space="preserve"> Full-time equivalent workers is calculated by assuming 8 hours per day as full-time equivalent. </w:t>
            </w:r>
            <w:r>
              <w:br/>
            </w:r>
            <w:proofErr w:type="gramStart"/>
            <w:r>
              <w:rPr>
                <w:rStyle w:val="NoteLabel"/>
              </w:rPr>
              <w:t>b</w:t>
            </w:r>
            <w:proofErr w:type="gramEnd"/>
            <w:r>
              <w:t xml:space="preserve"> Holding wages and childcare fees constant. </w:t>
            </w:r>
            <w:proofErr w:type="gramStart"/>
            <w:r>
              <w:rPr>
                <w:rStyle w:val="NoteLabel"/>
              </w:rPr>
              <w:t>c</w:t>
            </w:r>
            <w:proofErr w:type="gramEnd"/>
            <w:r>
              <w:t xml:space="preserve"> Note that it is possible for there to be large changes in childcare subsidies but small changes in the quantity demanded due to compositional shifts within the group (box 3).</w:t>
            </w: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Source"/>
            </w:pPr>
            <w:r>
              <w:rPr>
                <w:i/>
              </w:rPr>
              <w:t>Source</w:t>
            </w:r>
            <w:r>
              <w:t>: PCMC model estimates.</w:t>
            </w:r>
          </w:p>
        </w:tc>
      </w:tr>
      <w:tr w:rsidR="00CF6B94" w:rsidTr="00CF6B94">
        <w:trPr>
          <w:cantSplit/>
        </w:trPr>
        <w:tc>
          <w:tcPr>
            <w:tcW w:w="8771" w:type="dxa"/>
            <w:tcBorders>
              <w:top w:val="nil"/>
              <w:left w:val="nil"/>
              <w:bottom w:val="single" w:sz="6" w:space="0" w:color="78A22F" w:themeColor="accent1"/>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themeColor="accent1"/>
              <w:left w:val="nil"/>
              <w:bottom w:val="nil"/>
              <w:right w:val="nil"/>
            </w:tcBorders>
          </w:tcPr>
          <w:p w:rsidR="00CF6B94" w:rsidRPr="00626D32" w:rsidRDefault="00CF6B94" w:rsidP="00CF6B94">
            <w:pPr>
              <w:pStyle w:val="BoxSpaceBelow"/>
            </w:pPr>
          </w:p>
        </w:tc>
      </w:tr>
    </w:tbl>
    <w:p w:rsidR="00CF6B94" w:rsidRDefault="00CF6B94" w:rsidP="00CF6B94">
      <w:pPr>
        <w:pStyle w:val="BodyText"/>
      </w:pPr>
      <w:r>
        <w:t>Table 4 illustrates impacts in three broad categories:</w:t>
      </w:r>
    </w:p>
    <w:p w:rsidR="00CF6B94" w:rsidRDefault="00CF6B94" w:rsidP="00CF6B94">
      <w:pPr>
        <w:pStyle w:val="ListNumber"/>
        <w:numPr>
          <w:ilvl w:val="0"/>
          <w:numId w:val="34"/>
        </w:numPr>
        <w:spacing w:line="320" w:lineRule="atLeast"/>
      </w:pPr>
      <w:r>
        <w:t>Households with gross incomes above $160 000 decrease their labour supply by a small amount in response to the policy change. However, they contribute fiscal savings from reduced childcare subsidies ($3.76 million per week).</w:t>
      </w:r>
      <w:r>
        <w:rPr>
          <w:rStyle w:val="FootnoteReference"/>
        </w:rPr>
        <w:footnoteReference w:id="14"/>
      </w:r>
    </w:p>
    <w:p w:rsidR="00CF6B94" w:rsidRDefault="00CF6B94" w:rsidP="00CF6B94">
      <w:pPr>
        <w:pStyle w:val="ListNumber"/>
        <w:numPr>
          <w:ilvl w:val="0"/>
          <w:numId w:val="34"/>
        </w:numPr>
        <w:spacing w:line="320" w:lineRule="atLeast"/>
      </w:pPr>
      <w:r>
        <w:t>Some low income households (with incomes between $40 000 and $60 000) increase their labour supply slightly (0.15 million hours per week) and cause a government childcare expenditure saving ($0.30 million per week). This effect is driven largely by the new activity test, which causes some people to cut their demand for formal childcare.</w:t>
      </w:r>
      <w:r w:rsidRPr="00AA29CA">
        <w:rPr>
          <w:rStyle w:val="FootnoteReference"/>
        </w:rPr>
        <w:t xml:space="preserve"> </w:t>
      </w:r>
      <w:r>
        <w:t xml:space="preserve">This group is most affected by the activity test because (a) there are many households in the group who do not work enough to qualify for assistance and (b) a lower proportion are eligible for the Parenting Payment activity test exemption relative to the lowest income group. </w:t>
      </w:r>
    </w:p>
    <w:p w:rsidR="00CF6B94" w:rsidRDefault="00CF6B94" w:rsidP="00CF6B94">
      <w:pPr>
        <w:pStyle w:val="ListNumber"/>
        <w:numPr>
          <w:ilvl w:val="0"/>
          <w:numId w:val="34"/>
        </w:numPr>
        <w:spacing w:line="320" w:lineRule="atLeast"/>
      </w:pPr>
      <w:r>
        <w:t xml:space="preserve">Other households produce an aggregate increase in labour supply (summing to 0.52 million hours per week) and a large increase in formal childcare demand </w:t>
      </w:r>
      <w:r>
        <w:lastRenderedPageBreak/>
        <w:t>(summing to 3.9 million hours per week). This group is the major source of increased fiscal expenditure (having an additional childcare subsidy cost of $9.18 million per week). The groups that contribute the largest increases in ECEC expenditure are:</w:t>
      </w:r>
    </w:p>
    <w:p w:rsidR="00CF6B94" w:rsidRDefault="00CF6B94" w:rsidP="00CF6B94">
      <w:pPr>
        <w:pStyle w:val="ListNumber2"/>
        <w:numPr>
          <w:ilvl w:val="1"/>
          <w:numId w:val="34"/>
        </w:numPr>
        <w:spacing w:line="320" w:lineRule="atLeast"/>
      </w:pPr>
      <w:r>
        <w:t>Households with an income between $100 000 and $130 000, because they are likely to pass the activity test (many households in this class are couples with two working parents), and benefit from increased subsidy rates in the middle of the decreasing taper under ECLS.</w:t>
      </w:r>
    </w:p>
    <w:p w:rsidR="00CF6B94" w:rsidRDefault="00CF6B94" w:rsidP="00CF6B94">
      <w:pPr>
        <w:pStyle w:val="ListNumber2"/>
        <w:numPr>
          <w:ilvl w:val="1"/>
          <w:numId w:val="34"/>
        </w:numPr>
        <w:spacing w:line="320" w:lineRule="atLeast"/>
      </w:pPr>
      <w:r>
        <w:t>Households with incomes under $40 000, who receive larger subsidies, and typically are exempt from the activity test by reason of Parenting Payment or other exemptions (such as, receiving a Disability Support Pension or studying).</w:t>
      </w:r>
    </w:p>
    <w:p w:rsidR="00CF6B94" w:rsidRDefault="00CF6B94" w:rsidP="00CF6B94">
      <w:pPr>
        <w:pStyle w:val="Heading4"/>
        <w:rPr>
          <w:i/>
        </w:rPr>
      </w:pPr>
      <w:r>
        <w:rPr>
          <w:i/>
        </w:rPr>
        <w:t xml:space="preserve">An illustration example of the decision making process in the model </w:t>
      </w:r>
    </w:p>
    <w:p w:rsidR="00CF6B94" w:rsidRPr="00D27768" w:rsidRDefault="00CF6B94" w:rsidP="00CF6B94">
      <w:pPr>
        <w:pStyle w:val="BodyText"/>
      </w:pPr>
      <w:r w:rsidRPr="00D27768">
        <w:t xml:space="preserve">While it is not possible to investigate the responses by all </w:t>
      </w:r>
      <w:r>
        <w:t>households</w:t>
      </w:r>
      <w:r w:rsidRPr="00D27768">
        <w:t>, it is instructive to analyse how incentives change for an example observation. Table 5 shows some characteristics for a</w:t>
      </w:r>
      <w:r>
        <w:t>n</w:t>
      </w:r>
      <w:r w:rsidRPr="00D27768">
        <w:t xml:space="preserve"> </w:t>
      </w:r>
      <w:r>
        <w:t xml:space="preserve">example </w:t>
      </w:r>
      <w:r w:rsidRPr="00D27768">
        <w:t>household from group D, both pre</w:t>
      </w:r>
      <w:r w:rsidRPr="00D27768">
        <w:noBreakHyphen/>
        <w:t xml:space="preserve"> and post</w:t>
      </w:r>
      <w:r w:rsidRPr="00D27768">
        <w:noBreakHyphen/>
        <w:t xml:space="preserve">policy change. This </w:t>
      </w:r>
      <w:r>
        <w:t>household</w:t>
      </w:r>
      <w:r w:rsidRPr="00D27768">
        <w:t xml:space="preserve"> is assumed to face relatively low fees (below the </w:t>
      </w:r>
      <w:r>
        <w:t>benchmark price</w:t>
      </w:r>
      <w:r w:rsidRPr="00D27768">
        <w:t xml:space="preserve">), and therefore receives an effective subsidy of 100 per cent under the </w:t>
      </w:r>
      <w:r>
        <w:t>recommended</w:t>
      </w:r>
      <w:r w:rsidRPr="00D27768">
        <w:t xml:space="preserve"> arrangements. Note that this </w:t>
      </w:r>
      <w:r>
        <w:t>household</w:t>
      </w:r>
      <w:r w:rsidRPr="00D27768">
        <w:t xml:space="preserve"> is just an example, and not representative of all responses in the model. The purpose of </w:t>
      </w:r>
      <w:r>
        <w:t>micro-simulation</w:t>
      </w:r>
      <w:r w:rsidRPr="00D27768">
        <w:t xml:space="preserve"> is to represent population heterogeneity, as such, no one agent is representative of the behaviour of any other agent in the data.</w:t>
      </w:r>
    </w:p>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themeColor="accent1"/>
              <w:left w:val="nil"/>
              <w:bottom w:val="nil"/>
              <w:right w:val="nil"/>
            </w:tcBorders>
            <w:shd w:val="clear" w:color="auto" w:fill="auto"/>
          </w:tcPr>
          <w:p w:rsidR="00CF6B94" w:rsidRPr="00784A05" w:rsidRDefault="00CF6B94" w:rsidP="00CF6B94">
            <w:pPr>
              <w:pStyle w:val="TableTitle"/>
            </w:pPr>
            <w:r>
              <w:rPr>
                <w:b w:val="0"/>
              </w:rPr>
              <w:t xml:space="preserve">Table </w:t>
            </w:r>
            <w:r>
              <w:rPr>
                <w:b w:val="0"/>
                <w:noProof/>
              </w:rPr>
              <w:t>5</w:t>
            </w:r>
            <w:r>
              <w:tab/>
              <w:t>Illustrative results for an example household</w:t>
            </w:r>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414"/>
              <w:gridCol w:w="1417"/>
              <w:gridCol w:w="1414"/>
              <w:gridCol w:w="1414"/>
              <w:gridCol w:w="1414"/>
              <w:gridCol w:w="1414"/>
            </w:tblGrid>
            <w:tr w:rsidR="00CF6B94" w:rsidTr="00E15700">
              <w:tc>
                <w:tcPr>
                  <w:tcW w:w="833"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E15700">
                  <w:pPr>
                    <w:pStyle w:val="TableColumnHeading"/>
                  </w:pPr>
                </w:p>
              </w:tc>
              <w:tc>
                <w:tcPr>
                  <w:tcW w:w="835"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E15700">
                  <w:pPr>
                    <w:pStyle w:val="TableColumnHeading"/>
                  </w:pPr>
                  <w:r>
                    <w:t xml:space="preserve">Primary carer’s hours of </w:t>
                  </w:r>
                  <w:r w:rsidR="00E15700">
                    <w:br/>
                  </w:r>
                  <w:r>
                    <w:t xml:space="preserve">labour supply </w:t>
                  </w:r>
                  <w:r w:rsidR="00E15700">
                    <w:br/>
                  </w:r>
                  <w:r>
                    <w:t>per week</w:t>
                  </w:r>
                </w:p>
              </w:tc>
              <w:tc>
                <w:tcPr>
                  <w:tcW w:w="833" w:type="pct"/>
                  <w:tcBorders>
                    <w:top w:val="single" w:sz="6" w:space="0" w:color="BFBFBF" w:themeColor="background2"/>
                    <w:bottom w:val="single" w:sz="6" w:space="0" w:color="BFBFBF" w:themeColor="background2"/>
                  </w:tcBorders>
                  <w:vAlign w:val="bottom"/>
                </w:tcPr>
                <w:p w:rsidR="00CF6B94" w:rsidRDefault="00CF6B94" w:rsidP="00E15700">
                  <w:pPr>
                    <w:pStyle w:val="TableColumnHeading"/>
                  </w:pPr>
                  <w:r>
                    <w:t>Childcare hours demanded</w:t>
                  </w:r>
                  <w:r w:rsidR="00E15700">
                    <w:br/>
                  </w:r>
                  <w:r>
                    <w:t xml:space="preserve"> per week</w:t>
                  </w:r>
                </w:p>
              </w:tc>
              <w:tc>
                <w:tcPr>
                  <w:tcW w:w="833" w:type="pct"/>
                  <w:tcBorders>
                    <w:top w:val="single" w:sz="6" w:space="0" w:color="BFBFBF" w:themeColor="background2"/>
                    <w:bottom w:val="single" w:sz="6" w:space="0" w:color="BFBFBF" w:themeColor="background2"/>
                  </w:tcBorders>
                  <w:vAlign w:val="bottom"/>
                </w:tcPr>
                <w:p w:rsidR="00CF6B94" w:rsidRDefault="00CF6B94" w:rsidP="00E15700">
                  <w:pPr>
                    <w:pStyle w:val="TableColumnHeading"/>
                  </w:pPr>
                  <w:r>
                    <w:t xml:space="preserve">Subsidy </w:t>
                  </w:r>
                  <w:r>
                    <w:br/>
                    <w:t>rate as a proportion of unit childcare cost</w:t>
                  </w:r>
                </w:p>
              </w:tc>
              <w:tc>
                <w:tcPr>
                  <w:tcW w:w="833" w:type="pct"/>
                  <w:tcBorders>
                    <w:top w:val="single" w:sz="6" w:space="0" w:color="BFBFBF" w:themeColor="background2"/>
                    <w:bottom w:val="single" w:sz="6" w:space="0" w:color="BFBFBF" w:themeColor="background2"/>
                  </w:tcBorders>
                  <w:vAlign w:val="bottom"/>
                </w:tcPr>
                <w:p w:rsidR="00CF6B94" w:rsidRDefault="00CF6B94" w:rsidP="00E15700">
                  <w:pPr>
                    <w:pStyle w:val="TableColumnHeading"/>
                  </w:pPr>
                  <w:r>
                    <w:t>Gross labour income per week</w:t>
                  </w:r>
                </w:p>
              </w:tc>
              <w:tc>
                <w:tcPr>
                  <w:tcW w:w="833"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E15700">
                  <w:pPr>
                    <w:pStyle w:val="TableColumnHeading"/>
                    <w:ind w:right="28"/>
                  </w:pPr>
                  <w:r>
                    <w:t>Income net of tax and transfers per week</w:t>
                  </w:r>
                </w:p>
              </w:tc>
            </w:tr>
            <w:tr w:rsidR="00CF6B94" w:rsidTr="00CF6B94">
              <w:tc>
                <w:tcPr>
                  <w:tcW w:w="833" w:type="pct"/>
                  <w:tcBorders>
                    <w:top w:val="single" w:sz="6" w:space="0" w:color="BFBFBF" w:themeColor="background2"/>
                  </w:tcBorders>
                </w:tcPr>
                <w:p w:rsidR="00CF6B94" w:rsidRDefault="00CF6B94" w:rsidP="00CF6B94">
                  <w:pPr>
                    <w:pStyle w:val="TableBodyText"/>
                    <w:jc w:val="left"/>
                  </w:pPr>
                  <w:r>
                    <w:t>Pre</w:t>
                  </w:r>
                  <w:r>
                    <w:noBreakHyphen/>
                    <w:t>policy</w:t>
                  </w:r>
                </w:p>
              </w:tc>
              <w:tc>
                <w:tcPr>
                  <w:tcW w:w="835" w:type="pct"/>
                  <w:tcBorders>
                    <w:top w:val="single" w:sz="6" w:space="0" w:color="BFBFBF" w:themeColor="background2"/>
                  </w:tcBorders>
                </w:tcPr>
                <w:p w:rsidR="00CF6B94" w:rsidRPr="00E0606F" w:rsidRDefault="00CF6B94" w:rsidP="00CF6B94">
                  <w:pPr>
                    <w:pStyle w:val="TableBodyText"/>
                  </w:pPr>
                  <w:r w:rsidRPr="00E0606F">
                    <w:t>32</w:t>
                  </w:r>
                </w:p>
              </w:tc>
              <w:tc>
                <w:tcPr>
                  <w:tcW w:w="833" w:type="pct"/>
                  <w:tcBorders>
                    <w:top w:val="single" w:sz="6" w:space="0" w:color="BFBFBF" w:themeColor="background2"/>
                  </w:tcBorders>
                </w:tcPr>
                <w:p w:rsidR="00CF6B94" w:rsidRPr="00E0606F" w:rsidRDefault="00CF6B94" w:rsidP="00CF6B94">
                  <w:pPr>
                    <w:pStyle w:val="TableBodyText"/>
                  </w:pPr>
                  <w:r w:rsidRPr="00E0606F">
                    <w:t>20</w:t>
                  </w:r>
                </w:p>
              </w:tc>
              <w:tc>
                <w:tcPr>
                  <w:tcW w:w="833" w:type="pct"/>
                  <w:tcBorders>
                    <w:top w:val="single" w:sz="6" w:space="0" w:color="BFBFBF" w:themeColor="background2"/>
                  </w:tcBorders>
                </w:tcPr>
                <w:p w:rsidR="00CF6B94" w:rsidRPr="00E0606F" w:rsidRDefault="00CF6B94" w:rsidP="00CF6B94">
                  <w:pPr>
                    <w:pStyle w:val="TableBodyText"/>
                  </w:pPr>
                  <w:r w:rsidRPr="00E0606F">
                    <w:t>88%</w:t>
                  </w:r>
                </w:p>
              </w:tc>
              <w:tc>
                <w:tcPr>
                  <w:tcW w:w="833" w:type="pct"/>
                  <w:tcBorders>
                    <w:top w:val="single" w:sz="6" w:space="0" w:color="BFBFBF" w:themeColor="background2"/>
                  </w:tcBorders>
                </w:tcPr>
                <w:p w:rsidR="00CF6B94" w:rsidRPr="00E0606F" w:rsidRDefault="00CF6B94" w:rsidP="00CF6B94">
                  <w:pPr>
                    <w:pStyle w:val="TableBodyText"/>
                  </w:pPr>
                  <w:r w:rsidRPr="00E0606F">
                    <w:t>$692</w:t>
                  </w:r>
                </w:p>
              </w:tc>
              <w:tc>
                <w:tcPr>
                  <w:tcW w:w="833" w:type="pct"/>
                  <w:tcBorders>
                    <w:top w:val="single" w:sz="6" w:space="0" w:color="BFBFBF" w:themeColor="background2"/>
                  </w:tcBorders>
                </w:tcPr>
                <w:p w:rsidR="00CF6B94" w:rsidRPr="00E0606F" w:rsidRDefault="00CF6B94" w:rsidP="00CF6B94">
                  <w:pPr>
                    <w:pStyle w:val="TableBodyText"/>
                  </w:pPr>
                  <w:r w:rsidRPr="00E0606F">
                    <w:t>$826</w:t>
                  </w:r>
                </w:p>
              </w:tc>
            </w:tr>
            <w:tr w:rsidR="00CF6B94" w:rsidTr="00CF6B94">
              <w:tc>
                <w:tcPr>
                  <w:tcW w:w="833" w:type="pct"/>
                  <w:tcBorders>
                    <w:bottom w:val="single" w:sz="6" w:space="0" w:color="C8C8C8"/>
                  </w:tcBorders>
                  <w:shd w:val="clear" w:color="auto" w:fill="auto"/>
                </w:tcPr>
                <w:p w:rsidR="00CF6B94" w:rsidRDefault="00CF6B94" w:rsidP="00CF6B94">
                  <w:pPr>
                    <w:pStyle w:val="TableBodyText"/>
                    <w:jc w:val="left"/>
                  </w:pPr>
                  <w:r>
                    <w:t>Post</w:t>
                  </w:r>
                  <w:r>
                    <w:noBreakHyphen/>
                    <w:t>policy</w:t>
                  </w:r>
                </w:p>
              </w:tc>
              <w:tc>
                <w:tcPr>
                  <w:tcW w:w="835" w:type="pct"/>
                  <w:tcBorders>
                    <w:bottom w:val="single" w:sz="6" w:space="0" w:color="C8C8C8"/>
                  </w:tcBorders>
                  <w:shd w:val="clear" w:color="auto" w:fill="auto"/>
                </w:tcPr>
                <w:p w:rsidR="00CF6B94" w:rsidRPr="00E0606F" w:rsidRDefault="00CF6B94" w:rsidP="00CF6B94">
                  <w:pPr>
                    <w:pStyle w:val="TableBodyText"/>
                  </w:pPr>
                  <w:r w:rsidRPr="00E0606F">
                    <w:t>48</w:t>
                  </w:r>
                </w:p>
              </w:tc>
              <w:tc>
                <w:tcPr>
                  <w:tcW w:w="833" w:type="pct"/>
                  <w:tcBorders>
                    <w:bottom w:val="single" w:sz="6" w:space="0" w:color="C8C8C8"/>
                  </w:tcBorders>
                </w:tcPr>
                <w:p w:rsidR="00CF6B94" w:rsidRPr="00E0606F" w:rsidRDefault="00CF6B94" w:rsidP="00CF6B94">
                  <w:pPr>
                    <w:pStyle w:val="TableBodyText"/>
                  </w:pPr>
                  <w:r w:rsidRPr="00E0606F">
                    <w:t>40</w:t>
                  </w:r>
                </w:p>
              </w:tc>
              <w:tc>
                <w:tcPr>
                  <w:tcW w:w="833" w:type="pct"/>
                  <w:tcBorders>
                    <w:bottom w:val="single" w:sz="6" w:space="0" w:color="C8C8C8"/>
                  </w:tcBorders>
                </w:tcPr>
                <w:p w:rsidR="00CF6B94" w:rsidRPr="00E0606F" w:rsidRDefault="00CF6B94" w:rsidP="00CF6B94">
                  <w:pPr>
                    <w:pStyle w:val="TableBodyText"/>
                    <w:ind w:right="11"/>
                  </w:pPr>
                  <w:r w:rsidRPr="00E0606F">
                    <w:t>100%</w:t>
                  </w:r>
                  <w:r w:rsidRPr="003169AF">
                    <w:rPr>
                      <w:rStyle w:val="NoteLabel"/>
                    </w:rPr>
                    <w:t>a</w:t>
                  </w:r>
                </w:p>
              </w:tc>
              <w:tc>
                <w:tcPr>
                  <w:tcW w:w="833" w:type="pct"/>
                  <w:tcBorders>
                    <w:bottom w:val="single" w:sz="6" w:space="0" w:color="C8C8C8"/>
                  </w:tcBorders>
                </w:tcPr>
                <w:p w:rsidR="00CF6B94" w:rsidRPr="00E0606F" w:rsidRDefault="00CF6B94" w:rsidP="00CF6B94">
                  <w:pPr>
                    <w:pStyle w:val="TableBodyText"/>
                  </w:pPr>
                  <w:r w:rsidRPr="00E0606F">
                    <w:t>$1 039</w:t>
                  </w:r>
                </w:p>
              </w:tc>
              <w:tc>
                <w:tcPr>
                  <w:tcW w:w="833" w:type="pct"/>
                  <w:tcBorders>
                    <w:bottom w:val="single" w:sz="6" w:space="0" w:color="C8C8C8"/>
                  </w:tcBorders>
                  <w:shd w:val="clear" w:color="auto" w:fill="auto"/>
                </w:tcPr>
                <w:p w:rsidR="00CF6B94" w:rsidRPr="00E0606F" w:rsidRDefault="00CF6B94" w:rsidP="00CF6B94">
                  <w:pPr>
                    <w:pStyle w:val="TableBodyText"/>
                  </w:pPr>
                  <w:r w:rsidRPr="00E0606F">
                    <w:t>$1 026</w:t>
                  </w:r>
                </w:p>
              </w:tc>
            </w:tr>
          </w:tbl>
          <w:p w:rsidR="00CF6B94" w:rsidRDefault="00CF6B94" w:rsidP="00CF6B94">
            <w:pPr>
              <w:pStyle w:val="Box"/>
            </w:pP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Note"/>
              <w:rPr>
                <w:i/>
              </w:rPr>
            </w:pPr>
            <w:r w:rsidRPr="003169AF">
              <w:rPr>
                <w:rStyle w:val="NoteLabel"/>
              </w:rPr>
              <w:t>a</w:t>
            </w:r>
            <w:r>
              <w:rPr>
                <w:rStyle w:val="NoteLabel"/>
              </w:rPr>
              <w:t xml:space="preserve">. </w:t>
            </w:r>
            <w:r>
              <w:t>This household is paying childcare fees (pre</w:t>
            </w:r>
            <w:r>
              <w:noBreakHyphen/>
              <w:t>subsidy) below the benchmark price. This is why their subsidy rate (100%) is larger than the upper bound on rate (85%) shown in figure 2.</w:t>
            </w: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Source"/>
            </w:pPr>
            <w:r>
              <w:rPr>
                <w:i/>
              </w:rPr>
              <w:t>Source</w:t>
            </w:r>
            <w:r w:rsidRPr="00167F06">
              <w:t xml:space="preserve">: </w:t>
            </w:r>
            <w:r>
              <w:t>PCMC model estimates.</w:t>
            </w:r>
          </w:p>
        </w:tc>
      </w:tr>
      <w:tr w:rsidR="00CF6B94" w:rsidTr="00CF6B94">
        <w:trPr>
          <w:cantSplit/>
        </w:trPr>
        <w:tc>
          <w:tcPr>
            <w:tcW w:w="8771" w:type="dxa"/>
            <w:tcBorders>
              <w:top w:val="nil"/>
              <w:left w:val="nil"/>
              <w:bottom w:val="single" w:sz="6" w:space="0" w:color="78A22F" w:themeColor="accent1"/>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themeColor="accent1"/>
              <w:left w:val="nil"/>
              <w:bottom w:val="nil"/>
              <w:right w:val="nil"/>
            </w:tcBorders>
          </w:tcPr>
          <w:p w:rsidR="00CF6B94" w:rsidRPr="00626D32" w:rsidRDefault="00CF6B94" w:rsidP="00CF6B94">
            <w:pPr>
              <w:pStyle w:val="BoxSpaceBelow"/>
            </w:pPr>
          </w:p>
        </w:tc>
      </w:tr>
    </w:tbl>
    <w:p w:rsidR="00CF6B94" w:rsidRDefault="00CF6B94" w:rsidP="00CF6B94">
      <w:pPr>
        <w:pStyle w:val="BodyText"/>
      </w:pPr>
      <w:r w:rsidRPr="007C1337">
        <w:t xml:space="preserve">Increasing the subsidy </w:t>
      </w:r>
      <w:r>
        <w:t>de</w:t>
      </w:r>
      <w:r w:rsidRPr="007C1337">
        <w:t xml:space="preserve">creases </w:t>
      </w:r>
      <w:r>
        <w:t>out-of–pocket childcare fees</w:t>
      </w:r>
      <w:r w:rsidRPr="007C1337">
        <w:t xml:space="preserve">. For a given level of labour supply, the </w:t>
      </w:r>
      <w:r>
        <w:t>household</w:t>
      </w:r>
      <w:r w:rsidRPr="007C1337">
        <w:t xml:space="preserve">’s utility level has increased (due to the larger amount of </w:t>
      </w:r>
      <w:r>
        <w:t>income net of taxes and out-of-pocket fees</w:t>
      </w:r>
      <w:r w:rsidRPr="007C1337">
        <w:t xml:space="preserve">). </w:t>
      </w:r>
      <w:r>
        <w:t xml:space="preserve">Reduced out-of-pocket fees also reduce the costs of working and increases labour supply, along with the demand for childcare services. </w:t>
      </w:r>
    </w:p>
    <w:p w:rsidR="00CF6B94" w:rsidRDefault="00CF6B94" w:rsidP="00CF6B94">
      <w:pPr>
        <w:pStyle w:val="BodyText"/>
      </w:pPr>
      <w:r>
        <w:t>The utility the household derives from all possible work/childcare decisions pre</w:t>
      </w:r>
      <w:r>
        <w:noBreakHyphen/>
        <w:t xml:space="preserve"> and post</w:t>
      </w:r>
      <w:r>
        <w:noBreakHyphen/>
        <w:t xml:space="preserve">policy change are shown in tables 6 and 7. The cells with bold text indicate the </w:t>
      </w:r>
      <w:r>
        <w:lastRenderedPageBreak/>
        <w:t>utility</w:t>
      </w:r>
      <w:r>
        <w:noBreakHyphen/>
        <w:t>maximising choice. Note that units of utility are ordinal — they determine the ranking of choices for the individual, but not the relativities. For example, a utility of 12 is not necessarily twice as desirable as a utility of 6.</w:t>
      </w:r>
    </w:p>
    <w:p w:rsidR="00CF6B94" w:rsidRDefault="00CF6B94" w:rsidP="00CF6B94">
      <w:pPr>
        <w:pStyle w:val="BodyText"/>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themeColor="accent1"/>
              <w:left w:val="nil"/>
              <w:bottom w:val="nil"/>
              <w:right w:val="nil"/>
            </w:tcBorders>
            <w:shd w:val="clear" w:color="auto" w:fill="auto"/>
          </w:tcPr>
          <w:p w:rsidR="00CF6B94" w:rsidRPr="00784A05" w:rsidRDefault="00CF6B94" w:rsidP="00CF6B94">
            <w:pPr>
              <w:pStyle w:val="TableTitle"/>
            </w:pPr>
            <w:r>
              <w:rPr>
                <w:b w:val="0"/>
              </w:rPr>
              <w:t xml:space="preserve">Table </w:t>
            </w:r>
            <w:r>
              <w:rPr>
                <w:b w:val="0"/>
                <w:noProof/>
              </w:rPr>
              <w:t>6</w:t>
            </w:r>
            <w:r>
              <w:tab/>
            </w:r>
            <w:r w:rsidRPr="00613526">
              <w:t>Illustrative pre</w:t>
            </w:r>
            <w:r>
              <w:t>-</w:t>
            </w:r>
            <w:r w:rsidRPr="00613526">
              <w:t>policy utility payoff table</w:t>
            </w:r>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12"/>
              <w:gridCol w:w="1215"/>
              <w:gridCol w:w="1212"/>
              <w:gridCol w:w="1212"/>
              <w:gridCol w:w="1212"/>
              <w:gridCol w:w="1212"/>
              <w:gridCol w:w="1212"/>
            </w:tblGrid>
            <w:tr w:rsidR="00CF6B94" w:rsidTr="00CF6B94">
              <w:tc>
                <w:tcPr>
                  <w:tcW w:w="714" w:type="pct"/>
                  <w:tcBorders>
                    <w:top w:val="single" w:sz="6" w:space="0" w:color="BFBFBF" w:themeColor="background2"/>
                  </w:tcBorders>
                  <w:shd w:val="clear" w:color="auto" w:fill="auto"/>
                  <w:tcMar>
                    <w:top w:w="28" w:type="dxa"/>
                  </w:tcMar>
                </w:tcPr>
                <w:p w:rsidR="00CF6B94" w:rsidRDefault="00CF6B94" w:rsidP="00CF6B94">
                  <w:pPr>
                    <w:pStyle w:val="TableColumnHeading"/>
                    <w:jc w:val="left"/>
                  </w:pPr>
                </w:p>
              </w:tc>
              <w:tc>
                <w:tcPr>
                  <w:tcW w:w="4286" w:type="pct"/>
                  <w:gridSpan w:val="6"/>
                  <w:tcBorders>
                    <w:top w:val="single" w:sz="6" w:space="0" w:color="BFBFBF" w:themeColor="background2"/>
                    <w:bottom w:val="single" w:sz="6" w:space="0" w:color="BFBFBF" w:themeColor="background2"/>
                  </w:tcBorders>
                  <w:shd w:val="clear" w:color="auto" w:fill="auto"/>
                  <w:tcMar>
                    <w:top w:w="28" w:type="dxa"/>
                  </w:tcMar>
                </w:tcPr>
                <w:p w:rsidR="00CF6B94" w:rsidRPr="00CE5118" w:rsidRDefault="00CF6B94" w:rsidP="00CF6B94">
                  <w:pPr>
                    <w:pStyle w:val="TableColumnHeading"/>
                    <w:ind w:right="28"/>
                    <w:jc w:val="center"/>
                    <w:rPr>
                      <w:i w:val="0"/>
                    </w:rPr>
                  </w:pPr>
                  <w:r w:rsidRPr="00CE5118">
                    <w:rPr>
                      <w:i w:val="0"/>
                    </w:rPr>
                    <w:t>Hours of formal childcare</w:t>
                  </w:r>
                </w:p>
              </w:tc>
            </w:tr>
            <w:tr w:rsidR="00CF6B94" w:rsidTr="00E15700">
              <w:tc>
                <w:tcPr>
                  <w:tcW w:w="714" w:type="pct"/>
                  <w:tcBorders>
                    <w:bottom w:val="single" w:sz="6" w:space="0" w:color="BFBFBF"/>
                  </w:tcBorders>
                  <w:shd w:val="clear" w:color="auto" w:fill="auto"/>
                  <w:tcMar>
                    <w:top w:w="28" w:type="dxa"/>
                  </w:tcMar>
                  <w:vAlign w:val="center"/>
                </w:tcPr>
                <w:p w:rsidR="00CF6B94" w:rsidRPr="00CF6234" w:rsidRDefault="00CF6B94" w:rsidP="00E15700">
                  <w:pPr>
                    <w:pStyle w:val="TableColumnHeading"/>
                    <w:jc w:val="left"/>
                  </w:pPr>
                  <w:r>
                    <w:t>Primary carer’s h</w:t>
                  </w:r>
                  <w:r w:rsidRPr="00CF6234">
                    <w:t>ours</w:t>
                  </w:r>
                  <w:r>
                    <w:t xml:space="preserve"> per week</w:t>
                  </w:r>
                  <w:r w:rsidRPr="00CF6234">
                    <w:t xml:space="preserve"> of labour supply</w:t>
                  </w:r>
                </w:p>
              </w:tc>
              <w:tc>
                <w:tcPr>
                  <w:tcW w:w="716" w:type="pct"/>
                  <w:tcBorders>
                    <w:bottom w:val="single" w:sz="6" w:space="0" w:color="BFBFBF"/>
                  </w:tcBorders>
                  <w:shd w:val="clear" w:color="auto" w:fill="auto"/>
                  <w:tcMar>
                    <w:top w:w="28" w:type="dxa"/>
                  </w:tcMar>
                  <w:vAlign w:val="center"/>
                </w:tcPr>
                <w:p w:rsidR="00CF6B94" w:rsidRPr="00CF6234" w:rsidRDefault="00CF6B94" w:rsidP="00E15700">
                  <w:pPr>
                    <w:pStyle w:val="TableColumnHeading"/>
                  </w:pPr>
                  <w:r w:rsidRPr="00CF6234">
                    <w:t>0</w:t>
                  </w:r>
                </w:p>
              </w:tc>
              <w:tc>
                <w:tcPr>
                  <w:tcW w:w="714" w:type="pct"/>
                  <w:tcBorders>
                    <w:top w:val="single" w:sz="6" w:space="0" w:color="BFBFBF" w:themeColor="background2"/>
                    <w:bottom w:val="single" w:sz="6" w:space="0" w:color="BFBFBF" w:themeColor="background2"/>
                  </w:tcBorders>
                  <w:vAlign w:val="center"/>
                </w:tcPr>
                <w:p w:rsidR="00CF6B94" w:rsidRPr="00CF6234" w:rsidRDefault="00CF6B94" w:rsidP="00E15700">
                  <w:pPr>
                    <w:pStyle w:val="TableColumnHeading"/>
                  </w:pPr>
                  <w:r w:rsidRPr="00CF6234">
                    <w:t>10</w:t>
                  </w:r>
                </w:p>
              </w:tc>
              <w:tc>
                <w:tcPr>
                  <w:tcW w:w="714" w:type="pct"/>
                  <w:tcBorders>
                    <w:top w:val="single" w:sz="6" w:space="0" w:color="BFBFBF" w:themeColor="background2"/>
                    <w:bottom w:val="single" w:sz="6" w:space="0" w:color="BFBFBF" w:themeColor="background2"/>
                  </w:tcBorders>
                  <w:vAlign w:val="center"/>
                </w:tcPr>
                <w:p w:rsidR="00CF6B94" w:rsidRPr="00CF6234" w:rsidRDefault="00CF6B94" w:rsidP="00E15700">
                  <w:pPr>
                    <w:pStyle w:val="TableColumnHeading"/>
                  </w:pPr>
                  <w:r w:rsidRPr="00CF6234">
                    <w:t>20</w:t>
                  </w:r>
                </w:p>
              </w:tc>
              <w:tc>
                <w:tcPr>
                  <w:tcW w:w="714" w:type="pct"/>
                  <w:tcBorders>
                    <w:top w:val="single" w:sz="6" w:space="0" w:color="BFBFBF" w:themeColor="background2"/>
                    <w:bottom w:val="single" w:sz="6" w:space="0" w:color="BFBFBF" w:themeColor="background2"/>
                  </w:tcBorders>
                  <w:vAlign w:val="center"/>
                </w:tcPr>
                <w:p w:rsidR="00CF6B94" w:rsidRPr="00CF6234" w:rsidRDefault="00CF6B94" w:rsidP="00E15700">
                  <w:pPr>
                    <w:pStyle w:val="TableColumnHeading"/>
                  </w:pPr>
                  <w:r w:rsidRPr="00CF6234">
                    <w:t>30</w:t>
                  </w:r>
                </w:p>
              </w:tc>
              <w:tc>
                <w:tcPr>
                  <w:tcW w:w="714" w:type="pct"/>
                  <w:tcBorders>
                    <w:top w:val="single" w:sz="6" w:space="0" w:color="BFBFBF" w:themeColor="background2"/>
                    <w:bottom w:val="single" w:sz="6" w:space="0" w:color="BFBFBF" w:themeColor="background2"/>
                  </w:tcBorders>
                  <w:vAlign w:val="center"/>
                </w:tcPr>
                <w:p w:rsidR="00CF6B94" w:rsidRPr="00CF6234" w:rsidRDefault="00CF6B94" w:rsidP="00E15700">
                  <w:pPr>
                    <w:pStyle w:val="TableColumnHeading"/>
                  </w:pPr>
                  <w:r w:rsidRPr="00CF6234">
                    <w:t>40</w:t>
                  </w:r>
                </w:p>
              </w:tc>
              <w:tc>
                <w:tcPr>
                  <w:tcW w:w="714" w:type="pct"/>
                  <w:tcBorders>
                    <w:top w:val="single" w:sz="6" w:space="0" w:color="BFBFBF" w:themeColor="background2"/>
                    <w:bottom w:val="single" w:sz="6" w:space="0" w:color="BFBFBF" w:themeColor="background2"/>
                  </w:tcBorders>
                  <w:shd w:val="clear" w:color="auto" w:fill="auto"/>
                  <w:tcMar>
                    <w:top w:w="28" w:type="dxa"/>
                  </w:tcMar>
                  <w:vAlign w:val="center"/>
                </w:tcPr>
                <w:p w:rsidR="00CF6B94" w:rsidRPr="00CF6234" w:rsidRDefault="00CF6B94" w:rsidP="00E15700">
                  <w:pPr>
                    <w:pStyle w:val="TableColumnHeading"/>
                  </w:pPr>
                  <w:r w:rsidRPr="00CF6234">
                    <w:t>50</w:t>
                  </w:r>
                </w:p>
              </w:tc>
            </w:tr>
            <w:tr w:rsidR="00CF6B94" w:rsidTr="00CF6B94">
              <w:tc>
                <w:tcPr>
                  <w:tcW w:w="714" w:type="pct"/>
                  <w:tcBorders>
                    <w:top w:val="single" w:sz="6" w:space="0" w:color="BFBFBF"/>
                  </w:tcBorders>
                </w:tcPr>
                <w:p w:rsidR="00CF6B94" w:rsidRPr="00181842" w:rsidRDefault="00CF6B94" w:rsidP="00CF6B94">
                  <w:pPr>
                    <w:pStyle w:val="TableBodyText"/>
                    <w:jc w:val="left"/>
                  </w:pPr>
                  <w:r w:rsidRPr="00181842">
                    <w:t>0</w:t>
                  </w:r>
                </w:p>
              </w:tc>
              <w:tc>
                <w:tcPr>
                  <w:tcW w:w="716" w:type="pct"/>
                  <w:tcBorders>
                    <w:top w:val="single" w:sz="6" w:space="0" w:color="BFBFBF"/>
                  </w:tcBorders>
                  <w:vAlign w:val="center"/>
                </w:tcPr>
                <w:p w:rsidR="00CF6B94" w:rsidRPr="00C91C45" w:rsidRDefault="00CF6B94" w:rsidP="00CF6B94">
                  <w:pPr>
                    <w:pStyle w:val="TableBodyText"/>
                  </w:pPr>
                  <w:r w:rsidRPr="00C91C45">
                    <w:t>9.66</w:t>
                  </w:r>
                </w:p>
              </w:tc>
              <w:tc>
                <w:tcPr>
                  <w:tcW w:w="714" w:type="pct"/>
                  <w:vAlign w:val="center"/>
                </w:tcPr>
                <w:p w:rsidR="00CF6B94" w:rsidRPr="00C91C45" w:rsidRDefault="00CF6B94" w:rsidP="00CF6B94">
                  <w:pPr>
                    <w:pStyle w:val="TableBodyText"/>
                  </w:pPr>
                  <w:r w:rsidRPr="00C91C45">
                    <w:t>8.14</w:t>
                  </w:r>
                </w:p>
              </w:tc>
              <w:tc>
                <w:tcPr>
                  <w:tcW w:w="714" w:type="pct"/>
                  <w:vAlign w:val="center"/>
                </w:tcPr>
                <w:p w:rsidR="00CF6B94" w:rsidRPr="00C91C45" w:rsidRDefault="00CF6B94" w:rsidP="00CF6B94">
                  <w:pPr>
                    <w:pStyle w:val="TableBodyText"/>
                  </w:pPr>
                  <w:r w:rsidRPr="00C91C45">
                    <w:t>7.90</w:t>
                  </w:r>
                </w:p>
              </w:tc>
              <w:tc>
                <w:tcPr>
                  <w:tcW w:w="714" w:type="pct"/>
                  <w:vAlign w:val="center"/>
                </w:tcPr>
                <w:p w:rsidR="00CF6B94" w:rsidRPr="00C91C45" w:rsidRDefault="00CF6B94" w:rsidP="00CF6B94">
                  <w:pPr>
                    <w:pStyle w:val="TableBodyText"/>
                  </w:pPr>
                  <w:r w:rsidRPr="00C91C45">
                    <w:t>7.18</w:t>
                  </w:r>
                </w:p>
              </w:tc>
              <w:tc>
                <w:tcPr>
                  <w:tcW w:w="714" w:type="pct"/>
                  <w:vAlign w:val="center"/>
                </w:tcPr>
                <w:p w:rsidR="00CF6B94" w:rsidRPr="00C91C45" w:rsidRDefault="00CF6B94" w:rsidP="00CF6B94">
                  <w:pPr>
                    <w:pStyle w:val="TableBodyText"/>
                  </w:pPr>
                  <w:r w:rsidRPr="00C91C45">
                    <w:t>6.89</w:t>
                  </w:r>
                </w:p>
              </w:tc>
              <w:tc>
                <w:tcPr>
                  <w:tcW w:w="714" w:type="pct"/>
                  <w:vAlign w:val="center"/>
                </w:tcPr>
                <w:p w:rsidR="00CF6B94" w:rsidRPr="00C91C45" w:rsidRDefault="00CF6B94" w:rsidP="00CF6B94">
                  <w:pPr>
                    <w:pStyle w:val="TableBodyText"/>
                  </w:pPr>
                  <w:r w:rsidRPr="00C91C45">
                    <w:t>3.92</w:t>
                  </w:r>
                </w:p>
              </w:tc>
            </w:tr>
            <w:tr w:rsidR="00CF6B94" w:rsidTr="00CF6B94">
              <w:tc>
                <w:tcPr>
                  <w:tcW w:w="714" w:type="pct"/>
                  <w:shd w:val="clear" w:color="auto" w:fill="auto"/>
                </w:tcPr>
                <w:p w:rsidR="00CF6B94" w:rsidRPr="00181842" w:rsidRDefault="00CF6B94" w:rsidP="00CF6B94">
                  <w:pPr>
                    <w:pStyle w:val="TableBodyText"/>
                    <w:jc w:val="left"/>
                  </w:pPr>
                  <w:r w:rsidRPr="00181842">
                    <w:t>8</w:t>
                  </w:r>
                </w:p>
              </w:tc>
              <w:tc>
                <w:tcPr>
                  <w:tcW w:w="716" w:type="pct"/>
                  <w:shd w:val="clear" w:color="auto" w:fill="auto"/>
                  <w:vAlign w:val="center"/>
                </w:tcPr>
                <w:p w:rsidR="00CF6B94" w:rsidRPr="00C91C45" w:rsidRDefault="00CF6B94" w:rsidP="00CF6B94">
                  <w:pPr>
                    <w:pStyle w:val="TableBodyText"/>
                  </w:pPr>
                  <w:r w:rsidRPr="00C91C45">
                    <w:t>6.70</w:t>
                  </w:r>
                </w:p>
              </w:tc>
              <w:tc>
                <w:tcPr>
                  <w:tcW w:w="714" w:type="pct"/>
                  <w:vAlign w:val="center"/>
                </w:tcPr>
                <w:p w:rsidR="00CF6B94" w:rsidRPr="00C91C45" w:rsidRDefault="00CF6B94" w:rsidP="00CF6B94">
                  <w:pPr>
                    <w:pStyle w:val="TableBodyText"/>
                  </w:pPr>
                  <w:r w:rsidRPr="00C91C45">
                    <w:t>6.33</w:t>
                  </w:r>
                </w:p>
              </w:tc>
              <w:tc>
                <w:tcPr>
                  <w:tcW w:w="714" w:type="pct"/>
                  <w:vAlign w:val="center"/>
                </w:tcPr>
                <w:p w:rsidR="00CF6B94" w:rsidRPr="00C91C45" w:rsidRDefault="00CF6B94" w:rsidP="00CF6B94">
                  <w:pPr>
                    <w:pStyle w:val="TableBodyText"/>
                  </w:pPr>
                  <w:r w:rsidRPr="00C91C45">
                    <w:t>6.63</w:t>
                  </w:r>
                </w:p>
              </w:tc>
              <w:tc>
                <w:tcPr>
                  <w:tcW w:w="714" w:type="pct"/>
                  <w:vAlign w:val="center"/>
                </w:tcPr>
                <w:p w:rsidR="00CF6B94" w:rsidRPr="00C91C45" w:rsidRDefault="00CF6B94" w:rsidP="00CF6B94">
                  <w:pPr>
                    <w:pStyle w:val="TableBodyText"/>
                  </w:pPr>
                  <w:r w:rsidRPr="00C91C45">
                    <w:t>4.73</w:t>
                  </w:r>
                </w:p>
              </w:tc>
              <w:tc>
                <w:tcPr>
                  <w:tcW w:w="714" w:type="pct"/>
                  <w:vAlign w:val="center"/>
                </w:tcPr>
                <w:p w:rsidR="00CF6B94" w:rsidRPr="00C91C45" w:rsidRDefault="00CF6B94" w:rsidP="00CF6B94">
                  <w:pPr>
                    <w:pStyle w:val="TableBodyText"/>
                  </w:pPr>
                  <w:r w:rsidRPr="00C91C45">
                    <w:t>5.60</w:t>
                  </w:r>
                </w:p>
              </w:tc>
              <w:tc>
                <w:tcPr>
                  <w:tcW w:w="714" w:type="pct"/>
                  <w:shd w:val="clear" w:color="auto" w:fill="auto"/>
                  <w:vAlign w:val="center"/>
                </w:tcPr>
                <w:p w:rsidR="00CF6B94" w:rsidRPr="00C91C45" w:rsidRDefault="00CF6B94" w:rsidP="00CF6B94">
                  <w:pPr>
                    <w:pStyle w:val="TableBodyText"/>
                  </w:pPr>
                  <w:r w:rsidRPr="00C91C45">
                    <w:t>4.23</w:t>
                  </w:r>
                </w:p>
              </w:tc>
            </w:tr>
            <w:tr w:rsidR="00CF6B94" w:rsidTr="00CF6B94">
              <w:tc>
                <w:tcPr>
                  <w:tcW w:w="714" w:type="pct"/>
                  <w:shd w:val="clear" w:color="auto" w:fill="auto"/>
                </w:tcPr>
                <w:p w:rsidR="00CF6B94" w:rsidRPr="00181842" w:rsidRDefault="00CF6B94" w:rsidP="00CF6B94">
                  <w:pPr>
                    <w:pStyle w:val="TableBodyText"/>
                    <w:jc w:val="left"/>
                  </w:pPr>
                  <w:r w:rsidRPr="00181842">
                    <w:t>16</w:t>
                  </w:r>
                </w:p>
              </w:tc>
              <w:tc>
                <w:tcPr>
                  <w:tcW w:w="716" w:type="pct"/>
                  <w:shd w:val="clear" w:color="auto" w:fill="auto"/>
                  <w:vAlign w:val="center"/>
                </w:tcPr>
                <w:p w:rsidR="00CF6B94" w:rsidRPr="00C91C45" w:rsidRDefault="00CF6B94" w:rsidP="00CF6B94">
                  <w:pPr>
                    <w:pStyle w:val="TableBodyText"/>
                  </w:pPr>
                  <w:r w:rsidRPr="00C91C45">
                    <w:t>6.10</w:t>
                  </w:r>
                </w:p>
              </w:tc>
              <w:tc>
                <w:tcPr>
                  <w:tcW w:w="714" w:type="pct"/>
                  <w:vAlign w:val="center"/>
                </w:tcPr>
                <w:p w:rsidR="00CF6B94" w:rsidRPr="00C91C45" w:rsidRDefault="00CF6B94" w:rsidP="00CF6B94">
                  <w:pPr>
                    <w:pStyle w:val="TableBodyText"/>
                  </w:pPr>
                  <w:r w:rsidRPr="00C91C45">
                    <w:t>6.58</w:t>
                  </w:r>
                </w:p>
              </w:tc>
              <w:tc>
                <w:tcPr>
                  <w:tcW w:w="714" w:type="pct"/>
                  <w:vAlign w:val="center"/>
                </w:tcPr>
                <w:p w:rsidR="00CF6B94" w:rsidRPr="00C91C45" w:rsidRDefault="00CF6B94" w:rsidP="00CF6B94">
                  <w:pPr>
                    <w:pStyle w:val="TableBodyText"/>
                  </w:pPr>
                  <w:r w:rsidRPr="00C91C45">
                    <w:t>9.32</w:t>
                  </w:r>
                </w:p>
              </w:tc>
              <w:tc>
                <w:tcPr>
                  <w:tcW w:w="714" w:type="pct"/>
                  <w:vAlign w:val="center"/>
                </w:tcPr>
                <w:p w:rsidR="00CF6B94" w:rsidRPr="00C91C45" w:rsidRDefault="00CF6B94" w:rsidP="00CF6B94">
                  <w:pPr>
                    <w:pStyle w:val="TableBodyText"/>
                  </w:pPr>
                  <w:r w:rsidRPr="00C91C45">
                    <w:t>6.28</w:t>
                  </w:r>
                </w:p>
              </w:tc>
              <w:tc>
                <w:tcPr>
                  <w:tcW w:w="714" w:type="pct"/>
                  <w:vAlign w:val="center"/>
                </w:tcPr>
                <w:p w:rsidR="00CF6B94" w:rsidRPr="00C91C45" w:rsidRDefault="00CF6B94" w:rsidP="00CF6B94">
                  <w:pPr>
                    <w:pStyle w:val="TableBodyText"/>
                  </w:pPr>
                  <w:r w:rsidRPr="00C91C45">
                    <w:t>6.67</w:t>
                  </w:r>
                </w:p>
              </w:tc>
              <w:tc>
                <w:tcPr>
                  <w:tcW w:w="714" w:type="pct"/>
                  <w:shd w:val="clear" w:color="auto" w:fill="auto"/>
                  <w:vAlign w:val="center"/>
                </w:tcPr>
                <w:p w:rsidR="00CF6B94" w:rsidRPr="00C91C45" w:rsidRDefault="00CF6B94" w:rsidP="00CF6B94">
                  <w:pPr>
                    <w:pStyle w:val="TableBodyText"/>
                  </w:pPr>
                  <w:r w:rsidRPr="00C91C45">
                    <w:t>5.28</w:t>
                  </w:r>
                </w:p>
              </w:tc>
            </w:tr>
            <w:tr w:rsidR="00CF6B94" w:rsidTr="00CF6B94">
              <w:tc>
                <w:tcPr>
                  <w:tcW w:w="714" w:type="pct"/>
                  <w:shd w:val="clear" w:color="auto" w:fill="auto"/>
                </w:tcPr>
                <w:p w:rsidR="00CF6B94" w:rsidRPr="00181842" w:rsidRDefault="00CF6B94" w:rsidP="00CF6B94">
                  <w:pPr>
                    <w:pStyle w:val="TableBodyText"/>
                    <w:jc w:val="left"/>
                  </w:pPr>
                  <w:r w:rsidRPr="00181842">
                    <w:t>24</w:t>
                  </w:r>
                </w:p>
              </w:tc>
              <w:tc>
                <w:tcPr>
                  <w:tcW w:w="716" w:type="pct"/>
                  <w:shd w:val="clear" w:color="auto" w:fill="auto"/>
                  <w:vAlign w:val="center"/>
                </w:tcPr>
                <w:p w:rsidR="00CF6B94" w:rsidRPr="00C91C45" w:rsidRDefault="00CF6B94" w:rsidP="00CF6B94">
                  <w:pPr>
                    <w:pStyle w:val="TableBodyText"/>
                  </w:pPr>
                  <w:r w:rsidRPr="00C91C45">
                    <w:t>7.20</w:t>
                  </w:r>
                </w:p>
              </w:tc>
              <w:tc>
                <w:tcPr>
                  <w:tcW w:w="714" w:type="pct"/>
                  <w:vAlign w:val="center"/>
                </w:tcPr>
                <w:p w:rsidR="00CF6B94" w:rsidRPr="00C91C45" w:rsidRDefault="00CF6B94" w:rsidP="00CF6B94">
                  <w:pPr>
                    <w:pStyle w:val="TableBodyText"/>
                  </w:pPr>
                  <w:r w:rsidRPr="00C91C45">
                    <w:t>7.12</w:t>
                  </w:r>
                </w:p>
              </w:tc>
              <w:tc>
                <w:tcPr>
                  <w:tcW w:w="714" w:type="pct"/>
                  <w:vAlign w:val="center"/>
                </w:tcPr>
                <w:p w:rsidR="00CF6B94" w:rsidRPr="00C91C45" w:rsidRDefault="00CF6B94" w:rsidP="00CF6B94">
                  <w:pPr>
                    <w:pStyle w:val="TableBodyText"/>
                  </w:pPr>
                  <w:r w:rsidRPr="00C91C45">
                    <w:t>9.23</w:t>
                  </w:r>
                </w:p>
              </w:tc>
              <w:tc>
                <w:tcPr>
                  <w:tcW w:w="714" w:type="pct"/>
                  <w:vAlign w:val="center"/>
                </w:tcPr>
                <w:p w:rsidR="00CF6B94" w:rsidRPr="00C91C45" w:rsidRDefault="00CF6B94" w:rsidP="00CF6B94">
                  <w:pPr>
                    <w:pStyle w:val="TableBodyText"/>
                  </w:pPr>
                  <w:r w:rsidRPr="00C91C45">
                    <w:t>8.53</w:t>
                  </w:r>
                </w:p>
              </w:tc>
              <w:tc>
                <w:tcPr>
                  <w:tcW w:w="714" w:type="pct"/>
                  <w:vAlign w:val="center"/>
                </w:tcPr>
                <w:p w:rsidR="00CF6B94" w:rsidRPr="00C91C45" w:rsidRDefault="00CF6B94" w:rsidP="00CF6B94">
                  <w:pPr>
                    <w:pStyle w:val="TableBodyText"/>
                  </w:pPr>
                  <w:r w:rsidRPr="00C91C45">
                    <w:t>11.08</w:t>
                  </w:r>
                </w:p>
              </w:tc>
              <w:tc>
                <w:tcPr>
                  <w:tcW w:w="714" w:type="pct"/>
                  <w:shd w:val="clear" w:color="auto" w:fill="auto"/>
                  <w:vAlign w:val="center"/>
                </w:tcPr>
                <w:p w:rsidR="00CF6B94" w:rsidRPr="00C91C45" w:rsidRDefault="00CF6B94" w:rsidP="00CF6B94">
                  <w:pPr>
                    <w:pStyle w:val="TableBodyText"/>
                  </w:pPr>
                  <w:r w:rsidRPr="00C91C45">
                    <w:t>7.21</w:t>
                  </w:r>
                </w:p>
              </w:tc>
            </w:tr>
            <w:tr w:rsidR="00CF6B94" w:rsidTr="00CF6B94">
              <w:tc>
                <w:tcPr>
                  <w:tcW w:w="714" w:type="pct"/>
                  <w:shd w:val="clear" w:color="auto" w:fill="auto"/>
                </w:tcPr>
                <w:p w:rsidR="00CF6B94" w:rsidRPr="00181842" w:rsidRDefault="00CF6B94" w:rsidP="00CF6B94">
                  <w:pPr>
                    <w:pStyle w:val="TableBodyText"/>
                    <w:jc w:val="left"/>
                  </w:pPr>
                  <w:r w:rsidRPr="00181842">
                    <w:t>32</w:t>
                  </w:r>
                </w:p>
              </w:tc>
              <w:tc>
                <w:tcPr>
                  <w:tcW w:w="716" w:type="pct"/>
                  <w:shd w:val="clear" w:color="auto" w:fill="auto"/>
                  <w:vAlign w:val="center"/>
                </w:tcPr>
                <w:p w:rsidR="00CF6B94" w:rsidRPr="00C91C45" w:rsidRDefault="00CF6B94" w:rsidP="00CF6B94">
                  <w:pPr>
                    <w:pStyle w:val="TableBodyText"/>
                  </w:pPr>
                  <w:r w:rsidRPr="00C91C45">
                    <w:t>6.97</w:t>
                  </w:r>
                </w:p>
              </w:tc>
              <w:tc>
                <w:tcPr>
                  <w:tcW w:w="714" w:type="pct"/>
                  <w:vAlign w:val="center"/>
                </w:tcPr>
                <w:p w:rsidR="00CF6B94" w:rsidRPr="00C91C45" w:rsidRDefault="00CF6B94" w:rsidP="00CF6B94">
                  <w:pPr>
                    <w:pStyle w:val="TableBodyText"/>
                  </w:pPr>
                  <w:r w:rsidRPr="00C91C45">
                    <w:t>8.42</w:t>
                  </w:r>
                </w:p>
              </w:tc>
              <w:tc>
                <w:tcPr>
                  <w:tcW w:w="714" w:type="pct"/>
                  <w:shd w:val="clear" w:color="auto" w:fill="F2F2F2"/>
                  <w:vAlign w:val="center"/>
                </w:tcPr>
                <w:p w:rsidR="00CF6B94" w:rsidRPr="00C91C45" w:rsidRDefault="00CF6B94" w:rsidP="00CF6B94">
                  <w:pPr>
                    <w:pStyle w:val="TableBodyText"/>
                    <w:rPr>
                      <w:b/>
                    </w:rPr>
                  </w:pPr>
                  <w:r w:rsidRPr="00C91C45">
                    <w:rPr>
                      <w:b/>
                    </w:rPr>
                    <w:t>12.59</w:t>
                  </w:r>
                </w:p>
              </w:tc>
              <w:tc>
                <w:tcPr>
                  <w:tcW w:w="714" w:type="pct"/>
                  <w:vAlign w:val="center"/>
                </w:tcPr>
                <w:p w:rsidR="00CF6B94" w:rsidRPr="00C91C45" w:rsidRDefault="00CF6B94" w:rsidP="00CF6B94">
                  <w:pPr>
                    <w:pStyle w:val="TableBodyText"/>
                  </w:pPr>
                  <w:r w:rsidRPr="00C91C45">
                    <w:t>8.10</w:t>
                  </w:r>
                </w:p>
              </w:tc>
              <w:tc>
                <w:tcPr>
                  <w:tcW w:w="714" w:type="pct"/>
                  <w:vAlign w:val="center"/>
                </w:tcPr>
                <w:p w:rsidR="00CF6B94" w:rsidRPr="00C91C45" w:rsidRDefault="00CF6B94" w:rsidP="00CF6B94">
                  <w:pPr>
                    <w:pStyle w:val="TableBodyText"/>
                  </w:pPr>
                  <w:r w:rsidRPr="00C91C45">
                    <w:t>6.70</w:t>
                  </w:r>
                </w:p>
              </w:tc>
              <w:tc>
                <w:tcPr>
                  <w:tcW w:w="714" w:type="pct"/>
                  <w:shd w:val="clear" w:color="auto" w:fill="auto"/>
                  <w:vAlign w:val="center"/>
                </w:tcPr>
                <w:p w:rsidR="00CF6B94" w:rsidRPr="00C91C45" w:rsidRDefault="00CF6B94" w:rsidP="00CF6B94">
                  <w:pPr>
                    <w:pStyle w:val="TableBodyText"/>
                  </w:pPr>
                  <w:r w:rsidRPr="00C91C45">
                    <w:t>7.13</w:t>
                  </w:r>
                </w:p>
              </w:tc>
            </w:tr>
            <w:tr w:rsidR="00CF6B94" w:rsidTr="00CF6B94">
              <w:tc>
                <w:tcPr>
                  <w:tcW w:w="714" w:type="pct"/>
                  <w:shd w:val="clear" w:color="auto" w:fill="auto"/>
                </w:tcPr>
                <w:p w:rsidR="00CF6B94" w:rsidRPr="00181842" w:rsidRDefault="00CF6B94" w:rsidP="00CF6B94">
                  <w:pPr>
                    <w:pStyle w:val="TableBodyText"/>
                    <w:jc w:val="left"/>
                  </w:pPr>
                  <w:r w:rsidRPr="00181842">
                    <w:t>40</w:t>
                  </w:r>
                </w:p>
              </w:tc>
              <w:tc>
                <w:tcPr>
                  <w:tcW w:w="716" w:type="pct"/>
                  <w:shd w:val="clear" w:color="auto" w:fill="auto"/>
                  <w:vAlign w:val="center"/>
                </w:tcPr>
                <w:p w:rsidR="00CF6B94" w:rsidRPr="00C91C45" w:rsidRDefault="00CF6B94" w:rsidP="00CF6B94">
                  <w:pPr>
                    <w:pStyle w:val="TableBodyText"/>
                  </w:pPr>
                  <w:r w:rsidRPr="00C91C45">
                    <w:t>6.85</w:t>
                  </w:r>
                </w:p>
              </w:tc>
              <w:tc>
                <w:tcPr>
                  <w:tcW w:w="714" w:type="pct"/>
                  <w:vAlign w:val="center"/>
                </w:tcPr>
                <w:p w:rsidR="00CF6B94" w:rsidRPr="00C91C45" w:rsidRDefault="00CF6B94" w:rsidP="00CF6B94">
                  <w:pPr>
                    <w:pStyle w:val="TableBodyText"/>
                  </w:pPr>
                  <w:r w:rsidRPr="00C91C45">
                    <w:t>7.97</w:t>
                  </w:r>
                </w:p>
              </w:tc>
              <w:tc>
                <w:tcPr>
                  <w:tcW w:w="714" w:type="pct"/>
                  <w:vAlign w:val="center"/>
                </w:tcPr>
                <w:p w:rsidR="00CF6B94" w:rsidRPr="00C91C45" w:rsidRDefault="00CF6B94" w:rsidP="00CF6B94">
                  <w:pPr>
                    <w:pStyle w:val="TableBodyText"/>
                  </w:pPr>
                  <w:r w:rsidRPr="00C91C45">
                    <w:t>7.72</w:t>
                  </w:r>
                </w:p>
              </w:tc>
              <w:tc>
                <w:tcPr>
                  <w:tcW w:w="714" w:type="pct"/>
                  <w:vAlign w:val="center"/>
                </w:tcPr>
                <w:p w:rsidR="00CF6B94" w:rsidRPr="00C91C45" w:rsidRDefault="00CF6B94" w:rsidP="00CF6B94">
                  <w:pPr>
                    <w:pStyle w:val="TableBodyText"/>
                  </w:pPr>
                  <w:r w:rsidRPr="00C91C45">
                    <w:t>8.56</w:t>
                  </w:r>
                </w:p>
              </w:tc>
              <w:tc>
                <w:tcPr>
                  <w:tcW w:w="714" w:type="pct"/>
                  <w:vAlign w:val="center"/>
                </w:tcPr>
                <w:p w:rsidR="00CF6B94" w:rsidRPr="00C91C45" w:rsidRDefault="00CF6B94" w:rsidP="00CF6B94">
                  <w:pPr>
                    <w:pStyle w:val="TableBodyText"/>
                  </w:pPr>
                  <w:r w:rsidRPr="00C91C45">
                    <w:t>9.57</w:t>
                  </w:r>
                </w:p>
              </w:tc>
              <w:tc>
                <w:tcPr>
                  <w:tcW w:w="714" w:type="pct"/>
                  <w:shd w:val="clear" w:color="auto" w:fill="auto"/>
                  <w:vAlign w:val="center"/>
                </w:tcPr>
                <w:p w:rsidR="00CF6B94" w:rsidRPr="00C91C45" w:rsidRDefault="00CF6B94" w:rsidP="00CF6B94">
                  <w:pPr>
                    <w:pStyle w:val="TableBodyText"/>
                  </w:pPr>
                  <w:r w:rsidRPr="00C91C45">
                    <w:t>7.40</w:t>
                  </w:r>
                </w:p>
              </w:tc>
            </w:tr>
            <w:tr w:rsidR="00CF6B94" w:rsidTr="00CF6B94">
              <w:tc>
                <w:tcPr>
                  <w:tcW w:w="714" w:type="pct"/>
                  <w:shd w:val="clear" w:color="auto" w:fill="auto"/>
                </w:tcPr>
                <w:p w:rsidR="00CF6B94" w:rsidRPr="00181842" w:rsidRDefault="00CF6B94" w:rsidP="00CF6B94">
                  <w:pPr>
                    <w:pStyle w:val="TableBodyText"/>
                    <w:jc w:val="left"/>
                  </w:pPr>
                  <w:r w:rsidRPr="00181842">
                    <w:t>48</w:t>
                  </w:r>
                </w:p>
              </w:tc>
              <w:tc>
                <w:tcPr>
                  <w:tcW w:w="716" w:type="pct"/>
                  <w:shd w:val="clear" w:color="auto" w:fill="auto"/>
                  <w:vAlign w:val="center"/>
                </w:tcPr>
                <w:p w:rsidR="00CF6B94" w:rsidRPr="00C91C45" w:rsidRDefault="00CF6B94" w:rsidP="00CF6B94">
                  <w:pPr>
                    <w:pStyle w:val="TableBodyText"/>
                  </w:pPr>
                  <w:r w:rsidRPr="00C91C45">
                    <w:t>6.34</w:t>
                  </w:r>
                </w:p>
              </w:tc>
              <w:tc>
                <w:tcPr>
                  <w:tcW w:w="714" w:type="pct"/>
                  <w:vAlign w:val="center"/>
                </w:tcPr>
                <w:p w:rsidR="00CF6B94" w:rsidRPr="00C91C45" w:rsidRDefault="00CF6B94" w:rsidP="00CF6B94">
                  <w:pPr>
                    <w:pStyle w:val="TableBodyText"/>
                  </w:pPr>
                  <w:r w:rsidRPr="00C91C45">
                    <w:t>7.98</w:t>
                  </w:r>
                </w:p>
              </w:tc>
              <w:tc>
                <w:tcPr>
                  <w:tcW w:w="714" w:type="pct"/>
                  <w:vAlign w:val="center"/>
                </w:tcPr>
                <w:p w:rsidR="00CF6B94" w:rsidRPr="00C91C45" w:rsidRDefault="00CF6B94" w:rsidP="00CF6B94">
                  <w:pPr>
                    <w:pStyle w:val="TableBodyText"/>
                  </w:pPr>
                  <w:r w:rsidRPr="00C91C45">
                    <w:t>7.36</w:t>
                  </w:r>
                </w:p>
              </w:tc>
              <w:tc>
                <w:tcPr>
                  <w:tcW w:w="714" w:type="pct"/>
                  <w:vAlign w:val="center"/>
                </w:tcPr>
                <w:p w:rsidR="00CF6B94" w:rsidRPr="00C91C45" w:rsidRDefault="00CF6B94" w:rsidP="00CF6B94">
                  <w:pPr>
                    <w:pStyle w:val="TableBodyText"/>
                  </w:pPr>
                  <w:r w:rsidRPr="00C91C45">
                    <w:t>6.82</w:t>
                  </w:r>
                </w:p>
              </w:tc>
              <w:tc>
                <w:tcPr>
                  <w:tcW w:w="714" w:type="pct"/>
                  <w:vAlign w:val="center"/>
                </w:tcPr>
                <w:p w:rsidR="00CF6B94" w:rsidRPr="00C91C45" w:rsidRDefault="00CF6B94" w:rsidP="00CF6B94">
                  <w:pPr>
                    <w:pStyle w:val="TableBodyText"/>
                  </w:pPr>
                  <w:r w:rsidRPr="00C91C45">
                    <w:t>12.29</w:t>
                  </w:r>
                </w:p>
              </w:tc>
              <w:tc>
                <w:tcPr>
                  <w:tcW w:w="714" w:type="pct"/>
                  <w:shd w:val="clear" w:color="auto" w:fill="auto"/>
                  <w:vAlign w:val="center"/>
                </w:tcPr>
                <w:p w:rsidR="00CF6B94" w:rsidRPr="00C91C45" w:rsidRDefault="00CF6B94" w:rsidP="00CF6B94">
                  <w:pPr>
                    <w:pStyle w:val="TableBodyText"/>
                  </w:pPr>
                  <w:r w:rsidRPr="00C91C45">
                    <w:t>8.87</w:t>
                  </w:r>
                </w:p>
              </w:tc>
            </w:tr>
            <w:tr w:rsidR="00CF6B94" w:rsidTr="00CF6B94">
              <w:tc>
                <w:tcPr>
                  <w:tcW w:w="714" w:type="pct"/>
                  <w:tcBorders>
                    <w:bottom w:val="single" w:sz="6" w:space="0" w:color="C8C8C8"/>
                  </w:tcBorders>
                  <w:shd w:val="clear" w:color="auto" w:fill="auto"/>
                </w:tcPr>
                <w:p w:rsidR="00CF6B94" w:rsidRDefault="00CF6B94" w:rsidP="00CF6B94">
                  <w:pPr>
                    <w:pStyle w:val="TableBodyText"/>
                    <w:jc w:val="left"/>
                  </w:pPr>
                  <w:r w:rsidRPr="00181842">
                    <w:t>56</w:t>
                  </w:r>
                </w:p>
              </w:tc>
              <w:tc>
                <w:tcPr>
                  <w:tcW w:w="716" w:type="pct"/>
                  <w:tcBorders>
                    <w:bottom w:val="single" w:sz="6" w:space="0" w:color="C8C8C8"/>
                  </w:tcBorders>
                  <w:shd w:val="clear" w:color="auto" w:fill="auto"/>
                  <w:vAlign w:val="center"/>
                </w:tcPr>
                <w:p w:rsidR="00CF6B94" w:rsidRPr="00C91C45" w:rsidRDefault="00CF6B94" w:rsidP="00CF6B94">
                  <w:pPr>
                    <w:pStyle w:val="TableBodyText"/>
                  </w:pPr>
                  <w:r w:rsidRPr="00C91C45">
                    <w:t>5.39</w:t>
                  </w:r>
                </w:p>
              </w:tc>
              <w:tc>
                <w:tcPr>
                  <w:tcW w:w="714" w:type="pct"/>
                  <w:tcBorders>
                    <w:bottom w:val="single" w:sz="6" w:space="0" w:color="C8C8C8"/>
                  </w:tcBorders>
                  <w:vAlign w:val="center"/>
                </w:tcPr>
                <w:p w:rsidR="00CF6B94" w:rsidRPr="00C91C45" w:rsidRDefault="00CF6B94" w:rsidP="00CF6B94">
                  <w:pPr>
                    <w:pStyle w:val="TableBodyText"/>
                  </w:pPr>
                  <w:r w:rsidRPr="00C91C45">
                    <w:t>7.31</w:t>
                  </w:r>
                </w:p>
              </w:tc>
              <w:tc>
                <w:tcPr>
                  <w:tcW w:w="714" w:type="pct"/>
                  <w:tcBorders>
                    <w:bottom w:val="single" w:sz="6" w:space="0" w:color="C8C8C8"/>
                  </w:tcBorders>
                  <w:vAlign w:val="center"/>
                </w:tcPr>
                <w:p w:rsidR="00CF6B94" w:rsidRPr="00C91C45" w:rsidRDefault="00CF6B94" w:rsidP="00CF6B94">
                  <w:pPr>
                    <w:pStyle w:val="TableBodyText"/>
                  </w:pPr>
                  <w:r w:rsidRPr="00C91C45">
                    <w:t>6.23</w:t>
                  </w:r>
                </w:p>
              </w:tc>
              <w:tc>
                <w:tcPr>
                  <w:tcW w:w="714" w:type="pct"/>
                  <w:tcBorders>
                    <w:bottom w:val="single" w:sz="6" w:space="0" w:color="C8C8C8"/>
                  </w:tcBorders>
                  <w:vAlign w:val="center"/>
                </w:tcPr>
                <w:p w:rsidR="00CF6B94" w:rsidRPr="00C91C45" w:rsidRDefault="00CF6B94" w:rsidP="00CF6B94">
                  <w:pPr>
                    <w:pStyle w:val="TableBodyText"/>
                  </w:pPr>
                  <w:r w:rsidRPr="00C91C45">
                    <w:t>8.89</w:t>
                  </w:r>
                </w:p>
              </w:tc>
              <w:tc>
                <w:tcPr>
                  <w:tcW w:w="714" w:type="pct"/>
                  <w:tcBorders>
                    <w:bottom w:val="single" w:sz="6" w:space="0" w:color="C8C8C8"/>
                  </w:tcBorders>
                  <w:vAlign w:val="center"/>
                </w:tcPr>
                <w:p w:rsidR="00CF6B94" w:rsidRPr="00C91C45" w:rsidRDefault="00CF6B94" w:rsidP="00CF6B94">
                  <w:pPr>
                    <w:pStyle w:val="TableBodyText"/>
                  </w:pPr>
                  <w:r w:rsidRPr="00C91C45">
                    <w:t>6.80</w:t>
                  </w:r>
                </w:p>
              </w:tc>
              <w:tc>
                <w:tcPr>
                  <w:tcW w:w="714" w:type="pct"/>
                  <w:tcBorders>
                    <w:bottom w:val="single" w:sz="6" w:space="0" w:color="C8C8C8"/>
                  </w:tcBorders>
                  <w:shd w:val="clear" w:color="auto" w:fill="auto"/>
                  <w:vAlign w:val="center"/>
                </w:tcPr>
                <w:p w:rsidR="00CF6B94" w:rsidRPr="00C91C45" w:rsidRDefault="00CF6B94" w:rsidP="00CF6B94">
                  <w:pPr>
                    <w:pStyle w:val="TableBodyText"/>
                  </w:pPr>
                  <w:r w:rsidRPr="00C91C45">
                    <w:t>9.89</w:t>
                  </w:r>
                </w:p>
              </w:tc>
            </w:tr>
          </w:tbl>
          <w:p w:rsidR="00CF6B94" w:rsidRDefault="00CF6B94" w:rsidP="00CF6B94">
            <w:pPr>
              <w:pStyle w:val="Box"/>
            </w:pP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Source"/>
            </w:pPr>
            <w:r>
              <w:rPr>
                <w:i/>
              </w:rPr>
              <w:t>Source</w:t>
            </w:r>
            <w:r w:rsidRPr="00167F06">
              <w:t>:</w:t>
            </w:r>
            <w:r>
              <w:t xml:space="preserve"> PCMC model estimates.</w:t>
            </w:r>
          </w:p>
        </w:tc>
      </w:tr>
      <w:tr w:rsidR="00CF6B94" w:rsidTr="00CF6B94">
        <w:trPr>
          <w:cantSplit/>
        </w:trPr>
        <w:tc>
          <w:tcPr>
            <w:tcW w:w="8771" w:type="dxa"/>
            <w:tcBorders>
              <w:top w:val="nil"/>
              <w:left w:val="nil"/>
              <w:bottom w:val="single" w:sz="6" w:space="0" w:color="78A22F" w:themeColor="accent1"/>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themeColor="accent1"/>
              <w:left w:val="nil"/>
              <w:bottom w:val="nil"/>
              <w:right w:val="nil"/>
            </w:tcBorders>
          </w:tcPr>
          <w:p w:rsidR="00CF6B94" w:rsidRPr="00626D32" w:rsidRDefault="00CF6B94" w:rsidP="00CF6B94">
            <w:pPr>
              <w:pStyle w:val="BoxSpaceBelow"/>
            </w:pPr>
          </w:p>
        </w:tc>
      </w:tr>
    </w:tbl>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themeColor="accent1"/>
              <w:left w:val="nil"/>
              <w:bottom w:val="nil"/>
              <w:right w:val="nil"/>
            </w:tcBorders>
            <w:shd w:val="clear" w:color="auto" w:fill="auto"/>
          </w:tcPr>
          <w:p w:rsidR="00CF6B94" w:rsidRPr="00784A05" w:rsidRDefault="00CF6B94" w:rsidP="00B14997">
            <w:pPr>
              <w:pStyle w:val="TableTitle"/>
            </w:pPr>
            <w:r>
              <w:rPr>
                <w:b w:val="0"/>
              </w:rPr>
              <w:t>Table 7</w:t>
            </w:r>
            <w:r>
              <w:tab/>
              <w:t>Illustrative post</w:t>
            </w:r>
            <w:r>
              <w:noBreakHyphen/>
              <w:t xml:space="preserve">policy utility payoff </w:t>
            </w:r>
            <w:proofErr w:type="spellStart"/>
            <w:r>
              <w:t>table</w:t>
            </w:r>
            <w:r w:rsidRPr="001018B7">
              <w:rPr>
                <w:vertAlign w:val="superscript"/>
              </w:rPr>
              <w:t>a</w:t>
            </w:r>
            <w:proofErr w:type="spellEnd"/>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17"/>
              <w:gridCol w:w="1212"/>
              <w:gridCol w:w="1212"/>
              <w:gridCol w:w="1212"/>
              <w:gridCol w:w="1212"/>
              <w:gridCol w:w="1212"/>
              <w:gridCol w:w="1210"/>
            </w:tblGrid>
            <w:tr w:rsidR="00CF6B94" w:rsidTr="00CF6B94">
              <w:tc>
                <w:tcPr>
                  <w:tcW w:w="717" w:type="pct"/>
                  <w:tcBorders>
                    <w:top w:val="single" w:sz="6" w:space="0" w:color="BFBFBF" w:themeColor="background2"/>
                  </w:tcBorders>
                  <w:shd w:val="clear" w:color="auto" w:fill="auto"/>
                  <w:tcMar>
                    <w:top w:w="28" w:type="dxa"/>
                  </w:tcMar>
                </w:tcPr>
                <w:p w:rsidR="00CF6B94" w:rsidRDefault="00CF6B94" w:rsidP="00CF6B94">
                  <w:pPr>
                    <w:pStyle w:val="TableColumnHeading"/>
                    <w:jc w:val="left"/>
                  </w:pPr>
                </w:p>
              </w:tc>
              <w:tc>
                <w:tcPr>
                  <w:tcW w:w="4283" w:type="pct"/>
                  <w:gridSpan w:val="6"/>
                  <w:tcBorders>
                    <w:top w:val="single" w:sz="6" w:space="0" w:color="BFBFBF" w:themeColor="background2"/>
                    <w:bottom w:val="single" w:sz="6" w:space="0" w:color="BFBFBF" w:themeColor="background2"/>
                  </w:tcBorders>
                </w:tcPr>
                <w:p w:rsidR="00CF6B94" w:rsidRPr="00391A76" w:rsidRDefault="00CF6B94" w:rsidP="00CF6B94">
                  <w:pPr>
                    <w:pStyle w:val="TableColumnHeading"/>
                    <w:jc w:val="center"/>
                  </w:pPr>
                  <w:r w:rsidRPr="00391A76">
                    <w:t>Hours of formal childcare</w:t>
                  </w:r>
                </w:p>
              </w:tc>
            </w:tr>
            <w:tr w:rsidR="00CF6B94" w:rsidTr="00E15700">
              <w:tc>
                <w:tcPr>
                  <w:tcW w:w="717" w:type="pct"/>
                  <w:tcBorders>
                    <w:bottom w:val="single" w:sz="6" w:space="0" w:color="BFBFBF"/>
                  </w:tcBorders>
                  <w:shd w:val="clear" w:color="auto" w:fill="auto"/>
                  <w:tcMar>
                    <w:top w:w="28" w:type="dxa"/>
                  </w:tcMar>
                </w:tcPr>
                <w:p w:rsidR="00CF6B94" w:rsidRPr="00CF6234" w:rsidRDefault="00CF6B94" w:rsidP="00CF6B94">
                  <w:pPr>
                    <w:pStyle w:val="TableColumnHeading"/>
                    <w:jc w:val="left"/>
                  </w:pPr>
                  <w:r>
                    <w:t>Primary carer’s h</w:t>
                  </w:r>
                  <w:r w:rsidRPr="00CF6234">
                    <w:t>ours</w:t>
                  </w:r>
                  <w:r>
                    <w:t xml:space="preserve"> per week</w:t>
                  </w:r>
                  <w:r w:rsidRPr="00CF6234">
                    <w:t xml:space="preserve"> of labour supply</w:t>
                  </w:r>
                </w:p>
              </w:tc>
              <w:tc>
                <w:tcPr>
                  <w:tcW w:w="714" w:type="pct"/>
                  <w:tcBorders>
                    <w:bottom w:val="single" w:sz="6" w:space="0" w:color="BFBFBF"/>
                  </w:tcBorders>
                  <w:vAlign w:val="center"/>
                </w:tcPr>
                <w:p w:rsidR="00CF6B94" w:rsidRPr="00CF6234" w:rsidRDefault="00CF6B94" w:rsidP="00E15700">
                  <w:pPr>
                    <w:pStyle w:val="TableColumnHeading"/>
                  </w:pPr>
                  <w:r w:rsidRPr="00CF6234">
                    <w:t>0</w:t>
                  </w:r>
                </w:p>
              </w:tc>
              <w:tc>
                <w:tcPr>
                  <w:tcW w:w="714" w:type="pct"/>
                  <w:tcBorders>
                    <w:top w:val="single" w:sz="6" w:space="0" w:color="BFBFBF" w:themeColor="background2"/>
                    <w:bottom w:val="single" w:sz="6" w:space="0" w:color="BFBFBF" w:themeColor="background2"/>
                  </w:tcBorders>
                  <w:vAlign w:val="center"/>
                </w:tcPr>
                <w:p w:rsidR="00CF6B94" w:rsidRPr="00CF6234" w:rsidRDefault="00CF6B94" w:rsidP="00E15700">
                  <w:pPr>
                    <w:pStyle w:val="TableColumnHeading"/>
                  </w:pPr>
                  <w:r w:rsidRPr="00CF6234">
                    <w:t>10</w:t>
                  </w:r>
                </w:p>
              </w:tc>
              <w:tc>
                <w:tcPr>
                  <w:tcW w:w="714" w:type="pct"/>
                  <w:tcBorders>
                    <w:top w:val="single" w:sz="6" w:space="0" w:color="BFBFBF" w:themeColor="background2"/>
                    <w:bottom w:val="single" w:sz="6" w:space="0" w:color="BFBFBF" w:themeColor="background2"/>
                  </w:tcBorders>
                  <w:vAlign w:val="center"/>
                </w:tcPr>
                <w:p w:rsidR="00CF6B94" w:rsidRPr="00CF6234" w:rsidRDefault="00CF6B94" w:rsidP="00E15700">
                  <w:pPr>
                    <w:pStyle w:val="TableColumnHeading"/>
                  </w:pPr>
                  <w:r w:rsidRPr="00CF6234">
                    <w:t>20</w:t>
                  </w:r>
                </w:p>
              </w:tc>
              <w:tc>
                <w:tcPr>
                  <w:tcW w:w="714" w:type="pct"/>
                  <w:tcBorders>
                    <w:top w:val="single" w:sz="6" w:space="0" w:color="BFBFBF" w:themeColor="background2"/>
                    <w:bottom w:val="single" w:sz="6" w:space="0" w:color="BFBFBF" w:themeColor="background2"/>
                  </w:tcBorders>
                  <w:vAlign w:val="center"/>
                </w:tcPr>
                <w:p w:rsidR="00CF6B94" w:rsidRPr="00CF6234" w:rsidRDefault="00CF6B94" w:rsidP="00E15700">
                  <w:pPr>
                    <w:pStyle w:val="TableColumnHeading"/>
                  </w:pPr>
                  <w:r w:rsidRPr="00CF6234">
                    <w:t>30</w:t>
                  </w:r>
                </w:p>
              </w:tc>
              <w:tc>
                <w:tcPr>
                  <w:tcW w:w="714" w:type="pct"/>
                  <w:tcBorders>
                    <w:top w:val="single" w:sz="6" w:space="0" w:color="BFBFBF" w:themeColor="background2"/>
                    <w:bottom w:val="single" w:sz="6" w:space="0" w:color="BFBFBF" w:themeColor="background2"/>
                  </w:tcBorders>
                  <w:shd w:val="clear" w:color="auto" w:fill="auto"/>
                  <w:tcMar>
                    <w:top w:w="28" w:type="dxa"/>
                  </w:tcMar>
                  <w:vAlign w:val="center"/>
                </w:tcPr>
                <w:p w:rsidR="00CF6B94" w:rsidRPr="00CF6234" w:rsidRDefault="00CF6B94" w:rsidP="00E15700">
                  <w:pPr>
                    <w:pStyle w:val="TableColumnHeading"/>
                  </w:pPr>
                  <w:r w:rsidRPr="00CF6234">
                    <w:t>40</w:t>
                  </w:r>
                </w:p>
              </w:tc>
              <w:tc>
                <w:tcPr>
                  <w:tcW w:w="713" w:type="pct"/>
                  <w:tcBorders>
                    <w:top w:val="single" w:sz="6" w:space="0" w:color="BFBFBF" w:themeColor="background2"/>
                    <w:bottom w:val="single" w:sz="6" w:space="0" w:color="BFBFBF" w:themeColor="background2"/>
                  </w:tcBorders>
                  <w:shd w:val="clear" w:color="auto" w:fill="auto"/>
                  <w:tcMar>
                    <w:top w:w="28" w:type="dxa"/>
                  </w:tcMar>
                  <w:vAlign w:val="center"/>
                </w:tcPr>
                <w:p w:rsidR="00CF6B94" w:rsidRPr="00CF6234" w:rsidRDefault="00CF6B94" w:rsidP="00E15700">
                  <w:pPr>
                    <w:pStyle w:val="TableColumnHeading"/>
                  </w:pPr>
                  <w:r w:rsidRPr="00CF6234">
                    <w:t>50</w:t>
                  </w:r>
                </w:p>
              </w:tc>
            </w:tr>
            <w:tr w:rsidR="00CF6B94" w:rsidTr="00CF6B94">
              <w:tc>
                <w:tcPr>
                  <w:tcW w:w="717" w:type="pct"/>
                </w:tcPr>
                <w:p w:rsidR="00CF6B94" w:rsidRDefault="00CF6B94" w:rsidP="00CF6B94">
                  <w:pPr>
                    <w:pStyle w:val="TableBodyText"/>
                    <w:jc w:val="left"/>
                  </w:pPr>
                  <w:r>
                    <w:t>0</w:t>
                  </w:r>
                </w:p>
              </w:tc>
              <w:tc>
                <w:tcPr>
                  <w:tcW w:w="714" w:type="pct"/>
                  <w:vAlign w:val="center"/>
                </w:tcPr>
                <w:p w:rsidR="00CF6B94" w:rsidRPr="00C91C45" w:rsidRDefault="00CF6B94" w:rsidP="00CF6B94">
                  <w:pPr>
                    <w:pStyle w:val="TableBodyText"/>
                  </w:pPr>
                  <w:r w:rsidRPr="00C91C45">
                    <w:t>9.66</w:t>
                  </w:r>
                </w:p>
              </w:tc>
              <w:tc>
                <w:tcPr>
                  <w:tcW w:w="714" w:type="pct"/>
                  <w:shd w:val="clear" w:color="auto" w:fill="F2F2F2"/>
                  <w:vAlign w:val="center"/>
                </w:tcPr>
                <w:p w:rsidR="00CF6B94" w:rsidRPr="00C91C45" w:rsidRDefault="00CF6B94" w:rsidP="00CF6B94">
                  <w:pPr>
                    <w:pStyle w:val="TableBodyText"/>
                  </w:pPr>
                  <w:r w:rsidRPr="00C91C45">
                    <w:t>7.39</w:t>
                  </w:r>
                </w:p>
              </w:tc>
              <w:tc>
                <w:tcPr>
                  <w:tcW w:w="714" w:type="pct"/>
                  <w:shd w:val="clear" w:color="auto" w:fill="F2F2F2"/>
                  <w:vAlign w:val="center"/>
                </w:tcPr>
                <w:p w:rsidR="00CF6B94" w:rsidRPr="00C91C45" w:rsidRDefault="00CF6B94" w:rsidP="00CF6B94">
                  <w:pPr>
                    <w:pStyle w:val="TableBodyText"/>
                  </w:pPr>
                  <w:r w:rsidRPr="00C91C45">
                    <w:t>6.40</w:t>
                  </w:r>
                </w:p>
              </w:tc>
              <w:tc>
                <w:tcPr>
                  <w:tcW w:w="714" w:type="pct"/>
                  <w:shd w:val="clear" w:color="auto" w:fill="F2F2F2"/>
                  <w:vAlign w:val="center"/>
                </w:tcPr>
                <w:p w:rsidR="00CF6B94" w:rsidRPr="00C91C45" w:rsidRDefault="00CF6B94" w:rsidP="00CF6B94">
                  <w:pPr>
                    <w:pStyle w:val="TableBodyText"/>
                  </w:pPr>
                  <w:r w:rsidRPr="00C91C45">
                    <w:t>5.33</w:t>
                  </w:r>
                </w:p>
              </w:tc>
              <w:tc>
                <w:tcPr>
                  <w:tcW w:w="714" w:type="pct"/>
                  <w:shd w:val="clear" w:color="auto" w:fill="F2F2F2"/>
                  <w:vAlign w:val="center"/>
                </w:tcPr>
                <w:p w:rsidR="00CF6B94" w:rsidRPr="00C91C45" w:rsidRDefault="00CF6B94" w:rsidP="00CF6B94">
                  <w:pPr>
                    <w:pStyle w:val="TableBodyText"/>
                  </w:pPr>
                  <w:r w:rsidRPr="00C91C45">
                    <w:t>5.01</w:t>
                  </w:r>
                </w:p>
              </w:tc>
              <w:tc>
                <w:tcPr>
                  <w:tcW w:w="713" w:type="pct"/>
                  <w:shd w:val="clear" w:color="auto" w:fill="F2F2F2"/>
                  <w:vAlign w:val="center"/>
                </w:tcPr>
                <w:p w:rsidR="00CF6B94" w:rsidRPr="00C91C45" w:rsidRDefault="00CF6B94" w:rsidP="00CF6B94">
                  <w:pPr>
                    <w:pStyle w:val="TableBodyText"/>
                  </w:pPr>
                  <w:r w:rsidRPr="00C91C45">
                    <w:t>2.00</w:t>
                  </w:r>
                </w:p>
              </w:tc>
            </w:tr>
            <w:tr w:rsidR="00CF6B94" w:rsidTr="00CF6B94">
              <w:tc>
                <w:tcPr>
                  <w:tcW w:w="717" w:type="pct"/>
                  <w:shd w:val="clear" w:color="auto" w:fill="auto"/>
                </w:tcPr>
                <w:p w:rsidR="00CF6B94" w:rsidRDefault="00CF6B94" w:rsidP="00CF6B94">
                  <w:pPr>
                    <w:pStyle w:val="TableBodyText"/>
                    <w:jc w:val="left"/>
                  </w:pPr>
                  <w:r>
                    <w:t>8</w:t>
                  </w:r>
                </w:p>
              </w:tc>
              <w:tc>
                <w:tcPr>
                  <w:tcW w:w="714" w:type="pct"/>
                  <w:vAlign w:val="center"/>
                </w:tcPr>
                <w:p w:rsidR="00CF6B94" w:rsidRPr="00C91C45" w:rsidRDefault="00CF6B94" w:rsidP="00CF6B94">
                  <w:pPr>
                    <w:pStyle w:val="TableBodyText"/>
                  </w:pPr>
                  <w:r w:rsidRPr="00C91C45">
                    <w:t>6.70</w:t>
                  </w:r>
                </w:p>
              </w:tc>
              <w:tc>
                <w:tcPr>
                  <w:tcW w:w="714" w:type="pct"/>
                  <w:shd w:val="clear" w:color="auto" w:fill="F2F2F2"/>
                  <w:vAlign w:val="center"/>
                </w:tcPr>
                <w:p w:rsidR="00CF6B94" w:rsidRPr="00C91C45" w:rsidRDefault="00CF6B94" w:rsidP="00CF6B94">
                  <w:pPr>
                    <w:pStyle w:val="TableBodyText"/>
                  </w:pPr>
                  <w:r w:rsidRPr="00C91C45">
                    <w:t>5.47</w:t>
                  </w:r>
                </w:p>
              </w:tc>
              <w:tc>
                <w:tcPr>
                  <w:tcW w:w="714" w:type="pct"/>
                  <w:shd w:val="clear" w:color="auto" w:fill="F2F2F2"/>
                  <w:vAlign w:val="center"/>
                </w:tcPr>
                <w:p w:rsidR="00CF6B94" w:rsidRPr="00C91C45" w:rsidRDefault="00CF6B94" w:rsidP="00CF6B94">
                  <w:pPr>
                    <w:pStyle w:val="TableBodyText"/>
                  </w:pPr>
                  <w:r w:rsidRPr="00C91C45">
                    <w:t>4.90</w:t>
                  </w:r>
                </w:p>
              </w:tc>
              <w:tc>
                <w:tcPr>
                  <w:tcW w:w="714" w:type="pct"/>
                  <w:shd w:val="clear" w:color="auto" w:fill="F2F2F2"/>
                  <w:vAlign w:val="center"/>
                </w:tcPr>
                <w:p w:rsidR="00CF6B94" w:rsidRPr="00C91C45" w:rsidRDefault="00CF6B94" w:rsidP="00CF6B94">
                  <w:pPr>
                    <w:pStyle w:val="TableBodyText"/>
                  </w:pPr>
                  <w:r w:rsidRPr="00C91C45">
                    <w:t>2.32</w:t>
                  </w:r>
                </w:p>
              </w:tc>
              <w:tc>
                <w:tcPr>
                  <w:tcW w:w="714" w:type="pct"/>
                  <w:shd w:val="clear" w:color="auto" w:fill="F2F2F2"/>
                  <w:vAlign w:val="center"/>
                </w:tcPr>
                <w:p w:rsidR="00CF6B94" w:rsidRPr="00C91C45" w:rsidRDefault="00CF6B94" w:rsidP="00CF6B94">
                  <w:pPr>
                    <w:pStyle w:val="TableBodyText"/>
                  </w:pPr>
                  <w:r w:rsidRPr="00C91C45">
                    <w:t>2.65</w:t>
                  </w:r>
                </w:p>
              </w:tc>
              <w:tc>
                <w:tcPr>
                  <w:tcW w:w="713" w:type="pct"/>
                  <w:shd w:val="clear" w:color="auto" w:fill="F2F2F2"/>
                  <w:vAlign w:val="center"/>
                </w:tcPr>
                <w:p w:rsidR="00CF6B94" w:rsidRPr="00C91C45" w:rsidRDefault="00CF6B94" w:rsidP="00CF6B94">
                  <w:pPr>
                    <w:pStyle w:val="TableBodyText"/>
                  </w:pPr>
                  <w:r w:rsidRPr="00C91C45">
                    <w:t>0.71</w:t>
                  </w:r>
                </w:p>
              </w:tc>
            </w:tr>
            <w:tr w:rsidR="00CF6B94" w:rsidTr="00CF6B94">
              <w:tc>
                <w:tcPr>
                  <w:tcW w:w="717" w:type="pct"/>
                  <w:shd w:val="clear" w:color="auto" w:fill="auto"/>
                </w:tcPr>
                <w:p w:rsidR="00CF6B94" w:rsidRDefault="00CF6B94" w:rsidP="00CF6B94">
                  <w:pPr>
                    <w:pStyle w:val="TableBodyText"/>
                    <w:jc w:val="left"/>
                  </w:pPr>
                  <w:r>
                    <w:t>16</w:t>
                  </w:r>
                </w:p>
              </w:tc>
              <w:tc>
                <w:tcPr>
                  <w:tcW w:w="714" w:type="pct"/>
                  <w:vAlign w:val="center"/>
                </w:tcPr>
                <w:p w:rsidR="00CF6B94" w:rsidRPr="00C91C45" w:rsidRDefault="00CF6B94" w:rsidP="00CF6B94">
                  <w:pPr>
                    <w:pStyle w:val="TableBodyText"/>
                  </w:pPr>
                  <w:r w:rsidRPr="00C91C45">
                    <w:t>6.10</w:t>
                  </w:r>
                </w:p>
              </w:tc>
              <w:tc>
                <w:tcPr>
                  <w:tcW w:w="714" w:type="pct"/>
                  <w:shd w:val="clear" w:color="auto" w:fill="BFBFBF" w:themeFill="background1" w:themeFillShade="BF"/>
                  <w:vAlign w:val="center"/>
                </w:tcPr>
                <w:p w:rsidR="00CF6B94" w:rsidRPr="00C91C45" w:rsidRDefault="00CF6B94" w:rsidP="00CF6B94">
                  <w:pPr>
                    <w:pStyle w:val="TableBodyText"/>
                  </w:pPr>
                  <w:r w:rsidRPr="00C91C45">
                    <w:t>6.69</w:t>
                  </w:r>
                </w:p>
              </w:tc>
              <w:tc>
                <w:tcPr>
                  <w:tcW w:w="714" w:type="pct"/>
                  <w:shd w:val="clear" w:color="auto" w:fill="BFBFBF" w:themeFill="background1" w:themeFillShade="BF"/>
                  <w:vAlign w:val="center"/>
                </w:tcPr>
                <w:p w:rsidR="00CF6B94" w:rsidRPr="00C91C45" w:rsidRDefault="00CF6B94" w:rsidP="00CF6B94">
                  <w:pPr>
                    <w:pStyle w:val="TableBodyText"/>
                  </w:pPr>
                  <w:r w:rsidRPr="00C91C45">
                    <w:t>9.54</w:t>
                  </w:r>
                </w:p>
              </w:tc>
              <w:tc>
                <w:tcPr>
                  <w:tcW w:w="714" w:type="pct"/>
                  <w:shd w:val="clear" w:color="auto" w:fill="BFBFBF" w:themeFill="background1" w:themeFillShade="BF"/>
                  <w:vAlign w:val="center"/>
                </w:tcPr>
                <w:p w:rsidR="00CF6B94" w:rsidRPr="00C91C45" w:rsidRDefault="00CF6B94" w:rsidP="00CF6B94">
                  <w:pPr>
                    <w:pStyle w:val="TableBodyText"/>
                  </w:pPr>
                  <w:r w:rsidRPr="00C91C45">
                    <w:t>6.61</w:t>
                  </w:r>
                </w:p>
              </w:tc>
              <w:tc>
                <w:tcPr>
                  <w:tcW w:w="714" w:type="pct"/>
                  <w:shd w:val="clear" w:color="auto" w:fill="BFBFBF" w:themeFill="background1" w:themeFillShade="BF"/>
                  <w:vAlign w:val="center"/>
                </w:tcPr>
                <w:p w:rsidR="00CF6B94" w:rsidRPr="00C91C45" w:rsidRDefault="00CF6B94" w:rsidP="00CF6B94">
                  <w:pPr>
                    <w:pStyle w:val="TableBodyText"/>
                  </w:pPr>
                  <w:r w:rsidRPr="00C91C45">
                    <w:t>7.11</w:t>
                  </w:r>
                </w:p>
              </w:tc>
              <w:tc>
                <w:tcPr>
                  <w:tcW w:w="713" w:type="pct"/>
                  <w:shd w:val="clear" w:color="auto" w:fill="BFBFBF" w:themeFill="background1" w:themeFillShade="BF"/>
                  <w:vAlign w:val="center"/>
                </w:tcPr>
                <w:p w:rsidR="00CF6B94" w:rsidRPr="00C91C45" w:rsidRDefault="00CF6B94" w:rsidP="00CF6B94">
                  <w:pPr>
                    <w:pStyle w:val="TableBodyText"/>
                  </w:pPr>
                  <w:r w:rsidRPr="00C91C45">
                    <w:t>5.82</w:t>
                  </w:r>
                </w:p>
              </w:tc>
            </w:tr>
            <w:tr w:rsidR="00CF6B94" w:rsidTr="00CF6B94">
              <w:tc>
                <w:tcPr>
                  <w:tcW w:w="717" w:type="pct"/>
                  <w:shd w:val="clear" w:color="auto" w:fill="auto"/>
                </w:tcPr>
                <w:p w:rsidR="00CF6B94" w:rsidRDefault="00CF6B94" w:rsidP="00CF6B94">
                  <w:pPr>
                    <w:pStyle w:val="TableBodyText"/>
                    <w:jc w:val="left"/>
                  </w:pPr>
                  <w:r>
                    <w:t>24</w:t>
                  </w:r>
                </w:p>
              </w:tc>
              <w:tc>
                <w:tcPr>
                  <w:tcW w:w="714" w:type="pct"/>
                  <w:vAlign w:val="center"/>
                </w:tcPr>
                <w:p w:rsidR="00CF6B94" w:rsidRPr="00C91C45" w:rsidRDefault="00CF6B94" w:rsidP="00CF6B94">
                  <w:pPr>
                    <w:pStyle w:val="TableBodyText"/>
                  </w:pPr>
                  <w:r w:rsidRPr="00C91C45">
                    <w:t>7.20</w:t>
                  </w:r>
                </w:p>
              </w:tc>
              <w:tc>
                <w:tcPr>
                  <w:tcW w:w="714" w:type="pct"/>
                  <w:shd w:val="clear" w:color="auto" w:fill="BFBFBF" w:themeFill="background1" w:themeFillShade="BF"/>
                  <w:vAlign w:val="center"/>
                </w:tcPr>
                <w:p w:rsidR="00CF6B94" w:rsidRPr="00C91C45" w:rsidRDefault="00CF6B94" w:rsidP="00CF6B94">
                  <w:pPr>
                    <w:pStyle w:val="TableBodyText"/>
                  </w:pPr>
                  <w:r w:rsidRPr="00C91C45">
                    <w:t>7.22</w:t>
                  </w:r>
                </w:p>
              </w:tc>
              <w:tc>
                <w:tcPr>
                  <w:tcW w:w="714" w:type="pct"/>
                  <w:shd w:val="clear" w:color="auto" w:fill="BFBFBF" w:themeFill="background1" w:themeFillShade="BF"/>
                  <w:vAlign w:val="center"/>
                </w:tcPr>
                <w:p w:rsidR="00CF6B94" w:rsidRPr="00C91C45" w:rsidRDefault="00CF6B94" w:rsidP="00CF6B94">
                  <w:pPr>
                    <w:pStyle w:val="TableBodyText"/>
                  </w:pPr>
                  <w:r w:rsidRPr="00C91C45">
                    <w:t>9.43</w:t>
                  </w:r>
                </w:p>
              </w:tc>
              <w:tc>
                <w:tcPr>
                  <w:tcW w:w="714" w:type="pct"/>
                  <w:shd w:val="clear" w:color="auto" w:fill="BFBFBF" w:themeFill="background1" w:themeFillShade="BF"/>
                  <w:vAlign w:val="center"/>
                </w:tcPr>
                <w:p w:rsidR="00CF6B94" w:rsidRPr="00C91C45" w:rsidRDefault="00CF6B94" w:rsidP="00CF6B94">
                  <w:pPr>
                    <w:pStyle w:val="TableBodyText"/>
                  </w:pPr>
                  <w:r w:rsidRPr="00C91C45">
                    <w:t>8.83</w:t>
                  </w:r>
                </w:p>
              </w:tc>
              <w:tc>
                <w:tcPr>
                  <w:tcW w:w="714" w:type="pct"/>
                  <w:shd w:val="clear" w:color="auto" w:fill="BFBFBF" w:themeFill="background1" w:themeFillShade="BF"/>
                  <w:vAlign w:val="center"/>
                </w:tcPr>
                <w:p w:rsidR="00CF6B94" w:rsidRPr="00C91C45" w:rsidRDefault="00CF6B94" w:rsidP="00CF6B94">
                  <w:pPr>
                    <w:pStyle w:val="TableBodyText"/>
                  </w:pPr>
                  <w:r w:rsidRPr="00C91C45">
                    <w:t>11.49</w:t>
                  </w:r>
                </w:p>
              </w:tc>
              <w:tc>
                <w:tcPr>
                  <w:tcW w:w="713" w:type="pct"/>
                  <w:shd w:val="clear" w:color="auto" w:fill="BFBFBF" w:themeFill="background1" w:themeFillShade="BF"/>
                  <w:vAlign w:val="center"/>
                </w:tcPr>
                <w:p w:rsidR="00CF6B94" w:rsidRPr="00C91C45" w:rsidRDefault="00CF6B94" w:rsidP="00CF6B94">
                  <w:pPr>
                    <w:pStyle w:val="TableBodyText"/>
                  </w:pPr>
                  <w:r w:rsidRPr="00C91C45">
                    <w:t>7.72</w:t>
                  </w:r>
                </w:p>
              </w:tc>
            </w:tr>
            <w:tr w:rsidR="00CF6B94" w:rsidTr="00CF6B94">
              <w:tc>
                <w:tcPr>
                  <w:tcW w:w="717" w:type="pct"/>
                  <w:shd w:val="clear" w:color="auto" w:fill="auto"/>
                </w:tcPr>
                <w:p w:rsidR="00CF6B94" w:rsidRDefault="00CF6B94" w:rsidP="00CF6B94">
                  <w:pPr>
                    <w:pStyle w:val="TableBodyText"/>
                    <w:jc w:val="left"/>
                  </w:pPr>
                  <w:r>
                    <w:t>32</w:t>
                  </w:r>
                </w:p>
              </w:tc>
              <w:tc>
                <w:tcPr>
                  <w:tcW w:w="714" w:type="pct"/>
                  <w:vAlign w:val="center"/>
                </w:tcPr>
                <w:p w:rsidR="00CF6B94" w:rsidRPr="00C91C45" w:rsidRDefault="00CF6B94" w:rsidP="00CF6B94">
                  <w:pPr>
                    <w:pStyle w:val="TableBodyText"/>
                  </w:pPr>
                  <w:r w:rsidRPr="00C91C45">
                    <w:t>6.97</w:t>
                  </w:r>
                </w:p>
              </w:tc>
              <w:tc>
                <w:tcPr>
                  <w:tcW w:w="714" w:type="pct"/>
                  <w:shd w:val="clear" w:color="auto" w:fill="BFBFBF" w:themeFill="background1" w:themeFillShade="BF"/>
                  <w:vAlign w:val="center"/>
                </w:tcPr>
                <w:p w:rsidR="00CF6B94" w:rsidRPr="00C91C45" w:rsidRDefault="00CF6B94" w:rsidP="00CF6B94">
                  <w:pPr>
                    <w:pStyle w:val="TableBodyText"/>
                  </w:pPr>
                  <w:r w:rsidRPr="00C91C45">
                    <w:t>8.51</w:t>
                  </w:r>
                </w:p>
              </w:tc>
              <w:tc>
                <w:tcPr>
                  <w:tcW w:w="714" w:type="pct"/>
                  <w:shd w:val="clear" w:color="auto" w:fill="BFBFBF" w:themeFill="background1" w:themeFillShade="BF"/>
                  <w:vAlign w:val="center"/>
                </w:tcPr>
                <w:p w:rsidR="00CF6B94" w:rsidRPr="00C91C45" w:rsidRDefault="00CF6B94" w:rsidP="00CF6B94">
                  <w:pPr>
                    <w:pStyle w:val="TableBodyText"/>
                  </w:pPr>
                  <w:r w:rsidRPr="00C91C45">
                    <w:t>12.77</w:t>
                  </w:r>
                </w:p>
              </w:tc>
              <w:tc>
                <w:tcPr>
                  <w:tcW w:w="714" w:type="pct"/>
                  <w:shd w:val="clear" w:color="auto" w:fill="BFBFBF" w:themeFill="background1" w:themeFillShade="BF"/>
                  <w:vAlign w:val="center"/>
                </w:tcPr>
                <w:p w:rsidR="00CF6B94" w:rsidRPr="00C91C45" w:rsidRDefault="00CF6B94" w:rsidP="00CF6B94">
                  <w:pPr>
                    <w:pStyle w:val="TableBodyText"/>
                  </w:pPr>
                  <w:r w:rsidRPr="00C91C45">
                    <w:t>8.38</w:t>
                  </w:r>
                </w:p>
              </w:tc>
              <w:tc>
                <w:tcPr>
                  <w:tcW w:w="714" w:type="pct"/>
                  <w:shd w:val="clear" w:color="auto" w:fill="BFBFBF" w:themeFill="background1" w:themeFillShade="BF"/>
                  <w:vAlign w:val="center"/>
                </w:tcPr>
                <w:p w:rsidR="00CF6B94" w:rsidRPr="00C91C45" w:rsidRDefault="00CF6B94" w:rsidP="00CF6B94">
                  <w:pPr>
                    <w:pStyle w:val="TableBodyText"/>
                  </w:pPr>
                  <w:r w:rsidRPr="00C91C45">
                    <w:t>7.07</w:t>
                  </w:r>
                </w:p>
              </w:tc>
              <w:tc>
                <w:tcPr>
                  <w:tcW w:w="713" w:type="pct"/>
                  <w:shd w:val="clear" w:color="auto" w:fill="BFBFBF" w:themeFill="background1" w:themeFillShade="BF"/>
                  <w:vAlign w:val="center"/>
                </w:tcPr>
                <w:p w:rsidR="00CF6B94" w:rsidRPr="00C91C45" w:rsidRDefault="00CF6B94" w:rsidP="00CF6B94">
                  <w:pPr>
                    <w:pStyle w:val="TableBodyText"/>
                  </w:pPr>
                  <w:r w:rsidRPr="00C91C45">
                    <w:t>7.60</w:t>
                  </w:r>
                </w:p>
              </w:tc>
            </w:tr>
            <w:tr w:rsidR="00CF6B94" w:rsidTr="00CF6B94">
              <w:tc>
                <w:tcPr>
                  <w:tcW w:w="717" w:type="pct"/>
                  <w:shd w:val="clear" w:color="auto" w:fill="auto"/>
                </w:tcPr>
                <w:p w:rsidR="00CF6B94" w:rsidRDefault="00CF6B94" w:rsidP="00CF6B94">
                  <w:pPr>
                    <w:pStyle w:val="TableBodyText"/>
                    <w:jc w:val="left"/>
                  </w:pPr>
                  <w:r>
                    <w:t>40</w:t>
                  </w:r>
                </w:p>
              </w:tc>
              <w:tc>
                <w:tcPr>
                  <w:tcW w:w="714" w:type="pct"/>
                  <w:vAlign w:val="center"/>
                </w:tcPr>
                <w:p w:rsidR="00CF6B94" w:rsidRPr="00C91C45" w:rsidRDefault="00CF6B94" w:rsidP="00CF6B94">
                  <w:pPr>
                    <w:pStyle w:val="TableBodyText"/>
                  </w:pPr>
                  <w:r w:rsidRPr="00C91C45">
                    <w:t>6.85</w:t>
                  </w:r>
                </w:p>
              </w:tc>
              <w:tc>
                <w:tcPr>
                  <w:tcW w:w="714" w:type="pct"/>
                  <w:shd w:val="clear" w:color="auto" w:fill="BFBFBF" w:themeFill="background1" w:themeFillShade="BF"/>
                  <w:vAlign w:val="center"/>
                </w:tcPr>
                <w:p w:rsidR="00CF6B94" w:rsidRPr="00C91C45" w:rsidRDefault="00CF6B94" w:rsidP="00CF6B94">
                  <w:pPr>
                    <w:pStyle w:val="TableBodyText"/>
                  </w:pPr>
                  <w:r w:rsidRPr="00C91C45">
                    <w:t>8.09</w:t>
                  </w:r>
                </w:p>
              </w:tc>
              <w:tc>
                <w:tcPr>
                  <w:tcW w:w="714" w:type="pct"/>
                  <w:shd w:val="clear" w:color="auto" w:fill="BFBFBF" w:themeFill="background1" w:themeFillShade="BF"/>
                  <w:vAlign w:val="center"/>
                </w:tcPr>
                <w:p w:rsidR="00CF6B94" w:rsidRPr="00C91C45" w:rsidRDefault="00CF6B94" w:rsidP="00CF6B94">
                  <w:pPr>
                    <w:pStyle w:val="TableBodyText"/>
                  </w:pPr>
                  <w:r w:rsidRPr="00C91C45">
                    <w:t>7.96</w:t>
                  </w:r>
                </w:p>
              </w:tc>
              <w:tc>
                <w:tcPr>
                  <w:tcW w:w="714" w:type="pct"/>
                  <w:shd w:val="clear" w:color="auto" w:fill="BFBFBF" w:themeFill="background1" w:themeFillShade="BF"/>
                  <w:vAlign w:val="center"/>
                </w:tcPr>
                <w:p w:rsidR="00CF6B94" w:rsidRPr="00C91C45" w:rsidRDefault="00CF6B94" w:rsidP="00CF6B94">
                  <w:pPr>
                    <w:pStyle w:val="TableBodyText"/>
                  </w:pPr>
                  <w:r w:rsidRPr="00C91C45">
                    <w:t>8.90</w:t>
                  </w:r>
                </w:p>
              </w:tc>
              <w:tc>
                <w:tcPr>
                  <w:tcW w:w="714" w:type="pct"/>
                  <w:shd w:val="clear" w:color="auto" w:fill="BFBFBF" w:themeFill="background1" w:themeFillShade="BF"/>
                  <w:vAlign w:val="center"/>
                </w:tcPr>
                <w:p w:rsidR="00CF6B94" w:rsidRPr="00C91C45" w:rsidRDefault="00CF6B94" w:rsidP="00CF6B94">
                  <w:pPr>
                    <w:pStyle w:val="TableBodyText"/>
                  </w:pPr>
                  <w:r w:rsidRPr="00C91C45">
                    <w:t>10.04</w:t>
                  </w:r>
                </w:p>
              </w:tc>
              <w:tc>
                <w:tcPr>
                  <w:tcW w:w="713" w:type="pct"/>
                  <w:shd w:val="clear" w:color="auto" w:fill="BFBFBF" w:themeFill="background1" w:themeFillShade="BF"/>
                  <w:vAlign w:val="center"/>
                </w:tcPr>
                <w:p w:rsidR="00CF6B94" w:rsidRPr="00C91C45" w:rsidRDefault="00CF6B94" w:rsidP="00CF6B94">
                  <w:pPr>
                    <w:pStyle w:val="TableBodyText"/>
                  </w:pPr>
                  <w:r w:rsidRPr="00C91C45">
                    <w:t>7.98</w:t>
                  </w:r>
                </w:p>
              </w:tc>
            </w:tr>
            <w:tr w:rsidR="00CF6B94" w:rsidTr="00CF6B94">
              <w:tc>
                <w:tcPr>
                  <w:tcW w:w="717" w:type="pct"/>
                  <w:shd w:val="clear" w:color="auto" w:fill="auto"/>
                </w:tcPr>
                <w:p w:rsidR="00CF6B94" w:rsidRDefault="00CF6B94" w:rsidP="00CF6B94">
                  <w:pPr>
                    <w:pStyle w:val="TableBodyText"/>
                    <w:jc w:val="left"/>
                  </w:pPr>
                  <w:r>
                    <w:t>48</w:t>
                  </w:r>
                </w:p>
              </w:tc>
              <w:tc>
                <w:tcPr>
                  <w:tcW w:w="714" w:type="pct"/>
                  <w:vAlign w:val="center"/>
                </w:tcPr>
                <w:p w:rsidR="00CF6B94" w:rsidRPr="00C91C45" w:rsidRDefault="00CF6B94" w:rsidP="00CF6B94">
                  <w:pPr>
                    <w:pStyle w:val="TableBodyText"/>
                  </w:pPr>
                  <w:r w:rsidRPr="00C91C45">
                    <w:t>6.34</w:t>
                  </w:r>
                </w:p>
              </w:tc>
              <w:tc>
                <w:tcPr>
                  <w:tcW w:w="714" w:type="pct"/>
                  <w:shd w:val="clear" w:color="auto" w:fill="BFBFBF" w:themeFill="background1" w:themeFillShade="BF"/>
                  <w:vAlign w:val="center"/>
                </w:tcPr>
                <w:p w:rsidR="00CF6B94" w:rsidRPr="00C91C45" w:rsidRDefault="00CF6B94" w:rsidP="00CF6B94">
                  <w:pPr>
                    <w:pStyle w:val="TableBodyText"/>
                  </w:pPr>
                  <w:r w:rsidRPr="00C91C45">
                    <w:t>8.10</w:t>
                  </w:r>
                </w:p>
              </w:tc>
              <w:tc>
                <w:tcPr>
                  <w:tcW w:w="714" w:type="pct"/>
                  <w:shd w:val="clear" w:color="auto" w:fill="BFBFBF" w:themeFill="background1" w:themeFillShade="BF"/>
                  <w:vAlign w:val="center"/>
                </w:tcPr>
                <w:p w:rsidR="00CF6B94" w:rsidRPr="00C91C45" w:rsidRDefault="00CF6B94" w:rsidP="00CF6B94">
                  <w:pPr>
                    <w:pStyle w:val="TableBodyText"/>
                  </w:pPr>
                  <w:r w:rsidRPr="00C91C45">
                    <w:t>7.60</w:t>
                  </w:r>
                </w:p>
              </w:tc>
              <w:tc>
                <w:tcPr>
                  <w:tcW w:w="714" w:type="pct"/>
                  <w:shd w:val="clear" w:color="auto" w:fill="BFBFBF" w:themeFill="background1" w:themeFillShade="BF"/>
                  <w:vAlign w:val="center"/>
                </w:tcPr>
                <w:p w:rsidR="00CF6B94" w:rsidRPr="00C91C45" w:rsidRDefault="00CF6B94" w:rsidP="00CF6B94">
                  <w:pPr>
                    <w:pStyle w:val="TableBodyText"/>
                  </w:pPr>
                  <w:r w:rsidRPr="00C91C45">
                    <w:t>7.19</w:t>
                  </w:r>
                </w:p>
              </w:tc>
              <w:tc>
                <w:tcPr>
                  <w:tcW w:w="714" w:type="pct"/>
                  <w:shd w:val="clear" w:color="auto" w:fill="BFBFBF" w:themeFill="background1" w:themeFillShade="BF"/>
                  <w:vAlign w:val="center"/>
                </w:tcPr>
                <w:p w:rsidR="00CF6B94" w:rsidRPr="00C91C45" w:rsidRDefault="00CF6B94" w:rsidP="00CF6B94">
                  <w:pPr>
                    <w:pStyle w:val="TableBodyText"/>
                    <w:rPr>
                      <w:b/>
                    </w:rPr>
                  </w:pPr>
                  <w:r w:rsidRPr="00C91C45">
                    <w:rPr>
                      <w:b/>
                    </w:rPr>
                    <w:t>12.78</w:t>
                  </w:r>
                </w:p>
              </w:tc>
              <w:tc>
                <w:tcPr>
                  <w:tcW w:w="713" w:type="pct"/>
                  <w:shd w:val="clear" w:color="auto" w:fill="BFBFBF" w:themeFill="background1" w:themeFillShade="BF"/>
                  <w:vAlign w:val="center"/>
                </w:tcPr>
                <w:p w:rsidR="00CF6B94" w:rsidRPr="00C91C45" w:rsidRDefault="00CF6B94" w:rsidP="00CF6B94">
                  <w:pPr>
                    <w:pStyle w:val="TableBodyText"/>
                  </w:pPr>
                  <w:r w:rsidRPr="00C91C45">
                    <w:t>9.49</w:t>
                  </w:r>
                </w:p>
              </w:tc>
            </w:tr>
            <w:tr w:rsidR="00CF6B94" w:rsidTr="00CF6B94">
              <w:tc>
                <w:tcPr>
                  <w:tcW w:w="717" w:type="pct"/>
                  <w:tcBorders>
                    <w:bottom w:val="single" w:sz="6" w:space="0" w:color="C8C8C8"/>
                  </w:tcBorders>
                  <w:shd w:val="clear" w:color="auto" w:fill="auto"/>
                </w:tcPr>
                <w:p w:rsidR="00CF6B94" w:rsidRDefault="00CF6B94" w:rsidP="00CF6B94">
                  <w:pPr>
                    <w:pStyle w:val="TableBodyText"/>
                    <w:jc w:val="left"/>
                  </w:pPr>
                  <w:r>
                    <w:t>56</w:t>
                  </w:r>
                </w:p>
              </w:tc>
              <w:tc>
                <w:tcPr>
                  <w:tcW w:w="714" w:type="pct"/>
                  <w:tcBorders>
                    <w:bottom w:val="single" w:sz="6" w:space="0" w:color="C8C8C8"/>
                  </w:tcBorders>
                  <w:vAlign w:val="center"/>
                </w:tcPr>
                <w:p w:rsidR="00CF6B94" w:rsidRPr="00C91C45" w:rsidRDefault="00CF6B94" w:rsidP="00CF6B94">
                  <w:pPr>
                    <w:pStyle w:val="TableBodyText"/>
                  </w:pPr>
                  <w:r w:rsidRPr="00C91C45">
                    <w:t>5.39</w:t>
                  </w:r>
                </w:p>
              </w:tc>
              <w:tc>
                <w:tcPr>
                  <w:tcW w:w="714" w:type="pct"/>
                  <w:tcBorders>
                    <w:bottom w:val="single" w:sz="6" w:space="0" w:color="C8C8C8"/>
                  </w:tcBorders>
                  <w:shd w:val="clear" w:color="auto" w:fill="BFBFBF" w:themeFill="background1" w:themeFillShade="BF"/>
                  <w:vAlign w:val="center"/>
                </w:tcPr>
                <w:p w:rsidR="00CF6B94" w:rsidRPr="00C91C45" w:rsidRDefault="00CF6B94" w:rsidP="00CF6B94">
                  <w:pPr>
                    <w:pStyle w:val="TableBodyText"/>
                  </w:pPr>
                  <w:r w:rsidRPr="00C91C45">
                    <w:t>7.43</w:t>
                  </w:r>
                </w:p>
              </w:tc>
              <w:tc>
                <w:tcPr>
                  <w:tcW w:w="714" w:type="pct"/>
                  <w:tcBorders>
                    <w:bottom w:val="single" w:sz="6" w:space="0" w:color="C8C8C8"/>
                  </w:tcBorders>
                  <w:shd w:val="clear" w:color="auto" w:fill="BFBFBF" w:themeFill="background1" w:themeFillShade="BF"/>
                  <w:vAlign w:val="center"/>
                </w:tcPr>
                <w:p w:rsidR="00CF6B94" w:rsidRPr="00C91C45" w:rsidRDefault="00CF6B94" w:rsidP="00CF6B94">
                  <w:pPr>
                    <w:pStyle w:val="TableBodyText"/>
                  </w:pPr>
                  <w:r w:rsidRPr="00C91C45">
                    <w:t>6.49</w:t>
                  </w:r>
                </w:p>
              </w:tc>
              <w:tc>
                <w:tcPr>
                  <w:tcW w:w="714" w:type="pct"/>
                  <w:tcBorders>
                    <w:bottom w:val="single" w:sz="6" w:space="0" w:color="C8C8C8"/>
                  </w:tcBorders>
                  <w:shd w:val="clear" w:color="auto" w:fill="BFBFBF" w:themeFill="background1" w:themeFillShade="BF"/>
                  <w:vAlign w:val="center"/>
                </w:tcPr>
                <w:p w:rsidR="00CF6B94" w:rsidRPr="00C91C45" w:rsidRDefault="00CF6B94" w:rsidP="00CF6B94">
                  <w:pPr>
                    <w:pStyle w:val="TableBodyText"/>
                  </w:pPr>
                  <w:r w:rsidRPr="00C91C45">
                    <w:t>9.27</w:t>
                  </w:r>
                </w:p>
              </w:tc>
              <w:tc>
                <w:tcPr>
                  <w:tcW w:w="714" w:type="pct"/>
                  <w:tcBorders>
                    <w:bottom w:val="single" w:sz="6" w:space="0" w:color="C8C8C8"/>
                  </w:tcBorders>
                  <w:shd w:val="clear" w:color="auto" w:fill="BFBFBF" w:themeFill="background1" w:themeFillShade="BF"/>
                  <w:vAlign w:val="center"/>
                </w:tcPr>
                <w:p w:rsidR="00CF6B94" w:rsidRPr="00C91C45" w:rsidRDefault="00CF6B94" w:rsidP="00CF6B94">
                  <w:pPr>
                    <w:pStyle w:val="TableBodyText"/>
                  </w:pPr>
                  <w:r w:rsidRPr="00C91C45">
                    <w:t>7.31</w:t>
                  </w:r>
                </w:p>
              </w:tc>
              <w:tc>
                <w:tcPr>
                  <w:tcW w:w="713" w:type="pct"/>
                  <w:tcBorders>
                    <w:bottom w:val="single" w:sz="6" w:space="0" w:color="C8C8C8"/>
                  </w:tcBorders>
                  <w:shd w:val="clear" w:color="auto" w:fill="BFBFBF" w:themeFill="background1" w:themeFillShade="BF"/>
                  <w:vAlign w:val="center"/>
                </w:tcPr>
                <w:p w:rsidR="00CF6B94" w:rsidRPr="00C91C45" w:rsidRDefault="00CF6B94" w:rsidP="00CF6B94">
                  <w:pPr>
                    <w:pStyle w:val="TableBodyText"/>
                  </w:pPr>
                  <w:r w:rsidRPr="00C91C45">
                    <w:t>10.53</w:t>
                  </w:r>
                </w:p>
              </w:tc>
            </w:tr>
          </w:tbl>
          <w:p w:rsidR="00CF6B94" w:rsidRDefault="00CF6B94" w:rsidP="00CF6B94">
            <w:pPr>
              <w:pStyle w:val="Box"/>
            </w:pP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Note"/>
              <w:rPr>
                <w:i/>
              </w:rPr>
            </w:pPr>
            <w:proofErr w:type="gramStart"/>
            <w:r w:rsidRPr="008E77FE">
              <w:rPr>
                <w:rStyle w:val="NoteLabel"/>
              </w:rPr>
              <w:t>a</w:t>
            </w:r>
            <w:proofErr w:type="gramEnd"/>
            <w:r>
              <w:t xml:space="preserve"> Light grey cells indicate where the utility has declined relative to the pre</w:t>
            </w:r>
            <w:r>
              <w:noBreakHyphen/>
              <w:t>policy value. The dark grey cells indicate values where utility has increased relative to the pre</w:t>
            </w:r>
            <w:r>
              <w:noBreakHyphen/>
              <w:t>policy value. The bold number is the maximum utility, showing the optimal work</w:t>
            </w:r>
            <w:r>
              <w:noBreakHyphen/>
              <w:t>childcare choice.</w:t>
            </w: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Source"/>
            </w:pPr>
            <w:r>
              <w:rPr>
                <w:i/>
              </w:rPr>
              <w:t>Source</w:t>
            </w:r>
            <w:r w:rsidRPr="00167F06">
              <w:t xml:space="preserve">: </w:t>
            </w:r>
            <w:r>
              <w:t>PCMC model estimates.</w:t>
            </w:r>
          </w:p>
        </w:tc>
      </w:tr>
      <w:tr w:rsidR="00CF6B94" w:rsidTr="00CF6B94">
        <w:trPr>
          <w:cantSplit/>
        </w:trPr>
        <w:tc>
          <w:tcPr>
            <w:tcW w:w="8771" w:type="dxa"/>
            <w:tcBorders>
              <w:top w:val="nil"/>
              <w:left w:val="nil"/>
              <w:bottom w:val="single" w:sz="6" w:space="0" w:color="78A22F" w:themeColor="accent1"/>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themeColor="accent1"/>
              <w:left w:val="nil"/>
              <w:bottom w:val="nil"/>
              <w:right w:val="nil"/>
            </w:tcBorders>
          </w:tcPr>
          <w:p w:rsidR="00CF6B94" w:rsidRPr="00626D32" w:rsidRDefault="00CF6B94" w:rsidP="00CF6B94">
            <w:pPr>
              <w:pStyle w:val="BoxSpaceBelow"/>
            </w:pPr>
          </w:p>
        </w:tc>
      </w:tr>
    </w:tbl>
    <w:p w:rsidR="00E44627" w:rsidRDefault="00E44627" w:rsidP="00CF6B94">
      <w:pPr>
        <w:pStyle w:val="BodyText"/>
      </w:pPr>
    </w:p>
    <w:p w:rsidR="00E44627" w:rsidRDefault="00E44627">
      <w:pPr>
        <w:rPr>
          <w:szCs w:val="20"/>
        </w:rPr>
      </w:pPr>
      <w:r>
        <w:br w:type="page"/>
      </w:r>
    </w:p>
    <w:p w:rsidR="00CF6B94" w:rsidRDefault="00CF6B94" w:rsidP="00CF6B94">
      <w:pPr>
        <w:pStyle w:val="BodyText"/>
      </w:pPr>
      <w:r>
        <w:lastRenderedPageBreak/>
        <w:t>The individual has higher utility as a result of the policy even assuming no behavioural change (at 32 hours of labour supply, 20 hours of childcare demand per week). However, a higher ranking level of utility can be obtained by supplying 48 hours of labour, and using 40 hours of childcare.</w:t>
      </w:r>
    </w:p>
    <w:p w:rsidR="00CF6B94" w:rsidRDefault="00CF6B94" w:rsidP="00CF6B94">
      <w:pPr>
        <w:pStyle w:val="Heading2"/>
      </w:pPr>
      <w:r>
        <w:rPr>
          <w:noProof/>
        </w:rPr>
        <w:t>5</w:t>
      </w:r>
      <w:r w:rsidRPr="0097630A">
        <w:tab/>
      </w:r>
      <w:r>
        <w:t>Sensitivity of model results to alternative policy settings</w:t>
      </w:r>
    </w:p>
    <w:p w:rsidR="00CF6B94" w:rsidRPr="00A2142E" w:rsidRDefault="00CF6B94" w:rsidP="00CF6B94">
      <w:pPr>
        <w:pStyle w:val="BodyText"/>
      </w:pPr>
      <w:r>
        <w:t>As part of the inquiry process the Commission examined a range of alternative policy settings, including variations to the activity test and eligibility criteria, maximum subsidy payments with respect to the benchmark price, how the benchmark price is determined, as well as variation of the maximum and minimum subsidy rates. This section illustrates the impacts of alternative policy settings on aggregate results, and for different demographic groups. Different cut</w:t>
      </w:r>
      <w:r>
        <w:noBreakHyphen/>
        <w:t>offs</w:t>
      </w:r>
      <w:r>
        <w:rPr>
          <w:rStyle w:val="FootnoteReference"/>
        </w:rPr>
        <w:footnoteReference w:id="15"/>
      </w:r>
      <w:r>
        <w:t xml:space="preserve"> were also examined, but are not illustrated here, as the insights from these variations are similar to those from other policy alternatives. </w:t>
      </w:r>
    </w:p>
    <w:p w:rsidR="00CF6B94" w:rsidRPr="00B353A3" w:rsidRDefault="00CF6B94" w:rsidP="007438EE">
      <w:pPr>
        <w:pStyle w:val="Heading3"/>
      </w:pPr>
      <w:r>
        <w:t>Activity test</w:t>
      </w:r>
    </w:p>
    <w:p w:rsidR="00CF6B94" w:rsidRDefault="00CF6B94" w:rsidP="00CF6B94">
      <w:pPr>
        <w:pStyle w:val="BodyText"/>
      </w:pPr>
      <w:r>
        <w:t xml:space="preserve">The recommended subsidy arrangements include an activity test requiring at least 24 hours of work, study or training per fortnight (modelled as 12 hours per week) from each parent for a household to be eligible for assistance, with an exemption for up to 20 hours of subsidies care per fortnight (modelled as 10 hours of subsidised care per week) for households receiving the Parenting Payment. The Commission also examined scenarios without an activity test, with </w:t>
      </w:r>
      <w:proofErr w:type="gramStart"/>
      <w:r>
        <w:t>an</w:t>
      </w:r>
      <w:proofErr w:type="gramEnd"/>
      <w:r>
        <w:t xml:space="preserve"> 16 hour per fortnight activity test (modelled as 8 hours per week), as well as alternative levels of exemption for households receiving the parenting payment. </w:t>
      </w:r>
    </w:p>
    <w:p w:rsidR="00CF6B94" w:rsidRDefault="00CF6B94" w:rsidP="00CF6B94">
      <w:pPr>
        <w:pStyle w:val="BodyText"/>
      </w:pPr>
      <w:r>
        <w:t>The impact of varying the activity test and eligibility criteria is shown in table 8.</w:t>
      </w:r>
    </w:p>
    <w:p w:rsidR="00E15700" w:rsidRDefault="00E15700" w:rsidP="00E15700">
      <w:pPr>
        <w:pStyle w:val="BodyText"/>
      </w:pPr>
      <w:r>
        <w:t>The effect of an activity test is to encourage formal childcare use in those households which use childcare while working, but not in those households which consume it for other, non-work driven reasons. As a result, increasing the activity test hour requirement reduces total demand for childcare, and makes the policy cheaper for government (as fewer households receive assistance). This can be seen in that increasing the activity test from zero, to 8 hours and 12 hours per week decreases formal childcare demand from 1.70 to 1.07 and to 0.67 million hours per week respectively. This brings the policy closer to fiscal neutrality.</w:t>
      </w:r>
    </w:p>
    <w:p w:rsidR="00E15700" w:rsidRDefault="00E15700" w:rsidP="00CF6B94">
      <w:pPr>
        <w:pStyle w:val="BodyText"/>
      </w:pPr>
    </w:p>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themeColor="accent1"/>
              <w:left w:val="nil"/>
              <w:bottom w:val="nil"/>
              <w:right w:val="nil"/>
            </w:tcBorders>
            <w:shd w:val="clear" w:color="auto" w:fill="auto"/>
          </w:tcPr>
          <w:p w:rsidR="00CF6B94" w:rsidRPr="00784A05" w:rsidRDefault="00CF6B94" w:rsidP="00CF6B94">
            <w:pPr>
              <w:pStyle w:val="TableTitle"/>
            </w:pPr>
            <w:r>
              <w:rPr>
                <w:b w:val="0"/>
              </w:rPr>
              <w:t xml:space="preserve">Table </w:t>
            </w:r>
            <w:r>
              <w:rPr>
                <w:b w:val="0"/>
                <w:noProof/>
              </w:rPr>
              <w:t>8</w:t>
            </w:r>
            <w:r>
              <w:tab/>
            </w:r>
            <w:r w:rsidRPr="00B954E4">
              <w:t>Illustrative impacts o</w:t>
            </w:r>
            <w:r>
              <w:t>f alternative activity tests</w:t>
            </w:r>
            <w:r w:rsidRPr="007E57F0">
              <w:rPr>
                <w:rStyle w:val="NoteLabel"/>
              </w:rPr>
              <w:t>a</w:t>
            </w:r>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11"/>
              <w:gridCol w:w="1212"/>
              <w:gridCol w:w="1214"/>
              <w:gridCol w:w="1212"/>
              <w:gridCol w:w="1214"/>
              <w:gridCol w:w="1212"/>
              <w:gridCol w:w="1212"/>
            </w:tblGrid>
            <w:tr w:rsidR="00CF6B94" w:rsidTr="00E15700">
              <w:tc>
                <w:tcPr>
                  <w:tcW w:w="713"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Pr="007E0D23" w:rsidRDefault="00CF6B94" w:rsidP="00E15700">
                  <w:pPr>
                    <w:pStyle w:val="TableColumnHeading"/>
                    <w:jc w:val="left"/>
                  </w:pPr>
                  <w:r>
                    <w:t>Activity test</w:t>
                  </w:r>
                  <w:r w:rsidR="00E15700">
                    <w:br/>
                  </w:r>
                  <w:r>
                    <w:t>(hours per week)</w:t>
                  </w:r>
                </w:p>
              </w:tc>
              <w:tc>
                <w:tcPr>
                  <w:tcW w:w="714"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E15700">
                  <w:pPr>
                    <w:pStyle w:val="TableColumnHeading"/>
                  </w:pPr>
                  <w:r>
                    <w:t xml:space="preserve">Change in labour supply </w:t>
                  </w:r>
                  <w:r>
                    <w:br/>
                    <w:t>(millions of hours per week)</w:t>
                  </w:r>
                </w:p>
              </w:tc>
              <w:tc>
                <w:tcPr>
                  <w:tcW w:w="715" w:type="pct"/>
                  <w:tcBorders>
                    <w:top w:val="single" w:sz="6" w:space="0" w:color="BFBFBF" w:themeColor="background2"/>
                    <w:bottom w:val="single" w:sz="6" w:space="0" w:color="BFBFBF" w:themeColor="background2"/>
                  </w:tcBorders>
                  <w:vAlign w:val="bottom"/>
                </w:tcPr>
                <w:p w:rsidR="00CF6B94" w:rsidRDefault="00CF6B94" w:rsidP="00E15700">
                  <w:pPr>
                    <w:pStyle w:val="TableColumnHeading"/>
                  </w:pPr>
                  <w:r>
                    <w:t xml:space="preserve">Change in childcare demand </w:t>
                  </w:r>
                  <w:r>
                    <w:br/>
                    <w:t>(millions of hours per week)</w:t>
                  </w:r>
                </w:p>
              </w:tc>
              <w:tc>
                <w:tcPr>
                  <w:tcW w:w="714" w:type="pct"/>
                  <w:tcBorders>
                    <w:top w:val="single" w:sz="6" w:space="0" w:color="BFBFBF" w:themeColor="background2"/>
                    <w:bottom w:val="single" w:sz="6" w:space="0" w:color="BFBFBF" w:themeColor="background2"/>
                  </w:tcBorders>
                  <w:vAlign w:val="bottom"/>
                </w:tcPr>
                <w:p w:rsidR="00CF6B94" w:rsidRDefault="00CF6B94" w:rsidP="00E15700">
                  <w:pPr>
                    <w:pStyle w:val="TableColumnHeading"/>
                  </w:pPr>
                  <w:r>
                    <w:t xml:space="preserve">Net fiscal position </w:t>
                  </w:r>
                  <w:r>
                    <w:br/>
                    <w:t>(millions of dollars per week)</w:t>
                  </w:r>
                </w:p>
              </w:tc>
              <w:tc>
                <w:tcPr>
                  <w:tcW w:w="715" w:type="pct"/>
                  <w:tcBorders>
                    <w:top w:val="single" w:sz="6" w:space="0" w:color="BFBFBF" w:themeColor="background2"/>
                    <w:bottom w:val="single" w:sz="6" w:space="0" w:color="BFBFBF" w:themeColor="background2"/>
                  </w:tcBorders>
                  <w:vAlign w:val="bottom"/>
                </w:tcPr>
                <w:p w:rsidR="00CF6B94" w:rsidRDefault="00CF6B94" w:rsidP="00E15700">
                  <w:pPr>
                    <w:pStyle w:val="TableColumnHeading"/>
                  </w:pPr>
                  <w:r>
                    <w:t>Share of additional labour from households under $60 000</w:t>
                  </w:r>
                </w:p>
              </w:tc>
              <w:tc>
                <w:tcPr>
                  <w:tcW w:w="714" w:type="pct"/>
                  <w:tcBorders>
                    <w:top w:val="single" w:sz="6" w:space="0" w:color="BFBFBF" w:themeColor="background2"/>
                    <w:bottom w:val="single" w:sz="6" w:space="0" w:color="BFBFBF" w:themeColor="background2"/>
                  </w:tcBorders>
                  <w:vAlign w:val="bottom"/>
                </w:tcPr>
                <w:p w:rsidR="00CF6B94" w:rsidRDefault="00CF6B94" w:rsidP="00E15700">
                  <w:pPr>
                    <w:pStyle w:val="TableColumnHeading"/>
                  </w:pPr>
                  <w:r>
                    <w:t>Per cent of households under $60 000 with lower utility</w:t>
                  </w:r>
                </w:p>
              </w:tc>
              <w:tc>
                <w:tcPr>
                  <w:tcW w:w="714"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E15700">
                  <w:pPr>
                    <w:pStyle w:val="TableColumnHeading"/>
                  </w:pPr>
                  <w:r>
                    <w:t>Per cent of households under $60 000 with higher utility</w:t>
                  </w:r>
                </w:p>
              </w:tc>
            </w:tr>
            <w:tr w:rsidR="00CF6B94" w:rsidTr="00CF6B94">
              <w:tc>
                <w:tcPr>
                  <w:tcW w:w="713" w:type="pct"/>
                  <w:tcBorders>
                    <w:top w:val="single" w:sz="6" w:space="0" w:color="BFBFBF" w:themeColor="background2"/>
                  </w:tcBorders>
                </w:tcPr>
                <w:p w:rsidR="00CF6B94" w:rsidRPr="00E522C1" w:rsidRDefault="00CF6B94" w:rsidP="00CF6B94">
                  <w:pPr>
                    <w:pStyle w:val="TableBodyText"/>
                    <w:jc w:val="left"/>
                  </w:pPr>
                  <w:r>
                    <w:t>0 hours</w:t>
                  </w:r>
                </w:p>
              </w:tc>
              <w:tc>
                <w:tcPr>
                  <w:tcW w:w="714" w:type="pct"/>
                  <w:tcBorders>
                    <w:top w:val="single" w:sz="6" w:space="0" w:color="BFBFBF" w:themeColor="background2"/>
                  </w:tcBorders>
                  <w:vAlign w:val="bottom"/>
                </w:tcPr>
                <w:p w:rsidR="00CF6B94" w:rsidRPr="00E84A60" w:rsidRDefault="00CF6B94" w:rsidP="00CF6B94">
                  <w:pPr>
                    <w:pStyle w:val="TableBodyText"/>
                  </w:pPr>
                  <w:r w:rsidRPr="00E84A60">
                    <w:t>0.12</w:t>
                  </w:r>
                </w:p>
              </w:tc>
              <w:tc>
                <w:tcPr>
                  <w:tcW w:w="715" w:type="pct"/>
                  <w:tcBorders>
                    <w:top w:val="single" w:sz="6" w:space="0" w:color="BFBFBF" w:themeColor="background2"/>
                  </w:tcBorders>
                  <w:vAlign w:val="bottom"/>
                </w:tcPr>
                <w:p w:rsidR="00CF6B94" w:rsidRPr="00E84A60" w:rsidRDefault="00CF6B94" w:rsidP="00CF6B94">
                  <w:pPr>
                    <w:pStyle w:val="TableBodyText"/>
                  </w:pPr>
                  <w:r w:rsidRPr="00E84A60">
                    <w:t>1.70</w:t>
                  </w:r>
                </w:p>
              </w:tc>
              <w:tc>
                <w:tcPr>
                  <w:tcW w:w="714" w:type="pct"/>
                  <w:tcBorders>
                    <w:top w:val="single" w:sz="6" w:space="0" w:color="BFBFBF" w:themeColor="background2"/>
                  </w:tcBorders>
                  <w:vAlign w:val="bottom"/>
                </w:tcPr>
                <w:p w:rsidR="00CF6B94" w:rsidRPr="00E84A60" w:rsidRDefault="00CF6B94" w:rsidP="00CF6B94">
                  <w:pPr>
                    <w:pStyle w:val="TableBodyText"/>
                  </w:pPr>
                  <w:r w:rsidRPr="00E84A60">
                    <w:t>-20.05</w:t>
                  </w:r>
                </w:p>
              </w:tc>
              <w:tc>
                <w:tcPr>
                  <w:tcW w:w="715" w:type="pct"/>
                  <w:tcBorders>
                    <w:top w:val="single" w:sz="6" w:space="0" w:color="BFBFBF" w:themeColor="background2"/>
                  </w:tcBorders>
                  <w:vAlign w:val="bottom"/>
                </w:tcPr>
                <w:p w:rsidR="00CF6B94" w:rsidRPr="00E84A60" w:rsidRDefault="00CF6B94" w:rsidP="00CF6B94">
                  <w:pPr>
                    <w:pStyle w:val="TableBodyText"/>
                  </w:pPr>
                  <w:r w:rsidRPr="00E84A60">
                    <w:t>0.60</w:t>
                  </w:r>
                </w:p>
              </w:tc>
              <w:tc>
                <w:tcPr>
                  <w:tcW w:w="714" w:type="pct"/>
                  <w:tcBorders>
                    <w:top w:val="single" w:sz="6" w:space="0" w:color="BFBFBF" w:themeColor="background2"/>
                  </w:tcBorders>
                  <w:vAlign w:val="bottom"/>
                </w:tcPr>
                <w:p w:rsidR="00CF6B94" w:rsidRPr="00E84A60" w:rsidRDefault="00CF6B94" w:rsidP="00CF6B94">
                  <w:pPr>
                    <w:pStyle w:val="TableBodyText"/>
                  </w:pPr>
                  <w:r w:rsidRPr="00E84A60">
                    <w:t>8</w:t>
                  </w:r>
                </w:p>
              </w:tc>
              <w:tc>
                <w:tcPr>
                  <w:tcW w:w="714" w:type="pct"/>
                  <w:tcBorders>
                    <w:top w:val="single" w:sz="6" w:space="0" w:color="BFBFBF" w:themeColor="background2"/>
                  </w:tcBorders>
                  <w:vAlign w:val="bottom"/>
                </w:tcPr>
                <w:p w:rsidR="00CF6B94" w:rsidRPr="00E84A60" w:rsidRDefault="00CF6B94" w:rsidP="00CF6B94">
                  <w:pPr>
                    <w:pStyle w:val="TableBodyText"/>
                  </w:pPr>
                  <w:r w:rsidRPr="00E84A60">
                    <w:t>22</w:t>
                  </w:r>
                </w:p>
              </w:tc>
            </w:tr>
            <w:tr w:rsidR="00CF6B94" w:rsidTr="00CF6B94">
              <w:tc>
                <w:tcPr>
                  <w:tcW w:w="713" w:type="pct"/>
                </w:tcPr>
                <w:p w:rsidR="00CF6B94" w:rsidRPr="00E522C1" w:rsidRDefault="00CF6B94" w:rsidP="00CF6B94">
                  <w:pPr>
                    <w:pStyle w:val="TableBodyText"/>
                    <w:jc w:val="left"/>
                  </w:pPr>
                  <w:r>
                    <w:t>8 hours</w:t>
                  </w:r>
                </w:p>
              </w:tc>
              <w:tc>
                <w:tcPr>
                  <w:tcW w:w="714" w:type="pct"/>
                  <w:vAlign w:val="bottom"/>
                </w:tcPr>
                <w:p w:rsidR="00CF6B94" w:rsidRPr="00E84A60" w:rsidRDefault="00CF6B94" w:rsidP="00CF6B94">
                  <w:pPr>
                    <w:pStyle w:val="TableBodyText"/>
                  </w:pPr>
                  <w:r w:rsidRPr="00E84A60">
                    <w:t>0.52</w:t>
                  </w:r>
                </w:p>
              </w:tc>
              <w:tc>
                <w:tcPr>
                  <w:tcW w:w="715" w:type="pct"/>
                  <w:vAlign w:val="bottom"/>
                </w:tcPr>
                <w:p w:rsidR="00CF6B94" w:rsidRPr="00E84A60" w:rsidRDefault="00CF6B94" w:rsidP="00CF6B94">
                  <w:pPr>
                    <w:pStyle w:val="TableBodyText"/>
                  </w:pPr>
                  <w:r w:rsidRPr="00E84A60">
                    <w:t>1.07</w:t>
                  </w:r>
                </w:p>
              </w:tc>
              <w:tc>
                <w:tcPr>
                  <w:tcW w:w="714" w:type="pct"/>
                  <w:vAlign w:val="bottom"/>
                </w:tcPr>
                <w:p w:rsidR="00CF6B94" w:rsidRPr="00E84A60" w:rsidRDefault="00CF6B94" w:rsidP="00CF6B94">
                  <w:pPr>
                    <w:pStyle w:val="TableBodyText"/>
                  </w:pPr>
                  <w:r w:rsidRPr="00E84A60">
                    <w:t>-7.67</w:t>
                  </w:r>
                </w:p>
              </w:tc>
              <w:tc>
                <w:tcPr>
                  <w:tcW w:w="715" w:type="pct"/>
                  <w:vAlign w:val="bottom"/>
                </w:tcPr>
                <w:p w:rsidR="00CF6B94" w:rsidRPr="00E84A60" w:rsidRDefault="00CF6B94" w:rsidP="00CF6B94">
                  <w:pPr>
                    <w:pStyle w:val="TableBodyText"/>
                  </w:pPr>
                  <w:r w:rsidRPr="00E84A60">
                    <w:t>0.53</w:t>
                  </w:r>
                </w:p>
              </w:tc>
              <w:tc>
                <w:tcPr>
                  <w:tcW w:w="714" w:type="pct"/>
                  <w:vAlign w:val="bottom"/>
                </w:tcPr>
                <w:p w:rsidR="00CF6B94" w:rsidRPr="00E84A60" w:rsidRDefault="00CF6B94" w:rsidP="00CF6B94">
                  <w:pPr>
                    <w:pStyle w:val="TableBodyText"/>
                  </w:pPr>
                  <w:r w:rsidRPr="00E84A60">
                    <w:t>10</w:t>
                  </w:r>
                </w:p>
              </w:tc>
              <w:tc>
                <w:tcPr>
                  <w:tcW w:w="714" w:type="pct"/>
                  <w:vAlign w:val="bottom"/>
                </w:tcPr>
                <w:p w:rsidR="00CF6B94" w:rsidRPr="00E84A60" w:rsidRDefault="00CF6B94" w:rsidP="00CF6B94">
                  <w:pPr>
                    <w:pStyle w:val="TableBodyText"/>
                  </w:pPr>
                  <w:r w:rsidRPr="00E84A60">
                    <w:t>20</w:t>
                  </w:r>
                </w:p>
              </w:tc>
            </w:tr>
            <w:tr w:rsidR="00CF6B94" w:rsidTr="00CF6B94">
              <w:tc>
                <w:tcPr>
                  <w:tcW w:w="713" w:type="pct"/>
                  <w:shd w:val="clear" w:color="auto" w:fill="auto"/>
                </w:tcPr>
                <w:p w:rsidR="00CF6B94" w:rsidRPr="00196B38" w:rsidRDefault="00CF6B94" w:rsidP="00CF6B94">
                  <w:pPr>
                    <w:pStyle w:val="TableBodyText"/>
                    <w:jc w:val="left"/>
                    <w:rPr>
                      <w:b/>
                    </w:rPr>
                  </w:pPr>
                  <w:r w:rsidRPr="00196B38">
                    <w:rPr>
                      <w:b/>
                    </w:rPr>
                    <w:t>12 hours</w:t>
                  </w:r>
                  <w:r>
                    <w:rPr>
                      <w:rStyle w:val="NoteLabel"/>
                    </w:rPr>
                    <w:t>b</w:t>
                  </w:r>
                </w:p>
              </w:tc>
              <w:tc>
                <w:tcPr>
                  <w:tcW w:w="714" w:type="pct"/>
                  <w:shd w:val="clear" w:color="auto" w:fill="auto"/>
                  <w:vAlign w:val="bottom"/>
                </w:tcPr>
                <w:p w:rsidR="00CF6B94" w:rsidRPr="00196B38" w:rsidRDefault="00CF6B94" w:rsidP="00CF6B94">
                  <w:pPr>
                    <w:pStyle w:val="TableBodyText"/>
                    <w:rPr>
                      <w:b/>
                    </w:rPr>
                  </w:pPr>
                  <w:r w:rsidRPr="00196B38">
                    <w:rPr>
                      <w:b/>
                    </w:rPr>
                    <w:t>0.62</w:t>
                  </w:r>
                </w:p>
              </w:tc>
              <w:tc>
                <w:tcPr>
                  <w:tcW w:w="715" w:type="pct"/>
                  <w:vAlign w:val="bottom"/>
                </w:tcPr>
                <w:p w:rsidR="00CF6B94" w:rsidRPr="00196B38" w:rsidRDefault="00CF6B94" w:rsidP="00CF6B94">
                  <w:pPr>
                    <w:pStyle w:val="TableBodyText"/>
                    <w:rPr>
                      <w:b/>
                    </w:rPr>
                  </w:pPr>
                  <w:r w:rsidRPr="00196B38">
                    <w:rPr>
                      <w:b/>
                    </w:rPr>
                    <w:t>0.67</w:t>
                  </w:r>
                </w:p>
              </w:tc>
              <w:tc>
                <w:tcPr>
                  <w:tcW w:w="714" w:type="pct"/>
                  <w:vAlign w:val="bottom"/>
                </w:tcPr>
                <w:p w:rsidR="00CF6B94" w:rsidRPr="00196B38" w:rsidRDefault="00CF6B94" w:rsidP="00CF6B94">
                  <w:pPr>
                    <w:pStyle w:val="TableBodyText"/>
                    <w:rPr>
                      <w:b/>
                    </w:rPr>
                  </w:pPr>
                  <w:r w:rsidRPr="00196B38">
                    <w:rPr>
                      <w:b/>
                    </w:rPr>
                    <w:t>-1.30</w:t>
                  </w:r>
                </w:p>
              </w:tc>
              <w:tc>
                <w:tcPr>
                  <w:tcW w:w="715" w:type="pct"/>
                  <w:vAlign w:val="bottom"/>
                </w:tcPr>
                <w:p w:rsidR="00CF6B94" w:rsidRPr="00196B38" w:rsidRDefault="00CF6B94" w:rsidP="00CF6B94">
                  <w:pPr>
                    <w:pStyle w:val="TableBodyText"/>
                    <w:rPr>
                      <w:b/>
                    </w:rPr>
                  </w:pPr>
                  <w:r w:rsidRPr="00196B38">
                    <w:rPr>
                      <w:b/>
                    </w:rPr>
                    <w:t>0.45</w:t>
                  </w:r>
                </w:p>
              </w:tc>
              <w:tc>
                <w:tcPr>
                  <w:tcW w:w="714" w:type="pct"/>
                  <w:vAlign w:val="bottom"/>
                </w:tcPr>
                <w:p w:rsidR="00CF6B94" w:rsidRPr="00196B38" w:rsidRDefault="00CF6B94" w:rsidP="00CF6B94">
                  <w:pPr>
                    <w:pStyle w:val="TableBodyText"/>
                    <w:rPr>
                      <w:b/>
                    </w:rPr>
                  </w:pPr>
                  <w:r w:rsidRPr="00196B38">
                    <w:rPr>
                      <w:b/>
                    </w:rPr>
                    <w:t>10</w:t>
                  </w:r>
                </w:p>
              </w:tc>
              <w:tc>
                <w:tcPr>
                  <w:tcW w:w="714" w:type="pct"/>
                  <w:shd w:val="clear" w:color="auto" w:fill="auto"/>
                  <w:vAlign w:val="bottom"/>
                </w:tcPr>
                <w:p w:rsidR="00CF6B94" w:rsidRPr="00196B38" w:rsidRDefault="00CF6B94" w:rsidP="00CF6B94">
                  <w:pPr>
                    <w:pStyle w:val="TableBodyText"/>
                    <w:rPr>
                      <w:b/>
                    </w:rPr>
                  </w:pPr>
                  <w:r w:rsidRPr="00196B38">
                    <w:rPr>
                      <w:b/>
                    </w:rPr>
                    <w:t>19</w:t>
                  </w:r>
                </w:p>
              </w:tc>
            </w:tr>
            <w:tr w:rsidR="00CF6B94" w:rsidTr="00CF6B94">
              <w:tc>
                <w:tcPr>
                  <w:tcW w:w="713" w:type="pct"/>
                  <w:tcBorders>
                    <w:bottom w:val="single" w:sz="6" w:space="0" w:color="C8C8C8"/>
                  </w:tcBorders>
                  <w:shd w:val="clear" w:color="auto" w:fill="auto"/>
                </w:tcPr>
                <w:p w:rsidR="00CF6B94" w:rsidRDefault="00CF6B94" w:rsidP="00CF6B94">
                  <w:pPr>
                    <w:pStyle w:val="TableBodyText"/>
                    <w:jc w:val="left"/>
                  </w:pPr>
                  <w:r>
                    <w:t>40 hours</w:t>
                  </w:r>
                  <w:r>
                    <w:rPr>
                      <w:rStyle w:val="NoteLabel"/>
                    </w:rPr>
                    <w:t>c</w:t>
                  </w:r>
                </w:p>
              </w:tc>
              <w:tc>
                <w:tcPr>
                  <w:tcW w:w="714" w:type="pct"/>
                  <w:tcBorders>
                    <w:bottom w:val="single" w:sz="6" w:space="0" w:color="C8C8C8"/>
                  </w:tcBorders>
                  <w:shd w:val="clear" w:color="auto" w:fill="auto"/>
                  <w:vAlign w:val="bottom"/>
                </w:tcPr>
                <w:p w:rsidR="00CF6B94" w:rsidRPr="005365FD" w:rsidRDefault="00CF6B94" w:rsidP="00CF6B94">
                  <w:pPr>
                    <w:pStyle w:val="TableBodyText"/>
                  </w:pPr>
                  <w:r w:rsidRPr="005365FD">
                    <w:t>0.50</w:t>
                  </w:r>
                </w:p>
              </w:tc>
              <w:tc>
                <w:tcPr>
                  <w:tcW w:w="715" w:type="pct"/>
                  <w:tcBorders>
                    <w:bottom w:val="single" w:sz="6" w:space="0" w:color="C8C8C8"/>
                  </w:tcBorders>
                  <w:vAlign w:val="bottom"/>
                </w:tcPr>
                <w:p w:rsidR="00CF6B94" w:rsidRPr="005365FD" w:rsidRDefault="00CF6B94" w:rsidP="00CF6B94">
                  <w:pPr>
                    <w:pStyle w:val="TableBodyText"/>
                  </w:pPr>
                  <w:r w:rsidRPr="005365FD">
                    <w:t>-3.00</w:t>
                  </w:r>
                </w:p>
              </w:tc>
              <w:tc>
                <w:tcPr>
                  <w:tcW w:w="714" w:type="pct"/>
                  <w:tcBorders>
                    <w:bottom w:val="single" w:sz="6" w:space="0" w:color="C8C8C8"/>
                  </w:tcBorders>
                  <w:vAlign w:val="bottom"/>
                </w:tcPr>
                <w:p w:rsidR="00CF6B94" w:rsidRPr="005365FD" w:rsidRDefault="00CF6B94" w:rsidP="00CF6B94">
                  <w:pPr>
                    <w:pStyle w:val="TableBodyText"/>
                  </w:pPr>
                  <w:r w:rsidRPr="005365FD">
                    <w:t>50.21</w:t>
                  </w:r>
                </w:p>
              </w:tc>
              <w:tc>
                <w:tcPr>
                  <w:tcW w:w="715" w:type="pct"/>
                  <w:tcBorders>
                    <w:bottom w:val="single" w:sz="6" w:space="0" w:color="C8C8C8"/>
                  </w:tcBorders>
                  <w:vAlign w:val="bottom"/>
                </w:tcPr>
                <w:p w:rsidR="00CF6B94" w:rsidRPr="005365FD" w:rsidRDefault="00CF6B94" w:rsidP="00CF6B94">
                  <w:pPr>
                    <w:pStyle w:val="TableBodyText"/>
                  </w:pPr>
                  <w:r w:rsidRPr="005365FD">
                    <w:t>0.07</w:t>
                  </w:r>
                </w:p>
              </w:tc>
              <w:tc>
                <w:tcPr>
                  <w:tcW w:w="714" w:type="pct"/>
                  <w:tcBorders>
                    <w:bottom w:val="single" w:sz="6" w:space="0" w:color="C8C8C8"/>
                  </w:tcBorders>
                  <w:vAlign w:val="bottom"/>
                </w:tcPr>
                <w:p w:rsidR="00CF6B94" w:rsidRPr="005365FD" w:rsidRDefault="00CF6B94" w:rsidP="00CF6B94">
                  <w:pPr>
                    <w:pStyle w:val="TableBodyText"/>
                  </w:pPr>
                  <w:r>
                    <w:t>1</w:t>
                  </w:r>
                  <w:r w:rsidRPr="005365FD">
                    <w:t>6</w:t>
                  </w:r>
                </w:p>
              </w:tc>
              <w:tc>
                <w:tcPr>
                  <w:tcW w:w="714" w:type="pct"/>
                  <w:tcBorders>
                    <w:bottom w:val="single" w:sz="6" w:space="0" w:color="C8C8C8"/>
                  </w:tcBorders>
                  <w:shd w:val="clear" w:color="auto" w:fill="auto"/>
                  <w:vAlign w:val="bottom"/>
                </w:tcPr>
                <w:p w:rsidR="00CF6B94" w:rsidRPr="005365FD" w:rsidRDefault="00CF6B94" w:rsidP="00CF6B94">
                  <w:pPr>
                    <w:pStyle w:val="TableBodyText"/>
                  </w:pPr>
                  <w:r w:rsidRPr="005365FD">
                    <w:t>13</w:t>
                  </w:r>
                </w:p>
              </w:tc>
            </w:tr>
          </w:tbl>
          <w:p w:rsidR="00CF6B94" w:rsidRDefault="00CF6B94" w:rsidP="00CF6B94">
            <w:pPr>
              <w:pStyle w:val="Box"/>
            </w:pPr>
          </w:p>
        </w:tc>
      </w:tr>
      <w:tr w:rsidR="00CF6B94" w:rsidTr="00CF6B94">
        <w:trPr>
          <w:cantSplit/>
        </w:trPr>
        <w:tc>
          <w:tcPr>
            <w:tcW w:w="8771" w:type="dxa"/>
            <w:tcBorders>
              <w:top w:val="nil"/>
              <w:left w:val="nil"/>
              <w:bottom w:val="nil"/>
              <w:right w:val="nil"/>
            </w:tcBorders>
            <w:shd w:val="clear" w:color="auto" w:fill="auto"/>
          </w:tcPr>
          <w:p w:rsidR="00CF6B94" w:rsidRPr="005365FD" w:rsidRDefault="00CF6B94" w:rsidP="00CF6B94">
            <w:pPr>
              <w:pStyle w:val="Note"/>
            </w:pPr>
            <w:proofErr w:type="gramStart"/>
            <w:r>
              <w:rPr>
                <w:rStyle w:val="NoteLabel"/>
              </w:rPr>
              <w:t>a</w:t>
            </w:r>
            <w:proofErr w:type="gramEnd"/>
            <w:r>
              <w:t xml:space="preserve"> Results are shown for ECLS varying only the hours of labour supply required to pass the activity test. All other policy settings remain unchanged. </w:t>
            </w:r>
            <w:proofErr w:type="gramStart"/>
            <w:r>
              <w:rPr>
                <w:rStyle w:val="NoteLabel"/>
              </w:rPr>
              <w:t>b</w:t>
            </w:r>
            <w:proofErr w:type="gramEnd"/>
            <w:r>
              <w:rPr>
                <w:rStyle w:val="NoteLabel"/>
              </w:rPr>
              <w:t xml:space="preserve"> </w:t>
            </w:r>
            <w:r>
              <w:t xml:space="preserve">The bold row is the recommended policy. </w:t>
            </w:r>
            <w:proofErr w:type="gramStart"/>
            <w:r>
              <w:rPr>
                <w:rStyle w:val="NoteLabel"/>
              </w:rPr>
              <w:t>c</w:t>
            </w:r>
            <w:proofErr w:type="gramEnd"/>
            <w:r>
              <w:rPr>
                <w:rStyle w:val="NoteLabel"/>
              </w:rPr>
              <w:t xml:space="preserve"> </w:t>
            </w:r>
            <w:r>
              <w:t>Note that this policy was not considered by the Commission for implementation, but is included in this table to provide an insight into the mechanisms driving model results.</w:t>
            </w: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Source"/>
            </w:pPr>
            <w:r>
              <w:rPr>
                <w:i/>
              </w:rPr>
              <w:t>Source</w:t>
            </w:r>
            <w:r>
              <w:t>: PCMC model estimates.</w:t>
            </w:r>
          </w:p>
        </w:tc>
      </w:tr>
      <w:tr w:rsidR="00CF6B94" w:rsidTr="00CF6B94">
        <w:trPr>
          <w:cantSplit/>
        </w:trPr>
        <w:tc>
          <w:tcPr>
            <w:tcW w:w="8771" w:type="dxa"/>
            <w:tcBorders>
              <w:top w:val="nil"/>
              <w:left w:val="nil"/>
              <w:bottom w:val="single" w:sz="6" w:space="0" w:color="78A22F" w:themeColor="accent1"/>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themeColor="accent1"/>
              <w:left w:val="nil"/>
              <w:bottom w:val="nil"/>
              <w:right w:val="nil"/>
            </w:tcBorders>
          </w:tcPr>
          <w:p w:rsidR="00CF6B94" w:rsidRPr="00626D32" w:rsidRDefault="00CF6B94" w:rsidP="00CF6B94">
            <w:pPr>
              <w:pStyle w:val="BoxSpaceBelow"/>
            </w:pPr>
          </w:p>
        </w:tc>
      </w:tr>
    </w:tbl>
    <w:p w:rsidR="00CF6B94" w:rsidRDefault="00CF6B94" w:rsidP="00CF6B94">
      <w:pPr>
        <w:pStyle w:val="BodyText"/>
      </w:pPr>
      <w:r>
        <w:t xml:space="preserve">Higher activity test hour requirements — in general — increase labour supply. As discussed above, some households who receive CCB for up to 24 hours of care under current arrangements increase their hours to meet the new activity test. They do this if the benefit that they derive from assisted care exceeds the disutility costs associated with working and forgoing maternal care. A relatively small activity test increases labour supply — no activity test gives only 0.12 million hours per week; while 8 and 12 hour tests increase labour supply by 0.52 and 0.62 million hours per week respectively. </w:t>
      </w:r>
    </w:p>
    <w:p w:rsidR="00CF6B94" w:rsidRDefault="00CF6B94" w:rsidP="00CF6B94">
      <w:pPr>
        <w:pStyle w:val="BodyText"/>
      </w:pPr>
      <w:r>
        <w:t xml:space="preserve">However, if the </w:t>
      </w:r>
      <w:proofErr w:type="gramStart"/>
      <w:r>
        <w:t>activity test</w:t>
      </w:r>
      <w:proofErr w:type="gramEnd"/>
      <w:r>
        <w:t xml:space="preserve"> requirements are too onerous, fewer households will meet it and labour supply will not be increased. For example, increasing an activity test from 8 to 12 hours per week increases labour supply by an additional 0.10 million hours per week; while moving </w:t>
      </w:r>
      <w:proofErr w:type="gramStart"/>
      <w:r>
        <w:t>from a</w:t>
      </w:r>
      <w:proofErr w:type="gramEnd"/>
      <w:r>
        <w:t xml:space="preserve"> 12 hours to a 40 hours per week activity test would </w:t>
      </w:r>
      <w:r w:rsidRPr="007B55EF">
        <w:rPr>
          <w:i/>
        </w:rPr>
        <w:t>decrease</w:t>
      </w:r>
      <w:r>
        <w:t xml:space="preserve"> labour supply by 0.12 million hours per week.</w:t>
      </w:r>
    </w:p>
    <w:p w:rsidR="00CF6B94" w:rsidRDefault="00CF6B94" w:rsidP="00CF6B94">
      <w:pPr>
        <w:pStyle w:val="BodyText"/>
      </w:pPr>
      <w:r>
        <w:t>Activity tests disproportionately affect households that work less than full time (and consequently, those that have lower income levels). Some low income households work more to meet the activity test, but they often move to a childcare–work decision that they find less desirable than their situation under current arrangements (either working more to receive assisted care; or cease receiving assisted care). These households are often financially better off, but this does not mean they prefer this outcome (typically because they are forgoing maternal childcare, which they derive utility from). Activity tests impose proportionately larger utility costs on low income households, as these are the households most likely impacted by stricter tests. This is illustrated in the results, where the proportion of households earning under $60 000 with lower utility increases as the activity test increases (no activity test decreases utility for 8 per cent of households and a 40 hour per week test decreases utility for 16 per cent</w:t>
      </w:r>
      <w:r w:rsidRPr="00815CD9">
        <w:t xml:space="preserve"> </w:t>
      </w:r>
      <w:r>
        <w:t>of households).</w:t>
      </w:r>
    </w:p>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themeColor="accent1"/>
              <w:left w:val="nil"/>
              <w:bottom w:val="nil"/>
              <w:right w:val="nil"/>
            </w:tcBorders>
            <w:shd w:val="clear" w:color="auto" w:fill="auto"/>
          </w:tcPr>
          <w:p w:rsidR="00CF6B94" w:rsidRPr="00784A05" w:rsidRDefault="00CF6B94" w:rsidP="00CF6B94">
            <w:pPr>
              <w:pStyle w:val="TableTitle"/>
            </w:pPr>
            <w:r>
              <w:rPr>
                <w:b w:val="0"/>
              </w:rPr>
              <w:t xml:space="preserve">Table </w:t>
            </w:r>
            <w:r>
              <w:rPr>
                <w:b w:val="0"/>
                <w:noProof/>
              </w:rPr>
              <w:t>9</w:t>
            </w:r>
            <w:r>
              <w:tab/>
            </w:r>
            <w:r w:rsidRPr="00B954E4">
              <w:t>Illustrative impacts o</w:t>
            </w:r>
            <w:r>
              <w:t>f alternative exemptions to the activity test for Parenting Payment recipients</w:t>
            </w:r>
            <w:r w:rsidRPr="007E57F0">
              <w:rPr>
                <w:rStyle w:val="NoteLabel"/>
              </w:rPr>
              <w:t>a</w:t>
            </w:r>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08"/>
              <w:gridCol w:w="357"/>
              <w:gridCol w:w="854"/>
              <w:gridCol w:w="1214"/>
              <w:gridCol w:w="1212"/>
              <w:gridCol w:w="1214"/>
              <w:gridCol w:w="1214"/>
              <w:gridCol w:w="1214"/>
            </w:tblGrid>
            <w:tr w:rsidR="00CF6B94" w:rsidTr="00B14997">
              <w:tc>
                <w:tcPr>
                  <w:tcW w:w="712"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Pr="007E0D23" w:rsidRDefault="00CF6B94" w:rsidP="00E15700">
                  <w:pPr>
                    <w:pStyle w:val="TableColumnHeading"/>
                    <w:jc w:val="left"/>
                  </w:pPr>
                  <w:r>
                    <w:t>Parenting Payment activity test exemption (hours per week of subsidised care)</w:t>
                  </w:r>
                </w:p>
              </w:tc>
              <w:tc>
                <w:tcPr>
                  <w:tcW w:w="714" w:type="pct"/>
                  <w:gridSpan w:val="2"/>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E15700">
                  <w:pPr>
                    <w:pStyle w:val="TableColumnHeading"/>
                  </w:pPr>
                  <w:r>
                    <w:t xml:space="preserve">Change in labour supply </w:t>
                  </w:r>
                  <w:r>
                    <w:br/>
                    <w:t>(millions of hours per week)</w:t>
                  </w:r>
                </w:p>
              </w:tc>
              <w:tc>
                <w:tcPr>
                  <w:tcW w:w="715" w:type="pct"/>
                  <w:tcBorders>
                    <w:top w:val="single" w:sz="6" w:space="0" w:color="BFBFBF" w:themeColor="background2"/>
                    <w:bottom w:val="single" w:sz="6" w:space="0" w:color="BFBFBF" w:themeColor="background2"/>
                  </w:tcBorders>
                  <w:vAlign w:val="bottom"/>
                </w:tcPr>
                <w:p w:rsidR="00CF6B94" w:rsidRDefault="00CF6B94" w:rsidP="00E15700">
                  <w:pPr>
                    <w:pStyle w:val="TableColumnHeading"/>
                  </w:pPr>
                  <w:r>
                    <w:t xml:space="preserve">Change in childcare demand </w:t>
                  </w:r>
                  <w:r>
                    <w:br/>
                    <w:t>(millions of hours per week)</w:t>
                  </w:r>
                </w:p>
              </w:tc>
              <w:tc>
                <w:tcPr>
                  <w:tcW w:w="714" w:type="pct"/>
                  <w:tcBorders>
                    <w:top w:val="single" w:sz="6" w:space="0" w:color="BFBFBF" w:themeColor="background2"/>
                    <w:bottom w:val="single" w:sz="6" w:space="0" w:color="BFBFBF" w:themeColor="background2"/>
                  </w:tcBorders>
                  <w:vAlign w:val="bottom"/>
                </w:tcPr>
                <w:p w:rsidR="00CF6B94" w:rsidRDefault="00CF6B94" w:rsidP="00E15700">
                  <w:pPr>
                    <w:pStyle w:val="TableColumnHeading"/>
                  </w:pPr>
                  <w:r>
                    <w:t xml:space="preserve">Net fiscal position </w:t>
                  </w:r>
                  <w:r>
                    <w:br/>
                    <w:t>(millions of dollars per week)</w:t>
                  </w:r>
                </w:p>
              </w:tc>
              <w:tc>
                <w:tcPr>
                  <w:tcW w:w="715" w:type="pct"/>
                  <w:tcBorders>
                    <w:top w:val="single" w:sz="6" w:space="0" w:color="BFBFBF" w:themeColor="background2"/>
                    <w:bottom w:val="single" w:sz="6" w:space="0" w:color="BFBFBF" w:themeColor="background2"/>
                  </w:tcBorders>
                  <w:vAlign w:val="bottom"/>
                </w:tcPr>
                <w:p w:rsidR="00CF6B94" w:rsidRDefault="00CF6B94" w:rsidP="00E15700">
                  <w:pPr>
                    <w:pStyle w:val="TableColumnHeading"/>
                  </w:pPr>
                  <w:r>
                    <w:t>Share of additional labour from households under $60 000</w:t>
                  </w:r>
                </w:p>
              </w:tc>
              <w:tc>
                <w:tcPr>
                  <w:tcW w:w="715" w:type="pct"/>
                  <w:tcBorders>
                    <w:top w:val="single" w:sz="6" w:space="0" w:color="BFBFBF" w:themeColor="background2"/>
                    <w:bottom w:val="single" w:sz="6" w:space="0" w:color="BFBFBF" w:themeColor="background2"/>
                  </w:tcBorders>
                  <w:vAlign w:val="bottom"/>
                </w:tcPr>
                <w:p w:rsidR="00CF6B94" w:rsidRDefault="00CF6B94" w:rsidP="00E15700">
                  <w:pPr>
                    <w:pStyle w:val="TableColumnHeading"/>
                  </w:pPr>
                  <w:r>
                    <w:t>Per cent of households under $60 000 with lower utility</w:t>
                  </w:r>
                </w:p>
              </w:tc>
              <w:tc>
                <w:tcPr>
                  <w:tcW w:w="715"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E15700">
                  <w:pPr>
                    <w:pStyle w:val="TableColumnHeading"/>
                  </w:pPr>
                  <w:r>
                    <w:t>Per cent of households under $60 000 with higher utility</w:t>
                  </w:r>
                </w:p>
              </w:tc>
            </w:tr>
            <w:tr w:rsidR="00CF6B94" w:rsidTr="00B14997">
              <w:tc>
                <w:tcPr>
                  <w:tcW w:w="923" w:type="pct"/>
                  <w:gridSpan w:val="2"/>
                  <w:tcBorders>
                    <w:top w:val="single" w:sz="6" w:space="0" w:color="BFBFBF" w:themeColor="background2"/>
                  </w:tcBorders>
                </w:tcPr>
                <w:p w:rsidR="00CF6B94" w:rsidRPr="00E522C1" w:rsidRDefault="00CF6B94" w:rsidP="00CF6B94">
                  <w:pPr>
                    <w:pStyle w:val="TableBodyText"/>
                    <w:jc w:val="left"/>
                  </w:pPr>
                  <w:r>
                    <w:t>No exemption</w:t>
                  </w:r>
                </w:p>
              </w:tc>
              <w:tc>
                <w:tcPr>
                  <w:tcW w:w="503" w:type="pct"/>
                  <w:tcBorders>
                    <w:top w:val="single" w:sz="6" w:space="0" w:color="BFBFBF" w:themeColor="background2"/>
                  </w:tcBorders>
                  <w:vAlign w:val="bottom"/>
                </w:tcPr>
                <w:p w:rsidR="00CF6B94" w:rsidRPr="00E84A60" w:rsidRDefault="00CF6B94" w:rsidP="00CF6B94">
                  <w:pPr>
                    <w:pStyle w:val="TableBodyText"/>
                  </w:pPr>
                  <w:r w:rsidRPr="00E84A60">
                    <w:t>0.93</w:t>
                  </w:r>
                </w:p>
              </w:tc>
              <w:tc>
                <w:tcPr>
                  <w:tcW w:w="715" w:type="pct"/>
                  <w:tcBorders>
                    <w:top w:val="single" w:sz="6" w:space="0" w:color="BFBFBF" w:themeColor="background2"/>
                  </w:tcBorders>
                  <w:vAlign w:val="bottom"/>
                </w:tcPr>
                <w:p w:rsidR="00CF6B94" w:rsidRPr="00E84A60" w:rsidRDefault="00CF6B94" w:rsidP="00CF6B94">
                  <w:pPr>
                    <w:pStyle w:val="TableBodyText"/>
                  </w:pPr>
                  <w:r w:rsidRPr="00E84A60">
                    <w:t>0.25</w:t>
                  </w:r>
                </w:p>
              </w:tc>
              <w:tc>
                <w:tcPr>
                  <w:tcW w:w="714" w:type="pct"/>
                  <w:tcBorders>
                    <w:top w:val="single" w:sz="6" w:space="0" w:color="BFBFBF" w:themeColor="background2"/>
                  </w:tcBorders>
                  <w:vAlign w:val="bottom"/>
                </w:tcPr>
                <w:p w:rsidR="00CF6B94" w:rsidRPr="00E84A60" w:rsidRDefault="00CF6B94" w:rsidP="00CF6B94">
                  <w:pPr>
                    <w:pStyle w:val="TableBodyText"/>
                  </w:pPr>
                  <w:r w:rsidRPr="00E84A60">
                    <w:t>6.34</w:t>
                  </w:r>
                </w:p>
              </w:tc>
              <w:tc>
                <w:tcPr>
                  <w:tcW w:w="715" w:type="pct"/>
                  <w:tcBorders>
                    <w:top w:val="single" w:sz="6" w:space="0" w:color="BFBFBF" w:themeColor="background2"/>
                  </w:tcBorders>
                  <w:vAlign w:val="bottom"/>
                </w:tcPr>
                <w:p w:rsidR="00CF6B94" w:rsidRPr="00E84A60" w:rsidRDefault="00CF6B94" w:rsidP="00CF6B94">
                  <w:pPr>
                    <w:pStyle w:val="TableBodyText"/>
                  </w:pPr>
                  <w:r w:rsidRPr="00E84A60">
                    <w:t>0.62</w:t>
                  </w:r>
                </w:p>
              </w:tc>
              <w:tc>
                <w:tcPr>
                  <w:tcW w:w="715" w:type="pct"/>
                  <w:tcBorders>
                    <w:top w:val="single" w:sz="6" w:space="0" w:color="BFBFBF" w:themeColor="background2"/>
                  </w:tcBorders>
                  <w:vAlign w:val="bottom"/>
                </w:tcPr>
                <w:p w:rsidR="00CF6B94" w:rsidRPr="00E84A60" w:rsidRDefault="00CF6B94" w:rsidP="00CF6B94">
                  <w:pPr>
                    <w:pStyle w:val="TableBodyText"/>
                  </w:pPr>
                  <w:r w:rsidRPr="00E84A60">
                    <w:t>14</w:t>
                  </w:r>
                </w:p>
              </w:tc>
              <w:tc>
                <w:tcPr>
                  <w:tcW w:w="715" w:type="pct"/>
                  <w:tcBorders>
                    <w:top w:val="single" w:sz="6" w:space="0" w:color="BFBFBF" w:themeColor="background2"/>
                  </w:tcBorders>
                  <w:vAlign w:val="bottom"/>
                </w:tcPr>
                <w:p w:rsidR="00CF6B94" w:rsidRPr="00E84A60" w:rsidRDefault="00CF6B94" w:rsidP="00CF6B94">
                  <w:pPr>
                    <w:pStyle w:val="TableBodyText"/>
                  </w:pPr>
                  <w:r w:rsidRPr="00E84A60">
                    <w:t>15</w:t>
                  </w:r>
                </w:p>
              </w:tc>
            </w:tr>
            <w:tr w:rsidR="00CF6B94" w:rsidTr="00B14997">
              <w:tc>
                <w:tcPr>
                  <w:tcW w:w="923" w:type="pct"/>
                  <w:gridSpan w:val="2"/>
                </w:tcPr>
                <w:p w:rsidR="00CF6B94" w:rsidRPr="0028010E" w:rsidRDefault="00CF6B94" w:rsidP="00CF6B94">
                  <w:pPr>
                    <w:pStyle w:val="TableBodyText"/>
                    <w:jc w:val="left"/>
                  </w:pPr>
                  <w:r w:rsidRPr="0028010E">
                    <w:rPr>
                      <w:b/>
                    </w:rPr>
                    <w:t>10 hours</w:t>
                  </w:r>
                  <w:r>
                    <w:rPr>
                      <w:rStyle w:val="NoteLabel"/>
                    </w:rPr>
                    <w:t>b</w:t>
                  </w:r>
                </w:p>
              </w:tc>
              <w:tc>
                <w:tcPr>
                  <w:tcW w:w="503" w:type="pct"/>
                  <w:vAlign w:val="bottom"/>
                </w:tcPr>
                <w:p w:rsidR="00CF6B94" w:rsidRPr="0028010E" w:rsidRDefault="00CF6B94" w:rsidP="00CF6B94">
                  <w:pPr>
                    <w:pStyle w:val="TableBodyText"/>
                    <w:rPr>
                      <w:b/>
                    </w:rPr>
                  </w:pPr>
                  <w:r w:rsidRPr="0028010E">
                    <w:rPr>
                      <w:b/>
                    </w:rPr>
                    <w:t>0.62</w:t>
                  </w:r>
                </w:p>
              </w:tc>
              <w:tc>
                <w:tcPr>
                  <w:tcW w:w="715" w:type="pct"/>
                  <w:vAlign w:val="bottom"/>
                </w:tcPr>
                <w:p w:rsidR="00CF6B94" w:rsidRPr="0028010E" w:rsidRDefault="00CF6B94" w:rsidP="00CF6B94">
                  <w:pPr>
                    <w:pStyle w:val="TableBodyText"/>
                    <w:rPr>
                      <w:b/>
                    </w:rPr>
                  </w:pPr>
                  <w:r w:rsidRPr="0028010E">
                    <w:rPr>
                      <w:b/>
                    </w:rPr>
                    <w:t>0.67</w:t>
                  </w:r>
                </w:p>
              </w:tc>
              <w:tc>
                <w:tcPr>
                  <w:tcW w:w="714" w:type="pct"/>
                  <w:vAlign w:val="bottom"/>
                </w:tcPr>
                <w:p w:rsidR="00CF6B94" w:rsidRPr="0028010E" w:rsidRDefault="00CF6B94" w:rsidP="00CF6B94">
                  <w:pPr>
                    <w:pStyle w:val="TableBodyText"/>
                    <w:rPr>
                      <w:b/>
                    </w:rPr>
                  </w:pPr>
                  <w:r w:rsidRPr="0028010E">
                    <w:rPr>
                      <w:b/>
                    </w:rPr>
                    <w:t>-1.30</w:t>
                  </w:r>
                </w:p>
              </w:tc>
              <w:tc>
                <w:tcPr>
                  <w:tcW w:w="715" w:type="pct"/>
                  <w:vAlign w:val="bottom"/>
                </w:tcPr>
                <w:p w:rsidR="00CF6B94" w:rsidRPr="0028010E" w:rsidRDefault="00CF6B94" w:rsidP="00CF6B94">
                  <w:pPr>
                    <w:pStyle w:val="TableBodyText"/>
                    <w:rPr>
                      <w:b/>
                    </w:rPr>
                  </w:pPr>
                  <w:r w:rsidRPr="0028010E">
                    <w:rPr>
                      <w:b/>
                    </w:rPr>
                    <w:t>0.45</w:t>
                  </w:r>
                </w:p>
              </w:tc>
              <w:tc>
                <w:tcPr>
                  <w:tcW w:w="715" w:type="pct"/>
                  <w:vAlign w:val="bottom"/>
                </w:tcPr>
                <w:p w:rsidR="00CF6B94" w:rsidRPr="0028010E" w:rsidRDefault="00CF6B94" w:rsidP="00CF6B94">
                  <w:pPr>
                    <w:pStyle w:val="TableBodyText"/>
                    <w:rPr>
                      <w:b/>
                    </w:rPr>
                  </w:pPr>
                  <w:r w:rsidRPr="0028010E">
                    <w:rPr>
                      <w:b/>
                    </w:rPr>
                    <w:t>10</w:t>
                  </w:r>
                </w:p>
              </w:tc>
              <w:tc>
                <w:tcPr>
                  <w:tcW w:w="715" w:type="pct"/>
                  <w:vAlign w:val="bottom"/>
                </w:tcPr>
                <w:p w:rsidR="00CF6B94" w:rsidRPr="0028010E" w:rsidRDefault="00CF6B94" w:rsidP="00CF6B94">
                  <w:pPr>
                    <w:pStyle w:val="TableBodyText"/>
                    <w:rPr>
                      <w:b/>
                    </w:rPr>
                  </w:pPr>
                  <w:r w:rsidRPr="0028010E">
                    <w:rPr>
                      <w:b/>
                    </w:rPr>
                    <w:t>19</w:t>
                  </w:r>
                </w:p>
              </w:tc>
            </w:tr>
            <w:tr w:rsidR="00CF6B94" w:rsidTr="00B14997">
              <w:tc>
                <w:tcPr>
                  <w:tcW w:w="923" w:type="pct"/>
                  <w:gridSpan w:val="2"/>
                  <w:vAlign w:val="bottom"/>
                </w:tcPr>
                <w:p w:rsidR="00CF6B94" w:rsidRPr="00152C02" w:rsidRDefault="00CF6B94" w:rsidP="00CF6B94">
                  <w:pPr>
                    <w:pStyle w:val="TableBodyText"/>
                    <w:jc w:val="left"/>
                  </w:pPr>
                  <w:r w:rsidRPr="00152C02">
                    <w:t>20</w:t>
                  </w:r>
                  <w:r>
                    <w:t xml:space="preserve"> hours</w:t>
                  </w:r>
                </w:p>
              </w:tc>
              <w:tc>
                <w:tcPr>
                  <w:tcW w:w="503" w:type="pct"/>
                  <w:vAlign w:val="bottom"/>
                </w:tcPr>
                <w:p w:rsidR="00CF6B94" w:rsidRPr="00152C02" w:rsidRDefault="00CF6B94" w:rsidP="00CF6B94">
                  <w:pPr>
                    <w:pStyle w:val="TableBodyText"/>
                  </w:pPr>
                  <w:r w:rsidRPr="00152C02">
                    <w:t>0.48</w:t>
                  </w:r>
                </w:p>
              </w:tc>
              <w:tc>
                <w:tcPr>
                  <w:tcW w:w="715" w:type="pct"/>
                  <w:vAlign w:val="bottom"/>
                </w:tcPr>
                <w:p w:rsidR="00CF6B94" w:rsidRPr="00152C02" w:rsidRDefault="00CF6B94" w:rsidP="00CF6B94">
                  <w:pPr>
                    <w:pStyle w:val="TableBodyText"/>
                  </w:pPr>
                  <w:r w:rsidRPr="00152C02">
                    <w:t>0.87</w:t>
                  </w:r>
                </w:p>
              </w:tc>
              <w:tc>
                <w:tcPr>
                  <w:tcW w:w="714" w:type="pct"/>
                  <w:vAlign w:val="bottom"/>
                </w:tcPr>
                <w:p w:rsidR="00CF6B94" w:rsidRPr="00152C02" w:rsidRDefault="00CF6B94" w:rsidP="00CF6B94">
                  <w:pPr>
                    <w:pStyle w:val="TableBodyText"/>
                  </w:pPr>
                  <w:r w:rsidRPr="00152C02">
                    <w:t>-5.13</w:t>
                  </w:r>
                </w:p>
              </w:tc>
              <w:tc>
                <w:tcPr>
                  <w:tcW w:w="715" w:type="pct"/>
                  <w:vAlign w:val="bottom"/>
                </w:tcPr>
                <w:p w:rsidR="00CF6B94" w:rsidRPr="00152C02" w:rsidRDefault="00CF6B94" w:rsidP="00CF6B94">
                  <w:pPr>
                    <w:pStyle w:val="TableBodyText"/>
                  </w:pPr>
                  <w:r w:rsidRPr="00152C02">
                    <w:t>0.36</w:t>
                  </w:r>
                </w:p>
              </w:tc>
              <w:tc>
                <w:tcPr>
                  <w:tcW w:w="715" w:type="pct"/>
                  <w:vAlign w:val="bottom"/>
                </w:tcPr>
                <w:p w:rsidR="00CF6B94" w:rsidRPr="00152C02" w:rsidRDefault="00CF6B94" w:rsidP="00CF6B94">
                  <w:pPr>
                    <w:pStyle w:val="TableBodyText"/>
                  </w:pPr>
                  <w:r w:rsidRPr="00152C02">
                    <w:t>9</w:t>
                  </w:r>
                </w:p>
              </w:tc>
              <w:tc>
                <w:tcPr>
                  <w:tcW w:w="715" w:type="pct"/>
                  <w:vAlign w:val="bottom"/>
                </w:tcPr>
                <w:p w:rsidR="00CF6B94" w:rsidRPr="00152C02" w:rsidRDefault="00CF6B94" w:rsidP="00CF6B94">
                  <w:pPr>
                    <w:pStyle w:val="TableBodyText"/>
                  </w:pPr>
                  <w:r w:rsidRPr="00152C02">
                    <w:t>20</w:t>
                  </w:r>
                </w:p>
              </w:tc>
            </w:tr>
            <w:tr w:rsidR="00CF6B94" w:rsidTr="00B14997">
              <w:tc>
                <w:tcPr>
                  <w:tcW w:w="923" w:type="pct"/>
                  <w:gridSpan w:val="2"/>
                  <w:tcBorders>
                    <w:bottom w:val="single" w:sz="6" w:space="0" w:color="C8C8C8"/>
                  </w:tcBorders>
                  <w:shd w:val="clear" w:color="auto" w:fill="auto"/>
                </w:tcPr>
                <w:p w:rsidR="00CF6B94" w:rsidRPr="00E522C1" w:rsidRDefault="00CF6B94" w:rsidP="00CF6B94">
                  <w:pPr>
                    <w:pStyle w:val="TableBodyText"/>
                    <w:jc w:val="left"/>
                  </w:pPr>
                  <w:r>
                    <w:t>Full (50 hours)</w:t>
                  </w:r>
                </w:p>
              </w:tc>
              <w:tc>
                <w:tcPr>
                  <w:tcW w:w="503" w:type="pct"/>
                  <w:tcBorders>
                    <w:bottom w:val="single" w:sz="6" w:space="0" w:color="C8C8C8"/>
                  </w:tcBorders>
                  <w:shd w:val="clear" w:color="auto" w:fill="auto"/>
                  <w:vAlign w:val="bottom"/>
                </w:tcPr>
                <w:p w:rsidR="00CF6B94" w:rsidRPr="00E84A60" w:rsidRDefault="00CF6B94" w:rsidP="00CF6B94">
                  <w:pPr>
                    <w:pStyle w:val="TableBodyText"/>
                  </w:pPr>
                  <w:r w:rsidRPr="00E84A60">
                    <w:t>0.40</w:t>
                  </w:r>
                </w:p>
              </w:tc>
              <w:tc>
                <w:tcPr>
                  <w:tcW w:w="715" w:type="pct"/>
                  <w:tcBorders>
                    <w:bottom w:val="single" w:sz="6" w:space="0" w:color="C8C8C8"/>
                  </w:tcBorders>
                  <w:vAlign w:val="bottom"/>
                </w:tcPr>
                <w:p w:rsidR="00CF6B94" w:rsidRPr="00E84A60" w:rsidRDefault="00CF6B94" w:rsidP="00CF6B94">
                  <w:pPr>
                    <w:pStyle w:val="TableBodyText"/>
                  </w:pPr>
                  <w:r w:rsidRPr="00E84A60">
                    <w:t>1.15</w:t>
                  </w:r>
                </w:p>
              </w:tc>
              <w:tc>
                <w:tcPr>
                  <w:tcW w:w="714" w:type="pct"/>
                  <w:tcBorders>
                    <w:bottom w:val="single" w:sz="6" w:space="0" w:color="C8C8C8"/>
                  </w:tcBorders>
                  <w:vAlign w:val="bottom"/>
                </w:tcPr>
                <w:p w:rsidR="00CF6B94" w:rsidRPr="00E84A60" w:rsidRDefault="00CF6B94" w:rsidP="00CF6B94">
                  <w:pPr>
                    <w:pStyle w:val="TableBodyText"/>
                  </w:pPr>
                  <w:r w:rsidRPr="00E84A60">
                    <w:t>-8.18</w:t>
                  </w:r>
                </w:p>
              </w:tc>
              <w:tc>
                <w:tcPr>
                  <w:tcW w:w="715" w:type="pct"/>
                  <w:tcBorders>
                    <w:bottom w:val="single" w:sz="6" w:space="0" w:color="C8C8C8"/>
                  </w:tcBorders>
                  <w:vAlign w:val="bottom"/>
                </w:tcPr>
                <w:p w:rsidR="00CF6B94" w:rsidRPr="00E84A60" w:rsidRDefault="00CF6B94" w:rsidP="00CF6B94">
                  <w:pPr>
                    <w:pStyle w:val="TableBodyText"/>
                  </w:pPr>
                  <w:r w:rsidRPr="00E84A60">
                    <w:t>0.29</w:t>
                  </w:r>
                </w:p>
              </w:tc>
              <w:tc>
                <w:tcPr>
                  <w:tcW w:w="715" w:type="pct"/>
                  <w:tcBorders>
                    <w:bottom w:val="single" w:sz="6" w:space="0" w:color="C8C8C8"/>
                  </w:tcBorders>
                  <w:vAlign w:val="bottom"/>
                </w:tcPr>
                <w:p w:rsidR="00CF6B94" w:rsidRPr="00E84A60" w:rsidRDefault="00CF6B94" w:rsidP="00CF6B94">
                  <w:pPr>
                    <w:pStyle w:val="TableBodyText"/>
                  </w:pPr>
                  <w:r w:rsidRPr="00E84A60">
                    <w:t>9</w:t>
                  </w:r>
                </w:p>
              </w:tc>
              <w:tc>
                <w:tcPr>
                  <w:tcW w:w="715" w:type="pct"/>
                  <w:tcBorders>
                    <w:bottom w:val="single" w:sz="6" w:space="0" w:color="C8C8C8"/>
                  </w:tcBorders>
                  <w:shd w:val="clear" w:color="auto" w:fill="auto"/>
                  <w:vAlign w:val="bottom"/>
                </w:tcPr>
                <w:p w:rsidR="00CF6B94" w:rsidRPr="00E84A60" w:rsidRDefault="00CF6B94" w:rsidP="00CF6B94">
                  <w:pPr>
                    <w:pStyle w:val="TableBodyText"/>
                  </w:pPr>
                  <w:r w:rsidRPr="00E84A60">
                    <w:t>20</w:t>
                  </w:r>
                </w:p>
              </w:tc>
            </w:tr>
          </w:tbl>
          <w:p w:rsidR="00CF6B94" w:rsidRDefault="00CF6B94" w:rsidP="00CF6B94">
            <w:pPr>
              <w:pStyle w:val="Box"/>
            </w:pP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Note"/>
              <w:rPr>
                <w:i/>
              </w:rPr>
            </w:pPr>
            <w:proofErr w:type="gramStart"/>
            <w:r>
              <w:rPr>
                <w:rStyle w:val="NoteLabel"/>
              </w:rPr>
              <w:t>a</w:t>
            </w:r>
            <w:proofErr w:type="gramEnd"/>
            <w:r>
              <w:t xml:space="preserve"> Results are shown for ECLS varying only the extent of the Parenting Payment exemption to the activity test. All other policy settings remain unchanged. </w:t>
            </w:r>
            <w:proofErr w:type="gramStart"/>
            <w:r>
              <w:rPr>
                <w:rStyle w:val="NoteLabel"/>
              </w:rPr>
              <w:t>b</w:t>
            </w:r>
            <w:proofErr w:type="gramEnd"/>
            <w:r>
              <w:rPr>
                <w:rStyle w:val="NoteLabel"/>
              </w:rPr>
              <w:t xml:space="preserve"> </w:t>
            </w:r>
            <w:r>
              <w:t>The bold row is the recommended policy.</w:t>
            </w: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Source"/>
            </w:pPr>
            <w:r>
              <w:rPr>
                <w:i/>
              </w:rPr>
              <w:t>Source</w:t>
            </w:r>
            <w:r>
              <w:t>: PCMC model estimates.</w:t>
            </w:r>
          </w:p>
        </w:tc>
      </w:tr>
      <w:tr w:rsidR="00CF6B94" w:rsidTr="00CF6B94">
        <w:trPr>
          <w:cantSplit/>
        </w:trPr>
        <w:tc>
          <w:tcPr>
            <w:tcW w:w="8771" w:type="dxa"/>
            <w:tcBorders>
              <w:top w:val="nil"/>
              <w:left w:val="nil"/>
              <w:bottom w:val="single" w:sz="6" w:space="0" w:color="78A22F" w:themeColor="accent1"/>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themeColor="accent1"/>
              <w:left w:val="nil"/>
              <w:bottom w:val="nil"/>
              <w:right w:val="nil"/>
            </w:tcBorders>
          </w:tcPr>
          <w:p w:rsidR="00CF6B94" w:rsidRPr="00626D32" w:rsidRDefault="00CF6B94" w:rsidP="00CF6B94">
            <w:pPr>
              <w:pStyle w:val="BoxSpaceBelow"/>
            </w:pPr>
          </w:p>
        </w:tc>
      </w:tr>
    </w:tbl>
    <w:p w:rsidR="00CF6B94" w:rsidRDefault="00CF6B94" w:rsidP="00CF6B94">
      <w:pPr>
        <w:pStyle w:val="BodyText"/>
      </w:pPr>
      <w:r>
        <w:t>A Parenting Payment activity test exemption lessens the negative impact of the activity test on the relative utility of low income groups, as shown in table 9. In the absence of any exemption from the activity test, 14 per cent of households earning under $60 000 move to a childcare–work decision that gives them less utility than current arrangements. As stated above, this is because low income households (particularly sole parent households) typically do not work or work a small number of hours, and choose to either stop receiving assisted care or work more (forgoing maternal care). Exempting Parenting Payment recipients from the activity test to access 10 hours of subsidised care, or full exemption, decreases the proportion of households whose utility decreases by approximately 4-5 percentage points.</w:t>
      </w:r>
    </w:p>
    <w:p w:rsidR="00CF6B94" w:rsidRDefault="00CF6B94" w:rsidP="00CF6B94">
      <w:pPr>
        <w:pStyle w:val="BodyText"/>
      </w:pPr>
      <w:r>
        <w:t>However, any kind of exemption mutes the labour supply response in these groups. Although their utility increases, the contribution from the low income cohort to additional labour supply is reduced (from 62 per cent to: 45 per cent for a 10 hour exemption; 36 per cent for a 20 hour exemption; and 29 per cent for a full exemption). As might be expected, exemptions also increase the fiscal cost to government — this can be interpreted as part of the cost of increasing access to childcare among Parenting Payment recipients.</w:t>
      </w:r>
      <w:r>
        <w:rPr>
          <w:rStyle w:val="FootnoteReference"/>
        </w:rPr>
        <w:footnoteReference w:id="16"/>
      </w:r>
    </w:p>
    <w:p w:rsidR="00CF6B94" w:rsidRDefault="00CF6B94" w:rsidP="00CF6B94">
      <w:pPr>
        <w:pStyle w:val="BodyText"/>
      </w:pPr>
      <w:proofErr w:type="gramStart"/>
      <w:r>
        <w:t>When Parenting Payment recipients are exempted, the activity test affects mainly the behaviour of middle- and high-income couple households (particularly those where only one member supplies labour).</w:t>
      </w:r>
      <w:proofErr w:type="gramEnd"/>
    </w:p>
    <w:p w:rsidR="00CF6B94" w:rsidRDefault="00CF6B94" w:rsidP="00CF6B94">
      <w:pPr>
        <w:pStyle w:val="BodyText"/>
      </w:pPr>
      <w:r>
        <w:t xml:space="preserve">In summary, activity tests largely limit childcare demand to those using it for work — this increases labour supply, decreases childcare demand and reduces fiscal costs. Lower income households are typically impacted most adversely by activity tests, because they </w:t>
      </w:r>
      <w:r>
        <w:lastRenderedPageBreak/>
        <w:t>typically work fewer hours, and have greater need for financial assistance to obtain care. Exempting Parenting Payment recipients reduces the negative impact of an activity test on low income households, but also reduces the labour supply gain and increases net fiscal cost.</w:t>
      </w:r>
    </w:p>
    <w:p w:rsidR="00CF6B94" w:rsidRDefault="00CF6B94" w:rsidP="00CF6B94">
      <w:pPr>
        <w:pStyle w:val="BodyText"/>
      </w:pPr>
      <w:r>
        <w:t xml:space="preserve">The model does not take into account the child development benefits of </w:t>
      </w:r>
      <w:proofErr w:type="gramStart"/>
      <w:r>
        <w:t>ECEC,</w:t>
      </w:r>
      <w:proofErr w:type="gramEnd"/>
      <w:r>
        <w:t xml:space="preserve"> and these benefits are not reflected in the metrics showing the impact in the model from the Parenting Payment activity test exemption. There is strong evidence that children facing disadvantage benefit developmentally from early exposure and attendance at high quality ECEC and the additional income generated by parental employment (chapter 5 of the inquiry report).</w:t>
      </w:r>
    </w:p>
    <w:p w:rsidR="00CF6B94" w:rsidRDefault="00CF6B94" w:rsidP="00CF6B94">
      <w:pPr>
        <w:pStyle w:val="BodyText"/>
      </w:pPr>
      <w:r>
        <w:t xml:space="preserve">The results from the 2012 Australian Early Development Index indicate that although children assessed as being developmentally vulnerable when commencing formal schooling are over represented in disadvantaged or lower socioeconomic groups (Department of Education 2013). Children from higher socioeconomic backgrounds who performed poorly in early standardised tests or commenced school with poor development indicators had a tendency to ‘catch up’ academically, whereas similar children from low socioeconomic backgrounds were more likely to remain on a low educational trajectory through school (chapter 5). </w:t>
      </w:r>
    </w:p>
    <w:p w:rsidR="00CF6B94" w:rsidRDefault="00CF6B94" w:rsidP="00CF6B94">
      <w:pPr>
        <w:pStyle w:val="BodyText"/>
      </w:pPr>
      <w:r>
        <w:t>Moreover, children from disadvantaged backgrounds are less likely to attend ECEC and preschool in particular than the wider population (chapter 12 of the inquiry report).</w:t>
      </w:r>
    </w:p>
    <w:p w:rsidR="00CF6B94" w:rsidRPr="00085C36" w:rsidRDefault="00CF6B94" w:rsidP="007438EE">
      <w:pPr>
        <w:pStyle w:val="Heading3"/>
      </w:pPr>
      <w:r>
        <w:t>Subsidy payments and the benchmark price</w:t>
      </w:r>
    </w:p>
    <w:p w:rsidR="00CF6B94" w:rsidRDefault="00CF6B94" w:rsidP="00CF6B94">
      <w:pPr>
        <w:pStyle w:val="BodyText"/>
      </w:pPr>
      <w:r>
        <w:t>A benchmark price arrangement (with the benchmark price set at a value less than the maximum fees observed) to calculate the subsidy introduces the possibility that households facing supply prices below the benchmark price could be eligible for subsidies greater than the fees they face. The recommended policy in the inquiry report caps the payment at 100 per cent of the supply price (‘high’ subsidy rule). However, an alternative was also examined where a households’ rate of assistance is capped at the maximum scheduled rate</w:t>
      </w:r>
      <w:r>
        <w:rPr>
          <w:rStyle w:val="FootnoteReference"/>
        </w:rPr>
        <w:footnoteReference w:id="17"/>
      </w:r>
      <w:r>
        <w:t xml:space="preserve"> (‘low’ subsidy rule). The impact of both arrangements on the PCMC model results are illustrated in table 10.</w:t>
      </w:r>
    </w:p>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themeColor="accent1"/>
              <w:left w:val="nil"/>
              <w:bottom w:val="nil"/>
              <w:right w:val="nil"/>
            </w:tcBorders>
            <w:shd w:val="clear" w:color="auto" w:fill="auto"/>
          </w:tcPr>
          <w:p w:rsidR="00CF6B94" w:rsidRPr="00784A05" w:rsidRDefault="00CF6B94" w:rsidP="00CF6B94">
            <w:pPr>
              <w:pStyle w:val="TableTitle"/>
            </w:pPr>
            <w:r>
              <w:rPr>
                <w:b w:val="0"/>
              </w:rPr>
              <w:t xml:space="preserve">Table </w:t>
            </w:r>
            <w:r>
              <w:rPr>
                <w:b w:val="0"/>
                <w:noProof/>
              </w:rPr>
              <w:t>10</w:t>
            </w:r>
            <w:r>
              <w:tab/>
            </w:r>
            <w:r w:rsidRPr="00B954E4">
              <w:t>Illustrative impacts o</w:t>
            </w:r>
            <w:r>
              <w:t>f alternative ‘high’ and ‘low’ subsidy payment rules</w:t>
            </w:r>
            <w:r w:rsidRPr="007E57F0">
              <w:rPr>
                <w:rStyle w:val="NoteLabel"/>
              </w:rPr>
              <w:t>a</w:t>
            </w:r>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11"/>
              <w:gridCol w:w="1212"/>
              <w:gridCol w:w="1214"/>
              <w:gridCol w:w="1212"/>
              <w:gridCol w:w="1214"/>
              <w:gridCol w:w="1212"/>
              <w:gridCol w:w="1212"/>
            </w:tblGrid>
            <w:tr w:rsidR="00CF6B94" w:rsidTr="00E15700">
              <w:tc>
                <w:tcPr>
                  <w:tcW w:w="713"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Pr="007E0D23" w:rsidRDefault="00CF6B94" w:rsidP="00E15700">
                  <w:pPr>
                    <w:pStyle w:val="TableColumnHeading"/>
                    <w:jc w:val="left"/>
                  </w:pPr>
                  <w:r>
                    <w:t>Subsidy rule</w:t>
                  </w:r>
                </w:p>
              </w:tc>
              <w:tc>
                <w:tcPr>
                  <w:tcW w:w="714"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E15700">
                  <w:pPr>
                    <w:pStyle w:val="TableColumnHeading"/>
                  </w:pPr>
                  <w:r>
                    <w:t xml:space="preserve">Change in labour supply </w:t>
                  </w:r>
                  <w:r>
                    <w:br/>
                    <w:t>(millions of hours per week)</w:t>
                  </w:r>
                </w:p>
              </w:tc>
              <w:tc>
                <w:tcPr>
                  <w:tcW w:w="715" w:type="pct"/>
                  <w:tcBorders>
                    <w:top w:val="single" w:sz="6" w:space="0" w:color="BFBFBF" w:themeColor="background2"/>
                    <w:bottom w:val="single" w:sz="6" w:space="0" w:color="BFBFBF" w:themeColor="background2"/>
                  </w:tcBorders>
                  <w:vAlign w:val="bottom"/>
                </w:tcPr>
                <w:p w:rsidR="00CF6B94" w:rsidRDefault="00CF6B94" w:rsidP="00E15700">
                  <w:pPr>
                    <w:pStyle w:val="TableColumnHeading"/>
                  </w:pPr>
                  <w:r>
                    <w:t xml:space="preserve">Change in childcare demand </w:t>
                  </w:r>
                  <w:r>
                    <w:br/>
                    <w:t>(millions of hours per week)</w:t>
                  </w:r>
                </w:p>
              </w:tc>
              <w:tc>
                <w:tcPr>
                  <w:tcW w:w="714" w:type="pct"/>
                  <w:tcBorders>
                    <w:top w:val="single" w:sz="6" w:space="0" w:color="BFBFBF" w:themeColor="background2"/>
                    <w:bottom w:val="single" w:sz="6" w:space="0" w:color="BFBFBF" w:themeColor="background2"/>
                  </w:tcBorders>
                  <w:vAlign w:val="bottom"/>
                </w:tcPr>
                <w:p w:rsidR="00CF6B94" w:rsidRDefault="00CF6B94" w:rsidP="00E15700">
                  <w:pPr>
                    <w:pStyle w:val="TableColumnHeading"/>
                  </w:pPr>
                  <w:r>
                    <w:t xml:space="preserve">Net fiscal position </w:t>
                  </w:r>
                  <w:r>
                    <w:br/>
                    <w:t>(millions of dollars per week)</w:t>
                  </w:r>
                </w:p>
              </w:tc>
              <w:tc>
                <w:tcPr>
                  <w:tcW w:w="715" w:type="pct"/>
                  <w:tcBorders>
                    <w:top w:val="single" w:sz="6" w:space="0" w:color="BFBFBF" w:themeColor="background2"/>
                    <w:bottom w:val="single" w:sz="6" w:space="0" w:color="BFBFBF" w:themeColor="background2"/>
                  </w:tcBorders>
                  <w:vAlign w:val="bottom"/>
                </w:tcPr>
                <w:p w:rsidR="00CF6B94" w:rsidRDefault="00CF6B94" w:rsidP="00E15700">
                  <w:pPr>
                    <w:pStyle w:val="TableColumnHeading"/>
                  </w:pPr>
                  <w:r>
                    <w:t>Share of additional labour from households under $60 000</w:t>
                  </w:r>
                </w:p>
              </w:tc>
              <w:tc>
                <w:tcPr>
                  <w:tcW w:w="714" w:type="pct"/>
                  <w:tcBorders>
                    <w:top w:val="single" w:sz="6" w:space="0" w:color="BFBFBF" w:themeColor="background2"/>
                    <w:bottom w:val="single" w:sz="6" w:space="0" w:color="BFBFBF" w:themeColor="background2"/>
                  </w:tcBorders>
                  <w:vAlign w:val="bottom"/>
                </w:tcPr>
                <w:p w:rsidR="00CF6B94" w:rsidRDefault="00CF6B94" w:rsidP="00E15700">
                  <w:pPr>
                    <w:pStyle w:val="TableColumnHeading"/>
                  </w:pPr>
                  <w:r>
                    <w:t>Per cent of households under $60 000 with lower utility</w:t>
                  </w:r>
                </w:p>
              </w:tc>
              <w:tc>
                <w:tcPr>
                  <w:tcW w:w="714"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E15700">
                  <w:pPr>
                    <w:pStyle w:val="TableColumnHeading"/>
                  </w:pPr>
                  <w:r>
                    <w:t>Per cent of households under $60 000 with higher utility</w:t>
                  </w:r>
                </w:p>
              </w:tc>
            </w:tr>
            <w:tr w:rsidR="00CF6B94" w:rsidTr="00CF6B94">
              <w:tc>
                <w:tcPr>
                  <w:tcW w:w="713" w:type="pct"/>
                  <w:tcBorders>
                    <w:top w:val="single" w:sz="6" w:space="0" w:color="BFBFBF" w:themeColor="background2"/>
                  </w:tcBorders>
                </w:tcPr>
                <w:p w:rsidR="00CF6B94" w:rsidRPr="00537F81" w:rsidRDefault="00CF6B94" w:rsidP="00CF6B94">
                  <w:pPr>
                    <w:pStyle w:val="TableBodyText"/>
                    <w:jc w:val="left"/>
                    <w:rPr>
                      <w:b/>
                    </w:rPr>
                  </w:pPr>
                  <w:r w:rsidRPr="00537F81">
                    <w:rPr>
                      <w:b/>
                    </w:rPr>
                    <w:t>High rule</w:t>
                  </w:r>
                  <w:r>
                    <w:rPr>
                      <w:rStyle w:val="NoteLabel"/>
                    </w:rPr>
                    <w:t>b</w:t>
                  </w:r>
                </w:p>
              </w:tc>
              <w:tc>
                <w:tcPr>
                  <w:tcW w:w="714" w:type="pct"/>
                  <w:tcBorders>
                    <w:top w:val="single" w:sz="6" w:space="0" w:color="BFBFBF" w:themeColor="background2"/>
                  </w:tcBorders>
                  <w:vAlign w:val="bottom"/>
                </w:tcPr>
                <w:p w:rsidR="00CF6B94" w:rsidRPr="00537F81" w:rsidRDefault="00CF6B94" w:rsidP="00CF6B94">
                  <w:pPr>
                    <w:pStyle w:val="TableBodyText"/>
                    <w:rPr>
                      <w:b/>
                    </w:rPr>
                  </w:pPr>
                  <w:r w:rsidRPr="00537F81">
                    <w:rPr>
                      <w:b/>
                    </w:rPr>
                    <w:t>0.62</w:t>
                  </w:r>
                </w:p>
              </w:tc>
              <w:tc>
                <w:tcPr>
                  <w:tcW w:w="715" w:type="pct"/>
                  <w:tcBorders>
                    <w:top w:val="single" w:sz="6" w:space="0" w:color="BFBFBF" w:themeColor="background2"/>
                  </w:tcBorders>
                  <w:vAlign w:val="bottom"/>
                </w:tcPr>
                <w:p w:rsidR="00CF6B94" w:rsidRPr="00537F81" w:rsidRDefault="00CF6B94" w:rsidP="00CF6B94">
                  <w:pPr>
                    <w:pStyle w:val="TableBodyText"/>
                    <w:rPr>
                      <w:b/>
                    </w:rPr>
                  </w:pPr>
                  <w:r w:rsidRPr="00537F81">
                    <w:rPr>
                      <w:b/>
                    </w:rPr>
                    <w:t>0.67</w:t>
                  </w:r>
                </w:p>
              </w:tc>
              <w:tc>
                <w:tcPr>
                  <w:tcW w:w="714" w:type="pct"/>
                  <w:tcBorders>
                    <w:top w:val="single" w:sz="6" w:space="0" w:color="BFBFBF" w:themeColor="background2"/>
                  </w:tcBorders>
                  <w:vAlign w:val="bottom"/>
                </w:tcPr>
                <w:p w:rsidR="00CF6B94" w:rsidRPr="00537F81" w:rsidRDefault="00CF6B94" w:rsidP="00CF6B94">
                  <w:pPr>
                    <w:pStyle w:val="TableBodyText"/>
                    <w:rPr>
                      <w:b/>
                    </w:rPr>
                  </w:pPr>
                  <w:r w:rsidRPr="00537F81">
                    <w:rPr>
                      <w:b/>
                    </w:rPr>
                    <w:t>-1.30</w:t>
                  </w:r>
                </w:p>
              </w:tc>
              <w:tc>
                <w:tcPr>
                  <w:tcW w:w="715" w:type="pct"/>
                  <w:tcBorders>
                    <w:top w:val="single" w:sz="6" w:space="0" w:color="BFBFBF" w:themeColor="background2"/>
                  </w:tcBorders>
                  <w:vAlign w:val="bottom"/>
                </w:tcPr>
                <w:p w:rsidR="00CF6B94" w:rsidRPr="00537F81" w:rsidRDefault="00CF6B94" w:rsidP="00CF6B94">
                  <w:pPr>
                    <w:pStyle w:val="TableBodyText"/>
                    <w:rPr>
                      <w:b/>
                    </w:rPr>
                  </w:pPr>
                  <w:r w:rsidRPr="00537F81">
                    <w:rPr>
                      <w:b/>
                    </w:rPr>
                    <w:t>0.45</w:t>
                  </w:r>
                </w:p>
              </w:tc>
              <w:tc>
                <w:tcPr>
                  <w:tcW w:w="714" w:type="pct"/>
                  <w:tcBorders>
                    <w:top w:val="single" w:sz="6" w:space="0" w:color="BFBFBF" w:themeColor="background2"/>
                  </w:tcBorders>
                  <w:vAlign w:val="bottom"/>
                </w:tcPr>
                <w:p w:rsidR="00CF6B94" w:rsidRPr="00537F81" w:rsidRDefault="00CF6B94" w:rsidP="00CF6B94">
                  <w:pPr>
                    <w:pStyle w:val="TableBodyText"/>
                    <w:rPr>
                      <w:b/>
                    </w:rPr>
                  </w:pPr>
                  <w:r w:rsidRPr="00537F81">
                    <w:rPr>
                      <w:b/>
                    </w:rPr>
                    <w:t>10</w:t>
                  </w:r>
                </w:p>
              </w:tc>
              <w:tc>
                <w:tcPr>
                  <w:tcW w:w="714" w:type="pct"/>
                  <w:tcBorders>
                    <w:top w:val="single" w:sz="6" w:space="0" w:color="BFBFBF" w:themeColor="background2"/>
                  </w:tcBorders>
                  <w:vAlign w:val="bottom"/>
                </w:tcPr>
                <w:p w:rsidR="00CF6B94" w:rsidRPr="00537F81" w:rsidRDefault="00CF6B94" w:rsidP="00CF6B94">
                  <w:pPr>
                    <w:pStyle w:val="TableBodyText"/>
                    <w:rPr>
                      <w:b/>
                    </w:rPr>
                  </w:pPr>
                  <w:r w:rsidRPr="00537F81">
                    <w:rPr>
                      <w:b/>
                    </w:rPr>
                    <w:t>19</w:t>
                  </w:r>
                </w:p>
              </w:tc>
            </w:tr>
            <w:tr w:rsidR="00CF6B94" w:rsidTr="00CF6B94">
              <w:tc>
                <w:tcPr>
                  <w:tcW w:w="713" w:type="pct"/>
                  <w:tcBorders>
                    <w:bottom w:val="single" w:sz="6" w:space="0" w:color="C8C8C8"/>
                  </w:tcBorders>
                  <w:shd w:val="clear" w:color="auto" w:fill="auto"/>
                </w:tcPr>
                <w:p w:rsidR="00CF6B94" w:rsidRPr="00E522C1" w:rsidRDefault="00CF6B94" w:rsidP="00CF6B94">
                  <w:pPr>
                    <w:pStyle w:val="TableBodyText"/>
                    <w:jc w:val="left"/>
                  </w:pPr>
                  <w:r>
                    <w:t>Low rule</w:t>
                  </w:r>
                </w:p>
              </w:tc>
              <w:tc>
                <w:tcPr>
                  <w:tcW w:w="714" w:type="pct"/>
                  <w:tcBorders>
                    <w:bottom w:val="single" w:sz="6" w:space="0" w:color="C8C8C8"/>
                  </w:tcBorders>
                  <w:shd w:val="clear" w:color="auto" w:fill="auto"/>
                  <w:vAlign w:val="bottom"/>
                </w:tcPr>
                <w:p w:rsidR="00CF6B94" w:rsidRPr="00E84A60" w:rsidRDefault="00CF6B94" w:rsidP="00CF6B94">
                  <w:pPr>
                    <w:pStyle w:val="TableBodyText"/>
                  </w:pPr>
                  <w:r w:rsidRPr="00E84A60">
                    <w:t>0.37</w:t>
                  </w:r>
                </w:p>
              </w:tc>
              <w:tc>
                <w:tcPr>
                  <w:tcW w:w="715" w:type="pct"/>
                  <w:tcBorders>
                    <w:bottom w:val="single" w:sz="6" w:space="0" w:color="C8C8C8"/>
                  </w:tcBorders>
                  <w:vAlign w:val="bottom"/>
                </w:tcPr>
                <w:p w:rsidR="00CF6B94" w:rsidRPr="00E84A60" w:rsidRDefault="00CF6B94" w:rsidP="00CF6B94">
                  <w:pPr>
                    <w:pStyle w:val="TableBodyText"/>
                  </w:pPr>
                  <w:r w:rsidRPr="00E84A60">
                    <w:t>-0.15</w:t>
                  </w:r>
                </w:p>
              </w:tc>
              <w:tc>
                <w:tcPr>
                  <w:tcW w:w="714" w:type="pct"/>
                  <w:tcBorders>
                    <w:bottom w:val="single" w:sz="6" w:space="0" w:color="C8C8C8"/>
                  </w:tcBorders>
                  <w:vAlign w:val="bottom"/>
                </w:tcPr>
                <w:p w:rsidR="00CF6B94" w:rsidRPr="00E84A60" w:rsidRDefault="00CF6B94" w:rsidP="00CF6B94">
                  <w:pPr>
                    <w:pStyle w:val="TableBodyText"/>
                  </w:pPr>
                  <w:r w:rsidRPr="00E84A60">
                    <w:t>7.00</w:t>
                  </w:r>
                </w:p>
              </w:tc>
              <w:tc>
                <w:tcPr>
                  <w:tcW w:w="715" w:type="pct"/>
                  <w:tcBorders>
                    <w:bottom w:val="single" w:sz="6" w:space="0" w:color="C8C8C8"/>
                  </w:tcBorders>
                  <w:vAlign w:val="bottom"/>
                </w:tcPr>
                <w:p w:rsidR="00CF6B94" w:rsidRPr="00E84A60" w:rsidRDefault="00CF6B94" w:rsidP="00CF6B94">
                  <w:pPr>
                    <w:pStyle w:val="TableBodyText"/>
                  </w:pPr>
                  <w:r w:rsidRPr="00E84A60">
                    <w:t>0.25</w:t>
                  </w:r>
                </w:p>
              </w:tc>
              <w:tc>
                <w:tcPr>
                  <w:tcW w:w="714" w:type="pct"/>
                  <w:tcBorders>
                    <w:bottom w:val="single" w:sz="6" w:space="0" w:color="C8C8C8"/>
                  </w:tcBorders>
                  <w:vAlign w:val="bottom"/>
                </w:tcPr>
                <w:p w:rsidR="00CF6B94" w:rsidRPr="00E84A60" w:rsidRDefault="00CF6B94" w:rsidP="00CF6B94">
                  <w:pPr>
                    <w:pStyle w:val="TableBodyText"/>
                  </w:pPr>
                  <w:r w:rsidRPr="00E84A60">
                    <w:t>14</w:t>
                  </w:r>
                </w:p>
              </w:tc>
              <w:tc>
                <w:tcPr>
                  <w:tcW w:w="714" w:type="pct"/>
                  <w:tcBorders>
                    <w:bottom w:val="single" w:sz="6" w:space="0" w:color="C8C8C8"/>
                  </w:tcBorders>
                  <w:shd w:val="clear" w:color="auto" w:fill="auto"/>
                  <w:vAlign w:val="bottom"/>
                </w:tcPr>
                <w:p w:rsidR="00CF6B94" w:rsidRPr="00E84A60" w:rsidRDefault="00CF6B94" w:rsidP="00CF6B94">
                  <w:pPr>
                    <w:pStyle w:val="TableBodyText"/>
                  </w:pPr>
                  <w:r w:rsidRPr="00E84A60">
                    <w:t>14</w:t>
                  </w:r>
                </w:p>
              </w:tc>
            </w:tr>
          </w:tbl>
          <w:p w:rsidR="00CF6B94" w:rsidRDefault="00CF6B94" w:rsidP="00CF6B94">
            <w:pPr>
              <w:pStyle w:val="Box"/>
            </w:pP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Note"/>
              <w:rPr>
                <w:i/>
              </w:rPr>
            </w:pPr>
            <w:proofErr w:type="gramStart"/>
            <w:r>
              <w:rPr>
                <w:rStyle w:val="NoteLabel"/>
              </w:rPr>
              <w:t>a</w:t>
            </w:r>
            <w:proofErr w:type="gramEnd"/>
            <w:r>
              <w:t xml:space="preserve"> Results are shown for ECLS varying only the subsidy payment rule — the ‘high’ rule allows a household to receive a subsidy of up to 100% of the supply price; the ‘low’ rule caps assistance at the maximum scheduled rate. All other policy settings remain unchanged. </w:t>
            </w:r>
            <w:proofErr w:type="gramStart"/>
            <w:r>
              <w:rPr>
                <w:rStyle w:val="NoteLabel"/>
              </w:rPr>
              <w:t>b</w:t>
            </w:r>
            <w:proofErr w:type="gramEnd"/>
            <w:r>
              <w:rPr>
                <w:rStyle w:val="NoteLabel"/>
              </w:rPr>
              <w:t xml:space="preserve"> </w:t>
            </w:r>
            <w:r>
              <w:t>The bold row is the recommended policy.</w:t>
            </w: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Source"/>
            </w:pPr>
            <w:r>
              <w:rPr>
                <w:i/>
              </w:rPr>
              <w:t>Source</w:t>
            </w:r>
            <w:r>
              <w:t>: PCMC model estimates.</w:t>
            </w:r>
          </w:p>
        </w:tc>
      </w:tr>
      <w:tr w:rsidR="00CF6B94" w:rsidTr="00CF6B94">
        <w:trPr>
          <w:cantSplit/>
        </w:trPr>
        <w:tc>
          <w:tcPr>
            <w:tcW w:w="8771" w:type="dxa"/>
            <w:tcBorders>
              <w:top w:val="nil"/>
              <w:left w:val="nil"/>
              <w:bottom w:val="single" w:sz="6" w:space="0" w:color="78A22F" w:themeColor="accent1"/>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themeColor="accent1"/>
              <w:left w:val="nil"/>
              <w:bottom w:val="nil"/>
              <w:right w:val="nil"/>
            </w:tcBorders>
          </w:tcPr>
          <w:p w:rsidR="00CF6B94" w:rsidRPr="00626D32" w:rsidRDefault="00CF6B94" w:rsidP="00CF6B94">
            <w:pPr>
              <w:pStyle w:val="BoxSpaceBelow"/>
            </w:pPr>
          </w:p>
        </w:tc>
      </w:tr>
    </w:tbl>
    <w:p w:rsidR="00CF6B94" w:rsidRDefault="00CF6B94" w:rsidP="00CF6B94">
      <w:pPr>
        <w:pStyle w:val="BodyText"/>
      </w:pPr>
      <w:r>
        <w:t>The low subsidy rule reduces assistance and the incentive to work for many low income households. Low income households (who tend to live in cheaper areas) typically face lower supply price care (potentially below the benchmark price). Receiving the highest rates of assistance under the Commission’s recommended scheme, these households (a) are most likely to hit the 100 per cent assistance cap with the high rule and (b) are (in many cases) eligible for high rates of assistance under current arrangements (upwards of 85 per cent). For many poorer households the low subsidy rule reduces their incentive to work compared to current arrangements. For example, while the 45 per cent of the additional labour supply from the Commission’s recommended scheme comes from households earning under $60 000 initially, they supply only 25 per cent of the increase under a low subsidy rule policy.</w:t>
      </w:r>
    </w:p>
    <w:p w:rsidR="00CF6B94" w:rsidRDefault="00CF6B94" w:rsidP="00CF6B94">
      <w:pPr>
        <w:pStyle w:val="BodyText"/>
      </w:pPr>
      <w:r>
        <w:t>The low rule decreases the cost to government. Since a large proportion of childcare used by households earning under $60 000 (approximate 36 per cent of households), and these households receive the highest rates of assistance per hour, capping their subsidies at a low level reduces fiscal cost (saving the government $8.3 million per week relative to the high subsidy rule).</w:t>
      </w:r>
    </w:p>
    <w:p w:rsidR="00CF6B94" w:rsidRPr="00085C36" w:rsidRDefault="00CF6B94" w:rsidP="007438EE">
      <w:pPr>
        <w:pStyle w:val="Heading3"/>
      </w:pPr>
      <w:r>
        <w:t>Defining the benchmark price</w:t>
      </w:r>
    </w:p>
    <w:p w:rsidR="00CF6B94" w:rsidRDefault="00CF6B94" w:rsidP="00CF6B94">
      <w:pPr>
        <w:pStyle w:val="BodyText"/>
      </w:pPr>
      <w:r>
        <w:t>Alternative definitions of the benchmark price were also examined by the Commission. In the Commission’s recommended policy, the benchmark price is defined as the median price paid for all hours of childcare by type (varying by age for LDC). The Commission explored (a) setting the benchmark price at the 75</w:t>
      </w:r>
      <w:r w:rsidRPr="00B353A3">
        <w:rPr>
          <w:vertAlign w:val="superscript"/>
        </w:rPr>
        <w:t>th</w:t>
      </w:r>
      <w:r>
        <w:t xml:space="preserve"> percentile of supply prices and (b) calculating subsidies based on actual fees paid (no benchmark price). The impact of these alternative treatments on model results is shown in table 11.</w:t>
      </w:r>
    </w:p>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themeColor="accent1"/>
              <w:left w:val="nil"/>
              <w:bottom w:val="nil"/>
              <w:right w:val="nil"/>
            </w:tcBorders>
            <w:shd w:val="clear" w:color="auto" w:fill="auto"/>
          </w:tcPr>
          <w:p w:rsidR="00CF6B94" w:rsidRPr="00784A05" w:rsidRDefault="00CF6B94" w:rsidP="00CF6B94">
            <w:pPr>
              <w:pStyle w:val="TableTitle"/>
            </w:pPr>
            <w:r>
              <w:rPr>
                <w:b w:val="0"/>
              </w:rPr>
              <w:t xml:space="preserve">Table </w:t>
            </w:r>
            <w:r>
              <w:rPr>
                <w:b w:val="0"/>
                <w:noProof/>
              </w:rPr>
              <w:t>11</w:t>
            </w:r>
            <w:r>
              <w:tab/>
            </w:r>
            <w:r w:rsidRPr="00B954E4">
              <w:t>Illustrative impacts o</w:t>
            </w:r>
            <w:r>
              <w:t>f alternative benchmark prices</w:t>
            </w:r>
            <w:r w:rsidRPr="007E57F0">
              <w:rPr>
                <w:rStyle w:val="NoteLabel"/>
              </w:rPr>
              <w:t>a</w:t>
            </w:r>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305"/>
              <w:gridCol w:w="1219"/>
              <w:gridCol w:w="1176"/>
              <w:gridCol w:w="1149"/>
              <w:gridCol w:w="1214"/>
              <w:gridCol w:w="1212"/>
              <w:gridCol w:w="1212"/>
            </w:tblGrid>
            <w:tr w:rsidR="00CF6B94" w:rsidTr="00B14997">
              <w:tc>
                <w:tcPr>
                  <w:tcW w:w="769"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Pr="007E0D23" w:rsidRDefault="00CF6B94" w:rsidP="00BD2E8E">
                  <w:pPr>
                    <w:pStyle w:val="TableColumnHeading"/>
                    <w:jc w:val="left"/>
                  </w:pPr>
                  <w:r>
                    <w:t>Benchmark price</w:t>
                  </w:r>
                </w:p>
              </w:tc>
              <w:tc>
                <w:tcPr>
                  <w:tcW w:w="718"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BD2E8E">
                  <w:pPr>
                    <w:pStyle w:val="TableColumnHeading"/>
                  </w:pPr>
                  <w:r>
                    <w:t xml:space="preserve">Change in labour supply </w:t>
                  </w:r>
                  <w:r>
                    <w:br/>
                    <w:t>(millions of hours per week)</w:t>
                  </w:r>
                </w:p>
              </w:tc>
              <w:tc>
                <w:tcPr>
                  <w:tcW w:w="693" w:type="pct"/>
                  <w:tcBorders>
                    <w:top w:val="single" w:sz="6" w:space="0" w:color="BFBFBF" w:themeColor="background2"/>
                    <w:bottom w:val="single" w:sz="6" w:space="0" w:color="BFBFBF" w:themeColor="background2"/>
                  </w:tcBorders>
                  <w:vAlign w:val="bottom"/>
                </w:tcPr>
                <w:p w:rsidR="00CF6B94" w:rsidRDefault="00CF6B94" w:rsidP="00BD2E8E">
                  <w:pPr>
                    <w:pStyle w:val="TableColumnHeading"/>
                  </w:pPr>
                  <w:r>
                    <w:t xml:space="preserve">Change in childcare demand </w:t>
                  </w:r>
                  <w:r>
                    <w:br/>
                    <w:t>(millions of hours per week)</w:t>
                  </w:r>
                </w:p>
              </w:tc>
              <w:tc>
                <w:tcPr>
                  <w:tcW w:w="677" w:type="pct"/>
                  <w:tcBorders>
                    <w:top w:val="single" w:sz="6" w:space="0" w:color="BFBFBF" w:themeColor="background2"/>
                    <w:bottom w:val="single" w:sz="6" w:space="0" w:color="BFBFBF" w:themeColor="background2"/>
                  </w:tcBorders>
                  <w:vAlign w:val="bottom"/>
                </w:tcPr>
                <w:p w:rsidR="00CF6B94" w:rsidRDefault="00CF6B94" w:rsidP="00BD2E8E">
                  <w:pPr>
                    <w:pStyle w:val="TableColumnHeading"/>
                  </w:pPr>
                  <w:r>
                    <w:t xml:space="preserve">Net fiscal position </w:t>
                  </w:r>
                  <w:r>
                    <w:br/>
                    <w:t>(millions of dollars per week)</w:t>
                  </w:r>
                </w:p>
              </w:tc>
              <w:tc>
                <w:tcPr>
                  <w:tcW w:w="715" w:type="pct"/>
                  <w:tcBorders>
                    <w:top w:val="single" w:sz="6" w:space="0" w:color="BFBFBF" w:themeColor="background2"/>
                    <w:bottom w:val="single" w:sz="6" w:space="0" w:color="BFBFBF" w:themeColor="background2"/>
                  </w:tcBorders>
                  <w:vAlign w:val="bottom"/>
                </w:tcPr>
                <w:p w:rsidR="00CF6B94" w:rsidRDefault="00CF6B94" w:rsidP="00BD2E8E">
                  <w:pPr>
                    <w:pStyle w:val="TableColumnHeading"/>
                  </w:pPr>
                  <w:r>
                    <w:t>Share of additional labour from households under $60 000</w:t>
                  </w:r>
                </w:p>
              </w:tc>
              <w:tc>
                <w:tcPr>
                  <w:tcW w:w="714" w:type="pct"/>
                  <w:tcBorders>
                    <w:top w:val="single" w:sz="6" w:space="0" w:color="BFBFBF" w:themeColor="background2"/>
                    <w:bottom w:val="single" w:sz="6" w:space="0" w:color="BFBFBF" w:themeColor="background2"/>
                  </w:tcBorders>
                  <w:vAlign w:val="bottom"/>
                </w:tcPr>
                <w:p w:rsidR="00CF6B94" w:rsidRDefault="00CF6B94" w:rsidP="00BD2E8E">
                  <w:pPr>
                    <w:pStyle w:val="TableColumnHeading"/>
                  </w:pPr>
                  <w:r>
                    <w:t>Per cent of households under $60 000 with lower utility</w:t>
                  </w:r>
                </w:p>
              </w:tc>
              <w:tc>
                <w:tcPr>
                  <w:tcW w:w="714"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BD2E8E">
                  <w:pPr>
                    <w:pStyle w:val="TableColumnHeading"/>
                  </w:pPr>
                  <w:r>
                    <w:t>Per cent of households under $60 000 with higher utility</w:t>
                  </w:r>
                </w:p>
              </w:tc>
            </w:tr>
            <w:tr w:rsidR="00CF6B94" w:rsidTr="00B14997">
              <w:tc>
                <w:tcPr>
                  <w:tcW w:w="769" w:type="pct"/>
                  <w:tcBorders>
                    <w:top w:val="single" w:sz="6" w:space="0" w:color="BFBFBF" w:themeColor="background2"/>
                  </w:tcBorders>
                </w:tcPr>
                <w:p w:rsidR="00CF6B94" w:rsidRPr="00537F81" w:rsidRDefault="00CF6B94" w:rsidP="00CF6B94">
                  <w:pPr>
                    <w:pStyle w:val="TableBodyText"/>
                    <w:jc w:val="left"/>
                    <w:rPr>
                      <w:b/>
                    </w:rPr>
                  </w:pPr>
                  <w:r w:rsidRPr="00537F81">
                    <w:rPr>
                      <w:b/>
                    </w:rPr>
                    <w:t>Median</w:t>
                  </w:r>
                  <w:r>
                    <w:rPr>
                      <w:rStyle w:val="NoteLabel"/>
                    </w:rPr>
                    <w:t>b</w:t>
                  </w:r>
                </w:p>
              </w:tc>
              <w:tc>
                <w:tcPr>
                  <w:tcW w:w="718" w:type="pct"/>
                  <w:tcBorders>
                    <w:top w:val="single" w:sz="6" w:space="0" w:color="BFBFBF" w:themeColor="background2"/>
                  </w:tcBorders>
                  <w:vAlign w:val="bottom"/>
                </w:tcPr>
                <w:p w:rsidR="00CF6B94" w:rsidRPr="00537F81" w:rsidRDefault="00CF6B94" w:rsidP="00CF6B94">
                  <w:pPr>
                    <w:pStyle w:val="TableBodyText"/>
                    <w:rPr>
                      <w:b/>
                    </w:rPr>
                  </w:pPr>
                  <w:r w:rsidRPr="00537F81">
                    <w:rPr>
                      <w:b/>
                    </w:rPr>
                    <w:t>0.62</w:t>
                  </w:r>
                </w:p>
              </w:tc>
              <w:tc>
                <w:tcPr>
                  <w:tcW w:w="693" w:type="pct"/>
                  <w:tcBorders>
                    <w:top w:val="single" w:sz="6" w:space="0" w:color="BFBFBF" w:themeColor="background2"/>
                  </w:tcBorders>
                  <w:vAlign w:val="bottom"/>
                </w:tcPr>
                <w:p w:rsidR="00CF6B94" w:rsidRPr="00537F81" w:rsidRDefault="00CF6B94" w:rsidP="00CF6B94">
                  <w:pPr>
                    <w:pStyle w:val="TableBodyText"/>
                    <w:rPr>
                      <w:b/>
                    </w:rPr>
                  </w:pPr>
                  <w:r w:rsidRPr="00537F81">
                    <w:rPr>
                      <w:b/>
                    </w:rPr>
                    <w:t>0.67</w:t>
                  </w:r>
                </w:p>
              </w:tc>
              <w:tc>
                <w:tcPr>
                  <w:tcW w:w="677" w:type="pct"/>
                  <w:tcBorders>
                    <w:top w:val="single" w:sz="6" w:space="0" w:color="BFBFBF" w:themeColor="background2"/>
                  </w:tcBorders>
                  <w:vAlign w:val="bottom"/>
                </w:tcPr>
                <w:p w:rsidR="00CF6B94" w:rsidRPr="00537F81" w:rsidRDefault="00CF6B94" w:rsidP="00CF6B94">
                  <w:pPr>
                    <w:pStyle w:val="TableBodyText"/>
                    <w:rPr>
                      <w:b/>
                    </w:rPr>
                  </w:pPr>
                  <w:r w:rsidRPr="00537F81">
                    <w:rPr>
                      <w:b/>
                    </w:rPr>
                    <w:t>-1.30</w:t>
                  </w:r>
                </w:p>
              </w:tc>
              <w:tc>
                <w:tcPr>
                  <w:tcW w:w="715" w:type="pct"/>
                  <w:tcBorders>
                    <w:top w:val="single" w:sz="6" w:space="0" w:color="BFBFBF" w:themeColor="background2"/>
                  </w:tcBorders>
                  <w:vAlign w:val="bottom"/>
                </w:tcPr>
                <w:p w:rsidR="00CF6B94" w:rsidRPr="00537F81" w:rsidRDefault="00CF6B94" w:rsidP="00CF6B94">
                  <w:pPr>
                    <w:pStyle w:val="TableBodyText"/>
                    <w:rPr>
                      <w:b/>
                    </w:rPr>
                  </w:pPr>
                  <w:r w:rsidRPr="00537F81">
                    <w:rPr>
                      <w:b/>
                    </w:rPr>
                    <w:t>0.45</w:t>
                  </w:r>
                </w:p>
              </w:tc>
              <w:tc>
                <w:tcPr>
                  <w:tcW w:w="714" w:type="pct"/>
                  <w:tcBorders>
                    <w:top w:val="single" w:sz="6" w:space="0" w:color="BFBFBF" w:themeColor="background2"/>
                  </w:tcBorders>
                  <w:vAlign w:val="bottom"/>
                </w:tcPr>
                <w:p w:rsidR="00CF6B94" w:rsidRPr="00537F81" w:rsidRDefault="00CF6B94" w:rsidP="00CF6B94">
                  <w:pPr>
                    <w:pStyle w:val="TableBodyText"/>
                    <w:rPr>
                      <w:b/>
                    </w:rPr>
                  </w:pPr>
                  <w:r w:rsidRPr="00537F81">
                    <w:rPr>
                      <w:b/>
                    </w:rPr>
                    <w:t>10</w:t>
                  </w:r>
                </w:p>
              </w:tc>
              <w:tc>
                <w:tcPr>
                  <w:tcW w:w="714" w:type="pct"/>
                  <w:tcBorders>
                    <w:top w:val="single" w:sz="6" w:space="0" w:color="BFBFBF" w:themeColor="background2"/>
                  </w:tcBorders>
                  <w:vAlign w:val="bottom"/>
                </w:tcPr>
                <w:p w:rsidR="00CF6B94" w:rsidRPr="00537F81" w:rsidRDefault="00CF6B94" w:rsidP="00CF6B94">
                  <w:pPr>
                    <w:pStyle w:val="TableBodyText"/>
                    <w:rPr>
                      <w:b/>
                    </w:rPr>
                  </w:pPr>
                  <w:r w:rsidRPr="00537F81">
                    <w:rPr>
                      <w:b/>
                    </w:rPr>
                    <w:t>19</w:t>
                  </w:r>
                </w:p>
              </w:tc>
            </w:tr>
            <w:tr w:rsidR="00CF6B94" w:rsidTr="00B14997">
              <w:tc>
                <w:tcPr>
                  <w:tcW w:w="769" w:type="pct"/>
                </w:tcPr>
                <w:p w:rsidR="00CF6B94" w:rsidRPr="00E522C1" w:rsidRDefault="00CF6B94" w:rsidP="00B14997">
                  <w:pPr>
                    <w:pStyle w:val="TableBodyText"/>
                    <w:jc w:val="left"/>
                  </w:pPr>
                  <w:r>
                    <w:t>75</w:t>
                  </w:r>
                  <w:r w:rsidRPr="00E84A60">
                    <w:rPr>
                      <w:vertAlign w:val="superscript"/>
                    </w:rPr>
                    <w:t>th</w:t>
                  </w:r>
                  <w:r>
                    <w:t xml:space="preserve"> perc</w:t>
                  </w:r>
                  <w:r w:rsidR="00B14997">
                    <w:t>entile</w:t>
                  </w:r>
                </w:p>
              </w:tc>
              <w:tc>
                <w:tcPr>
                  <w:tcW w:w="718" w:type="pct"/>
                  <w:vAlign w:val="bottom"/>
                </w:tcPr>
                <w:p w:rsidR="00CF6B94" w:rsidRPr="00E84A60" w:rsidRDefault="00CF6B94" w:rsidP="00CF6B94">
                  <w:pPr>
                    <w:pStyle w:val="TableBodyText"/>
                  </w:pPr>
                  <w:r w:rsidRPr="00E84A60">
                    <w:t>0.74</w:t>
                  </w:r>
                </w:p>
              </w:tc>
              <w:tc>
                <w:tcPr>
                  <w:tcW w:w="693" w:type="pct"/>
                  <w:vAlign w:val="bottom"/>
                </w:tcPr>
                <w:p w:rsidR="00CF6B94" w:rsidRPr="00E84A60" w:rsidRDefault="00CF6B94" w:rsidP="00CF6B94">
                  <w:pPr>
                    <w:pStyle w:val="TableBodyText"/>
                  </w:pPr>
                  <w:r w:rsidRPr="00E84A60">
                    <w:t>1.51</w:t>
                  </w:r>
                </w:p>
              </w:tc>
              <w:tc>
                <w:tcPr>
                  <w:tcW w:w="677" w:type="pct"/>
                  <w:vAlign w:val="bottom"/>
                </w:tcPr>
                <w:p w:rsidR="00CF6B94" w:rsidRPr="00E84A60" w:rsidRDefault="00CF6B94" w:rsidP="00CF6B94">
                  <w:pPr>
                    <w:pStyle w:val="TableBodyText"/>
                  </w:pPr>
                  <w:r w:rsidRPr="00E84A60">
                    <w:t>-12.33</w:t>
                  </w:r>
                </w:p>
              </w:tc>
              <w:tc>
                <w:tcPr>
                  <w:tcW w:w="715" w:type="pct"/>
                  <w:vAlign w:val="bottom"/>
                </w:tcPr>
                <w:p w:rsidR="00CF6B94" w:rsidRPr="00E84A60" w:rsidRDefault="00CF6B94" w:rsidP="00CF6B94">
                  <w:pPr>
                    <w:pStyle w:val="TableBodyText"/>
                  </w:pPr>
                  <w:r w:rsidRPr="00E84A60">
                    <w:t>0.47</w:t>
                  </w:r>
                </w:p>
              </w:tc>
              <w:tc>
                <w:tcPr>
                  <w:tcW w:w="714" w:type="pct"/>
                  <w:vAlign w:val="bottom"/>
                </w:tcPr>
                <w:p w:rsidR="00CF6B94" w:rsidRPr="00E84A60" w:rsidRDefault="00CF6B94" w:rsidP="00CF6B94">
                  <w:pPr>
                    <w:pStyle w:val="TableBodyText"/>
                  </w:pPr>
                  <w:r w:rsidRPr="00E84A60">
                    <w:t>7</w:t>
                  </w:r>
                </w:p>
              </w:tc>
              <w:tc>
                <w:tcPr>
                  <w:tcW w:w="714" w:type="pct"/>
                  <w:vAlign w:val="bottom"/>
                </w:tcPr>
                <w:p w:rsidR="00CF6B94" w:rsidRPr="00E84A60" w:rsidRDefault="00CF6B94" w:rsidP="00CF6B94">
                  <w:pPr>
                    <w:pStyle w:val="TableBodyText"/>
                  </w:pPr>
                  <w:r w:rsidRPr="00E84A60">
                    <w:t>23</w:t>
                  </w:r>
                </w:p>
              </w:tc>
            </w:tr>
            <w:tr w:rsidR="00CF6B94" w:rsidTr="00B14997">
              <w:tc>
                <w:tcPr>
                  <w:tcW w:w="769" w:type="pct"/>
                  <w:tcBorders>
                    <w:bottom w:val="single" w:sz="6" w:space="0" w:color="C8C8C8"/>
                  </w:tcBorders>
                  <w:shd w:val="clear" w:color="auto" w:fill="auto"/>
                </w:tcPr>
                <w:p w:rsidR="00CF6B94" w:rsidRPr="00E522C1" w:rsidRDefault="00CF6B94" w:rsidP="00CF6B94">
                  <w:pPr>
                    <w:pStyle w:val="TableBodyText"/>
                    <w:jc w:val="left"/>
                  </w:pPr>
                  <w:r>
                    <w:t>Fees paid</w:t>
                  </w:r>
                </w:p>
              </w:tc>
              <w:tc>
                <w:tcPr>
                  <w:tcW w:w="718" w:type="pct"/>
                  <w:tcBorders>
                    <w:bottom w:val="single" w:sz="6" w:space="0" w:color="C8C8C8"/>
                  </w:tcBorders>
                  <w:shd w:val="clear" w:color="auto" w:fill="auto"/>
                  <w:vAlign w:val="bottom"/>
                </w:tcPr>
                <w:p w:rsidR="00CF6B94" w:rsidRPr="00E84A60" w:rsidRDefault="00CF6B94" w:rsidP="00CF6B94">
                  <w:pPr>
                    <w:pStyle w:val="TableBodyText"/>
                  </w:pPr>
                  <w:r w:rsidRPr="00E84A60">
                    <w:t>0.70</w:t>
                  </w:r>
                </w:p>
              </w:tc>
              <w:tc>
                <w:tcPr>
                  <w:tcW w:w="693" w:type="pct"/>
                  <w:tcBorders>
                    <w:bottom w:val="single" w:sz="6" w:space="0" w:color="C8C8C8"/>
                  </w:tcBorders>
                  <w:vAlign w:val="bottom"/>
                </w:tcPr>
                <w:p w:rsidR="00CF6B94" w:rsidRPr="00E84A60" w:rsidRDefault="00CF6B94" w:rsidP="00CF6B94">
                  <w:pPr>
                    <w:pStyle w:val="TableBodyText"/>
                  </w:pPr>
                  <w:r w:rsidRPr="00E84A60">
                    <w:t>0.88</w:t>
                  </w:r>
                </w:p>
              </w:tc>
              <w:tc>
                <w:tcPr>
                  <w:tcW w:w="677" w:type="pct"/>
                  <w:tcBorders>
                    <w:bottom w:val="single" w:sz="6" w:space="0" w:color="C8C8C8"/>
                  </w:tcBorders>
                  <w:vAlign w:val="bottom"/>
                </w:tcPr>
                <w:p w:rsidR="00CF6B94" w:rsidRPr="00E84A60" w:rsidRDefault="00CF6B94" w:rsidP="00CF6B94">
                  <w:pPr>
                    <w:pStyle w:val="TableBodyText"/>
                  </w:pPr>
                  <w:r w:rsidRPr="00E84A60">
                    <w:t>-10.14</w:t>
                  </w:r>
                </w:p>
              </w:tc>
              <w:tc>
                <w:tcPr>
                  <w:tcW w:w="715" w:type="pct"/>
                  <w:tcBorders>
                    <w:bottom w:val="single" w:sz="6" w:space="0" w:color="C8C8C8"/>
                  </w:tcBorders>
                  <w:vAlign w:val="bottom"/>
                </w:tcPr>
                <w:p w:rsidR="00CF6B94" w:rsidRPr="00E84A60" w:rsidRDefault="00CF6B94" w:rsidP="00CF6B94">
                  <w:pPr>
                    <w:pStyle w:val="TableBodyText"/>
                  </w:pPr>
                  <w:r w:rsidRPr="00E84A60">
                    <w:t>0.44</w:t>
                  </w:r>
                </w:p>
              </w:tc>
              <w:tc>
                <w:tcPr>
                  <w:tcW w:w="714" w:type="pct"/>
                  <w:tcBorders>
                    <w:bottom w:val="single" w:sz="6" w:space="0" w:color="C8C8C8"/>
                  </w:tcBorders>
                  <w:vAlign w:val="bottom"/>
                </w:tcPr>
                <w:p w:rsidR="00CF6B94" w:rsidRPr="00E84A60" w:rsidRDefault="00CF6B94" w:rsidP="00CF6B94">
                  <w:pPr>
                    <w:pStyle w:val="TableBodyText"/>
                  </w:pPr>
                  <w:r w:rsidRPr="00E84A60">
                    <w:t>10</w:t>
                  </w:r>
                </w:p>
              </w:tc>
              <w:tc>
                <w:tcPr>
                  <w:tcW w:w="714" w:type="pct"/>
                  <w:tcBorders>
                    <w:bottom w:val="single" w:sz="6" w:space="0" w:color="C8C8C8"/>
                  </w:tcBorders>
                  <w:shd w:val="clear" w:color="auto" w:fill="auto"/>
                  <w:vAlign w:val="bottom"/>
                </w:tcPr>
                <w:p w:rsidR="00CF6B94" w:rsidRPr="00E84A60" w:rsidRDefault="00CF6B94" w:rsidP="00CF6B94">
                  <w:pPr>
                    <w:pStyle w:val="TableBodyText"/>
                  </w:pPr>
                  <w:r w:rsidRPr="00E84A60">
                    <w:t>19</w:t>
                  </w:r>
                </w:p>
              </w:tc>
            </w:tr>
          </w:tbl>
          <w:p w:rsidR="00CF6B94" w:rsidRDefault="00CF6B94" w:rsidP="00CF6B94">
            <w:pPr>
              <w:pStyle w:val="Box"/>
            </w:pP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Note"/>
              <w:rPr>
                <w:i/>
              </w:rPr>
            </w:pPr>
            <w:proofErr w:type="gramStart"/>
            <w:r>
              <w:rPr>
                <w:rStyle w:val="NoteLabel"/>
              </w:rPr>
              <w:t>a</w:t>
            </w:r>
            <w:proofErr w:type="gramEnd"/>
            <w:r>
              <w:t xml:space="preserve"> Results are shown for ECLS varying only the benchmark price. All other policy settings remain unchanged. </w:t>
            </w:r>
            <w:proofErr w:type="gramStart"/>
            <w:r>
              <w:rPr>
                <w:rStyle w:val="NoteLabel"/>
              </w:rPr>
              <w:t>b</w:t>
            </w:r>
            <w:proofErr w:type="gramEnd"/>
            <w:r>
              <w:rPr>
                <w:rStyle w:val="NoteLabel"/>
              </w:rPr>
              <w:t xml:space="preserve"> </w:t>
            </w:r>
            <w:r>
              <w:t>The bold row is the recommended policy.</w:t>
            </w: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Source"/>
            </w:pPr>
            <w:r>
              <w:rPr>
                <w:i/>
              </w:rPr>
              <w:t>Source</w:t>
            </w:r>
            <w:r>
              <w:t>: PCMC model estimates.</w:t>
            </w:r>
          </w:p>
        </w:tc>
      </w:tr>
      <w:tr w:rsidR="00CF6B94" w:rsidTr="00CF6B94">
        <w:trPr>
          <w:cantSplit/>
        </w:trPr>
        <w:tc>
          <w:tcPr>
            <w:tcW w:w="8771" w:type="dxa"/>
            <w:tcBorders>
              <w:top w:val="nil"/>
              <w:left w:val="nil"/>
              <w:bottom w:val="single" w:sz="6" w:space="0" w:color="78A22F" w:themeColor="accent1"/>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themeColor="accent1"/>
              <w:left w:val="nil"/>
              <w:bottom w:val="nil"/>
              <w:right w:val="nil"/>
            </w:tcBorders>
          </w:tcPr>
          <w:p w:rsidR="00CF6B94" w:rsidRPr="00626D32" w:rsidRDefault="00CF6B94" w:rsidP="00CF6B94">
            <w:pPr>
              <w:pStyle w:val="BoxSpaceBelow"/>
            </w:pPr>
          </w:p>
        </w:tc>
      </w:tr>
    </w:tbl>
    <w:p w:rsidR="00CF6B94" w:rsidRDefault="00CF6B94" w:rsidP="00CF6B94">
      <w:pPr>
        <w:pStyle w:val="BodyText"/>
      </w:pPr>
      <w:r>
        <w:t>Increasing the benchmark price increases labour supply, childcare demand and the fiscal cost. This is because (a) households typically face smaller out-of-pocket expenses per hour and (b) more households receive effective subsidy rates of 100 per cent. For example, moving from the median to 75</w:t>
      </w:r>
      <w:r w:rsidRPr="0094572D">
        <w:rPr>
          <w:vertAlign w:val="superscript"/>
        </w:rPr>
        <w:t>th</w:t>
      </w:r>
      <w:r>
        <w:t xml:space="preserve"> percentile benchmark price increases labour supply by an additional 0.12 million hours per week, childcare demand by an additional 0.84 million hours per week, and the net fiscal cost by an additional $11.03 million per week. While more low income households have higher utility with a higher benchmark price, this is true for most income ranges.</w:t>
      </w:r>
    </w:p>
    <w:p w:rsidR="00CF6B94" w:rsidRDefault="00CF6B94" w:rsidP="00CF6B94">
      <w:pPr>
        <w:pStyle w:val="BodyText"/>
      </w:pPr>
      <w:r>
        <w:t xml:space="preserve">Basing the subsidy on the actual supply price (i.e. having no benchmark price) brings a larger benefit to higher income households with little change for low income households. Typically, high income households face childcare supply prices above the benchmark price, while lower income households face supply prices below the benchmark price. Basing subsidies on the actual supply price tends to increase payments to high income households, but tends not to change the incentives for low income households. Higher income households tend not to respond strongly to ECEC subsidies as financial assistance is not as critical to their decision to use ECEC and only have a minor impact on their chosen hours of formal childcare. This is primarily because higher income households are typically already supplying a large amount of labour, and have smaller scope to supply more. </w:t>
      </w:r>
    </w:p>
    <w:p w:rsidR="00CF6B94" w:rsidRPr="00085C36" w:rsidRDefault="00CF6B94" w:rsidP="007438EE">
      <w:pPr>
        <w:pStyle w:val="Heading3"/>
      </w:pPr>
      <w:r>
        <w:t>Maximum and minimum rates of assistance</w:t>
      </w:r>
    </w:p>
    <w:p w:rsidR="00CF6B94" w:rsidRDefault="00CF6B94" w:rsidP="00CF6B94">
      <w:pPr>
        <w:pStyle w:val="BodyText"/>
      </w:pPr>
      <w:r>
        <w:t xml:space="preserve">The Commission explored a range of different scenarios where the maximum and minimum scheduled rates of assistance (and consequently, all subsidy rates in between these) were varied (tables 12 and 13). </w:t>
      </w:r>
    </w:p>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themeColor="accent1"/>
              <w:left w:val="nil"/>
              <w:bottom w:val="nil"/>
              <w:right w:val="nil"/>
            </w:tcBorders>
            <w:shd w:val="clear" w:color="auto" w:fill="auto"/>
          </w:tcPr>
          <w:p w:rsidR="00CF6B94" w:rsidRPr="00784A05" w:rsidRDefault="00CF6B94" w:rsidP="00CF6B94">
            <w:pPr>
              <w:pStyle w:val="TableTitle"/>
            </w:pPr>
            <w:r>
              <w:rPr>
                <w:b w:val="0"/>
              </w:rPr>
              <w:t xml:space="preserve">Table </w:t>
            </w:r>
            <w:r>
              <w:rPr>
                <w:b w:val="0"/>
                <w:noProof/>
              </w:rPr>
              <w:t>12</w:t>
            </w:r>
            <w:r>
              <w:tab/>
            </w:r>
            <w:r w:rsidRPr="00B954E4">
              <w:t>Illustrative impacts o</w:t>
            </w:r>
            <w:r>
              <w:t>f varying the maximum scheduled subsidy rate</w:t>
            </w:r>
            <w:r w:rsidRPr="007E57F0">
              <w:rPr>
                <w:rStyle w:val="NoteLabel"/>
              </w:rPr>
              <w:t>a</w:t>
            </w:r>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11"/>
              <w:gridCol w:w="1212"/>
              <w:gridCol w:w="1214"/>
              <w:gridCol w:w="1212"/>
              <w:gridCol w:w="1214"/>
              <w:gridCol w:w="1212"/>
              <w:gridCol w:w="1212"/>
            </w:tblGrid>
            <w:tr w:rsidR="00CF6B94" w:rsidTr="00BD2E8E">
              <w:tc>
                <w:tcPr>
                  <w:tcW w:w="713"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Pr="007E0D23" w:rsidRDefault="00CF6B94" w:rsidP="00BD2E8E">
                  <w:pPr>
                    <w:pStyle w:val="TableColumnHeading"/>
                    <w:jc w:val="left"/>
                  </w:pPr>
                  <w:r>
                    <w:t>Maximum rate (% of benchmark price)</w:t>
                  </w:r>
                </w:p>
              </w:tc>
              <w:tc>
                <w:tcPr>
                  <w:tcW w:w="714"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BD2E8E">
                  <w:pPr>
                    <w:pStyle w:val="TableColumnHeading"/>
                  </w:pPr>
                  <w:r>
                    <w:t xml:space="preserve">Change in labour supply </w:t>
                  </w:r>
                  <w:r>
                    <w:br/>
                    <w:t>(millions of hours per week)</w:t>
                  </w:r>
                </w:p>
              </w:tc>
              <w:tc>
                <w:tcPr>
                  <w:tcW w:w="715" w:type="pct"/>
                  <w:tcBorders>
                    <w:top w:val="single" w:sz="6" w:space="0" w:color="BFBFBF" w:themeColor="background2"/>
                    <w:bottom w:val="single" w:sz="6" w:space="0" w:color="BFBFBF" w:themeColor="background2"/>
                  </w:tcBorders>
                  <w:vAlign w:val="bottom"/>
                </w:tcPr>
                <w:p w:rsidR="00CF6B94" w:rsidRDefault="00CF6B94" w:rsidP="00BD2E8E">
                  <w:pPr>
                    <w:pStyle w:val="TableColumnHeading"/>
                  </w:pPr>
                  <w:r>
                    <w:t xml:space="preserve">Change in childcare demand </w:t>
                  </w:r>
                  <w:r>
                    <w:br/>
                    <w:t>(millions of hours per week)</w:t>
                  </w:r>
                </w:p>
              </w:tc>
              <w:tc>
                <w:tcPr>
                  <w:tcW w:w="714" w:type="pct"/>
                  <w:tcBorders>
                    <w:top w:val="single" w:sz="6" w:space="0" w:color="BFBFBF" w:themeColor="background2"/>
                    <w:bottom w:val="single" w:sz="6" w:space="0" w:color="BFBFBF" w:themeColor="background2"/>
                  </w:tcBorders>
                  <w:vAlign w:val="bottom"/>
                </w:tcPr>
                <w:p w:rsidR="00CF6B94" w:rsidRDefault="00CF6B94" w:rsidP="00BD2E8E">
                  <w:pPr>
                    <w:pStyle w:val="TableColumnHeading"/>
                  </w:pPr>
                  <w:r>
                    <w:t xml:space="preserve">Net fiscal position </w:t>
                  </w:r>
                  <w:r>
                    <w:br/>
                    <w:t>(millions of dollars per week)</w:t>
                  </w:r>
                </w:p>
              </w:tc>
              <w:tc>
                <w:tcPr>
                  <w:tcW w:w="715" w:type="pct"/>
                  <w:tcBorders>
                    <w:top w:val="single" w:sz="6" w:space="0" w:color="BFBFBF" w:themeColor="background2"/>
                    <w:bottom w:val="single" w:sz="6" w:space="0" w:color="BFBFBF" w:themeColor="background2"/>
                  </w:tcBorders>
                  <w:vAlign w:val="bottom"/>
                </w:tcPr>
                <w:p w:rsidR="00CF6B94" w:rsidRDefault="00CF6B94" w:rsidP="00BD2E8E">
                  <w:pPr>
                    <w:pStyle w:val="TableColumnHeading"/>
                  </w:pPr>
                  <w:r>
                    <w:t>Share of additional labour from households under $60 000</w:t>
                  </w:r>
                </w:p>
              </w:tc>
              <w:tc>
                <w:tcPr>
                  <w:tcW w:w="714" w:type="pct"/>
                  <w:tcBorders>
                    <w:top w:val="single" w:sz="6" w:space="0" w:color="BFBFBF" w:themeColor="background2"/>
                    <w:bottom w:val="single" w:sz="6" w:space="0" w:color="BFBFBF" w:themeColor="background2"/>
                  </w:tcBorders>
                  <w:vAlign w:val="bottom"/>
                </w:tcPr>
                <w:p w:rsidR="00CF6B94" w:rsidRDefault="00CF6B94" w:rsidP="00BD2E8E">
                  <w:pPr>
                    <w:pStyle w:val="TableColumnHeading"/>
                  </w:pPr>
                  <w:r>
                    <w:t>Per cent of households under $60 000 with lower utility</w:t>
                  </w:r>
                </w:p>
              </w:tc>
              <w:tc>
                <w:tcPr>
                  <w:tcW w:w="714"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BD2E8E">
                  <w:pPr>
                    <w:pStyle w:val="TableColumnHeading"/>
                  </w:pPr>
                  <w:r>
                    <w:t>Per cent of households under $60 000 with higher utility</w:t>
                  </w:r>
                </w:p>
              </w:tc>
            </w:tr>
            <w:tr w:rsidR="00CF6B94" w:rsidTr="00CF6B94">
              <w:tc>
                <w:tcPr>
                  <w:tcW w:w="713" w:type="pct"/>
                  <w:tcBorders>
                    <w:top w:val="single" w:sz="6" w:space="0" w:color="BFBFBF" w:themeColor="background2"/>
                  </w:tcBorders>
                </w:tcPr>
                <w:p w:rsidR="00CF6B94" w:rsidRPr="00E522C1" w:rsidRDefault="00CF6B94" w:rsidP="00CF6B94">
                  <w:pPr>
                    <w:pStyle w:val="TableBodyText"/>
                    <w:jc w:val="left"/>
                  </w:pPr>
                  <w:r>
                    <w:t>80</w:t>
                  </w:r>
                </w:p>
              </w:tc>
              <w:tc>
                <w:tcPr>
                  <w:tcW w:w="714" w:type="pct"/>
                  <w:tcBorders>
                    <w:top w:val="single" w:sz="6" w:space="0" w:color="BFBFBF" w:themeColor="background2"/>
                  </w:tcBorders>
                  <w:vAlign w:val="bottom"/>
                </w:tcPr>
                <w:p w:rsidR="00CF6B94" w:rsidRPr="004716FC" w:rsidRDefault="00CF6B94" w:rsidP="00CF6B94">
                  <w:pPr>
                    <w:pStyle w:val="TableBodyText"/>
                  </w:pPr>
                  <w:r w:rsidRPr="004716FC">
                    <w:t>0.49</w:t>
                  </w:r>
                </w:p>
              </w:tc>
              <w:tc>
                <w:tcPr>
                  <w:tcW w:w="715" w:type="pct"/>
                  <w:tcBorders>
                    <w:top w:val="single" w:sz="6" w:space="0" w:color="BFBFBF" w:themeColor="background2"/>
                  </w:tcBorders>
                  <w:vAlign w:val="bottom"/>
                </w:tcPr>
                <w:p w:rsidR="00CF6B94" w:rsidRPr="004716FC" w:rsidRDefault="00CF6B94" w:rsidP="00CF6B94">
                  <w:pPr>
                    <w:pStyle w:val="TableBodyText"/>
                  </w:pPr>
                  <w:r w:rsidRPr="004716FC">
                    <w:t>-0.05</w:t>
                  </w:r>
                </w:p>
              </w:tc>
              <w:tc>
                <w:tcPr>
                  <w:tcW w:w="714" w:type="pct"/>
                  <w:tcBorders>
                    <w:top w:val="single" w:sz="6" w:space="0" w:color="BFBFBF" w:themeColor="background2"/>
                  </w:tcBorders>
                  <w:vAlign w:val="bottom"/>
                </w:tcPr>
                <w:p w:rsidR="00CF6B94" w:rsidRPr="004716FC" w:rsidRDefault="00CF6B94" w:rsidP="00CF6B94">
                  <w:pPr>
                    <w:pStyle w:val="TableBodyText"/>
                  </w:pPr>
                  <w:r w:rsidRPr="004716FC">
                    <w:t>9.21</w:t>
                  </w:r>
                </w:p>
              </w:tc>
              <w:tc>
                <w:tcPr>
                  <w:tcW w:w="715" w:type="pct"/>
                  <w:tcBorders>
                    <w:top w:val="single" w:sz="6" w:space="0" w:color="BFBFBF" w:themeColor="background2"/>
                  </w:tcBorders>
                  <w:vAlign w:val="bottom"/>
                </w:tcPr>
                <w:p w:rsidR="00CF6B94" w:rsidRPr="004716FC" w:rsidRDefault="00CF6B94" w:rsidP="00CF6B94">
                  <w:pPr>
                    <w:pStyle w:val="TableBodyText"/>
                  </w:pPr>
                  <w:r w:rsidRPr="004716FC">
                    <w:t>0.41</w:t>
                  </w:r>
                </w:p>
              </w:tc>
              <w:tc>
                <w:tcPr>
                  <w:tcW w:w="714" w:type="pct"/>
                  <w:tcBorders>
                    <w:top w:val="single" w:sz="6" w:space="0" w:color="BFBFBF" w:themeColor="background2"/>
                  </w:tcBorders>
                  <w:vAlign w:val="bottom"/>
                </w:tcPr>
                <w:p w:rsidR="00CF6B94" w:rsidRPr="004716FC" w:rsidRDefault="00CF6B94" w:rsidP="00CF6B94">
                  <w:pPr>
                    <w:pStyle w:val="TableBodyText"/>
                  </w:pPr>
                  <w:r w:rsidRPr="004716FC">
                    <w:t>16</w:t>
                  </w:r>
                </w:p>
              </w:tc>
              <w:tc>
                <w:tcPr>
                  <w:tcW w:w="714" w:type="pct"/>
                  <w:tcBorders>
                    <w:top w:val="single" w:sz="6" w:space="0" w:color="BFBFBF" w:themeColor="background2"/>
                  </w:tcBorders>
                  <w:vAlign w:val="bottom"/>
                </w:tcPr>
                <w:p w:rsidR="00CF6B94" w:rsidRPr="004716FC" w:rsidRDefault="00CF6B94" w:rsidP="00CF6B94">
                  <w:pPr>
                    <w:pStyle w:val="TableBodyText"/>
                  </w:pPr>
                  <w:r w:rsidRPr="004716FC">
                    <w:t>12</w:t>
                  </w:r>
                </w:p>
              </w:tc>
            </w:tr>
            <w:tr w:rsidR="00CF6B94" w:rsidTr="00CF6B94">
              <w:tc>
                <w:tcPr>
                  <w:tcW w:w="713" w:type="pct"/>
                </w:tcPr>
                <w:p w:rsidR="00CF6B94" w:rsidRPr="00537F81" w:rsidRDefault="00CF6B94" w:rsidP="00CF6B94">
                  <w:pPr>
                    <w:pStyle w:val="TableBodyText"/>
                    <w:jc w:val="left"/>
                    <w:rPr>
                      <w:b/>
                    </w:rPr>
                  </w:pPr>
                  <w:r w:rsidRPr="00537F81">
                    <w:rPr>
                      <w:b/>
                    </w:rPr>
                    <w:t>85</w:t>
                  </w:r>
                  <w:r>
                    <w:rPr>
                      <w:rStyle w:val="NoteLabel"/>
                    </w:rPr>
                    <w:t>b</w:t>
                  </w:r>
                </w:p>
              </w:tc>
              <w:tc>
                <w:tcPr>
                  <w:tcW w:w="714" w:type="pct"/>
                  <w:vAlign w:val="bottom"/>
                </w:tcPr>
                <w:p w:rsidR="00CF6B94" w:rsidRPr="00537F81" w:rsidRDefault="00CF6B94" w:rsidP="00CF6B94">
                  <w:pPr>
                    <w:pStyle w:val="TableBodyText"/>
                    <w:rPr>
                      <w:b/>
                    </w:rPr>
                  </w:pPr>
                  <w:r w:rsidRPr="00537F81">
                    <w:rPr>
                      <w:b/>
                    </w:rPr>
                    <w:t>0.62</w:t>
                  </w:r>
                </w:p>
              </w:tc>
              <w:tc>
                <w:tcPr>
                  <w:tcW w:w="715" w:type="pct"/>
                  <w:vAlign w:val="bottom"/>
                </w:tcPr>
                <w:p w:rsidR="00CF6B94" w:rsidRPr="00537F81" w:rsidRDefault="00CF6B94" w:rsidP="00CF6B94">
                  <w:pPr>
                    <w:pStyle w:val="TableBodyText"/>
                    <w:rPr>
                      <w:b/>
                    </w:rPr>
                  </w:pPr>
                  <w:r w:rsidRPr="00537F81">
                    <w:rPr>
                      <w:b/>
                    </w:rPr>
                    <w:t>0.67</w:t>
                  </w:r>
                </w:p>
              </w:tc>
              <w:tc>
                <w:tcPr>
                  <w:tcW w:w="714" w:type="pct"/>
                  <w:vAlign w:val="bottom"/>
                </w:tcPr>
                <w:p w:rsidR="00CF6B94" w:rsidRPr="00537F81" w:rsidRDefault="00CF6B94" w:rsidP="00CF6B94">
                  <w:pPr>
                    <w:pStyle w:val="TableBodyText"/>
                    <w:rPr>
                      <w:b/>
                    </w:rPr>
                  </w:pPr>
                  <w:r w:rsidRPr="00537F81">
                    <w:rPr>
                      <w:b/>
                    </w:rPr>
                    <w:t>-1.30</w:t>
                  </w:r>
                </w:p>
              </w:tc>
              <w:tc>
                <w:tcPr>
                  <w:tcW w:w="715" w:type="pct"/>
                  <w:vAlign w:val="bottom"/>
                </w:tcPr>
                <w:p w:rsidR="00CF6B94" w:rsidRPr="00537F81" w:rsidRDefault="00CF6B94" w:rsidP="00CF6B94">
                  <w:pPr>
                    <w:pStyle w:val="TableBodyText"/>
                    <w:rPr>
                      <w:b/>
                    </w:rPr>
                  </w:pPr>
                  <w:r w:rsidRPr="00537F81">
                    <w:rPr>
                      <w:b/>
                    </w:rPr>
                    <w:t>0.45</w:t>
                  </w:r>
                </w:p>
              </w:tc>
              <w:tc>
                <w:tcPr>
                  <w:tcW w:w="714" w:type="pct"/>
                  <w:vAlign w:val="bottom"/>
                </w:tcPr>
                <w:p w:rsidR="00CF6B94" w:rsidRPr="00537F81" w:rsidRDefault="00CF6B94" w:rsidP="00CF6B94">
                  <w:pPr>
                    <w:pStyle w:val="TableBodyText"/>
                    <w:rPr>
                      <w:b/>
                    </w:rPr>
                  </w:pPr>
                  <w:r w:rsidRPr="00537F81">
                    <w:rPr>
                      <w:b/>
                    </w:rPr>
                    <w:t>10</w:t>
                  </w:r>
                </w:p>
              </w:tc>
              <w:tc>
                <w:tcPr>
                  <w:tcW w:w="714" w:type="pct"/>
                  <w:vAlign w:val="bottom"/>
                </w:tcPr>
                <w:p w:rsidR="00CF6B94" w:rsidRPr="00537F81" w:rsidRDefault="00CF6B94" w:rsidP="00CF6B94">
                  <w:pPr>
                    <w:pStyle w:val="TableBodyText"/>
                    <w:rPr>
                      <w:b/>
                    </w:rPr>
                  </w:pPr>
                  <w:r w:rsidRPr="00537F81">
                    <w:rPr>
                      <w:b/>
                    </w:rPr>
                    <w:t>19</w:t>
                  </w:r>
                </w:p>
              </w:tc>
            </w:tr>
            <w:tr w:rsidR="00CF6B94" w:rsidTr="00CF6B94">
              <w:tc>
                <w:tcPr>
                  <w:tcW w:w="713" w:type="pct"/>
                </w:tcPr>
                <w:p w:rsidR="00CF6B94" w:rsidRPr="00E522C1" w:rsidRDefault="00CF6B94" w:rsidP="00CF6B94">
                  <w:pPr>
                    <w:pStyle w:val="TableBodyText"/>
                    <w:jc w:val="left"/>
                  </w:pPr>
                  <w:r>
                    <w:t>90</w:t>
                  </w:r>
                </w:p>
              </w:tc>
              <w:tc>
                <w:tcPr>
                  <w:tcW w:w="714" w:type="pct"/>
                  <w:vAlign w:val="bottom"/>
                </w:tcPr>
                <w:p w:rsidR="00CF6B94" w:rsidRPr="004716FC" w:rsidRDefault="00CF6B94" w:rsidP="00CF6B94">
                  <w:pPr>
                    <w:pStyle w:val="TableBodyText"/>
                  </w:pPr>
                  <w:r w:rsidRPr="004716FC">
                    <w:t>0.70</w:t>
                  </w:r>
                </w:p>
              </w:tc>
              <w:tc>
                <w:tcPr>
                  <w:tcW w:w="715" w:type="pct"/>
                  <w:vAlign w:val="bottom"/>
                </w:tcPr>
                <w:p w:rsidR="00CF6B94" w:rsidRPr="004716FC" w:rsidRDefault="00CF6B94" w:rsidP="00CF6B94">
                  <w:pPr>
                    <w:pStyle w:val="TableBodyText"/>
                  </w:pPr>
                  <w:r w:rsidRPr="004716FC">
                    <w:t>1.45</w:t>
                  </w:r>
                </w:p>
              </w:tc>
              <w:tc>
                <w:tcPr>
                  <w:tcW w:w="714" w:type="pct"/>
                  <w:vAlign w:val="bottom"/>
                </w:tcPr>
                <w:p w:rsidR="00CF6B94" w:rsidRPr="004716FC" w:rsidRDefault="00CF6B94" w:rsidP="00CF6B94">
                  <w:pPr>
                    <w:pStyle w:val="TableBodyText"/>
                  </w:pPr>
                  <w:r w:rsidRPr="004716FC">
                    <w:t>-12.47</w:t>
                  </w:r>
                </w:p>
              </w:tc>
              <w:tc>
                <w:tcPr>
                  <w:tcW w:w="715" w:type="pct"/>
                  <w:vAlign w:val="bottom"/>
                </w:tcPr>
                <w:p w:rsidR="00CF6B94" w:rsidRPr="004716FC" w:rsidRDefault="00CF6B94" w:rsidP="00CF6B94">
                  <w:pPr>
                    <w:pStyle w:val="TableBodyText"/>
                  </w:pPr>
                  <w:r w:rsidRPr="004716FC">
                    <w:t>0.50</w:t>
                  </w:r>
                </w:p>
              </w:tc>
              <w:tc>
                <w:tcPr>
                  <w:tcW w:w="714" w:type="pct"/>
                  <w:vAlign w:val="bottom"/>
                </w:tcPr>
                <w:p w:rsidR="00CF6B94" w:rsidRPr="004716FC" w:rsidRDefault="00CF6B94" w:rsidP="00CF6B94">
                  <w:pPr>
                    <w:pStyle w:val="TableBodyText"/>
                  </w:pPr>
                  <w:r w:rsidRPr="004716FC">
                    <w:t>6</w:t>
                  </w:r>
                </w:p>
              </w:tc>
              <w:tc>
                <w:tcPr>
                  <w:tcW w:w="714" w:type="pct"/>
                  <w:vAlign w:val="bottom"/>
                </w:tcPr>
                <w:p w:rsidR="00CF6B94" w:rsidRPr="004716FC" w:rsidRDefault="00CF6B94" w:rsidP="00CF6B94">
                  <w:pPr>
                    <w:pStyle w:val="TableBodyText"/>
                  </w:pPr>
                  <w:r w:rsidRPr="004716FC">
                    <w:t>24</w:t>
                  </w:r>
                </w:p>
              </w:tc>
            </w:tr>
            <w:tr w:rsidR="00CF6B94" w:rsidTr="00CF6B94">
              <w:tc>
                <w:tcPr>
                  <w:tcW w:w="713" w:type="pct"/>
                  <w:tcBorders>
                    <w:bottom w:val="single" w:sz="6" w:space="0" w:color="C8C8C8"/>
                  </w:tcBorders>
                  <w:shd w:val="clear" w:color="auto" w:fill="auto"/>
                </w:tcPr>
                <w:p w:rsidR="00CF6B94" w:rsidRPr="00E522C1" w:rsidRDefault="00CF6B94" w:rsidP="00CF6B94">
                  <w:pPr>
                    <w:pStyle w:val="TableBodyText"/>
                    <w:jc w:val="left"/>
                  </w:pPr>
                  <w:r>
                    <w:t>95</w:t>
                  </w:r>
                </w:p>
              </w:tc>
              <w:tc>
                <w:tcPr>
                  <w:tcW w:w="714" w:type="pct"/>
                  <w:tcBorders>
                    <w:bottom w:val="single" w:sz="6" w:space="0" w:color="C8C8C8"/>
                  </w:tcBorders>
                  <w:shd w:val="clear" w:color="auto" w:fill="auto"/>
                  <w:vAlign w:val="bottom"/>
                </w:tcPr>
                <w:p w:rsidR="00CF6B94" w:rsidRPr="004716FC" w:rsidRDefault="00CF6B94" w:rsidP="00CF6B94">
                  <w:pPr>
                    <w:pStyle w:val="TableBodyText"/>
                  </w:pPr>
                  <w:r w:rsidRPr="004716FC">
                    <w:t>0.90</w:t>
                  </w:r>
                </w:p>
              </w:tc>
              <w:tc>
                <w:tcPr>
                  <w:tcW w:w="715" w:type="pct"/>
                  <w:tcBorders>
                    <w:bottom w:val="single" w:sz="6" w:space="0" w:color="C8C8C8"/>
                  </w:tcBorders>
                  <w:vAlign w:val="bottom"/>
                </w:tcPr>
                <w:p w:rsidR="00CF6B94" w:rsidRPr="004716FC" w:rsidRDefault="00CF6B94" w:rsidP="00CF6B94">
                  <w:pPr>
                    <w:pStyle w:val="TableBodyText"/>
                  </w:pPr>
                  <w:r w:rsidRPr="004716FC">
                    <w:t>2.17</w:t>
                  </w:r>
                </w:p>
              </w:tc>
              <w:tc>
                <w:tcPr>
                  <w:tcW w:w="714" w:type="pct"/>
                  <w:tcBorders>
                    <w:bottom w:val="single" w:sz="6" w:space="0" w:color="C8C8C8"/>
                  </w:tcBorders>
                  <w:vAlign w:val="bottom"/>
                </w:tcPr>
                <w:p w:rsidR="00CF6B94" w:rsidRPr="004716FC" w:rsidRDefault="00CF6B94" w:rsidP="00CF6B94">
                  <w:pPr>
                    <w:pStyle w:val="TableBodyText"/>
                  </w:pPr>
                  <w:r w:rsidRPr="004716FC">
                    <w:t>-21.59</w:t>
                  </w:r>
                </w:p>
              </w:tc>
              <w:tc>
                <w:tcPr>
                  <w:tcW w:w="715" w:type="pct"/>
                  <w:tcBorders>
                    <w:bottom w:val="single" w:sz="6" w:space="0" w:color="C8C8C8"/>
                  </w:tcBorders>
                  <w:vAlign w:val="bottom"/>
                </w:tcPr>
                <w:p w:rsidR="00CF6B94" w:rsidRPr="004716FC" w:rsidRDefault="00CF6B94" w:rsidP="00CF6B94">
                  <w:pPr>
                    <w:pStyle w:val="TableBodyText"/>
                  </w:pPr>
                  <w:r w:rsidRPr="004716FC">
                    <w:t>0.54</w:t>
                  </w:r>
                </w:p>
              </w:tc>
              <w:tc>
                <w:tcPr>
                  <w:tcW w:w="714" w:type="pct"/>
                  <w:tcBorders>
                    <w:bottom w:val="single" w:sz="6" w:space="0" w:color="C8C8C8"/>
                  </w:tcBorders>
                  <w:vAlign w:val="bottom"/>
                </w:tcPr>
                <w:p w:rsidR="00CF6B94" w:rsidRPr="004716FC" w:rsidRDefault="00CF6B94" w:rsidP="00CF6B94">
                  <w:pPr>
                    <w:pStyle w:val="TableBodyText"/>
                  </w:pPr>
                  <w:r w:rsidRPr="004716FC">
                    <w:t>4</w:t>
                  </w:r>
                </w:p>
              </w:tc>
              <w:tc>
                <w:tcPr>
                  <w:tcW w:w="714" w:type="pct"/>
                  <w:tcBorders>
                    <w:bottom w:val="single" w:sz="6" w:space="0" w:color="C8C8C8"/>
                  </w:tcBorders>
                  <w:shd w:val="clear" w:color="auto" w:fill="auto"/>
                  <w:vAlign w:val="bottom"/>
                </w:tcPr>
                <w:p w:rsidR="00CF6B94" w:rsidRPr="004716FC" w:rsidRDefault="00CF6B94" w:rsidP="00CF6B94">
                  <w:pPr>
                    <w:pStyle w:val="TableBodyText"/>
                  </w:pPr>
                  <w:r w:rsidRPr="004716FC">
                    <w:t>26</w:t>
                  </w:r>
                </w:p>
              </w:tc>
            </w:tr>
          </w:tbl>
          <w:p w:rsidR="00CF6B94" w:rsidRDefault="00CF6B94" w:rsidP="00CF6B94">
            <w:pPr>
              <w:pStyle w:val="Box"/>
            </w:pPr>
          </w:p>
        </w:tc>
      </w:tr>
      <w:tr w:rsidR="00CF6B94" w:rsidRPr="00BD2E8E" w:rsidTr="00CF6B94">
        <w:trPr>
          <w:cantSplit/>
        </w:trPr>
        <w:tc>
          <w:tcPr>
            <w:tcW w:w="8771" w:type="dxa"/>
            <w:tcBorders>
              <w:top w:val="nil"/>
              <w:left w:val="nil"/>
              <w:bottom w:val="nil"/>
              <w:right w:val="nil"/>
            </w:tcBorders>
            <w:shd w:val="clear" w:color="auto" w:fill="auto"/>
          </w:tcPr>
          <w:p w:rsidR="00CF6B94" w:rsidRPr="00BD2E8E" w:rsidRDefault="00CF6B94" w:rsidP="00BD2E8E">
            <w:pPr>
              <w:pStyle w:val="Note"/>
            </w:pPr>
            <w:proofErr w:type="gramStart"/>
            <w:r w:rsidRPr="00BD2E8E">
              <w:rPr>
                <w:rStyle w:val="NoteLabel"/>
              </w:rPr>
              <w:t>a</w:t>
            </w:r>
            <w:proofErr w:type="gramEnd"/>
            <w:r w:rsidRPr="00BD2E8E">
              <w:t xml:space="preserve"> Results are shown for ECLS varying only the maximum scheduled subsidy rate (i.e. for households earning under $60 000), allowing the taper for households earning between 60 000 and $250 000 to vary to accommodate the change. All other policy settings remain unchanged. </w:t>
            </w:r>
            <w:proofErr w:type="gramStart"/>
            <w:r w:rsidRPr="00BD2E8E">
              <w:rPr>
                <w:rStyle w:val="NoteLabel"/>
              </w:rPr>
              <w:t>b</w:t>
            </w:r>
            <w:proofErr w:type="gramEnd"/>
            <w:r w:rsidRPr="00BD2E8E">
              <w:rPr>
                <w:rStyle w:val="NoteLabel"/>
                <w:b w:val="0"/>
                <w:position w:val="0"/>
              </w:rPr>
              <w:t xml:space="preserve"> </w:t>
            </w:r>
            <w:r w:rsidRPr="00BD2E8E">
              <w:t>The bold row is the recommended policy.</w:t>
            </w: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Source"/>
            </w:pPr>
            <w:r>
              <w:rPr>
                <w:i/>
              </w:rPr>
              <w:t>Source</w:t>
            </w:r>
            <w:r>
              <w:t>: PCMC model estimates.</w:t>
            </w:r>
          </w:p>
        </w:tc>
      </w:tr>
      <w:tr w:rsidR="00CF6B94" w:rsidTr="00CF6B94">
        <w:trPr>
          <w:cantSplit/>
        </w:trPr>
        <w:tc>
          <w:tcPr>
            <w:tcW w:w="8771" w:type="dxa"/>
            <w:tcBorders>
              <w:top w:val="nil"/>
              <w:left w:val="nil"/>
              <w:bottom w:val="single" w:sz="6" w:space="0" w:color="78A22F" w:themeColor="accent1"/>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themeColor="accent1"/>
              <w:left w:val="nil"/>
              <w:bottom w:val="nil"/>
              <w:right w:val="nil"/>
            </w:tcBorders>
          </w:tcPr>
          <w:p w:rsidR="00CF6B94" w:rsidRPr="00626D32" w:rsidRDefault="00CF6B94" w:rsidP="00CF6B94">
            <w:pPr>
              <w:pStyle w:val="BoxSpaceBelow"/>
            </w:pPr>
          </w:p>
        </w:tc>
      </w:tr>
    </w:tbl>
    <w:p w:rsidR="00CF6B94" w:rsidRDefault="00CF6B94" w:rsidP="00CF6B94">
      <w:pPr>
        <w:pStyle w:val="BodyText"/>
      </w:pPr>
      <w:r>
        <w:t>Increasing the maximum rate of assistance increases labour supply, childcare demand, and fiscal cost, and increases the number of low income households that have a higher estimated utility after the policy change. Childcare demand is most responsive, as is fiscal cost. Not only does increasing the lowest rate increase payments to the lowest income brackets, but it also increases payments to middle income households who now have assistance starting to taper from a higher starting point. This means increasing rates of assistance for a very large share of the population. As the maximum subsidy rate is increased to 95 per cent, almost all eligible low income households are not paying any out</w:t>
      </w:r>
      <w:r>
        <w:noBreakHyphen/>
        <w:t>of</w:t>
      </w:r>
      <w:r>
        <w:noBreakHyphen/>
        <w:t>pocket cost for childcare (since most pay below the benchmark price). The few remaining low</w:t>
      </w:r>
      <w:r>
        <w:noBreakHyphen/>
        <w:t>income households with lower utility after the policy change (4 per cent) are those who change their behaviour due to the activity test.</w:t>
      </w:r>
    </w:p>
    <w:p w:rsidR="00BD2E8E" w:rsidRDefault="00BD2E8E" w:rsidP="00BD2E8E">
      <w:pPr>
        <w:pStyle w:val="BodyText"/>
      </w:pPr>
      <w:r>
        <w:t xml:space="preserve">Increasing the minimum subsidy rate (and varying the taper rate to allow this, while keeping the top income threshold fixed at $250 000) increases childcare demand and fiscal cost, with small changes in labour supply (table 13). The majority of this response is driven by those in middle- and high-incomes (i.e. those earning between $60 000 and $250 000), not the highest income earners themselves (those earning over $250 000). This is because the shallower taper causes higher payments to those between the highest and lowest subsidy thresholds. The lack of responsiveness from the wealthiest households can be seen by comparing the results between scenarios where the taper is allowed to vary (table 13) to scenarios where the taper is held fixed and instead the top threshold is allowed to vary (table 14). </w:t>
      </w:r>
    </w:p>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themeColor="accent1"/>
              <w:left w:val="nil"/>
              <w:bottom w:val="nil"/>
              <w:right w:val="nil"/>
            </w:tcBorders>
            <w:shd w:val="clear" w:color="auto" w:fill="auto"/>
          </w:tcPr>
          <w:p w:rsidR="00CF6B94" w:rsidRPr="00784A05" w:rsidRDefault="00CF6B94" w:rsidP="00CF6B94">
            <w:pPr>
              <w:pStyle w:val="TableTitle"/>
            </w:pPr>
            <w:r>
              <w:rPr>
                <w:b w:val="0"/>
              </w:rPr>
              <w:t xml:space="preserve">Table </w:t>
            </w:r>
            <w:r>
              <w:rPr>
                <w:b w:val="0"/>
                <w:noProof/>
              </w:rPr>
              <w:t>13</w:t>
            </w:r>
            <w:r>
              <w:tab/>
            </w:r>
            <w:r w:rsidRPr="00B954E4">
              <w:t>Illustrative impacts o</w:t>
            </w:r>
            <w:r>
              <w:t>f varying the minimum scheduled subsidy rate, keeping the income thresholds fixed</w:t>
            </w:r>
            <w:r w:rsidRPr="007E57F0">
              <w:rPr>
                <w:rStyle w:val="NoteLabel"/>
              </w:rPr>
              <w:t>a</w:t>
            </w:r>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11"/>
              <w:gridCol w:w="1212"/>
              <w:gridCol w:w="1214"/>
              <w:gridCol w:w="1212"/>
              <w:gridCol w:w="1214"/>
              <w:gridCol w:w="1212"/>
              <w:gridCol w:w="1212"/>
            </w:tblGrid>
            <w:tr w:rsidR="00CF6B94" w:rsidTr="00BD2E8E">
              <w:tc>
                <w:tcPr>
                  <w:tcW w:w="713"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Pr="007E0D23" w:rsidRDefault="00CF6B94" w:rsidP="00BD2E8E">
                  <w:pPr>
                    <w:pStyle w:val="TableColumnHeading"/>
                    <w:jc w:val="left"/>
                  </w:pPr>
                  <w:r>
                    <w:t>Minimum rate (% of benchmark price)</w:t>
                  </w:r>
                </w:p>
              </w:tc>
              <w:tc>
                <w:tcPr>
                  <w:tcW w:w="714"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BD2E8E">
                  <w:pPr>
                    <w:pStyle w:val="TableColumnHeading"/>
                  </w:pPr>
                  <w:r>
                    <w:t xml:space="preserve">Change in labour supply </w:t>
                  </w:r>
                  <w:r>
                    <w:br/>
                    <w:t>(millions of hours per week)</w:t>
                  </w:r>
                </w:p>
              </w:tc>
              <w:tc>
                <w:tcPr>
                  <w:tcW w:w="715" w:type="pct"/>
                  <w:tcBorders>
                    <w:top w:val="single" w:sz="6" w:space="0" w:color="BFBFBF" w:themeColor="background2"/>
                    <w:bottom w:val="single" w:sz="6" w:space="0" w:color="BFBFBF" w:themeColor="background2"/>
                  </w:tcBorders>
                  <w:vAlign w:val="bottom"/>
                </w:tcPr>
                <w:p w:rsidR="00CF6B94" w:rsidRDefault="00CF6B94" w:rsidP="00BD2E8E">
                  <w:pPr>
                    <w:pStyle w:val="TableColumnHeading"/>
                  </w:pPr>
                  <w:r>
                    <w:t xml:space="preserve">Change in childcare demand </w:t>
                  </w:r>
                  <w:r>
                    <w:br/>
                    <w:t>(millions of hours per week)</w:t>
                  </w:r>
                </w:p>
              </w:tc>
              <w:tc>
                <w:tcPr>
                  <w:tcW w:w="714" w:type="pct"/>
                  <w:tcBorders>
                    <w:top w:val="single" w:sz="6" w:space="0" w:color="BFBFBF" w:themeColor="background2"/>
                    <w:bottom w:val="single" w:sz="6" w:space="0" w:color="BFBFBF" w:themeColor="background2"/>
                  </w:tcBorders>
                  <w:vAlign w:val="bottom"/>
                </w:tcPr>
                <w:p w:rsidR="00CF6B94" w:rsidRDefault="00CF6B94" w:rsidP="00BD2E8E">
                  <w:pPr>
                    <w:pStyle w:val="TableColumnHeading"/>
                  </w:pPr>
                  <w:r>
                    <w:t xml:space="preserve">Net fiscal position </w:t>
                  </w:r>
                  <w:r>
                    <w:br/>
                    <w:t>(millions of dollars per week)</w:t>
                  </w:r>
                </w:p>
              </w:tc>
              <w:tc>
                <w:tcPr>
                  <w:tcW w:w="715" w:type="pct"/>
                  <w:tcBorders>
                    <w:top w:val="single" w:sz="6" w:space="0" w:color="BFBFBF" w:themeColor="background2"/>
                    <w:bottom w:val="single" w:sz="6" w:space="0" w:color="BFBFBF" w:themeColor="background2"/>
                  </w:tcBorders>
                  <w:vAlign w:val="bottom"/>
                </w:tcPr>
                <w:p w:rsidR="00CF6B94" w:rsidRDefault="00CF6B94" w:rsidP="00BD2E8E">
                  <w:pPr>
                    <w:pStyle w:val="TableColumnHeading"/>
                  </w:pPr>
                  <w:r>
                    <w:t>Share of additional labour from households under $60 000</w:t>
                  </w:r>
                </w:p>
              </w:tc>
              <w:tc>
                <w:tcPr>
                  <w:tcW w:w="714" w:type="pct"/>
                  <w:tcBorders>
                    <w:top w:val="single" w:sz="6" w:space="0" w:color="BFBFBF" w:themeColor="background2"/>
                    <w:bottom w:val="single" w:sz="6" w:space="0" w:color="BFBFBF" w:themeColor="background2"/>
                  </w:tcBorders>
                  <w:vAlign w:val="bottom"/>
                </w:tcPr>
                <w:p w:rsidR="00CF6B94" w:rsidRDefault="00CF6B94" w:rsidP="00BD2E8E">
                  <w:pPr>
                    <w:pStyle w:val="TableColumnHeading"/>
                  </w:pPr>
                  <w:r>
                    <w:t>Per cent of households under $60 000 with lower utility</w:t>
                  </w:r>
                </w:p>
              </w:tc>
              <w:tc>
                <w:tcPr>
                  <w:tcW w:w="714"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BD2E8E">
                  <w:pPr>
                    <w:pStyle w:val="TableColumnHeading"/>
                  </w:pPr>
                  <w:r>
                    <w:t>Per cent of households under $60 000 with higher utility</w:t>
                  </w:r>
                </w:p>
              </w:tc>
            </w:tr>
            <w:tr w:rsidR="00CF6B94" w:rsidTr="00CF6B94">
              <w:tc>
                <w:tcPr>
                  <w:tcW w:w="713" w:type="pct"/>
                  <w:tcBorders>
                    <w:top w:val="single" w:sz="6" w:space="0" w:color="BFBFBF" w:themeColor="background2"/>
                  </w:tcBorders>
                </w:tcPr>
                <w:p w:rsidR="00CF6B94" w:rsidRPr="00E522C1" w:rsidRDefault="00CF6B94" w:rsidP="00CF6B94">
                  <w:pPr>
                    <w:pStyle w:val="TableBodyText"/>
                    <w:jc w:val="left"/>
                  </w:pPr>
                  <w:r>
                    <w:t xml:space="preserve">  0</w:t>
                  </w:r>
                </w:p>
              </w:tc>
              <w:tc>
                <w:tcPr>
                  <w:tcW w:w="714" w:type="pct"/>
                  <w:tcBorders>
                    <w:top w:val="single" w:sz="6" w:space="0" w:color="BFBFBF" w:themeColor="background2"/>
                  </w:tcBorders>
                  <w:vAlign w:val="bottom"/>
                </w:tcPr>
                <w:p w:rsidR="00CF6B94" w:rsidRPr="003B02D6" w:rsidRDefault="00CF6B94" w:rsidP="00CF6B94">
                  <w:pPr>
                    <w:pStyle w:val="TableBodyText"/>
                  </w:pPr>
                  <w:r w:rsidRPr="003B02D6">
                    <w:t>0.50</w:t>
                  </w:r>
                </w:p>
              </w:tc>
              <w:tc>
                <w:tcPr>
                  <w:tcW w:w="715" w:type="pct"/>
                  <w:tcBorders>
                    <w:top w:val="single" w:sz="6" w:space="0" w:color="BFBFBF" w:themeColor="background2"/>
                  </w:tcBorders>
                  <w:vAlign w:val="bottom"/>
                </w:tcPr>
                <w:p w:rsidR="00CF6B94" w:rsidRPr="003B02D6" w:rsidRDefault="00CF6B94" w:rsidP="00CF6B94">
                  <w:pPr>
                    <w:pStyle w:val="TableBodyText"/>
                  </w:pPr>
                  <w:r w:rsidRPr="003B02D6">
                    <w:t>-0.07</w:t>
                  </w:r>
                </w:p>
              </w:tc>
              <w:tc>
                <w:tcPr>
                  <w:tcW w:w="714" w:type="pct"/>
                  <w:tcBorders>
                    <w:top w:val="single" w:sz="6" w:space="0" w:color="BFBFBF" w:themeColor="background2"/>
                  </w:tcBorders>
                  <w:vAlign w:val="bottom"/>
                </w:tcPr>
                <w:p w:rsidR="00CF6B94" w:rsidRPr="003B02D6" w:rsidRDefault="00CF6B94" w:rsidP="00CF6B94">
                  <w:pPr>
                    <w:pStyle w:val="TableBodyText"/>
                  </w:pPr>
                  <w:r w:rsidRPr="003B02D6">
                    <w:t>8.64</w:t>
                  </w:r>
                </w:p>
              </w:tc>
              <w:tc>
                <w:tcPr>
                  <w:tcW w:w="715" w:type="pct"/>
                  <w:tcBorders>
                    <w:top w:val="single" w:sz="6" w:space="0" w:color="BFBFBF" w:themeColor="background2"/>
                  </w:tcBorders>
                  <w:vAlign w:val="bottom"/>
                </w:tcPr>
                <w:p w:rsidR="00CF6B94" w:rsidRPr="003B02D6" w:rsidRDefault="00CF6B94" w:rsidP="00CF6B94">
                  <w:pPr>
                    <w:pStyle w:val="TableBodyText"/>
                  </w:pPr>
                  <w:r w:rsidRPr="003B02D6">
                    <w:t>0.54</w:t>
                  </w:r>
                </w:p>
              </w:tc>
              <w:tc>
                <w:tcPr>
                  <w:tcW w:w="714" w:type="pct"/>
                  <w:tcBorders>
                    <w:top w:val="single" w:sz="6" w:space="0" w:color="BFBFBF" w:themeColor="background2"/>
                  </w:tcBorders>
                  <w:vAlign w:val="bottom"/>
                </w:tcPr>
                <w:p w:rsidR="00CF6B94" w:rsidRPr="003B02D6" w:rsidRDefault="00CF6B94" w:rsidP="00CF6B94">
                  <w:pPr>
                    <w:pStyle w:val="TableBodyText"/>
                  </w:pPr>
                  <w:r w:rsidRPr="003B02D6">
                    <w:t>10</w:t>
                  </w:r>
                </w:p>
              </w:tc>
              <w:tc>
                <w:tcPr>
                  <w:tcW w:w="714" w:type="pct"/>
                  <w:tcBorders>
                    <w:top w:val="single" w:sz="6" w:space="0" w:color="BFBFBF" w:themeColor="background2"/>
                  </w:tcBorders>
                  <w:vAlign w:val="bottom"/>
                </w:tcPr>
                <w:p w:rsidR="00CF6B94" w:rsidRPr="003B02D6" w:rsidRDefault="00CF6B94" w:rsidP="00CF6B94">
                  <w:pPr>
                    <w:pStyle w:val="TableBodyText"/>
                  </w:pPr>
                  <w:r w:rsidRPr="003B02D6">
                    <w:t>19</w:t>
                  </w:r>
                </w:p>
              </w:tc>
            </w:tr>
            <w:tr w:rsidR="00CF6B94" w:rsidTr="00CF6B94">
              <w:tc>
                <w:tcPr>
                  <w:tcW w:w="713" w:type="pct"/>
                  <w:vAlign w:val="bottom"/>
                </w:tcPr>
                <w:p w:rsidR="00CF6B94" w:rsidRPr="003B02D6" w:rsidRDefault="00CF6B94" w:rsidP="00CF6B94">
                  <w:pPr>
                    <w:pStyle w:val="TableBodyText"/>
                    <w:jc w:val="left"/>
                  </w:pPr>
                  <w:r w:rsidRPr="003B02D6">
                    <w:t>10</w:t>
                  </w:r>
                </w:p>
              </w:tc>
              <w:tc>
                <w:tcPr>
                  <w:tcW w:w="714" w:type="pct"/>
                  <w:vAlign w:val="bottom"/>
                </w:tcPr>
                <w:p w:rsidR="00CF6B94" w:rsidRPr="003B02D6" w:rsidRDefault="00CF6B94" w:rsidP="00CF6B94">
                  <w:pPr>
                    <w:pStyle w:val="TableBodyText"/>
                  </w:pPr>
                  <w:r w:rsidRPr="003B02D6">
                    <w:t>0.57</w:t>
                  </w:r>
                </w:p>
              </w:tc>
              <w:tc>
                <w:tcPr>
                  <w:tcW w:w="715" w:type="pct"/>
                  <w:vAlign w:val="bottom"/>
                </w:tcPr>
                <w:p w:rsidR="00CF6B94" w:rsidRPr="003B02D6" w:rsidRDefault="00CF6B94" w:rsidP="00CF6B94">
                  <w:pPr>
                    <w:pStyle w:val="TableBodyText"/>
                  </w:pPr>
                  <w:r w:rsidRPr="003B02D6">
                    <w:t>0.26</w:t>
                  </w:r>
                </w:p>
              </w:tc>
              <w:tc>
                <w:tcPr>
                  <w:tcW w:w="714" w:type="pct"/>
                  <w:vAlign w:val="bottom"/>
                </w:tcPr>
                <w:p w:rsidR="00CF6B94" w:rsidRPr="003B02D6" w:rsidRDefault="00CF6B94" w:rsidP="00CF6B94">
                  <w:pPr>
                    <w:pStyle w:val="TableBodyText"/>
                  </w:pPr>
                  <w:r w:rsidRPr="003B02D6">
                    <w:t>4.07</w:t>
                  </w:r>
                </w:p>
              </w:tc>
              <w:tc>
                <w:tcPr>
                  <w:tcW w:w="715" w:type="pct"/>
                  <w:vAlign w:val="bottom"/>
                </w:tcPr>
                <w:p w:rsidR="00CF6B94" w:rsidRPr="003B02D6" w:rsidRDefault="00CF6B94" w:rsidP="00CF6B94">
                  <w:pPr>
                    <w:pStyle w:val="TableBodyText"/>
                  </w:pPr>
                  <w:r w:rsidRPr="003B02D6">
                    <w:t>0.48</w:t>
                  </w:r>
                </w:p>
              </w:tc>
              <w:tc>
                <w:tcPr>
                  <w:tcW w:w="714" w:type="pct"/>
                  <w:vAlign w:val="bottom"/>
                </w:tcPr>
                <w:p w:rsidR="00CF6B94" w:rsidRPr="003B02D6" w:rsidRDefault="00CF6B94" w:rsidP="00CF6B94">
                  <w:pPr>
                    <w:pStyle w:val="TableBodyText"/>
                  </w:pPr>
                  <w:r w:rsidRPr="003B02D6">
                    <w:t>10</w:t>
                  </w:r>
                </w:p>
              </w:tc>
              <w:tc>
                <w:tcPr>
                  <w:tcW w:w="714" w:type="pct"/>
                  <w:vAlign w:val="bottom"/>
                </w:tcPr>
                <w:p w:rsidR="00CF6B94" w:rsidRPr="003B02D6" w:rsidRDefault="00CF6B94" w:rsidP="00CF6B94">
                  <w:pPr>
                    <w:pStyle w:val="TableBodyText"/>
                  </w:pPr>
                  <w:r w:rsidRPr="003B02D6">
                    <w:t>19</w:t>
                  </w:r>
                </w:p>
              </w:tc>
            </w:tr>
            <w:tr w:rsidR="00CF6B94" w:rsidTr="00CF6B94">
              <w:tc>
                <w:tcPr>
                  <w:tcW w:w="713" w:type="pct"/>
                  <w:vAlign w:val="bottom"/>
                </w:tcPr>
                <w:p w:rsidR="00CF6B94" w:rsidRPr="00537F81" w:rsidRDefault="00CF6B94" w:rsidP="00CF6B94">
                  <w:pPr>
                    <w:pStyle w:val="TableBodyText"/>
                    <w:jc w:val="left"/>
                    <w:rPr>
                      <w:b/>
                    </w:rPr>
                  </w:pPr>
                  <w:r w:rsidRPr="00537F81">
                    <w:rPr>
                      <w:b/>
                    </w:rPr>
                    <w:t>20</w:t>
                  </w:r>
                  <w:r>
                    <w:rPr>
                      <w:rStyle w:val="NoteLabel"/>
                    </w:rPr>
                    <w:t>b</w:t>
                  </w:r>
                </w:p>
              </w:tc>
              <w:tc>
                <w:tcPr>
                  <w:tcW w:w="714" w:type="pct"/>
                  <w:vAlign w:val="bottom"/>
                </w:tcPr>
                <w:p w:rsidR="00CF6B94" w:rsidRPr="00537F81" w:rsidRDefault="00CF6B94" w:rsidP="00CF6B94">
                  <w:pPr>
                    <w:pStyle w:val="TableBodyText"/>
                    <w:rPr>
                      <w:b/>
                    </w:rPr>
                  </w:pPr>
                  <w:r w:rsidRPr="00537F81">
                    <w:rPr>
                      <w:b/>
                    </w:rPr>
                    <w:t>0.62</w:t>
                  </w:r>
                </w:p>
              </w:tc>
              <w:tc>
                <w:tcPr>
                  <w:tcW w:w="715" w:type="pct"/>
                  <w:vAlign w:val="bottom"/>
                </w:tcPr>
                <w:p w:rsidR="00CF6B94" w:rsidRPr="00537F81" w:rsidRDefault="00CF6B94" w:rsidP="00CF6B94">
                  <w:pPr>
                    <w:pStyle w:val="TableBodyText"/>
                    <w:rPr>
                      <w:b/>
                    </w:rPr>
                  </w:pPr>
                  <w:r w:rsidRPr="00537F81">
                    <w:rPr>
                      <w:b/>
                    </w:rPr>
                    <w:t>0.67</w:t>
                  </w:r>
                </w:p>
              </w:tc>
              <w:tc>
                <w:tcPr>
                  <w:tcW w:w="714" w:type="pct"/>
                  <w:vAlign w:val="bottom"/>
                </w:tcPr>
                <w:p w:rsidR="00CF6B94" w:rsidRPr="00537F81" w:rsidRDefault="00CF6B94" w:rsidP="00CF6B94">
                  <w:pPr>
                    <w:pStyle w:val="TableBodyText"/>
                    <w:rPr>
                      <w:b/>
                    </w:rPr>
                  </w:pPr>
                  <w:r w:rsidRPr="00537F81">
                    <w:rPr>
                      <w:b/>
                    </w:rPr>
                    <w:t>-1.30</w:t>
                  </w:r>
                </w:p>
              </w:tc>
              <w:tc>
                <w:tcPr>
                  <w:tcW w:w="715" w:type="pct"/>
                  <w:vAlign w:val="bottom"/>
                </w:tcPr>
                <w:p w:rsidR="00CF6B94" w:rsidRPr="00537F81" w:rsidRDefault="00CF6B94" w:rsidP="00CF6B94">
                  <w:pPr>
                    <w:pStyle w:val="TableBodyText"/>
                    <w:rPr>
                      <w:b/>
                    </w:rPr>
                  </w:pPr>
                  <w:r w:rsidRPr="00537F81">
                    <w:rPr>
                      <w:b/>
                    </w:rPr>
                    <w:t>0.45</w:t>
                  </w:r>
                </w:p>
              </w:tc>
              <w:tc>
                <w:tcPr>
                  <w:tcW w:w="714" w:type="pct"/>
                  <w:vAlign w:val="bottom"/>
                </w:tcPr>
                <w:p w:rsidR="00CF6B94" w:rsidRPr="00537F81" w:rsidRDefault="00CF6B94" w:rsidP="00CF6B94">
                  <w:pPr>
                    <w:pStyle w:val="TableBodyText"/>
                    <w:rPr>
                      <w:b/>
                    </w:rPr>
                  </w:pPr>
                  <w:r w:rsidRPr="00537F81">
                    <w:rPr>
                      <w:b/>
                    </w:rPr>
                    <w:t>10</w:t>
                  </w:r>
                </w:p>
              </w:tc>
              <w:tc>
                <w:tcPr>
                  <w:tcW w:w="714" w:type="pct"/>
                  <w:vAlign w:val="bottom"/>
                </w:tcPr>
                <w:p w:rsidR="00CF6B94" w:rsidRPr="00537F81" w:rsidRDefault="00CF6B94" w:rsidP="00CF6B94">
                  <w:pPr>
                    <w:pStyle w:val="TableBodyText"/>
                    <w:rPr>
                      <w:b/>
                    </w:rPr>
                  </w:pPr>
                  <w:r w:rsidRPr="00537F81">
                    <w:rPr>
                      <w:b/>
                    </w:rPr>
                    <w:t>19</w:t>
                  </w:r>
                </w:p>
              </w:tc>
            </w:tr>
            <w:tr w:rsidR="00CF6B94" w:rsidTr="00CF6B94">
              <w:tc>
                <w:tcPr>
                  <w:tcW w:w="713" w:type="pct"/>
                  <w:tcBorders>
                    <w:bottom w:val="single" w:sz="6" w:space="0" w:color="C8C8C8"/>
                  </w:tcBorders>
                  <w:shd w:val="clear" w:color="auto" w:fill="auto"/>
                  <w:vAlign w:val="bottom"/>
                </w:tcPr>
                <w:p w:rsidR="00CF6B94" w:rsidRPr="003B02D6" w:rsidRDefault="00CF6B94" w:rsidP="00CF6B94">
                  <w:pPr>
                    <w:pStyle w:val="TableBodyText"/>
                    <w:jc w:val="left"/>
                  </w:pPr>
                  <w:r w:rsidRPr="003B02D6">
                    <w:t>30</w:t>
                  </w:r>
                </w:p>
              </w:tc>
              <w:tc>
                <w:tcPr>
                  <w:tcW w:w="714" w:type="pct"/>
                  <w:tcBorders>
                    <w:bottom w:val="single" w:sz="6" w:space="0" w:color="C8C8C8"/>
                  </w:tcBorders>
                  <w:shd w:val="clear" w:color="auto" w:fill="auto"/>
                  <w:vAlign w:val="bottom"/>
                </w:tcPr>
                <w:p w:rsidR="00CF6B94" w:rsidRPr="003B02D6" w:rsidRDefault="00CF6B94" w:rsidP="00CF6B94">
                  <w:pPr>
                    <w:pStyle w:val="TableBodyText"/>
                  </w:pPr>
                  <w:r w:rsidRPr="003B02D6">
                    <w:t>0.79</w:t>
                  </w:r>
                </w:p>
              </w:tc>
              <w:tc>
                <w:tcPr>
                  <w:tcW w:w="715" w:type="pct"/>
                  <w:tcBorders>
                    <w:bottom w:val="single" w:sz="6" w:space="0" w:color="C8C8C8"/>
                  </w:tcBorders>
                  <w:vAlign w:val="bottom"/>
                </w:tcPr>
                <w:p w:rsidR="00CF6B94" w:rsidRPr="003B02D6" w:rsidRDefault="00CF6B94" w:rsidP="00CF6B94">
                  <w:pPr>
                    <w:pStyle w:val="TableBodyText"/>
                  </w:pPr>
                  <w:r w:rsidRPr="003B02D6">
                    <w:t>1.13</w:t>
                  </w:r>
                </w:p>
              </w:tc>
              <w:tc>
                <w:tcPr>
                  <w:tcW w:w="714" w:type="pct"/>
                  <w:tcBorders>
                    <w:bottom w:val="single" w:sz="6" w:space="0" w:color="C8C8C8"/>
                  </w:tcBorders>
                  <w:vAlign w:val="bottom"/>
                </w:tcPr>
                <w:p w:rsidR="00CF6B94" w:rsidRPr="003B02D6" w:rsidRDefault="00CF6B94" w:rsidP="00CF6B94">
                  <w:pPr>
                    <w:pStyle w:val="TableBodyText"/>
                  </w:pPr>
                  <w:r w:rsidRPr="003B02D6">
                    <w:t>-4.85</w:t>
                  </w:r>
                </w:p>
              </w:tc>
              <w:tc>
                <w:tcPr>
                  <w:tcW w:w="715" w:type="pct"/>
                  <w:tcBorders>
                    <w:bottom w:val="single" w:sz="6" w:space="0" w:color="C8C8C8"/>
                  </w:tcBorders>
                  <w:vAlign w:val="bottom"/>
                </w:tcPr>
                <w:p w:rsidR="00CF6B94" w:rsidRPr="003B02D6" w:rsidRDefault="00CF6B94" w:rsidP="00CF6B94">
                  <w:pPr>
                    <w:pStyle w:val="TableBodyText"/>
                  </w:pPr>
                  <w:r w:rsidRPr="003B02D6">
                    <w:t>0.42</w:t>
                  </w:r>
                </w:p>
              </w:tc>
              <w:tc>
                <w:tcPr>
                  <w:tcW w:w="714" w:type="pct"/>
                  <w:tcBorders>
                    <w:bottom w:val="single" w:sz="6" w:space="0" w:color="C8C8C8"/>
                  </w:tcBorders>
                  <w:vAlign w:val="bottom"/>
                </w:tcPr>
                <w:p w:rsidR="00CF6B94" w:rsidRPr="003B02D6" w:rsidRDefault="00CF6B94" w:rsidP="00CF6B94">
                  <w:pPr>
                    <w:pStyle w:val="TableBodyText"/>
                  </w:pPr>
                  <w:r w:rsidRPr="003B02D6">
                    <w:t>10</w:t>
                  </w:r>
                </w:p>
              </w:tc>
              <w:tc>
                <w:tcPr>
                  <w:tcW w:w="714" w:type="pct"/>
                  <w:tcBorders>
                    <w:bottom w:val="single" w:sz="6" w:space="0" w:color="C8C8C8"/>
                  </w:tcBorders>
                  <w:shd w:val="clear" w:color="auto" w:fill="auto"/>
                  <w:vAlign w:val="bottom"/>
                </w:tcPr>
                <w:p w:rsidR="00CF6B94" w:rsidRPr="003B02D6" w:rsidRDefault="00CF6B94" w:rsidP="00CF6B94">
                  <w:pPr>
                    <w:pStyle w:val="TableBodyText"/>
                  </w:pPr>
                  <w:r w:rsidRPr="003B02D6">
                    <w:t>19</w:t>
                  </w:r>
                </w:p>
              </w:tc>
            </w:tr>
          </w:tbl>
          <w:p w:rsidR="00CF6B94" w:rsidRDefault="00CF6B94" w:rsidP="00CF6B94">
            <w:pPr>
              <w:pStyle w:val="Box"/>
            </w:pP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Note"/>
              <w:rPr>
                <w:i/>
              </w:rPr>
            </w:pPr>
            <w:proofErr w:type="gramStart"/>
            <w:r>
              <w:rPr>
                <w:rStyle w:val="NoteLabel"/>
              </w:rPr>
              <w:t>a</w:t>
            </w:r>
            <w:proofErr w:type="gramEnd"/>
            <w:r>
              <w:t xml:space="preserve"> Results are shown for ECLS varying the minimum scheduled subsidy rate while holding the top income threshold fixed (i.e. for households earning over $250 000), allowing the taper for households earning between 60 000 and $250 000 to vary to accommodate the change. All other policy settings remain unchanged. </w:t>
            </w:r>
            <w:proofErr w:type="gramStart"/>
            <w:r>
              <w:rPr>
                <w:rStyle w:val="NoteLabel"/>
              </w:rPr>
              <w:t>b</w:t>
            </w:r>
            <w:proofErr w:type="gramEnd"/>
            <w:r>
              <w:rPr>
                <w:rStyle w:val="NoteLabel"/>
              </w:rPr>
              <w:t xml:space="preserve"> </w:t>
            </w:r>
            <w:r>
              <w:t>The bold row is the recommended policy.</w:t>
            </w: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Source"/>
            </w:pPr>
            <w:r>
              <w:rPr>
                <w:i/>
              </w:rPr>
              <w:t>Source</w:t>
            </w:r>
            <w:r>
              <w:t>: PCMC model estimates.</w:t>
            </w:r>
          </w:p>
        </w:tc>
      </w:tr>
      <w:tr w:rsidR="00CF6B94" w:rsidTr="00CF6B94">
        <w:trPr>
          <w:cantSplit/>
        </w:trPr>
        <w:tc>
          <w:tcPr>
            <w:tcW w:w="8771" w:type="dxa"/>
            <w:tcBorders>
              <w:top w:val="nil"/>
              <w:left w:val="nil"/>
              <w:bottom w:val="single" w:sz="6" w:space="0" w:color="78A22F" w:themeColor="accent1"/>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themeColor="accent1"/>
              <w:left w:val="nil"/>
              <w:bottom w:val="nil"/>
              <w:right w:val="nil"/>
            </w:tcBorders>
          </w:tcPr>
          <w:p w:rsidR="00CF6B94" w:rsidRPr="00626D32" w:rsidRDefault="00CF6B94" w:rsidP="00CF6B94">
            <w:pPr>
              <w:pStyle w:val="BoxSpaceBelow"/>
            </w:pPr>
          </w:p>
        </w:tc>
      </w:tr>
    </w:tbl>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themeColor="accent1"/>
              <w:left w:val="nil"/>
              <w:bottom w:val="nil"/>
              <w:right w:val="nil"/>
            </w:tcBorders>
            <w:shd w:val="clear" w:color="auto" w:fill="auto"/>
          </w:tcPr>
          <w:p w:rsidR="00CF6B94" w:rsidRPr="00784A05" w:rsidRDefault="00CF6B94" w:rsidP="00CF6B94">
            <w:pPr>
              <w:pStyle w:val="TableTitle"/>
            </w:pPr>
            <w:r>
              <w:rPr>
                <w:b w:val="0"/>
              </w:rPr>
              <w:t xml:space="preserve">Table </w:t>
            </w:r>
            <w:r>
              <w:rPr>
                <w:b w:val="0"/>
                <w:noProof/>
              </w:rPr>
              <w:t>14</w:t>
            </w:r>
            <w:r>
              <w:tab/>
            </w:r>
            <w:r w:rsidRPr="00B954E4">
              <w:t>Illustrative impacts o</w:t>
            </w:r>
            <w:r>
              <w:t>f varying the minimum scheduled subsidy rate, keeping the taper rate fixed</w:t>
            </w:r>
            <w:r w:rsidRPr="007E57F0">
              <w:rPr>
                <w:rStyle w:val="NoteLabel"/>
              </w:rPr>
              <w:t>a</w:t>
            </w:r>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11"/>
              <w:gridCol w:w="1212"/>
              <w:gridCol w:w="1214"/>
              <w:gridCol w:w="1212"/>
              <w:gridCol w:w="1214"/>
              <w:gridCol w:w="1212"/>
              <w:gridCol w:w="1212"/>
            </w:tblGrid>
            <w:tr w:rsidR="00CF6B94" w:rsidTr="00BD2E8E">
              <w:tc>
                <w:tcPr>
                  <w:tcW w:w="713"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Pr="007E0D23" w:rsidRDefault="00CF6B94" w:rsidP="00BD2E8E">
                  <w:pPr>
                    <w:pStyle w:val="TableColumnHeading"/>
                    <w:jc w:val="left"/>
                  </w:pPr>
                  <w:r>
                    <w:t>Minimum rate (% of the benchmark price)</w:t>
                  </w:r>
                </w:p>
              </w:tc>
              <w:tc>
                <w:tcPr>
                  <w:tcW w:w="714"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BD2E8E">
                  <w:pPr>
                    <w:pStyle w:val="TableColumnHeading"/>
                  </w:pPr>
                  <w:r>
                    <w:t xml:space="preserve">Change in labour supply </w:t>
                  </w:r>
                  <w:r>
                    <w:br/>
                    <w:t>(millions of hours per week)</w:t>
                  </w:r>
                </w:p>
              </w:tc>
              <w:tc>
                <w:tcPr>
                  <w:tcW w:w="715" w:type="pct"/>
                  <w:tcBorders>
                    <w:top w:val="single" w:sz="6" w:space="0" w:color="BFBFBF" w:themeColor="background2"/>
                    <w:bottom w:val="single" w:sz="6" w:space="0" w:color="BFBFBF" w:themeColor="background2"/>
                  </w:tcBorders>
                  <w:vAlign w:val="bottom"/>
                </w:tcPr>
                <w:p w:rsidR="00CF6B94" w:rsidRDefault="00CF6B94" w:rsidP="00BD2E8E">
                  <w:pPr>
                    <w:pStyle w:val="TableColumnHeading"/>
                  </w:pPr>
                  <w:r>
                    <w:t xml:space="preserve">Change in childcare demand </w:t>
                  </w:r>
                  <w:r>
                    <w:br/>
                    <w:t>(millions of hours per week)</w:t>
                  </w:r>
                </w:p>
              </w:tc>
              <w:tc>
                <w:tcPr>
                  <w:tcW w:w="714" w:type="pct"/>
                  <w:tcBorders>
                    <w:top w:val="single" w:sz="6" w:space="0" w:color="BFBFBF" w:themeColor="background2"/>
                    <w:bottom w:val="single" w:sz="6" w:space="0" w:color="BFBFBF" w:themeColor="background2"/>
                  </w:tcBorders>
                  <w:vAlign w:val="bottom"/>
                </w:tcPr>
                <w:p w:rsidR="00CF6B94" w:rsidRDefault="00CF6B94" w:rsidP="00BD2E8E">
                  <w:pPr>
                    <w:pStyle w:val="TableColumnHeading"/>
                  </w:pPr>
                  <w:r>
                    <w:t xml:space="preserve">Net fiscal position </w:t>
                  </w:r>
                  <w:r>
                    <w:br/>
                    <w:t>(millions of dollars per week)</w:t>
                  </w:r>
                </w:p>
              </w:tc>
              <w:tc>
                <w:tcPr>
                  <w:tcW w:w="715" w:type="pct"/>
                  <w:tcBorders>
                    <w:top w:val="single" w:sz="6" w:space="0" w:color="BFBFBF" w:themeColor="background2"/>
                    <w:bottom w:val="single" w:sz="6" w:space="0" w:color="BFBFBF" w:themeColor="background2"/>
                  </w:tcBorders>
                  <w:vAlign w:val="bottom"/>
                </w:tcPr>
                <w:p w:rsidR="00CF6B94" w:rsidRDefault="00CF6B94" w:rsidP="00BD2E8E">
                  <w:pPr>
                    <w:pStyle w:val="TableColumnHeading"/>
                  </w:pPr>
                  <w:r>
                    <w:t>Share of additional labour from households under $60 000</w:t>
                  </w:r>
                </w:p>
              </w:tc>
              <w:tc>
                <w:tcPr>
                  <w:tcW w:w="714" w:type="pct"/>
                  <w:tcBorders>
                    <w:top w:val="single" w:sz="6" w:space="0" w:color="BFBFBF" w:themeColor="background2"/>
                    <w:bottom w:val="single" w:sz="6" w:space="0" w:color="BFBFBF" w:themeColor="background2"/>
                  </w:tcBorders>
                  <w:vAlign w:val="bottom"/>
                </w:tcPr>
                <w:p w:rsidR="00CF6B94" w:rsidRDefault="00CF6B94" w:rsidP="00BD2E8E">
                  <w:pPr>
                    <w:pStyle w:val="TableColumnHeading"/>
                  </w:pPr>
                  <w:r>
                    <w:t>Per cent of households under $60 000 with lower utility</w:t>
                  </w:r>
                </w:p>
              </w:tc>
              <w:tc>
                <w:tcPr>
                  <w:tcW w:w="714" w:type="pct"/>
                  <w:tcBorders>
                    <w:top w:val="single" w:sz="6" w:space="0" w:color="BFBFBF" w:themeColor="background2"/>
                    <w:bottom w:val="single" w:sz="6" w:space="0" w:color="BFBFBF" w:themeColor="background2"/>
                  </w:tcBorders>
                  <w:shd w:val="clear" w:color="auto" w:fill="auto"/>
                  <w:tcMar>
                    <w:top w:w="28" w:type="dxa"/>
                  </w:tcMar>
                  <w:vAlign w:val="bottom"/>
                </w:tcPr>
                <w:p w:rsidR="00CF6B94" w:rsidRDefault="00CF6B94" w:rsidP="00BD2E8E">
                  <w:pPr>
                    <w:pStyle w:val="TableColumnHeading"/>
                  </w:pPr>
                  <w:r>
                    <w:t>Per cent of households under $60 000 with higher utility</w:t>
                  </w:r>
                </w:p>
              </w:tc>
            </w:tr>
            <w:tr w:rsidR="00CF6B94" w:rsidTr="00CF6B94">
              <w:tc>
                <w:tcPr>
                  <w:tcW w:w="713" w:type="pct"/>
                  <w:tcBorders>
                    <w:top w:val="single" w:sz="6" w:space="0" w:color="BFBFBF" w:themeColor="background2"/>
                  </w:tcBorders>
                </w:tcPr>
                <w:p w:rsidR="00CF6B94" w:rsidRPr="00E522C1" w:rsidRDefault="00CF6B94" w:rsidP="00CF6B94">
                  <w:pPr>
                    <w:pStyle w:val="TableBodyText"/>
                    <w:jc w:val="left"/>
                  </w:pPr>
                  <w:r>
                    <w:t xml:space="preserve">  0</w:t>
                  </w:r>
                </w:p>
              </w:tc>
              <w:tc>
                <w:tcPr>
                  <w:tcW w:w="714" w:type="pct"/>
                  <w:tcBorders>
                    <w:top w:val="single" w:sz="6" w:space="0" w:color="BFBFBF" w:themeColor="background2"/>
                  </w:tcBorders>
                  <w:vAlign w:val="bottom"/>
                </w:tcPr>
                <w:p w:rsidR="00CF6B94" w:rsidRPr="006A2999" w:rsidRDefault="00CF6B94" w:rsidP="00CF6B94">
                  <w:pPr>
                    <w:pStyle w:val="TableBodyText"/>
                  </w:pPr>
                  <w:r w:rsidRPr="006A2999">
                    <w:t>0.62</w:t>
                  </w:r>
                </w:p>
              </w:tc>
              <w:tc>
                <w:tcPr>
                  <w:tcW w:w="715" w:type="pct"/>
                  <w:tcBorders>
                    <w:top w:val="single" w:sz="6" w:space="0" w:color="BFBFBF" w:themeColor="background2"/>
                  </w:tcBorders>
                  <w:vAlign w:val="bottom"/>
                </w:tcPr>
                <w:p w:rsidR="00CF6B94" w:rsidRPr="006A2999" w:rsidRDefault="00CF6B94" w:rsidP="00CF6B94">
                  <w:pPr>
                    <w:pStyle w:val="TableBodyText"/>
                  </w:pPr>
                  <w:r w:rsidRPr="006A2999">
                    <w:t>0.65</w:t>
                  </w:r>
                </w:p>
              </w:tc>
              <w:tc>
                <w:tcPr>
                  <w:tcW w:w="714" w:type="pct"/>
                  <w:tcBorders>
                    <w:top w:val="single" w:sz="6" w:space="0" w:color="BFBFBF" w:themeColor="background2"/>
                  </w:tcBorders>
                  <w:vAlign w:val="bottom"/>
                </w:tcPr>
                <w:p w:rsidR="00CF6B94" w:rsidRPr="006A2999" w:rsidRDefault="00CF6B94" w:rsidP="00CF6B94">
                  <w:pPr>
                    <w:pStyle w:val="TableBodyText"/>
                  </w:pPr>
                  <w:r w:rsidRPr="006A2999">
                    <w:t>-0.95</w:t>
                  </w:r>
                </w:p>
              </w:tc>
              <w:tc>
                <w:tcPr>
                  <w:tcW w:w="715" w:type="pct"/>
                  <w:tcBorders>
                    <w:top w:val="single" w:sz="6" w:space="0" w:color="BFBFBF" w:themeColor="background2"/>
                  </w:tcBorders>
                  <w:vAlign w:val="bottom"/>
                </w:tcPr>
                <w:p w:rsidR="00CF6B94" w:rsidRPr="006A2999" w:rsidRDefault="00CF6B94" w:rsidP="00CF6B94">
                  <w:pPr>
                    <w:pStyle w:val="TableBodyText"/>
                  </w:pPr>
                  <w:r w:rsidRPr="006A2999">
                    <w:t>0.4</w:t>
                  </w:r>
                  <w:r>
                    <w:t>5</w:t>
                  </w:r>
                </w:p>
              </w:tc>
              <w:tc>
                <w:tcPr>
                  <w:tcW w:w="714" w:type="pct"/>
                  <w:tcBorders>
                    <w:top w:val="single" w:sz="6" w:space="0" w:color="BFBFBF" w:themeColor="background2"/>
                  </w:tcBorders>
                  <w:vAlign w:val="bottom"/>
                </w:tcPr>
                <w:p w:rsidR="00CF6B94" w:rsidRPr="006A2999" w:rsidRDefault="00CF6B94" w:rsidP="00CF6B94">
                  <w:pPr>
                    <w:pStyle w:val="TableBodyText"/>
                  </w:pPr>
                  <w:r w:rsidRPr="006A2999">
                    <w:t>10</w:t>
                  </w:r>
                </w:p>
              </w:tc>
              <w:tc>
                <w:tcPr>
                  <w:tcW w:w="714" w:type="pct"/>
                  <w:tcBorders>
                    <w:top w:val="single" w:sz="6" w:space="0" w:color="BFBFBF" w:themeColor="background2"/>
                  </w:tcBorders>
                  <w:vAlign w:val="bottom"/>
                </w:tcPr>
                <w:p w:rsidR="00CF6B94" w:rsidRPr="006A2999" w:rsidRDefault="00CF6B94" w:rsidP="00CF6B94">
                  <w:pPr>
                    <w:pStyle w:val="TableBodyText"/>
                  </w:pPr>
                  <w:r w:rsidRPr="006A2999">
                    <w:t>19</w:t>
                  </w:r>
                </w:p>
              </w:tc>
            </w:tr>
            <w:tr w:rsidR="00CF6B94" w:rsidTr="00CF6B94">
              <w:tc>
                <w:tcPr>
                  <w:tcW w:w="713" w:type="pct"/>
                  <w:vAlign w:val="bottom"/>
                </w:tcPr>
                <w:p w:rsidR="00CF6B94" w:rsidRPr="003B02D6" w:rsidRDefault="00CF6B94" w:rsidP="00CF6B94">
                  <w:pPr>
                    <w:pStyle w:val="TableBodyText"/>
                    <w:jc w:val="left"/>
                  </w:pPr>
                  <w:r w:rsidRPr="003B02D6">
                    <w:t>10</w:t>
                  </w:r>
                </w:p>
              </w:tc>
              <w:tc>
                <w:tcPr>
                  <w:tcW w:w="714" w:type="pct"/>
                  <w:vAlign w:val="bottom"/>
                </w:tcPr>
                <w:p w:rsidR="00CF6B94" w:rsidRPr="006A2999" w:rsidRDefault="00CF6B94" w:rsidP="00CF6B94">
                  <w:pPr>
                    <w:pStyle w:val="TableBodyText"/>
                  </w:pPr>
                  <w:r w:rsidRPr="006A2999">
                    <w:t>0.62</w:t>
                  </w:r>
                </w:p>
              </w:tc>
              <w:tc>
                <w:tcPr>
                  <w:tcW w:w="715" w:type="pct"/>
                  <w:vAlign w:val="bottom"/>
                </w:tcPr>
                <w:p w:rsidR="00CF6B94" w:rsidRPr="006A2999" w:rsidRDefault="00CF6B94" w:rsidP="00CF6B94">
                  <w:pPr>
                    <w:pStyle w:val="TableBodyText"/>
                  </w:pPr>
                  <w:r w:rsidRPr="006A2999">
                    <w:t>0.67</w:t>
                  </w:r>
                </w:p>
              </w:tc>
              <w:tc>
                <w:tcPr>
                  <w:tcW w:w="714" w:type="pct"/>
                  <w:vAlign w:val="bottom"/>
                </w:tcPr>
                <w:p w:rsidR="00CF6B94" w:rsidRPr="006A2999" w:rsidRDefault="00CF6B94" w:rsidP="00CF6B94">
                  <w:pPr>
                    <w:pStyle w:val="TableBodyText"/>
                  </w:pPr>
                  <w:r w:rsidRPr="006A2999">
                    <w:t>-0.98</w:t>
                  </w:r>
                </w:p>
              </w:tc>
              <w:tc>
                <w:tcPr>
                  <w:tcW w:w="715" w:type="pct"/>
                  <w:vAlign w:val="bottom"/>
                </w:tcPr>
                <w:p w:rsidR="00CF6B94" w:rsidRPr="006A2999" w:rsidRDefault="00CF6B94" w:rsidP="00CF6B94">
                  <w:pPr>
                    <w:pStyle w:val="TableBodyText"/>
                  </w:pPr>
                  <w:r w:rsidRPr="006A2999">
                    <w:t>0.45</w:t>
                  </w:r>
                </w:p>
              </w:tc>
              <w:tc>
                <w:tcPr>
                  <w:tcW w:w="714" w:type="pct"/>
                  <w:vAlign w:val="bottom"/>
                </w:tcPr>
                <w:p w:rsidR="00CF6B94" w:rsidRPr="006A2999" w:rsidRDefault="00CF6B94" w:rsidP="00CF6B94">
                  <w:pPr>
                    <w:pStyle w:val="TableBodyText"/>
                  </w:pPr>
                  <w:r w:rsidRPr="006A2999">
                    <w:t>10</w:t>
                  </w:r>
                </w:p>
              </w:tc>
              <w:tc>
                <w:tcPr>
                  <w:tcW w:w="714" w:type="pct"/>
                  <w:vAlign w:val="bottom"/>
                </w:tcPr>
                <w:p w:rsidR="00CF6B94" w:rsidRPr="006A2999" w:rsidRDefault="00CF6B94" w:rsidP="00CF6B94">
                  <w:pPr>
                    <w:pStyle w:val="TableBodyText"/>
                  </w:pPr>
                  <w:r w:rsidRPr="006A2999">
                    <w:t>19</w:t>
                  </w:r>
                </w:p>
              </w:tc>
            </w:tr>
            <w:tr w:rsidR="00CF6B94" w:rsidTr="00CF6B94">
              <w:tc>
                <w:tcPr>
                  <w:tcW w:w="713" w:type="pct"/>
                  <w:vAlign w:val="bottom"/>
                </w:tcPr>
                <w:p w:rsidR="00CF6B94" w:rsidRPr="00537F81" w:rsidRDefault="00CF6B94" w:rsidP="00CF6B94">
                  <w:pPr>
                    <w:pStyle w:val="TableBodyText"/>
                    <w:jc w:val="left"/>
                    <w:rPr>
                      <w:b/>
                    </w:rPr>
                  </w:pPr>
                  <w:r w:rsidRPr="00537F81">
                    <w:rPr>
                      <w:b/>
                    </w:rPr>
                    <w:t>20</w:t>
                  </w:r>
                  <w:r>
                    <w:rPr>
                      <w:rStyle w:val="NoteLabel"/>
                    </w:rPr>
                    <w:t>b</w:t>
                  </w:r>
                </w:p>
              </w:tc>
              <w:tc>
                <w:tcPr>
                  <w:tcW w:w="714" w:type="pct"/>
                  <w:vAlign w:val="bottom"/>
                </w:tcPr>
                <w:p w:rsidR="00CF6B94" w:rsidRPr="00537F81" w:rsidRDefault="00CF6B94" w:rsidP="00CF6B94">
                  <w:pPr>
                    <w:pStyle w:val="TableBodyText"/>
                    <w:rPr>
                      <w:b/>
                    </w:rPr>
                  </w:pPr>
                  <w:r w:rsidRPr="00537F81">
                    <w:rPr>
                      <w:b/>
                    </w:rPr>
                    <w:t>0.62</w:t>
                  </w:r>
                </w:p>
              </w:tc>
              <w:tc>
                <w:tcPr>
                  <w:tcW w:w="715" w:type="pct"/>
                  <w:vAlign w:val="bottom"/>
                </w:tcPr>
                <w:p w:rsidR="00CF6B94" w:rsidRPr="00537F81" w:rsidRDefault="00CF6B94" w:rsidP="00CF6B94">
                  <w:pPr>
                    <w:pStyle w:val="TableBodyText"/>
                    <w:rPr>
                      <w:b/>
                    </w:rPr>
                  </w:pPr>
                  <w:r w:rsidRPr="00537F81">
                    <w:rPr>
                      <w:b/>
                    </w:rPr>
                    <w:t>0.67</w:t>
                  </w:r>
                </w:p>
              </w:tc>
              <w:tc>
                <w:tcPr>
                  <w:tcW w:w="714" w:type="pct"/>
                  <w:vAlign w:val="bottom"/>
                </w:tcPr>
                <w:p w:rsidR="00CF6B94" w:rsidRPr="00537F81" w:rsidRDefault="00CF6B94" w:rsidP="00CF6B94">
                  <w:pPr>
                    <w:pStyle w:val="TableBodyText"/>
                    <w:rPr>
                      <w:b/>
                    </w:rPr>
                  </w:pPr>
                  <w:r w:rsidRPr="00537F81">
                    <w:rPr>
                      <w:b/>
                    </w:rPr>
                    <w:t>-1.30</w:t>
                  </w:r>
                </w:p>
              </w:tc>
              <w:tc>
                <w:tcPr>
                  <w:tcW w:w="715" w:type="pct"/>
                  <w:vAlign w:val="bottom"/>
                </w:tcPr>
                <w:p w:rsidR="00CF6B94" w:rsidRPr="00537F81" w:rsidRDefault="00CF6B94" w:rsidP="00CF6B94">
                  <w:pPr>
                    <w:pStyle w:val="TableBodyText"/>
                    <w:rPr>
                      <w:b/>
                    </w:rPr>
                  </w:pPr>
                  <w:r w:rsidRPr="00537F81">
                    <w:rPr>
                      <w:b/>
                    </w:rPr>
                    <w:t>0.45</w:t>
                  </w:r>
                </w:p>
              </w:tc>
              <w:tc>
                <w:tcPr>
                  <w:tcW w:w="714" w:type="pct"/>
                  <w:vAlign w:val="bottom"/>
                </w:tcPr>
                <w:p w:rsidR="00CF6B94" w:rsidRPr="00537F81" w:rsidRDefault="00CF6B94" w:rsidP="00CF6B94">
                  <w:pPr>
                    <w:pStyle w:val="TableBodyText"/>
                    <w:rPr>
                      <w:b/>
                    </w:rPr>
                  </w:pPr>
                  <w:r w:rsidRPr="00537F81">
                    <w:rPr>
                      <w:b/>
                    </w:rPr>
                    <w:t>10</w:t>
                  </w:r>
                </w:p>
              </w:tc>
              <w:tc>
                <w:tcPr>
                  <w:tcW w:w="714" w:type="pct"/>
                  <w:vAlign w:val="bottom"/>
                </w:tcPr>
                <w:p w:rsidR="00CF6B94" w:rsidRPr="00537F81" w:rsidRDefault="00CF6B94" w:rsidP="00CF6B94">
                  <w:pPr>
                    <w:pStyle w:val="TableBodyText"/>
                    <w:rPr>
                      <w:b/>
                    </w:rPr>
                  </w:pPr>
                  <w:r w:rsidRPr="00537F81">
                    <w:rPr>
                      <w:b/>
                    </w:rPr>
                    <w:t>19</w:t>
                  </w:r>
                </w:p>
              </w:tc>
            </w:tr>
            <w:tr w:rsidR="00CF6B94" w:rsidTr="00CF6B94">
              <w:tc>
                <w:tcPr>
                  <w:tcW w:w="713" w:type="pct"/>
                  <w:tcBorders>
                    <w:bottom w:val="single" w:sz="6" w:space="0" w:color="C8C8C8"/>
                  </w:tcBorders>
                  <w:shd w:val="clear" w:color="auto" w:fill="auto"/>
                  <w:vAlign w:val="bottom"/>
                </w:tcPr>
                <w:p w:rsidR="00CF6B94" w:rsidRPr="003B02D6" w:rsidRDefault="00CF6B94" w:rsidP="00CF6B94">
                  <w:pPr>
                    <w:pStyle w:val="TableBodyText"/>
                    <w:jc w:val="left"/>
                  </w:pPr>
                  <w:r w:rsidRPr="003B02D6">
                    <w:t>30</w:t>
                  </w:r>
                </w:p>
              </w:tc>
              <w:tc>
                <w:tcPr>
                  <w:tcW w:w="714" w:type="pct"/>
                  <w:tcBorders>
                    <w:bottom w:val="single" w:sz="6" w:space="0" w:color="C8C8C8"/>
                  </w:tcBorders>
                  <w:shd w:val="clear" w:color="auto" w:fill="auto"/>
                  <w:vAlign w:val="bottom"/>
                </w:tcPr>
                <w:p w:rsidR="00CF6B94" w:rsidRPr="006A2999" w:rsidRDefault="00CF6B94" w:rsidP="00CF6B94">
                  <w:pPr>
                    <w:pStyle w:val="TableBodyText"/>
                  </w:pPr>
                  <w:r w:rsidRPr="006A2999">
                    <w:t>0.64</w:t>
                  </w:r>
                </w:p>
              </w:tc>
              <w:tc>
                <w:tcPr>
                  <w:tcW w:w="715" w:type="pct"/>
                  <w:tcBorders>
                    <w:bottom w:val="single" w:sz="6" w:space="0" w:color="C8C8C8"/>
                  </w:tcBorders>
                  <w:vAlign w:val="bottom"/>
                </w:tcPr>
                <w:p w:rsidR="00CF6B94" w:rsidRPr="006A2999" w:rsidRDefault="00CF6B94" w:rsidP="00CF6B94">
                  <w:pPr>
                    <w:pStyle w:val="TableBodyText"/>
                  </w:pPr>
                  <w:r w:rsidRPr="006A2999">
                    <w:t>0.69</w:t>
                  </w:r>
                </w:p>
              </w:tc>
              <w:tc>
                <w:tcPr>
                  <w:tcW w:w="714" w:type="pct"/>
                  <w:tcBorders>
                    <w:bottom w:val="single" w:sz="6" w:space="0" w:color="C8C8C8"/>
                  </w:tcBorders>
                  <w:vAlign w:val="bottom"/>
                </w:tcPr>
                <w:p w:rsidR="00CF6B94" w:rsidRPr="006A2999" w:rsidRDefault="00CF6B94" w:rsidP="00CF6B94">
                  <w:pPr>
                    <w:pStyle w:val="TableBodyText"/>
                  </w:pPr>
                  <w:r w:rsidRPr="006A2999">
                    <w:t>-1.74</w:t>
                  </w:r>
                </w:p>
              </w:tc>
              <w:tc>
                <w:tcPr>
                  <w:tcW w:w="715" w:type="pct"/>
                  <w:tcBorders>
                    <w:bottom w:val="single" w:sz="6" w:space="0" w:color="C8C8C8"/>
                  </w:tcBorders>
                  <w:vAlign w:val="bottom"/>
                </w:tcPr>
                <w:p w:rsidR="00CF6B94" w:rsidRPr="006A2999" w:rsidRDefault="00CF6B94" w:rsidP="00CF6B94">
                  <w:pPr>
                    <w:pStyle w:val="TableBodyText"/>
                  </w:pPr>
                  <w:r w:rsidRPr="006A2999">
                    <w:t>0.45</w:t>
                  </w:r>
                </w:p>
              </w:tc>
              <w:tc>
                <w:tcPr>
                  <w:tcW w:w="714" w:type="pct"/>
                  <w:tcBorders>
                    <w:bottom w:val="single" w:sz="6" w:space="0" w:color="C8C8C8"/>
                  </w:tcBorders>
                  <w:vAlign w:val="bottom"/>
                </w:tcPr>
                <w:p w:rsidR="00CF6B94" w:rsidRPr="006A2999" w:rsidRDefault="00CF6B94" w:rsidP="00CF6B94">
                  <w:pPr>
                    <w:pStyle w:val="TableBodyText"/>
                  </w:pPr>
                  <w:r w:rsidRPr="006A2999">
                    <w:t>10</w:t>
                  </w:r>
                </w:p>
              </w:tc>
              <w:tc>
                <w:tcPr>
                  <w:tcW w:w="714" w:type="pct"/>
                  <w:tcBorders>
                    <w:bottom w:val="single" w:sz="6" w:space="0" w:color="C8C8C8"/>
                  </w:tcBorders>
                  <w:shd w:val="clear" w:color="auto" w:fill="auto"/>
                  <w:vAlign w:val="bottom"/>
                </w:tcPr>
                <w:p w:rsidR="00CF6B94" w:rsidRPr="006A2999" w:rsidRDefault="00CF6B94" w:rsidP="00CF6B94">
                  <w:pPr>
                    <w:pStyle w:val="TableBodyText"/>
                  </w:pPr>
                  <w:r w:rsidRPr="006A2999">
                    <w:t>19</w:t>
                  </w:r>
                </w:p>
              </w:tc>
            </w:tr>
          </w:tbl>
          <w:p w:rsidR="00CF6B94" w:rsidRDefault="00CF6B94" w:rsidP="00CF6B94">
            <w:pPr>
              <w:pStyle w:val="Box"/>
            </w:pP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Note"/>
              <w:rPr>
                <w:i/>
              </w:rPr>
            </w:pPr>
            <w:proofErr w:type="gramStart"/>
            <w:r>
              <w:rPr>
                <w:rStyle w:val="NoteLabel"/>
              </w:rPr>
              <w:t>a</w:t>
            </w:r>
            <w:proofErr w:type="gramEnd"/>
            <w:r>
              <w:t xml:space="preserve"> Results are shown for ECLS varying the minimum scheduled subsidy rate by varying the cut-off income at which the maximum rate is paid to accommodate the change (i.e. keeping the taper rate the same as the Commission’s recommended policy). All other policy settings remain unchanged. </w:t>
            </w:r>
            <w:proofErr w:type="gramStart"/>
            <w:r>
              <w:rPr>
                <w:rStyle w:val="NoteLabel"/>
              </w:rPr>
              <w:t>b</w:t>
            </w:r>
            <w:proofErr w:type="gramEnd"/>
            <w:r>
              <w:rPr>
                <w:rStyle w:val="NoteLabel"/>
              </w:rPr>
              <w:t xml:space="preserve"> </w:t>
            </w:r>
            <w:r>
              <w:t>The bold row is the recommended policy.</w:t>
            </w: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Source"/>
            </w:pPr>
            <w:r>
              <w:rPr>
                <w:i/>
              </w:rPr>
              <w:t>Source</w:t>
            </w:r>
            <w:r>
              <w:t>: PCMC model estimates.</w:t>
            </w:r>
          </w:p>
        </w:tc>
      </w:tr>
      <w:tr w:rsidR="00CF6B94" w:rsidTr="00CF6B94">
        <w:trPr>
          <w:cantSplit/>
        </w:trPr>
        <w:tc>
          <w:tcPr>
            <w:tcW w:w="8771" w:type="dxa"/>
            <w:tcBorders>
              <w:top w:val="nil"/>
              <w:left w:val="nil"/>
              <w:bottom w:val="single" w:sz="6" w:space="0" w:color="78A22F" w:themeColor="accent1"/>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themeColor="accent1"/>
              <w:left w:val="nil"/>
              <w:bottom w:val="nil"/>
              <w:right w:val="nil"/>
            </w:tcBorders>
          </w:tcPr>
          <w:p w:rsidR="00CF6B94" w:rsidRPr="00626D32" w:rsidRDefault="00CF6B94" w:rsidP="00CF6B94">
            <w:pPr>
              <w:pStyle w:val="BoxSpaceBelow"/>
            </w:pPr>
          </w:p>
        </w:tc>
      </w:tr>
    </w:tbl>
    <w:p w:rsidR="00CF6B94" w:rsidRDefault="00CF6B94" w:rsidP="00CF6B94">
      <w:pPr>
        <w:pStyle w:val="BodyText"/>
      </w:pPr>
      <w:r>
        <w:t>The minimum rate of assistance paid to the highest income earners does not materially impact labour supply or childcare demand results when the taper rate to middle income is held constant (table 14). The wealthiest households are relatively unresponsive to changes in subsidies — when rates increase they typically do not expand their childcare demand or labour supply; and when rates decrease they typically keep their childcare demand relatively stable and fund the additional costs out-of-pocket.</w:t>
      </w:r>
    </w:p>
    <w:p w:rsidR="00CF6B94" w:rsidRDefault="00CF6B94" w:rsidP="00CF6B94">
      <w:pPr>
        <w:pStyle w:val="BodyText"/>
      </w:pPr>
      <w:r>
        <w:t xml:space="preserve">Subsidies to the highest income families do increase net fiscal costs. While their level of childcare demand does not change significantly, increases in the subsidy rate to some </w:t>
      </w:r>
      <w:r>
        <w:lastRenderedPageBreak/>
        <w:t>households in this bracket (where those households have high levels of initial formal childcare demand) result in large additional government payments on pre-existing formal childcare demand. This cost is limited by the fact that very few households (approximately 1.6 per cent) are in the highest income brackets.</w:t>
      </w:r>
    </w:p>
    <w:p w:rsidR="00CF6B94" w:rsidRDefault="00CF6B94" w:rsidP="00CF6B94">
      <w:pPr>
        <w:pStyle w:val="BodyText"/>
      </w:pPr>
      <w:r>
        <w:t>It is worth noting that the responses from households in the highest income brackets are the most uncertain of the model results. There are a small number of households in the model (approximately 20) being used to represent population-wide behaviour.</w:t>
      </w:r>
    </w:p>
    <w:p w:rsidR="00CF6B94" w:rsidRPr="00540F54" w:rsidRDefault="00CF6B94" w:rsidP="00CF6B94">
      <w:pPr>
        <w:pStyle w:val="ListBullet"/>
        <w:spacing w:line="320" w:lineRule="atLeast"/>
        <w:rPr>
          <w:rFonts w:ascii="Arial" w:hAnsi="Arial"/>
          <w:b/>
          <w:sz w:val="32"/>
        </w:rPr>
      </w:pPr>
      <w:r>
        <w:br w:type="page"/>
      </w:r>
    </w:p>
    <w:p w:rsidR="00CF6B94" w:rsidRPr="00BD2E8E" w:rsidRDefault="00CF6B94" w:rsidP="00BD2E8E">
      <w:pPr>
        <w:pStyle w:val="Heading2"/>
      </w:pPr>
      <w:r w:rsidRPr="00BD2E8E">
        <w:lastRenderedPageBreak/>
        <w:t>Appendix </w:t>
      </w:r>
      <w:proofErr w:type="gramStart"/>
      <w:r w:rsidRPr="00BD2E8E">
        <w:t>A</w:t>
      </w:r>
      <w:proofErr w:type="gramEnd"/>
      <w:r w:rsidRPr="00BD2E8E">
        <w:t xml:space="preserve"> — Data</w:t>
      </w:r>
    </w:p>
    <w:p w:rsidR="00CF6B94" w:rsidRDefault="00CF6B94" w:rsidP="00CF6B94">
      <w:pPr>
        <w:pStyle w:val="BodyText"/>
      </w:pPr>
      <w:r>
        <w:t>The Commission’s micro-simulation model uses data from two sources:</w:t>
      </w:r>
    </w:p>
    <w:p w:rsidR="00CF6B94" w:rsidRDefault="00CF6B94" w:rsidP="00CF6B94">
      <w:pPr>
        <w:pStyle w:val="ListBullet2"/>
      </w:pPr>
      <w:r>
        <w:t>The basic confidential unit record file (CURF) version of the 2011</w:t>
      </w:r>
      <w:r>
        <w:noBreakHyphen/>
        <w:t>12 Survey of Income and Housing (SIH) (ABS 2013b). This survey captures key demographic and economic characteristics of individuals residing in private dwellings across Australia.</w:t>
      </w:r>
    </w:p>
    <w:p w:rsidR="00CF6B94" w:rsidRDefault="00CF6B94" w:rsidP="00CF6B94">
      <w:pPr>
        <w:pStyle w:val="ListBullet2"/>
      </w:pPr>
      <w:r>
        <w:t>An unpublished administrative childcare dataset (Department of Education 2011</w:t>
      </w:r>
      <w:r>
        <w:noBreakHyphen/>
        <w:t>12). This dataset provides a comprehensive description of childcare use, childcare prices</w:t>
      </w:r>
      <w:r>
        <w:rPr>
          <w:rStyle w:val="FootnoteReference"/>
        </w:rPr>
        <w:footnoteReference w:id="18"/>
      </w:r>
      <w:r>
        <w:t>, location of services and childcare benefits received.</w:t>
      </w:r>
    </w:p>
    <w:p w:rsidR="00CF6B94" w:rsidRDefault="00CF6B94" w:rsidP="00CF6B94">
      <w:pPr>
        <w:pStyle w:val="BodyText"/>
      </w:pPr>
      <w:r>
        <w:t xml:space="preserve">After considering multiple sources, the basic SIH was adopted as a starting point, since it contained most of the variables necessary for calibrating the model. </w:t>
      </w:r>
    </w:p>
    <w:p w:rsidR="00CF6B94" w:rsidRDefault="00CF6B94" w:rsidP="00BD2E8E">
      <w:pPr>
        <w:pStyle w:val="Heading2"/>
      </w:pPr>
      <w:r w:rsidRPr="00BD2E8E">
        <w:t>Processing</w:t>
      </w:r>
      <w:r>
        <w:t xml:space="preserve"> the source data</w:t>
      </w:r>
    </w:p>
    <w:p w:rsidR="00CF6B94" w:rsidRDefault="00CF6B94" w:rsidP="00CF6B94">
      <w:pPr>
        <w:pStyle w:val="BodyText"/>
      </w:pPr>
      <w:r>
        <w:t xml:space="preserve">The model’s database includes two samples extracted from the basic SIH — a household sample representing lone parents and a household sample representing coupled parents. When extracting samples, a parent was defined as an adult member of a household who — for the relevant variable — identified as a </w:t>
      </w:r>
      <w:r w:rsidRPr="00595CD2">
        <w:t xml:space="preserve">parent or guardian of a child </w:t>
      </w:r>
      <w:proofErr w:type="gramStart"/>
      <w:r w:rsidRPr="00595CD2">
        <w:t>under</w:t>
      </w:r>
      <w:proofErr w:type="gramEnd"/>
      <w:r w:rsidRPr="00595CD2">
        <w:t xml:space="preserve"> 12 years</w:t>
      </w:r>
      <w:r>
        <w:t>.</w:t>
      </w:r>
      <w:r>
        <w:rPr>
          <w:rStyle w:val="FootnoteReference"/>
        </w:rPr>
        <w:footnoteReference w:id="19"/>
      </w:r>
    </w:p>
    <w:p w:rsidR="00CF6B94" w:rsidRDefault="00CF6B94" w:rsidP="00CF6B94">
      <w:pPr>
        <w:pStyle w:val="BodyText"/>
      </w:pPr>
      <w:r>
        <w:t xml:space="preserve">Variables describing parent’s characteristics were extracted from the basic SIH and assigned to the relevant household. Specifically, variables capturing income sources, employment status, number of children, age, </w:t>
      </w:r>
      <w:proofErr w:type="gramStart"/>
      <w:r>
        <w:t>occupation</w:t>
      </w:r>
      <w:proofErr w:type="gramEnd"/>
      <w:r>
        <w:t xml:space="preserve">, industry of employment, location, educational attainment and hours of childcare use were extracted. </w:t>
      </w:r>
    </w:p>
    <w:p w:rsidR="00CF6B94" w:rsidRDefault="00CF6B94" w:rsidP="00CF6B94">
      <w:pPr>
        <w:pStyle w:val="Heading3"/>
      </w:pPr>
      <w:r>
        <w:t>Inconsistent responses</w:t>
      </w:r>
    </w:p>
    <w:p w:rsidR="00CF6B94" w:rsidRDefault="00CF6B94" w:rsidP="00CF6B94">
      <w:pPr>
        <w:pStyle w:val="BodyText"/>
      </w:pPr>
      <w:r>
        <w:t>In the basic SIH, several households report inconsistent combinations </w:t>
      </w:r>
      <w:r>
        <w:rPr>
          <w:i/>
        </w:rPr>
        <w:t>‘total current weekly employee income’</w:t>
      </w:r>
      <w:r>
        <w:t xml:space="preserve"> and </w:t>
      </w:r>
      <w:r>
        <w:rPr>
          <w:i/>
        </w:rPr>
        <w:t>‘number of hours usually worked per week in main and second jobs’</w:t>
      </w:r>
      <w:r>
        <w:t xml:space="preserve">. Specifically, some individuals report no labour income and positive employment, or positive labour income and no employment. </w:t>
      </w:r>
      <w:proofErr w:type="gramStart"/>
      <w:r>
        <w:t>If any person in the household reported inconsistent combinations, the household was removed.</w:t>
      </w:r>
      <w:proofErr w:type="gramEnd"/>
      <w:r>
        <w:rPr>
          <w:rStyle w:val="FootnoteReference"/>
        </w:rPr>
        <w:footnoteReference w:id="20"/>
      </w:r>
      <w:r>
        <w:t xml:space="preserve"> Additionally, any household with no children was removed. In total, 172 households were removed from the model’s database prior to calibration (table A.1). </w:t>
      </w:r>
    </w:p>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themeColor="accent1"/>
              <w:left w:val="nil"/>
              <w:bottom w:val="nil"/>
              <w:right w:val="nil"/>
            </w:tcBorders>
            <w:shd w:val="clear" w:color="auto" w:fill="auto"/>
          </w:tcPr>
          <w:p w:rsidR="00CF6B94" w:rsidRDefault="00CF6B94" w:rsidP="00CF6B94">
            <w:pPr>
              <w:pStyle w:val="TableTitle"/>
            </w:pPr>
            <w:r>
              <w:rPr>
                <w:b w:val="0"/>
              </w:rPr>
              <w:t xml:space="preserve">Table </w:t>
            </w:r>
            <w:r w:rsidR="00DB39D6">
              <w:rPr>
                <w:b w:val="0"/>
              </w:rPr>
              <w:t>1.</w:t>
            </w:r>
            <w:r>
              <w:rPr>
                <w:b w:val="0"/>
              </w:rPr>
              <w:t>A.1</w:t>
            </w:r>
            <w:r>
              <w:tab/>
              <w:t>From SIH sample to model database</w:t>
            </w:r>
          </w:p>
          <w:p w:rsidR="00CF6B94" w:rsidRPr="00784A05" w:rsidRDefault="00CF6B94" w:rsidP="00CF6B94">
            <w:pPr>
              <w:pStyle w:val="Subtitle"/>
            </w:pPr>
            <w:r>
              <w:t>Aggregate characteristics of observations removed from the model’s database</w:t>
            </w:r>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531"/>
              <w:gridCol w:w="1489"/>
              <w:gridCol w:w="1489"/>
              <w:gridCol w:w="1489"/>
              <w:gridCol w:w="1489"/>
            </w:tblGrid>
            <w:tr w:rsidR="00CF6B94" w:rsidTr="00CF6B94">
              <w:tc>
                <w:tcPr>
                  <w:tcW w:w="1491" w:type="pct"/>
                  <w:tcBorders>
                    <w:top w:val="single" w:sz="6" w:space="0" w:color="BFBFBF" w:themeColor="background2"/>
                    <w:bottom w:val="single" w:sz="6" w:space="0" w:color="BFBFBF" w:themeColor="background2"/>
                  </w:tcBorders>
                  <w:shd w:val="clear" w:color="auto" w:fill="auto"/>
                  <w:tcMar>
                    <w:top w:w="28" w:type="dxa"/>
                  </w:tcMar>
                </w:tcPr>
                <w:p w:rsidR="00CF6B94" w:rsidRDefault="00CF6B94" w:rsidP="00CF6B94">
                  <w:pPr>
                    <w:pStyle w:val="TableColumnHeading"/>
                    <w:jc w:val="left"/>
                  </w:pPr>
                  <w:r>
                    <w:t>Sample</w:t>
                  </w:r>
                </w:p>
              </w:tc>
              <w:tc>
                <w:tcPr>
                  <w:tcW w:w="877" w:type="pct"/>
                  <w:tcBorders>
                    <w:top w:val="single" w:sz="6" w:space="0" w:color="BFBFBF" w:themeColor="background2"/>
                    <w:bottom w:val="single" w:sz="6" w:space="0" w:color="BFBFBF" w:themeColor="background2"/>
                  </w:tcBorders>
                </w:tcPr>
                <w:p w:rsidR="00CF6B94" w:rsidRDefault="00CF6B94" w:rsidP="00CF6B94">
                  <w:pPr>
                    <w:pStyle w:val="TableColumnHeading"/>
                  </w:pPr>
                  <w:r>
                    <w:t>Sample households</w:t>
                  </w:r>
                </w:p>
              </w:tc>
              <w:tc>
                <w:tcPr>
                  <w:tcW w:w="877" w:type="pct"/>
                  <w:tcBorders>
                    <w:top w:val="single" w:sz="6" w:space="0" w:color="BFBFBF" w:themeColor="background2"/>
                    <w:bottom w:val="single" w:sz="6" w:space="0" w:color="BFBFBF" w:themeColor="background2"/>
                  </w:tcBorders>
                </w:tcPr>
                <w:p w:rsidR="00CF6B94" w:rsidRDefault="00CF6B94" w:rsidP="00CF6B94">
                  <w:pPr>
                    <w:pStyle w:val="TableColumnHeading"/>
                  </w:pPr>
                  <w:r>
                    <w:t>Population units</w:t>
                  </w:r>
                  <w:r>
                    <w:rPr>
                      <w:rStyle w:val="NoteLabel"/>
                    </w:rPr>
                    <w:t>a</w:t>
                  </w:r>
                  <w:r>
                    <w:t xml:space="preserve"> (‘000)</w:t>
                  </w:r>
                </w:p>
              </w:tc>
              <w:tc>
                <w:tcPr>
                  <w:tcW w:w="877" w:type="pct"/>
                  <w:tcBorders>
                    <w:top w:val="single" w:sz="6" w:space="0" w:color="BFBFBF" w:themeColor="background2"/>
                    <w:bottom w:val="single" w:sz="6" w:space="0" w:color="BFBFBF" w:themeColor="background2"/>
                  </w:tcBorders>
                  <w:shd w:val="clear" w:color="auto" w:fill="auto"/>
                  <w:tcMar>
                    <w:top w:w="28" w:type="dxa"/>
                  </w:tcMar>
                </w:tcPr>
                <w:p w:rsidR="00CF6B94" w:rsidRDefault="00CF6B94" w:rsidP="00CF6B94">
                  <w:pPr>
                    <w:pStyle w:val="TableColumnHeading"/>
                  </w:pPr>
                  <w:r>
                    <w:t>Labour supply (‘000 hours)</w:t>
                  </w:r>
                </w:p>
              </w:tc>
              <w:tc>
                <w:tcPr>
                  <w:tcW w:w="877" w:type="pct"/>
                  <w:tcBorders>
                    <w:top w:val="single" w:sz="6" w:space="0" w:color="BFBFBF" w:themeColor="background2"/>
                    <w:bottom w:val="single" w:sz="6" w:space="0" w:color="BFBFBF" w:themeColor="background2"/>
                  </w:tcBorders>
                  <w:shd w:val="clear" w:color="auto" w:fill="auto"/>
                  <w:tcMar>
                    <w:top w:w="28" w:type="dxa"/>
                  </w:tcMar>
                </w:tcPr>
                <w:p w:rsidR="00CF6B94" w:rsidRDefault="00CF6B94" w:rsidP="00CF6B94">
                  <w:pPr>
                    <w:pStyle w:val="TableColumnHeading"/>
                    <w:ind w:right="28"/>
                  </w:pPr>
                  <w:r>
                    <w:t>Childcare use</w:t>
                  </w:r>
                  <w:r>
                    <w:rPr>
                      <w:rStyle w:val="NoteLabel"/>
                    </w:rPr>
                    <w:t>b</w:t>
                  </w:r>
                  <w:r>
                    <w:t xml:space="preserve"> (‘000 hours)</w:t>
                  </w:r>
                </w:p>
              </w:tc>
            </w:tr>
            <w:tr w:rsidR="00CF6B94" w:rsidTr="00CF6B94">
              <w:tc>
                <w:tcPr>
                  <w:tcW w:w="1491" w:type="pct"/>
                  <w:tcBorders>
                    <w:top w:val="single" w:sz="6" w:space="0" w:color="BFBFBF" w:themeColor="background2"/>
                  </w:tcBorders>
                </w:tcPr>
                <w:p w:rsidR="00CF6B94" w:rsidRDefault="00CF6B94" w:rsidP="00CF6B94">
                  <w:pPr>
                    <w:pStyle w:val="TableBodyText"/>
                    <w:jc w:val="left"/>
                  </w:pPr>
                  <w:r>
                    <w:t>Initial sample</w:t>
                  </w:r>
                </w:p>
              </w:tc>
              <w:tc>
                <w:tcPr>
                  <w:tcW w:w="877" w:type="pct"/>
                  <w:tcBorders>
                    <w:top w:val="single" w:sz="6" w:space="0" w:color="BFBFBF" w:themeColor="background2"/>
                  </w:tcBorders>
                </w:tcPr>
                <w:p w:rsidR="00CF6B94" w:rsidRDefault="00CF6B94" w:rsidP="00CF6B94">
                  <w:pPr>
                    <w:pStyle w:val="TableBodyText"/>
                  </w:pPr>
                  <w:r>
                    <w:t>3 476</w:t>
                  </w:r>
                </w:p>
              </w:tc>
              <w:tc>
                <w:tcPr>
                  <w:tcW w:w="877" w:type="pct"/>
                  <w:tcBorders>
                    <w:top w:val="single" w:sz="6" w:space="0" w:color="BFBFBF" w:themeColor="background2"/>
                  </w:tcBorders>
                </w:tcPr>
                <w:p w:rsidR="00CF6B94" w:rsidRDefault="00CF6B94" w:rsidP="00CF6B94">
                  <w:pPr>
                    <w:pStyle w:val="TableBodyText"/>
                  </w:pPr>
                  <w:r>
                    <w:t>2 095</w:t>
                  </w:r>
                </w:p>
              </w:tc>
              <w:tc>
                <w:tcPr>
                  <w:tcW w:w="877" w:type="pct"/>
                  <w:tcBorders>
                    <w:top w:val="single" w:sz="6" w:space="0" w:color="BFBFBF" w:themeColor="background2"/>
                  </w:tcBorders>
                </w:tcPr>
                <w:p w:rsidR="00CF6B94" w:rsidRDefault="00CF6B94" w:rsidP="00CF6B94">
                  <w:pPr>
                    <w:pStyle w:val="TableBodyText"/>
                  </w:pPr>
                  <w:r>
                    <w:t>104 796</w:t>
                  </w:r>
                </w:p>
              </w:tc>
              <w:tc>
                <w:tcPr>
                  <w:tcW w:w="877" w:type="pct"/>
                  <w:tcBorders>
                    <w:top w:val="single" w:sz="6" w:space="0" w:color="BFBFBF" w:themeColor="background2"/>
                  </w:tcBorders>
                </w:tcPr>
                <w:p w:rsidR="00CF6B94" w:rsidRDefault="00CF6B94" w:rsidP="00CF6B94">
                  <w:pPr>
                    <w:pStyle w:val="TableBodyText"/>
                  </w:pPr>
                  <w:r>
                    <w:t>10 473</w:t>
                  </w:r>
                </w:p>
              </w:tc>
            </w:tr>
            <w:tr w:rsidR="00CF6B94" w:rsidTr="00CF6B94">
              <w:tc>
                <w:tcPr>
                  <w:tcW w:w="1491" w:type="pct"/>
                </w:tcPr>
                <w:p w:rsidR="00CF6B94" w:rsidRPr="00800409" w:rsidRDefault="00CF6B94" w:rsidP="00CF6B94">
                  <w:pPr>
                    <w:pStyle w:val="TableBodyText"/>
                    <w:ind w:left="113"/>
                    <w:jc w:val="left"/>
                    <w:rPr>
                      <w:rStyle w:val="NoteLabel"/>
                    </w:rPr>
                  </w:pPr>
                  <w:r>
                    <w:t>Positive income and zero hours</w:t>
                  </w:r>
                </w:p>
              </w:tc>
              <w:tc>
                <w:tcPr>
                  <w:tcW w:w="877" w:type="pct"/>
                </w:tcPr>
                <w:p w:rsidR="00CF6B94" w:rsidRDefault="00CF6B94" w:rsidP="00CF6B94">
                  <w:pPr>
                    <w:pStyle w:val="TableBodyText"/>
                  </w:pPr>
                  <w:r>
                    <w:t>55</w:t>
                  </w:r>
                </w:p>
              </w:tc>
              <w:tc>
                <w:tcPr>
                  <w:tcW w:w="877" w:type="pct"/>
                </w:tcPr>
                <w:p w:rsidR="00CF6B94" w:rsidRDefault="00CF6B94" w:rsidP="00CF6B94">
                  <w:pPr>
                    <w:pStyle w:val="TableBodyText"/>
                  </w:pPr>
                  <w:r>
                    <w:t>32</w:t>
                  </w:r>
                </w:p>
              </w:tc>
              <w:tc>
                <w:tcPr>
                  <w:tcW w:w="877" w:type="pct"/>
                </w:tcPr>
                <w:p w:rsidR="00CF6B94" w:rsidRDefault="00CF6B94" w:rsidP="00CF6B94">
                  <w:pPr>
                    <w:pStyle w:val="TableBodyText"/>
                  </w:pPr>
                  <w:r>
                    <w:t>974</w:t>
                  </w:r>
                </w:p>
              </w:tc>
              <w:tc>
                <w:tcPr>
                  <w:tcW w:w="877" w:type="pct"/>
                </w:tcPr>
                <w:p w:rsidR="00CF6B94" w:rsidRDefault="00CF6B94" w:rsidP="00CF6B94">
                  <w:pPr>
                    <w:pStyle w:val="TableBodyText"/>
                  </w:pPr>
                  <w:r>
                    <w:t>147</w:t>
                  </w:r>
                </w:p>
              </w:tc>
            </w:tr>
            <w:tr w:rsidR="00CF6B94" w:rsidTr="00CF6B94">
              <w:tc>
                <w:tcPr>
                  <w:tcW w:w="1491" w:type="pct"/>
                  <w:shd w:val="clear" w:color="auto" w:fill="auto"/>
                </w:tcPr>
                <w:p w:rsidR="00CF6B94" w:rsidRPr="00800409" w:rsidRDefault="00CF6B94" w:rsidP="00CF6B94">
                  <w:pPr>
                    <w:pStyle w:val="TableBodyText"/>
                    <w:ind w:left="113"/>
                    <w:jc w:val="left"/>
                    <w:rPr>
                      <w:rStyle w:val="NoteLabel"/>
                    </w:rPr>
                  </w:pPr>
                  <w:r>
                    <w:t>Positive hours and zero income</w:t>
                  </w:r>
                </w:p>
              </w:tc>
              <w:tc>
                <w:tcPr>
                  <w:tcW w:w="877" w:type="pct"/>
                </w:tcPr>
                <w:p w:rsidR="00CF6B94" w:rsidRDefault="00CF6B94" w:rsidP="00CF6B94">
                  <w:pPr>
                    <w:pStyle w:val="TableBodyText"/>
                  </w:pPr>
                  <w:r>
                    <w:t>109</w:t>
                  </w:r>
                </w:p>
              </w:tc>
              <w:tc>
                <w:tcPr>
                  <w:tcW w:w="877" w:type="pct"/>
                </w:tcPr>
                <w:p w:rsidR="00CF6B94" w:rsidRDefault="00CF6B94" w:rsidP="00CF6B94">
                  <w:pPr>
                    <w:pStyle w:val="TableBodyText"/>
                  </w:pPr>
                  <w:r>
                    <w:t>64</w:t>
                  </w:r>
                </w:p>
              </w:tc>
              <w:tc>
                <w:tcPr>
                  <w:tcW w:w="877" w:type="pct"/>
                  <w:shd w:val="clear" w:color="auto" w:fill="auto"/>
                </w:tcPr>
                <w:p w:rsidR="00CF6B94" w:rsidRDefault="00CF6B94" w:rsidP="00CF6B94">
                  <w:pPr>
                    <w:pStyle w:val="TableBodyText"/>
                  </w:pPr>
                  <w:r>
                    <w:t>3 857</w:t>
                  </w:r>
                </w:p>
              </w:tc>
              <w:tc>
                <w:tcPr>
                  <w:tcW w:w="877" w:type="pct"/>
                  <w:shd w:val="clear" w:color="auto" w:fill="auto"/>
                </w:tcPr>
                <w:p w:rsidR="00CF6B94" w:rsidRDefault="00CF6B94" w:rsidP="00CF6B94">
                  <w:pPr>
                    <w:pStyle w:val="TableBodyText"/>
                  </w:pPr>
                  <w:r>
                    <w:t>226</w:t>
                  </w:r>
                </w:p>
              </w:tc>
            </w:tr>
            <w:tr w:rsidR="00CF6B94" w:rsidTr="00CF6B94">
              <w:tc>
                <w:tcPr>
                  <w:tcW w:w="1491" w:type="pct"/>
                  <w:shd w:val="clear" w:color="auto" w:fill="auto"/>
                </w:tcPr>
                <w:p w:rsidR="00CF6B94" w:rsidRPr="00800409" w:rsidRDefault="00CF6B94" w:rsidP="00CF6B94">
                  <w:pPr>
                    <w:pStyle w:val="TableBodyText"/>
                    <w:ind w:left="113"/>
                    <w:jc w:val="left"/>
                    <w:rPr>
                      <w:rStyle w:val="NoteLabel"/>
                    </w:rPr>
                  </w:pPr>
                  <w:r>
                    <w:t>Zero children</w:t>
                  </w:r>
                </w:p>
              </w:tc>
              <w:tc>
                <w:tcPr>
                  <w:tcW w:w="877" w:type="pct"/>
                </w:tcPr>
                <w:p w:rsidR="00CF6B94" w:rsidRDefault="00CF6B94" w:rsidP="00CF6B94">
                  <w:pPr>
                    <w:pStyle w:val="TableBodyText"/>
                  </w:pPr>
                  <w:r>
                    <w:t>8</w:t>
                  </w:r>
                </w:p>
              </w:tc>
              <w:tc>
                <w:tcPr>
                  <w:tcW w:w="877" w:type="pct"/>
                </w:tcPr>
                <w:p w:rsidR="00CF6B94" w:rsidRDefault="00CF6B94" w:rsidP="00CF6B94">
                  <w:pPr>
                    <w:pStyle w:val="TableBodyText"/>
                  </w:pPr>
                  <w:r>
                    <w:t>7</w:t>
                  </w:r>
                </w:p>
              </w:tc>
              <w:tc>
                <w:tcPr>
                  <w:tcW w:w="877" w:type="pct"/>
                  <w:shd w:val="clear" w:color="auto" w:fill="auto"/>
                </w:tcPr>
                <w:p w:rsidR="00CF6B94" w:rsidRDefault="00CF6B94" w:rsidP="00CF6B94">
                  <w:pPr>
                    <w:pStyle w:val="TableBodyText"/>
                  </w:pPr>
                  <w:r>
                    <w:t>328</w:t>
                  </w:r>
                </w:p>
              </w:tc>
              <w:tc>
                <w:tcPr>
                  <w:tcW w:w="877" w:type="pct"/>
                  <w:shd w:val="clear" w:color="auto" w:fill="auto"/>
                </w:tcPr>
                <w:p w:rsidR="00CF6B94" w:rsidRDefault="00CF6B94" w:rsidP="00CF6B94">
                  <w:pPr>
                    <w:pStyle w:val="TableBodyText"/>
                  </w:pPr>
                  <w:r>
                    <w:t>0</w:t>
                  </w:r>
                </w:p>
              </w:tc>
            </w:tr>
            <w:tr w:rsidR="00CF6B94" w:rsidTr="00CF6B94">
              <w:tc>
                <w:tcPr>
                  <w:tcW w:w="1491" w:type="pct"/>
                  <w:tcBorders>
                    <w:bottom w:val="single" w:sz="6" w:space="0" w:color="C8C8C8"/>
                  </w:tcBorders>
                  <w:shd w:val="clear" w:color="auto" w:fill="auto"/>
                </w:tcPr>
                <w:p w:rsidR="00CF6B94" w:rsidRDefault="00CF6B94" w:rsidP="00CF6B94">
                  <w:pPr>
                    <w:pStyle w:val="TableBodyText"/>
                    <w:jc w:val="left"/>
                  </w:pPr>
                  <w:r>
                    <w:t>Final sample prior to calibration</w:t>
                  </w:r>
                </w:p>
              </w:tc>
              <w:tc>
                <w:tcPr>
                  <w:tcW w:w="877" w:type="pct"/>
                  <w:tcBorders>
                    <w:bottom w:val="single" w:sz="6" w:space="0" w:color="C8C8C8"/>
                  </w:tcBorders>
                </w:tcPr>
                <w:p w:rsidR="00CF6B94" w:rsidRDefault="00CF6B94" w:rsidP="00CF6B94">
                  <w:pPr>
                    <w:pStyle w:val="TableBodyText"/>
                  </w:pPr>
                  <w:r>
                    <w:t>3 304</w:t>
                  </w:r>
                </w:p>
              </w:tc>
              <w:tc>
                <w:tcPr>
                  <w:tcW w:w="877" w:type="pct"/>
                  <w:tcBorders>
                    <w:bottom w:val="single" w:sz="6" w:space="0" w:color="C8C8C8"/>
                  </w:tcBorders>
                </w:tcPr>
                <w:p w:rsidR="00CF6B94" w:rsidRDefault="00CF6B94" w:rsidP="00CF6B94">
                  <w:pPr>
                    <w:pStyle w:val="TableBodyText"/>
                  </w:pPr>
                  <w:r>
                    <w:t>1 991</w:t>
                  </w:r>
                </w:p>
              </w:tc>
              <w:tc>
                <w:tcPr>
                  <w:tcW w:w="877" w:type="pct"/>
                  <w:tcBorders>
                    <w:bottom w:val="single" w:sz="6" w:space="0" w:color="C8C8C8"/>
                  </w:tcBorders>
                  <w:shd w:val="clear" w:color="auto" w:fill="auto"/>
                </w:tcPr>
                <w:p w:rsidR="00CF6B94" w:rsidRDefault="00CF6B94" w:rsidP="00CF6B94">
                  <w:pPr>
                    <w:pStyle w:val="TableBodyText"/>
                  </w:pPr>
                  <w:r>
                    <w:t>99 637</w:t>
                  </w:r>
                </w:p>
              </w:tc>
              <w:tc>
                <w:tcPr>
                  <w:tcW w:w="877" w:type="pct"/>
                  <w:tcBorders>
                    <w:bottom w:val="single" w:sz="6" w:space="0" w:color="C8C8C8"/>
                  </w:tcBorders>
                  <w:shd w:val="clear" w:color="auto" w:fill="auto"/>
                </w:tcPr>
                <w:p w:rsidR="00CF6B94" w:rsidRDefault="00CF6B94" w:rsidP="00CF6B94">
                  <w:pPr>
                    <w:pStyle w:val="TableBodyText"/>
                  </w:pPr>
                  <w:r>
                    <w:t>10 100</w:t>
                  </w:r>
                </w:p>
              </w:tc>
            </w:tr>
          </w:tbl>
          <w:p w:rsidR="00CF6B94" w:rsidRDefault="00CF6B94" w:rsidP="00CF6B94">
            <w:pPr>
              <w:pStyle w:val="Box"/>
            </w:pP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Note"/>
              <w:rPr>
                <w:i/>
              </w:rPr>
            </w:pPr>
            <w:proofErr w:type="gramStart"/>
            <w:r>
              <w:rPr>
                <w:rStyle w:val="NoteLabel"/>
              </w:rPr>
              <w:t>a</w:t>
            </w:r>
            <w:proofErr w:type="gramEnd"/>
            <w:r>
              <w:rPr>
                <w:rStyle w:val="NoteLabel"/>
              </w:rPr>
              <w:t xml:space="preserve"> </w:t>
            </w:r>
            <w:r>
              <w:t xml:space="preserve">Population units reflect the sum of population weights assigned to households in each sample. </w:t>
            </w:r>
            <w:proofErr w:type="gramStart"/>
            <w:r>
              <w:rPr>
                <w:rStyle w:val="NoteLabel"/>
              </w:rPr>
              <w:t>b</w:t>
            </w:r>
            <w:proofErr w:type="gramEnd"/>
            <w:r>
              <w:rPr>
                <w:rStyle w:val="NoteLabel"/>
              </w:rPr>
              <w:t xml:space="preserve"> </w:t>
            </w:r>
            <w:r>
              <w:t>Childcare use of the youngest child.</w:t>
            </w: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Source"/>
            </w:pPr>
            <w:r>
              <w:rPr>
                <w:i/>
              </w:rPr>
              <w:t>Sources</w:t>
            </w:r>
            <w:r w:rsidRPr="00167F06">
              <w:t xml:space="preserve">: </w:t>
            </w:r>
            <w:r>
              <w:t>2011</w:t>
            </w:r>
            <w:r>
              <w:noBreakHyphen/>
              <w:t>12 Survey of Income and Housing (ABS 2013b); Productivity Commission estimates.</w:t>
            </w:r>
          </w:p>
        </w:tc>
      </w:tr>
      <w:tr w:rsidR="00CF6B94" w:rsidTr="00CF6B94">
        <w:trPr>
          <w:cantSplit/>
        </w:trPr>
        <w:tc>
          <w:tcPr>
            <w:tcW w:w="8771" w:type="dxa"/>
            <w:tcBorders>
              <w:top w:val="nil"/>
              <w:left w:val="nil"/>
              <w:bottom w:val="single" w:sz="6" w:space="0" w:color="78A22F" w:themeColor="accent1"/>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themeColor="accent1"/>
              <w:left w:val="nil"/>
              <w:bottom w:val="nil"/>
              <w:right w:val="nil"/>
            </w:tcBorders>
          </w:tcPr>
          <w:p w:rsidR="00CF6B94" w:rsidRPr="00626D32" w:rsidRDefault="00CF6B94" w:rsidP="00CF6B94">
            <w:pPr>
              <w:pStyle w:val="BoxSpaceBelow"/>
            </w:pPr>
          </w:p>
        </w:tc>
      </w:tr>
    </w:tbl>
    <w:p w:rsidR="00CF6B94" w:rsidRPr="00E77F98" w:rsidRDefault="00CF6B94" w:rsidP="00CF6B94">
      <w:pPr>
        <w:pStyle w:val="BodyText"/>
      </w:pPr>
      <w:r>
        <w:t>Further, approximately 10 per cent of observations are dropped as part of the endogenous model calibration process. The process of model calibration and dropped observations is further discussed in appendix B.</w:t>
      </w:r>
    </w:p>
    <w:p w:rsidR="00CF6B94" w:rsidRDefault="00CF6B94" w:rsidP="00CF6B94">
      <w:pPr>
        <w:pStyle w:val="Heading3"/>
      </w:pPr>
      <w:r>
        <w:t>Childcare prices</w:t>
      </w:r>
    </w:p>
    <w:p w:rsidR="00CF6B94" w:rsidRDefault="00CF6B94" w:rsidP="00CF6B94">
      <w:pPr>
        <w:pStyle w:val="BodyText"/>
      </w:pPr>
      <w:r>
        <w:t xml:space="preserve">The modelling framework requires that all households are assigned a childcare price. For the draft report model, childcare prices were assigned to households based on the geographic location of childcare users and services, the age of the child in care and the type of childcare provided. </w:t>
      </w:r>
    </w:p>
    <w:p w:rsidR="00CF6B94" w:rsidRDefault="00CF6B94" w:rsidP="00CF6B94">
      <w:pPr>
        <w:pStyle w:val="BodyText"/>
      </w:pPr>
      <w:r>
        <w:t>For the final report model, the process for assigning childcare prices has been improved to better account for variation in childcare prices within capital cities (for example, households in wealthier areas are likely to face higher childcare prices). This was achieved using the following methodology:</w:t>
      </w:r>
    </w:p>
    <w:p w:rsidR="00CF6B94" w:rsidRDefault="00CF6B94" w:rsidP="00DB39D6">
      <w:pPr>
        <w:pStyle w:val="ListBullet"/>
      </w:pPr>
      <w:r>
        <w:t>The relationships between childcare prices and median house prices and between childcare prices and median weekly rent were estimated for Melbourne, Sydney, Brisbane, Perth and Adelaide. Separate regressions were undertaken for different care types and for different age brackets (</w:t>
      </w:r>
      <w:proofErr w:type="spellStart"/>
      <w:r>
        <w:t>i.e</w:t>
      </w:r>
      <w:proofErr w:type="spellEnd"/>
      <w:r>
        <w:t xml:space="preserve"> 0</w:t>
      </w:r>
      <w:r>
        <w:softHyphen/>
      </w:r>
      <w:r>
        <w:softHyphen/>
        <w:t>–2, 3</w:t>
      </w:r>
      <w:r>
        <w:softHyphen/>
      </w:r>
      <w:r>
        <w:softHyphen/>
        <w:t>–4 and 5</w:t>
      </w:r>
      <w:r>
        <w:softHyphen/>
      </w:r>
      <w:r>
        <w:softHyphen/>
        <w:t>–14 year olds).</w:t>
      </w:r>
      <w:r w:rsidRPr="00AD1246">
        <w:t xml:space="preserve"> </w:t>
      </w:r>
      <w:r>
        <w:t>All data used for these regressions were at the Statistical Area Level 4 regional level:</w:t>
      </w:r>
    </w:p>
    <w:p w:rsidR="00CF6B94" w:rsidRDefault="00CF6B94" w:rsidP="00DB39D6">
      <w:pPr>
        <w:pStyle w:val="ListBullet2"/>
      </w:pPr>
      <w:r>
        <w:t xml:space="preserve">Data on childcare prices were sourced from Department of Education administrative data for 2011-12. </w:t>
      </w:r>
    </w:p>
    <w:p w:rsidR="00CF6B94" w:rsidRDefault="00CF6B94" w:rsidP="00DB39D6">
      <w:pPr>
        <w:pStyle w:val="ListBullet2"/>
      </w:pPr>
      <w:r>
        <w:t xml:space="preserve">Data on median house prices for 2011-12 were sourced from Australian Property Monitors. </w:t>
      </w:r>
    </w:p>
    <w:p w:rsidR="00CF6B94" w:rsidRDefault="00CF6B94" w:rsidP="00DB39D6">
      <w:pPr>
        <w:pStyle w:val="ListBullet2"/>
      </w:pPr>
      <w:r>
        <w:t>Data on median weekly rents were sourced from the 2011 Census</w:t>
      </w:r>
    </w:p>
    <w:p w:rsidR="00CF6B94" w:rsidRDefault="00CF6B94" w:rsidP="00DB39D6">
      <w:pPr>
        <w:pStyle w:val="ListBullet"/>
      </w:pPr>
      <w:r>
        <w:lastRenderedPageBreak/>
        <w:t>Households in the SIH who reside in one of the five aforementioned capital cities were assigned three predicted childcare prices (one each for children aged 0–2, 3–4 and 5–14) based on the value of their house (or their weekly rent if they do not own a house) and the type of care they use. Households who reside in one of the remaining capital cities (Darwin, Canberra or Hobart) or who did not reside in a capital city were assigned the average childcare price of that region based on the 2011–12 administrative data supplied by the Department of Education.</w:t>
      </w:r>
    </w:p>
    <w:p w:rsidR="00CF6B94" w:rsidRDefault="00CF6B94" w:rsidP="00BD2E8E">
      <w:pPr>
        <w:pStyle w:val="ListBullet"/>
      </w:pPr>
      <w:r w:rsidRPr="00BD2E8E">
        <w:t xml:space="preserve">Nanny prices were calculated by taking the estimated family </w:t>
      </w:r>
      <w:proofErr w:type="spellStart"/>
      <w:r w:rsidRPr="00BD2E8E">
        <w:t>daycare</w:t>
      </w:r>
      <w:proofErr w:type="spellEnd"/>
      <w:r w:rsidRPr="00BD2E8E">
        <w:t xml:space="preserve"> price and adding $20</w:t>
      </w:r>
      <w:r>
        <w:t xml:space="preserve"> (creating a price range of between approximately $25 and $30). This total was then divided by the number of children in a household to obtain </w:t>
      </w:r>
      <w:proofErr w:type="gramStart"/>
      <w:r>
        <w:t>a per</w:t>
      </w:r>
      <w:proofErr w:type="gramEnd"/>
      <w:r>
        <w:t xml:space="preserve"> child per hour cost. </w:t>
      </w:r>
    </w:p>
    <w:p w:rsidR="00CF6B94" w:rsidRDefault="00CF6B94" w:rsidP="00BD2E8E">
      <w:pPr>
        <w:pStyle w:val="Heading2"/>
        <w:ind w:left="0" w:firstLine="0"/>
      </w:pPr>
      <w:r>
        <w:t>Post simulation calculations</w:t>
      </w:r>
    </w:p>
    <w:p w:rsidR="00CF6B94" w:rsidRDefault="00CF6B94" w:rsidP="00CF6B94">
      <w:pPr>
        <w:pStyle w:val="Heading3"/>
      </w:pPr>
      <w:r>
        <w:t>Weighting the SIH</w:t>
      </w:r>
    </w:p>
    <w:p w:rsidR="00CF6B94" w:rsidRDefault="00CF6B94" w:rsidP="00CF6B94">
      <w:pPr>
        <w:pStyle w:val="BodyText"/>
      </w:pPr>
      <w:r>
        <w:t xml:space="preserve">The SIH incorporates population weights for each household. These weights were amended so that the SIH database (after difficult to calibrate observations were dropped, table A.1) reproduced administrative data on the total hours of care used and total ECEC subsidies. </w:t>
      </w:r>
    </w:p>
    <w:p w:rsidR="00CF6B94" w:rsidRDefault="00CF6B94" w:rsidP="00CF6B94">
      <w:pPr>
        <w:pStyle w:val="BodyText"/>
      </w:pPr>
      <w:r>
        <w:t>First, population weights in the SIH were adjusted so that the number of hours of care (disaggregated by care type, income level and whether or not the household passed the current CCB activity test) were consistent with Department of Education administrative data for 2013-14. Households that did not used childcare initially were given the average population weight of households that did use childcare initially. These population weights were used to weight the majority of the model outputs.</w:t>
      </w:r>
    </w:p>
    <w:p w:rsidR="00CF6B94" w:rsidRDefault="00CF6B94" w:rsidP="00CF6B94">
      <w:pPr>
        <w:pStyle w:val="BodyText"/>
      </w:pPr>
      <w:r>
        <w:t>A set of financial population weights were calculated to weight childcare cost and ECEC subsidy model outputs (after they had been converted to 2013-14 prices). These weights were calculated by adjusting the population weights discussed in the previous section that replicate hours of care, so that the total level of ECEC subsidy (disaggregated by care type, income level and whether or not the household passed the CCB activity test) matched administrative data for 2013-14.</w:t>
      </w:r>
    </w:p>
    <w:p w:rsidR="00CF6B94" w:rsidRDefault="00CF6B94" w:rsidP="00CF6B94">
      <w:pPr>
        <w:pStyle w:val="Heading3"/>
      </w:pPr>
      <w:r>
        <w:t>Calculating GDP effects</w:t>
      </w:r>
    </w:p>
    <w:p w:rsidR="00CF6B94" w:rsidRDefault="00CF6B94" w:rsidP="00CF6B94">
      <w:pPr>
        <w:pStyle w:val="BodyText"/>
      </w:pPr>
      <w:r>
        <w:t xml:space="preserve">GDP was calculated by taking the sum of labour incomes and assuming that additional labour supply will be matched by new capital in proportion to the 2013-14 </w:t>
      </w:r>
      <w:proofErr w:type="spellStart"/>
      <w:r>
        <w:t>economy-wide</w:t>
      </w:r>
      <w:proofErr w:type="spellEnd"/>
      <w:r>
        <w:t xml:space="preserve"> average labour</w:t>
      </w:r>
      <w:r>
        <w:softHyphen/>
        <w:t>–capital ratio. This GDP calculation therefore assumes that there will be:</w:t>
      </w:r>
    </w:p>
    <w:p w:rsidR="00CF6B94" w:rsidRDefault="00CF6B94" w:rsidP="00DE1F1B">
      <w:pPr>
        <w:pStyle w:val="ListBullet"/>
      </w:pPr>
      <w:r>
        <w:lastRenderedPageBreak/>
        <w:t>zero unemployment in those people entering the labour market as a result of the policy change, and zero underemployment of those increasing their hours of work in response to the policy change</w:t>
      </w:r>
    </w:p>
    <w:p w:rsidR="00CF6B94" w:rsidRDefault="00CF6B94" w:rsidP="00DE1F1B">
      <w:pPr>
        <w:pStyle w:val="ListBullet"/>
      </w:pPr>
      <w:r>
        <w:t>zero change in wages and childcare supply prices faced by households within the PCMC model</w:t>
      </w:r>
    </w:p>
    <w:p w:rsidR="00CF6B94" w:rsidRPr="002F34B1" w:rsidRDefault="00CF6B94" w:rsidP="00DE1F1B">
      <w:pPr>
        <w:pStyle w:val="ListBullet"/>
      </w:pPr>
      <w:proofErr w:type="gramStart"/>
      <w:r>
        <w:t>no</w:t>
      </w:r>
      <w:proofErr w:type="gramEnd"/>
      <w:r>
        <w:t xml:space="preserve"> impact on the wages of those households not included in the PCMC model as a result of the modelled labour supply expansion.</w:t>
      </w:r>
    </w:p>
    <w:p w:rsidR="00CF6B94" w:rsidRPr="001E2DEA" w:rsidRDefault="00CF6B94" w:rsidP="00CF6B94">
      <w:pPr>
        <w:pStyle w:val="Heading3"/>
      </w:pPr>
      <w:r>
        <w:t>Sensitivity analysis</w:t>
      </w:r>
    </w:p>
    <w:p w:rsidR="00CF6B94" w:rsidRDefault="00CF6B94" w:rsidP="00CF6B94">
      <w:pPr>
        <w:pStyle w:val="BodyText"/>
      </w:pPr>
      <w:r>
        <w:t xml:space="preserve">The commission undertook a sensitivity analysis to assess how the model results change when the estimated utility parameters are varied. 1000 Monte Carlo simulations were generated where the utility parameters were assumed </w:t>
      </w:r>
      <w:proofErr w:type="gramStart"/>
      <w:r>
        <w:t>vary</w:t>
      </w:r>
      <w:proofErr w:type="gramEnd"/>
      <w:r>
        <w:t xml:space="preserve"> in a manner consistent with a multinomial normal distribution. The variance-covariance matrix of the multinomial normal distribution was sourced from the multinomial logit estimation process.</w:t>
      </w:r>
    </w:p>
    <w:p w:rsidR="00CF6B94" w:rsidRDefault="00CF6B94" w:rsidP="00CF6B94">
      <w:pPr>
        <w:pStyle w:val="BodyText"/>
      </w:pPr>
      <w:r>
        <w:t>None of the other assumptions implicit in the Commission’s modelling framework were varied as part of the sensitivity analysis. These assumptions include that:</w:t>
      </w:r>
    </w:p>
    <w:p w:rsidR="00CF6B94" w:rsidRDefault="00CF6B94" w:rsidP="00DE1F1B">
      <w:pPr>
        <w:pStyle w:val="ListBullet"/>
      </w:pPr>
      <w:r>
        <w:t>the population weights required to hit the 2013-14 fiscal cost totals contained in the Department of Education administrative data are accurate (as opposed to the SIH population weights, or some combination of the two)</w:t>
      </w:r>
    </w:p>
    <w:p w:rsidR="00CF6B94" w:rsidRDefault="00CF6B94" w:rsidP="00DE1F1B">
      <w:pPr>
        <w:pStyle w:val="ListBullet"/>
      </w:pPr>
      <w:proofErr w:type="gramStart"/>
      <w:r>
        <w:t>there</w:t>
      </w:r>
      <w:proofErr w:type="gramEnd"/>
      <w:r>
        <w:t xml:space="preserve"> were no changes in preferences other than those reflected in variability in the 2011-12 SIH data.</w:t>
      </w:r>
    </w:p>
    <w:p w:rsidR="00CF6B94" w:rsidRDefault="00CF6B94" w:rsidP="00CF6B94">
      <w:pPr>
        <w:rPr>
          <w:rFonts w:ascii="Arial" w:hAnsi="Arial"/>
          <w:b/>
          <w:sz w:val="32"/>
          <w:szCs w:val="20"/>
        </w:rPr>
      </w:pPr>
      <w:r>
        <w:br w:type="page"/>
      </w:r>
    </w:p>
    <w:p w:rsidR="00CF6B94" w:rsidRDefault="00CF6B94" w:rsidP="00CF6B94">
      <w:pPr>
        <w:pStyle w:val="Heading2"/>
      </w:pPr>
      <w:r>
        <w:lastRenderedPageBreak/>
        <w:t>Appendix B — Model specification</w:t>
      </w:r>
    </w:p>
    <w:p w:rsidR="00CF6B94" w:rsidRDefault="00CF6B94" w:rsidP="00CF6B94">
      <w:pPr>
        <w:pStyle w:val="BodyText"/>
      </w:pPr>
      <w:r>
        <w:t>The PCMC model is comprised of three modules:</w:t>
      </w:r>
    </w:p>
    <w:p w:rsidR="00CF6B94" w:rsidRDefault="00CF6B94" w:rsidP="00CF6B94">
      <w:pPr>
        <w:pStyle w:val="ListNumber"/>
        <w:numPr>
          <w:ilvl w:val="0"/>
          <w:numId w:val="45"/>
        </w:numPr>
      </w:pPr>
      <w:r>
        <w:t>tax and transfer module</w:t>
      </w:r>
    </w:p>
    <w:p w:rsidR="00CF6B94" w:rsidRDefault="00CF6B94" w:rsidP="00CF6B94">
      <w:pPr>
        <w:pStyle w:val="ListNumber"/>
      </w:pPr>
      <w:r>
        <w:t xml:space="preserve">childcare module </w:t>
      </w:r>
    </w:p>
    <w:p w:rsidR="00CF6B94" w:rsidRDefault="00CF6B94" w:rsidP="00CF6B94">
      <w:pPr>
        <w:pStyle w:val="ListNumber"/>
      </w:pPr>
      <w:proofErr w:type="gramStart"/>
      <w:r>
        <w:t>decision</w:t>
      </w:r>
      <w:proofErr w:type="gramEnd"/>
      <w:r>
        <w:t xml:space="preserve"> module.</w:t>
      </w:r>
    </w:p>
    <w:p w:rsidR="00CF6B94" w:rsidRDefault="00CF6B94" w:rsidP="00CF6B94">
      <w:pPr>
        <w:pStyle w:val="BodyText"/>
      </w:pPr>
      <w:r>
        <w:t>This appendix presents additional detail on the decision module.</w:t>
      </w:r>
    </w:p>
    <w:p w:rsidR="00CF6B94" w:rsidRDefault="00CF6B94" w:rsidP="00CF6B94">
      <w:pPr>
        <w:pStyle w:val="Heading2"/>
      </w:pPr>
      <w:r>
        <w:t>Decision module framework</w:t>
      </w:r>
    </w:p>
    <w:p w:rsidR="00CF6B94" w:rsidRDefault="00CF6B94" w:rsidP="00CF6B94">
      <w:pPr>
        <w:pStyle w:val="BodyText"/>
      </w:pPr>
      <w:r>
        <w:t xml:space="preserve">In the PCMC model, primary care givers have 120 hours in a working week to spend on various activities. It is assumed that 40 of these hours are spent sleeping. Of the remaining 112 hours, primary care givers can choose to work, look after their </w:t>
      </w:r>
      <w:proofErr w:type="gramStart"/>
      <w:r>
        <w:t>child(</w:t>
      </w:r>
      <w:proofErr w:type="spellStart"/>
      <w:proofErr w:type="gramEnd"/>
      <w:r>
        <w:t>ren</w:t>
      </w:r>
      <w:proofErr w:type="spellEnd"/>
      <w:r>
        <w:t xml:space="preserve">), or enjoy leisure, home production or other activities. </w:t>
      </w:r>
    </w:p>
    <w:p w:rsidR="00CF6B94" w:rsidRDefault="00CF6B94" w:rsidP="00CF6B94">
      <w:pPr>
        <w:pStyle w:val="BodyText"/>
      </w:pPr>
      <w:r>
        <w:t>Children are also assumed to have 120 hours in the week. They are assumed to sleep for 50 of those hours, and their remaining hours can be spent being minded by the primary care giver, being minded in formal childcare, being minded at school (for school</w:t>
      </w:r>
      <w:r>
        <w:noBreakHyphen/>
        <w:t xml:space="preserve">aged children) or being minded in informal care. </w:t>
      </w:r>
    </w:p>
    <w:p w:rsidR="00CF6B94" w:rsidRDefault="00CF6B94" w:rsidP="00CF6B94">
      <w:pPr>
        <w:pStyle w:val="BodyText"/>
      </w:pPr>
      <w:r>
        <w:t>A number of simplifying assumptions are made regarding when these activities can occur.</w:t>
      </w:r>
    </w:p>
    <w:p w:rsidR="00CF6B94" w:rsidRDefault="00CF6B94" w:rsidP="00DE1F1B">
      <w:pPr>
        <w:pStyle w:val="ListBullet"/>
      </w:pPr>
      <w:r>
        <w:t xml:space="preserve">If a child is at home and the primary caregiver is at home (and they are both awake), the primary care giver is assumed to care for the child. </w:t>
      </w:r>
    </w:p>
    <w:p w:rsidR="00CF6B94" w:rsidRDefault="00CF6B94" w:rsidP="00DE1F1B">
      <w:pPr>
        <w:pStyle w:val="ListBullet"/>
      </w:pPr>
      <w:r>
        <w:t xml:space="preserve">If the child is in formal care (or at school) and the primary care giver is at home, the primary care giver is assumed to undertake leisure/home production. </w:t>
      </w:r>
    </w:p>
    <w:p w:rsidR="00CF6B94" w:rsidRDefault="00CF6B94" w:rsidP="00DE1F1B">
      <w:pPr>
        <w:pStyle w:val="ListBullet"/>
      </w:pPr>
      <w:r>
        <w:t>If the primary care giver is at work, and the child is not in formal care, the child is assumed to be in informal care (this includes care by the secondary care giver in a couple).</w:t>
      </w:r>
    </w:p>
    <w:p w:rsidR="00CF6B94" w:rsidRDefault="00CF6B94" w:rsidP="00CF6B94">
      <w:pPr>
        <w:pStyle w:val="BodyText"/>
        <w:keepNext/>
        <w:keepLines/>
      </w:pPr>
      <w:r>
        <w:t>Households are assumed to make two choices simultaneously:</w:t>
      </w:r>
    </w:p>
    <w:p w:rsidR="00CF6B94" w:rsidRDefault="00CF6B94" w:rsidP="00DE1F1B">
      <w:pPr>
        <w:pStyle w:val="ListBullet"/>
      </w:pPr>
      <w:r>
        <w:t xml:space="preserve">the number of hours that the primary care giver works </w:t>
      </w:r>
    </w:p>
    <w:p w:rsidR="00CF6B94" w:rsidRDefault="00CF6B94" w:rsidP="00DE1F1B">
      <w:pPr>
        <w:pStyle w:val="ListBullet"/>
      </w:pPr>
      <w:proofErr w:type="gramStart"/>
      <w:r>
        <w:t>the</w:t>
      </w:r>
      <w:proofErr w:type="gramEnd"/>
      <w:r>
        <w:t xml:space="preserve"> number of hours that the youngest child is in formal child care.</w:t>
      </w:r>
    </w:p>
    <w:p w:rsidR="00CF6B94" w:rsidRDefault="00CF6B94" w:rsidP="00CF6B94">
      <w:pPr>
        <w:pStyle w:val="BodyText"/>
      </w:pPr>
      <w:r>
        <w:t xml:space="preserve">Households must choose from a set of discrete options for these two choices: </w:t>
      </w:r>
    </w:p>
    <w:p w:rsidR="00CF6B94" w:rsidRDefault="00CF6B94" w:rsidP="00DE1F1B">
      <w:pPr>
        <w:pStyle w:val="ListBullet"/>
      </w:pPr>
      <w:r>
        <w:t>labour supply can be 0, 8, 16, 24, 32, 40, 48 or 56 hours a week</w:t>
      </w:r>
    </w:p>
    <w:p w:rsidR="00CF6B94" w:rsidRDefault="00CF6B94" w:rsidP="00DE1F1B">
      <w:pPr>
        <w:pStyle w:val="ListBullet"/>
      </w:pPr>
      <w:proofErr w:type="gramStart"/>
      <w:r>
        <w:t>formal</w:t>
      </w:r>
      <w:proofErr w:type="gramEnd"/>
      <w:r>
        <w:t xml:space="preserve"> child care can be 0, 10, 20, 30, 40 or 50 hours a week.</w:t>
      </w:r>
      <w:r>
        <w:rPr>
          <w:rStyle w:val="FootnoteReference"/>
        </w:rPr>
        <w:footnoteReference w:id="21"/>
      </w:r>
    </w:p>
    <w:p w:rsidR="00CF6B94" w:rsidRDefault="00CF6B94" w:rsidP="00CF6B94">
      <w:pPr>
        <w:pStyle w:val="BodyText"/>
      </w:pPr>
      <w:r>
        <w:lastRenderedPageBreak/>
        <w:t>Households with multiple children are assumed to base labour supply and childcare decisions on the caring needs of the youngest child. That is, childcare for older children mirrors the decision for the youngest child. For example, for a family with one pre</w:t>
      </w:r>
      <w:r>
        <w:noBreakHyphen/>
        <w:t>school and one school</w:t>
      </w:r>
      <w:r>
        <w:noBreakHyphen/>
        <w:t>age child, if the younger child requires 40 hours per week of non</w:t>
      </w:r>
      <w:r>
        <w:noBreakHyphen/>
        <w:t>primary</w:t>
      </w:r>
      <w:r>
        <w:noBreakHyphen/>
        <w:t xml:space="preserve">carer childcare, the older child would also require 40 hours of care (comprising of school and OSHC). The costs associated with the formal care of </w:t>
      </w:r>
      <w:r w:rsidRPr="00985996">
        <w:rPr>
          <w:i/>
        </w:rPr>
        <w:t>all</w:t>
      </w:r>
      <w:r>
        <w:t xml:space="preserve"> children in a household factor in the estimate of a household’s net income and its decisions (that is, households have to pay for and receive utility from care for all children, but the nature of the care decision is driven by the youngest). </w:t>
      </w:r>
    </w:p>
    <w:p w:rsidR="00CF6B94" w:rsidRDefault="00CF6B94" w:rsidP="00CF6B94">
      <w:pPr>
        <w:pStyle w:val="BodyText"/>
      </w:pPr>
      <w:r>
        <w:t xml:space="preserve">Households are permitted to use one type of formal care for children aged 0 to 4 years old. The types of care available for 0 to 4 year olds are: LDC, FDC, qualified nannies, and up to 15 hours per week of preschool. </w:t>
      </w:r>
      <w:proofErr w:type="gramStart"/>
      <w:r>
        <w:t xml:space="preserve">Households who do not use a type of care in the base case, are assigned a childcare type for children aged 0 to 4, based on their income and </w:t>
      </w:r>
      <w:r w:rsidRPr="0000210B">
        <w:t>childcare administrative data</w:t>
      </w:r>
      <w:r>
        <w:t xml:space="preserve"> to inform the underlying probability distribution.</w:t>
      </w:r>
      <w:proofErr w:type="gramEnd"/>
      <w:r w:rsidRPr="003F4FC9">
        <w:t xml:space="preserve"> </w:t>
      </w:r>
      <w:r>
        <w:t>All children aged 5 to 12 years old are assumed to use OSHC if any formal care is required, and receive the same amount of informal care as younger children.</w:t>
      </w:r>
    </w:p>
    <w:p w:rsidR="00CF6B94" w:rsidRDefault="00CF6B94" w:rsidP="00CF6B94">
      <w:pPr>
        <w:pStyle w:val="BodyText"/>
      </w:pPr>
      <w:r>
        <w:t>All households are assigned childcare prices using the methodology presented in Appendix A.</w:t>
      </w:r>
    </w:p>
    <w:p w:rsidR="00CF6B94" w:rsidRDefault="00CF6B94" w:rsidP="00CF6B94">
      <w:pPr>
        <w:pStyle w:val="Heading3"/>
      </w:pPr>
      <w:r>
        <w:t>The utility function</w:t>
      </w:r>
    </w:p>
    <w:p w:rsidR="00CF6B94" w:rsidRDefault="00CF6B94" w:rsidP="00CF6B94">
      <w:pPr>
        <w:pStyle w:val="BodyText"/>
      </w:pPr>
      <w:r>
        <w:t>Households are assumed to choose the combination of the number of hours of work supplied by the primary care giver and the number of hours of formal childcare demanded that maximises household utility.</w:t>
      </w:r>
    </w:p>
    <w:p w:rsidR="00CF6B94" w:rsidRDefault="00CF6B94" w:rsidP="00CF6B94">
      <w:pPr>
        <w:pStyle w:val="BodyText"/>
      </w:pPr>
      <w:r>
        <w:t xml:space="preserve">Primary carers can make a choice from the limited set of discrete combinations of labour and childcare hours mentioned above. </w:t>
      </w:r>
    </w:p>
    <w:p w:rsidR="00CF6B94" w:rsidRDefault="00CF6B94" w:rsidP="00CF6B94">
      <w:pPr>
        <w:pStyle w:val="BodyText"/>
      </w:pPr>
      <w:r>
        <w:t>Households derive utility (</w:t>
      </w:r>
      <w:r w:rsidRPr="006F5E89">
        <w:rPr>
          <w:i/>
        </w:rPr>
        <w:t>u</w:t>
      </w:r>
      <w:r>
        <w:t>) (or disutility) from:</w:t>
      </w:r>
    </w:p>
    <w:p w:rsidR="00CF6B94" w:rsidRDefault="00CF6B94" w:rsidP="00DE1F1B">
      <w:pPr>
        <w:pStyle w:val="ListBullet"/>
      </w:pPr>
      <w:r>
        <w:t>household income net of taxes and transfers less out-of-pocket childcare costs (</w:t>
      </w:r>
      <w:r>
        <w:rPr>
          <w:i/>
        </w:rPr>
        <w:t>y)</w:t>
      </w:r>
    </w:p>
    <w:p w:rsidR="00CF6B94" w:rsidRDefault="00CF6B94" w:rsidP="00DE1F1B">
      <w:pPr>
        <w:pStyle w:val="ListBullet"/>
      </w:pPr>
      <w:r>
        <w:t>the labour supply of adult members of the household (</w:t>
      </w:r>
      <w:r w:rsidRPr="002F2A44">
        <w:rPr>
          <w:i/>
        </w:rPr>
        <w:t>h</w:t>
      </w:r>
      <w:r>
        <w:t>)</w:t>
      </w:r>
      <w:r>
        <w:rPr>
          <w:rStyle w:val="FootnoteReference"/>
        </w:rPr>
        <w:footnoteReference w:id="22"/>
      </w:r>
    </w:p>
    <w:p w:rsidR="00CF6B94" w:rsidRDefault="00CF6B94" w:rsidP="00DE1F1B">
      <w:pPr>
        <w:pStyle w:val="ListBullet"/>
      </w:pPr>
      <w:r>
        <w:t>childcare provided by the primary care giver (</w:t>
      </w:r>
      <w:r>
        <w:rPr>
          <w:i/>
        </w:rPr>
        <w:t>m</w:t>
      </w:r>
      <w:r>
        <w:t>)</w:t>
      </w:r>
    </w:p>
    <w:p w:rsidR="00CF6B94" w:rsidRDefault="00CF6B94" w:rsidP="00DE1F1B">
      <w:pPr>
        <w:pStyle w:val="ListBullet"/>
      </w:pPr>
      <w:proofErr w:type="gramStart"/>
      <w:r>
        <w:t>childcare</w:t>
      </w:r>
      <w:proofErr w:type="gramEnd"/>
      <w:r>
        <w:t xml:space="preserve"> provided informally (</w:t>
      </w:r>
      <w:proofErr w:type="spellStart"/>
      <w:r w:rsidRPr="00997B04">
        <w:rPr>
          <w:i/>
        </w:rPr>
        <w:t>i</w:t>
      </w:r>
      <w:proofErr w:type="spellEnd"/>
      <w:r>
        <w:t>).</w:t>
      </w:r>
    </w:p>
    <w:p w:rsidR="00CF6B94" w:rsidRDefault="00CF6B94" w:rsidP="00CF6B94">
      <w:pPr>
        <w:pStyle w:val="BodyText"/>
      </w:pPr>
      <w:r>
        <w:t>Like MITTS, the model uses a quadratic utility function. This function consists of squared terms, linear terms for all inputs and cross product terms for all inputs into the utility function.</w:t>
      </w:r>
    </w:p>
    <w:p w:rsidR="00CF6B94" w:rsidRDefault="00CF6B94" w:rsidP="00CF6B94">
      <w:pPr>
        <w:pStyle w:val="BodyText"/>
      </w:pPr>
      <w:r>
        <w:lastRenderedPageBreak/>
        <w:t>A fixed cost of working parameter is included in the linear income variable (</w:t>
      </w:r>
      <m:oMath>
        <m:r>
          <w:rPr>
            <w:rFonts w:ascii="Cambria Math" w:hAnsi="Cambria Math"/>
          </w:rPr>
          <m:t>γ</m:t>
        </m:r>
      </m:oMath>
      <w:r>
        <w:t>). This is used to prevent the model from under</w:t>
      </w:r>
      <w:r>
        <w:noBreakHyphen/>
        <w:t>predicting non</w:t>
      </w:r>
      <w:r>
        <w:noBreakHyphen/>
        <w:t>participation and over</w:t>
      </w:r>
      <w:r>
        <w:noBreakHyphen/>
        <w:t>predicting part</w:t>
      </w:r>
      <w:r>
        <w:noBreakHyphen/>
        <w:t>time hours.</w:t>
      </w:r>
    </w:p>
    <w:p w:rsidR="00CF6B94" w:rsidRDefault="00CF6B94" w:rsidP="00CF6B94">
      <w:pPr>
        <w:pStyle w:val="BodyText"/>
      </w:pPr>
      <w:r>
        <w:t>Heterogeneity of preferences was included in the module by making the linear terms (including the fixed cost term) depend on household and individual characteristics (such as the age of the youngest child, the number of children, age of parents and educational attainment of parents).</w:t>
      </w:r>
    </w:p>
    <w:p w:rsidR="00CF6B94" w:rsidRPr="00376777" w:rsidRDefault="00CF6B94" w:rsidP="00CF6B94">
      <w:pPr>
        <w:pStyle w:val="BodyText"/>
        <w:keepLines/>
      </w:pPr>
      <w:r w:rsidRPr="00376777">
        <w:t>The deterministic component of the utility function for sole parent households can be represented as:</w:t>
      </w:r>
    </w:p>
    <w:p w:rsidR="00CF6B94" w:rsidRDefault="00CF6B94" w:rsidP="00CF6B94">
      <w:pPr>
        <w:pStyle w:val="BodyText"/>
        <w:keepLines/>
      </w:pPr>
      <w:r>
        <w:t xml:space="preserve">(1) </w:t>
      </w:r>
      <m:oMath>
        <m:r>
          <w:rPr>
            <w:rFonts w:ascii="Cambria Math" w:hAnsi="Cambria Math"/>
          </w:rPr>
          <m:t>u=</m:t>
        </m:r>
        <m:sSub>
          <m:sSubPr>
            <m:ctrlPr>
              <w:rPr>
                <w:rFonts w:ascii="Cambria Math" w:hAnsi="Cambria Math"/>
                <w:i/>
              </w:rPr>
            </m:ctrlPr>
          </m:sSubPr>
          <m:e>
            <m:r>
              <w:rPr>
                <w:rFonts w:ascii="Cambria Math" w:hAnsi="Cambria Math"/>
              </w:rPr>
              <m:t>α</m:t>
            </m:r>
          </m:e>
          <m:sub>
            <m:r>
              <w:rPr>
                <w:rFonts w:ascii="Cambria Math" w:hAnsi="Cambria Math"/>
              </w:rPr>
              <m:t>y</m:t>
            </m:r>
          </m:sub>
        </m:sSub>
        <m:sSup>
          <m:sSupPr>
            <m:ctrlPr>
              <w:rPr>
                <w:rFonts w:ascii="Cambria Math" w:hAnsi="Cambria Math"/>
                <w:i/>
              </w:rPr>
            </m:ctrlPr>
          </m:sSupPr>
          <m:e>
            <m:d>
              <m:dPr>
                <m:ctrlPr>
                  <w:rPr>
                    <w:rFonts w:ascii="Cambria Math" w:hAnsi="Cambria Math"/>
                    <w:i/>
                  </w:rPr>
                </m:ctrlPr>
              </m:dPr>
              <m:e>
                <m:r>
                  <w:rPr>
                    <w:rFonts w:ascii="Cambria Math" w:hAnsi="Cambria Math"/>
                  </w:rPr>
                  <m:t>y</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h</m:t>
            </m:r>
          </m:sub>
        </m:sSub>
        <m:sSup>
          <m:sSupPr>
            <m:ctrlPr>
              <w:rPr>
                <w:rFonts w:ascii="Cambria Math" w:hAnsi="Cambria Math"/>
                <w:i/>
              </w:rPr>
            </m:ctrlPr>
          </m:sSupPr>
          <m:e>
            <m:d>
              <m:dPr>
                <m:ctrlPr>
                  <w:rPr>
                    <w:rFonts w:ascii="Cambria Math" w:hAnsi="Cambria Math"/>
                    <w:i/>
                  </w:rPr>
                </m:ctrlPr>
              </m:dPr>
              <m:e>
                <m:r>
                  <w:rPr>
                    <w:rFonts w:ascii="Cambria Math" w:hAnsi="Cambria Math"/>
                  </w:rPr>
                  <m:t>h</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m</m:t>
            </m:r>
          </m:sub>
        </m:sSub>
        <m:sSup>
          <m:sSupPr>
            <m:ctrlPr>
              <w:rPr>
                <w:rFonts w:ascii="Cambria Math" w:hAnsi="Cambria Math"/>
                <w:i/>
              </w:rPr>
            </m:ctrlPr>
          </m:sSupPr>
          <m:e>
            <m:d>
              <m:dPr>
                <m:ctrlPr>
                  <w:rPr>
                    <w:rFonts w:ascii="Cambria Math" w:hAnsi="Cambria Math"/>
                    <w:i/>
                  </w:rPr>
                </m:ctrlPr>
              </m:dPr>
              <m:e>
                <m:r>
                  <w:rPr>
                    <w:rFonts w:ascii="Cambria Math" w:hAnsi="Cambria Math"/>
                  </w:rPr>
                  <m:t>m</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m:t>
            </m:r>
          </m:sub>
        </m:sSub>
        <m:sSup>
          <m:sSupPr>
            <m:ctrlPr>
              <w:rPr>
                <w:rFonts w:ascii="Cambria Math" w:hAnsi="Cambria Math"/>
                <w:i/>
              </w:rPr>
            </m:ctrlPr>
          </m:sSupPr>
          <m:e>
            <m:d>
              <m:dPr>
                <m:ctrlPr>
                  <w:rPr>
                    <w:rFonts w:ascii="Cambria Math" w:hAnsi="Cambria Math"/>
                    <w:i/>
                  </w:rPr>
                </m:ctrlPr>
              </m:dPr>
              <m:e>
                <m:r>
                  <w:rPr>
                    <w:rFonts w:ascii="Cambria Math" w:hAnsi="Cambria Math"/>
                  </w:rPr>
                  <m:t>i</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yh</m:t>
            </m:r>
          </m:sub>
        </m:sSub>
        <m:r>
          <w:rPr>
            <w:rFonts w:ascii="Cambria Math" w:hAnsi="Cambria Math"/>
          </w:rPr>
          <m:t>yh+</m:t>
        </m:r>
        <m:sSub>
          <m:sSubPr>
            <m:ctrlPr>
              <w:rPr>
                <w:rFonts w:ascii="Cambria Math" w:hAnsi="Cambria Math"/>
                <w:i/>
              </w:rPr>
            </m:ctrlPr>
          </m:sSubPr>
          <m:e>
            <m:r>
              <w:rPr>
                <w:rFonts w:ascii="Cambria Math" w:hAnsi="Cambria Math"/>
              </w:rPr>
              <m:t>α</m:t>
            </m:r>
          </m:e>
          <m:sub>
            <m:r>
              <w:rPr>
                <w:rFonts w:ascii="Cambria Math" w:hAnsi="Cambria Math"/>
              </w:rPr>
              <m:t>ym</m:t>
            </m:r>
          </m:sub>
        </m:sSub>
        <m:r>
          <w:rPr>
            <w:rFonts w:ascii="Cambria Math" w:hAnsi="Cambria Math"/>
          </w:rPr>
          <m:t>ym+</m:t>
        </m:r>
        <m:sSub>
          <m:sSubPr>
            <m:ctrlPr>
              <w:rPr>
                <w:rFonts w:ascii="Cambria Math" w:hAnsi="Cambria Math"/>
                <w:i/>
              </w:rPr>
            </m:ctrlPr>
          </m:sSubPr>
          <m:e>
            <m:r>
              <w:rPr>
                <w:rFonts w:ascii="Cambria Math" w:hAnsi="Cambria Math"/>
              </w:rPr>
              <m:t>α</m:t>
            </m:r>
          </m:e>
          <m:sub>
            <m:r>
              <w:rPr>
                <w:rFonts w:ascii="Cambria Math" w:hAnsi="Cambria Math"/>
              </w:rPr>
              <m:t>yi</m:t>
            </m:r>
          </m:sub>
        </m:sSub>
        <m:r>
          <w:rPr>
            <w:rFonts w:ascii="Cambria Math" w:hAnsi="Cambria Math"/>
          </w:rPr>
          <m:t>yi</m:t>
        </m:r>
      </m:oMath>
    </w:p>
    <w:p w:rsidR="00CF6B94" w:rsidRDefault="00CF6B94" w:rsidP="00CF6B94">
      <w:pPr>
        <w:pStyle w:val="BodyText"/>
        <w:keepLines/>
      </w:pPr>
      <w:r>
        <w:tab/>
        <w:t xml:space="preserve">   </w:t>
      </w:r>
      <m:oMath>
        <m:sSub>
          <m:sSubPr>
            <m:ctrlPr>
              <w:rPr>
                <w:rFonts w:ascii="Cambria Math" w:hAnsi="Cambria Math"/>
                <w:i/>
              </w:rPr>
            </m:ctrlPr>
          </m:sSubPr>
          <m:e>
            <m:r>
              <w:rPr>
                <w:rFonts w:ascii="Cambria Math" w:hAnsi="Cambria Math"/>
              </w:rPr>
              <m:t>α</m:t>
            </m:r>
          </m:e>
          <m:sub>
            <m:r>
              <w:rPr>
                <w:rFonts w:ascii="Cambria Math" w:hAnsi="Cambria Math"/>
              </w:rPr>
              <m:t>hm</m:t>
            </m:r>
          </m:sub>
        </m:sSub>
        <m:r>
          <w:rPr>
            <w:rFonts w:ascii="Cambria Math" w:hAnsi="Cambria Math"/>
          </w:rPr>
          <m:t>hm+</m:t>
        </m:r>
        <m:sSub>
          <m:sSubPr>
            <m:ctrlPr>
              <w:rPr>
                <w:rFonts w:ascii="Cambria Math" w:hAnsi="Cambria Math"/>
                <w:i/>
              </w:rPr>
            </m:ctrlPr>
          </m:sSubPr>
          <m:e>
            <m:r>
              <w:rPr>
                <w:rFonts w:ascii="Cambria Math" w:hAnsi="Cambria Math"/>
              </w:rPr>
              <m:t>α</m:t>
            </m:r>
          </m:e>
          <m:sub>
            <m:r>
              <w:rPr>
                <w:rFonts w:ascii="Cambria Math" w:hAnsi="Cambria Math"/>
              </w:rPr>
              <m:t>hi</m:t>
            </m:r>
          </m:sub>
        </m:sSub>
        <m:r>
          <w:rPr>
            <w:rFonts w:ascii="Cambria Math" w:hAnsi="Cambria Math"/>
          </w:rPr>
          <m:t>hi+</m:t>
        </m:r>
        <m:sSub>
          <m:sSubPr>
            <m:ctrlPr>
              <w:rPr>
                <w:rFonts w:ascii="Cambria Math" w:hAnsi="Cambria Math"/>
                <w:i/>
              </w:rPr>
            </m:ctrlPr>
          </m:sSubPr>
          <m:e>
            <m:r>
              <w:rPr>
                <w:rFonts w:ascii="Cambria Math" w:hAnsi="Cambria Math"/>
              </w:rPr>
              <m:t>α</m:t>
            </m:r>
          </m:e>
          <m:sub>
            <m:r>
              <w:rPr>
                <w:rFonts w:ascii="Cambria Math" w:hAnsi="Cambria Math"/>
              </w:rPr>
              <m:t>mi</m:t>
            </m:r>
          </m:sub>
        </m:sSub>
        <m:r>
          <w:rPr>
            <w:rFonts w:ascii="Cambria Math" w:hAnsi="Cambria Math"/>
          </w:rPr>
          <m:t>mi+</m:t>
        </m:r>
        <m:sSub>
          <m:sSubPr>
            <m:ctrlPr>
              <w:rPr>
                <w:rFonts w:ascii="Cambria Math" w:hAnsi="Cambria Math"/>
                <w:i/>
              </w:rPr>
            </m:ctrlPr>
          </m:sSubPr>
          <m:e>
            <m:r>
              <w:rPr>
                <w:rFonts w:ascii="Cambria Math" w:hAnsi="Cambria Math"/>
              </w:rPr>
              <m:t>β</m:t>
            </m:r>
          </m:e>
          <m:sub>
            <m:r>
              <w:rPr>
                <w:rFonts w:ascii="Cambria Math" w:hAnsi="Cambria Math"/>
              </w:rPr>
              <m:t>y</m:t>
            </m:r>
          </m:sub>
        </m:sSub>
        <m:d>
          <m:dPr>
            <m:ctrlPr>
              <w:rPr>
                <w:rFonts w:ascii="Cambria Math" w:hAnsi="Cambria Math"/>
                <w:i/>
              </w:rPr>
            </m:ctrlPr>
          </m:dPr>
          <m:e>
            <m:r>
              <w:rPr>
                <w:rFonts w:ascii="Cambria Math" w:hAnsi="Cambria Math"/>
              </w:rPr>
              <m:t>y-γ</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h</m:t>
            </m:r>
          </m:sub>
        </m:sSub>
        <m:r>
          <w:rPr>
            <w:rFonts w:ascii="Cambria Math" w:hAnsi="Cambria Math"/>
          </w:rPr>
          <m:t>h+</m:t>
        </m:r>
        <m:sSub>
          <m:sSubPr>
            <m:ctrlPr>
              <w:rPr>
                <w:rFonts w:ascii="Cambria Math" w:hAnsi="Cambria Math"/>
                <w:i/>
              </w:rPr>
            </m:ctrlPr>
          </m:sSubPr>
          <m:e>
            <m:r>
              <w:rPr>
                <w:rFonts w:ascii="Cambria Math" w:hAnsi="Cambria Math"/>
              </w:rPr>
              <m:t>β</m:t>
            </m:r>
          </m:e>
          <m:sub>
            <m:r>
              <w:rPr>
                <w:rFonts w:ascii="Cambria Math" w:hAnsi="Cambria Math"/>
              </w:rPr>
              <m:t>m</m:t>
            </m:r>
          </m:sub>
        </m:sSub>
        <m:r>
          <w:rPr>
            <w:rFonts w:ascii="Cambria Math" w:hAnsi="Cambria Math"/>
          </w:rPr>
          <m:t>m+</m:t>
        </m:r>
        <m:sSub>
          <m:sSubPr>
            <m:ctrlPr>
              <w:rPr>
                <w:rFonts w:ascii="Cambria Math" w:hAnsi="Cambria Math"/>
                <w:i/>
              </w:rPr>
            </m:ctrlPr>
          </m:sSubPr>
          <m:e>
            <m:r>
              <w:rPr>
                <w:rFonts w:ascii="Cambria Math" w:hAnsi="Cambria Math"/>
              </w:rPr>
              <m:t>β</m:t>
            </m:r>
          </m:e>
          <m:sub>
            <m:r>
              <w:rPr>
                <w:rFonts w:ascii="Cambria Math" w:hAnsi="Cambria Math"/>
              </w:rPr>
              <m:t>i</m:t>
            </m:r>
          </m:sub>
        </m:sSub>
        <m:r>
          <w:rPr>
            <w:rFonts w:ascii="Cambria Math" w:hAnsi="Cambria Math"/>
          </w:rPr>
          <m:t>i</m:t>
        </m:r>
      </m:oMath>
    </w:p>
    <w:p w:rsidR="00CF6B94" w:rsidRDefault="00CF6B94" w:rsidP="00CF6B94">
      <w:pPr>
        <w:pStyle w:val="BodyText"/>
        <w:keepLines/>
      </w:pPr>
      <w:proofErr w:type="gramStart"/>
      <w:r>
        <w:t>where</w:t>
      </w:r>
      <w:proofErr w:type="gramEnd"/>
      <w:r>
        <w:t xml:space="preserve"> the ‘α’s and the ‘β’s are parameter values. The utility function for couple households can be represented as:</w:t>
      </w:r>
    </w:p>
    <w:p w:rsidR="00CF6B94" w:rsidRDefault="00CF6B94" w:rsidP="00CF6B94">
      <w:pPr>
        <w:pStyle w:val="BodyText"/>
        <w:keepLines/>
      </w:pPr>
      <w:r>
        <w:t xml:space="preserve">(2) </w:t>
      </w:r>
      <m:oMath>
        <m:r>
          <w:rPr>
            <w:rFonts w:ascii="Cambria Math" w:hAnsi="Cambria Math"/>
          </w:rPr>
          <m:t>u=</m:t>
        </m:r>
        <m:sSub>
          <m:sSubPr>
            <m:ctrlPr>
              <w:rPr>
                <w:rFonts w:ascii="Cambria Math" w:hAnsi="Cambria Math"/>
                <w:i/>
              </w:rPr>
            </m:ctrlPr>
          </m:sSubPr>
          <m:e>
            <m:r>
              <w:rPr>
                <w:rFonts w:ascii="Cambria Math" w:hAnsi="Cambria Math"/>
              </w:rPr>
              <m:t>α</m:t>
            </m:r>
          </m:e>
          <m:sub>
            <m:r>
              <w:rPr>
                <w:rFonts w:ascii="Cambria Math" w:hAnsi="Cambria Math"/>
              </w:rPr>
              <m:t>y</m:t>
            </m:r>
          </m:sub>
        </m:sSub>
        <m:sSup>
          <m:sSupPr>
            <m:ctrlPr>
              <w:rPr>
                <w:rFonts w:ascii="Cambria Math" w:hAnsi="Cambria Math"/>
                <w:i/>
              </w:rPr>
            </m:ctrlPr>
          </m:sSupPr>
          <m:e>
            <m:d>
              <m:dPr>
                <m:ctrlPr>
                  <w:rPr>
                    <w:rFonts w:ascii="Cambria Math" w:hAnsi="Cambria Math"/>
                    <w:i/>
                  </w:rPr>
                </m:ctrlPr>
              </m:dPr>
              <m:e>
                <m:r>
                  <w:rPr>
                    <w:rFonts w:ascii="Cambria Math" w:hAnsi="Cambria Math"/>
                  </w:rPr>
                  <m:t>y</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h</m:t>
            </m:r>
            <m:r>
              <w:rPr>
                <w:rFonts w:ascii="Cambria Math" w:hAnsi="Cambria Math"/>
              </w:rPr>
              <m:t>2</m:t>
            </m:r>
          </m:sub>
        </m:sSub>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2</m:t>
                    </m:r>
                  </m:sub>
                </m:sSub>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m</m:t>
            </m:r>
          </m:sub>
        </m:sSub>
        <m:sSup>
          <m:sSupPr>
            <m:ctrlPr>
              <w:rPr>
                <w:rFonts w:ascii="Cambria Math" w:hAnsi="Cambria Math"/>
                <w:i/>
              </w:rPr>
            </m:ctrlPr>
          </m:sSupPr>
          <m:e>
            <m:d>
              <m:dPr>
                <m:ctrlPr>
                  <w:rPr>
                    <w:rFonts w:ascii="Cambria Math" w:hAnsi="Cambria Math"/>
                    <w:i/>
                  </w:rPr>
                </m:ctrlPr>
              </m:dPr>
              <m:e>
                <m:r>
                  <w:rPr>
                    <w:rFonts w:ascii="Cambria Math" w:hAnsi="Cambria Math"/>
                  </w:rPr>
                  <m:t>m</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m:t>
            </m:r>
          </m:sub>
        </m:sSub>
        <m:sSup>
          <m:sSupPr>
            <m:ctrlPr>
              <w:rPr>
                <w:rFonts w:ascii="Cambria Math" w:hAnsi="Cambria Math"/>
                <w:i/>
              </w:rPr>
            </m:ctrlPr>
          </m:sSupPr>
          <m:e>
            <m:d>
              <m:dPr>
                <m:ctrlPr>
                  <w:rPr>
                    <w:rFonts w:ascii="Cambria Math" w:hAnsi="Cambria Math"/>
                    <w:i/>
                  </w:rPr>
                </m:ctrlPr>
              </m:dPr>
              <m:e>
                <m:r>
                  <w:rPr>
                    <w:rFonts w:ascii="Cambria Math" w:hAnsi="Cambria Math"/>
                  </w:rPr>
                  <m:t>i</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yh</m:t>
            </m:r>
            <m:r>
              <w:rPr>
                <w:rFonts w:ascii="Cambria Math" w:hAnsi="Cambria Math"/>
              </w:rPr>
              <m:t>1</m:t>
            </m:r>
          </m:sub>
        </m:sSub>
        <m:r>
          <w:rPr>
            <w:rFonts w:ascii="Cambria Math" w:hAnsi="Cambria Math"/>
          </w:rPr>
          <m:t>y</m:t>
        </m:r>
        <m:sSub>
          <m:sSubPr>
            <m:ctrlPr>
              <w:rPr>
                <w:rFonts w:ascii="Cambria Math" w:hAnsi="Cambria Math"/>
                <w:i/>
              </w:rPr>
            </m:ctrlPr>
          </m:sSubPr>
          <m:e>
            <m:r>
              <w:rPr>
                <w:rFonts w:ascii="Cambria Math" w:hAnsi="Cambria Math"/>
              </w:rPr>
              <m:t>h</m:t>
            </m:r>
          </m:e>
          <m:sub>
            <m:r>
              <w:rPr>
                <w:rFonts w:ascii="Cambria Math" w:hAnsi="Cambria Math"/>
              </w:rPr>
              <m:t>1</m:t>
            </m:r>
          </m:sub>
        </m:sSub>
      </m:oMath>
    </w:p>
    <w:p w:rsidR="00CF6B94" w:rsidRDefault="00CF6B94" w:rsidP="00CF6B94">
      <w:pPr>
        <w:pStyle w:val="BodyText"/>
        <w:keepLines/>
      </w:pPr>
      <w:r>
        <w:tab/>
        <w:t xml:space="preserve">   </w:t>
      </w:r>
      <m:oMath>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yh</m:t>
            </m:r>
            <m:r>
              <w:rPr>
                <w:rFonts w:ascii="Cambria Math" w:hAnsi="Cambria Math"/>
              </w:rPr>
              <m:t>2</m:t>
            </m:r>
          </m:sub>
        </m:sSub>
        <m:r>
          <w:rPr>
            <w:rFonts w:ascii="Cambria Math" w:hAnsi="Cambria Math"/>
          </w:rPr>
          <m:t>y</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ym</m:t>
            </m:r>
          </m:sub>
        </m:sSub>
        <m:r>
          <w:rPr>
            <w:rFonts w:ascii="Cambria Math" w:hAnsi="Cambria Math"/>
          </w:rPr>
          <m:t>ym+</m:t>
        </m:r>
        <m:sSub>
          <m:sSubPr>
            <m:ctrlPr>
              <w:rPr>
                <w:rFonts w:ascii="Cambria Math" w:hAnsi="Cambria Math"/>
                <w:i/>
              </w:rPr>
            </m:ctrlPr>
          </m:sSubPr>
          <m:e>
            <m:r>
              <w:rPr>
                <w:rFonts w:ascii="Cambria Math" w:hAnsi="Cambria Math"/>
              </w:rPr>
              <m:t>α</m:t>
            </m:r>
          </m:e>
          <m:sub>
            <m:r>
              <w:rPr>
                <w:rFonts w:ascii="Cambria Math" w:hAnsi="Cambria Math"/>
              </w:rPr>
              <m:t>yi</m:t>
            </m:r>
          </m:sub>
        </m:sSub>
        <m:r>
          <w:rPr>
            <w:rFonts w:ascii="Cambria Math" w:hAnsi="Cambria Math"/>
          </w:rPr>
          <m:t>yi+</m:t>
        </m:r>
        <m:sSub>
          <m:sSubPr>
            <m:ctrlPr>
              <w:rPr>
                <w:rFonts w:ascii="Cambria Math" w:hAnsi="Cambria Math"/>
                <w:i/>
              </w:rPr>
            </m:ctrlPr>
          </m:sSubPr>
          <m:e>
            <m:r>
              <w:rPr>
                <w:rFonts w:ascii="Cambria Math" w:hAnsi="Cambria Math"/>
              </w:rPr>
              <m:t>α</m:t>
            </m:r>
          </m:e>
          <m:sub>
            <m:r>
              <w:rPr>
                <w:rFonts w:ascii="Cambria Math" w:hAnsi="Cambria Math"/>
              </w:rPr>
              <m:t>h</m:t>
            </m:r>
            <m:r>
              <w:rPr>
                <w:rFonts w:ascii="Cambria Math" w:hAnsi="Cambria Math"/>
              </w:rPr>
              <m:t>1</m:t>
            </m:r>
            <m:r>
              <w:rPr>
                <w:rFonts w:ascii="Cambria Math" w:hAnsi="Cambria Math"/>
              </w:rPr>
              <m:t>h</m:t>
            </m:r>
            <m:r>
              <w:rPr>
                <w:rFonts w:ascii="Cambria Math" w:hAnsi="Cambria Math"/>
              </w:rPr>
              <m:t>2</m:t>
            </m:r>
          </m:sub>
        </m:sSub>
        <m:sSub>
          <m:sSubPr>
            <m:ctrlPr>
              <w:rPr>
                <w:rFonts w:ascii="Cambria Math" w:hAnsi="Cambria Math"/>
                <w:i/>
              </w:rPr>
            </m:ctrlPr>
          </m:sSubPr>
          <m:e>
            <m:r>
              <w:rPr>
                <w:rFonts w:ascii="Cambria Math" w:hAnsi="Cambria Math"/>
              </w:rPr>
              <m:t>h</m:t>
            </m:r>
          </m:e>
          <m:sub>
            <m:r>
              <w:rPr>
                <w:rFonts w:ascii="Cambria Math" w:hAnsi="Cambria Math"/>
              </w:rPr>
              <m:t>1</m:t>
            </m:r>
          </m:sub>
        </m:sSub>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h1m</m:t>
            </m:r>
          </m:sub>
        </m:sSub>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m:t>
        </m:r>
        <m:sSub>
          <m:sSubPr>
            <m:ctrlPr>
              <w:rPr>
                <w:rFonts w:ascii="Cambria Math" w:hAnsi="Cambria Math"/>
                <w:i/>
              </w:rPr>
            </m:ctrlPr>
          </m:sSubPr>
          <m:e>
            <m:r>
              <w:rPr>
                <w:rFonts w:ascii="Cambria Math" w:hAnsi="Cambria Math"/>
              </w:rPr>
              <m:t>α</m:t>
            </m:r>
          </m:e>
          <m:sub>
            <m:r>
              <w:rPr>
                <w:rFonts w:ascii="Cambria Math" w:hAnsi="Cambria Math"/>
              </w:rPr>
              <m:t>h1i</m:t>
            </m:r>
          </m:sub>
        </m:sSub>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i</m:t>
        </m:r>
      </m:oMath>
    </w:p>
    <w:p w:rsidR="00CF6B94" w:rsidRPr="00826A17" w:rsidRDefault="00CF6B94" w:rsidP="00CF6B94">
      <w:pPr>
        <w:pStyle w:val="BodyText"/>
        <w:keepLines/>
      </w:pPr>
      <w:r>
        <w:tab/>
        <w:t xml:space="preserve">   </w:t>
      </w:r>
      <m:oMath>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h2m</m:t>
            </m:r>
          </m:sub>
        </m:sSub>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m+</m:t>
        </m:r>
        <m:sSub>
          <m:sSubPr>
            <m:ctrlPr>
              <w:rPr>
                <w:rFonts w:ascii="Cambria Math" w:hAnsi="Cambria Math"/>
                <w:i/>
              </w:rPr>
            </m:ctrlPr>
          </m:sSubPr>
          <m:e>
            <m:r>
              <w:rPr>
                <w:rFonts w:ascii="Cambria Math" w:hAnsi="Cambria Math"/>
              </w:rPr>
              <m:t>α</m:t>
            </m:r>
          </m:e>
          <m:sub>
            <m:r>
              <w:rPr>
                <w:rFonts w:ascii="Cambria Math" w:hAnsi="Cambria Math"/>
              </w:rPr>
              <m:t>h2i</m:t>
            </m:r>
          </m:sub>
        </m:sSub>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i+</m:t>
        </m:r>
        <m:sSub>
          <m:sSubPr>
            <m:ctrlPr>
              <w:rPr>
                <w:rFonts w:ascii="Cambria Math" w:hAnsi="Cambria Math"/>
                <w:i/>
              </w:rPr>
            </m:ctrlPr>
          </m:sSubPr>
          <m:e>
            <m:r>
              <w:rPr>
                <w:rFonts w:ascii="Cambria Math" w:hAnsi="Cambria Math"/>
              </w:rPr>
              <m:t>α</m:t>
            </m:r>
          </m:e>
          <m:sub>
            <m:r>
              <w:rPr>
                <w:rFonts w:ascii="Cambria Math" w:hAnsi="Cambria Math"/>
              </w:rPr>
              <m:t>mi</m:t>
            </m:r>
          </m:sub>
        </m:sSub>
        <m:r>
          <w:rPr>
            <w:rFonts w:ascii="Cambria Math" w:hAnsi="Cambria Math"/>
          </w:rPr>
          <m:t>mi</m:t>
        </m:r>
      </m:oMath>
    </w:p>
    <w:p w:rsidR="00CF6B94" w:rsidRDefault="00CF6B94" w:rsidP="00CF6B94">
      <w:pPr>
        <w:pStyle w:val="BodyText"/>
        <w:keepLines/>
      </w:pPr>
      <w:r>
        <w:tab/>
        <w:t xml:space="preserve">   </w:t>
      </w:r>
      <m:oMath>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y</m:t>
            </m:r>
          </m:sub>
        </m:sSub>
        <m:d>
          <m:dPr>
            <m:ctrlPr>
              <w:rPr>
                <w:rFonts w:ascii="Cambria Math" w:hAnsi="Cambria Math"/>
                <w:i/>
              </w:rPr>
            </m:ctrlPr>
          </m:dPr>
          <m:e>
            <m:r>
              <w:rPr>
                <w:rFonts w:ascii="Cambria Math" w:hAnsi="Cambria Math"/>
              </w:rPr>
              <m:t>y-γ</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h</m:t>
            </m:r>
            <m:r>
              <w:rPr>
                <w:rFonts w:ascii="Cambria Math" w:hAnsi="Cambria Math"/>
              </w:rPr>
              <m:t>2</m:t>
            </m:r>
          </m:sub>
        </m:sSub>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m</m:t>
            </m:r>
          </m:sub>
        </m:sSub>
        <m:r>
          <w:rPr>
            <w:rFonts w:ascii="Cambria Math" w:hAnsi="Cambria Math"/>
          </w:rPr>
          <m:t>m+</m:t>
        </m:r>
        <m:sSub>
          <m:sSubPr>
            <m:ctrlPr>
              <w:rPr>
                <w:rFonts w:ascii="Cambria Math" w:hAnsi="Cambria Math"/>
                <w:i/>
              </w:rPr>
            </m:ctrlPr>
          </m:sSubPr>
          <m:e>
            <m:r>
              <w:rPr>
                <w:rFonts w:ascii="Cambria Math" w:hAnsi="Cambria Math"/>
              </w:rPr>
              <m:t>β</m:t>
            </m:r>
          </m:e>
          <m:sub>
            <m:r>
              <w:rPr>
                <w:rFonts w:ascii="Cambria Math" w:hAnsi="Cambria Math"/>
              </w:rPr>
              <m:t>i</m:t>
            </m:r>
          </m:sub>
        </m:sSub>
        <m:r>
          <w:rPr>
            <w:rFonts w:ascii="Cambria Math" w:hAnsi="Cambria Math"/>
          </w:rPr>
          <m:t>i</m:t>
        </m:r>
      </m:oMath>
    </w:p>
    <w:p w:rsidR="00CF6B94" w:rsidRDefault="00CF6B94" w:rsidP="00CF6B94">
      <w:pPr>
        <w:pStyle w:val="BodyText"/>
      </w:pPr>
      <w:r>
        <w:t xml:space="preserve">The parameter values for these utility functions were estimated using a multinomial logit </w:t>
      </w:r>
      <w:r w:rsidRPr="00012C26">
        <w:t xml:space="preserve">model. The estimation process is discussed in </w:t>
      </w:r>
      <w:r>
        <w:t>a</w:t>
      </w:r>
      <w:r w:rsidRPr="00012C26">
        <w:t xml:space="preserve">ppendix </w:t>
      </w:r>
      <w:r>
        <w:t>C</w:t>
      </w:r>
      <w:r w:rsidRPr="00012C26">
        <w:t>.</w:t>
      </w:r>
    </w:p>
    <w:p w:rsidR="00CF6B94" w:rsidRDefault="00CF6B94" w:rsidP="00BD2E8E">
      <w:pPr>
        <w:pStyle w:val="Heading3"/>
        <w:keepNext w:val="0"/>
        <w:widowControl w:val="0"/>
      </w:pPr>
      <w:r>
        <w:t>Individual household responses are complex</w:t>
      </w:r>
    </w:p>
    <w:p w:rsidR="00CF6B94" w:rsidRDefault="00CF6B94" w:rsidP="00BD2E8E">
      <w:pPr>
        <w:pStyle w:val="BodyText"/>
        <w:widowControl w:val="0"/>
      </w:pPr>
      <w:r>
        <w:t>The model used by the Commission for the draft report contains the utility specification detailed above. While individual level responses — and consequently aggregate responses — could be derived, the relationships would be very complicated. For this reason, the simulation approach documented in this paper does not directly derive individual response functions.</w:t>
      </w:r>
    </w:p>
    <w:p w:rsidR="00CF6B94" w:rsidRDefault="00CF6B94" w:rsidP="00BD2E8E">
      <w:pPr>
        <w:pStyle w:val="BodyText"/>
        <w:widowControl w:val="0"/>
      </w:pPr>
      <w:r>
        <w:t>Households choose their level of labour supply, the level of childcare provided by the primary carer, and formal childcare demand to maximise utility. Equation (2) could be expressed in functional form notation as:</w:t>
      </w:r>
    </w:p>
    <w:p w:rsidR="00CF6B94" w:rsidRDefault="00CF6B94" w:rsidP="00BD2E8E">
      <w:pPr>
        <w:pStyle w:val="BodyText"/>
        <w:widowControl w:val="0"/>
      </w:pPr>
      <w:r>
        <w:t xml:space="preserve">(3) </w:t>
      </w:r>
      <m:oMath>
        <m:r>
          <w:rPr>
            <w:rFonts w:ascii="Cambria Math" w:hAnsi="Cambria Math"/>
          </w:rPr>
          <m:t>u=U(y,h,m,i)</m:t>
        </m:r>
      </m:oMath>
    </w:p>
    <w:p w:rsidR="00CF6B94" w:rsidRDefault="00CF6B94" w:rsidP="00BD2E8E">
      <w:pPr>
        <w:pStyle w:val="BodyText"/>
        <w:widowControl w:val="0"/>
      </w:pPr>
      <w:r>
        <w:t xml:space="preserve">Where </w:t>
      </w:r>
      <w:proofErr w:type="gramStart"/>
      <w:r w:rsidRPr="00BF4E3E">
        <w:rPr>
          <w:i/>
        </w:rPr>
        <w:t>U</w:t>
      </w:r>
      <w:r>
        <w:t>(</w:t>
      </w:r>
      <w:proofErr w:type="gramEnd"/>
      <w:r>
        <w:t xml:space="preserve">.) is the function converting the inputs into household utility. Note that formal childcare does not directly enter the utility equation. However, the choice of formal </w:t>
      </w:r>
      <w:r>
        <w:lastRenderedPageBreak/>
        <w:t xml:space="preserve">childcare (in conjunction with the primary </w:t>
      </w:r>
      <w:proofErr w:type="gramStart"/>
      <w:r>
        <w:t>carers</w:t>
      </w:r>
      <w:proofErr w:type="gramEnd"/>
      <w:r>
        <w:t xml:space="preserve"> labour supply) does determine the use of informal childcare and the use of maternal childcare which are in the utility function.</w:t>
      </w:r>
      <w:r>
        <w:rPr>
          <w:rStyle w:val="FootnoteReference"/>
        </w:rPr>
        <w:footnoteReference w:id="23"/>
      </w:r>
      <w:r>
        <w:t xml:space="preserve"> </w:t>
      </w:r>
    </w:p>
    <w:p w:rsidR="00CF6B94" w:rsidRDefault="00CF6B94" w:rsidP="00BD2E8E">
      <w:pPr>
        <w:pStyle w:val="BodyText"/>
        <w:widowControl w:val="0"/>
      </w:pPr>
      <w:r>
        <w:t xml:space="preserve">This utility function can be re-expressed as a function of only </w:t>
      </w:r>
      <w:r w:rsidRPr="005151BE">
        <w:rPr>
          <w:i/>
        </w:rPr>
        <w:t>h</w:t>
      </w:r>
      <w:r>
        <w:t xml:space="preserve"> and </w:t>
      </w:r>
      <w:r w:rsidRPr="00AC6299">
        <w:rPr>
          <w:i/>
        </w:rPr>
        <w:t>f</w:t>
      </w:r>
      <w:r>
        <w:t xml:space="preserve"> by substituting other functions into (3)</w:t>
      </w:r>
      <w:r>
        <w:rPr>
          <w:rStyle w:val="FootnoteReference"/>
        </w:rPr>
        <w:footnoteReference w:id="24"/>
      </w:r>
      <w:r>
        <w:t>:</w:t>
      </w:r>
    </w:p>
    <w:p w:rsidR="00CF6B94" w:rsidRDefault="00CF6B94" w:rsidP="00DE1F1B">
      <w:pPr>
        <w:pStyle w:val="ListBullet"/>
      </w:pPr>
      <w:r>
        <w:t>Reflecting constraints on the total available hours of the primary carer, and the total required time of care for children, the amount of care provided by the primary carer (</w:t>
      </w:r>
      <w:r w:rsidRPr="000C220E">
        <w:rPr>
          <w:i/>
        </w:rPr>
        <w:t>m</w:t>
      </w:r>
      <w:r>
        <w:t>) and the amount of informal childcare (</w:t>
      </w:r>
      <w:proofErr w:type="spellStart"/>
      <w:r w:rsidRPr="004A77FA">
        <w:rPr>
          <w:i/>
        </w:rPr>
        <w:t>i</w:t>
      </w:r>
      <w:proofErr w:type="spellEnd"/>
      <w:r>
        <w:t xml:space="preserve">) can be thought of as a function </w:t>
      </w:r>
      <w:proofErr w:type="gramStart"/>
      <w:r>
        <w:rPr>
          <w:i/>
        </w:rPr>
        <w:t>C</w:t>
      </w:r>
      <w:r>
        <w:t>(</w:t>
      </w:r>
      <w:proofErr w:type="gramEnd"/>
      <w:r>
        <w:t>.) of household labour supply (</w:t>
      </w:r>
      <w:r w:rsidRPr="005151BE">
        <w:rPr>
          <w:i/>
        </w:rPr>
        <w:t>h</w:t>
      </w:r>
      <w:r>
        <w:t>) and formal childcare demand (</w:t>
      </w:r>
      <w:r w:rsidRPr="005151BE">
        <w:rPr>
          <w:i/>
        </w:rPr>
        <w:t>f</w:t>
      </w:r>
      <w:r>
        <w:t xml:space="preserve">). </w:t>
      </w:r>
    </w:p>
    <w:p w:rsidR="00CF6B94" w:rsidRDefault="00CF6B94" w:rsidP="00DE1F1B">
      <w:pPr>
        <w:pStyle w:val="ListBullet"/>
      </w:pPr>
      <w:r>
        <w:t xml:space="preserve">Similarly, assuming a fixed price of childcare and a fixed wage for each household, household income net of taxes and transfers less childcare costs can be thought of as a function </w:t>
      </w:r>
      <w:proofErr w:type="gramStart"/>
      <w:r w:rsidRPr="00BF4E3E">
        <w:rPr>
          <w:i/>
        </w:rPr>
        <w:t>T</w:t>
      </w:r>
      <w:r>
        <w:t>(</w:t>
      </w:r>
      <w:proofErr w:type="gramEnd"/>
      <w:r>
        <w:t>.) of the tax and transfer system, household labour supply (</w:t>
      </w:r>
      <w:r w:rsidRPr="005151BE">
        <w:rPr>
          <w:i/>
        </w:rPr>
        <w:t>h</w:t>
      </w:r>
      <w:r>
        <w:t>) and formal childcare demand (</w:t>
      </w:r>
      <w:r>
        <w:rPr>
          <w:i/>
        </w:rPr>
        <w:t>f</w:t>
      </w:r>
      <w:r w:rsidRPr="005151BE">
        <w:t>)</w:t>
      </w:r>
      <w:r>
        <w:t>.</w:t>
      </w:r>
    </w:p>
    <w:p w:rsidR="00CF6B94" w:rsidRDefault="00CF6B94" w:rsidP="00DE1F1B">
      <w:pPr>
        <w:pStyle w:val="BodyText"/>
      </w:pPr>
      <w:r>
        <w:t>These substitutions allow the household utility function to be simplified to:</w:t>
      </w:r>
    </w:p>
    <w:p w:rsidR="00CF6B94" w:rsidRDefault="00CF6B94" w:rsidP="00BD2E8E">
      <w:pPr>
        <w:pStyle w:val="BodyText"/>
        <w:widowControl w:val="0"/>
      </w:pPr>
      <w:r>
        <w:t xml:space="preserve">(4) </w:t>
      </w:r>
      <m:oMath>
        <m:r>
          <w:rPr>
            <w:rFonts w:ascii="Cambria Math" w:hAnsi="Cambria Math"/>
          </w:rPr>
          <m:t>u=U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h,f</m:t>
                </m:r>
              </m:e>
            </m:d>
            <m:r>
              <w:rPr>
                <w:rFonts w:ascii="Cambria Math" w:hAnsi="Cambria Math"/>
              </w:rPr>
              <m:t>,h,f,C</m:t>
            </m:r>
            <m:d>
              <m:dPr>
                <m:ctrlPr>
                  <w:rPr>
                    <w:rFonts w:ascii="Cambria Math" w:hAnsi="Cambria Math"/>
                    <w:i/>
                  </w:rPr>
                </m:ctrlPr>
              </m:dPr>
              <m:e>
                <m:r>
                  <w:rPr>
                    <w:rFonts w:ascii="Cambria Math" w:hAnsi="Cambria Math"/>
                  </w:rPr>
                  <m:t>h,f</m:t>
                </m:r>
              </m:e>
            </m:d>
          </m:e>
        </m:d>
        <m:r>
          <w:rPr>
            <w:rFonts w:ascii="Cambria Math" w:hAnsi="Cambria Math"/>
          </w:rPr>
          <m:t>=V(h,f)</m:t>
        </m:r>
      </m:oMath>
    </w:p>
    <w:p w:rsidR="00CF6B94" w:rsidRDefault="00CF6B94" w:rsidP="00BD2E8E">
      <w:pPr>
        <w:pStyle w:val="BodyText"/>
        <w:widowControl w:val="0"/>
      </w:pPr>
      <w:proofErr w:type="gramStart"/>
      <w:r>
        <w:t>where</w:t>
      </w:r>
      <w:proofErr w:type="gramEnd"/>
      <w:r>
        <w:t xml:space="preserve"> </w:t>
      </w:r>
      <w:r w:rsidRPr="00BF4E3E">
        <w:rPr>
          <w:i/>
        </w:rPr>
        <w:t>V</w:t>
      </w:r>
      <w:r>
        <w:t>(.) is defined for a given wage, childcare price, total hours for the primary carer, total required care for the children, and a given tax and transfer system.</w:t>
      </w:r>
    </w:p>
    <w:p w:rsidR="00CF6B94" w:rsidRDefault="00CF6B94" w:rsidP="00BD2E8E">
      <w:pPr>
        <w:pStyle w:val="BodyText"/>
        <w:widowControl w:val="0"/>
      </w:pPr>
      <w:r>
        <w:t xml:space="preserve">Assuming differentiability, taking the total differential of (4) with respect to </w:t>
      </w:r>
      <w:r w:rsidRPr="00E95360">
        <w:rPr>
          <w:i/>
        </w:rPr>
        <w:t>h</w:t>
      </w:r>
      <w:r>
        <w:rPr>
          <w:i/>
        </w:rPr>
        <w:t xml:space="preserve"> </w:t>
      </w:r>
      <w:r>
        <w:t>and setting it equal to zero:</w:t>
      </w:r>
    </w:p>
    <w:p w:rsidR="00CF6B94" w:rsidRPr="00E95360" w:rsidRDefault="00CF6B94" w:rsidP="00BD2E8E">
      <w:pPr>
        <w:pStyle w:val="BodyText"/>
        <w:widowControl w:val="0"/>
      </w:pPr>
      <w:r>
        <w:t xml:space="preserve">(5) </w:t>
      </w:r>
      <m:oMath>
        <m:f>
          <m:fPr>
            <m:ctrlPr>
              <w:rPr>
                <w:rFonts w:ascii="Cambria Math" w:hAnsi="Cambria Math"/>
                <w:i/>
              </w:rPr>
            </m:ctrlPr>
          </m:fPr>
          <m:num>
            <m:r>
              <w:rPr>
                <w:rFonts w:ascii="Cambria Math" w:hAnsi="Cambria Math"/>
              </w:rPr>
              <m:t>du</m:t>
            </m:r>
          </m:num>
          <m:den>
            <m:r>
              <w:rPr>
                <w:rFonts w:ascii="Cambria Math" w:hAnsi="Cambria Math"/>
              </w:rPr>
              <m:t>dh</m:t>
            </m:r>
          </m:den>
        </m:f>
        <m:r>
          <w:rPr>
            <w:rFonts w:ascii="Cambria Math" w:hAnsi="Cambria Math"/>
          </w:rPr>
          <m:t>=</m:t>
        </m:r>
        <m:f>
          <m:fPr>
            <m:ctrlPr>
              <w:rPr>
                <w:rFonts w:ascii="Cambria Math" w:hAnsi="Cambria Math"/>
                <w:i/>
              </w:rPr>
            </m:ctrlPr>
          </m:fPr>
          <m:num>
            <m:r>
              <w:rPr>
                <w:rFonts w:ascii="Cambria Math" w:hAnsi="Cambria Math"/>
              </w:rPr>
              <m:t>∂V(h,f)</m:t>
            </m:r>
          </m:num>
          <m:den>
            <m:r>
              <w:rPr>
                <w:rFonts w:ascii="Cambria Math" w:hAnsi="Cambria Math"/>
              </w:rPr>
              <m:t>∂h</m:t>
            </m:r>
          </m:den>
        </m:f>
        <m:r>
          <w:rPr>
            <w:rFonts w:ascii="Cambria Math" w:hAnsi="Cambria Math"/>
          </w:rPr>
          <m:t>+</m:t>
        </m:r>
        <m:f>
          <m:fPr>
            <m:ctrlPr>
              <w:rPr>
                <w:rFonts w:ascii="Cambria Math" w:hAnsi="Cambria Math"/>
                <w:i/>
              </w:rPr>
            </m:ctrlPr>
          </m:fPr>
          <m:num>
            <m:r>
              <w:rPr>
                <w:rFonts w:ascii="Cambria Math" w:hAnsi="Cambria Math"/>
              </w:rPr>
              <m:t>∂V(h,f)</m:t>
            </m:r>
          </m:num>
          <m:den>
            <m:r>
              <w:rPr>
                <w:rFonts w:ascii="Cambria Math" w:hAnsi="Cambria Math"/>
              </w:rPr>
              <m:t>∂f</m:t>
            </m:r>
          </m:den>
        </m:f>
        <m:r>
          <w:rPr>
            <w:rFonts w:ascii="Cambria Math" w:hAnsi="Cambria Math"/>
          </w:rPr>
          <m:t>.</m:t>
        </m:r>
        <m:f>
          <m:fPr>
            <m:ctrlPr>
              <w:rPr>
                <w:rFonts w:ascii="Cambria Math" w:hAnsi="Cambria Math"/>
                <w:i/>
              </w:rPr>
            </m:ctrlPr>
          </m:fPr>
          <m:num>
            <m:r>
              <w:rPr>
                <w:rFonts w:ascii="Cambria Math" w:hAnsi="Cambria Math"/>
              </w:rPr>
              <m:t>df</m:t>
            </m:r>
          </m:num>
          <m:den>
            <m:r>
              <w:rPr>
                <w:rFonts w:ascii="Cambria Math" w:hAnsi="Cambria Math"/>
              </w:rPr>
              <m:t>dh</m:t>
            </m:r>
          </m:den>
        </m:f>
        <m:r>
          <w:rPr>
            <w:rFonts w:ascii="Cambria Math" w:hAnsi="Cambria Math"/>
          </w:rPr>
          <m:t>=0</m:t>
        </m:r>
      </m:oMath>
    </w:p>
    <w:p w:rsidR="00CF6B94" w:rsidRDefault="00CF6B94" w:rsidP="00BD2E8E">
      <w:pPr>
        <w:pStyle w:val="BodyText"/>
        <w:widowControl w:val="0"/>
      </w:pPr>
      <w:r>
        <w:t xml:space="preserve">Solving equation (5) for </w:t>
      </w:r>
      <w:r>
        <w:rPr>
          <w:i/>
        </w:rPr>
        <w:t>h</w:t>
      </w:r>
      <w:r>
        <w:t xml:space="preserve"> will give the household supply of labour, for given parameters, policy environment and formal childcare demand. A similar relationship can be derived for formal childcare demand as a function of given parameters, policy environment and labour supply, taking the total differential of (4) with respect to </w:t>
      </w:r>
      <w:r w:rsidRPr="00BF4E3E">
        <w:rPr>
          <w:i/>
        </w:rPr>
        <w:t>f</w:t>
      </w:r>
      <w:r>
        <w:t>:</w:t>
      </w:r>
    </w:p>
    <w:p w:rsidR="00CF6B94" w:rsidRDefault="00CF6B94" w:rsidP="00BD2E8E">
      <w:pPr>
        <w:pStyle w:val="BodyText"/>
        <w:widowControl w:val="0"/>
      </w:pPr>
      <w:r>
        <w:t xml:space="preserve">(6) </w:t>
      </w:r>
      <m:oMath>
        <m:f>
          <m:fPr>
            <m:ctrlPr>
              <w:rPr>
                <w:rFonts w:ascii="Cambria Math" w:hAnsi="Cambria Math"/>
                <w:i/>
              </w:rPr>
            </m:ctrlPr>
          </m:fPr>
          <m:num>
            <m:r>
              <w:rPr>
                <w:rFonts w:ascii="Cambria Math" w:hAnsi="Cambria Math"/>
              </w:rPr>
              <m:t>du</m:t>
            </m:r>
          </m:num>
          <m:den>
            <m:r>
              <w:rPr>
                <w:rFonts w:ascii="Cambria Math" w:hAnsi="Cambria Math"/>
              </w:rPr>
              <m:t>df</m:t>
            </m:r>
          </m:den>
        </m:f>
        <m:r>
          <w:rPr>
            <w:rFonts w:ascii="Cambria Math" w:hAnsi="Cambria Math"/>
          </w:rPr>
          <m:t>=</m:t>
        </m:r>
        <m:f>
          <m:fPr>
            <m:ctrlPr>
              <w:rPr>
                <w:rFonts w:ascii="Cambria Math" w:hAnsi="Cambria Math"/>
                <w:i/>
              </w:rPr>
            </m:ctrlPr>
          </m:fPr>
          <m:num>
            <m:r>
              <w:rPr>
                <w:rFonts w:ascii="Cambria Math" w:hAnsi="Cambria Math"/>
              </w:rPr>
              <m:t>∂V(h,f)</m:t>
            </m:r>
          </m:num>
          <m:den>
            <m:r>
              <w:rPr>
                <w:rFonts w:ascii="Cambria Math" w:hAnsi="Cambria Math"/>
              </w:rPr>
              <m:t>∂f</m:t>
            </m:r>
          </m:den>
        </m:f>
        <m:r>
          <w:rPr>
            <w:rFonts w:ascii="Cambria Math" w:hAnsi="Cambria Math"/>
          </w:rPr>
          <m:t>+</m:t>
        </m:r>
        <m:f>
          <m:fPr>
            <m:ctrlPr>
              <w:rPr>
                <w:rFonts w:ascii="Cambria Math" w:hAnsi="Cambria Math"/>
                <w:i/>
              </w:rPr>
            </m:ctrlPr>
          </m:fPr>
          <m:num>
            <m:r>
              <w:rPr>
                <w:rFonts w:ascii="Cambria Math" w:hAnsi="Cambria Math"/>
              </w:rPr>
              <m:t>∂V(h,f)</m:t>
            </m:r>
          </m:num>
          <m:den>
            <m:r>
              <w:rPr>
                <w:rFonts w:ascii="Cambria Math" w:hAnsi="Cambria Math"/>
              </w:rPr>
              <m:t>∂h</m:t>
            </m:r>
          </m:den>
        </m:f>
        <m:r>
          <w:rPr>
            <w:rFonts w:ascii="Cambria Math" w:hAnsi="Cambria Math"/>
          </w:rPr>
          <m:t>.</m:t>
        </m:r>
        <m:f>
          <m:fPr>
            <m:ctrlPr>
              <w:rPr>
                <w:rFonts w:ascii="Cambria Math" w:hAnsi="Cambria Math"/>
                <w:i/>
              </w:rPr>
            </m:ctrlPr>
          </m:fPr>
          <m:num>
            <m:r>
              <w:rPr>
                <w:rFonts w:ascii="Cambria Math" w:hAnsi="Cambria Math"/>
              </w:rPr>
              <m:t>dh</m:t>
            </m:r>
          </m:num>
          <m:den>
            <m:r>
              <w:rPr>
                <w:rFonts w:ascii="Cambria Math" w:hAnsi="Cambria Math"/>
              </w:rPr>
              <m:t>df</m:t>
            </m:r>
          </m:den>
        </m:f>
        <m:r>
          <w:rPr>
            <w:rFonts w:ascii="Cambria Math" w:hAnsi="Cambria Math"/>
          </w:rPr>
          <m:t>=0</m:t>
        </m:r>
      </m:oMath>
    </w:p>
    <w:p w:rsidR="00CF6B94" w:rsidRDefault="00CF6B94" w:rsidP="00BD2E8E">
      <w:pPr>
        <w:pStyle w:val="BodyText"/>
        <w:widowControl w:val="0"/>
      </w:pPr>
      <w:r>
        <w:t xml:space="preserve">These two relationships could be used to derive an individual household’s childcare demand and labour supply as a function of parameters (utility coefficients, wages, </w:t>
      </w:r>
      <w:proofErr w:type="gramStart"/>
      <w:r>
        <w:t>childcare</w:t>
      </w:r>
      <w:proofErr w:type="gramEnd"/>
      <w:r>
        <w:t xml:space="preserve"> prices) and the policy environment (tax, transfer and childcare subsidy system).</w:t>
      </w:r>
    </w:p>
    <w:p w:rsidR="00DE1F1B" w:rsidRDefault="00DE1F1B">
      <w:pPr>
        <w:rPr>
          <w:szCs w:val="20"/>
        </w:rPr>
      </w:pPr>
      <w:r>
        <w:br w:type="page"/>
      </w:r>
    </w:p>
    <w:p w:rsidR="00CF6B94" w:rsidRDefault="00CF6B94" w:rsidP="00BD2E8E">
      <w:pPr>
        <w:pStyle w:val="BodyText"/>
        <w:widowControl w:val="0"/>
      </w:pPr>
      <w:r>
        <w:lastRenderedPageBreak/>
        <w:t xml:space="preserve">In order to describe the household’s response to a policy change, the difference would need to be taken between the functions derived from (5) and (6), and alternative functions derived with a new tax, transfer and childcare cost function (replacing </w:t>
      </w:r>
      <w:proofErr w:type="gramStart"/>
      <w:r w:rsidRPr="00A304BF">
        <w:rPr>
          <w:i/>
        </w:rPr>
        <w:t>T(</w:t>
      </w:r>
      <w:proofErr w:type="gramEnd"/>
      <w:r w:rsidRPr="00A304BF">
        <w:rPr>
          <w:i/>
        </w:rPr>
        <w:t>.)</w:t>
      </w:r>
      <w:r>
        <w:t xml:space="preserve"> in equation (4)). </w:t>
      </w:r>
    </w:p>
    <w:p w:rsidR="00CF6B94" w:rsidRPr="00E95360" w:rsidRDefault="00CF6B94" w:rsidP="00BD2E8E">
      <w:pPr>
        <w:pStyle w:val="BodyText"/>
        <w:widowControl w:val="0"/>
      </w:pPr>
      <w:r>
        <w:t>An aggregate function would require a weighted sum of all of these individual household change functions. This relationship would be very complex (containing many terms). The complicated nature of the resulting functions (and difficulty deriving them) make simulation methods (like those used in this paper) a practical method for evaluating the impacts of policy change.</w:t>
      </w:r>
    </w:p>
    <w:p w:rsidR="00CF6B94" w:rsidRDefault="00CF6B94" w:rsidP="00BD2E8E">
      <w:pPr>
        <w:pStyle w:val="Heading3"/>
        <w:keepNext w:val="0"/>
        <w:widowControl w:val="0"/>
      </w:pPr>
      <w:r>
        <w:t>Calibration</w:t>
      </w:r>
    </w:p>
    <w:p w:rsidR="00CF6B94" w:rsidRDefault="00CF6B94" w:rsidP="00BD2E8E">
      <w:pPr>
        <w:pStyle w:val="BodyText"/>
        <w:widowControl w:val="0"/>
      </w:pPr>
      <w:r>
        <w:t xml:space="preserve">The decision making module needs to be calibrated to replicate observed data for households before the effects of policy changes can be estimated. </w:t>
      </w:r>
    </w:p>
    <w:p w:rsidR="00CF6B94" w:rsidRDefault="00CF6B94" w:rsidP="00BD2E8E">
      <w:pPr>
        <w:pStyle w:val="BodyText"/>
        <w:widowControl w:val="0"/>
      </w:pPr>
      <w:r>
        <w:t>In practice, an estimated parameterised utility function (even with parameters varying by demographic characteristics) will not perfectly reproduce observed data for all individuals in the dataset. In order to ensure the initial database can be reproduced using the model, a process of calibration is completed.</w:t>
      </w:r>
    </w:p>
    <w:p w:rsidR="00CF6B94" w:rsidRDefault="00CF6B94" w:rsidP="00BD2E8E">
      <w:pPr>
        <w:pStyle w:val="BodyText"/>
        <w:widowControl w:val="0"/>
      </w:pPr>
      <w:r>
        <w:t xml:space="preserve">Calibration involves generating a set of error terms (one for each combination of labour supply and childcare demand, and drawn from a standard </w:t>
      </w:r>
      <w:proofErr w:type="spellStart"/>
      <w:r>
        <w:t>Gumbel</w:t>
      </w:r>
      <w:proofErr w:type="spellEnd"/>
      <w:r>
        <w:t xml:space="preserve"> distribution) such that when the error terms are added to the utility function, households replicate their observed behaviour. For the draft report, a ‘trial and error’ approach was used to obtain the set of error terms. For the final report, a more efficient approach is used (Bourguignon et al 1998). In this approach:</w:t>
      </w:r>
    </w:p>
    <w:p w:rsidR="00CF6B94" w:rsidRDefault="00CF6B94" w:rsidP="00BD2E8E">
      <w:pPr>
        <w:pStyle w:val="ListBullet"/>
        <w:widowControl w:val="0"/>
      </w:pPr>
      <w:r>
        <w:t>The error term for the observed choice is drawn from the conditional distribution given that it is known that the utility of this choice (when the error is included) must be greater than all other choices.</w:t>
      </w:r>
    </w:p>
    <w:p w:rsidR="00CF6B94" w:rsidRDefault="00CF6B94" w:rsidP="00BD2E8E">
      <w:pPr>
        <w:pStyle w:val="ListBullet"/>
        <w:widowControl w:val="0"/>
      </w:pPr>
      <w:r>
        <w:t>The error terms for the remaining choices are also drawn from conditional distributions. The utility of the remaining choices must all be lower than the observed choice.</w:t>
      </w:r>
    </w:p>
    <w:p w:rsidR="00CF6B94" w:rsidRDefault="00CF6B94" w:rsidP="00BD2E8E">
      <w:pPr>
        <w:pStyle w:val="BodyText"/>
        <w:widowControl w:val="0"/>
      </w:pPr>
      <w:r>
        <w:t>This process is replicated until each household has 10 sets of errors that lead to the utility function reproducing observed behaviour. Households are dropped from the dataset if they are difficult to calibrate.</w:t>
      </w:r>
      <w:r>
        <w:rPr>
          <w:rStyle w:val="FootnoteReference"/>
        </w:rPr>
        <w:footnoteReference w:id="25"/>
      </w:r>
    </w:p>
    <w:p w:rsidR="00CF6B94" w:rsidRDefault="00CF6B94" w:rsidP="00BD2E8E">
      <w:pPr>
        <w:pStyle w:val="BodyText"/>
        <w:widowControl w:val="0"/>
      </w:pPr>
      <w:r>
        <w:t>These error terms (described as ‘unobserved utility’ or ‘calibration’ parameters) can be thought of as including individual</w:t>
      </w:r>
      <w:r>
        <w:noBreakHyphen/>
        <w:t>specific factors outside the model that cause a household to a have the particular work</w:t>
      </w:r>
      <w:r>
        <w:noBreakHyphen/>
        <w:t>care choice observed in the data.</w:t>
      </w:r>
    </w:p>
    <w:p w:rsidR="00CF6B94" w:rsidRPr="00BD2E8E" w:rsidRDefault="00CF6B94" w:rsidP="00BD2E8E">
      <w:pPr>
        <w:pStyle w:val="Heading3"/>
      </w:pPr>
      <w:r w:rsidRPr="00BD2E8E">
        <w:lastRenderedPageBreak/>
        <w:t xml:space="preserve">The wage equation </w:t>
      </w:r>
    </w:p>
    <w:p w:rsidR="00CF6B94" w:rsidRDefault="00CF6B94" w:rsidP="00BD2E8E">
      <w:pPr>
        <w:pStyle w:val="BodyText"/>
        <w:widowControl w:val="0"/>
      </w:pPr>
      <w:r>
        <w:t>There is no wage reported in the database for individuals who do not work (and thus do not earn a salary). However, to model the impact of changes in childcare prices, wages are required for all individuals. A wage equation was estimated to provide wages for individuals who do not work initially. Details of this estimation process are presented in a</w:t>
      </w:r>
      <w:r w:rsidRPr="00012C26">
        <w:t>ppendix C</w:t>
      </w:r>
      <w:r>
        <w:t>.</w:t>
      </w:r>
    </w:p>
    <w:p w:rsidR="00CF6B94" w:rsidRDefault="00CF6B94" w:rsidP="00BD2E8E">
      <w:pPr>
        <w:pStyle w:val="BodyText"/>
        <w:widowControl w:val="0"/>
      </w:pPr>
    </w:p>
    <w:p w:rsidR="00CF6B94" w:rsidRDefault="00CF6B94" w:rsidP="00BD2E8E">
      <w:pPr>
        <w:pStyle w:val="BodyText"/>
        <w:widowControl w:val="0"/>
      </w:pPr>
      <w:r>
        <w:br w:type="page"/>
      </w:r>
    </w:p>
    <w:p w:rsidR="00CF6B94" w:rsidRDefault="00CF6B94" w:rsidP="00CF6B94">
      <w:pPr>
        <w:pStyle w:val="Heading2"/>
      </w:pPr>
      <w:r>
        <w:lastRenderedPageBreak/>
        <w:t>Appendix C — Wage equation and utility function parameter estimation</w:t>
      </w:r>
    </w:p>
    <w:p w:rsidR="00CF6B94" w:rsidRDefault="00CF6B94" w:rsidP="00CF6B94">
      <w:pPr>
        <w:pStyle w:val="BodyText"/>
      </w:pPr>
      <w:r>
        <w:t>The Productivity Commission Micro-simulation Childcare (PCMC) model simulates household decisions about labour supply and childcare demand in response to changing childcare subsidies. The decision module within the model controls the manner in which individual households respond to those changing incentives.</w:t>
      </w:r>
    </w:p>
    <w:p w:rsidR="00CF6B94" w:rsidRDefault="00CF6B94" w:rsidP="00CF6B94">
      <w:pPr>
        <w:pStyle w:val="BodyText"/>
      </w:pPr>
      <w:r>
        <w:t xml:space="preserve">Modelling changes in behaviour requires a parameterised household utility function, and the potential wages of those who might choose to enter the labour force. Parameters for behavioural micro-simulation models that consider both labour supply and childcare demand have been estimated by </w:t>
      </w:r>
      <w:proofErr w:type="spellStart"/>
      <w:r>
        <w:t>Doiron</w:t>
      </w:r>
      <w:proofErr w:type="spellEnd"/>
      <w:r>
        <w:t xml:space="preserve"> and </w:t>
      </w:r>
      <w:proofErr w:type="spellStart"/>
      <w:r>
        <w:t>Kalb</w:t>
      </w:r>
      <w:proofErr w:type="spellEnd"/>
      <w:r>
        <w:t xml:space="preserve"> (2005) and Gong and </w:t>
      </w:r>
      <w:proofErr w:type="spellStart"/>
      <w:r>
        <w:t>Breunig</w:t>
      </w:r>
      <w:proofErr w:type="spellEnd"/>
      <w:r>
        <w:t xml:space="preserve"> (2012) — and were used in a preliminary version of the PCMC. However, these papers do not use recent data, and have micro-simulation model specifications that are not identical to the specification adopted by the Commission for the inquiry (appendix B). For these reasons, the Commission estimated new parameters that fit the model and data at hand.  </w:t>
      </w:r>
    </w:p>
    <w:p w:rsidR="00CF6B94" w:rsidRDefault="00CF6B94" w:rsidP="00CF6B94">
      <w:pPr>
        <w:pStyle w:val="BodyText"/>
      </w:pPr>
      <w:r>
        <w:t xml:space="preserve">The Commission has followed the econometric approaches documented in </w:t>
      </w:r>
      <w:proofErr w:type="spellStart"/>
      <w:r>
        <w:t>Kalb</w:t>
      </w:r>
      <w:proofErr w:type="spellEnd"/>
      <w:r>
        <w:t xml:space="preserve"> and </w:t>
      </w:r>
      <w:proofErr w:type="spellStart"/>
      <w:r>
        <w:t>Scutella</w:t>
      </w:r>
      <w:proofErr w:type="spellEnd"/>
      <w:r>
        <w:t xml:space="preserve"> (2002), </w:t>
      </w:r>
      <w:proofErr w:type="spellStart"/>
      <w:r>
        <w:t>Doiron</w:t>
      </w:r>
      <w:proofErr w:type="spellEnd"/>
      <w:r>
        <w:t xml:space="preserve"> and </w:t>
      </w:r>
      <w:proofErr w:type="spellStart"/>
      <w:r>
        <w:t>Kalb</w:t>
      </w:r>
      <w:proofErr w:type="spellEnd"/>
      <w:r>
        <w:t xml:space="preserve"> (2005) and Gong and </w:t>
      </w:r>
      <w:proofErr w:type="spellStart"/>
      <w:r>
        <w:t>Breunig</w:t>
      </w:r>
      <w:proofErr w:type="spellEnd"/>
      <w:r>
        <w:t xml:space="preserve"> (2012). This approach involves </w:t>
      </w:r>
      <w:proofErr w:type="gramStart"/>
      <w:r>
        <w:t>a two</w:t>
      </w:r>
      <w:proofErr w:type="gramEnd"/>
      <w:r>
        <w:t xml:space="preserve">-stage estimation: </w:t>
      </w:r>
    </w:p>
    <w:p w:rsidR="00CF6B94" w:rsidRDefault="00CF6B94" w:rsidP="00DE1F1B">
      <w:pPr>
        <w:pStyle w:val="ListBullet"/>
      </w:pPr>
      <w:r>
        <w:t>in the first stage, wages for those not participating in the labour market</w:t>
      </w:r>
      <w:r w:rsidRPr="00F532C4">
        <w:t xml:space="preserve"> </w:t>
      </w:r>
      <w:r>
        <w:t xml:space="preserve">are imputed, based on an equation which corrects for the likelihood of people not participating </w:t>
      </w:r>
    </w:p>
    <w:p w:rsidR="00CF6B94" w:rsidRDefault="00CF6B94" w:rsidP="00DE1F1B">
      <w:pPr>
        <w:pStyle w:val="ListBullet"/>
      </w:pPr>
      <w:proofErr w:type="gramStart"/>
      <w:r>
        <w:t>in</w:t>
      </w:r>
      <w:proofErr w:type="gramEnd"/>
      <w:r>
        <w:t xml:space="preserve"> the second stage, utility parameters are estimated that describe household decisions with respect to labour supply and childcare demand for given wages.</w:t>
      </w:r>
    </w:p>
    <w:p w:rsidR="00CF6B94" w:rsidRDefault="00CF6B94" w:rsidP="00CF6B94">
      <w:pPr>
        <w:pStyle w:val="BodyText"/>
      </w:pPr>
      <w:r>
        <w:t>This appendix is divided into three sections. The first section describes the data used for the regressions. The second section describes the wage imputation regression, and the estimated wage equation parameters. The third section details the process of estimating household utility functions, and presents results for the estimated parameters.</w:t>
      </w:r>
    </w:p>
    <w:p w:rsidR="00CF6B94" w:rsidRDefault="00CF6B94" w:rsidP="00CF6B94">
      <w:pPr>
        <w:pStyle w:val="Heading2"/>
      </w:pPr>
      <w:r>
        <w:t>C.1</w:t>
      </w:r>
      <w:r>
        <w:tab/>
        <w:t>Data description</w:t>
      </w:r>
    </w:p>
    <w:p w:rsidR="00CF6B94" w:rsidRDefault="00CF6B94" w:rsidP="00CF6B94">
      <w:pPr>
        <w:pStyle w:val="BodyText"/>
      </w:pPr>
      <w:r>
        <w:t xml:space="preserve">The data are from the ABS Survey of Income and Housing 2011–12, which is described in appendix A. For the purposes of estimation, the data were split into two broad samples: one for sole parent households; and another for couple households. The data included variables for age, educational attainment, the number of children (and age of youngest child), as well as information on income, hours worked and childcare hours. </w:t>
      </w:r>
    </w:p>
    <w:p w:rsidR="00CF6B94" w:rsidRDefault="00CF6B94" w:rsidP="00CF6B94">
      <w:pPr>
        <w:pStyle w:val="BodyText"/>
      </w:pPr>
      <w:r>
        <w:t xml:space="preserve">The means for some variables of interest are in table C.1. Each observation relates to a coupled or single parent household. </w:t>
      </w:r>
    </w:p>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left w:val="nil"/>
              <w:bottom w:val="nil"/>
              <w:right w:val="nil"/>
            </w:tcBorders>
            <w:shd w:val="clear" w:color="auto" w:fill="auto"/>
          </w:tcPr>
          <w:p w:rsidR="00CF6B94" w:rsidRPr="00784A05" w:rsidRDefault="00CF6B94" w:rsidP="00CF6B94">
            <w:pPr>
              <w:pStyle w:val="TableTitle"/>
            </w:pPr>
            <w:r>
              <w:rPr>
                <w:b w:val="0"/>
              </w:rPr>
              <w:t>Table C.1</w:t>
            </w:r>
            <w:r>
              <w:tab/>
              <w:t>Mean of key variables</w:t>
            </w:r>
            <w:r w:rsidRPr="00774587">
              <w:rPr>
                <w:rStyle w:val="NoteLabel"/>
              </w:rPr>
              <w:t>a</w:t>
            </w:r>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551"/>
              <w:gridCol w:w="2409"/>
              <w:gridCol w:w="2527"/>
            </w:tblGrid>
            <w:tr w:rsidR="00CF6B94" w:rsidTr="00CF6B94">
              <w:tc>
                <w:tcPr>
                  <w:tcW w:w="2092" w:type="pct"/>
                  <w:tcBorders>
                    <w:top w:val="single" w:sz="6" w:space="0" w:color="BFBFBF"/>
                    <w:bottom w:val="single" w:sz="6" w:space="0" w:color="BFBFBF"/>
                  </w:tcBorders>
                  <w:shd w:val="clear" w:color="auto" w:fill="auto"/>
                  <w:tcMar>
                    <w:top w:w="28" w:type="dxa"/>
                  </w:tcMar>
                </w:tcPr>
                <w:p w:rsidR="00CF6B94" w:rsidRDefault="00CF6B94" w:rsidP="00CF6B94">
                  <w:pPr>
                    <w:pStyle w:val="TableColumnHeading"/>
                    <w:jc w:val="left"/>
                  </w:pPr>
                  <w:r>
                    <w:t>Variable</w:t>
                  </w:r>
                </w:p>
              </w:tc>
              <w:tc>
                <w:tcPr>
                  <w:tcW w:w="1419" w:type="pct"/>
                  <w:tcBorders>
                    <w:top w:val="single" w:sz="6" w:space="0" w:color="BFBFBF"/>
                    <w:bottom w:val="single" w:sz="6" w:space="0" w:color="BFBFBF"/>
                  </w:tcBorders>
                  <w:shd w:val="clear" w:color="auto" w:fill="auto"/>
                  <w:tcMar>
                    <w:top w:w="28" w:type="dxa"/>
                  </w:tcMar>
                </w:tcPr>
                <w:p w:rsidR="00CF6B94" w:rsidRDefault="00CF6B94" w:rsidP="00CF6B94">
                  <w:pPr>
                    <w:pStyle w:val="TableColumnHeading"/>
                  </w:pPr>
                  <w:r>
                    <w:t>Couples</w:t>
                  </w:r>
                </w:p>
              </w:tc>
              <w:tc>
                <w:tcPr>
                  <w:tcW w:w="1489" w:type="pct"/>
                  <w:tcBorders>
                    <w:top w:val="single" w:sz="6" w:space="0" w:color="BFBFBF"/>
                    <w:bottom w:val="single" w:sz="6" w:space="0" w:color="BFBFBF"/>
                  </w:tcBorders>
                  <w:shd w:val="clear" w:color="auto" w:fill="auto"/>
                  <w:tcMar>
                    <w:top w:w="28" w:type="dxa"/>
                  </w:tcMar>
                </w:tcPr>
                <w:p w:rsidR="00CF6B94" w:rsidRDefault="00CF6B94" w:rsidP="00CF6B94">
                  <w:pPr>
                    <w:pStyle w:val="TableColumnHeading"/>
                    <w:ind w:right="28"/>
                  </w:pPr>
                  <w:r>
                    <w:t>Single parents</w:t>
                  </w:r>
                </w:p>
              </w:tc>
            </w:tr>
            <w:tr w:rsidR="00CF6B94" w:rsidTr="00CF6B94">
              <w:tc>
                <w:tcPr>
                  <w:tcW w:w="2092" w:type="pct"/>
                  <w:tcBorders>
                    <w:top w:val="single" w:sz="6" w:space="0" w:color="BFBFBF"/>
                  </w:tcBorders>
                </w:tcPr>
                <w:p w:rsidR="00CF6B94" w:rsidRDefault="00CF6B94" w:rsidP="00CF6B94">
                  <w:pPr>
                    <w:pStyle w:val="TableUnitsRow"/>
                    <w:jc w:val="left"/>
                  </w:pPr>
                  <w:r>
                    <w:t>Age of mother (years)</w:t>
                  </w:r>
                </w:p>
              </w:tc>
              <w:tc>
                <w:tcPr>
                  <w:tcW w:w="1419" w:type="pct"/>
                  <w:tcBorders>
                    <w:top w:val="single" w:sz="6" w:space="0" w:color="BFBFBF"/>
                  </w:tcBorders>
                </w:tcPr>
                <w:p w:rsidR="00CF6B94" w:rsidRDefault="00CF6B94" w:rsidP="00CF6B94">
                  <w:pPr>
                    <w:pStyle w:val="TableUnitsRow"/>
                  </w:pPr>
                  <w:r>
                    <w:t>36.60</w:t>
                  </w:r>
                </w:p>
              </w:tc>
              <w:tc>
                <w:tcPr>
                  <w:tcW w:w="1489" w:type="pct"/>
                  <w:tcBorders>
                    <w:top w:val="single" w:sz="6" w:space="0" w:color="BFBFBF"/>
                  </w:tcBorders>
                </w:tcPr>
                <w:p w:rsidR="00CF6B94" w:rsidRDefault="00CF6B94" w:rsidP="00CF6B94">
                  <w:pPr>
                    <w:pStyle w:val="TableUnitsRow"/>
                    <w:ind w:right="28"/>
                  </w:pPr>
                  <w:r>
                    <w:t>36.45</w:t>
                  </w:r>
                </w:p>
              </w:tc>
            </w:tr>
            <w:tr w:rsidR="00CF6B94" w:rsidTr="00CF6B94">
              <w:tc>
                <w:tcPr>
                  <w:tcW w:w="2092" w:type="pct"/>
                </w:tcPr>
                <w:p w:rsidR="00CF6B94" w:rsidRDefault="00CF6B94" w:rsidP="00CF6B94">
                  <w:pPr>
                    <w:pStyle w:val="TableBodyText"/>
                    <w:jc w:val="left"/>
                  </w:pPr>
                  <w:r>
                    <w:t>Number of children</w:t>
                  </w:r>
                </w:p>
              </w:tc>
              <w:tc>
                <w:tcPr>
                  <w:tcW w:w="1419" w:type="pct"/>
                </w:tcPr>
                <w:p w:rsidR="00CF6B94" w:rsidRDefault="00CF6B94" w:rsidP="00CF6B94">
                  <w:pPr>
                    <w:pStyle w:val="TableBodyText"/>
                  </w:pPr>
                  <w:r>
                    <w:t>1.91</w:t>
                  </w:r>
                </w:p>
              </w:tc>
              <w:tc>
                <w:tcPr>
                  <w:tcW w:w="1489" w:type="pct"/>
                </w:tcPr>
                <w:p w:rsidR="00CF6B94" w:rsidRDefault="00CF6B94" w:rsidP="00CF6B94">
                  <w:pPr>
                    <w:pStyle w:val="TableBodyText"/>
                    <w:ind w:right="28"/>
                  </w:pPr>
                  <w:r>
                    <w:t>1.80</w:t>
                  </w:r>
                </w:p>
              </w:tc>
            </w:tr>
            <w:tr w:rsidR="00CF6B94" w:rsidTr="00CF6B94">
              <w:tc>
                <w:tcPr>
                  <w:tcW w:w="2092" w:type="pct"/>
                </w:tcPr>
                <w:p w:rsidR="00CF6B94" w:rsidRDefault="00CF6B94" w:rsidP="00CF6B94">
                  <w:pPr>
                    <w:pStyle w:val="TableBodyText"/>
                    <w:jc w:val="left"/>
                  </w:pPr>
                  <w:r>
                    <w:t>Youngest child aged 0</w:t>
                  </w:r>
                  <w:r>
                    <w:softHyphen/>
                    <w:t>–2</w:t>
                  </w:r>
                </w:p>
              </w:tc>
              <w:tc>
                <w:tcPr>
                  <w:tcW w:w="1419" w:type="pct"/>
                </w:tcPr>
                <w:p w:rsidR="00CF6B94" w:rsidRDefault="00CF6B94" w:rsidP="00CF6B94">
                  <w:pPr>
                    <w:pStyle w:val="TableBodyText"/>
                  </w:pPr>
                  <w:r>
                    <w:t>0.41</w:t>
                  </w:r>
                </w:p>
              </w:tc>
              <w:tc>
                <w:tcPr>
                  <w:tcW w:w="1489" w:type="pct"/>
                </w:tcPr>
                <w:p w:rsidR="00CF6B94" w:rsidRDefault="00CF6B94" w:rsidP="00CF6B94">
                  <w:pPr>
                    <w:pStyle w:val="TableBodyText"/>
                    <w:ind w:right="28"/>
                  </w:pPr>
                  <w:r>
                    <w:t>0.22</w:t>
                  </w:r>
                </w:p>
              </w:tc>
            </w:tr>
            <w:tr w:rsidR="00CF6B94" w:rsidTr="00CF6B94">
              <w:tc>
                <w:tcPr>
                  <w:tcW w:w="2092" w:type="pct"/>
                  <w:shd w:val="clear" w:color="auto" w:fill="auto"/>
                </w:tcPr>
                <w:p w:rsidR="00CF6B94" w:rsidRDefault="00CF6B94" w:rsidP="00CF6B94">
                  <w:pPr>
                    <w:pStyle w:val="TableBodyText"/>
                    <w:jc w:val="left"/>
                  </w:pPr>
                  <w:r>
                    <w:t>Youngest child aged 3–4</w:t>
                  </w:r>
                </w:p>
              </w:tc>
              <w:tc>
                <w:tcPr>
                  <w:tcW w:w="1419" w:type="pct"/>
                  <w:shd w:val="clear" w:color="auto" w:fill="auto"/>
                </w:tcPr>
                <w:p w:rsidR="00CF6B94" w:rsidRDefault="00CF6B94" w:rsidP="00CF6B94">
                  <w:pPr>
                    <w:pStyle w:val="TableBodyText"/>
                  </w:pPr>
                  <w:r>
                    <w:t>0.15</w:t>
                  </w:r>
                </w:p>
              </w:tc>
              <w:tc>
                <w:tcPr>
                  <w:tcW w:w="1489" w:type="pct"/>
                  <w:shd w:val="clear" w:color="auto" w:fill="auto"/>
                </w:tcPr>
                <w:p w:rsidR="00CF6B94" w:rsidRDefault="00CF6B94" w:rsidP="00CF6B94">
                  <w:pPr>
                    <w:pStyle w:val="TableBodyText"/>
                    <w:ind w:right="28"/>
                  </w:pPr>
                  <w:r>
                    <w:t>0.18</w:t>
                  </w:r>
                </w:p>
              </w:tc>
            </w:tr>
            <w:tr w:rsidR="00CF6B94" w:rsidTr="00CF6B94">
              <w:tc>
                <w:tcPr>
                  <w:tcW w:w="2092" w:type="pct"/>
                  <w:shd w:val="clear" w:color="auto" w:fill="auto"/>
                </w:tcPr>
                <w:p w:rsidR="00CF6B94" w:rsidRDefault="00CF6B94" w:rsidP="00CF6B94">
                  <w:pPr>
                    <w:pStyle w:val="TableBodyText"/>
                    <w:jc w:val="left"/>
                  </w:pPr>
                  <w:r>
                    <w:t>Youngest child aged 5–9</w:t>
                  </w:r>
                </w:p>
              </w:tc>
              <w:tc>
                <w:tcPr>
                  <w:tcW w:w="1419" w:type="pct"/>
                  <w:shd w:val="clear" w:color="auto" w:fill="auto"/>
                </w:tcPr>
                <w:p w:rsidR="00CF6B94" w:rsidRDefault="00CF6B94" w:rsidP="00CF6B94">
                  <w:pPr>
                    <w:pStyle w:val="TableBodyText"/>
                  </w:pPr>
                  <w:r>
                    <w:t>0.29</w:t>
                  </w:r>
                </w:p>
              </w:tc>
              <w:tc>
                <w:tcPr>
                  <w:tcW w:w="1489" w:type="pct"/>
                  <w:shd w:val="clear" w:color="auto" w:fill="auto"/>
                </w:tcPr>
                <w:p w:rsidR="00CF6B94" w:rsidRDefault="00CF6B94" w:rsidP="00CF6B94">
                  <w:pPr>
                    <w:pStyle w:val="TableBodyText"/>
                    <w:ind w:right="28"/>
                  </w:pPr>
                  <w:r>
                    <w:t>0.34</w:t>
                  </w:r>
                </w:p>
              </w:tc>
            </w:tr>
            <w:tr w:rsidR="00CF6B94" w:rsidTr="00CF6B94">
              <w:tc>
                <w:tcPr>
                  <w:tcW w:w="2092" w:type="pct"/>
                  <w:shd w:val="clear" w:color="auto" w:fill="auto"/>
                </w:tcPr>
                <w:p w:rsidR="00CF6B94" w:rsidRDefault="00CF6B94" w:rsidP="00CF6B94">
                  <w:pPr>
                    <w:pStyle w:val="TableBodyText"/>
                    <w:jc w:val="left"/>
                  </w:pPr>
                  <w:r>
                    <w:t>Youngest child aged 10–</w:t>
                  </w:r>
                  <w:r>
                    <w:softHyphen/>
                    <w:t>14 (omitted)</w:t>
                  </w:r>
                  <w:r w:rsidRPr="009376BC">
                    <w:rPr>
                      <w:rStyle w:val="NoteLabel"/>
                    </w:rPr>
                    <w:t>b</w:t>
                  </w:r>
                </w:p>
              </w:tc>
              <w:tc>
                <w:tcPr>
                  <w:tcW w:w="1419" w:type="pct"/>
                  <w:shd w:val="clear" w:color="auto" w:fill="auto"/>
                </w:tcPr>
                <w:p w:rsidR="00CF6B94" w:rsidRDefault="00CF6B94" w:rsidP="00CF6B94">
                  <w:pPr>
                    <w:pStyle w:val="TableBodyText"/>
                  </w:pPr>
                  <w:r>
                    <w:t>0.15</w:t>
                  </w:r>
                </w:p>
              </w:tc>
              <w:tc>
                <w:tcPr>
                  <w:tcW w:w="1489" w:type="pct"/>
                  <w:shd w:val="clear" w:color="auto" w:fill="auto"/>
                </w:tcPr>
                <w:p w:rsidR="00CF6B94" w:rsidRDefault="00CF6B94" w:rsidP="00CF6B94">
                  <w:pPr>
                    <w:pStyle w:val="TableBodyText"/>
                    <w:ind w:right="28"/>
                  </w:pPr>
                  <w:r>
                    <w:t>0.26</w:t>
                  </w:r>
                </w:p>
              </w:tc>
            </w:tr>
            <w:tr w:rsidR="00CF6B94" w:rsidTr="00CF6B94">
              <w:tc>
                <w:tcPr>
                  <w:tcW w:w="2092" w:type="pct"/>
                  <w:shd w:val="clear" w:color="auto" w:fill="auto"/>
                </w:tcPr>
                <w:p w:rsidR="00CF6B94" w:rsidRDefault="00CF6B94" w:rsidP="00CF6B94">
                  <w:pPr>
                    <w:pStyle w:val="TableBodyText"/>
                    <w:jc w:val="left"/>
                  </w:pPr>
                  <w:r>
                    <w:t>Work experience</w:t>
                  </w:r>
                </w:p>
              </w:tc>
              <w:tc>
                <w:tcPr>
                  <w:tcW w:w="1419" w:type="pct"/>
                  <w:shd w:val="clear" w:color="auto" w:fill="auto"/>
                </w:tcPr>
                <w:p w:rsidR="00CF6B94" w:rsidRDefault="00CF6B94" w:rsidP="00CF6B94">
                  <w:pPr>
                    <w:pStyle w:val="TableBodyText"/>
                  </w:pPr>
                  <w:r>
                    <w:t>0.74</w:t>
                  </w:r>
                </w:p>
              </w:tc>
              <w:tc>
                <w:tcPr>
                  <w:tcW w:w="1489" w:type="pct"/>
                  <w:shd w:val="clear" w:color="auto" w:fill="auto"/>
                </w:tcPr>
                <w:p w:rsidR="00CF6B94" w:rsidRDefault="00CF6B94" w:rsidP="00CF6B94">
                  <w:pPr>
                    <w:pStyle w:val="TableBodyText"/>
                    <w:ind w:right="28"/>
                  </w:pPr>
                  <w:r>
                    <w:t>0.63</w:t>
                  </w:r>
                </w:p>
              </w:tc>
            </w:tr>
            <w:tr w:rsidR="00CF6B94" w:rsidTr="00CF6B94">
              <w:tc>
                <w:tcPr>
                  <w:tcW w:w="2092" w:type="pct"/>
                  <w:shd w:val="clear" w:color="auto" w:fill="auto"/>
                </w:tcPr>
                <w:p w:rsidR="00CF6B94" w:rsidRDefault="00CF6B94" w:rsidP="00CF6B94">
                  <w:pPr>
                    <w:pStyle w:val="TableBodyText"/>
                    <w:jc w:val="left"/>
                  </w:pPr>
                  <w:r>
                    <w:t>Vocational education</w:t>
                  </w:r>
                </w:p>
              </w:tc>
              <w:tc>
                <w:tcPr>
                  <w:tcW w:w="1419" w:type="pct"/>
                  <w:shd w:val="clear" w:color="auto" w:fill="auto"/>
                </w:tcPr>
                <w:p w:rsidR="00CF6B94" w:rsidRDefault="00CF6B94" w:rsidP="00CF6B94">
                  <w:pPr>
                    <w:pStyle w:val="TableBodyText"/>
                  </w:pPr>
                  <w:r>
                    <w:t>0.17</w:t>
                  </w:r>
                </w:p>
              </w:tc>
              <w:tc>
                <w:tcPr>
                  <w:tcW w:w="1489" w:type="pct"/>
                  <w:shd w:val="clear" w:color="auto" w:fill="auto"/>
                </w:tcPr>
                <w:p w:rsidR="00CF6B94" w:rsidRDefault="00CF6B94" w:rsidP="00CF6B94">
                  <w:pPr>
                    <w:pStyle w:val="TableBodyText"/>
                    <w:ind w:right="28"/>
                  </w:pPr>
                  <w:r>
                    <w:t>0.24</w:t>
                  </w:r>
                </w:p>
              </w:tc>
            </w:tr>
            <w:tr w:rsidR="00CF6B94" w:rsidTr="00CF6B94">
              <w:tc>
                <w:tcPr>
                  <w:tcW w:w="2092" w:type="pct"/>
                  <w:shd w:val="clear" w:color="auto" w:fill="auto"/>
                </w:tcPr>
                <w:p w:rsidR="00CF6B94" w:rsidRDefault="00CF6B94" w:rsidP="00CF6B94">
                  <w:pPr>
                    <w:pStyle w:val="TableBodyText"/>
                    <w:jc w:val="left"/>
                  </w:pPr>
                  <w:r>
                    <w:t>Degree or higher</w:t>
                  </w:r>
                </w:p>
              </w:tc>
              <w:tc>
                <w:tcPr>
                  <w:tcW w:w="1419" w:type="pct"/>
                  <w:shd w:val="clear" w:color="auto" w:fill="auto"/>
                </w:tcPr>
                <w:p w:rsidR="00CF6B94" w:rsidRDefault="00CF6B94" w:rsidP="00CF6B94">
                  <w:pPr>
                    <w:pStyle w:val="TableBodyText"/>
                  </w:pPr>
                  <w:r>
                    <w:t>0.33</w:t>
                  </w:r>
                </w:p>
              </w:tc>
              <w:tc>
                <w:tcPr>
                  <w:tcW w:w="1489" w:type="pct"/>
                  <w:shd w:val="clear" w:color="auto" w:fill="auto"/>
                </w:tcPr>
                <w:p w:rsidR="00CF6B94" w:rsidRDefault="00CF6B94" w:rsidP="00CF6B94">
                  <w:pPr>
                    <w:pStyle w:val="TableBodyText"/>
                    <w:ind w:right="28"/>
                  </w:pPr>
                  <w:r>
                    <w:t>0.15</w:t>
                  </w:r>
                </w:p>
              </w:tc>
            </w:tr>
            <w:tr w:rsidR="00CF6B94" w:rsidTr="00CF6B94">
              <w:tc>
                <w:tcPr>
                  <w:tcW w:w="2092" w:type="pct"/>
                  <w:shd w:val="clear" w:color="auto" w:fill="auto"/>
                </w:tcPr>
                <w:p w:rsidR="00CF6B94" w:rsidRDefault="00CF6B94" w:rsidP="00CF6B94">
                  <w:pPr>
                    <w:pStyle w:val="TableBodyText"/>
                    <w:jc w:val="left"/>
                  </w:pPr>
                  <w:r>
                    <w:t>Diploma or lower education (omitted)</w:t>
                  </w:r>
                  <w:r w:rsidRPr="005D74B4">
                    <w:rPr>
                      <w:rStyle w:val="NoteLabel"/>
                    </w:rPr>
                    <w:t xml:space="preserve"> b</w:t>
                  </w:r>
                </w:p>
              </w:tc>
              <w:tc>
                <w:tcPr>
                  <w:tcW w:w="1419" w:type="pct"/>
                  <w:shd w:val="clear" w:color="auto" w:fill="auto"/>
                </w:tcPr>
                <w:p w:rsidR="00CF6B94" w:rsidRDefault="00CF6B94" w:rsidP="00CF6B94">
                  <w:pPr>
                    <w:pStyle w:val="TableBodyText"/>
                  </w:pPr>
                  <w:r>
                    <w:t>0.50</w:t>
                  </w:r>
                </w:p>
              </w:tc>
              <w:tc>
                <w:tcPr>
                  <w:tcW w:w="1489" w:type="pct"/>
                  <w:shd w:val="clear" w:color="auto" w:fill="auto"/>
                </w:tcPr>
                <w:p w:rsidR="00CF6B94" w:rsidRDefault="00CF6B94" w:rsidP="00CF6B94">
                  <w:pPr>
                    <w:pStyle w:val="TableBodyText"/>
                    <w:ind w:right="28"/>
                  </w:pPr>
                  <w:r>
                    <w:t>0.61</w:t>
                  </w:r>
                </w:p>
              </w:tc>
            </w:tr>
            <w:tr w:rsidR="00CF6B94" w:rsidTr="00CF6B94">
              <w:tc>
                <w:tcPr>
                  <w:tcW w:w="2092" w:type="pct"/>
                  <w:tcBorders>
                    <w:bottom w:val="single" w:sz="6" w:space="0" w:color="BFBFBF"/>
                  </w:tcBorders>
                  <w:shd w:val="clear" w:color="auto" w:fill="auto"/>
                </w:tcPr>
                <w:p w:rsidR="00CF6B94" w:rsidRDefault="00CF6B94" w:rsidP="00CF6B94">
                  <w:pPr>
                    <w:pStyle w:val="TableBodyText"/>
                    <w:jc w:val="left"/>
                  </w:pPr>
                  <w:r>
                    <w:t>Number of observations</w:t>
                  </w:r>
                </w:p>
              </w:tc>
              <w:tc>
                <w:tcPr>
                  <w:tcW w:w="1419" w:type="pct"/>
                  <w:tcBorders>
                    <w:bottom w:val="single" w:sz="6" w:space="0" w:color="BFBFBF"/>
                  </w:tcBorders>
                  <w:shd w:val="clear" w:color="auto" w:fill="auto"/>
                </w:tcPr>
                <w:p w:rsidR="00CF6B94" w:rsidRDefault="00CF6B94" w:rsidP="00CF6B94">
                  <w:pPr>
                    <w:pStyle w:val="TableBodyText"/>
                  </w:pPr>
                  <w:r>
                    <w:t>2498</w:t>
                  </w:r>
                </w:p>
              </w:tc>
              <w:tc>
                <w:tcPr>
                  <w:tcW w:w="1489" w:type="pct"/>
                  <w:tcBorders>
                    <w:bottom w:val="single" w:sz="6" w:space="0" w:color="BFBFBF"/>
                  </w:tcBorders>
                  <w:shd w:val="clear" w:color="auto" w:fill="auto"/>
                </w:tcPr>
                <w:p w:rsidR="00CF6B94" w:rsidRDefault="00CF6B94" w:rsidP="00CF6B94">
                  <w:pPr>
                    <w:pStyle w:val="TableBodyText"/>
                    <w:ind w:right="28"/>
                  </w:pPr>
                  <w:r>
                    <w:t>685</w:t>
                  </w:r>
                </w:p>
              </w:tc>
            </w:tr>
          </w:tbl>
          <w:p w:rsidR="00CF6B94" w:rsidRDefault="00CF6B94" w:rsidP="00CF6B94">
            <w:pPr>
              <w:pStyle w:val="Box"/>
            </w:pP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Note"/>
              <w:rPr>
                <w:i/>
              </w:rPr>
            </w:pPr>
            <w:proofErr w:type="gramStart"/>
            <w:r w:rsidRPr="0097148C">
              <w:rPr>
                <w:rStyle w:val="NoteLabel"/>
              </w:rPr>
              <w:t>a</w:t>
            </w:r>
            <w:proofErr w:type="gramEnd"/>
            <w:r w:rsidRPr="0097148C">
              <w:rPr>
                <w:rStyle w:val="NoteLabel"/>
              </w:rPr>
              <w:t xml:space="preserve"> </w:t>
            </w:r>
            <w:r>
              <w:t xml:space="preserve">With the exception of ‘age’ and ‘number of children’ all variables are binary – the values represent therefore the proportion of observations that include this characteristic. </w:t>
            </w:r>
            <w:proofErr w:type="gramStart"/>
            <w:r w:rsidRPr="009376BC">
              <w:rPr>
                <w:rStyle w:val="NoteLabel"/>
              </w:rPr>
              <w:t>b</w:t>
            </w:r>
            <w:r>
              <w:t xml:space="preserve">  Variables</w:t>
            </w:r>
            <w:proofErr w:type="gramEnd"/>
            <w:r>
              <w:t xml:space="preserve"> are omitted to ensure there is no </w:t>
            </w:r>
            <w:proofErr w:type="spellStart"/>
            <w:r>
              <w:t>collinearity</w:t>
            </w:r>
            <w:proofErr w:type="spellEnd"/>
            <w:r>
              <w:t>. Regressions results should be interpreted as being relative to the omitted category.</w:t>
            </w:r>
          </w:p>
          <w:p w:rsidR="00CF6B94" w:rsidRDefault="00CF6B94" w:rsidP="00CF6B94">
            <w:pPr>
              <w:pStyle w:val="Source"/>
            </w:pPr>
            <w:r>
              <w:rPr>
                <w:i/>
              </w:rPr>
              <w:t>Source</w:t>
            </w:r>
            <w:r w:rsidRPr="00167F06">
              <w:t xml:space="preserve">: </w:t>
            </w:r>
            <w:r>
              <w:t>Productivity Commission estimates.</w:t>
            </w:r>
          </w:p>
        </w:tc>
      </w:tr>
      <w:tr w:rsidR="00CF6B94" w:rsidTr="00CF6B94">
        <w:trPr>
          <w:cantSplit/>
        </w:trPr>
        <w:tc>
          <w:tcPr>
            <w:tcW w:w="8771" w:type="dxa"/>
            <w:tcBorders>
              <w:top w:val="nil"/>
              <w:left w:val="nil"/>
              <w:bottom w:val="single" w:sz="6" w:space="0" w:color="78A22F"/>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left w:val="nil"/>
              <w:bottom w:val="nil"/>
              <w:right w:val="nil"/>
            </w:tcBorders>
          </w:tcPr>
          <w:p w:rsidR="00CF6B94" w:rsidRPr="00626D32" w:rsidRDefault="00CF6B94" w:rsidP="00CF6B94">
            <w:pPr>
              <w:pStyle w:val="BoxSpaceBelow"/>
            </w:pPr>
          </w:p>
        </w:tc>
      </w:tr>
    </w:tbl>
    <w:p w:rsidR="00CF6B94" w:rsidRDefault="00CF6B94" w:rsidP="00CF6B94">
      <w:pPr>
        <w:pStyle w:val="Heading2"/>
      </w:pPr>
      <w:r>
        <w:t>C.2</w:t>
      </w:r>
      <w:r>
        <w:tab/>
        <w:t>Estimating parameters for an imputed wage equation</w:t>
      </w:r>
    </w:p>
    <w:p w:rsidR="00CF6B94" w:rsidRDefault="00CF6B94" w:rsidP="00CF6B94">
      <w:pPr>
        <w:pStyle w:val="BodyText"/>
      </w:pPr>
      <w:r>
        <w:t>Information is required about the financial returns to work (specifically each individual’s wage) in order to model the impact of changes in childcare policies on households decisions — in particular whether a parent will choose to supply (additional) labour as a result of a change to out-of-pocket childcare costs.</w:t>
      </w:r>
      <w:r w:rsidRPr="00FC3F6E">
        <w:t xml:space="preserve"> </w:t>
      </w:r>
      <w:r>
        <w:t>However, wages are only observed for people who are employed. For this reason, wages have to be imputed for those not currently working.</w:t>
      </w:r>
    </w:p>
    <w:p w:rsidR="00CF6B94" w:rsidRDefault="00CF6B94" w:rsidP="00CF6B94">
      <w:pPr>
        <w:pStyle w:val="BodyText"/>
      </w:pPr>
      <w:r>
        <w:t>There is the potential for sample selection bias in those observed to be working</w:t>
      </w:r>
      <w:r w:rsidRPr="00774587">
        <w:t>, since people are self-selecting into the labour market</w:t>
      </w:r>
      <w:r>
        <w:t xml:space="preserve">. To the extent that — for example — people who have higher wages are more likely to </w:t>
      </w:r>
      <w:r>
        <w:rPr>
          <w:i/>
        </w:rPr>
        <w:t xml:space="preserve">choose </w:t>
      </w:r>
      <w:r>
        <w:t xml:space="preserve">to work, uncorrected regressions would produce biased wage predictions. </w:t>
      </w:r>
    </w:p>
    <w:p w:rsidR="00CF6B94" w:rsidRDefault="00CF6B94" w:rsidP="00CF6B94">
      <w:pPr>
        <w:pStyle w:val="BodyText"/>
      </w:pPr>
      <w:r>
        <w:t xml:space="preserve">To account for sample selection bias a wage equation was estimated using the approach proposed by Heckman (1979). This involves estimating two equations. First, a ‘selection’ equation estimates the likelihood that a person with a given set of characteristics will </w:t>
      </w:r>
      <w:r>
        <w:br/>
        <w:t>self-select into the labour market. Second, a ‘wage’ equation that includes an ‘adjustment factor’ obtained from the selection equation is used to estimate a wage for everybody in the sample, including those not observed to be working.</w:t>
      </w:r>
    </w:p>
    <w:p w:rsidR="00DE1F1B" w:rsidRDefault="00DE1F1B">
      <w:pPr>
        <w:rPr>
          <w:szCs w:val="20"/>
        </w:rPr>
      </w:pPr>
      <w:r>
        <w:br w:type="page"/>
      </w:r>
    </w:p>
    <w:p w:rsidR="00CF6B94" w:rsidRDefault="00CF6B94" w:rsidP="00CF6B94">
      <w:pPr>
        <w:pStyle w:val="BodyText"/>
      </w:pPr>
      <w:r>
        <w:lastRenderedPageBreak/>
        <w:t>The selection equation is estimated as:</w:t>
      </w:r>
    </w:p>
    <w:p w:rsidR="00CF6B94" w:rsidRPr="000E5DEE" w:rsidRDefault="00CF6B94" w:rsidP="00CF6B94">
      <w:pPr>
        <w:pStyle w:val="BodyText"/>
      </w:pPr>
      <m:oMathPara>
        <m:oMathParaPr>
          <m:jc m:val="left"/>
        </m:oMathParaPr>
        <m:oMath>
          <m:r>
            <w:rPr>
              <w:rFonts w:ascii="Cambria Math" w:hAnsi="Cambria Math"/>
            </w:rPr>
            <m:t>Prob(</m:t>
          </m:r>
          <m:r>
            <m:rPr>
              <m:sty m:val="p"/>
            </m:rPr>
            <w:rPr>
              <w:rFonts w:ascii="Cambria Math" w:hAnsi="Cambria Math"/>
            </w:rPr>
            <m:t>L = 1 | Z) = Φ(Zγ)</m:t>
          </m:r>
          <m:r>
            <w:rPr>
              <w:rFonts w:ascii="Cambria Math" w:hAnsi="Cambria Math"/>
            </w:rPr>
            <m:t xml:space="preserve"> </m:t>
          </m:r>
        </m:oMath>
      </m:oMathPara>
    </w:p>
    <w:p w:rsidR="00CF6B94" w:rsidRDefault="00CF6B94" w:rsidP="00CF6B94">
      <w:pPr>
        <w:pStyle w:val="BodyText"/>
      </w:pPr>
      <w:proofErr w:type="gramStart"/>
      <w:r>
        <w:t>where</w:t>
      </w:r>
      <w:proofErr w:type="gramEnd"/>
      <w:r>
        <w:t>:</w:t>
      </w:r>
      <w:r>
        <w:tab/>
      </w:r>
      <w:r>
        <w:tab/>
        <w:t>L = 1 if employed, 0 otherwise</w:t>
      </w:r>
    </w:p>
    <w:p w:rsidR="00CF6B94" w:rsidRDefault="00CF6B94" w:rsidP="00CF6B94">
      <w:pPr>
        <w:pStyle w:val="BodyText"/>
      </w:pPr>
      <w:r>
        <w:tab/>
      </w:r>
      <w:r>
        <w:tab/>
        <w:t>Z = a vector of explanatory variables</w:t>
      </w:r>
    </w:p>
    <w:p w:rsidR="00CF6B94" w:rsidRDefault="00CF6B94" w:rsidP="00CF6B94">
      <w:pPr>
        <w:pStyle w:val="BodyText"/>
      </w:pPr>
      <w:r>
        <w:tab/>
      </w:r>
      <w:r>
        <w:tab/>
      </w:r>
      <w:r w:rsidRPr="00141DE8">
        <w:t>Φ</w:t>
      </w:r>
      <w:r>
        <w:t xml:space="preserve"> = the cumulative distribution function of the standard normal distribution</w:t>
      </w:r>
    </w:p>
    <w:p w:rsidR="00CF6B94" w:rsidRDefault="00CF6B94" w:rsidP="00CF6B94">
      <w:pPr>
        <w:pStyle w:val="BodyText"/>
      </w:pPr>
      <w:r>
        <w:tab/>
      </w:r>
      <w:r>
        <w:tab/>
        <w:t>γ = parameters to be estimated.</w:t>
      </w:r>
    </w:p>
    <w:p w:rsidR="00CF6B94" w:rsidRDefault="00CF6B94" w:rsidP="00CF6B94">
      <w:pPr>
        <w:pStyle w:val="BodyText"/>
      </w:pPr>
      <w:r>
        <w:t>The wage equation is then estimated:</w:t>
      </w:r>
    </w:p>
    <w:p w:rsidR="00CF6B94" w:rsidRPr="000E5DEE" w:rsidRDefault="007B7F17" w:rsidP="00CF6B94">
      <w:pPr>
        <w:pStyle w:val="BodyText"/>
      </w:pPr>
      <m:oMathPara>
        <m:oMathParaPr>
          <m:jc m:val="left"/>
        </m:oMathParaPr>
        <m:oMath>
          <m:sSup>
            <m:sSupPr>
              <m:ctrlPr>
                <w:rPr>
                  <w:rFonts w:ascii="Cambria Math" w:hAnsi="Cambria Math"/>
                </w:rPr>
              </m:ctrlPr>
            </m:sSupPr>
            <m:e>
              <m:r>
                <w:rPr>
                  <w:rFonts w:ascii="Cambria Math" w:hAnsi="Cambria Math"/>
                </w:rPr>
                <m:t>w</m:t>
              </m:r>
            </m:e>
            <m:sup>
              <m:r>
                <w:rPr>
                  <w:rFonts w:ascii="Cambria Math" w:hAnsi="Cambria Math"/>
                </w:rPr>
                <m:t>*</m:t>
              </m:r>
            </m:sup>
          </m:sSup>
          <m:r>
            <m:rPr>
              <m:sty m:val="p"/>
            </m:rPr>
            <w:rPr>
              <w:rFonts w:ascii="Cambria Math" w:hAnsi="Cambria Math"/>
            </w:rPr>
            <m:t>= X</m:t>
          </m:r>
          <m:r>
            <w:rPr>
              <w:rFonts w:ascii="Cambria Math" w:hAnsi="Cambria Math"/>
            </w:rPr>
            <m:t>β+u</m:t>
          </m:r>
          <m:r>
            <m:rPr>
              <m:sty m:val="p"/>
            </m:rPr>
            <w:rPr>
              <w:rFonts w:ascii="Cambria Math" w:hAnsi="Cambria Math"/>
            </w:rPr>
            <m:t xml:space="preserve"> </m:t>
          </m:r>
        </m:oMath>
      </m:oMathPara>
    </w:p>
    <w:p w:rsidR="00CF6B94" w:rsidRPr="00AF0F5A" w:rsidRDefault="00CF6B94" w:rsidP="00CF6B94">
      <w:pPr>
        <w:pStyle w:val="BodyText"/>
      </w:pPr>
      <w:proofErr w:type="gramStart"/>
      <w:r>
        <w:t>where :</w:t>
      </w:r>
      <w:proofErr w:type="gramEnd"/>
      <w:r>
        <w:tab/>
      </w:r>
      <w:r>
        <w:tab/>
      </w:r>
      <w:r w:rsidRPr="009E0745">
        <w:rPr>
          <w:i/>
        </w:rPr>
        <w:t>w</w:t>
      </w:r>
      <w:r>
        <w:t>*</w:t>
      </w:r>
      <w:r>
        <w:rPr>
          <w:i/>
        </w:rPr>
        <w:t xml:space="preserve"> =</w:t>
      </w:r>
      <w:r w:rsidRPr="00AF0F5A">
        <w:t xml:space="preserve"> a wage, which is only observed if the person is working</w:t>
      </w:r>
    </w:p>
    <w:p w:rsidR="00CF6B94" w:rsidRDefault="00CF6B94" w:rsidP="00CF6B94">
      <w:pPr>
        <w:pStyle w:val="BodyText"/>
      </w:pPr>
      <w:r>
        <w:t>The predicted wage, conditional on a person working is:</w:t>
      </w:r>
    </w:p>
    <w:p w:rsidR="00CF6B94" w:rsidRPr="00FD30A4" w:rsidRDefault="00CF6B94" w:rsidP="00CF6B94">
      <w:pPr>
        <w:pStyle w:val="BodyText"/>
      </w:pPr>
      <m:oMathPara>
        <m:oMathParaPr>
          <m:jc m:val="left"/>
        </m:oMathParaPr>
        <m:oMath>
          <m:r>
            <m:rPr>
              <m:sty m:val="p"/>
            </m:rPr>
            <w:rPr>
              <w:rFonts w:ascii="Cambria Math" w:hAnsi="Cambria Math"/>
            </w:rPr>
            <m:t>E[w|X,L=1]= X</m:t>
          </m:r>
          <m:r>
            <w:rPr>
              <w:rFonts w:ascii="Cambria Math" w:hAnsi="Cambria Math"/>
            </w:rPr>
            <m:t>β+</m:t>
          </m:r>
          <m:r>
            <m:rPr>
              <m:sty m:val="p"/>
            </m:rPr>
            <w:rPr>
              <w:rFonts w:ascii="Cambria Math" w:hAnsi="Cambria Math"/>
            </w:rPr>
            <m:t>E</m:t>
          </m:r>
          <m:r>
            <w:rPr>
              <w:rFonts w:ascii="Cambria Math" w:hAnsi="Cambria Math"/>
            </w:rPr>
            <m:t>[u|</m:t>
          </m:r>
          <m:r>
            <m:rPr>
              <m:sty m:val="p"/>
            </m:rPr>
            <w:rPr>
              <w:rFonts w:ascii="Cambria Math" w:hAnsi="Cambria Math"/>
            </w:rPr>
            <m:t>X,L</m:t>
          </m:r>
          <m:r>
            <w:rPr>
              <w:rFonts w:ascii="Cambria Math" w:hAnsi="Cambria Math"/>
            </w:rPr>
            <m:t>=1]</m:t>
          </m:r>
        </m:oMath>
      </m:oMathPara>
    </w:p>
    <w:p w:rsidR="00CF6B94" w:rsidRDefault="00CF6B94" w:rsidP="00CF6B94">
      <w:pPr>
        <w:pStyle w:val="BodyText"/>
      </w:pPr>
      <w:proofErr w:type="gramStart"/>
      <w:r>
        <w:t>where</w:t>
      </w:r>
      <w:proofErr w:type="gramEnd"/>
      <w:r>
        <w:t>:</w:t>
      </w:r>
      <w:r>
        <w:tab/>
      </w:r>
      <w:r>
        <w:tab/>
      </w:r>
      <w:r w:rsidRPr="00392BFA">
        <w:rPr>
          <w:i/>
        </w:rPr>
        <w:t>u</w:t>
      </w:r>
      <w:r>
        <w:t xml:space="preserve"> = the unobserved determinants of wage offers. Unlike standard ordinary least squares regressions, this is not assumed to be zero.</w:t>
      </w:r>
    </w:p>
    <w:p w:rsidR="00CF6B94" w:rsidRDefault="00CF6B94" w:rsidP="00CF6B94">
      <w:pPr>
        <w:pStyle w:val="BodyText"/>
      </w:pPr>
      <w:r>
        <w:t>The above predicted wage equation can be rewritten as:</w:t>
      </w:r>
    </w:p>
    <w:p w:rsidR="00CF6B94" w:rsidRPr="008D5F64" w:rsidRDefault="00CF6B94" w:rsidP="00CF6B94">
      <w:pPr>
        <w:pStyle w:val="BodyText"/>
      </w:pPr>
      <m:oMathPara>
        <m:oMathParaPr>
          <m:jc m:val="left"/>
        </m:oMathParaPr>
        <m:oMath>
          <m:r>
            <m:rPr>
              <m:sty m:val="p"/>
            </m:rPr>
            <w:rPr>
              <w:rFonts w:ascii="Cambria Math" w:hAnsi="Cambria Math"/>
            </w:rPr>
            <m:t>E[w|X,L=1]= X</m:t>
          </m:r>
          <m:r>
            <w:rPr>
              <w:rFonts w:ascii="Cambria Math" w:hAnsi="Cambria Math"/>
            </w:rPr>
            <m:t>β+ρ</m:t>
          </m:r>
          <m:sSub>
            <m:sSubPr>
              <m:ctrlPr>
                <w:rPr>
                  <w:rFonts w:ascii="Cambria Math" w:hAnsi="Cambria Math"/>
                  <w:i/>
                </w:rPr>
              </m:ctrlPr>
            </m:sSubPr>
            <m:e>
              <m:r>
                <w:rPr>
                  <w:rFonts w:ascii="Cambria Math" w:hAnsi="Cambria Math"/>
                </w:rPr>
                <m:t>σ</m:t>
              </m:r>
            </m:e>
            <m:sub>
              <m:r>
                <m:rPr>
                  <m:sty m:val="p"/>
                </m:rPr>
                <w:rPr>
                  <w:rFonts w:ascii="Cambria Math" w:hAnsi="Cambria Math"/>
                  <w:vertAlign w:val="subscript"/>
                </w:rPr>
                <m:t>u</m:t>
              </m:r>
            </m:sub>
          </m:sSub>
          <m:r>
            <m:rPr>
              <m:sty m:val="p"/>
            </m:rPr>
            <w:rPr>
              <w:rFonts w:ascii="Cambria Math" w:hAnsi="Cambria Math"/>
            </w:rPr>
            <m:t>λ(Zγ)</m:t>
          </m:r>
        </m:oMath>
      </m:oMathPara>
    </w:p>
    <w:p w:rsidR="00CF6B94" w:rsidRDefault="00CF6B94" w:rsidP="00CF6B94">
      <w:pPr>
        <w:pStyle w:val="BodyText"/>
      </w:pPr>
      <w:proofErr w:type="gramStart"/>
      <w:r>
        <w:t>where</w:t>
      </w:r>
      <w:proofErr w:type="gramEnd"/>
      <w:r>
        <w:t xml:space="preserve">: </w:t>
      </w:r>
      <w:r>
        <w:tab/>
      </w:r>
      <w:r>
        <w:tab/>
      </w:r>
      <w:r w:rsidRPr="009D7849">
        <w:rPr>
          <w:i/>
        </w:rPr>
        <w:t>ρ</w:t>
      </w:r>
      <w:r>
        <w:t xml:space="preserve"> = correlation between error terms in the first and second equations</w:t>
      </w:r>
    </w:p>
    <w:p w:rsidR="00CF6B94" w:rsidRDefault="00CF6B94" w:rsidP="00CF6B94">
      <w:pPr>
        <w:pStyle w:val="BodyText"/>
        <w:rPr>
          <w:i/>
        </w:rPr>
      </w:pPr>
      <w:r>
        <w:tab/>
      </w:r>
      <w:r>
        <w:tab/>
      </w:r>
      <w:proofErr w:type="spellStart"/>
      <w:proofErr w:type="gramStart"/>
      <w:r w:rsidRPr="009D7849">
        <w:rPr>
          <w:i/>
        </w:rPr>
        <w:t>σ</w:t>
      </w:r>
      <w:r w:rsidRPr="009D7849">
        <w:rPr>
          <w:vertAlign w:val="subscript"/>
        </w:rPr>
        <w:t>u</w:t>
      </w:r>
      <w:proofErr w:type="spellEnd"/>
      <w:proofErr w:type="gramEnd"/>
      <w:r>
        <w:t xml:space="preserve"> = standard deviation of </w:t>
      </w:r>
      <w:r>
        <w:rPr>
          <w:i/>
        </w:rPr>
        <w:t>u</w:t>
      </w:r>
    </w:p>
    <w:p w:rsidR="00CF6B94" w:rsidRDefault="00CF6B94" w:rsidP="00CF6B94">
      <w:pPr>
        <w:pStyle w:val="BodyText"/>
      </w:pPr>
      <w:r>
        <w:rPr>
          <w:i/>
        </w:rPr>
        <w:tab/>
      </w:r>
      <w:r>
        <w:rPr>
          <w:i/>
        </w:rPr>
        <w:tab/>
        <w:t xml:space="preserve">λ </w:t>
      </w:r>
      <w:r w:rsidRPr="009D7849">
        <w:t>= inverse mills ratio</w:t>
      </w:r>
    </w:p>
    <w:p w:rsidR="00CF6B94" w:rsidRDefault="00CF6B94" w:rsidP="00CF6B94">
      <w:pPr>
        <w:pStyle w:val="BodyText"/>
      </w:pPr>
      <w:r>
        <w:t>Again the predicted wage equation can be expressed as:</w:t>
      </w:r>
    </w:p>
    <w:p w:rsidR="00CF6B94" w:rsidRPr="008D5F64" w:rsidRDefault="00CF6B94" w:rsidP="00CF6B94">
      <w:pPr>
        <w:pStyle w:val="BodyText"/>
      </w:pPr>
      <m:oMathPara>
        <m:oMathParaPr>
          <m:jc m:val="left"/>
        </m:oMathParaPr>
        <m:oMath>
          <m:r>
            <m:rPr>
              <m:sty m:val="p"/>
            </m:rPr>
            <w:rPr>
              <w:rFonts w:ascii="Cambria Math" w:hAnsi="Cambria Math"/>
            </w:rPr>
            <m:t>E[w|X,L=1]= X</m:t>
          </m:r>
          <m:r>
            <w:rPr>
              <w:rFonts w:ascii="Cambria Math" w:hAnsi="Cambria Math"/>
            </w:rPr>
            <m:t>β+c</m:t>
          </m:r>
          <m:r>
            <m:rPr>
              <m:sty m:val="p"/>
            </m:rPr>
            <w:rPr>
              <w:rFonts w:ascii="Cambria Math" w:hAnsi="Cambria Math"/>
            </w:rPr>
            <m:t>λ(Zγ)</m:t>
          </m:r>
        </m:oMath>
      </m:oMathPara>
    </w:p>
    <w:p w:rsidR="00CF6B94" w:rsidRDefault="00CF6B94" w:rsidP="00CF6B94">
      <w:pPr>
        <w:pStyle w:val="BodyText"/>
        <w:rPr>
          <w:vertAlign w:val="subscript"/>
        </w:rPr>
      </w:pPr>
      <w:proofErr w:type="gramStart"/>
      <w:r>
        <w:t>where</w:t>
      </w:r>
      <w:proofErr w:type="gramEnd"/>
      <w:r>
        <w:t xml:space="preserve">: </w:t>
      </w:r>
      <w:r>
        <w:tab/>
      </w:r>
      <w:r>
        <w:tab/>
      </w:r>
      <w:r w:rsidRPr="00BC5F31">
        <w:rPr>
          <w:i/>
        </w:rPr>
        <w:t>c</w:t>
      </w:r>
      <w:r>
        <w:t xml:space="preserve"> = </w:t>
      </w:r>
      <w:proofErr w:type="spellStart"/>
      <w:r w:rsidRPr="009D7849">
        <w:rPr>
          <w:i/>
        </w:rPr>
        <w:t>ρσ</w:t>
      </w:r>
      <w:r w:rsidRPr="009D7849">
        <w:rPr>
          <w:vertAlign w:val="subscript"/>
        </w:rPr>
        <w:t>u</w:t>
      </w:r>
      <w:proofErr w:type="spellEnd"/>
    </w:p>
    <w:p w:rsidR="00CF6B94" w:rsidRDefault="00CF6B94" w:rsidP="00CF6B94">
      <w:pPr>
        <w:pStyle w:val="BodyText"/>
      </w:pPr>
      <w:r>
        <w:t>When the</w:t>
      </w:r>
      <w:r w:rsidRPr="009D7849">
        <w:t xml:space="preserve"> estimate of </w:t>
      </w:r>
      <w:r w:rsidRPr="00BC5F31">
        <w:rPr>
          <w:i/>
        </w:rPr>
        <w:t>c</w:t>
      </w:r>
      <w:r>
        <w:t xml:space="preserve"> (the coefficient of </w:t>
      </w:r>
      <w:r w:rsidRPr="009D7849">
        <w:rPr>
          <w:i/>
        </w:rPr>
        <w:t>λ</w:t>
      </w:r>
      <w:r>
        <w:rPr>
          <w:i/>
        </w:rPr>
        <w:t xml:space="preserve"> –– </w:t>
      </w:r>
      <w:r w:rsidRPr="00864E7D">
        <w:t>the inverse mills ratio</w:t>
      </w:r>
      <w:r>
        <w:t>) is different from zero a ‘selection effect’ is present. Controlling for the selection effect leads to unbiased estimates in the wage equation for those both with and without jobs in the data. To accurately measure if a selection effect is present, a reliable instrument is needed. An instrument is a variable that affects the likelihood of being employed, but does not affect wages. In practice it can be difficult to find a suitable instrument. The presence of children is often used, and is also used here.</w:t>
      </w:r>
    </w:p>
    <w:p w:rsidR="00CF6B94" w:rsidRDefault="00CF6B94" w:rsidP="00CF6B94">
      <w:pPr>
        <w:pStyle w:val="Heading3"/>
      </w:pPr>
      <w:r>
        <w:lastRenderedPageBreak/>
        <w:t>Results from the estimated wage equation</w:t>
      </w:r>
    </w:p>
    <w:p w:rsidR="00CF6B94" w:rsidRDefault="00CF6B94" w:rsidP="00CF6B94">
      <w:pPr>
        <w:pStyle w:val="BodyText"/>
      </w:pPr>
      <w:r>
        <w:t xml:space="preserve">Coefficient estimates for the selection and wage equations are presented in table C.2. </w:t>
      </w:r>
    </w:p>
    <w:p w:rsidR="00CF6B94" w:rsidRDefault="00CF6B94" w:rsidP="00CF6B94">
      <w:pPr>
        <w:pStyle w:val="BodyText"/>
      </w:pPr>
      <w:r>
        <w:t>The inverse mills ratio is statistically significant for partnered women, meaning that there is a positive selection effect for this group.</w:t>
      </w:r>
    </w:p>
    <w:p w:rsidR="00CF6B94" w:rsidRDefault="00CF6B94" w:rsidP="00CF6B94">
      <w:pPr>
        <w:pStyle w:val="BodyText"/>
      </w:pPr>
      <w:r>
        <w:t xml:space="preserve">The presence of children is included in the selection equation, but not the wage equation. This is because it is assumed that having children is likely to have an effect on employment (by potentially decreasing the probability of labour market participation), but not wages. Having children has a negative effect on the likelihood of </w:t>
      </w:r>
      <w:proofErr w:type="gramStart"/>
      <w:r>
        <w:t>participating,</w:t>
      </w:r>
      <w:proofErr w:type="gramEnd"/>
      <w:r>
        <w:t xml:space="preserve"> in particular h</w:t>
      </w:r>
      <w:r w:rsidR="00BD2E8E">
        <w:t>aving a younger child (aged 0</w:t>
      </w:r>
      <w:r w:rsidR="00BD2E8E">
        <w:softHyphen/>
      </w:r>
      <w:r w:rsidR="00BD2E8E">
        <w:softHyphen/>
        <w:t>–</w:t>
      </w:r>
      <w:r>
        <w:t>2 years).</w:t>
      </w:r>
    </w:p>
    <w:p w:rsidR="00CF6B94" w:rsidRDefault="00CF6B94" w:rsidP="00CF6B94">
      <w:pPr>
        <w:pStyle w:val="BodyText"/>
      </w:pPr>
      <w:r>
        <w:t>Work experience has a positive effect on the probability of employment. Education is also included in the selection equation. As expected, having a degree has a positive effect on employment.</w:t>
      </w:r>
    </w:p>
    <w:p w:rsidR="00CF6B94" w:rsidRDefault="00CF6B94" w:rsidP="00CF6B94">
      <w:pPr>
        <w:pStyle w:val="BodyText"/>
      </w:pPr>
      <w:r>
        <w:t>In the wage equation, the coefficient for degree is positive (and statistically significant for partnered women) meaning that a degree (relative to having diploma or lower education) is associated with higher expected wages. Sector and state of residence are also included in the wage equation. Working in the mining sector has the largest positive coefficient.</w:t>
      </w:r>
    </w:p>
    <w:p w:rsidR="00BD2E8E" w:rsidRDefault="00BD2E8E" w:rsidP="00BD2E8E">
      <w:pPr>
        <w:pStyle w:val="Heading2"/>
      </w:pPr>
      <w:r>
        <w:t>C.3</w:t>
      </w:r>
      <w:r>
        <w:tab/>
        <w:t>Estimating parameters for the utility function</w:t>
      </w:r>
    </w:p>
    <w:p w:rsidR="00BD2E8E" w:rsidRDefault="00BD2E8E" w:rsidP="00BD2E8E">
      <w:pPr>
        <w:pStyle w:val="BodyText"/>
      </w:pPr>
      <w:r>
        <w:t>In the behavioural micro-simulation model, household utility is affected by levels of:</w:t>
      </w:r>
    </w:p>
    <w:p w:rsidR="00BD2E8E" w:rsidRDefault="00BD2E8E" w:rsidP="00DE1F1B">
      <w:pPr>
        <w:pStyle w:val="ListBullet"/>
      </w:pPr>
      <w:r>
        <w:t>household income including transfers, net of taxes, and net of out-of-pocket costs of childcare</w:t>
      </w:r>
    </w:p>
    <w:p w:rsidR="00BD2E8E" w:rsidRDefault="00BD2E8E" w:rsidP="00DE1F1B">
      <w:pPr>
        <w:pStyle w:val="ListBullet"/>
      </w:pPr>
      <w:r>
        <w:t>labour supply (hours worked)</w:t>
      </w:r>
    </w:p>
    <w:p w:rsidR="00BD2E8E" w:rsidRDefault="00BD2E8E" w:rsidP="00DE1F1B">
      <w:pPr>
        <w:pStyle w:val="ListBullet"/>
      </w:pPr>
      <w:proofErr w:type="gramStart"/>
      <w:r>
        <w:t>formal</w:t>
      </w:r>
      <w:proofErr w:type="gramEnd"/>
      <w:r>
        <w:t>, informal and sole parent/maternal childcare use.</w:t>
      </w:r>
    </w:p>
    <w:p w:rsidR="00BD2E8E" w:rsidRDefault="00BD2E8E" w:rsidP="00BD2E8E">
      <w:pPr>
        <w:pStyle w:val="BodyText"/>
      </w:pPr>
      <w:r>
        <w:t>The household utility function is documented in more detail in appendix B.</w:t>
      </w:r>
    </w:p>
    <w:p w:rsidR="00BD2E8E" w:rsidRDefault="00BD2E8E" w:rsidP="00BD2E8E">
      <w:pPr>
        <w:pStyle w:val="BodyText"/>
      </w:pPr>
      <w:r>
        <w:t>There are three different types of childcare in the PCMC model: formal childcare, informal childcare and maternal childcare. In the estimation, both informal childcare and maternal childcare enter the utility function. Formal childcare is omitted as including all three forms of childcare would result in an over-specified model.</w:t>
      </w:r>
    </w:p>
    <w:p w:rsidR="00BD2E8E" w:rsidRDefault="00BD2E8E" w:rsidP="00CF6B94">
      <w:pPr>
        <w:pStyle w:val="BodyText"/>
      </w:pPr>
    </w:p>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CF6B94" w:rsidTr="00CF6B94">
        <w:tc>
          <w:tcPr>
            <w:tcW w:w="8771" w:type="dxa"/>
            <w:tcBorders>
              <w:top w:val="single" w:sz="6" w:space="0" w:color="78A22F"/>
              <w:left w:val="nil"/>
              <w:bottom w:val="nil"/>
              <w:right w:val="nil"/>
            </w:tcBorders>
            <w:shd w:val="clear" w:color="auto" w:fill="auto"/>
          </w:tcPr>
          <w:p w:rsidR="00CF6B94" w:rsidRPr="00784A05" w:rsidRDefault="00CF6B94" w:rsidP="00CF6B94">
            <w:pPr>
              <w:pStyle w:val="TableTitle"/>
            </w:pPr>
            <w:r>
              <w:rPr>
                <w:b w:val="0"/>
              </w:rPr>
              <w:t>Table C.2</w:t>
            </w:r>
            <w:r>
              <w:tab/>
              <w:t>Wage equation parameter estimates</w:t>
            </w:r>
          </w:p>
        </w:tc>
      </w:tr>
      <w:tr w:rsidR="00CF6B94" w:rsidTr="00CF6B94">
        <w:trPr>
          <w:cantSplit/>
        </w:trPr>
        <w:tc>
          <w:tcPr>
            <w:tcW w:w="8771" w:type="dxa"/>
            <w:tcBorders>
              <w:top w:val="nil"/>
              <w:left w:val="nil"/>
              <w:bottom w:val="nil"/>
              <w:right w:val="nil"/>
            </w:tcBorders>
            <w:shd w:val="clear" w:color="auto" w:fill="auto"/>
          </w:tcPr>
          <w:tbl>
            <w:tblPr>
              <w:tblW w:w="11316" w:type="dxa"/>
              <w:tblCellMar>
                <w:top w:w="28" w:type="dxa"/>
                <w:left w:w="0" w:type="dxa"/>
                <w:right w:w="0" w:type="dxa"/>
              </w:tblCellMar>
              <w:tblLook w:val="0000" w:firstRow="0" w:lastRow="0" w:firstColumn="0" w:lastColumn="0" w:noHBand="0" w:noVBand="0"/>
            </w:tblPr>
            <w:tblGrid>
              <w:gridCol w:w="2820"/>
              <w:gridCol w:w="2820"/>
              <w:gridCol w:w="324"/>
              <w:gridCol w:w="2551"/>
              <w:gridCol w:w="253"/>
              <w:gridCol w:w="1147"/>
              <w:gridCol w:w="1401"/>
            </w:tblGrid>
            <w:tr w:rsidR="00CF6B94" w:rsidTr="00CF6B94">
              <w:tc>
                <w:tcPr>
                  <w:tcW w:w="1246" w:type="pct"/>
                  <w:tcBorders>
                    <w:top w:val="single" w:sz="6" w:space="0" w:color="BFBFBF"/>
                    <w:bottom w:val="single" w:sz="6" w:space="0" w:color="BFBFBF"/>
                  </w:tcBorders>
                </w:tcPr>
                <w:p w:rsidR="00CF6B94" w:rsidRDefault="00CF6B94" w:rsidP="00CF6B94">
                  <w:pPr>
                    <w:pStyle w:val="TableColumnHeading"/>
                    <w:jc w:val="left"/>
                  </w:pPr>
                  <w:r>
                    <w:t>Variable</w:t>
                  </w:r>
                </w:p>
              </w:tc>
              <w:tc>
                <w:tcPr>
                  <w:tcW w:w="1389" w:type="pct"/>
                  <w:gridSpan w:val="2"/>
                  <w:tcBorders>
                    <w:top w:val="single" w:sz="6" w:space="0" w:color="BFBFBF"/>
                    <w:bottom w:val="single" w:sz="6" w:space="0" w:color="BFBFBF"/>
                  </w:tcBorders>
                  <w:shd w:val="clear" w:color="auto" w:fill="auto"/>
                  <w:tcMar>
                    <w:top w:w="28" w:type="dxa"/>
                  </w:tcMar>
                </w:tcPr>
                <w:p w:rsidR="00CF6B94" w:rsidRDefault="00CF6B94" w:rsidP="00CF6B94">
                  <w:pPr>
                    <w:pStyle w:val="TableColumnHeading"/>
                  </w:pPr>
                  <w:r>
                    <w:t>Couples, female</w:t>
                  </w:r>
                </w:p>
              </w:tc>
              <w:tc>
                <w:tcPr>
                  <w:tcW w:w="1239" w:type="pct"/>
                  <w:gridSpan w:val="2"/>
                  <w:tcBorders>
                    <w:top w:val="single" w:sz="6" w:space="0" w:color="BFBFBF"/>
                    <w:bottom w:val="single" w:sz="6" w:space="0" w:color="BFBFBF"/>
                  </w:tcBorders>
                  <w:shd w:val="clear" w:color="auto" w:fill="auto"/>
                </w:tcPr>
                <w:p w:rsidR="00CF6B94" w:rsidRDefault="00CF6B94" w:rsidP="00CF6B94">
                  <w:pPr>
                    <w:pStyle w:val="TableColumnHeading"/>
                  </w:pPr>
                  <w:r>
                    <w:t>Single parents</w:t>
                  </w:r>
                </w:p>
              </w:tc>
              <w:tc>
                <w:tcPr>
                  <w:tcW w:w="507" w:type="pct"/>
                  <w:tcBorders>
                    <w:top w:val="single" w:sz="6" w:space="0" w:color="BFBFBF"/>
                    <w:bottom w:val="single" w:sz="6" w:space="0" w:color="BFBFBF"/>
                  </w:tcBorders>
                  <w:shd w:val="clear" w:color="auto" w:fill="auto"/>
                  <w:tcMar>
                    <w:top w:w="28" w:type="dxa"/>
                  </w:tcMar>
                </w:tcPr>
                <w:p w:rsidR="00CF6B94" w:rsidRDefault="00CF6B94" w:rsidP="00CF6B94">
                  <w:pPr>
                    <w:pStyle w:val="TableColumnHeading"/>
                    <w:ind w:right="28"/>
                  </w:pPr>
                </w:p>
              </w:tc>
              <w:tc>
                <w:tcPr>
                  <w:tcW w:w="619" w:type="pct"/>
                  <w:tcBorders>
                    <w:top w:val="single" w:sz="6" w:space="0" w:color="BFBFBF"/>
                    <w:bottom w:val="single" w:sz="6" w:space="0" w:color="BFBFBF"/>
                  </w:tcBorders>
                  <w:shd w:val="clear" w:color="auto" w:fill="auto"/>
                </w:tcPr>
                <w:p w:rsidR="00CF6B94" w:rsidRDefault="00CF6B94" w:rsidP="00CF6B94">
                  <w:pPr>
                    <w:pStyle w:val="TableColumnHeading"/>
                    <w:ind w:right="28"/>
                  </w:pPr>
                </w:p>
              </w:tc>
            </w:tr>
            <w:tr w:rsidR="00CF6B94" w:rsidTr="00CF6B94">
              <w:tc>
                <w:tcPr>
                  <w:tcW w:w="1246" w:type="pct"/>
                  <w:tcBorders>
                    <w:top w:val="single" w:sz="6" w:space="0" w:color="BFBFBF"/>
                  </w:tcBorders>
                </w:tcPr>
                <w:p w:rsidR="00CF6B94" w:rsidRPr="00936103" w:rsidRDefault="00CF6B94" w:rsidP="00CF6B94">
                  <w:pPr>
                    <w:pStyle w:val="TableUnitsRow"/>
                    <w:jc w:val="left"/>
                    <w:rPr>
                      <w:b/>
                    </w:rPr>
                  </w:pPr>
                  <w:r w:rsidRPr="00936103">
                    <w:rPr>
                      <w:b/>
                    </w:rPr>
                    <w:t>Selection equation</w:t>
                  </w:r>
                </w:p>
              </w:tc>
              <w:tc>
                <w:tcPr>
                  <w:tcW w:w="1246" w:type="pct"/>
                  <w:tcBorders>
                    <w:top w:val="single" w:sz="6" w:space="0" w:color="BFBFBF"/>
                  </w:tcBorders>
                </w:tcPr>
                <w:p w:rsidR="00CF6B94" w:rsidRDefault="00CF6B94" w:rsidP="00CF6B94">
                  <w:pPr>
                    <w:pStyle w:val="TableUnitsRow"/>
                    <w:jc w:val="left"/>
                  </w:pPr>
                </w:p>
              </w:tc>
              <w:tc>
                <w:tcPr>
                  <w:tcW w:w="143" w:type="pct"/>
                  <w:tcBorders>
                    <w:top w:val="single" w:sz="6" w:space="0" w:color="BFBFBF"/>
                  </w:tcBorders>
                </w:tcPr>
                <w:p w:rsidR="00CF6B94" w:rsidRDefault="00CF6B94" w:rsidP="00CF6B94">
                  <w:pPr>
                    <w:pStyle w:val="TableUnitsRow"/>
                  </w:pPr>
                </w:p>
              </w:tc>
              <w:tc>
                <w:tcPr>
                  <w:tcW w:w="1127" w:type="pct"/>
                  <w:tcBorders>
                    <w:top w:val="single" w:sz="6" w:space="0" w:color="BFBFBF"/>
                  </w:tcBorders>
                </w:tcPr>
                <w:p w:rsidR="00CF6B94" w:rsidRDefault="00CF6B94" w:rsidP="00CF6B94">
                  <w:pPr>
                    <w:pStyle w:val="TableUnitsRow"/>
                  </w:pPr>
                </w:p>
              </w:tc>
              <w:tc>
                <w:tcPr>
                  <w:tcW w:w="619" w:type="pct"/>
                  <w:gridSpan w:val="2"/>
                  <w:tcBorders>
                    <w:top w:val="single" w:sz="6" w:space="0" w:color="BFBFBF"/>
                  </w:tcBorders>
                </w:tcPr>
                <w:p w:rsidR="00CF6B94" w:rsidRDefault="00CF6B94" w:rsidP="00CF6B94">
                  <w:pPr>
                    <w:pStyle w:val="TableUnitsRow"/>
                    <w:ind w:right="28"/>
                  </w:pPr>
                </w:p>
              </w:tc>
              <w:tc>
                <w:tcPr>
                  <w:tcW w:w="619" w:type="pct"/>
                  <w:tcBorders>
                    <w:top w:val="single" w:sz="6" w:space="0" w:color="BFBFBF"/>
                  </w:tcBorders>
                </w:tcPr>
                <w:p w:rsidR="00CF6B94" w:rsidRDefault="00CF6B94" w:rsidP="00CF6B94">
                  <w:pPr>
                    <w:pStyle w:val="TableUnitsRow"/>
                    <w:ind w:right="28"/>
                  </w:pPr>
                </w:p>
              </w:tc>
            </w:tr>
            <w:tr w:rsidR="00CF6B94" w:rsidTr="00CF6B94">
              <w:tc>
                <w:tcPr>
                  <w:tcW w:w="1246" w:type="pct"/>
                </w:tcPr>
                <w:p w:rsidR="00CF6B94" w:rsidRDefault="00CF6B94" w:rsidP="00CF6B94">
                  <w:pPr>
                    <w:pStyle w:val="TableBodyText"/>
                    <w:jc w:val="left"/>
                  </w:pPr>
                  <w:r>
                    <w:t>Female</w:t>
                  </w:r>
                </w:p>
              </w:tc>
              <w:tc>
                <w:tcPr>
                  <w:tcW w:w="1246" w:type="pct"/>
                </w:tcPr>
                <w:p w:rsidR="00CF6B94" w:rsidRDefault="00CF6B94" w:rsidP="00CF6B94">
                  <w:pPr>
                    <w:pStyle w:val="TableBodyText"/>
                    <w:ind w:right="0"/>
                  </w:pPr>
                  <w:proofErr w:type="spellStart"/>
                  <w:r>
                    <w:t>na</w:t>
                  </w:r>
                  <w:proofErr w:type="spellEnd"/>
                </w:p>
              </w:tc>
              <w:tc>
                <w:tcPr>
                  <w:tcW w:w="143" w:type="pct"/>
                </w:tcPr>
                <w:p w:rsidR="00CF6B94" w:rsidRDefault="00CF6B94" w:rsidP="00CF6B94">
                  <w:pPr>
                    <w:pStyle w:val="TableBodyText"/>
                    <w:ind w:left="0"/>
                    <w:jc w:val="left"/>
                  </w:pPr>
                </w:p>
              </w:tc>
              <w:tc>
                <w:tcPr>
                  <w:tcW w:w="1127" w:type="pct"/>
                </w:tcPr>
                <w:p w:rsidR="00CF6B94" w:rsidRDefault="00CF6B94" w:rsidP="00CF6B94">
                  <w:pPr>
                    <w:pStyle w:val="TableBodyText"/>
                    <w:ind w:right="0"/>
                  </w:pPr>
                  <w:r>
                    <w:t>-0.78</w:t>
                  </w:r>
                </w:p>
              </w:tc>
              <w:tc>
                <w:tcPr>
                  <w:tcW w:w="619" w:type="pct"/>
                  <w:gridSpan w:val="2"/>
                </w:tcPr>
                <w:p w:rsidR="00CF6B94" w:rsidRDefault="00CF6B94" w:rsidP="00CF6B94">
                  <w:pPr>
                    <w:pStyle w:val="TableBodyText"/>
                    <w:ind w:right="28"/>
                    <w:jc w:val="left"/>
                  </w:pPr>
                  <w:r>
                    <w:t>**</w:t>
                  </w:r>
                </w:p>
              </w:tc>
              <w:tc>
                <w:tcPr>
                  <w:tcW w:w="619" w:type="pct"/>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Age</w:t>
                  </w:r>
                </w:p>
              </w:tc>
              <w:tc>
                <w:tcPr>
                  <w:tcW w:w="1246" w:type="pct"/>
                  <w:shd w:val="clear" w:color="auto" w:fill="auto"/>
                </w:tcPr>
                <w:p w:rsidR="00CF6B94" w:rsidRDefault="00CF6B94" w:rsidP="00CF6B94">
                  <w:pPr>
                    <w:pStyle w:val="TableBodyText"/>
                    <w:ind w:right="0"/>
                  </w:pPr>
                  <w:r>
                    <w:t>-0.15</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-0.08</w:t>
                  </w:r>
                </w:p>
              </w:tc>
              <w:tc>
                <w:tcPr>
                  <w:tcW w:w="619" w:type="pct"/>
                  <w:gridSpan w:val="2"/>
                  <w:shd w:val="clear" w:color="auto" w:fill="auto"/>
                </w:tcPr>
                <w:p w:rsidR="00CF6B94" w:rsidRDefault="00CF6B94" w:rsidP="00CF6B94">
                  <w:pPr>
                    <w:pStyle w:val="TableBodyText"/>
                    <w:ind w:right="28"/>
                    <w:jc w:val="left"/>
                  </w:pPr>
                  <w:r>
                    <w:t>***</w:t>
                  </w: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Age squared/100</w:t>
                  </w:r>
                </w:p>
              </w:tc>
              <w:tc>
                <w:tcPr>
                  <w:tcW w:w="1246" w:type="pct"/>
                  <w:shd w:val="clear" w:color="auto" w:fill="auto"/>
                </w:tcPr>
                <w:p w:rsidR="00CF6B94" w:rsidRDefault="00CF6B94" w:rsidP="00CF6B94">
                  <w:pPr>
                    <w:pStyle w:val="TableBodyText"/>
                    <w:ind w:right="0"/>
                  </w:pPr>
                  <w:r>
                    <w:t>0.20</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0.09</w:t>
                  </w:r>
                </w:p>
              </w:tc>
              <w:tc>
                <w:tcPr>
                  <w:tcW w:w="619" w:type="pct"/>
                  <w:gridSpan w:val="2"/>
                  <w:shd w:val="clear" w:color="auto" w:fill="auto"/>
                </w:tcPr>
                <w:p w:rsidR="00CF6B94" w:rsidRDefault="00CF6B94" w:rsidP="00CF6B94">
                  <w:pPr>
                    <w:pStyle w:val="TableBodyText"/>
                    <w:ind w:right="28"/>
                    <w:jc w:val="left"/>
                  </w:pPr>
                  <w:r>
                    <w:t>**</w:t>
                  </w: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Capital city</w:t>
                  </w:r>
                </w:p>
              </w:tc>
              <w:tc>
                <w:tcPr>
                  <w:tcW w:w="1246" w:type="pct"/>
                  <w:shd w:val="clear" w:color="auto" w:fill="auto"/>
                </w:tcPr>
                <w:p w:rsidR="00CF6B94" w:rsidRDefault="00CF6B94" w:rsidP="00CF6B94">
                  <w:pPr>
                    <w:pStyle w:val="TableBodyText"/>
                    <w:ind w:right="0"/>
                  </w:pPr>
                  <w:r>
                    <w:t>0.07</w:t>
                  </w:r>
                </w:p>
              </w:tc>
              <w:tc>
                <w:tcPr>
                  <w:tcW w:w="143" w:type="pct"/>
                  <w:shd w:val="clear" w:color="auto" w:fill="auto"/>
                </w:tcPr>
                <w:p w:rsidR="00CF6B94" w:rsidRDefault="00CF6B94" w:rsidP="00CF6B94">
                  <w:pPr>
                    <w:pStyle w:val="TableBodyText"/>
                    <w:ind w:left="0"/>
                    <w:jc w:val="left"/>
                  </w:pPr>
                </w:p>
              </w:tc>
              <w:tc>
                <w:tcPr>
                  <w:tcW w:w="1127" w:type="pct"/>
                  <w:shd w:val="clear" w:color="auto" w:fill="auto"/>
                </w:tcPr>
                <w:p w:rsidR="00CF6B94" w:rsidRDefault="00CF6B94" w:rsidP="00CF6B94">
                  <w:pPr>
                    <w:pStyle w:val="TableBodyText"/>
                    <w:ind w:right="0"/>
                  </w:pPr>
                  <w:r>
                    <w:t>0.14</w:t>
                  </w: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Number of children</w:t>
                  </w:r>
                </w:p>
              </w:tc>
              <w:tc>
                <w:tcPr>
                  <w:tcW w:w="1246" w:type="pct"/>
                  <w:shd w:val="clear" w:color="auto" w:fill="auto"/>
                </w:tcPr>
                <w:p w:rsidR="00CF6B94" w:rsidRDefault="00CF6B94" w:rsidP="00CF6B94">
                  <w:pPr>
                    <w:pStyle w:val="TableBodyText"/>
                    <w:ind w:right="0"/>
                  </w:pPr>
                  <w:r>
                    <w:t>0.01</w:t>
                  </w:r>
                </w:p>
              </w:tc>
              <w:tc>
                <w:tcPr>
                  <w:tcW w:w="143" w:type="pct"/>
                  <w:shd w:val="clear" w:color="auto" w:fill="auto"/>
                </w:tcPr>
                <w:p w:rsidR="00CF6B94" w:rsidRDefault="00CF6B94" w:rsidP="00CF6B94">
                  <w:pPr>
                    <w:pStyle w:val="TableBodyText"/>
                    <w:ind w:left="0"/>
                    <w:jc w:val="left"/>
                  </w:pPr>
                </w:p>
              </w:tc>
              <w:tc>
                <w:tcPr>
                  <w:tcW w:w="1127" w:type="pct"/>
                  <w:shd w:val="clear" w:color="auto" w:fill="auto"/>
                </w:tcPr>
                <w:p w:rsidR="00CF6B94" w:rsidRDefault="00CF6B94" w:rsidP="00CF6B94">
                  <w:pPr>
                    <w:pStyle w:val="TableBodyText"/>
                    <w:ind w:right="0"/>
                  </w:pPr>
                  <w:r>
                    <w:t>-0.14</w:t>
                  </w: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Child aged 0-2</w:t>
                  </w:r>
                </w:p>
              </w:tc>
              <w:tc>
                <w:tcPr>
                  <w:tcW w:w="1246" w:type="pct"/>
                  <w:shd w:val="clear" w:color="auto" w:fill="auto"/>
                </w:tcPr>
                <w:p w:rsidR="00CF6B94" w:rsidRDefault="00CF6B94" w:rsidP="00CF6B94">
                  <w:pPr>
                    <w:pStyle w:val="TableBodyText"/>
                    <w:ind w:right="0"/>
                  </w:pPr>
                  <w:r>
                    <w:t>-0.96</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-0.82</w:t>
                  </w:r>
                </w:p>
              </w:tc>
              <w:tc>
                <w:tcPr>
                  <w:tcW w:w="619" w:type="pct"/>
                  <w:gridSpan w:val="2"/>
                  <w:shd w:val="clear" w:color="auto" w:fill="auto"/>
                </w:tcPr>
                <w:p w:rsidR="00CF6B94" w:rsidRDefault="00CF6B94" w:rsidP="00CF6B94">
                  <w:pPr>
                    <w:pStyle w:val="TableBodyText"/>
                    <w:ind w:right="28"/>
                    <w:jc w:val="left"/>
                  </w:pPr>
                  <w:r>
                    <w:t>***</w:t>
                  </w: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Child aged 3-4</w:t>
                  </w:r>
                </w:p>
              </w:tc>
              <w:tc>
                <w:tcPr>
                  <w:tcW w:w="1246" w:type="pct"/>
                  <w:shd w:val="clear" w:color="auto" w:fill="auto"/>
                </w:tcPr>
                <w:p w:rsidR="00CF6B94" w:rsidRDefault="00CF6B94" w:rsidP="00CF6B94">
                  <w:pPr>
                    <w:pStyle w:val="TableBodyText"/>
                    <w:ind w:right="0"/>
                  </w:pPr>
                  <w:r>
                    <w:t>-0.36</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-0.70</w:t>
                  </w:r>
                </w:p>
              </w:tc>
              <w:tc>
                <w:tcPr>
                  <w:tcW w:w="619" w:type="pct"/>
                  <w:gridSpan w:val="2"/>
                  <w:shd w:val="clear" w:color="auto" w:fill="auto"/>
                </w:tcPr>
                <w:p w:rsidR="00CF6B94" w:rsidRDefault="00CF6B94" w:rsidP="00CF6B94">
                  <w:pPr>
                    <w:pStyle w:val="TableBodyText"/>
                    <w:ind w:right="28"/>
                    <w:jc w:val="left"/>
                  </w:pPr>
                  <w:r>
                    <w:t>***</w:t>
                  </w: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Child aged 5-9</w:t>
                  </w:r>
                </w:p>
              </w:tc>
              <w:tc>
                <w:tcPr>
                  <w:tcW w:w="1246" w:type="pct"/>
                  <w:shd w:val="clear" w:color="auto" w:fill="auto"/>
                </w:tcPr>
                <w:p w:rsidR="00CF6B94" w:rsidRDefault="00CF6B94" w:rsidP="00CF6B94">
                  <w:pPr>
                    <w:pStyle w:val="TableBodyText"/>
                    <w:ind w:right="0"/>
                  </w:pPr>
                  <w:r>
                    <w:t>-0.33</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-0.32</w:t>
                  </w: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Work experience</w:t>
                  </w:r>
                </w:p>
              </w:tc>
              <w:tc>
                <w:tcPr>
                  <w:tcW w:w="1246" w:type="pct"/>
                  <w:shd w:val="clear" w:color="auto" w:fill="auto"/>
                </w:tcPr>
                <w:p w:rsidR="00CF6B94" w:rsidRDefault="00CF6B94" w:rsidP="00CF6B94">
                  <w:pPr>
                    <w:pStyle w:val="TableBodyText"/>
                    <w:ind w:right="0"/>
                  </w:pPr>
                  <w:r>
                    <w:t>3.94</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3.91</w:t>
                  </w:r>
                </w:p>
              </w:tc>
              <w:tc>
                <w:tcPr>
                  <w:tcW w:w="619" w:type="pct"/>
                  <w:gridSpan w:val="2"/>
                  <w:shd w:val="clear" w:color="auto" w:fill="auto"/>
                </w:tcPr>
                <w:p w:rsidR="00CF6B94" w:rsidRDefault="00CF6B94" w:rsidP="00CF6B94">
                  <w:pPr>
                    <w:pStyle w:val="TableBodyText"/>
                    <w:ind w:right="28"/>
                    <w:jc w:val="left"/>
                  </w:pPr>
                  <w:r>
                    <w:t>***</w:t>
                  </w: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Vocational education</w:t>
                  </w:r>
                </w:p>
              </w:tc>
              <w:tc>
                <w:tcPr>
                  <w:tcW w:w="1246" w:type="pct"/>
                  <w:shd w:val="clear" w:color="auto" w:fill="auto"/>
                </w:tcPr>
                <w:p w:rsidR="00CF6B94" w:rsidRDefault="00CF6B94" w:rsidP="00CF6B94">
                  <w:pPr>
                    <w:pStyle w:val="TableBodyText"/>
                    <w:ind w:right="0"/>
                  </w:pPr>
                  <w:r>
                    <w:t>0.02</w:t>
                  </w:r>
                </w:p>
              </w:tc>
              <w:tc>
                <w:tcPr>
                  <w:tcW w:w="143" w:type="pct"/>
                  <w:shd w:val="clear" w:color="auto" w:fill="auto"/>
                </w:tcPr>
                <w:p w:rsidR="00CF6B94" w:rsidRDefault="00CF6B94" w:rsidP="00CF6B94">
                  <w:pPr>
                    <w:pStyle w:val="TableBodyText"/>
                    <w:ind w:left="0"/>
                    <w:jc w:val="left"/>
                  </w:pPr>
                </w:p>
              </w:tc>
              <w:tc>
                <w:tcPr>
                  <w:tcW w:w="1127" w:type="pct"/>
                  <w:shd w:val="clear" w:color="auto" w:fill="auto"/>
                </w:tcPr>
                <w:p w:rsidR="00CF6B94" w:rsidRDefault="00CF6B94" w:rsidP="00CF6B94">
                  <w:pPr>
                    <w:pStyle w:val="TableBodyText"/>
                    <w:ind w:right="0"/>
                  </w:pPr>
                  <w:r>
                    <w:t>-0.26</w:t>
                  </w: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Degree or higher</w:t>
                  </w:r>
                </w:p>
              </w:tc>
              <w:tc>
                <w:tcPr>
                  <w:tcW w:w="1246" w:type="pct"/>
                  <w:shd w:val="clear" w:color="auto" w:fill="auto"/>
                </w:tcPr>
                <w:p w:rsidR="00CF6B94" w:rsidRDefault="00CF6B94" w:rsidP="00CF6B94">
                  <w:pPr>
                    <w:pStyle w:val="TableBodyText"/>
                    <w:ind w:right="0"/>
                  </w:pPr>
                  <w:r>
                    <w:t>0.36</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0.30</w:t>
                  </w: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Pr="00936103" w:rsidRDefault="00CF6B94" w:rsidP="00CF6B94">
                  <w:pPr>
                    <w:pStyle w:val="TableBodyText"/>
                    <w:jc w:val="left"/>
                    <w:rPr>
                      <w:b/>
                    </w:rPr>
                  </w:pPr>
                  <w:r w:rsidRPr="00936103">
                    <w:rPr>
                      <w:b/>
                    </w:rPr>
                    <w:t>Wage equation</w:t>
                  </w:r>
                </w:p>
              </w:tc>
              <w:tc>
                <w:tcPr>
                  <w:tcW w:w="1246" w:type="pct"/>
                  <w:shd w:val="clear" w:color="auto" w:fill="auto"/>
                </w:tcPr>
                <w:p w:rsidR="00CF6B94" w:rsidRDefault="00CF6B94" w:rsidP="00CF6B94">
                  <w:pPr>
                    <w:pStyle w:val="TableBodyText"/>
                    <w:ind w:right="0"/>
                  </w:pPr>
                </w:p>
              </w:tc>
              <w:tc>
                <w:tcPr>
                  <w:tcW w:w="143" w:type="pct"/>
                  <w:shd w:val="clear" w:color="auto" w:fill="auto"/>
                </w:tcPr>
                <w:p w:rsidR="00CF6B94" w:rsidRDefault="00CF6B94" w:rsidP="00CF6B94">
                  <w:pPr>
                    <w:pStyle w:val="TableBodyText"/>
                    <w:ind w:left="0"/>
                    <w:jc w:val="left"/>
                  </w:pPr>
                </w:p>
              </w:tc>
              <w:tc>
                <w:tcPr>
                  <w:tcW w:w="1127" w:type="pct"/>
                  <w:shd w:val="clear" w:color="auto" w:fill="auto"/>
                </w:tcPr>
                <w:p w:rsidR="00CF6B94" w:rsidRDefault="00CF6B94" w:rsidP="00CF6B94">
                  <w:pPr>
                    <w:pStyle w:val="TableBodyText"/>
                    <w:ind w:right="0"/>
                  </w:pP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Female</w:t>
                  </w:r>
                </w:p>
              </w:tc>
              <w:tc>
                <w:tcPr>
                  <w:tcW w:w="1246" w:type="pct"/>
                  <w:shd w:val="clear" w:color="auto" w:fill="auto"/>
                </w:tcPr>
                <w:p w:rsidR="00CF6B94" w:rsidRDefault="00CF6B94" w:rsidP="00CF6B94">
                  <w:pPr>
                    <w:pStyle w:val="TableBodyText"/>
                    <w:ind w:right="0"/>
                  </w:pPr>
                  <w:proofErr w:type="spellStart"/>
                  <w:r>
                    <w:t>na</w:t>
                  </w:r>
                  <w:proofErr w:type="spellEnd"/>
                </w:p>
              </w:tc>
              <w:tc>
                <w:tcPr>
                  <w:tcW w:w="143" w:type="pct"/>
                  <w:shd w:val="clear" w:color="auto" w:fill="auto"/>
                </w:tcPr>
                <w:p w:rsidR="00CF6B94" w:rsidRDefault="00CF6B94" w:rsidP="00CF6B94">
                  <w:pPr>
                    <w:pStyle w:val="TableBodyText"/>
                    <w:ind w:left="0"/>
                    <w:jc w:val="left"/>
                  </w:pPr>
                </w:p>
              </w:tc>
              <w:tc>
                <w:tcPr>
                  <w:tcW w:w="1127" w:type="pct"/>
                  <w:shd w:val="clear" w:color="auto" w:fill="auto"/>
                </w:tcPr>
                <w:p w:rsidR="00CF6B94" w:rsidRDefault="00CF6B94" w:rsidP="00CF6B94">
                  <w:pPr>
                    <w:pStyle w:val="TableBodyText"/>
                    <w:ind w:right="0"/>
                  </w:pPr>
                  <w:r>
                    <w:t>-0.01</w:t>
                  </w: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Constant</w:t>
                  </w:r>
                </w:p>
              </w:tc>
              <w:tc>
                <w:tcPr>
                  <w:tcW w:w="1246" w:type="pct"/>
                  <w:shd w:val="clear" w:color="auto" w:fill="auto"/>
                </w:tcPr>
                <w:p w:rsidR="00CF6B94" w:rsidRDefault="00CF6B94" w:rsidP="00CF6B94">
                  <w:pPr>
                    <w:pStyle w:val="TableBodyText"/>
                    <w:ind w:right="0"/>
                  </w:pPr>
                  <w:r>
                    <w:t>2.00</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2.96</w:t>
                  </w:r>
                </w:p>
              </w:tc>
              <w:tc>
                <w:tcPr>
                  <w:tcW w:w="619" w:type="pct"/>
                  <w:gridSpan w:val="2"/>
                  <w:shd w:val="clear" w:color="auto" w:fill="auto"/>
                </w:tcPr>
                <w:p w:rsidR="00CF6B94" w:rsidRDefault="00CF6B94" w:rsidP="00CF6B94">
                  <w:pPr>
                    <w:pStyle w:val="TableBodyText"/>
                    <w:ind w:right="28"/>
                    <w:jc w:val="left"/>
                  </w:pPr>
                  <w:r>
                    <w:t>***</w:t>
                  </w: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Age</w:t>
                  </w:r>
                </w:p>
              </w:tc>
              <w:tc>
                <w:tcPr>
                  <w:tcW w:w="1246" w:type="pct"/>
                  <w:shd w:val="clear" w:color="auto" w:fill="auto"/>
                </w:tcPr>
                <w:p w:rsidR="00CF6B94" w:rsidRDefault="00CF6B94" w:rsidP="00CF6B94">
                  <w:pPr>
                    <w:pStyle w:val="TableBodyText"/>
                    <w:ind w:right="0"/>
                  </w:pPr>
                  <w:r>
                    <w:t>0.03</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-0.01</w:t>
                  </w: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Age squared/100</w:t>
                  </w:r>
                </w:p>
              </w:tc>
              <w:tc>
                <w:tcPr>
                  <w:tcW w:w="1246" w:type="pct"/>
                  <w:shd w:val="clear" w:color="auto" w:fill="auto"/>
                </w:tcPr>
                <w:p w:rsidR="00CF6B94" w:rsidRDefault="00CF6B94" w:rsidP="00CF6B94">
                  <w:pPr>
                    <w:pStyle w:val="TableBodyText"/>
                    <w:ind w:right="0"/>
                  </w:pPr>
                  <w:r>
                    <w:t>-0.03</w:t>
                  </w:r>
                </w:p>
              </w:tc>
              <w:tc>
                <w:tcPr>
                  <w:tcW w:w="143" w:type="pct"/>
                  <w:shd w:val="clear" w:color="auto" w:fill="auto"/>
                </w:tcPr>
                <w:p w:rsidR="00CF6B94" w:rsidRDefault="00CF6B94" w:rsidP="00CF6B94">
                  <w:pPr>
                    <w:pStyle w:val="TableBodyText"/>
                    <w:ind w:left="0"/>
                    <w:jc w:val="left"/>
                  </w:pPr>
                </w:p>
              </w:tc>
              <w:tc>
                <w:tcPr>
                  <w:tcW w:w="1127" w:type="pct"/>
                  <w:shd w:val="clear" w:color="auto" w:fill="auto"/>
                </w:tcPr>
                <w:p w:rsidR="00CF6B94" w:rsidRDefault="00CF6B94" w:rsidP="00CF6B94">
                  <w:pPr>
                    <w:pStyle w:val="TableBodyText"/>
                    <w:ind w:right="0"/>
                  </w:pPr>
                  <w:r>
                    <w:t>0.02</w:t>
                  </w: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Vocational education</w:t>
                  </w:r>
                </w:p>
              </w:tc>
              <w:tc>
                <w:tcPr>
                  <w:tcW w:w="1246" w:type="pct"/>
                  <w:shd w:val="clear" w:color="auto" w:fill="auto"/>
                </w:tcPr>
                <w:p w:rsidR="00CF6B94" w:rsidRDefault="00CF6B94" w:rsidP="00CF6B94">
                  <w:pPr>
                    <w:pStyle w:val="TableBodyText"/>
                    <w:ind w:right="0"/>
                  </w:pPr>
                  <w:r>
                    <w:t>0.05</w:t>
                  </w:r>
                </w:p>
              </w:tc>
              <w:tc>
                <w:tcPr>
                  <w:tcW w:w="143" w:type="pct"/>
                  <w:shd w:val="clear" w:color="auto" w:fill="auto"/>
                </w:tcPr>
                <w:p w:rsidR="00CF6B94" w:rsidRDefault="00CF6B94" w:rsidP="00CF6B94">
                  <w:pPr>
                    <w:pStyle w:val="TableBodyText"/>
                    <w:ind w:left="0"/>
                    <w:jc w:val="left"/>
                  </w:pPr>
                </w:p>
              </w:tc>
              <w:tc>
                <w:tcPr>
                  <w:tcW w:w="1127" w:type="pct"/>
                  <w:shd w:val="clear" w:color="auto" w:fill="auto"/>
                </w:tcPr>
                <w:p w:rsidR="00CF6B94" w:rsidRDefault="00CF6B94" w:rsidP="00CF6B94">
                  <w:pPr>
                    <w:pStyle w:val="TableBodyText"/>
                    <w:ind w:right="0"/>
                  </w:pPr>
                  <w:r>
                    <w:t>-0.01</w:t>
                  </w: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Degree or higher</w:t>
                  </w:r>
                </w:p>
              </w:tc>
              <w:tc>
                <w:tcPr>
                  <w:tcW w:w="1246" w:type="pct"/>
                  <w:shd w:val="clear" w:color="auto" w:fill="auto"/>
                </w:tcPr>
                <w:p w:rsidR="00CF6B94" w:rsidRDefault="00CF6B94" w:rsidP="00CF6B94">
                  <w:pPr>
                    <w:pStyle w:val="TableBodyText"/>
                    <w:ind w:right="0"/>
                  </w:pPr>
                  <w:r>
                    <w:t>0.19</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0.08</w:t>
                  </w: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Professional</w:t>
                  </w:r>
                </w:p>
              </w:tc>
              <w:tc>
                <w:tcPr>
                  <w:tcW w:w="1246" w:type="pct"/>
                  <w:shd w:val="clear" w:color="auto" w:fill="auto"/>
                </w:tcPr>
                <w:p w:rsidR="00CF6B94" w:rsidRDefault="00CF6B94" w:rsidP="00CF6B94">
                  <w:pPr>
                    <w:pStyle w:val="TableBodyText"/>
                    <w:ind w:right="0"/>
                  </w:pPr>
                  <w:r>
                    <w:t>0.28</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0.31</w:t>
                  </w:r>
                </w:p>
              </w:tc>
              <w:tc>
                <w:tcPr>
                  <w:tcW w:w="619" w:type="pct"/>
                  <w:gridSpan w:val="2"/>
                  <w:shd w:val="clear" w:color="auto" w:fill="auto"/>
                </w:tcPr>
                <w:p w:rsidR="00CF6B94" w:rsidRDefault="00CF6B94" w:rsidP="00CF6B94">
                  <w:pPr>
                    <w:pStyle w:val="TableBodyText"/>
                    <w:ind w:right="28"/>
                    <w:jc w:val="left"/>
                  </w:pPr>
                  <w:r>
                    <w:t>***</w:t>
                  </w: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Paraprofessional</w:t>
                  </w:r>
                </w:p>
              </w:tc>
              <w:tc>
                <w:tcPr>
                  <w:tcW w:w="1246" w:type="pct"/>
                  <w:shd w:val="clear" w:color="auto" w:fill="auto"/>
                </w:tcPr>
                <w:p w:rsidR="00CF6B94" w:rsidRDefault="00CF6B94" w:rsidP="00CF6B94">
                  <w:pPr>
                    <w:pStyle w:val="TableBodyText"/>
                    <w:ind w:right="0"/>
                  </w:pPr>
                  <w:r>
                    <w:t>-0.05</w:t>
                  </w:r>
                </w:p>
              </w:tc>
              <w:tc>
                <w:tcPr>
                  <w:tcW w:w="143" w:type="pct"/>
                  <w:shd w:val="clear" w:color="auto" w:fill="auto"/>
                </w:tcPr>
                <w:p w:rsidR="00CF6B94" w:rsidRDefault="00CF6B94" w:rsidP="00CF6B94">
                  <w:pPr>
                    <w:pStyle w:val="TableBodyText"/>
                    <w:ind w:left="0"/>
                    <w:jc w:val="left"/>
                  </w:pPr>
                </w:p>
              </w:tc>
              <w:tc>
                <w:tcPr>
                  <w:tcW w:w="1127" w:type="pct"/>
                  <w:shd w:val="clear" w:color="auto" w:fill="auto"/>
                </w:tcPr>
                <w:p w:rsidR="00CF6B94" w:rsidRDefault="00CF6B94" w:rsidP="00CF6B94">
                  <w:pPr>
                    <w:pStyle w:val="TableBodyText"/>
                    <w:ind w:right="0"/>
                  </w:pPr>
                  <w:r>
                    <w:t>0.09</w:t>
                  </w: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Clerical</w:t>
                  </w:r>
                </w:p>
              </w:tc>
              <w:tc>
                <w:tcPr>
                  <w:tcW w:w="1246" w:type="pct"/>
                  <w:shd w:val="clear" w:color="auto" w:fill="auto"/>
                </w:tcPr>
                <w:p w:rsidR="00CF6B94" w:rsidRDefault="00CF6B94" w:rsidP="00CF6B94">
                  <w:pPr>
                    <w:pStyle w:val="TableBodyText"/>
                    <w:ind w:right="0"/>
                  </w:pPr>
                  <w:r>
                    <w:t>0.08</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0.17</w:t>
                  </w:r>
                </w:p>
              </w:tc>
              <w:tc>
                <w:tcPr>
                  <w:tcW w:w="619" w:type="pct"/>
                  <w:gridSpan w:val="2"/>
                  <w:shd w:val="clear" w:color="auto" w:fill="auto"/>
                </w:tcPr>
                <w:p w:rsidR="00CF6B94" w:rsidRDefault="00CF6B94" w:rsidP="00CF6B94">
                  <w:pPr>
                    <w:pStyle w:val="TableBodyText"/>
                    <w:ind w:right="28"/>
                    <w:jc w:val="left"/>
                  </w:pPr>
                  <w:r>
                    <w:t>**</w:t>
                  </w: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Mining</w:t>
                  </w:r>
                </w:p>
              </w:tc>
              <w:tc>
                <w:tcPr>
                  <w:tcW w:w="1246" w:type="pct"/>
                  <w:shd w:val="clear" w:color="auto" w:fill="auto"/>
                </w:tcPr>
                <w:p w:rsidR="00CF6B94" w:rsidRDefault="00CF6B94" w:rsidP="00CF6B94">
                  <w:pPr>
                    <w:pStyle w:val="TableBodyText"/>
                    <w:ind w:right="0"/>
                  </w:pPr>
                  <w:r>
                    <w:t>0.69</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0.70</w:t>
                  </w:r>
                </w:p>
              </w:tc>
              <w:tc>
                <w:tcPr>
                  <w:tcW w:w="619" w:type="pct"/>
                  <w:gridSpan w:val="2"/>
                  <w:shd w:val="clear" w:color="auto" w:fill="auto"/>
                </w:tcPr>
                <w:p w:rsidR="00CF6B94" w:rsidRDefault="00CF6B94" w:rsidP="00CF6B94">
                  <w:pPr>
                    <w:pStyle w:val="TableBodyText"/>
                    <w:ind w:right="28"/>
                    <w:jc w:val="left"/>
                  </w:pPr>
                  <w:r>
                    <w:t>**</w:t>
                  </w: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Manufacturing</w:t>
                  </w:r>
                </w:p>
              </w:tc>
              <w:tc>
                <w:tcPr>
                  <w:tcW w:w="1246" w:type="pct"/>
                  <w:shd w:val="clear" w:color="auto" w:fill="auto"/>
                </w:tcPr>
                <w:p w:rsidR="00CF6B94" w:rsidRDefault="00CF6B94" w:rsidP="00CF6B94">
                  <w:pPr>
                    <w:pStyle w:val="TableBodyText"/>
                    <w:ind w:right="0"/>
                  </w:pPr>
                  <w:r>
                    <w:t>0.22</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0.28</w:t>
                  </w: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Construction</w:t>
                  </w:r>
                </w:p>
              </w:tc>
              <w:tc>
                <w:tcPr>
                  <w:tcW w:w="1246" w:type="pct"/>
                  <w:shd w:val="clear" w:color="auto" w:fill="auto"/>
                </w:tcPr>
                <w:p w:rsidR="00CF6B94" w:rsidRDefault="00CF6B94" w:rsidP="00CF6B94">
                  <w:pPr>
                    <w:pStyle w:val="TableBodyText"/>
                    <w:ind w:right="0"/>
                  </w:pPr>
                  <w:r>
                    <w:t>0.34</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0.49</w:t>
                  </w:r>
                </w:p>
              </w:tc>
              <w:tc>
                <w:tcPr>
                  <w:tcW w:w="619" w:type="pct"/>
                  <w:gridSpan w:val="2"/>
                  <w:shd w:val="clear" w:color="auto" w:fill="auto"/>
                </w:tcPr>
                <w:p w:rsidR="00CF6B94" w:rsidRDefault="00CF6B94" w:rsidP="00CF6B94">
                  <w:pPr>
                    <w:pStyle w:val="TableBodyText"/>
                    <w:ind w:right="28"/>
                    <w:jc w:val="left"/>
                  </w:pPr>
                  <w:r>
                    <w:t>**</w:t>
                  </w: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Utilities</w:t>
                  </w:r>
                </w:p>
              </w:tc>
              <w:tc>
                <w:tcPr>
                  <w:tcW w:w="1246" w:type="pct"/>
                  <w:shd w:val="clear" w:color="auto" w:fill="auto"/>
                </w:tcPr>
                <w:p w:rsidR="00CF6B94" w:rsidRDefault="00CF6B94" w:rsidP="00CF6B94">
                  <w:pPr>
                    <w:pStyle w:val="TableBodyText"/>
                    <w:ind w:right="0"/>
                  </w:pPr>
                  <w:r>
                    <w:t>0.43</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0.65</w:t>
                  </w:r>
                </w:p>
              </w:tc>
              <w:tc>
                <w:tcPr>
                  <w:tcW w:w="619" w:type="pct"/>
                  <w:gridSpan w:val="2"/>
                  <w:shd w:val="clear" w:color="auto" w:fill="auto"/>
                </w:tcPr>
                <w:p w:rsidR="00CF6B94" w:rsidRDefault="00CF6B94" w:rsidP="00CF6B94">
                  <w:pPr>
                    <w:pStyle w:val="TableBodyText"/>
                    <w:ind w:right="28"/>
                    <w:jc w:val="left"/>
                  </w:pPr>
                  <w:r>
                    <w:t>***</w:t>
                  </w: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Retail/Wholesale</w:t>
                  </w:r>
                </w:p>
              </w:tc>
              <w:tc>
                <w:tcPr>
                  <w:tcW w:w="1246" w:type="pct"/>
                  <w:shd w:val="clear" w:color="auto" w:fill="auto"/>
                </w:tcPr>
                <w:p w:rsidR="00CF6B94" w:rsidRDefault="00CF6B94" w:rsidP="00CF6B94">
                  <w:pPr>
                    <w:pStyle w:val="TableBodyText"/>
                    <w:ind w:right="0"/>
                  </w:pPr>
                  <w:r>
                    <w:t>0.02</w:t>
                  </w:r>
                </w:p>
              </w:tc>
              <w:tc>
                <w:tcPr>
                  <w:tcW w:w="143" w:type="pct"/>
                  <w:shd w:val="clear" w:color="auto" w:fill="auto"/>
                </w:tcPr>
                <w:p w:rsidR="00CF6B94" w:rsidRDefault="00CF6B94" w:rsidP="00CF6B94">
                  <w:pPr>
                    <w:pStyle w:val="TableBodyText"/>
                    <w:ind w:left="0"/>
                    <w:jc w:val="left"/>
                  </w:pPr>
                </w:p>
              </w:tc>
              <w:tc>
                <w:tcPr>
                  <w:tcW w:w="1127" w:type="pct"/>
                  <w:shd w:val="clear" w:color="auto" w:fill="auto"/>
                </w:tcPr>
                <w:p w:rsidR="00CF6B94" w:rsidRDefault="00CF6B94" w:rsidP="00CF6B94">
                  <w:pPr>
                    <w:pStyle w:val="TableBodyText"/>
                    <w:ind w:right="0"/>
                  </w:pPr>
                  <w:r>
                    <w:t>0.15</w:t>
                  </w: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Transport</w:t>
                  </w:r>
                </w:p>
              </w:tc>
              <w:tc>
                <w:tcPr>
                  <w:tcW w:w="1246" w:type="pct"/>
                  <w:shd w:val="clear" w:color="auto" w:fill="auto"/>
                </w:tcPr>
                <w:p w:rsidR="00CF6B94" w:rsidRDefault="00CF6B94" w:rsidP="00CF6B94">
                  <w:pPr>
                    <w:pStyle w:val="TableBodyText"/>
                    <w:ind w:right="0"/>
                  </w:pPr>
                  <w:r>
                    <w:t>0.07</w:t>
                  </w:r>
                </w:p>
              </w:tc>
              <w:tc>
                <w:tcPr>
                  <w:tcW w:w="143" w:type="pct"/>
                  <w:shd w:val="clear" w:color="auto" w:fill="auto"/>
                </w:tcPr>
                <w:p w:rsidR="00CF6B94" w:rsidRDefault="00CF6B94" w:rsidP="00CF6B94">
                  <w:pPr>
                    <w:pStyle w:val="TableBodyText"/>
                    <w:ind w:left="0"/>
                    <w:jc w:val="left"/>
                  </w:pPr>
                </w:p>
              </w:tc>
              <w:tc>
                <w:tcPr>
                  <w:tcW w:w="1127" w:type="pct"/>
                  <w:shd w:val="clear" w:color="auto" w:fill="auto"/>
                </w:tcPr>
                <w:p w:rsidR="00CF6B94" w:rsidRDefault="00CF6B94" w:rsidP="00CF6B94">
                  <w:pPr>
                    <w:pStyle w:val="TableBodyText"/>
                    <w:ind w:right="0"/>
                  </w:pPr>
                  <w:r>
                    <w:t>0.34</w:t>
                  </w: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Communications</w:t>
                  </w:r>
                </w:p>
              </w:tc>
              <w:tc>
                <w:tcPr>
                  <w:tcW w:w="1246" w:type="pct"/>
                  <w:shd w:val="clear" w:color="auto" w:fill="auto"/>
                </w:tcPr>
                <w:p w:rsidR="00CF6B94" w:rsidRDefault="00CF6B94" w:rsidP="00CF6B94">
                  <w:pPr>
                    <w:pStyle w:val="TableBodyText"/>
                    <w:ind w:right="0"/>
                  </w:pPr>
                  <w:r>
                    <w:t>0.34</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0.27</w:t>
                  </w: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Financial business services</w:t>
                  </w:r>
                </w:p>
              </w:tc>
              <w:tc>
                <w:tcPr>
                  <w:tcW w:w="1246" w:type="pct"/>
                  <w:shd w:val="clear" w:color="auto" w:fill="auto"/>
                </w:tcPr>
                <w:p w:rsidR="00CF6B94" w:rsidRDefault="00CF6B94" w:rsidP="00CF6B94">
                  <w:pPr>
                    <w:pStyle w:val="TableBodyText"/>
                    <w:ind w:right="0"/>
                  </w:pPr>
                  <w:r>
                    <w:t>0.26</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0.25</w:t>
                  </w: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Other sector</w:t>
                  </w:r>
                </w:p>
              </w:tc>
              <w:tc>
                <w:tcPr>
                  <w:tcW w:w="1246" w:type="pct"/>
                  <w:shd w:val="clear" w:color="auto" w:fill="auto"/>
                </w:tcPr>
                <w:p w:rsidR="00CF6B94" w:rsidRDefault="00CF6B94" w:rsidP="00CF6B94">
                  <w:pPr>
                    <w:pStyle w:val="TableBodyText"/>
                    <w:ind w:right="0"/>
                  </w:pPr>
                  <w:r>
                    <w:t>0.18</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0.25</w:t>
                  </w:r>
                </w:p>
              </w:tc>
              <w:tc>
                <w:tcPr>
                  <w:tcW w:w="619" w:type="pct"/>
                  <w:gridSpan w:val="2"/>
                  <w:shd w:val="clear" w:color="auto" w:fill="auto"/>
                </w:tcPr>
                <w:p w:rsidR="00CF6B94" w:rsidRDefault="00CF6B94" w:rsidP="00CF6B94">
                  <w:pPr>
                    <w:pStyle w:val="TableBodyText"/>
                    <w:ind w:right="28"/>
                    <w:jc w:val="left"/>
                  </w:pPr>
                  <w:r>
                    <w:t>*</w:t>
                  </w: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South Australia</w:t>
                  </w:r>
                </w:p>
              </w:tc>
              <w:tc>
                <w:tcPr>
                  <w:tcW w:w="1246" w:type="pct"/>
                  <w:shd w:val="clear" w:color="auto" w:fill="auto"/>
                </w:tcPr>
                <w:p w:rsidR="00CF6B94" w:rsidRDefault="00CF6B94" w:rsidP="00CF6B94">
                  <w:pPr>
                    <w:pStyle w:val="TableBodyText"/>
                    <w:ind w:right="0"/>
                  </w:pPr>
                  <w:r>
                    <w:t>-0.06</w:t>
                  </w:r>
                </w:p>
              </w:tc>
              <w:tc>
                <w:tcPr>
                  <w:tcW w:w="143" w:type="pct"/>
                  <w:shd w:val="clear" w:color="auto" w:fill="auto"/>
                </w:tcPr>
                <w:p w:rsidR="00CF6B94" w:rsidRDefault="00CF6B94" w:rsidP="00CF6B94">
                  <w:pPr>
                    <w:pStyle w:val="TableBodyText"/>
                    <w:ind w:left="0"/>
                    <w:jc w:val="left"/>
                  </w:pPr>
                </w:p>
              </w:tc>
              <w:tc>
                <w:tcPr>
                  <w:tcW w:w="1127" w:type="pct"/>
                  <w:shd w:val="clear" w:color="auto" w:fill="auto"/>
                </w:tcPr>
                <w:p w:rsidR="00CF6B94" w:rsidRDefault="00CF6B94" w:rsidP="00CF6B94">
                  <w:pPr>
                    <w:pStyle w:val="TableBodyText"/>
                    <w:ind w:right="0"/>
                  </w:pPr>
                  <w:r>
                    <w:t>0.01</w:t>
                  </w:r>
                </w:p>
              </w:tc>
              <w:tc>
                <w:tcPr>
                  <w:tcW w:w="619" w:type="pct"/>
                  <w:gridSpan w:val="2"/>
                  <w:shd w:val="clear" w:color="auto" w:fill="auto"/>
                </w:tcPr>
                <w:p w:rsidR="00CF6B94" w:rsidRDefault="00CF6B94" w:rsidP="00CF6B94">
                  <w:pPr>
                    <w:pStyle w:val="TableBodyText"/>
                    <w:ind w:right="28"/>
                    <w:jc w:val="left"/>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Queensland</w:t>
                  </w:r>
                </w:p>
              </w:tc>
              <w:tc>
                <w:tcPr>
                  <w:tcW w:w="1246" w:type="pct"/>
                  <w:shd w:val="clear" w:color="auto" w:fill="auto"/>
                </w:tcPr>
                <w:p w:rsidR="00CF6B94" w:rsidRDefault="00CF6B94" w:rsidP="00CF6B94">
                  <w:pPr>
                    <w:pStyle w:val="TableBodyText"/>
                    <w:ind w:right="0"/>
                  </w:pPr>
                  <w:r>
                    <w:t>-0.01</w:t>
                  </w:r>
                </w:p>
              </w:tc>
              <w:tc>
                <w:tcPr>
                  <w:tcW w:w="143" w:type="pct"/>
                  <w:shd w:val="clear" w:color="auto" w:fill="auto"/>
                </w:tcPr>
                <w:p w:rsidR="00CF6B94" w:rsidRDefault="00CF6B94" w:rsidP="00CF6B94">
                  <w:pPr>
                    <w:pStyle w:val="TableBodyText"/>
                    <w:ind w:left="0"/>
                    <w:jc w:val="left"/>
                  </w:pPr>
                </w:p>
              </w:tc>
              <w:tc>
                <w:tcPr>
                  <w:tcW w:w="1127" w:type="pct"/>
                  <w:shd w:val="clear" w:color="auto" w:fill="auto"/>
                </w:tcPr>
                <w:p w:rsidR="00CF6B94" w:rsidRDefault="00CF6B94" w:rsidP="00CF6B94">
                  <w:pPr>
                    <w:pStyle w:val="TableBodyText"/>
                    <w:ind w:right="0"/>
                  </w:pPr>
                  <w:r>
                    <w:t>-0.17</w:t>
                  </w:r>
                </w:p>
              </w:tc>
              <w:tc>
                <w:tcPr>
                  <w:tcW w:w="619" w:type="pct"/>
                  <w:gridSpan w:val="2"/>
                  <w:shd w:val="clear" w:color="auto" w:fill="auto"/>
                </w:tcPr>
                <w:p w:rsidR="00CF6B94" w:rsidRDefault="00CF6B94" w:rsidP="00CF6B94">
                  <w:pPr>
                    <w:pStyle w:val="TableBodyText"/>
                    <w:ind w:right="28"/>
                    <w:jc w:val="left"/>
                  </w:pPr>
                  <w:r>
                    <w:t>**</w:t>
                  </w: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Victoria</w:t>
                  </w:r>
                </w:p>
              </w:tc>
              <w:tc>
                <w:tcPr>
                  <w:tcW w:w="1246" w:type="pct"/>
                  <w:shd w:val="clear" w:color="auto" w:fill="auto"/>
                </w:tcPr>
                <w:p w:rsidR="00CF6B94" w:rsidRDefault="00CF6B94" w:rsidP="00CF6B94">
                  <w:pPr>
                    <w:pStyle w:val="TableBodyText"/>
                    <w:ind w:right="0"/>
                  </w:pPr>
                  <w:r>
                    <w:t>-0.06</w:t>
                  </w:r>
                </w:p>
              </w:tc>
              <w:tc>
                <w:tcPr>
                  <w:tcW w:w="143" w:type="pct"/>
                  <w:shd w:val="clear" w:color="auto" w:fill="auto"/>
                </w:tcPr>
                <w:p w:rsidR="00CF6B94" w:rsidRDefault="00CF6B94" w:rsidP="00CF6B94">
                  <w:pPr>
                    <w:pStyle w:val="TableBodyText"/>
                    <w:ind w:left="0"/>
                    <w:jc w:val="left"/>
                  </w:pPr>
                </w:p>
              </w:tc>
              <w:tc>
                <w:tcPr>
                  <w:tcW w:w="1127" w:type="pct"/>
                  <w:shd w:val="clear" w:color="auto" w:fill="auto"/>
                </w:tcPr>
                <w:p w:rsidR="00CF6B94" w:rsidRDefault="00CF6B94" w:rsidP="00CF6B94">
                  <w:pPr>
                    <w:pStyle w:val="TableBodyText"/>
                    <w:ind w:right="0"/>
                  </w:pPr>
                  <w:r>
                    <w:t>-0.11</w:t>
                  </w:r>
                </w:p>
              </w:tc>
              <w:tc>
                <w:tcPr>
                  <w:tcW w:w="619" w:type="pct"/>
                  <w:gridSpan w:val="2"/>
                  <w:shd w:val="clear" w:color="auto" w:fill="auto"/>
                </w:tcPr>
                <w:p w:rsidR="00CF6B94" w:rsidRDefault="00CF6B94" w:rsidP="00CF6B94">
                  <w:pPr>
                    <w:pStyle w:val="TableBodyText"/>
                    <w:ind w:right="28"/>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Western Australia</w:t>
                  </w:r>
                </w:p>
              </w:tc>
              <w:tc>
                <w:tcPr>
                  <w:tcW w:w="1246" w:type="pct"/>
                  <w:shd w:val="clear" w:color="auto" w:fill="auto"/>
                </w:tcPr>
                <w:p w:rsidR="00CF6B94" w:rsidRDefault="00CF6B94" w:rsidP="00CF6B94">
                  <w:pPr>
                    <w:pStyle w:val="TableBodyText"/>
                    <w:ind w:right="0"/>
                  </w:pPr>
                  <w:r>
                    <w:t>-0.04</w:t>
                  </w:r>
                </w:p>
              </w:tc>
              <w:tc>
                <w:tcPr>
                  <w:tcW w:w="143" w:type="pct"/>
                  <w:shd w:val="clear" w:color="auto" w:fill="auto"/>
                </w:tcPr>
                <w:p w:rsidR="00CF6B94" w:rsidRDefault="00CF6B94" w:rsidP="00CF6B94">
                  <w:pPr>
                    <w:pStyle w:val="TableBodyText"/>
                    <w:ind w:left="0"/>
                    <w:jc w:val="left"/>
                  </w:pPr>
                </w:p>
              </w:tc>
              <w:tc>
                <w:tcPr>
                  <w:tcW w:w="1127" w:type="pct"/>
                  <w:shd w:val="clear" w:color="auto" w:fill="auto"/>
                </w:tcPr>
                <w:p w:rsidR="00CF6B94" w:rsidRDefault="00CF6B94" w:rsidP="00CF6B94">
                  <w:pPr>
                    <w:pStyle w:val="TableBodyText"/>
                    <w:ind w:right="0"/>
                  </w:pPr>
                  <w:r>
                    <w:t>-0.01</w:t>
                  </w:r>
                </w:p>
              </w:tc>
              <w:tc>
                <w:tcPr>
                  <w:tcW w:w="619" w:type="pct"/>
                  <w:gridSpan w:val="2"/>
                  <w:shd w:val="clear" w:color="auto" w:fill="auto"/>
                </w:tcPr>
                <w:p w:rsidR="00CF6B94" w:rsidRDefault="00CF6B94" w:rsidP="00CF6B94">
                  <w:pPr>
                    <w:pStyle w:val="TableBodyText"/>
                    <w:ind w:right="28"/>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ACT/Northern Territory</w:t>
                  </w:r>
                </w:p>
              </w:tc>
              <w:tc>
                <w:tcPr>
                  <w:tcW w:w="1246" w:type="pct"/>
                  <w:shd w:val="clear" w:color="auto" w:fill="auto"/>
                </w:tcPr>
                <w:p w:rsidR="00CF6B94" w:rsidRDefault="00CF6B94" w:rsidP="00CF6B94">
                  <w:pPr>
                    <w:pStyle w:val="TableBodyText"/>
                    <w:ind w:right="0"/>
                  </w:pPr>
                  <w:r>
                    <w:t>0.09</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0.09</w:t>
                  </w:r>
                </w:p>
              </w:tc>
              <w:tc>
                <w:tcPr>
                  <w:tcW w:w="619" w:type="pct"/>
                  <w:gridSpan w:val="2"/>
                  <w:shd w:val="clear" w:color="auto" w:fill="auto"/>
                </w:tcPr>
                <w:p w:rsidR="00CF6B94" w:rsidRDefault="00CF6B94" w:rsidP="00CF6B94">
                  <w:pPr>
                    <w:pStyle w:val="TableBodyText"/>
                    <w:ind w:right="28"/>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Tasmania</w:t>
                  </w:r>
                </w:p>
              </w:tc>
              <w:tc>
                <w:tcPr>
                  <w:tcW w:w="1246" w:type="pct"/>
                  <w:shd w:val="clear" w:color="auto" w:fill="auto"/>
                </w:tcPr>
                <w:p w:rsidR="00CF6B94" w:rsidRDefault="00CF6B94" w:rsidP="00CF6B94">
                  <w:pPr>
                    <w:pStyle w:val="TableBodyText"/>
                    <w:ind w:right="0"/>
                  </w:pPr>
                  <w:r>
                    <w:t>-0.09</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-0.06</w:t>
                  </w:r>
                </w:p>
              </w:tc>
              <w:tc>
                <w:tcPr>
                  <w:tcW w:w="619" w:type="pct"/>
                  <w:gridSpan w:val="2"/>
                  <w:shd w:val="clear" w:color="auto" w:fill="auto"/>
                </w:tcPr>
                <w:p w:rsidR="00CF6B94" w:rsidRDefault="00CF6B94" w:rsidP="00CF6B94">
                  <w:pPr>
                    <w:pStyle w:val="TableBodyText"/>
                    <w:ind w:right="28"/>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Default="00CF6B94" w:rsidP="00CF6B94">
                  <w:pPr>
                    <w:pStyle w:val="TableBodyText"/>
                    <w:jc w:val="left"/>
                  </w:pPr>
                  <w:r>
                    <w:t>Capital city</w:t>
                  </w:r>
                </w:p>
              </w:tc>
              <w:tc>
                <w:tcPr>
                  <w:tcW w:w="1246" w:type="pct"/>
                  <w:shd w:val="clear" w:color="auto" w:fill="auto"/>
                </w:tcPr>
                <w:p w:rsidR="00CF6B94" w:rsidRDefault="00CF6B94" w:rsidP="00CF6B94">
                  <w:pPr>
                    <w:pStyle w:val="TableBodyText"/>
                    <w:ind w:right="0"/>
                  </w:pPr>
                  <w:r>
                    <w:t>0.08</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0.04</w:t>
                  </w:r>
                </w:p>
              </w:tc>
              <w:tc>
                <w:tcPr>
                  <w:tcW w:w="619" w:type="pct"/>
                  <w:gridSpan w:val="2"/>
                  <w:shd w:val="clear" w:color="auto" w:fill="auto"/>
                </w:tcPr>
                <w:p w:rsidR="00CF6B94" w:rsidRDefault="00CF6B94" w:rsidP="00CF6B94">
                  <w:pPr>
                    <w:pStyle w:val="TableBodyText"/>
                    <w:ind w:right="28"/>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Pr="00E567A6" w:rsidRDefault="00CF6B94" w:rsidP="00CF6B94">
                  <w:pPr>
                    <w:pStyle w:val="TableBodyText"/>
                    <w:jc w:val="left"/>
                    <w:rPr>
                      <w:i/>
                    </w:rPr>
                  </w:pPr>
                  <w:r w:rsidRPr="00E567A6">
                    <w:rPr>
                      <w:i/>
                    </w:rPr>
                    <w:t>Inverse Mills ratio</w:t>
                  </w:r>
                </w:p>
              </w:tc>
              <w:tc>
                <w:tcPr>
                  <w:tcW w:w="1246" w:type="pct"/>
                  <w:shd w:val="clear" w:color="auto" w:fill="auto"/>
                </w:tcPr>
                <w:p w:rsidR="00CF6B94" w:rsidRDefault="00CF6B94" w:rsidP="00CF6B94">
                  <w:pPr>
                    <w:pStyle w:val="TableBodyText"/>
                    <w:ind w:right="0"/>
                  </w:pPr>
                  <w:r>
                    <w:t>0.48</w:t>
                  </w:r>
                </w:p>
              </w:tc>
              <w:tc>
                <w:tcPr>
                  <w:tcW w:w="143" w:type="pct"/>
                  <w:shd w:val="clear" w:color="auto" w:fill="auto"/>
                </w:tcPr>
                <w:p w:rsidR="00CF6B94" w:rsidRDefault="00CF6B94" w:rsidP="00CF6B94">
                  <w:pPr>
                    <w:pStyle w:val="TableBodyText"/>
                    <w:ind w:left="0"/>
                    <w:jc w:val="left"/>
                  </w:pPr>
                  <w:r>
                    <w:t>***</w:t>
                  </w:r>
                </w:p>
              </w:tc>
              <w:tc>
                <w:tcPr>
                  <w:tcW w:w="1127" w:type="pct"/>
                  <w:shd w:val="clear" w:color="auto" w:fill="auto"/>
                </w:tcPr>
                <w:p w:rsidR="00CF6B94" w:rsidRDefault="00CF6B94" w:rsidP="00CF6B94">
                  <w:pPr>
                    <w:pStyle w:val="TableBodyText"/>
                    <w:ind w:right="0"/>
                  </w:pPr>
                  <w:r>
                    <w:t>-0.20</w:t>
                  </w:r>
                </w:p>
              </w:tc>
              <w:tc>
                <w:tcPr>
                  <w:tcW w:w="619" w:type="pct"/>
                  <w:gridSpan w:val="2"/>
                  <w:shd w:val="clear" w:color="auto" w:fill="auto"/>
                </w:tcPr>
                <w:p w:rsidR="00CF6B94" w:rsidRDefault="00CF6B94" w:rsidP="00CF6B94">
                  <w:pPr>
                    <w:pStyle w:val="TableBodyText"/>
                    <w:ind w:right="28"/>
                  </w:pPr>
                </w:p>
              </w:tc>
              <w:tc>
                <w:tcPr>
                  <w:tcW w:w="619" w:type="pct"/>
                  <w:shd w:val="clear" w:color="auto" w:fill="auto"/>
                </w:tcPr>
                <w:p w:rsidR="00CF6B94" w:rsidRDefault="00CF6B94" w:rsidP="00CF6B94">
                  <w:pPr>
                    <w:pStyle w:val="TableBodyText"/>
                    <w:ind w:right="28"/>
                  </w:pPr>
                </w:p>
              </w:tc>
            </w:tr>
            <w:tr w:rsidR="00CF6B94" w:rsidTr="00CF6B94">
              <w:tc>
                <w:tcPr>
                  <w:tcW w:w="1246" w:type="pct"/>
                </w:tcPr>
                <w:p w:rsidR="00CF6B94" w:rsidRPr="00E567A6" w:rsidRDefault="00CF6B94" w:rsidP="00CF6B94">
                  <w:pPr>
                    <w:pStyle w:val="TableBodyText"/>
                    <w:jc w:val="left"/>
                    <w:rPr>
                      <w:i/>
                    </w:rPr>
                  </w:pPr>
                  <w:r w:rsidRPr="00E567A6">
                    <w:rPr>
                      <w:i/>
                    </w:rPr>
                    <w:t>Sigma</w:t>
                  </w:r>
                </w:p>
              </w:tc>
              <w:tc>
                <w:tcPr>
                  <w:tcW w:w="1246" w:type="pct"/>
                  <w:shd w:val="clear" w:color="auto" w:fill="auto"/>
                </w:tcPr>
                <w:p w:rsidR="00CF6B94" w:rsidRDefault="00CF6B94" w:rsidP="00CF6B94">
                  <w:pPr>
                    <w:pStyle w:val="TableBodyText"/>
                    <w:ind w:right="0"/>
                  </w:pPr>
                  <w:r>
                    <w:t>0.58</w:t>
                  </w:r>
                </w:p>
              </w:tc>
              <w:tc>
                <w:tcPr>
                  <w:tcW w:w="143" w:type="pct"/>
                  <w:shd w:val="clear" w:color="auto" w:fill="auto"/>
                </w:tcPr>
                <w:p w:rsidR="00CF6B94" w:rsidRDefault="00CF6B94" w:rsidP="00CF6B94">
                  <w:pPr>
                    <w:pStyle w:val="TableBodyText"/>
                  </w:pPr>
                </w:p>
              </w:tc>
              <w:tc>
                <w:tcPr>
                  <w:tcW w:w="1127" w:type="pct"/>
                  <w:shd w:val="clear" w:color="auto" w:fill="auto"/>
                </w:tcPr>
                <w:p w:rsidR="00CF6B94" w:rsidRDefault="00CF6B94" w:rsidP="00CF6B94">
                  <w:pPr>
                    <w:pStyle w:val="TableBodyText"/>
                    <w:ind w:right="0"/>
                  </w:pPr>
                  <w:r>
                    <w:t>0.45</w:t>
                  </w:r>
                </w:p>
              </w:tc>
              <w:tc>
                <w:tcPr>
                  <w:tcW w:w="619" w:type="pct"/>
                  <w:gridSpan w:val="2"/>
                  <w:shd w:val="clear" w:color="auto" w:fill="auto"/>
                </w:tcPr>
                <w:p w:rsidR="00CF6B94" w:rsidRDefault="00CF6B94" w:rsidP="00CF6B94">
                  <w:pPr>
                    <w:pStyle w:val="TableBodyText"/>
                    <w:ind w:right="28"/>
                  </w:pPr>
                </w:p>
              </w:tc>
              <w:tc>
                <w:tcPr>
                  <w:tcW w:w="619" w:type="pct"/>
                  <w:shd w:val="clear" w:color="auto" w:fill="auto"/>
                </w:tcPr>
                <w:p w:rsidR="00CF6B94" w:rsidRDefault="00CF6B94" w:rsidP="00CF6B94">
                  <w:pPr>
                    <w:pStyle w:val="TableBodyText"/>
                    <w:ind w:right="28"/>
                  </w:pPr>
                </w:p>
              </w:tc>
            </w:tr>
            <w:tr w:rsidR="00CF6B94" w:rsidTr="00CF6B94">
              <w:tc>
                <w:tcPr>
                  <w:tcW w:w="1246" w:type="pct"/>
                  <w:tcBorders>
                    <w:bottom w:val="single" w:sz="6" w:space="0" w:color="BFBFBF"/>
                  </w:tcBorders>
                </w:tcPr>
                <w:p w:rsidR="00CF6B94" w:rsidRPr="00E567A6" w:rsidRDefault="00CF6B94" w:rsidP="00CF6B94">
                  <w:pPr>
                    <w:pStyle w:val="TableBodyText"/>
                    <w:jc w:val="left"/>
                    <w:rPr>
                      <w:i/>
                    </w:rPr>
                  </w:pPr>
                  <w:r w:rsidRPr="00E567A6">
                    <w:rPr>
                      <w:i/>
                    </w:rPr>
                    <w:t>Rho</w:t>
                  </w:r>
                </w:p>
              </w:tc>
              <w:tc>
                <w:tcPr>
                  <w:tcW w:w="1246" w:type="pct"/>
                  <w:tcBorders>
                    <w:bottom w:val="single" w:sz="6" w:space="0" w:color="BFBFBF"/>
                  </w:tcBorders>
                  <w:shd w:val="clear" w:color="auto" w:fill="auto"/>
                </w:tcPr>
                <w:p w:rsidR="00CF6B94" w:rsidRDefault="00CF6B94" w:rsidP="00CF6B94">
                  <w:pPr>
                    <w:pStyle w:val="TableBodyText"/>
                    <w:ind w:right="0"/>
                  </w:pPr>
                  <w:r>
                    <w:t>0.82</w:t>
                  </w:r>
                </w:p>
              </w:tc>
              <w:tc>
                <w:tcPr>
                  <w:tcW w:w="143" w:type="pct"/>
                  <w:tcBorders>
                    <w:bottom w:val="single" w:sz="6" w:space="0" w:color="BFBFBF"/>
                  </w:tcBorders>
                  <w:shd w:val="clear" w:color="auto" w:fill="auto"/>
                </w:tcPr>
                <w:p w:rsidR="00CF6B94" w:rsidRDefault="00CF6B94" w:rsidP="00CF6B94">
                  <w:pPr>
                    <w:pStyle w:val="TableBodyText"/>
                  </w:pPr>
                </w:p>
              </w:tc>
              <w:tc>
                <w:tcPr>
                  <w:tcW w:w="1127" w:type="pct"/>
                  <w:tcBorders>
                    <w:bottom w:val="single" w:sz="6" w:space="0" w:color="BFBFBF"/>
                  </w:tcBorders>
                  <w:shd w:val="clear" w:color="auto" w:fill="auto"/>
                </w:tcPr>
                <w:p w:rsidR="00CF6B94" w:rsidRDefault="00CF6B94" w:rsidP="00CF6B94">
                  <w:pPr>
                    <w:pStyle w:val="TableBodyText"/>
                    <w:ind w:right="0"/>
                  </w:pPr>
                  <w:r>
                    <w:t>-0.45</w:t>
                  </w:r>
                </w:p>
              </w:tc>
              <w:tc>
                <w:tcPr>
                  <w:tcW w:w="619" w:type="pct"/>
                  <w:gridSpan w:val="2"/>
                  <w:tcBorders>
                    <w:bottom w:val="single" w:sz="6" w:space="0" w:color="BFBFBF"/>
                  </w:tcBorders>
                  <w:shd w:val="clear" w:color="auto" w:fill="auto"/>
                </w:tcPr>
                <w:p w:rsidR="00CF6B94" w:rsidRDefault="00CF6B94" w:rsidP="00CF6B94">
                  <w:pPr>
                    <w:pStyle w:val="TableBodyText"/>
                    <w:ind w:right="28"/>
                  </w:pPr>
                </w:p>
              </w:tc>
              <w:tc>
                <w:tcPr>
                  <w:tcW w:w="619" w:type="pct"/>
                  <w:tcBorders>
                    <w:bottom w:val="single" w:sz="6" w:space="0" w:color="BFBFBF"/>
                  </w:tcBorders>
                  <w:shd w:val="clear" w:color="auto" w:fill="auto"/>
                </w:tcPr>
                <w:p w:rsidR="00CF6B94" w:rsidRDefault="00CF6B94" w:rsidP="00CF6B94">
                  <w:pPr>
                    <w:pStyle w:val="TableBodyText"/>
                    <w:ind w:right="28"/>
                  </w:pPr>
                </w:p>
              </w:tc>
            </w:tr>
          </w:tbl>
          <w:p w:rsidR="00CF6B94" w:rsidRDefault="00CF6B94" w:rsidP="00CF6B94">
            <w:pPr>
              <w:pStyle w:val="Box"/>
            </w:pP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Note"/>
              <w:rPr>
                <w:i/>
              </w:rPr>
            </w:pPr>
            <w:r>
              <w:t xml:space="preserve">*** </w:t>
            </w:r>
            <w:proofErr w:type="gramStart"/>
            <w:r>
              <w:t>significant</w:t>
            </w:r>
            <w:proofErr w:type="gramEnd"/>
            <w:r>
              <w:t xml:space="preserve"> at 1 per cent, ** 5 per cent and * 10 per cent.</w:t>
            </w: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Source"/>
            </w:pPr>
            <w:r>
              <w:rPr>
                <w:i/>
              </w:rPr>
              <w:t>Source</w:t>
            </w:r>
            <w:r w:rsidRPr="00167F06">
              <w:t xml:space="preserve">: </w:t>
            </w:r>
            <w:r>
              <w:t>Productivity Commission estimates.</w:t>
            </w:r>
          </w:p>
        </w:tc>
      </w:tr>
      <w:tr w:rsidR="00CF6B94" w:rsidTr="00CF6B94">
        <w:trPr>
          <w:cantSplit/>
        </w:trPr>
        <w:tc>
          <w:tcPr>
            <w:tcW w:w="8771" w:type="dxa"/>
            <w:tcBorders>
              <w:top w:val="nil"/>
              <w:left w:val="nil"/>
              <w:bottom w:val="single" w:sz="6" w:space="0" w:color="78A22F"/>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left w:val="nil"/>
              <w:bottom w:val="nil"/>
              <w:right w:val="nil"/>
            </w:tcBorders>
          </w:tcPr>
          <w:p w:rsidR="00CF6B94" w:rsidRPr="00626D32" w:rsidRDefault="00CF6B94" w:rsidP="00CF6B94">
            <w:pPr>
              <w:pStyle w:val="BoxSpaceBelow"/>
            </w:pPr>
          </w:p>
        </w:tc>
      </w:tr>
    </w:tbl>
    <w:p w:rsidR="00CF6B94" w:rsidRDefault="00CF6B94" w:rsidP="00CF6B94">
      <w:pPr>
        <w:pStyle w:val="BodyText"/>
      </w:pPr>
      <w:r>
        <w:lastRenderedPageBreak/>
        <w:t xml:space="preserve">The utility function in the PCMC model is parameterised using an econometric estimation of an observed preferences model. Following the notation of Gong and </w:t>
      </w:r>
      <w:proofErr w:type="spellStart"/>
      <w:r>
        <w:t>Breunig</w:t>
      </w:r>
      <w:proofErr w:type="spellEnd"/>
      <w:r>
        <w:t xml:space="preserve"> (2012), this model can be specified algebraically. Let </w:t>
      </w:r>
      <w:r w:rsidRPr="005A5F3C">
        <w:rPr>
          <w:i/>
        </w:rPr>
        <w:t>y</w:t>
      </w:r>
      <w:r>
        <w:t xml:space="preserve"> equal income net of taxes and transfers, less out-of-pocket childcare costs, </w:t>
      </w:r>
      <w:r w:rsidRPr="005A5F3C">
        <w:rPr>
          <w:i/>
        </w:rPr>
        <w:t>l</w:t>
      </w:r>
      <w:r>
        <w:t xml:space="preserve"> equal leisure of the mother, </w:t>
      </w:r>
      <w:r w:rsidRPr="005A5F3C">
        <w:rPr>
          <w:i/>
        </w:rPr>
        <w:t>c</w:t>
      </w:r>
      <w:r>
        <w:t xml:space="preserve"> equal a vector of childcare choices (formal, informal, maternal), and </w:t>
      </w:r>
      <w:r w:rsidRPr="0097148C">
        <w:rPr>
          <w:i/>
        </w:rPr>
        <w:t>j</w:t>
      </w:r>
      <w:r>
        <w:t xml:space="preserve"> denote a particular combined choice of labour, leisure and childcare. A household will choose choice </w:t>
      </w:r>
      <w:r w:rsidRPr="005A5F3C">
        <w:rPr>
          <w:i/>
        </w:rPr>
        <w:t>j</w:t>
      </w:r>
      <w:r>
        <w:t xml:space="preserve"> over all other choices </w:t>
      </w:r>
      <w:r>
        <w:rPr>
          <w:i/>
        </w:rPr>
        <w:t>k</w:t>
      </w:r>
      <w:r>
        <w:t xml:space="preserve"> if it provides the most utility, </w:t>
      </w:r>
      <w:proofErr w:type="spellStart"/>
      <w:r w:rsidRPr="00057AE2">
        <w:rPr>
          <w:i/>
        </w:rPr>
        <w:t>U</w:t>
      </w:r>
      <w:r>
        <w:rPr>
          <w:vertAlign w:val="subscript"/>
        </w:rPr>
        <w:t>j</w:t>
      </w:r>
      <w:proofErr w:type="spellEnd"/>
      <w:r>
        <w:t>. That is</w:t>
      </w:r>
      <w:r>
        <w:rPr>
          <w:rStyle w:val="FootnoteReference"/>
        </w:rPr>
        <w:footnoteReference w:id="26"/>
      </w:r>
      <w:r>
        <w:t>:</w:t>
      </w:r>
    </w:p>
    <w:p w:rsidR="00CF6B94" w:rsidRPr="00057AE2" w:rsidRDefault="00CF6B94" w:rsidP="00CF6B94">
      <w:pPr>
        <w:pStyle w:val="BodyText"/>
      </w:pPr>
      <m:oMathPara>
        <m:oMathParaPr>
          <m:jc m:val="left"/>
        </m:oMathParaPr>
        <m:oMath>
          <m:r>
            <w:rPr>
              <w:rFonts w:ascii="Cambria Math" w:hAnsi="Cambria Math"/>
            </w:rPr>
            <m:t>Pr</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k</m:t>
                  </m:r>
                </m:sub>
              </m:sSub>
            </m:e>
          </m:d>
          <m:r>
            <w:rPr>
              <w:rFonts w:ascii="Cambria Math" w:hAnsi="Cambria Math"/>
            </w:rPr>
            <m:t>=</m:t>
          </m:r>
          <m:f>
            <m:fPr>
              <m:ctrlPr>
                <w:rPr>
                  <w:rFonts w:ascii="Cambria Math" w:hAnsi="Cambria Math"/>
                  <w:i/>
                </w:rPr>
              </m:ctrlPr>
            </m:fPr>
            <m:num>
              <m:r>
                <m:rPr>
                  <m:sty m:val="p"/>
                </m:rPr>
                <w:rPr>
                  <w:rFonts w:ascii="Cambria Math" w:hAnsi="Cambria Math"/>
                </w:rPr>
                <m:t>exp⁡</m:t>
              </m:r>
              <m:r>
                <w:rPr>
                  <w:rFonts w:ascii="Cambria Math" w:hAnsi="Cambria Math"/>
                </w:rPr>
                <m:t>(U(</m:t>
              </m:r>
              <m:sSub>
                <m:sSubPr>
                  <m:ctrlPr>
                    <w:rPr>
                      <w:rFonts w:ascii="Cambria Math" w:hAnsi="Cambria Math"/>
                      <w:i/>
                    </w:rPr>
                  </m:ctrlPr>
                </m:sSubPr>
                <m:e>
                  <m:r>
                    <w:rPr>
                      <w:rFonts w:ascii="Cambria Math" w:hAnsi="Cambria Math"/>
                    </w:rPr>
                    <m:t>y</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m:t>
              </m:r>
            </m:num>
            <m:den>
              <m:nary>
                <m:naryPr>
                  <m:chr m:val="∑"/>
                  <m:limLoc m:val="undOvr"/>
                  <m:ctrlPr>
                    <w:rPr>
                      <w:rFonts w:ascii="Cambria Math" w:hAnsi="Cambria Math"/>
                      <w:i/>
                    </w:rPr>
                  </m:ctrlPr>
                </m:naryPr>
                <m:sub>
                  <m:r>
                    <w:rPr>
                      <w:rFonts w:ascii="Cambria Math" w:hAnsi="Cambria Math"/>
                    </w:rPr>
                    <m:t>k=1</m:t>
                  </m:r>
                </m:sub>
                <m:sup>
                  <m:r>
                    <w:rPr>
                      <w:rFonts w:ascii="Cambria Math" w:hAnsi="Cambria Math"/>
                    </w:rPr>
                    <m:t>48</m:t>
                  </m:r>
                </m:sup>
                <m:e>
                  <m:r>
                    <m:rPr>
                      <m:sty m:val="p"/>
                    </m:rPr>
                    <w:rPr>
                      <w:rFonts w:ascii="Cambria Math" w:hAnsi="Cambria Math"/>
                    </w:rPr>
                    <m:t>exp⁡</m:t>
                  </m:r>
                  <m:r>
                    <w:rPr>
                      <w:rFonts w:ascii="Cambria Math" w:hAnsi="Cambria Math"/>
                    </w:rPr>
                    <m:t>(U(</m:t>
                  </m:r>
                </m:e>
              </m:nary>
              <m:sSub>
                <m:sSubPr>
                  <m:ctrlPr>
                    <w:rPr>
                      <w:rFonts w:ascii="Cambria Math" w:hAnsi="Cambria Math"/>
                      <w:i/>
                    </w:rPr>
                  </m:ctrlPr>
                </m:sSubPr>
                <m:e>
                  <m:r>
                    <w:rPr>
                      <w:rFonts w:ascii="Cambria Math" w:hAnsi="Cambria Math"/>
                    </w:rPr>
                    <m:t>y</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k</m:t>
                  </m:r>
                </m:sub>
              </m:sSub>
              <m:r>
                <w:rPr>
                  <w:rFonts w:ascii="Cambria Math" w:hAnsi="Cambria Math"/>
                </w:rPr>
                <m:t>))</m:t>
              </m:r>
            </m:den>
          </m:f>
        </m:oMath>
      </m:oMathPara>
    </w:p>
    <w:p w:rsidR="00CF6B94" w:rsidRDefault="00CF6B94" w:rsidP="00CF6B94">
      <w:pPr>
        <w:pStyle w:val="BodyText"/>
      </w:pPr>
      <w:r>
        <w:t xml:space="preserve">Observed and imputed wages (taken from the previously estimated wage equation) are combined with the number of work hours to derive the level of net income </w:t>
      </w:r>
      <w:r w:rsidRPr="0097148C">
        <w:rPr>
          <w:i/>
        </w:rPr>
        <w:t>y</w:t>
      </w:r>
      <w:r>
        <w:t xml:space="preserve"> for each potential labour and childcare choice </w:t>
      </w:r>
      <w:r w:rsidRPr="00BC5F31">
        <w:rPr>
          <w:i/>
        </w:rPr>
        <w:t>j</w:t>
      </w:r>
      <w:r>
        <w:rPr>
          <w:rStyle w:val="FootnoteReference"/>
        </w:rPr>
        <w:footnoteReference w:id="27"/>
      </w:r>
      <w:r>
        <w:t>. All other variables (discussed below) do not vary across different hours worked and childcare combinations.</w:t>
      </w:r>
    </w:p>
    <w:p w:rsidR="00CF6B94" w:rsidRDefault="00CF6B94" w:rsidP="00CF6B94">
      <w:pPr>
        <w:pStyle w:val="BodyText"/>
      </w:pPr>
      <w:r>
        <w:t>The household utility function includes terms for hours worked per week (</w:t>
      </w:r>
      <w:r w:rsidRPr="002E19FD">
        <w:rPr>
          <w:i/>
        </w:rPr>
        <w:t>h</w:t>
      </w:r>
      <w:r>
        <w:t>), sole parent/maternal childcare hours per week (</w:t>
      </w:r>
      <w:r w:rsidRPr="001B7178">
        <w:rPr>
          <w:i/>
        </w:rPr>
        <w:t>m</w:t>
      </w:r>
      <w:r>
        <w:t>), informal childcare hours per week (</w:t>
      </w:r>
      <w:proofErr w:type="spellStart"/>
      <w:r>
        <w:rPr>
          <w:i/>
        </w:rPr>
        <w:t>i</w:t>
      </w:r>
      <w:proofErr w:type="spellEnd"/>
      <w:r>
        <w:t>) and income and transfers net of taxes and out-of-pocket childcare expenses (</w:t>
      </w:r>
      <w:r w:rsidRPr="002E19FD">
        <w:rPr>
          <w:i/>
        </w:rPr>
        <w:t>y</w:t>
      </w:r>
      <w:r>
        <w:t>). There are also squared terms for these variables. There are also cross-product terms between these variables</w:t>
      </w:r>
      <w:r w:rsidDel="00F13538">
        <w:t xml:space="preserve"> </w:t>
      </w:r>
      <w:r>
        <w:t>and cross</w:t>
      </w:r>
      <w:r>
        <w:noBreakHyphen/>
        <w:t xml:space="preserve">product terms between each of </w:t>
      </w:r>
      <w:r w:rsidRPr="00141DE8">
        <w:rPr>
          <w:i/>
        </w:rPr>
        <w:t>h</w:t>
      </w:r>
      <w:r>
        <w:t xml:space="preserve">, </w:t>
      </w:r>
      <w:r w:rsidRPr="00082F78">
        <w:rPr>
          <w:i/>
        </w:rPr>
        <w:t>y</w:t>
      </w:r>
      <w:r>
        <w:t xml:space="preserve">, </w:t>
      </w:r>
      <w:r w:rsidRPr="00141DE8">
        <w:rPr>
          <w:i/>
        </w:rPr>
        <w:t>m</w:t>
      </w:r>
      <w:r>
        <w:t xml:space="preserve"> and </w:t>
      </w:r>
      <w:proofErr w:type="spellStart"/>
      <w:r w:rsidRPr="00141DE8">
        <w:rPr>
          <w:i/>
        </w:rPr>
        <w:t>i</w:t>
      </w:r>
      <w:proofErr w:type="spellEnd"/>
      <w:r>
        <w:t xml:space="preserve"> and a number of demographic variables. The demographic variables include family characteristics such as the number of children in the household and whether the youngest child is aged 0</w:t>
      </w:r>
      <w:r>
        <w:softHyphen/>
        <w:t xml:space="preserve">–2 years, 3–4 years, 5–9 years or 10–14 years (omitted to ensure there is no </w:t>
      </w:r>
      <w:proofErr w:type="spellStart"/>
      <w:r>
        <w:t>collinearity</w:t>
      </w:r>
      <w:proofErr w:type="spellEnd"/>
      <w:r>
        <w:t>). There are also interaction terms for age and age squared, as well as the highest educational attainment of the primary carer (diploma, vocational education or degree). A fixed cost of working parameter (</w:t>
      </w:r>
      <m:oMath>
        <m:r>
          <w:rPr>
            <w:rFonts w:ascii="Cambria Math" w:hAnsi="Cambria Math"/>
          </w:rPr>
          <m:t>γ</m:t>
        </m:r>
      </m:oMath>
      <w:r>
        <w:t>) is also included.</w:t>
      </w:r>
    </w:p>
    <w:p w:rsidR="00CF6B94" w:rsidRDefault="00CF6B94" w:rsidP="00CF6B94">
      <w:pPr>
        <w:pStyle w:val="BodyText"/>
      </w:pPr>
      <w:r>
        <w:t>The utility function (</w:t>
      </w:r>
      <w:r w:rsidRPr="00990376">
        <w:rPr>
          <w:i/>
        </w:rPr>
        <w:t>U</w:t>
      </w:r>
      <w:r>
        <w:t>) estimated for sole parents takes the form:</w:t>
      </w:r>
    </w:p>
    <w:p w:rsidR="00CF6B94" w:rsidRPr="00683AF3" w:rsidRDefault="00CF6B94" w:rsidP="00CF6B94">
      <w:pPr>
        <w:pStyle w:val="BodyText"/>
        <w:keepLines/>
      </w:pPr>
      <w:r>
        <w:t xml:space="preserve"> </w:t>
      </w:r>
      <m:oMath>
        <m:r>
          <w:rPr>
            <w:rFonts w:ascii="Cambria Math" w:hAnsi="Cambria Math"/>
          </w:rPr>
          <m:t>U=</m:t>
        </m:r>
        <m:sSub>
          <m:sSubPr>
            <m:ctrlPr>
              <w:rPr>
                <w:rFonts w:ascii="Cambria Math" w:hAnsi="Cambria Math"/>
                <w:i/>
              </w:rPr>
            </m:ctrlPr>
          </m:sSubPr>
          <m:e>
            <m:r>
              <w:rPr>
                <w:rFonts w:ascii="Cambria Math" w:hAnsi="Cambria Math"/>
              </w:rPr>
              <m:t>α</m:t>
            </m:r>
          </m:e>
          <m:sub>
            <m:r>
              <w:rPr>
                <w:rFonts w:ascii="Cambria Math" w:hAnsi="Cambria Math"/>
              </w:rPr>
              <m:t>y</m:t>
            </m:r>
          </m:sub>
        </m:sSub>
        <m:sSup>
          <m:sSupPr>
            <m:ctrlPr>
              <w:rPr>
                <w:rFonts w:ascii="Cambria Math" w:hAnsi="Cambria Math"/>
                <w:i/>
              </w:rPr>
            </m:ctrlPr>
          </m:sSupPr>
          <m:e>
            <m:d>
              <m:dPr>
                <m:ctrlPr>
                  <w:rPr>
                    <w:rFonts w:ascii="Cambria Math" w:hAnsi="Cambria Math"/>
                    <w:i/>
                  </w:rPr>
                </m:ctrlPr>
              </m:dPr>
              <m:e>
                <m:r>
                  <w:rPr>
                    <w:rFonts w:ascii="Cambria Math" w:hAnsi="Cambria Math"/>
                  </w:rPr>
                  <m:t>y</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h</m:t>
            </m:r>
          </m:sub>
        </m:sSub>
        <m:sSup>
          <m:sSupPr>
            <m:ctrlPr>
              <w:rPr>
                <w:rFonts w:ascii="Cambria Math" w:hAnsi="Cambria Math"/>
                <w:i/>
              </w:rPr>
            </m:ctrlPr>
          </m:sSupPr>
          <m:e>
            <m:d>
              <m:dPr>
                <m:ctrlPr>
                  <w:rPr>
                    <w:rFonts w:ascii="Cambria Math" w:hAnsi="Cambria Math"/>
                    <w:i/>
                  </w:rPr>
                </m:ctrlPr>
              </m:dPr>
              <m:e>
                <m:r>
                  <w:rPr>
                    <w:rFonts w:ascii="Cambria Math" w:hAnsi="Cambria Math"/>
                  </w:rPr>
                  <m:t>h</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m</m:t>
            </m:r>
          </m:sub>
        </m:sSub>
        <m:sSup>
          <m:sSupPr>
            <m:ctrlPr>
              <w:rPr>
                <w:rFonts w:ascii="Cambria Math" w:hAnsi="Cambria Math"/>
                <w:i/>
              </w:rPr>
            </m:ctrlPr>
          </m:sSupPr>
          <m:e>
            <m:d>
              <m:dPr>
                <m:ctrlPr>
                  <w:rPr>
                    <w:rFonts w:ascii="Cambria Math" w:hAnsi="Cambria Math"/>
                    <w:i/>
                  </w:rPr>
                </m:ctrlPr>
              </m:dPr>
              <m:e>
                <m:r>
                  <w:rPr>
                    <w:rFonts w:ascii="Cambria Math" w:hAnsi="Cambria Math"/>
                  </w:rPr>
                  <m:t>m</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m:t>
            </m:r>
          </m:sub>
        </m:sSub>
        <m:sSup>
          <m:sSupPr>
            <m:ctrlPr>
              <w:rPr>
                <w:rFonts w:ascii="Cambria Math" w:hAnsi="Cambria Math"/>
                <w:i/>
              </w:rPr>
            </m:ctrlPr>
          </m:sSupPr>
          <m:e>
            <m:d>
              <m:dPr>
                <m:ctrlPr>
                  <w:rPr>
                    <w:rFonts w:ascii="Cambria Math" w:hAnsi="Cambria Math"/>
                    <w:i/>
                  </w:rPr>
                </m:ctrlPr>
              </m:dPr>
              <m:e>
                <m:r>
                  <w:rPr>
                    <w:rFonts w:ascii="Cambria Math" w:hAnsi="Cambria Math"/>
                  </w:rPr>
                  <m:t>i</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yh</m:t>
            </m:r>
          </m:sub>
        </m:sSub>
        <m:r>
          <w:rPr>
            <w:rFonts w:ascii="Cambria Math" w:hAnsi="Cambria Math"/>
          </w:rPr>
          <m:t>yh+</m:t>
        </m:r>
        <m:sSub>
          <m:sSubPr>
            <m:ctrlPr>
              <w:rPr>
                <w:rFonts w:ascii="Cambria Math" w:hAnsi="Cambria Math"/>
                <w:i/>
              </w:rPr>
            </m:ctrlPr>
          </m:sSubPr>
          <m:e>
            <m:r>
              <w:rPr>
                <w:rFonts w:ascii="Cambria Math" w:hAnsi="Cambria Math"/>
              </w:rPr>
              <m:t>α</m:t>
            </m:r>
          </m:e>
          <m:sub>
            <m:r>
              <w:rPr>
                <w:rFonts w:ascii="Cambria Math" w:hAnsi="Cambria Math"/>
              </w:rPr>
              <m:t>hm</m:t>
            </m:r>
          </m:sub>
        </m:sSub>
        <m:r>
          <w:rPr>
            <w:rFonts w:ascii="Cambria Math" w:hAnsi="Cambria Math"/>
          </w:rPr>
          <m:t>hm</m:t>
        </m:r>
      </m:oMath>
    </w:p>
    <w:p w:rsidR="00CF6B94" w:rsidRDefault="00CF6B94" w:rsidP="00CF6B94">
      <w:pPr>
        <w:pStyle w:val="BodyText"/>
        <w:keepLines/>
        <w:jc w:val="left"/>
      </w:pPr>
      <w:r>
        <w:tab/>
        <w:t xml:space="preserve">   </w:t>
      </w:r>
      <m:oMath>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hi</m:t>
            </m:r>
          </m:sub>
        </m:sSub>
        <m:r>
          <w:rPr>
            <w:rFonts w:ascii="Cambria Math" w:hAnsi="Cambria Math"/>
          </w:rPr>
          <m:t>h.i+</m:t>
        </m:r>
        <m:sSub>
          <m:sSubPr>
            <m:ctrlPr>
              <w:rPr>
                <w:rFonts w:ascii="Cambria Math" w:hAnsi="Cambria Math"/>
                <w:i/>
              </w:rPr>
            </m:ctrlPr>
          </m:sSubPr>
          <m:e>
            <m:r>
              <w:rPr>
                <w:rFonts w:ascii="Cambria Math" w:hAnsi="Cambria Math"/>
              </w:rPr>
              <m:t>α</m:t>
            </m:r>
          </m:e>
          <m:sub>
            <m:r>
              <w:rPr>
                <w:rFonts w:ascii="Cambria Math" w:hAnsi="Cambria Math"/>
              </w:rPr>
              <m:t>ym</m:t>
            </m:r>
          </m:sub>
        </m:sSub>
        <m:r>
          <w:rPr>
            <w:rFonts w:ascii="Cambria Math" w:hAnsi="Cambria Math"/>
          </w:rPr>
          <m:t>ym+</m:t>
        </m:r>
        <m:sSub>
          <m:sSubPr>
            <m:ctrlPr>
              <w:rPr>
                <w:rFonts w:ascii="Cambria Math" w:hAnsi="Cambria Math"/>
                <w:i/>
              </w:rPr>
            </m:ctrlPr>
          </m:sSubPr>
          <m:e>
            <m:r>
              <w:rPr>
                <w:rFonts w:ascii="Cambria Math" w:hAnsi="Cambria Math"/>
              </w:rPr>
              <m:t>α</m:t>
            </m:r>
          </m:e>
          <m:sub>
            <m:r>
              <w:rPr>
                <w:rFonts w:ascii="Cambria Math" w:hAnsi="Cambria Math"/>
              </w:rPr>
              <m:t>yi</m:t>
            </m:r>
          </m:sub>
        </m:sSub>
        <m:r>
          <w:rPr>
            <w:rFonts w:ascii="Cambria Math" w:hAnsi="Cambria Math"/>
          </w:rPr>
          <m:t>yi+</m:t>
        </m:r>
        <m:sSub>
          <m:sSubPr>
            <m:ctrlPr>
              <w:rPr>
                <w:rFonts w:ascii="Cambria Math" w:hAnsi="Cambria Math"/>
                <w:i/>
              </w:rPr>
            </m:ctrlPr>
          </m:sSubPr>
          <m:e>
            <m:r>
              <w:rPr>
                <w:rFonts w:ascii="Cambria Math" w:hAnsi="Cambria Math"/>
              </w:rPr>
              <m:t>α</m:t>
            </m:r>
          </m:e>
          <m:sub>
            <m:r>
              <w:rPr>
                <w:rFonts w:ascii="Cambria Math" w:hAnsi="Cambria Math"/>
              </w:rPr>
              <m:t>mi</m:t>
            </m:r>
          </m:sub>
        </m:sSub>
        <m:r>
          <w:rPr>
            <w:rFonts w:ascii="Cambria Math" w:hAnsi="Cambria Math"/>
          </w:rPr>
          <m:t>m.i+</m:t>
        </m:r>
      </m:oMath>
    </w:p>
    <w:p w:rsidR="00CF6B94" w:rsidRPr="00F7463B" w:rsidRDefault="00CF6B94" w:rsidP="00CF6B94">
      <w:pPr>
        <w:pStyle w:val="BodyText"/>
        <w:keepLines/>
      </w:pPr>
      <w:r>
        <w:tab/>
      </w:r>
      <m:oMath>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y</m:t>
            </m:r>
          </m:sub>
        </m:sSub>
        <m:d>
          <m:dPr>
            <m:ctrlPr>
              <w:rPr>
                <w:rFonts w:ascii="Cambria Math" w:hAnsi="Cambria Math"/>
                <w:i/>
              </w:rPr>
            </m:ctrlPr>
          </m:dPr>
          <m:e>
            <m:r>
              <w:rPr>
                <w:rFonts w:ascii="Cambria Math" w:hAnsi="Cambria Math"/>
              </w:rPr>
              <m:t>y-γ</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h</m:t>
            </m:r>
          </m:sub>
        </m:sSub>
        <m:r>
          <w:rPr>
            <w:rFonts w:ascii="Cambria Math" w:hAnsi="Cambria Math"/>
          </w:rPr>
          <m:t>h+</m:t>
        </m:r>
        <m:sSub>
          <m:sSubPr>
            <m:ctrlPr>
              <w:rPr>
                <w:rFonts w:ascii="Cambria Math" w:hAnsi="Cambria Math"/>
                <w:i/>
              </w:rPr>
            </m:ctrlPr>
          </m:sSubPr>
          <m:e>
            <m:r>
              <w:rPr>
                <w:rFonts w:ascii="Cambria Math" w:hAnsi="Cambria Math"/>
              </w:rPr>
              <m:t>β</m:t>
            </m:r>
          </m:e>
          <m:sub>
            <m:r>
              <w:rPr>
                <w:rFonts w:ascii="Cambria Math" w:hAnsi="Cambria Math"/>
              </w:rPr>
              <m:t>m</m:t>
            </m:r>
          </m:sub>
        </m:sSub>
        <m:r>
          <w:rPr>
            <w:rFonts w:ascii="Cambria Math" w:hAnsi="Cambria Math"/>
          </w:rPr>
          <m:t>m+</m:t>
        </m:r>
        <m:sSub>
          <m:sSubPr>
            <m:ctrlPr>
              <w:rPr>
                <w:rFonts w:ascii="Cambria Math" w:hAnsi="Cambria Math"/>
                <w:i/>
              </w:rPr>
            </m:ctrlPr>
          </m:sSubPr>
          <m:e>
            <m:r>
              <w:rPr>
                <w:rFonts w:ascii="Cambria Math" w:hAnsi="Cambria Math"/>
              </w:rPr>
              <m:t>β</m:t>
            </m:r>
          </m:e>
          <m:sub>
            <m:r>
              <w:rPr>
                <w:rFonts w:ascii="Cambria Math" w:hAnsi="Cambria Math"/>
              </w:rPr>
              <m:t>i</m:t>
            </m:r>
          </m:sub>
        </m:sSub>
        <m:r>
          <w:rPr>
            <w:rFonts w:ascii="Cambria Math" w:hAnsi="Cambria Math"/>
          </w:rPr>
          <m:t>i+</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β</m:t>
            </m:r>
          </m:e>
          <m:sub>
            <m:r>
              <w:rPr>
                <w:rFonts w:ascii="Cambria Math" w:hAnsi="Cambria Math"/>
              </w:rPr>
              <m:t>n</m:t>
            </m:r>
          </m:sub>
        </m:sSub>
        <m:sSub>
          <m:sSubPr>
            <m:ctrlPr>
              <w:rPr>
                <w:rFonts w:ascii="Cambria Math" w:hAnsi="Cambria Math"/>
                <w:i/>
              </w:rPr>
            </m:ctrlPr>
          </m:sSubPr>
          <m:e>
            <m:r>
              <w:rPr>
                <w:rFonts w:ascii="Cambria Math" w:hAnsi="Cambria Math"/>
              </w:rPr>
              <m:t>X</m:t>
            </m:r>
          </m:e>
          <m:sub>
            <m:r>
              <w:rPr>
                <w:rFonts w:ascii="Cambria Math" w:hAnsi="Cambria Math"/>
              </w:rPr>
              <m:t>n</m:t>
            </m:r>
          </m:sub>
        </m:sSub>
      </m:oMath>
    </w:p>
    <w:p w:rsidR="00CF6B94" w:rsidRDefault="00CF6B94" w:rsidP="00CF6B94">
      <w:pPr>
        <w:pStyle w:val="BodyText"/>
      </w:pPr>
      <w:r>
        <w:t xml:space="preserve">Where </w:t>
      </w:r>
      <w:r w:rsidRPr="00032DEA">
        <w:rPr>
          <w:i/>
        </w:rPr>
        <w:t>X</w:t>
      </w:r>
      <w:r w:rsidRPr="00141DE8">
        <w:rPr>
          <w:vertAlign w:val="subscript"/>
        </w:rPr>
        <w:t>1</w:t>
      </w:r>
      <w:r>
        <w:t xml:space="preserve"> to </w:t>
      </w:r>
      <w:proofErr w:type="spellStart"/>
      <w:r w:rsidRPr="00032DEA">
        <w:rPr>
          <w:i/>
        </w:rPr>
        <w:t>X</w:t>
      </w:r>
      <w:r w:rsidRPr="00141DE8">
        <w:rPr>
          <w:vertAlign w:val="subscript"/>
        </w:rPr>
        <w:t>n</w:t>
      </w:r>
      <w:proofErr w:type="spellEnd"/>
      <w:r>
        <w:t xml:space="preserve"> are the various cross product terms associated with the demographic variables (demographic variables multiplied by income, labour supply, hours of informal </w:t>
      </w:r>
      <w:r>
        <w:lastRenderedPageBreak/>
        <w:t xml:space="preserve">childcare, and hours of sole parent/maternal childcare). For couples, there are additional cross product terms for the husband. </w:t>
      </w:r>
    </w:p>
    <w:p w:rsidR="00CF6B94" w:rsidRDefault="00CF6B94" w:rsidP="00CF6B94">
      <w:pPr>
        <w:pStyle w:val="BodyText"/>
      </w:pPr>
      <w:r>
        <w:t>Table C.3 lists all utility function variables used.</w:t>
      </w:r>
    </w:p>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91"/>
      </w:tblGrid>
      <w:tr w:rsidR="00CF6B94" w:rsidTr="00CF6B94">
        <w:tc>
          <w:tcPr>
            <w:tcW w:w="8791" w:type="dxa"/>
            <w:tcBorders>
              <w:top w:val="single" w:sz="6" w:space="0" w:color="78A22F" w:themeColor="accent1"/>
              <w:left w:val="nil"/>
              <w:bottom w:val="nil"/>
              <w:right w:val="nil"/>
            </w:tcBorders>
            <w:shd w:val="clear" w:color="auto" w:fill="auto"/>
          </w:tcPr>
          <w:p w:rsidR="00CF6B94" w:rsidRPr="00784A05" w:rsidRDefault="00CF6B94" w:rsidP="00CF6B94">
            <w:pPr>
              <w:pStyle w:val="TableTitle"/>
            </w:pPr>
            <w:r>
              <w:rPr>
                <w:b w:val="0"/>
              </w:rPr>
              <w:t>Table C.3</w:t>
            </w:r>
            <w:r>
              <w:tab/>
              <w:t>Variables included in the utility function regressions</w:t>
            </w:r>
          </w:p>
        </w:tc>
      </w:tr>
      <w:tr w:rsidR="00CF6B94" w:rsidTr="00CF6B94">
        <w:trPr>
          <w:cantSplit/>
        </w:trPr>
        <w:tc>
          <w:tcPr>
            <w:tcW w:w="8791" w:type="dxa"/>
            <w:tcBorders>
              <w:top w:val="nil"/>
              <w:left w:val="nil"/>
              <w:bottom w:val="nil"/>
              <w:right w:val="nil"/>
            </w:tcBorders>
            <w:shd w:val="clear" w:color="auto" w:fill="auto"/>
          </w:tcPr>
          <w:tbl>
            <w:tblPr>
              <w:tblW w:w="8507" w:type="dxa"/>
              <w:tblCellMar>
                <w:top w:w="28" w:type="dxa"/>
                <w:left w:w="0" w:type="dxa"/>
                <w:right w:w="0" w:type="dxa"/>
              </w:tblCellMar>
              <w:tblLook w:val="0000" w:firstRow="0" w:lastRow="0" w:firstColumn="0" w:lastColumn="0" w:noHBand="0" w:noVBand="0"/>
            </w:tblPr>
            <w:tblGrid>
              <w:gridCol w:w="5366"/>
              <w:gridCol w:w="1416"/>
              <w:gridCol w:w="1725"/>
            </w:tblGrid>
            <w:tr w:rsidR="00CF6B94" w:rsidTr="00CF6B94">
              <w:tc>
                <w:tcPr>
                  <w:tcW w:w="3154" w:type="pct"/>
                  <w:tcBorders>
                    <w:top w:val="single" w:sz="6" w:space="0" w:color="BFBFBF" w:themeColor="background2"/>
                    <w:bottom w:val="single" w:sz="6" w:space="0" w:color="BFBFBF" w:themeColor="background2"/>
                  </w:tcBorders>
                  <w:shd w:val="clear" w:color="auto" w:fill="auto"/>
                  <w:tcMar>
                    <w:top w:w="28" w:type="dxa"/>
                  </w:tcMar>
                </w:tcPr>
                <w:p w:rsidR="00CF6B94" w:rsidRDefault="00CF6B94" w:rsidP="00CF6B94">
                  <w:pPr>
                    <w:pStyle w:val="TableColumnHeading"/>
                    <w:jc w:val="left"/>
                  </w:pPr>
                  <w:r>
                    <w:t>Variable</w:t>
                  </w:r>
                </w:p>
              </w:tc>
              <w:tc>
                <w:tcPr>
                  <w:tcW w:w="832" w:type="pct"/>
                  <w:tcBorders>
                    <w:top w:val="single" w:sz="6" w:space="0" w:color="BFBFBF" w:themeColor="background2"/>
                    <w:bottom w:val="single" w:sz="6" w:space="0" w:color="BFBFBF" w:themeColor="background2"/>
                  </w:tcBorders>
                  <w:shd w:val="clear" w:color="auto" w:fill="auto"/>
                  <w:tcMar>
                    <w:top w:w="28" w:type="dxa"/>
                  </w:tcMar>
                </w:tcPr>
                <w:p w:rsidR="00CF6B94" w:rsidRDefault="00CF6B94" w:rsidP="00CF6B94">
                  <w:pPr>
                    <w:pStyle w:val="TableColumnHeading"/>
                  </w:pPr>
                  <w:r>
                    <w:t>Couples</w:t>
                  </w:r>
                </w:p>
              </w:tc>
              <w:tc>
                <w:tcPr>
                  <w:tcW w:w="1014" w:type="pct"/>
                  <w:tcBorders>
                    <w:top w:val="single" w:sz="6" w:space="0" w:color="BFBFBF" w:themeColor="background2"/>
                    <w:bottom w:val="single" w:sz="6" w:space="0" w:color="BFBFBF" w:themeColor="background2"/>
                  </w:tcBorders>
                  <w:shd w:val="clear" w:color="auto" w:fill="auto"/>
                </w:tcPr>
                <w:p w:rsidR="00CF6B94" w:rsidRDefault="00CF6B94" w:rsidP="00CF6B94">
                  <w:pPr>
                    <w:pStyle w:val="TableColumnHeading"/>
                    <w:ind w:right="28"/>
                  </w:pPr>
                  <w:r>
                    <w:t>Single parents</w:t>
                  </w:r>
                </w:p>
              </w:tc>
            </w:tr>
            <w:tr w:rsidR="00CF6B94" w:rsidTr="00CF6B94">
              <w:tc>
                <w:tcPr>
                  <w:tcW w:w="3154" w:type="pct"/>
                  <w:tcBorders>
                    <w:top w:val="single" w:sz="6" w:space="0" w:color="BFBFBF" w:themeColor="background2"/>
                  </w:tcBorders>
                  <w:vAlign w:val="bottom"/>
                </w:tcPr>
                <w:p w:rsidR="00CF6B94" w:rsidRPr="00AF1D23" w:rsidRDefault="00CF6B94" w:rsidP="00CF6B94">
                  <w:pPr>
                    <w:pStyle w:val="TableBodyText"/>
                    <w:jc w:val="left"/>
                  </w:pPr>
                  <w:r>
                    <w:t>Income, linear and squared</w:t>
                  </w:r>
                </w:p>
              </w:tc>
              <w:tc>
                <w:tcPr>
                  <w:tcW w:w="832" w:type="pct"/>
                  <w:tcBorders>
                    <w:top w:val="single" w:sz="6" w:space="0" w:color="BFBFBF" w:themeColor="background2"/>
                  </w:tcBorders>
                </w:tcPr>
                <w:p w:rsidR="00CF6B94" w:rsidRDefault="00CF6B94" w:rsidP="00CF6B94">
                  <w:pPr>
                    <w:pStyle w:val="TableUnitsRow"/>
                    <w:ind w:left="0"/>
                  </w:pPr>
                  <w:r>
                    <w:t>Yes</w:t>
                  </w:r>
                </w:p>
              </w:tc>
              <w:tc>
                <w:tcPr>
                  <w:tcW w:w="1014" w:type="pct"/>
                  <w:tcBorders>
                    <w:top w:val="single" w:sz="6" w:space="0" w:color="BFBFBF" w:themeColor="background2"/>
                  </w:tcBorders>
                </w:tcPr>
                <w:p w:rsidR="00CF6B94" w:rsidRDefault="00CF6B94" w:rsidP="00CF6B94">
                  <w:pPr>
                    <w:pStyle w:val="TableUnitsRow"/>
                    <w:ind w:left="0" w:right="28"/>
                  </w:pPr>
                  <w:r>
                    <w:t>Yes</w:t>
                  </w:r>
                </w:p>
              </w:tc>
            </w:tr>
            <w:tr w:rsidR="00CF6B94" w:rsidTr="00CF6B94">
              <w:tc>
                <w:tcPr>
                  <w:tcW w:w="3154" w:type="pct"/>
                  <w:vAlign w:val="bottom"/>
                </w:tcPr>
                <w:p w:rsidR="00CF6B94" w:rsidRPr="00AF1D23" w:rsidRDefault="00CF6B94" w:rsidP="00CF6B94">
                  <w:pPr>
                    <w:pStyle w:val="TableBodyText"/>
                    <w:jc w:val="left"/>
                  </w:pPr>
                  <w:r w:rsidRPr="00AF1D23">
                    <w:t>Labour supply</w:t>
                  </w:r>
                  <w:r>
                    <w:t xml:space="preserve">, linear and </w:t>
                  </w:r>
                  <w:r w:rsidRPr="00AF1D23">
                    <w:t>squared</w:t>
                  </w:r>
                  <w:r>
                    <w:t xml:space="preserve"> </w:t>
                  </w:r>
                </w:p>
              </w:tc>
              <w:tc>
                <w:tcPr>
                  <w:tcW w:w="832" w:type="pct"/>
                </w:tcPr>
                <w:p w:rsidR="00CF6B94" w:rsidRDefault="00CF6B94" w:rsidP="00CF6B94">
                  <w:pPr>
                    <w:pStyle w:val="TableBodyText"/>
                    <w:ind w:left="0"/>
                  </w:pPr>
                  <w:r>
                    <w:t>Yes</w:t>
                  </w:r>
                </w:p>
              </w:tc>
              <w:tc>
                <w:tcPr>
                  <w:tcW w:w="1014" w:type="pct"/>
                </w:tcPr>
                <w:p w:rsidR="00CF6B94" w:rsidRDefault="00CF6B94" w:rsidP="00CF6B94">
                  <w:pPr>
                    <w:pStyle w:val="TableBodyText"/>
                    <w:ind w:right="0"/>
                  </w:pPr>
                  <w:r>
                    <w:t>Yes</w:t>
                  </w:r>
                </w:p>
              </w:tc>
            </w:tr>
            <w:tr w:rsidR="00CF6B94" w:rsidTr="00CF6B94">
              <w:tc>
                <w:tcPr>
                  <w:tcW w:w="3154" w:type="pct"/>
                  <w:shd w:val="clear" w:color="auto" w:fill="auto"/>
                  <w:vAlign w:val="bottom"/>
                </w:tcPr>
                <w:p w:rsidR="00CF6B94" w:rsidRPr="00AF1D23" w:rsidRDefault="00CF6B94" w:rsidP="00CF6B94">
                  <w:pPr>
                    <w:pStyle w:val="TableBodyText"/>
                    <w:jc w:val="left"/>
                  </w:pPr>
                  <w:r>
                    <w:t>Maternal childcare, linear and squared</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left="0" w:right="28"/>
                  </w:pPr>
                  <w:r>
                    <w:t>Yes</w:t>
                  </w:r>
                </w:p>
              </w:tc>
            </w:tr>
            <w:tr w:rsidR="00CF6B94" w:rsidTr="00CF6B94">
              <w:tc>
                <w:tcPr>
                  <w:tcW w:w="3154" w:type="pct"/>
                  <w:shd w:val="clear" w:color="auto" w:fill="auto"/>
                  <w:vAlign w:val="bottom"/>
                </w:tcPr>
                <w:p w:rsidR="00CF6B94" w:rsidRPr="00AF1D23" w:rsidRDefault="00CF6B94" w:rsidP="00CF6B94">
                  <w:pPr>
                    <w:pStyle w:val="TableBodyText"/>
                    <w:jc w:val="left"/>
                  </w:pPr>
                  <w:r>
                    <w:t>Informal childcare, linear and squared</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left="0" w:right="28"/>
                  </w:pPr>
                  <w:r>
                    <w:t>Yes</w:t>
                  </w:r>
                </w:p>
              </w:tc>
            </w:tr>
            <w:tr w:rsidR="00CF6B94" w:rsidTr="00CF6B94">
              <w:tc>
                <w:tcPr>
                  <w:tcW w:w="3154" w:type="pct"/>
                  <w:shd w:val="clear" w:color="auto" w:fill="auto"/>
                  <w:vAlign w:val="bottom"/>
                </w:tcPr>
                <w:p w:rsidR="00CF6B94" w:rsidRPr="00AF1D23" w:rsidRDefault="00CF6B94" w:rsidP="00CF6B94">
                  <w:pPr>
                    <w:pStyle w:val="TableBodyText"/>
                    <w:jc w:val="left"/>
                  </w:pPr>
                  <w:r>
                    <w:t xml:space="preserve">Income </w:t>
                  </w:r>
                  <w:r w:rsidRPr="00AF1D23">
                    <w:t>×</w:t>
                  </w:r>
                  <w:r>
                    <w:t xml:space="preserve"> Hours worked by husband</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left="0" w:right="28"/>
                  </w:pPr>
                  <w:r>
                    <w:t>No</w:t>
                  </w:r>
                </w:p>
              </w:tc>
            </w:tr>
            <w:tr w:rsidR="00CF6B94" w:rsidTr="00CF6B94">
              <w:tc>
                <w:tcPr>
                  <w:tcW w:w="3154" w:type="pct"/>
                  <w:shd w:val="clear" w:color="auto" w:fill="auto"/>
                  <w:vAlign w:val="bottom"/>
                </w:tcPr>
                <w:p w:rsidR="00CF6B94" w:rsidRPr="00AF1D23" w:rsidRDefault="00CF6B94" w:rsidP="00CF6B94">
                  <w:pPr>
                    <w:pStyle w:val="TableBodyText"/>
                    <w:jc w:val="left"/>
                  </w:pPr>
                  <w:r>
                    <w:t xml:space="preserve">Labour supply </w:t>
                  </w:r>
                  <w:r w:rsidRPr="00AF1D23">
                    <w:t>×</w:t>
                  </w:r>
                  <w:r>
                    <w:t xml:space="preserve"> Income</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right="0"/>
                  </w:pPr>
                  <w:r>
                    <w:t>Yes</w:t>
                  </w:r>
                </w:p>
              </w:tc>
            </w:tr>
            <w:tr w:rsidR="00CF6B94" w:rsidTr="00CF6B94">
              <w:tc>
                <w:tcPr>
                  <w:tcW w:w="3154" w:type="pct"/>
                  <w:shd w:val="clear" w:color="auto" w:fill="auto"/>
                  <w:vAlign w:val="bottom"/>
                </w:tcPr>
                <w:p w:rsidR="00CF6B94" w:rsidRPr="00AF1D23" w:rsidRDefault="00CF6B94" w:rsidP="00CF6B94">
                  <w:pPr>
                    <w:pStyle w:val="TableBodyText"/>
                    <w:jc w:val="left"/>
                  </w:pPr>
                  <w:r>
                    <w:t xml:space="preserve">Labour supply </w:t>
                  </w:r>
                  <w:r w:rsidRPr="00AF1D23">
                    <w:t>×</w:t>
                  </w:r>
                  <w:r>
                    <w:t xml:space="preserve"> Hours worked by husband</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left="0" w:right="28"/>
                  </w:pPr>
                  <w:r>
                    <w:t>No</w:t>
                  </w:r>
                </w:p>
              </w:tc>
            </w:tr>
            <w:tr w:rsidR="00CF6B94" w:rsidTr="00CF6B94">
              <w:tc>
                <w:tcPr>
                  <w:tcW w:w="3154" w:type="pct"/>
                  <w:shd w:val="clear" w:color="auto" w:fill="auto"/>
                  <w:vAlign w:val="bottom"/>
                </w:tcPr>
                <w:p w:rsidR="00CF6B94" w:rsidRPr="00AF1D23" w:rsidRDefault="00CF6B94" w:rsidP="00CF6B94">
                  <w:pPr>
                    <w:pStyle w:val="TableBodyText"/>
                    <w:jc w:val="left"/>
                  </w:pPr>
                  <w:r>
                    <w:t xml:space="preserve">Maternal childcare </w:t>
                  </w:r>
                  <w:r w:rsidRPr="00AF1D23">
                    <w:t>×</w:t>
                  </w:r>
                  <w:r>
                    <w:t xml:space="preserve"> Hours worked by husband</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left="0" w:right="28"/>
                  </w:pPr>
                  <w:r>
                    <w:t>No</w:t>
                  </w:r>
                </w:p>
              </w:tc>
            </w:tr>
            <w:tr w:rsidR="00CF6B94" w:rsidTr="00CF6B94">
              <w:tc>
                <w:tcPr>
                  <w:tcW w:w="3154" w:type="pct"/>
                  <w:shd w:val="clear" w:color="auto" w:fill="auto"/>
                  <w:vAlign w:val="bottom"/>
                </w:tcPr>
                <w:p w:rsidR="00CF6B94" w:rsidRPr="00AF1D23" w:rsidRDefault="00CF6B94" w:rsidP="00CF6B94">
                  <w:pPr>
                    <w:pStyle w:val="TableBodyText"/>
                    <w:jc w:val="left"/>
                  </w:pPr>
                  <w:r>
                    <w:t xml:space="preserve">Labour supply </w:t>
                  </w:r>
                  <w:r w:rsidRPr="00AF1D23">
                    <w:t>×</w:t>
                  </w:r>
                  <w:r>
                    <w:t xml:space="preserve"> maternal childcare</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right="0"/>
                  </w:pPr>
                  <w:r>
                    <w:t>Yes</w:t>
                  </w:r>
                </w:p>
              </w:tc>
            </w:tr>
            <w:tr w:rsidR="00CF6B94" w:rsidTr="00CF6B94">
              <w:tc>
                <w:tcPr>
                  <w:tcW w:w="3154" w:type="pct"/>
                  <w:shd w:val="clear" w:color="auto" w:fill="auto"/>
                  <w:vAlign w:val="bottom"/>
                </w:tcPr>
                <w:p w:rsidR="00CF6B94" w:rsidRPr="00AF1D23" w:rsidRDefault="00CF6B94" w:rsidP="00CF6B94">
                  <w:pPr>
                    <w:pStyle w:val="TableBodyText"/>
                    <w:jc w:val="left"/>
                  </w:pPr>
                  <w:r>
                    <w:t xml:space="preserve">Income </w:t>
                  </w:r>
                  <w:r w:rsidRPr="00AF1D23">
                    <w:t>×</w:t>
                  </w:r>
                  <w:r>
                    <w:t xml:space="preserve"> maternal childcare</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right="0"/>
                  </w:pPr>
                  <w:r>
                    <w:t>Yes</w:t>
                  </w:r>
                </w:p>
              </w:tc>
            </w:tr>
            <w:tr w:rsidR="00CF6B94" w:rsidTr="00CF6B94">
              <w:tc>
                <w:tcPr>
                  <w:tcW w:w="3154" w:type="pct"/>
                  <w:shd w:val="clear" w:color="auto" w:fill="auto"/>
                  <w:vAlign w:val="bottom"/>
                </w:tcPr>
                <w:p w:rsidR="00CF6B94" w:rsidRPr="00AF1D23" w:rsidRDefault="00CF6B94" w:rsidP="00CF6B94">
                  <w:pPr>
                    <w:pStyle w:val="TableBodyText"/>
                    <w:jc w:val="left"/>
                  </w:pPr>
                  <w:r>
                    <w:t xml:space="preserve">Informal childcare </w:t>
                  </w:r>
                  <w:r w:rsidRPr="00AF1D23">
                    <w:t>×</w:t>
                  </w:r>
                  <w:r>
                    <w:t xml:space="preserve"> hours worked by husband</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left="0" w:right="28"/>
                  </w:pPr>
                  <w:r>
                    <w:t>No</w:t>
                  </w:r>
                </w:p>
              </w:tc>
            </w:tr>
            <w:tr w:rsidR="00CF6B94" w:rsidTr="00CF6B94">
              <w:tc>
                <w:tcPr>
                  <w:tcW w:w="3154" w:type="pct"/>
                  <w:shd w:val="clear" w:color="auto" w:fill="auto"/>
                  <w:vAlign w:val="bottom"/>
                </w:tcPr>
                <w:p w:rsidR="00CF6B94" w:rsidRPr="00AF1D23" w:rsidRDefault="00CF6B94" w:rsidP="00CF6B94">
                  <w:pPr>
                    <w:pStyle w:val="TableBodyText"/>
                    <w:jc w:val="left"/>
                  </w:pPr>
                  <w:r>
                    <w:t xml:space="preserve">Labour supply </w:t>
                  </w:r>
                  <w:r w:rsidRPr="00AF1D23">
                    <w:t>×</w:t>
                  </w:r>
                  <w:r>
                    <w:t xml:space="preserve"> Informal childcare</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right="0"/>
                  </w:pPr>
                  <w:r>
                    <w:t>Yes</w:t>
                  </w:r>
                </w:p>
              </w:tc>
            </w:tr>
            <w:tr w:rsidR="00CF6B94" w:rsidTr="00CF6B94">
              <w:tc>
                <w:tcPr>
                  <w:tcW w:w="3154" w:type="pct"/>
                  <w:shd w:val="clear" w:color="auto" w:fill="auto"/>
                  <w:vAlign w:val="bottom"/>
                </w:tcPr>
                <w:p w:rsidR="00CF6B94" w:rsidRPr="00AF1D23" w:rsidRDefault="00CF6B94" w:rsidP="00CF6B94">
                  <w:pPr>
                    <w:pStyle w:val="TableBodyText"/>
                    <w:jc w:val="left"/>
                  </w:pPr>
                  <w:r>
                    <w:t xml:space="preserve">Income </w:t>
                  </w:r>
                  <w:r w:rsidRPr="00AF1D23">
                    <w:t>×</w:t>
                  </w:r>
                  <w:r>
                    <w:t xml:space="preserve"> informal childcare</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left="0" w:right="28"/>
                  </w:pPr>
                  <w:r>
                    <w:t>Yes</w:t>
                  </w:r>
                </w:p>
              </w:tc>
            </w:tr>
            <w:tr w:rsidR="00CF6B94" w:rsidTr="00CF6B94">
              <w:tc>
                <w:tcPr>
                  <w:tcW w:w="3154" w:type="pct"/>
                  <w:shd w:val="clear" w:color="auto" w:fill="auto"/>
                  <w:vAlign w:val="bottom"/>
                </w:tcPr>
                <w:p w:rsidR="00CF6B94" w:rsidRPr="00AF1D23" w:rsidRDefault="00CF6B94" w:rsidP="00CF6B94">
                  <w:pPr>
                    <w:pStyle w:val="TableBodyText"/>
                    <w:jc w:val="left"/>
                  </w:pPr>
                  <w:r>
                    <w:t xml:space="preserve">Maternal childcare </w:t>
                  </w:r>
                  <w:r w:rsidRPr="00AF1D23">
                    <w:t>×</w:t>
                  </w:r>
                  <w:r>
                    <w:t xml:space="preserve"> informal childcare</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right="0"/>
                  </w:pPr>
                  <w:r>
                    <w:t>Yes</w:t>
                  </w:r>
                </w:p>
              </w:tc>
            </w:tr>
            <w:tr w:rsidR="00CF6B94" w:rsidTr="00CF6B94">
              <w:tc>
                <w:tcPr>
                  <w:tcW w:w="3154" w:type="pct"/>
                  <w:shd w:val="clear" w:color="auto" w:fill="auto"/>
                  <w:vAlign w:val="bottom"/>
                </w:tcPr>
                <w:p w:rsidR="00CF6B94" w:rsidRDefault="00CF6B94" w:rsidP="00CF6B94">
                  <w:pPr>
                    <w:pStyle w:val="TableBodyText"/>
                    <w:jc w:val="left"/>
                  </w:pPr>
                  <w:r>
                    <w:t>Other cross product terms:</w:t>
                  </w:r>
                </w:p>
              </w:tc>
              <w:tc>
                <w:tcPr>
                  <w:tcW w:w="832" w:type="pct"/>
                  <w:shd w:val="clear" w:color="auto" w:fill="auto"/>
                </w:tcPr>
                <w:p w:rsidR="00CF6B94" w:rsidRDefault="00CF6B94" w:rsidP="00CF6B94">
                  <w:pPr>
                    <w:pStyle w:val="TableBodyText"/>
                    <w:ind w:left="0"/>
                  </w:pPr>
                </w:p>
              </w:tc>
              <w:tc>
                <w:tcPr>
                  <w:tcW w:w="1014" w:type="pct"/>
                  <w:shd w:val="clear" w:color="auto" w:fill="auto"/>
                </w:tcPr>
                <w:p w:rsidR="00CF6B94" w:rsidRDefault="00CF6B94" w:rsidP="00CF6B94">
                  <w:pPr>
                    <w:pStyle w:val="TableBodyText"/>
                    <w:ind w:left="0" w:right="28"/>
                  </w:pPr>
                </w:p>
              </w:tc>
            </w:tr>
            <w:tr w:rsidR="00CF6B94" w:rsidTr="00CF6B94">
              <w:tc>
                <w:tcPr>
                  <w:tcW w:w="3154" w:type="pct"/>
                  <w:shd w:val="clear" w:color="auto" w:fill="auto"/>
                  <w:vAlign w:val="bottom"/>
                </w:tcPr>
                <w:p w:rsidR="00CF6B94" w:rsidRPr="00AF1D23" w:rsidRDefault="00CF6B94" w:rsidP="00CF6B94">
                  <w:pPr>
                    <w:pStyle w:val="TableBodyText"/>
                    <w:jc w:val="left"/>
                  </w:pPr>
                  <w:r>
                    <w:t xml:space="preserve">Income, labour supply, maternal childcare, informal childcare </w:t>
                  </w:r>
                  <w:r w:rsidRPr="00AF1D23">
                    <w:t>×</w:t>
                  </w:r>
                </w:p>
              </w:tc>
              <w:tc>
                <w:tcPr>
                  <w:tcW w:w="832" w:type="pct"/>
                  <w:shd w:val="clear" w:color="auto" w:fill="auto"/>
                </w:tcPr>
                <w:p w:rsidR="00CF6B94" w:rsidRDefault="00CF6B94" w:rsidP="00CF6B94">
                  <w:pPr>
                    <w:pStyle w:val="TableBodyText"/>
                    <w:ind w:left="0"/>
                  </w:pPr>
                </w:p>
              </w:tc>
              <w:tc>
                <w:tcPr>
                  <w:tcW w:w="1014" w:type="pct"/>
                  <w:shd w:val="clear" w:color="auto" w:fill="auto"/>
                </w:tcPr>
                <w:p w:rsidR="00CF6B94" w:rsidRDefault="00CF6B94" w:rsidP="00CF6B94">
                  <w:pPr>
                    <w:pStyle w:val="TableBodyText"/>
                    <w:ind w:left="0" w:right="28"/>
                  </w:pPr>
                </w:p>
              </w:tc>
            </w:tr>
            <w:tr w:rsidR="00CF6B94" w:rsidTr="00CF6B94">
              <w:tc>
                <w:tcPr>
                  <w:tcW w:w="3154" w:type="pct"/>
                  <w:shd w:val="clear" w:color="auto" w:fill="auto"/>
                  <w:vAlign w:val="bottom"/>
                </w:tcPr>
                <w:p w:rsidR="00CF6B94" w:rsidRPr="00AF1D23" w:rsidRDefault="00CF6B94" w:rsidP="00CF6B94">
                  <w:pPr>
                    <w:pStyle w:val="TableBodyText"/>
                    <w:ind w:left="113"/>
                    <w:jc w:val="left"/>
                  </w:pPr>
                  <w:r>
                    <w:t>Youngest child aged 0–2</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left="0" w:right="28"/>
                  </w:pPr>
                  <w:r>
                    <w:t>Yes</w:t>
                  </w:r>
                </w:p>
              </w:tc>
            </w:tr>
            <w:tr w:rsidR="00CF6B94" w:rsidTr="00CF6B94">
              <w:tc>
                <w:tcPr>
                  <w:tcW w:w="3154" w:type="pct"/>
                  <w:shd w:val="clear" w:color="auto" w:fill="auto"/>
                  <w:vAlign w:val="bottom"/>
                </w:tcPr>
                <w:p w:rsidR="00CF6B94" w:rsidRPr="00AF1D23" w:rsidRDefault="00CF6B94" w:rsidP="00CF6B94">
                  <w:pPr>
                    <w:pStyle w:val="TableBodyText"/>
                    <w:ind w:left="113"/>
                    <w:jc w:val="left"/>
                  </w:pPr>
                  <w:r>
                    <w:t>Youngest child aged 3–4</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left="0" w:right="28"/>
                  </w:pPr>
                  <w:r>
                    <w:t>Yes</w:t>
                  </w:r>
                </w:p>
              </w:tc>
            </w:tr>
            <w:tr w:rsidR="00CF6B94" w:rsidTr="00CF6B94">
              <w:tc>
                <w:tcPr>
                  <w:tcW w:w="3154" w:type="pct"/>
                  <w:shd w:val="clear" w:color="auto" w:fill="auto"/>
                  <w:vAlign w:val="bottom"/>
                </w:tcPr>
                <w:p w:rsidR="00CF6B94" w:rsidRPr="00AF1D23" w:rsidRDefault="00CF6B94" w:rsidP="00CF6B94">
                  <w:pPr>
                    <w:pStyle w:val="TableBodyText"/>
                    <w:ind w:left="113"/>
                    <w:jc w:val="left"/>
                  </w:pPr>
                  <w:r>
                    <w:t>Youngest child aged 5–9</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left="0" w:right="28"/>
                  </w:pPr>
                  <w:r>
                    <w:t>Yes</w:t>
                  </w:r>
                </w:p>
              </w:tc>
            </w:tr>
            <w:tr w:rsidR="00CF6B94" w:rsidTr="00CF6B94">
              <w:tc>
                <w:tcPr>
                  <w:tcW w:w="3154" w:type="pct"/>
                  <w:shd w:val="clear" w:color="auto" w:fill="auto"/>
                  <w:vAlign w:val="bottom"/>
                </w:tcPr>
                <w:p w:rsidR="00CF6B94" w:rsidRPr="00AF1D23" w:rsidRDefault="00CF6B94" w:rsidP="00CF6B94">
                  <w:pPr>
                    <w:pStyle w:val="TableBodyText"/>
                    <w:ind w:left="113"/>
                    <w:jc w:val="left"/>
                  </w:pPr>
                  <w:r>
                    <w:t>Number of children</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left="0" w:right="28"/>
                  </w:pPr>
                  <w:r>
                    <w:t>Yes</w:t>
                  </w:r>
                </w:p>
              </w:tc>
            </w:tr>
            <w:tr w:rsidR="00CF6B94" w:rsidTr="00CF6B94">
              <w:tc>
                <w:tcPr>
                  <w:tcW w:w="3154" w:type="pct"/>
                  <w:shd w:val="clear" w:color="auto" w:fill="auto"/>
                  <w:vAlign w:val="bottom"/>
                </w:tcPr>
                <w:p w:rsidR="00CF6B94" w:rsidRPr="00AF1D23" w:rsidRDefault="00CF6B94" w:rsidP="00CF6B94">
                  <w:pPr>
                    <w:pStyle w:val="TableBodyText"/>
                    <w:ind w:left="113"/>
                    <w:jc w:val="left"/>
                  </w:pPr>
                  <w:r>
                    <w:t>Age of woman, squared</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left="0" w:right="28"/>
                  </w:pPr>
                  <w:r>
                    <w:t>Yes</w:t>
                  </w:r>
                </w:p>
              </w:tc>
            </w:tr>
            <w:tr w:rsidR="00CF6B94" w:rsidTr="00CF6B94">
              <w:tc>
                <w:tcPr>
                  <w:tcW w:w="3154" w:type="pct"/>
                  <w:shd w:val="clear" w:color="auto" w:fill="auto"/>
                  <w:vAlign w:val="bottom"/>
                </w:tcPr>
                <w:p w:rsidR="00CF6B94" w:rsidRPr="00AF1D23" w:rsidRDefault="00CF6B94" w:rsidP="00CF6B94">
                  <w:pPr>
                    <w:pStyle w:val="TableBodyText"/>
                    <w:ind w:left="113"/>
                    <w:jc w:val="left"/>
                  </w:pPr>
                  <w:r>
                    <w:t>Vocational education woman</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left="0" w:right="28"/>
                  </w:pPr>
                  <w:r>
                    <w:t>Yes</w:t>
                  </w:r>
                </w:p>
              </w:tc>
            </w:tr>
            <w:tr w:rsidR="00CF6B94" w:rsidTr="00CF6B94">
              <w:tc>
                <w:tcPr>
                  <w:tcW w:w="3154" w:type="pct"/>
                  <w:shd w:val="clear" w:color="auto" w:fill="auto"/>
                  <w:vAlign w:val="bottom"/>
                </w:tcPr>
                <w:p w:rsidR="00CF6B94" w:rsidRPr="00AF1D23" w:rsidRDefault="00CF6B94" w:rsidP="00CF6B94">
                  <w:pPr>
                    <w:pStyle w:val="TableBodyText"/>
                    <w:ind w:left="113"/>
                    <w:jc w:val="left"/>
                  </w:pPr>
                  <w:r>
                    <w:t>Diploma woman</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left="0" w:right="28"/>
                  </w:pPr>
                  <w:r>
                    <w:t>Yes</w:t>
                  </w:r>
                </w:p>
              </w:tc>
            </w:tr>
            <w:tr w:rsidR="00CF6B94" w:rsidTr="00CF6B94">
              <w:tc>
                <w:tcPr>
                  <w:tcW w:w="3154" w:type="pct"/>
                  <w:shd w:val="clear" w:color="auto" w:fill="auto"/>
                  <w:vAlign w:val="bottom"/>
                </w:tcPr>
                <w:p w:rsidR="00CF6B94" w:rsidRPr="00AF1D23" w:rsidRDefault="00CF6B94" w:rsidP="00CF6B94">
                  <w:pPr>
                    <w:pStyle w:val="TableBodyText"/>
                    <w:ind w:left="113"/>
                    <w:jc w:val="left"/>
                  </w:pPr>
                  <w:r>
                    <w:t>Degree woman</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left="0" w:right="28"/>
                  </w:pPr>
                  <w:r>
                    <w:t>Yes</w:t>
                  </w:r>
                </w:p>
              </w:tc>
            </w:tr>
            <w:tr w:rsidR="00CF6B94" w:rsidTr="00CF6B94">
              <w:tc>
                <w:tcPr>
                  <w:tcW w:w="3154" w:type="pct"/>
                  <w:shd w:val="clear" w:color="auto" w:fill="auto"/>
                  <w:vAlign w:val="bottom"/>
                </w:tcPr>
                <w:p w:rsidR="00CF6B94" w:rsidRPr="00AF1D23" w:rsidRDefault="00CF6B94" w:rsidP="00CF6B94">
                  <w:pPr>
                    <w:pStyle w:val="TableBodyText"/>
                    <w:ind w:left="113"/>
                    <w:jc w:val="left"/>
                  </w:pPr>
                  <w:r>
                    <w:t>Female</w:t>
                  </w:r>
                </w:p>
              </w:tc>
              <w:tc>
                <w:tcPr>
                  <w:tcW w:w="832" w:type="pct"/>
                  <w:shd w:val="clear" w:color="auto" w:fill="auto"/>
                </w:tcPr>
                <w:p w:rsidR="00CF6B94" w:rsidRDefault="00CF6B94" w:rsidP="00CF6B94">
                  <w:pPr>
                    <w:pStyle w:val="TableBodyText"/>
                    <w:ind w:left="0"/>
                  </w:pPr>
                  <w:r>
                    <w:t>No</w:t>
                  </w:r>
                </w:p>
              </w:tc>
              <w:tc>
                <w:tcPr>
                  <w:tcW w:w="1014" w:type="pct"/>
                  <w:shd w:val="clear" w:color="auto" w:fill="auto"/>
                </w:tcPr>
                <w:p w:rsidR="00CF6B94" w:rsidRDefault="00CF6B94" w:rsidP="00CF6B94">
                  <w:pPr>
                    <w:pStyle w:val="TableBodyText"/>
                    <w:ind w:left="0" w:right="28"/>
                  </w:pPr>
                  <w:r>
                    <w:t>Yes</w:t>
                  </w:r>
                </w:p>
              </w:tc>
            </w:tr>
            <w:tr w:rsidR="00CF6B94" w:rsidTr="00CF6B94">
              <w:tc>
                <w:tcPr>
                  <w:tcW w:w="3154" w:type="pct"/>
                  <w:shd w:val="clear" w:color="auto" w:fill="auto"/>
                  <w:vAlign w:val="bottom"/>
                </w:tcPr>
                <w:p w:rsidR="00CF6B94" w:rsidRPr="00AF1D23" w:rsidRDefault="00CF6B94" w:rsidP="00CF6B94">
                  <w:pPr>
                    <w:pStyle w:val="TableBodyText"/>
                    <w:jc w:val="left"/>
                  </w:pPr>
                  <w:r>
                    <w:t>Fixed cost of working</w:t>
                  </w:r>
                </w:p>
              </w:tc>
              <w:tc>
                <w:tcPr>
                  <w:tcW w:w="832" w:type="pct"/>
                  <w:shd w:val="clear" w:color="auto" w:fill="auto"/>
                </w:tcPr>
                <w:p w:rsidR="00CF6B94" w:rsidRDefault="00CF6B94" w:rsidP="00CF6B94">
                  <w:pPr>
                    <w:pStyle w:val="TableBodyText"/>
                    <w:ind w:left="0"/>
                  </w:pPr>
                  <w:r>
                    <w:t>Yes</w:t>
                  </w:r>
                </w:p>
              </w:tc>
              <w:tc>
                <w:tcPr>
                  <w:tcW w:w="1014" w:type="pct"/>
                  <w:shd w:val="clear" w:color="auto" w:fill="auto"/>
                </w:tcPr>
                <w:p w:rsidR="00CF6B94" w:rsidRDefault="00CF6B94" w:rsidP="00CF6B94">
                  <w:pPr>
                    <w:pStyle w:val="TableBodyText"/>
                    <w:ind w:left="0" w:right="28"/>
                  </w:pPr>
                  <w:r>
                    <w:t>Yes</w:t>
                  </w:r>
                </w:p>
              </w:tc>
            </w:tr>
            <w:tr w:rsidR="00CF6B94" w:rsidTr="00CF6B94">
              <w:tc>
                <w:tcPr>
                  <w:tcW w:w="3154" w:type="pct"/>
                  <w:shd w:val="clear" w:color="auto" w:fill="auto"/>
                  <w:vAlign w:val="bottom"/>
                </w:tcPr>
                <w:p w:rsidR="00CF6B94" w:rsidRDefault="00CF6B94" w:rsidP="00CF6B94">
                  <w:pPr>
                    <w:pStyle w:val="TableBodyText"/>
                    <w:ind w:left="113"/>
                    <w:jc w:val="left"/>
                  </w:pPr>
                  <w:r w:rsidRPr="00AF1D23">
                    <w:t>×</w:t>
                  </w:r>
                  <w:r>
                    <w:t xml:space="preserve"> female</w:t>
                  </w:r>
                </w:p>
              </w:tc>
              <w:tc>
                <w:tcPr>
                  <w:tcW w:w="832" w:type="pct"/>
                  <w:shd w:val="clear" w:color="auto" w:fill="auto"/>
                </w:tcPr>
                <w:p w:rsidR="00CF6B94" w:rsidRDefault="00CF6B94" w:rsidP="00CF6B94">
                  <w:pPr>
                    <w:pStyle w:val="TableBodyText"/>
                    <w:ind w:left="0"/>
                  </w:pPr>
                  <w:r>
                    <w:t>No</w:t>
                  </w:r>
                </w:p>
              </w:tc>
              <w:tc>
                <w:tcPr>
                  <w:tcW w:w="1014" w:type="pct"/>
                  <w:shd w:val="clear" w:color="auto" w:fill="auto"/>
                </w:tcPr>
                <w:p w:rsidR="00CF6B94" w:rsidRDefault="00CF6B94" w:rsidP="00CF6B94">
                  <w:pPr>
                    <w:pStyle w:val="TableBodyText"/>
                    <w:ind w:left="0" w:right="28"/>
                  </w:pPr>
                  <w:r>
                    <w:t>Yes</w:t>
                  </w:r>
                </w:p>
              </w:tc>
            </w:tr>
          </w:tbl>
          <w:p w:rsidR="00CF6B94" w:rsidRDefault="00CF6B94" w:rsidP="00CF6B94">
            <w:pPr>
              <w:pStyle w:val="Box"/>
            </w:pPr>
          </w:p>
        </w:tc>
      </w:tr>
      <w:tr w:rsidR="00CF6B94" w:rsidTr="00CF6B94">
        <w:trPr>
          <w:cantSplit/>
        </w:trPr>
        <w:tc>
          <w:tcPr>
            <w:tcW w:w="8791" w:type="dxa"/>
            <w:tcBorders>
              <w:top w:val="nil"/>
              <w:left w:val="nil"/>
              <w:bottom w:val="single" w:sz="6" w:space="0" w:color="78A22F" w:themeColor="accent1"/>
              <w:right w:val="nil"/>
            </w:tcBorders>
            <w:shd w:val="clear" w:color="auto" w:fill="auto"/>
          </w:tcPr>
          <w:p w:rsidR="00CF6B94" w:rsidRDefault="00CF6B94" w:rsidP="00CF6B94">
            <w:pPr>
              <w:pStyle w:val="Box"/>
              <w:spacing w:before="0" w:line="120" w:lineRule="exact"/>
            </w:pPr>
          </w:p>
        </w:tc>
      </w:tr>
      <w:tr w:rsidR="00CF6B94" w:rsidRPr="000863A5" w:rsidTr="00CF6B94">
        <w:tc>
          <w:tcPr>
            <w:tcW w:w="8791" w:type="dxa"/>
            <w:tcBorders>
              <w:top w:val="single" w:sz="6" w:space="0" w:color="78A22F" w:themeColor="accent1"/>
              <w:left w:val="nil"/>
              <w:bottom w:val="nil"/>
              <w:right w:val="nil"/>
            </w:tcBorders>
          </w:tcPr>
          <w:p w:rsidR="00CF6B94" w:rsidRPr="00626D32" w:rsidRDefault="00CF6B94" w:rsidP="00CF6B94">
            <w:pPr>
              <w:pStyle w:val="BoxSpaceBelow"/>
            </w:pPr>
          </w:p>
        </w:tc>
      </w:tr>
    </w:tbl>
    <w:p w:rsidR="00CF6B94" w:rsidRDefault="00CF6B94" w:rsidP="00CF6B94">
      <w:pPr>
        <w:pStyle w:val="BodyText"/>
      </w:pPr>
      <w:r>
        <w:t xml:space="preserve">A multinomial logit model is used because the dependent variable is a discrete choice outcome (1 of 48 possible discrete labour-childcare choice combinations), and the utility term is an unobserved variable. (See appendix B for a more detailed description of the choices available to households in the model.) </w:t>
      </w:r>
    </w:p>
    <w:p w:rsidR="00CF6B94" w:rsidRDefault="00CF6B94" w:rsidP="00CF6B94">
      <w:pPr>
        <w:pStyle w:val="Heading3"/>
      </w:pPr>
      <w:r>
        <w:t>Results from the estimation of the utility function</w:t>
      </w:r>
    </w:p>
    <w:p w:rsidR="00BD2E8E" w:rsidRDefault="00CF6B94" w:rsidP="00CF6B94">
      <w:pPr>
        <w:pStyle w:val="BodyText"/>
      </w:pPr>
      <w:r>
        <w:t xml:space="preserve">The estimated parameters for the utility function are presented in table C.4. </w:t>
      </w:r>
    </w:p>
    <w:p w:rsidR="00CF6B94" w:rsidRDefault="00BD2E8E" w:rsidP="00CF6B94">
      <w:pPr>
        <w:pStyle w:val="BodyText"/>
      </w:pPr>
      <w:r>
        <w:lastRenderedPageBreak/>
        <w:t xml:space="preserve">The estimated linear term for income is positive, and the squared term parameter estimate is negative (these coefficients are significant for females with partners), consistent with decreasing marginal utility. </w:t>
      </w:r>
    </w:p>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themeColor="accent1"/>
              <w:left w:val="nil"/>
              <w:bottom w:val="nil"/>
              <w:right w:val="nil"/>
            </w:tcBorders>
            <w:shd w:val="clear" w:color="auto" w:fill="auto"/>
          </w:tcPr>
          <w:p w:rsidR="00CF6B94" w:rsidRPr="00784A05" w:rsidRDefault="00CF6B94" w:rsidP="00CF6B94">
            <w:pPr>
              <w:pStyle w:val="TableTitle"/>
            </w:pPr>
            <w:r>
              <w:rPr>
                <w:b w:val="0"/>
              </w:rPr>
              <w:t>Table C.4</w:t>
            </w:r>
            <w:r>
              <w:tab/>
              <w:t>Utility function parameter estimates</w:t>
            </w:r>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684"/>
              <w:gridCol w:w="1390"/>
              <w:gridCol w:w="330"/>
              <w:gridCol w:w="1825"/>
              <w:gridCol w:w="258"/>
            </w:tblGrid>
            <w:tr w:rsidR="00CF6B94" w:rsidTr="00CF6B94">
              <w:tc>
                <w:tcPr>
                  <w:tcW w:w="2760" w:type="pct"/>
                  <w:tcBorders>
                    <w:top w:val="single" w:sz="6" w:space="0" w:color="BFBFBF" w:themeColor="background2"/>
                    <w:bottom w:val="single" w:sz="6" w:space="0" w:color="BFBFBF" w:themeColor="background2"/>
                  </w:tcBorders>
                  <w:shd w:val="clear" w:color="auto" w:fill="auto"/>
                  <w:tcMar>
                    <w:top w:w="28" w:type="dxa"/>
                  </w:tcMar>
                </w:tcPr>
                <w:p w:rsidR="00CF6B94" w:rsidRDefault="00CF6B94" w:rsidP="00CF6B94">
                  <w:pPr>
                    <w:pStyle w:val="TableColumnHeading"/>
                    <w:jc w:val="left"/>
                  </w:pPr>
                  <w:r>
                    <w:t>Variable</w:t>
                  </w:r>
                </w:p>
              </w:tc>
              <w:tc>
                <w:tcPr>
                  <w:tcW w:w="1013" w:type="pct"/>
                  <w:gridSpan w:val="2"/>
                  <w:tcBorders>
                    <w:top w:val="single" w:sz="6" w:space="0" w:color="BFBFBF" w:themeColor="background2"/>
                    <w:bottom w:val="single" w:sz="6" w:space="0" w:color="BFBFBF" w:themeColor="background2"/>
                  </w:tcBorders>
                  <w:shd w:val="clear" w:color="auto" w:fill="auto"/>
                  <w:tcMar>
                    <w:top w:w="28" w:type="dxa"/>
                  </w:tcMar>
                </w:tcPr>
                <w:p w:rsidR="00CF6B94" w:rsidRDefault="00CF6B94" w:rsidP="00CF6B94">
                  <w:pPr>
                    <w:pStyle w:val="TableColumnHeading"/>
                  </w:pPr>
                  <w:r>
                    <w:t>Couples</w:t>
                  </w:r>
                </w:p>
              </w:tc>
              <w:tc>
                <w:tcPr>
                  <w:tcW w:w="1227" w:type="pct"/>
                  <w:gridSpan w:val="2"/>
                  <w:tcBorders>
                    <w:top w:val="single" w:sz="6" w:space="0" w:color="BFBFBF" w:themeColor="background2"/>
                    <w:bottom w:val="single" w:sz="6" w:space="0" w:color="BFBFBF" w:themeColor="background2"/>
                  </w:tcBorders>
                  <w:shd w:val="clear" w:color="auto" w:fill="auto"/>
                </w:tcPr>
                <w:p w:rsidR="00CF6B94" w:rsidRDefault="00CF6B94" w:rsidP="00CF6B94">
                  <w:pPr>
                    <w:pStyle w:val="TableColumnHeading"/>
                    <w:ind w:right="28"/>
                  </w:pPr>
                  <w:r>
                    <w:t>Single parents</w:t>
                  </w:r>
                </w:p>
              </w:tc>
            </w:tr>
            <w:tr w:rsidR="00CF6B94" w:rsidTr="00CF6B94">
              <w:tc>
                <w:tcPr>
                  <w:tcW w:w="2760" w:type="pct"/>
                  <w:tcBorders>
                    <w:top w:val="single" w:sz="6" w:space="0" w:color="BFBFBF" w:themeColor="background2"/>
                  </w:tcBorders>
                  <w:vAlign w:val="bottom"/>
                </w:tcPr>
                <w:p w:rsidR="00CF6B94" w:rsidRPr="00AF1D23" w:rsidRDefault="00CF6B94" w:rsidP="00CF6B94">
                  <w:pPr>
                    <w:pStyle w:val="TableBodyText"/>
                    <w:jc w:val="left"/>
                  </w:pPr>
                  <w:r w:rsidRPr="00AF1D23">
                    <w:t>Income squared × 100 000</w:t>
                  </w:r>
                </w:p>
              </w:tc>
              <w:tc>
                <w:tcPr>
                  <w:tcW w:w="819" w:type="pct"/>
                  <w:tcBorders>
                    <w:top w:val="single" w:sz="6" w:space="0" w:color="BFBFBF" w:themeColor="background2"/>
                  </w:tcBorders>
                </w:tcPr>
                <w:p w:rsidR="00CF6B94" w:rsidRDefault="00CF6B94" w:rsidP="00CF6B94">
                  <w:pPr>
                    <w:pStyle w:val="TableUnitsRow"/>
                    <w:ind w:right="0"/>
                  </w:pPr>
                  <w:r>
                    <w:t>-0.05</w:t>
                  </w:r>
                </w:p>
              </w:tc>
              <w:tc>
                <w:tcPr>
                  <w:tcW w:w="194" w:type="pct"/>
                  <w:tcBorders>
                    <w:top w:val="single" w:sz="6" w:space="0" w:color="BFBFBF" w:themeColor="background2"/>
                  </w:tcBorders>
                </w:tcPr>
                <w:p w:rsidR="00CF6B94" w:rsidRDefault="00CF6B94" w:rsidP="00CF6B94">
                  <w:pPr>
                    <w:pStyle w:val="TableUnitsRow"/>
                    <w:ind w:left="0"/>
                    <w:jc w:val="left"/>
                  </w:pPr>
                  <w:r>
                    <w:t>***</w:t>
                  </w:r>
                </w:p>
              </w:tc>
              <w:tc>
                <w:tcPr>
                  <w:tcW w:w="1075" w:type="pct"/>
                  <w:tcBorders>
                    <w:top w:val="single" w:sz="6" w:space="0" w:color="BFBFBF" w:themeColor="background2"/>
                  </w:tcBorders>
                </w:tcPr>
                <w:p w:rsidR="00CF6B94" w:rsidRDefault="00CF6B94" w:rsidP="00CF6B94">
                  <w:pPr>
                    <w:pStyle w:val="TableUnitsRow"/>
                    <w:ind w:right="0"/>
                  </w:pPr>
                  <w:r>
                    <w:t>-0.02</w:t>
                  </w:r>
                </w:p>
              </w:tc>
              <w:tc>
                <w:tcPr>
                  <w:tcW w:w="151" w:type="pct"/>
                  <w:tcBorders>
                    <w:top w:val="single" w:sz="6" w:space="0" w:color="BFBFBF" w:themeColor="background2"/>
                  </w:tcBorders>
                </w:tcPr>
                <w:p w:rsidR="00CF6B94" w:rsidRDefault="00CF6B94" w:rsidP="00CF6B94">
                  <w:pPr>
                    <w:pStyle w:val="TableUnitsRow"/>
                    <w:ind w:left="0" w:right="28"/>
                    <w:jc w:val="left"/>
                  </w:pPr>
                </w:p>
              </w:tc>
            </w:tr>
            <w:tr w:rsidR="00CF6B94" w:rsidTr="00CF6B94">
              <w:tc>
                <w:tcPr>
                  <w:tcW w:w="2760" w:type="pct"/>
                  <w:vAlign w:val="bottom"/>
                </w:tcPr>
                <w:p w:rsidR="00CF6B94" w:rsidRPr="00AF1D23" w:rsidRDefault="00CF6B94" w:rsidP="00CF6B94">
                  <w:pPr>
                    <w:pStyle w:val="TableBodyText"/>
                    <w:jc w:val="left"/>
                  </w:pPr>
                  <w:r w:rsidRPr="00AF1D23">
                    <w:t>Labour supply squared × 100</w:t>
                  </w:r>
                </w:p>
              </w:tc>
              <w:tc>
                <w:tcPr>
                  <w:tcW w:w="819" w:type="pct"/>
                </w:tcPr>
                <w:p w:rsidR="00CF6B94" w:rsidRDefault="00CF6B94" w:rsidP="00CF6B94">
                  <w:pPr>
                    <w:pStyle w:val="TableBodyText"/>
                    <w:ind w:right="0"/>
                  </w:pPr>
                  <w:r>
                    <w:t>-0.24</w:t>
                  </w:r>
                </w:p>
              </w:tc>
              <w:tc>
                <w:tcPr>
                  <w:tcW w:w="194" w:type="pct"/>
                </w:tcPr>
                <w:p w:rsidR="00CF6B94" w:rsidRDefault="00CF6B94" w:rsidP="00CF6B94">
                  <w:pPr>
                    <w:pStyle w:val="TableBodyText"/>
                    <w:ind w:left="0"/>
                    <w:jc w:val="left"/>
                  </w:pPr>
                  <w:r>
                    <w:t>***</w:t>
                  </w:r>
                </w:p>
              </w:tc>
              <w:tc>
                <w:tcPr>
                  <w:tcW w:w="1075" w:type="pct"/>
                </w:tcPr>
                <w:p w:rsidR="00CF6B94" w:rsidRDefault="00CF6B94" w:rsidP="00CF6B94">
                  <w:pPr>
                    <w:pStyle w:val="TableBodyText"/>
                    <w:ind w:right="0"/>
                  </w:pPr>
                  <w:r>
                    <w:t>-0.24</w:t>
                  </w:r>
                </w:p>
              </w:tc>
              <w:tc>
                <w:tcPr>
                  <w:tcW w:w="151" w:type="pct"/>
                </w:tcPr>
                <w:p w:rsidR="00CF6B94" w:rsidRDefault="00CF6B94" w:rsidP="00CF6B94">
                  <w:pPr>
                    <w:pStyle w:val="TableBodyText"/>
                    <w:ind w:left="0" w:right="28"/>
                    <w:jc w:val="left"/>
                  </w:pPr>
                  <w:r>
                    <w:t>**</w:t>
                  </w:r>
                </w:p>
              </w:tc>
            </w:tr>
            <w:tr w:rsidR="00CF6B94" w:rsidTr="00CF6B94">
              <w:tc>
                <w:tcPr>
                  <w:tcW w:w="2760" w:type="pct"/>
                  <w:shd w:val="clear" w:color="auto" w:fill="auto"/>
                  <w:vAlign w:val="bottom"/>
                </w:tcPr>
                <w:p w:rsidR="00CF6B94" w:rsidRPr="00AF1D23" w:rsidRDefault="00CF6B94" w:rsidP="00CF6B94">
                  <w:pPr>
                    <w:pStyle w:val="TableBodyText"/>
                    <w:jc w:val="left"/>
                  </w:pPr>
                  <w:r>
                    <w:t>Maternal</w:t>
                  </w:r>
                  <w:r w:rsidRPr="00AF1D23">
                    <w:t xml:space="preserve"> childcare squared × 100</w:t>
                  </w:r>
                </w:p>
              </w:tc>
              <w:tc>
                <w:tcPr>
                  <w:tcW w:w="819" w:type="pct"/>
                  <w:shd w:val="clear" w:color="auto" w:fill="auto"/>
                </w:tcPr>
                <w:p w:rsidR="00CF6B94" w:rsidRDefault="00CF6B94" w:rsidP="00CF6B94">
                  <w:pPr>
                    <w:pStyle w:val="TableBodyText"/>
                    <w:ind w:right="0"/>
                  </w:pPr>
                  <w:r>
                    <w:t>0.03</w:t>
                  </w:r>
                </w:p>
              </w:tc>
              <w:tc>
                <w:tcPr>
                  <w:tcW w:w="194" w:type="pct"/>
                  <w:shd w:val="clear" w:color="auto" w:fill="auto"/>
                </w:tcPr>
                <w:p w:rsidR="00CF6B94" w:rsidRDefault="00CF6B94" w:rsidP="00CF6B94">
                  <w:pPr>
                    <w:pStyle w:val="TableBodyText"/>
                    <w:ind w:left="0"/>
                    <w:jc w:val="left"/>
                  </w:pPr>
                </w:p>
              </w:tc>
              <w:tc>
                <w:tcPr>
                  <w:tcW w:w="1075" w:type="pct"/>
                  <w:shd w:val="clear" w:color="auto" w:fill="auto"/>
                </w:tcPr>
                <w:p w:rsidR="00CF6B94" w:rsidRDefault="00CF6B94" w:rsidP="00CF6B94">
                  <w:pPr>
                    <w:pStyle w:val="TableBodyText"/>
                    <w:ind w:right="0"/>
                  </w:pPr>
                  <w:r>
                    <w:t>-0.06</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jc w:val="left"/>
                  </w:pPr>
                  <w:r>
                    <w:t xml:space="preserve">Informal childcare squared </w:t>
                  </w:r>
                  <w:r w:rsidRPr="00AF1D23">
                    <w:t>×</w:t>
                  </w:r>
                  <w:r>
                    <w:t xml:space="preserve"> 100</w:t>
                  </w:r>
                </w:p>
              </w:tc>
              <w:tc>
                <w:tcPr>
                  <w:tcW w:w="819" w:type="pct"/>
                  <w:shd w:val="clear" w:color="auto" w:fill="auto"/>
                </w:tcPr>
                <w:p w:rsidR="00CF6B94" w:rsidRDefault="00CF6B94" w:rsidP="00CF6B94">
                  <w:pPr>
                    <w:pStyle w:val="TableBodyText"/>
                    <w:ind w:right="0"/>
                  </w:pPr>
                  <w:r>
                    <w:t>0.17</w:t>
                  </w:r>
                </w:p>
              </w:tc>
              <w:tc>
                <w:tcPr>
                  <w:tcW w:w="194" w:type="pct"/>
                  <w:shd w:val="clear" w:color="auto" w:fill="auto"/>
                </w:tcPr>
                <w:p w:rsidR="00CF6B94" w:rsidRDefault="00CF6B94" w:rsidP="00CF6B94">
                  <w:pPr>
                    <w:pStyle w:val="TableBodyText"/>
                    <w:ind w:left="0"/>
                    <w:jc w:val="left"/>
                  </w:pPr>
                  <w:r>
                    <w:t>***</w:t>
                  </w:r>
                </w:p>
              </w:tc>
              <w:tc>
                <w:tcPr>
                  <w:tcW w:w="1075" w:type="pct"/>
                  <w:shd w:val="clear" w:color="auto" w:fill="auto"/>
                </w:tcPr>
                <w:p w:rsidR="00CF6B94" w:rsidRDefault="00CF6B94" w:rsidP="00CF6B94">
                  <w:pPr>
                    <w:pStyle w:val="TableBodyText"/>
                    <w:ind w:right="0"/>
                  </w:pPr>
                  <w:r>
                    <w:t>0.09</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jc w:val="left"/>
                  </w:pPr>
                  <w:r>
                    <w:t xml:space="preserve">Income </w:t>
                  </w:r>
                  <w:r w:rsidRPr="00AF1D23">
                    <w:t>×</w:t>
                  </w:r>
                  <w:r>
                    <w:t xml:space="preserve"> Hours worked by husband 10 000</w:t>
                  </w:r>
                </w:p>
              </w:tc>
              <w:tc>
                <w:tcPr>
                  <w:tcW w:w="819" w:type="pct"/>
                  <w:shd w:val="clear" w:color="auto" w:fill="auto"/>
                </w:tcPr>
                <w:p w:rsidR="00CF6B94" w:rsidRDefault="00CF6B94" w:rsidP="00CF6B94">
                  <w:pPr>
                    <w:pStyle w:val="TableBodyText"/>
                    <w:ind w:right="0"/>
                  </w:pPr>
                  <w:r>
                    <w:t>0.08</w:t>
                  </w:r>
                </w:p>
              </w:tc>
              <w:tc>
                <w:tcPr>
                  <w:tcW w:w="194" w:type="pct"/>
                  <w:shd w:val="clear" w:color="auto" w:fill="auto"/>
                </w:tcPr>
                <w:p w:rsidR="00CF6B94" w:rsidRDefault="00CF6B94" w:rsidP="00CF6B94">
                  <w:pPr>
                    <w:pStyle w:val="TableBodyText"/>
                    <w:ind w:left="0"/>
                    <w:jc w:val="left"/>
                  </w:pPr>
                </w:p>
              </w:tc>
              <w:tc>
                <w:tcPr>
                  <w:tcW w:w="1075" w:type="pct"/>
                  <w:shd w:val="clear" w:color="auto" w:fill="auto"/>
                </w:tcPr>
                <w:p w:rsidR="00CF6B94" w:rsidRDefault="00CF6B94" w:rsidP="00CF6B94">
                  <w:pPr>
                    <w:pStyle w:val="TableBodyText"/>
                    <w:ind w:right="0"/>
                  </w:pPr>
                  <w:proofErr w:type="spellStart"/>
                  <w:r>
                    <w:t>na</w:t>
                  </w:r>
                  <w:proofErr w:type="spellEnd"/>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jc w:val="left"/>
                  </w:pPr>
                  <w:r>
                    <w:t xml:space="preserve">Labour supply </w:t>
                  </w:r>
                  <w:r w:rsidRPr="00AF1D23">
                    <w:t>×</w:t>
                  </w:r>
                  <w:r>
                    <w:t xml:space="preserve"> Income  </w:t>
                  </w:r>
                  <w:r w:rsidRPr="00AF1D23">
                    <w:t>×</w:t>
                  </w:r>
                  <w:r>
                    <w:t xml:space="preserve"> 100 000</w:t>
                  </w:r>
                </w:p>
              </w:tc>
              <w:tc>
                <w:tcPr>
                  <w:tcW w:w="819" w:type="pct"/>
                  <w:shd w:val="clear" w:color="auto" w:fill="auto"/>
                </w:tcPr>
                <w:p w:rsidR="00CF6B94" w:rsidRDefault="00CF6B94" w:rsidP="00CF6B94">
                  <w:pPr>
                    <w:pStyle w:val="TableBodyText"/>
                    <w:ind w:right="0"/>
                  </w:pPr>
                  <w:r>
                    <w:t>0.03</w:t>
                  </w:r>
                </w:p>
              </w:tc>
              <w:tc>
                <w:tcPr>
                  <w:tcW w:w="194" w:type="pct"/>
                  <w:shd w:val="clear" w:color="auto" w:fill="auto"/>
                </w:tcPr>
                <w:p w:rsidR="00CF6B94" w:rsidRDefault="00CF6B94" w:rsidP="00CF6B94">
                  <w:pPr>
                    <w:pStyle w:val="TableBodyText"/>
                    <w:ind w:left="0"/>
                    <w:jc w:val="left"/>
                  </w:pPr>
                </w:p>
              </w:tc>
              <w:tc>
                <w:tcPr>
                  <w:tcW w:w="1075" w:type="pct"/>
                  <w:shd w:val="clear" w:color="auto" w:fill="auto"/>
                </w:tcPr>
                <w:p w:rsidR="00CF6B94" w:rsidRDefault="00CF6B94" w:rsidP="00CF6B94">
                  <w:pPr>
                    <w:pStyle w:val="TableBodyText"/>
                    <w:ind w:right="0"/>
                  </w:pPr>
                  <w:r>
                    <w:t>-6.20</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jc w:val="left"/>
                  </w:pPr>
                  <w:r>
                    <w:t xml:space="preserve">Labour supply </w:t>
                  </w:r>
                  <w:r w:rsidRPr="00AF1D23">
                    <w:t>×</w:t>
                  </w:r>
                  <w:r>
                    <w:t xml:space="preserve"> Hours worked by husband </w:t>
                  </w:r>
                  <w:r w:rsidRPr="00AF1D23">
                    <w:t>×</w:t>
                  </w:r>
                  <w:r>
                    <w:t xml:space="preserve"> 100</w:t>
                  </w:r>
                </w:p>
              </w:tc>
              <w:tc>
                <w:tcPr>
                  <w:tcW w:w="819" w:type="pct"/>
                  <w:shd w:val="clear" w:color="auto" w:fill="auto"/>
                </w:tcPr>
                <w:p w:rsidR="00CF6B94" w:rsidRDefault="00CF6B94" w:rsidP="00CF6B94">
                  <w:pPr>
                    <w:pStyle w:val="TableBodyText"/>
                    <w:ind w:right="0"/>
                  </w:pPr>
                  <w:r>
                    <w:t>0.03</w:t>
                  </w:r>
                </w:p>
              </w:tc>
              <w:tc>
                <w:tcPr>
                  <w:tcW w:w="194" w:type="pct"/>
                  <w:shd w:val="clear" w:color="auto" w:fill="auto"/>
                </w:tcPr>
                <w:p w:rsidR="00CF6B94" w:rsidRDefault="00CF6B94" w:rsidP="00CF6B94">
                  <w:pPr>
                    <w:pStyle w:val="TableBodyText"/>
                    <w:ind w:left="0"/>
                    <w:jc w:val="left"/>
                  </w:pPr>
                </w:p>
              </w:tc>
              <w:tc>
                <w:tcPr>
                  <w:tcW w:w="1075" w:type="pct"/>
                  <w:shd w:val="clear" w:color="auto" w:fill="auto"/>
                </w:tcPr>
                <w:p w:rsidR="00CF6B94" w:rsidRDefault="00CF6B94" w:rsidP="00CF6B94">
                  <w:pPr>
                    <w:pStyle w:val="TableBodyText"/>
                    <w:ind w:right="0"/>
                  </w:pPr>
                  <w:proofErr w:type="spellStart"/>
                  <w:r>
                    <w:t>na</w:t>
                  </w:r>
                  <w:proofErr w:type="spellEnd"/>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jc w:val="left"/>
                  </w:pPr>
                  <w:r>
                    <w:t xml:space="preserve">Maternal childcare </w:t>
                  </w:r>
                  <w:r w:rsidRPr="00AF1D23">
                    <w:t>×</w:t>
                  </w:r>
                  <w:r>
                    <w:t xml:space="preserve"> Hours worked by husband </w:t>
                  </w:r>
                  <w:r w:rsidRPr="00AF1D23">
                    <w:t>×</w:t>
                  </w:r>
                  <w:r>
                    <w:t xml:space="preserve"> 100</w:t>
                  </w:r>
                </w:p>
              </w:tc>
              <w:tc>
                <w:tcPr>
                  <w:tcW w:w="819" w:type="pct"/>
                  <w:shd w:val="clear" w:color="auto" w:fill="auto"/>
                </w:tcPr>
                <w:p w:rsidR="00CF6B94" w:rsidRDefault="00CF6B94" w:rsidP="00CF6B94">
                  <w:pPr>
                    <w:pStyle w:val="TableBodyText"/>
                    <w:ind w:right="0"/>
                  </w:pPr>
                  <w:r>
                    <w:t>0.04</w:t>
                  </w:r>
                </w:p>
              </w:tc>
              <w:tc>
                <w:tcPr>
                  <w:tcW w:w="194" w:type="pct"/>
                  <w:shd w:val="clear" w:color="auto" w:fill="auto"/>
                </w:tcPr>
                <w:p w:rsidR="00CF6B94" w:rsidRDefault="00CF6B94" w:rsidP="00CF6B94">
                  <w:pPr>
                    <w:pStyle w:val="TableBodyText"/>
                    <w:ind w:left="0"/>
                    <w:jc w:val="left"/>
                  </w:pPr>
                </w:p>
              </w:tc>
              <w:tc>
                <w:tcPr>
                  <w:tcW w:w="1075" w:type="pct"/>
                  <w:shd w:val="clear" w:color="auto" w:fill="auto"/>
                </w:tcPr>
                <w:p w:rsidR="00CF6B94" w:rsidRDefault="00CF6B94" w:rsidP="00CF6B94">
                  <w:pPr>
                    <w:pStyle w:val="TableBodyText"/>
                    <w:ind w:right="0"/>
                  </w:pPr>
                  <w:proofErr w:type="spellStart"/>
                  <w:r>
                    <w:t>na</w:t>
                  </w:r>
                  <w:proofErr w:type="spellEnd"/>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jc w:val="left"/>
                  </w:pPr>
                  <w:r>
                    <w:t xml:space="preserve">Labour supply </w:t>
                  </w:r>
                  <w:r w:rsidRPr="00AF1D23">
                    <w:t>×</w:t>
                  </w:r>
                  <w:r>
                    <w:t xml:space="preserve"> maternal childcare </w:t>
                  </w:r>
                  <w:r w:rsidRPr="00AF1D23">
                    <w:t>×</w:t>
                  </w:r>
                  <w:r>
                    <w:t xml:space="preserve"> 100</w:t>
                  </w:r>
                </w:p>
              </w:tc>
              <w:tc>
                <w:tcPr>
                  <w:tcW w:w="819" w:type="pct"/>
                  <w:shd w:val="clear" w:color="auto" w:fill="auto"/>
                </w:tcPr>
                <w:p w:rsidR="00CF6B94" w:rsidRDefault="00CF6B94" w:rsidP="00CF6B94">
                  <w:pPr>
                    <w:pStyle w:val="TableBodyText"/>
                    <w:ind w:right="0"/>
                  </w:pPr>
                  <w:r>
                    <w:t>-0.26</w:t>
                  </w:r>
                </w:p>
              </w:tc>
              <w:tc>
                <w:tcPr>
                  <w:tcW w:w="194" w:type="pct"/>
                  <w:shd w:val="clear" w:color="auto" w:fill="auto"/>
                </w:tcPr>
                <w:p w:rsidR="00CF6B94" w:rsidRDefault="00CF6B94" w:rsidP="00CF6B94">
                  <w:pPr>
                    <w:pStyle w:val="TableBodyText"/>
                    <w:ind w:left="0"/>
                    <w:jc w:val="left"/>
                  </w:pPr>
                  <w:r>
                    <w:t>***</w:t>
                  </w:r>
                </w:p>
              </w:tc>
              <w:tc>
                <w:tcPr>
                  <w:tcW w:w="1075" w:type="pct"/>
                  <w:shd w:val="clear" w:color="auto" w:fill="auto"/>
                </w:tcPr>
                <w:p w:rsidR="00CF6B94" w:rsidRDefault="00CF6B94" w:rsidP="00CF6B94">
                  <w:pPr>
                    <w:pStyle w:val="TableBodyText"/>
                    <w:ind w:right="0"/>
                  </w:pPr>
                  <w:r>
                    <w:t>-0.59</w:t>
                  </w:r>
                </w:p>
              </w:tc>
              <w:tc>
                <w:tcPr>
                  <w:tcW w:w="151" w:type="pct"/>
                  <w:shd w:val="clear" w:color="auto" w:fill="auto"/>
                </w:tcPr>
                <w:p w:rsidR="00CF6B94" w:rsidRDefault="00CF6B94" w:rsidP="00CF6B94">
                  <w:pPr>
                    <w:pStyle w:val="TableBodyText"/>
                    <w:ind w:left="0" w:right="28"/>
                    <w:jc w:val="left"/>
                  </w:pPr>
                  <w:r>
                    <w:t>***</w:t>
                  </w:r>
                </w:p>
              </w:tc>
            </w:tr>
            <w:tr w:rsidR="00CF6B94" w:rsidTr="00CF6B94">
              <w:tc>
                <w:tcPr>
                  <w:tcW w:w="2760" w:type="pct"/>
                  <w:shd w:val="clear" w:color="auto" w:fill="auto"/>
                  <w:vAlign w:val="bottom"/>
                </w:tcPr>
                <w:p w:rsidR="00CF6B94" w:rsidRPr="00AF1D23" w:rsidRDefault="00CF6B94" w:rsidP="00CF6B94">
                  <w:pPr>
                    <w:pStyle w:val="TableBodyText"/>
                    <w:jc w:val="left"/>
                  </w:pPr>
                  <w:r>
                    <w:t xml:space="preserve">Income </w:t>
                  </w:r>
                  <w:r w:rsidRPr="00AF1D23">
                    <w:t>×</w:t>
                  </w:r>
                  <w:r>
                    <w:t xml:space="preserve"> maternal childcare </w:t>
                  </w:r>
                  <w:r w:rsidRPr="00AF1D23">
                    <w:t>×</w:t>
                  </w:r>
                  <w:r>
                    <w:t xml:space="preserve"> 10 000</w:t>
                  </w:r>
                </w:p>
              </w:tc>
              <w:tc>
                <w:tcPr>
                  <w:tcW w:w="819" w:type="pct"/>
                  <w:shd w:val="clear" w:color="auto" w:fill="auto"/>
                </w:tcPr>
                <w:p w:rsidR="00CF6B94" w:rsidRDefault="00CF6B94" w:rsidP="00CF6B94">
                  <w:pPr>
                    <w:pStyle w:val="TableBodyText"/>
                    <w:ind w:right="0"/>
                  </w:pPr>
                  <w:r>
                    <w:t>0.07</w:t>
                  </w:r>
                </w:p>
              </w:tc>
              <w:tc>
                <w:tcPr>
                  <w:tcW w:w="194" w:type="pct"/>
                  <w:shd w:val="clear" w:color="auto" w:fill="auto"/>
                </w:tcPr>
                <w:p w:rsidR="00CF6B94" w:rsidRDefault="00CF6B94" w:rsidP="00CF6B94">
                  <w:pPr>
                    <w:pStyle w:val="TableBodyText"/>
                    <w:ind w:left="0"/>
                    <w:jc w:val="left"/>
                  </w:pPr>
                </w:p>
              </w:tc>
              <w:tc>
                <w:tcPr>
                  <w:tcW w:w="1075" w:type="pct"/>
                  <w:shd w:val="clear" w:color="auto" w:fill="auto"/>
                </w:tcPr>
                <w:p w:rsidR="00CF6B94" w:rsidRDefault="00CF6B94" w:rsidP="00CF6B94">
                  <w:pPr>
                    <w:pStyle w:val="TableBodyText"/>
                    <w:ind w:right="0"/>
                  </w:pPr>
                  <w:r>
                    <w:t>2.26</w:t>
                  </w:r>
                </w:p>
              </w:tc>
              <w:tc>
                <w:tcPr>
                  <w:tcW w:w="151" w:type="pct"/>
                  <w:shd w:val="clear" w:color="auto" w:fill="auto"/>
                </w:tcPr>
                <w:p w:rsidR="00CF6B94" w:rsidRDefault="00CF6B94" w:rsidP="00CF6B94">
                  <w:pPr>
                    <w:pStyle w:val="TableBodyText"/>
                    <w:ind w:left="0" w:right="28"/>
                    <w:jc w:val="left"/>
                  </w:pPr>
                  <w:r>
                    <w:t>***</w:t>
                  </w:r>
                </w:p>
              </w:tc>
            </w:tr>
            <w:tr w:rsidR="00CF6B94" w:rsidTr="00CF6B94">
              <w:tc>
                <w:tcPr>
                  <w:tcW w:w="2760" w:type="pct"/>
                  <w:shd w:val="clear" w:color="auto" w:fill="auto"/>
                  <w:vAlign w:val="bottom"/>
                </w:tcPr>
                <w:p w:rsidR="00CF6B94" w:rsidRPr="00AF1D23" w:rsidRDefault="00CF6B94" w:rsidP="00CF6B94">
                  <w:pPr>
                    <w:pStyle w:val="TableBodyText"/>
                    <w:jc w:val="left"/>
                  </w:pPr>
                  <w:r>
                    <w:t xml:space="preserve">Informal childcare </w:t>
                  </w:r>
                  <w:r w:rsidRPr="00AF1D23">
                    <w:t>×</w:t>
                  </w:r>
                  <w:r>
                    <w:t xml:space="preserve"> hours worked by husband </w:t>
                  </w:r>
                  <w:r w:rsidRPr="00AF1D23">
                    <w:t>×</w:t>
                  </w:r>
                  <w:r>
                    <w:t xml:space="preserve"> 100</w:t>
                  </w:r>
                </w:p>
              </w:tc>
              <w:tc>
                <w:tcPr>
                  <w:tcW w:w="819" w:type="pct"/>
                  <w:shd w:val="clear" w:color="auto" w:fill="auto"/>
                </w:tcPr>
                <w:p w:rsidR="00CF6B94" w:rsidRDefault="00CF6B94" w:rsidP="00CF6B94">
                  <w:pPr>
                    <w:pStyle w:val="TableBodyText"/>
                    <w:ind w:right="0"/>
                  </w:pPr>
                  <w:r>
                    <w:t>0.01</w:t>
                  </w:r>
                </w:p>
              </w:tc>
              <w:tc>
                <w:tcPr>
                  <w:tcW w:w="194" w:type="pct"/>
                  <w:shd w:val="clear" w:color="auto" w:fill="auto"/>
                </w:tcPr>
                <w:p w:rsidR="00CF6B94" w:rsidRDefault="00CF6B94" w:rsidP="00CF6B94">
                  <w:pPr>
                    <w:pStyle w:val="TableBodyText"/>
                    <w:ind w:left="0"/>
                    <w:jc w:val="left"/>
                  </w:pPr>
                </w:p>
              </w:tc>
              <w:tc>
                <w:tcPr>
                  <w:tcW w:w="1075" w:type="pct"/>
                  <w:shd w:val="clear" w:color="auto" w:fill="auto"/>
                </w:tcPr>
                <w:p w:rsidR="00CF6B94" w:rsidRDefault="00CF6B94" w:rsidP="00CF6B94">
                  <w:pPr>
                    <w:pStyle w:val="TableBodyText"/>
                    <w:ind w:right="0"/>
                  </w:pPr>
                  <w:proofErr w:type="spellStart"/>
                  <w:r>
                    <w:t>na</w:t>
                  </w:r>
                  <w:proofErr w:type="spellEnd"/>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jc w:val="left"/>
                  </w:pPr>
                  <w:r>
                    <w:t xml:space="preserve">Labour supply </w:t>
                  </w:r>
                  <w:r w:rsidRPr="00AF1D23">
                    <w:t>×</w:t>
                  </w:r>
                  <w:r>
                    <w:t xml:space="preserve"> Informal childcare </w:t>
                  </w:r>
                  <w:r w:rsidRPr="00AF1D23">
                    <w:t>×</w:t>
                  </w:r>
                  <w:r>
                    <w:t xml:space="preserve"> 100</w:t>
                  </w:r>
                </w:p>
              </w:tc>
              <w:tc>
                <w:tcPr>
                  <w:tcW w:w="819" w:type="pct"/>
                  <w:shd w:val="clear" w:color="auto" w:fill="auto"/>
                </w:tcPr>
                <w:p w:rsidR="00CF6B94" w:rsidRDefault="00CF6B94" w:rsidP="00CF6B94">
                  <w:pPr>
                    <w:pStyle w:val="TableBodyText"/>
                    <w:ind w:right="0"/>
                  </w:pPr>
                  <w:r>
                    <w:t>0.58</w:t>
                  </w:r>
                </w:p>
              </w:tc>
              <w:tc>
                <w:tcPr>
                  <w:tcW w:w="194" w:type="pct"/>
                  <w:shd w:val="clear" w:color="auto" w:fill="auto"/>
                </w:tcPr>
                <w:p w:rsidR="00CF6B94" w:rsidRDefault="00CF6B94" w:rsidP="00CF6B94">
                  <w:pPr>
                    <w:pStyle w:val="TableBodyText"/>
                    <w:ind w:left="0"/>
                    <w:jc w:val="left"/>
                  </w:pPr>
                  <w:r>
                    <w:t>***</w:t>
                  </w:r>
                </w:p>
              </w:tc>
              <w:tc>
                <w:tcPr>
                  <w:tcW w:w="1075" w:type="pct"/>
                  <w:shd w:val="clear" w:color="auto" w:fill="auto"/>
                </w:tcPr>
                <w:p w:rsidR="00CF6B94" w:rsidRDefault="00CF6B94" w:rsidP="00CF6B94">
                  <w:pPr>
                    <w:pStyle w:val="TableBodyText"/>
                    <w:ind w:right="0"/>
                  </w:pPr>
                  <w:r>
                    <w:t>1.29</w:t>
                  </w:r>
                </w:p>
              </w:tc>
              <w:tc>
                <w:tcPr>
                  <w:tcW w:w="151" w:type="pct"/>
                  <w:shd w:val="clear" w:color="auto" w:fill="auto"/>
                </w:tcPr>
                <w:p w:rsidR="00CF6B94" w:rsidRDefault="00CF6B94" w:rsidP="00CF6B94">
                  <w:pPr>
                    <w:pStyle w:val="TableBodyText"/>
                    <w:ind w:left="0" w:right="28"/>
                    <w:jc w:val="left"/>
                  </w:pPr>
                  <w:r>
                    <w:t>***</w:t>
                  </w:r>
                </w:p>
              </w:tc>
            </w:tr>
            <w:tr w:rsidR="00CF6B94" w:rsidTr="00CF6B94">
              <w:tc>
                <w:tcPr>
                  <w:tcW w:w="2760" w:type="pct"/>
                  <w:shd w:val="clear" w:color="auto" w:fill="auto"/>
                  <w:vAlign w:val="bottom"/>
                </w:tcPr>
                <w:p w:rsidR="00CF6B94" w:rsidRPr="00AF1D23" w:rsidRDefault="00CF6B94" w:rsidP="00CF6B94">
                  <w:pPr>
                    <w:pStyle w:val="TableBodyText"/>
                    <w:jc w:val="left"/>
                  </w:pPr>
                  <w:r>
                    <w:t xml:space="preserve">Income </w:t>
                  </w:r>
                  <w:r w:rsidRPr="00AF1D23">
                    <w:t>×</w:t>
                  </w:r>
                  <w:r>
                    <w:t xml:space="preserve"> informal childcare </w:t>
                  </w:r>
                  <w:r w:rsidRPr="00AF1D23">
                    <w:t>×</w:t>
                  </w:r>
                  <w:r>
                    <w:t xml:space="preserve"> 10 000</w:t>
                  </w:r>
                </w:p>
              </w:tc>
              <w:tc>
                <w:tcPr>
                  <w:tcW w:w="819" w:type="pct"/>
                  <w:shd w:val="clear" w:color="auto" w:fill="auto"/>
                </w:tcPr>
                <w:p w:rsidR="00CF6B94" w:rsidRDefault="00CF6B94" w:rsidP="00CF6B94">
                  <w:pPr>
                    <w:pStyle w:val="TableBodyText"/>
                    <w:ind w:right="0"/>
                  </w:pPr>
                  <w:r>
                    <w:t>-0.14</w:t>
                  </w:r>
                </w:p>
              </w:tc>
              <w:tc>
                <w:tcPr>
                  <w:tcW w:w="194" w:type="pct"/>
                  <w:shd w:val="clear" w:color="auto" w:fill="auto"/>
                </w:tcPr>
                <w:p w:rsidR="00CF6B94" w:rsidRDefault="00CF6B94" w:rsidP="00CF6B94">
                  <w:pPr>
                    <w:pStyle w:val="TableBodyText"/>
                    <w:ind w:left="0"/>
                    <w:jc w:val="left"/>
                  </w:pPr>
                  <w:r>
                    <w:t>***</w:t>
                  </w:r>
                </w:p>
              </w:tc>
              <w:tc>
                <w:tcPr>
                  <w:tcW w:w="1075" w:type="pct"/>
                  <w:shd w:val="clear" w:color="auto" w:fill="auto"/>
                </w:tcPr>
                <w:p w:rsidR="00CF6B94" w:rsidRDefault="00CF6B94" w:rsidP="00CF6B94">
                  <w:pPr>
                    <w:pStyle w:val="TableBodyText"/>
                    <w:ind w:right="0"/>
                  </w:pPr>
                  <w:r>
                    <w:t>-0.14</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jc w:val="left"/>
                  </w:pPr>
                  <w:r>
                    <w:t xml:space="preserve">Maternal childcare </w:t>
                  </w:r>
                  <w:r w:rsidRPr="00AF1D23">
                    <w:t>×</w:t>
                  </w:r>
                  <w:r>
                    <w:t xml:space="preserve"> informal childcare </w:t>
                  </w:r>
                  <w:r w:rsidRPr="00AF1D23">
                    <w:t>×</w:t>
                  </w:r>
                  <w:r>
                    <w:t xml:space="preserve"> 100</w:t>
                  </w:r>
                </w:p>
              </w:tc>
              <w:tc>
                <w:tcPr>
                  <w:tcW w:w="819" w:type="pct"/>
                  <w:shd w:val="clear" w:color="auto" w:fill="auto"/>
                </w:tcPr>
                <w:p w:rsidR="00CF6B94" w:rsidRDefault="00CF6B94" w:rsidP="00CF6B94">
                  <w:pPr>
                    <w:pStyle w:val="TableBodyText"/>
                    <w:ind w:right="0"/>
                  </w:pPr>
                  <w:r>
                    <w:t>0.83</w:t>
                  </w:r>
                </w:p>
              </w:tc>
              <w:tc>
                <w:tcPr>
                  <w:tcW w:w="194" w:type="pct"/>
                  <w:shd w:val="clear" w:color="auto" w:fill="auto"/>
                </w:tcPr>
                <w:p w:rsidR="00CF6B94" w:rsidRDefault="00CF6B94" w:rsidP="00CF6B94">
                  <w:pPr>
                    <w:pStyle w:val="TableBodyText"/>
                    <w:ind w:left="0"/>
                    <w:jc w:val="left"/>
                  </w:pPr>
                  <w:r>
                    <w:t>***</w:t>
                  </w:r>
                </w:p>
              </w:tc>
              <w:tc>
                <w:tcPr>
                  <w:tcW w:w="1075" w:type="pct"/>
                  <w:shd w:val="clear" w:color="auto" w:fill="auto"/>
                </w:tcPr>
                <w:p w:rsidR="00CF6B94" w:rsidRDefault="00CF6B94" w:rsidP="00CF6B94">
                  <w:pPr>
                    <w:pStyle w:val="TableBodyText"/>
                    <w:ind w:right="0"/>
                  </w:pPr>
                  <w:r>
                    <w:t>1.29</w:t>
                  </w:r>
                </w:p>
              </w:tc>
              <w:tc>
                <w:tcPr>
                  <w:tcW w:w="151" w:type="pct"/>
                  <w:shd w:val="clear" w:color="auto" w:fill="auto"/>
                </w:tcPr>
                <w:p w:rsidR="00CF6B94" w:rsidRDefault="00CF6B94" w:rsidP="00CF6B94">
                  <w:pPr>
                    <w:pStyle w:val="TableBodyText"/>
                    <w:ind w:left="0" w:right="28"/>
                    <w:jc w:val="left"/>
                  </w:pPr>
                  <w:r>
                    <w:t>***</w:t>
                  </w:r>
                </w:p>
              </w:tc>
            </w:tr>
            <w:tr w:rsidR="00CF6B94" w:rsidTr="00CF6B94">
              <w:tc>
                <w:tcPr>
                  <w:tcW w:w="2760" w:type="pct"/>
                  <w:shd w:val="clear" w:color="auto" w:fill="auto"/>
                  <w:vAlign w:val="bottom"/>
                </w:tcPr>
                <w:p w:rsidR="00CF6B94" w:rsidRPr="00AF1D23" w:rsidRDefault="00CF6B94" w:rsidP="00CF6B94">
                  <w:pPr>
                    <w:pStyle w:val="TableBodyText"/>
                    <w:jc w:val="left"/>
                  </w:pPr>
                  <w:r>
                    <w:t>Income</w:t>
                  </w:r>
                </w:p>
              </w:tc>
              <w:tc>
                <w:tcPr>
                  <w:tcW w:w="819" w:type="pct"/>
                  <w:shd w:val="clear" w:color="auto" w:fill="auto"/>
                </w:tcPr>
                <w:p w:rsidR="00CF6B94" w:rsidRDefault="00CF6B94" w:rsidP="00CF6B94">
                  <w:pPr>
                    <w:pStyle w:val="TableBodyText"/>
                    <w:ind w:right="0"/>
                  </w:pPr>
                  <w:r>
                    <w:t>0.02</w:t>
                  </w:r>
                </w:p>
              </w:tc>
              <w:tc>
                <w:tcPr>
                  <w:tcW w:w="194" w:type="pct"/>
                  <w:shd w:val="clear" w:color="auto" w:fill="auto"/>
                </w:tcPr>
                <w:p w:rsidR="00CF6B94" w:rsidRDefault="00CF6B94" w:rsidP="00CF6B94">
                  <w:pPr>
                    <w:pStyle w:val="TableBodyText"/>
                    <w:ind w:left="0"/>
                    <w:jc w:val="left"/>
                  </w:pPr>
                  <w:r>
                    <w:t>***</w:t>
                  </w:r>
                </w:p>
              </w:tc>
              <w:tc>
                <w:tcPr>
                  <w:tcW w:w="1075" w:type="pct"/>
                  <w:shd w:val="clear" w:color="auto" w:fill="auto"/>
                </w:tcPr>
                <w:p w:rsidR="00CF6B94" w:rsidRDefault="00CF6B94" w:rsidP="00CF6B94">
                  <w:pPr>
                    <w:pStyle w:val="TableBodyText"/>
                    <w:ind w:right="0"/>
                  </w:pPr>
                  <w:r>
                    <w:t>0.005</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Youngest child aged 0–2 </w:t>
                  </w:r>
                  <w:r w:rsidRPr="00AF1D23">
                    <w:t>×</w:t>
                  </w:r>
                  <w:r>
                    <w:t xml:space="preserve"> 100</w:t>
                  </w:r>
                </w:p>
              </w:tc>
              <w:tc>
                <w:tcPr>
                  <w:tcW w:w="819" w:type="pct"/>
                  <w:shd w:val="clear" w:color="auto" w:fill="auto"/>
                </w:tcPr>
                <w:p w:rsidR="00CF6B94" w:rsidRDefault="00CF6B94" w:rsidP="00CF6B94">
                  <w:pPr>
                    <w:pStyle w:val="TableBodyText"/>
                    <w:ind w:right="0"/>
                  </w:pPr>
                  <w:r>
                    <w:t>0.10</w:t>
                  </w:r>
                </w:p>
              </w:tc>
              <w:tc>
                <w:tcPr>
                  <w:tcW w:w="194" w:type="pct"/>
                  <w:shd w:val="clear" w:color="auto" w:fill="auto"/>
                </w:tcPr>
                <w:p w:rsidR="00CF6B94" w:rsidRDefault="00CF6B94" w:rsidP="00CF6B94">
                  <w:pPr>
                    <w:pStyle w:val="TableBodyText"/>
                    <w:ind w:left="0"/>
                    <w:jc w:val="left"/>
                  </w:pPr>
                  <w:r>
                    <w:t>*</w:t>
                  </w:r>
                </w:p>
              </w:tc>
              <w:tc>
                <w:tcPr>
                  <w:tcW w:w="1075" w:type="pct"/>
                  <w:shd w:val="clear" w:color="auto" w:fill="auto"/>
                </w:tcPr>
                <w:p w:rsidR="00CF6B94" w:rsidRDefault="00CF6B94" w:rsidP="00CF6B94">
                  <w:pPr>
                    <w:pStyle w:val="TableBodyText"/>
                    <w:ind w:right="0"/>
                  </w:pPr>
                  <w:r>
                    <w:t>0.40</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Youngest child aged 3–4 </w:t>
                  </w:r>
                  <w:r w:rsidRPr="00AF1D23">
                    <w:t>×</w:t>
                  </w:r>
                  <w:r>
                    <w:t xml:space="preserve"> 100</w:t>
                  </w:r>
                </w:p>
              </w:tc>
              <w:tc>
                <w:tcPr>
                  <w:tcW w:w="819" w:type="pct"/>
                  <w:shd w:val="clear" w:color="auto" w:fill="auto"/>
                </w:tcPr>
                <w:p w:rsidR="00CF6B94" w:rsidRDefault="00CF6B94" w:rsidP="00CF6B94">
                  <w:pPr>
                    <w:pStyle w:val="TableBodyText"/>
                    <w:ind w:right="0"/>
                  </w:pPr>
                  <w:r>
                    <w:t>0.09</w:t>
                  </w:r>
                </w:p>
              </w:tc>
              <w:tc>
                <w:tcPr>
                  <w:tcW w:w="194" w:type="pct"/>
                  <w:shd w:val="clear" w:color="auto" w:fill="auto"/>
                </w:tcPr>
                <w:p w:rsidR="00CF6B94" w:rsidRDefault="00CF6B94" w:rsidP="00CF6B94">
                  <w:pPr>
                    <w:pStyle w:val="TableBodyText"/>
                    <w:ind w:left="0"/>
                    <w:jc w:val="left"/>
                  </w:pPr>
                </w:p>
              </w:tc>
              <w:tc>
                <w:tcPr>
                  <w:tcW w:w="1075" w:type="pct"/>
                  <w:shd w:val="clear" w:color="auto" w:fill="auto"/>
                </w:tcPr>
                <w:p w:rsidR="00CF6B94" w:rsidRDefault="00CF6B94" w:rsidP="00CF6B94">
                  <w:pPr>
                    <w:pStyle w:val="TableBodyText"/>
                    <w:ind w:right="0"/>
                  </w:pPr>
                  <w:r>
                    <w:t>0.15</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Youngest child aged 5–9 </w:t>
                  </w:r>
                  <w:r w:rsidRPr="00AF1D23">
                    <w:t>×</w:t>
                  </w:r>
                  <w:r>
                    <w:t xml:space="preserve"> 100</w:t>
                  </w:r>
                </w:p>
              </w:tc>
              <w:tc>
                <w:tcPr>
                  <w:tcW w:w="819" w:type="pct"/>
                  <w:shd w:val="clear" w:color="auto" w:fill="auto"/>
                </w:tcPr>
                <w:p w:rsidR="00CF6B94" w:rsidRDefault="00CF6B94" w:rsidP="00CF6B94">
                  <w:pPr>
                    <w:pStyle w:val="TableBodyText"/>
                    <w:ind w:right="0"/>
                  </w:pPr>
                  <w:r>
                    <w:t>-0.02</w:t>
                  </w:r>
                </w:p>
              </w:tc>
              <w:tc>
                <w:tcPr>
                  <w:tcW w:w="194" w:type="pct"/>
                  <w:shd w:val="clear" w:color="auto" w:fill="auto"/>
                </w:tcPr>
                <w:p w:rsidR="00CF6B94" w:rsidRDefault="00CF6B94" w:rsidP="00CF6B94">
                  <w:pPr>
                    <w:pStyle w:val="TableBodyText"/>
                    <w:ind w:left="0"/>
                    <w:jc w:val="left"/>
                  </w:pPr>
                </w:p>
              </w:tc>
              <w:tc>
                <w:tcPr>
                  <w:tcW w:w="1075" w:type="pct"/>
                  <w:shd w:val="clear" w:color="auto" w:fill="auto"/>
                </w:tcPr>
                <w:p w:rsidR="00CF6B94" w:rsidRDefault="00CF6B94" w:rsidP="00CF6B94">
                  <w:pPr>
                    <w:pStyle w:val="TableBodyText"/>
                    <w:ind w:right="0"/>
                  </w:pPr>
                  <w:r>
                    <w:t>0.13</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Number of children </w:t>
                  </w:r>
                  <w:r w:rsidRPr="00AF1D23">
                    <w:t>×</w:t>
                  </w:r>
                  <w:r>
                    <w:t xml:space="preserve"> 100</w:t>
                  </w:r>
                </w:p>
              </w:tc>
              <w:tc>
                <w:tcPr>
                  <w:tcW w:w="819" w:type="pct"/>
                  <w:shd w:val="clear" w:color="auto" w:fill="auto"/>
                </w:tcPr>
                <w:p w:rsidR="00CF6B94" w:rsidRDefault="00CF6B94" w:rsidP="00CF6B94">
                  <w:pPr>
                    <w:pStyle w:val="TableBodyText"/>
                    <w:ind w:right="0"/>
                  </w:pPr>
                  <w:r>
                    <w:t>-0.02</w:t>
                  </w:r>
                </w:p>
              </w:tc>
              <w:tc>
                <w:tcPr>
                  <w:tcW w:w="194" w:type="pct"/>
                  <w:shd w:val="clear" w:color="auto" w:fill="auto"/>
                </w:tcPr>
                <w:p w:rsidR="00CF6B94" w:rsidRDefault="00CF6B94" w:rsidP="00CF6B94">
                  <w:pPr>
                    <w:pStyle w:val="TableBodyText"/>
                    <w:ind w:left="0"/>
                    <w:jc w:val="left"/>
                  </w:pPr>
                </w:p>
              </w:tc>
              <w:tc>
                <w:tcPr>
                  <w:tcW w:w="1075" w:type="pct"/>
                  <w:shd w:val="clear" w:color="auto" w:fill="auto"/>
                </w:tcPr>
                <w:p w:rsidR="00CF6B94" w:rsidRDefault="00CF6B94" w:rsidP="00CF6B94">
                  <w:pPr>
                    <w:pStyle w:val="TableBodyText"/>
                    <w:ind w:right="0"/>
                  </w:pPr>
                  <w:r>
                    <w:t>-0.03</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Age of woman </w:t>
                  </w:r>
                  <w:r w:rsidRPr="00AF1D23">
                    <w:t>×</w:t>
                  </w:r>
                  <w:r>
                    <w:t xml:space="preserve"> 100</w:t>
                  </w:r>
                </w:p>
              </w:tc>
              <w:tc>
                <w:tcPr>
                  <w:tcW w:w="819" w:type="pct"/>
                  <w:shd w:val="clear" w:color="auto" w:fill="auto"/>
                </w:tcPr>
                <w:p w:rsidR="00CF6B94" w:rsidRDefault="00CF6B94" w:rsidP="00CF6B94">
                  <w:pPr>
                    <w:pStyle w:val="TableBodyText"/>
                    <w:ind w:right="0"/>
                  </w:pPr>
                  <w:r>
                    <w:t>-0.07</w:t>
                  </w:r>
                </w:p>
              </w:tc>
              <w:tc>
                <w:tcPr>
                  <w:tcW w:w="194" w:type="pct"/>
                  <w:shd w:val="clear" w:color="auto" w:fill="auto"/>
                </w:tcPr>
                <w:p w:rsidR="00CF6B94" w:rsidRDefault="00CF6B94" w:rsidP="00CF6B94">
                  <w:pPr>
                    <w:pStyle w:val="TableBodyText"/>
                    <w:ind w:left="0"/>
                    <w:jc w:val="left"/>
                  </w:pPr>
                  <w:r>
                    <w:t>***</w:t>
                  </w:r>
                </w:p>
              </w:tc>
              <w:tc>
                <w:tcPr>
                  <w:tcW w:w="1075" w:type="pct"/>
                  <w:shd w:val="clear" w:color="auto" w:fill="auto"/>
                </w:tcPr>
                <w:p w:rsidR="00CF6B94" w:rsidRDefault="00CF6B94" w:rsidP="00CF6B94">
                  <w:pPr>
                    <w:pStyle w:val="TableBodyText"/>
                    <w:ind w:right="0"/>
                  </w:pPr>
                  <w:r>
                    <w:t>0.03</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Age of woman squared </w:t>
                  </w:r>
                  <w:r w:rsidRPr="00AF1D23">
                    <w:t>×</w:t>
                  </w:r>
                  <w:r>
                    <w:t xml:space="preserve"> 10 000</w:t>
                  </w:r>
                </w:p>
              </w:tc>
              <w:tc>
                <w:tcPr>
                  <w:tcW w:w="819" w:type="pct"/>
                  <w:shd w:val="clear" w:color="auto" w:fill="auto"/>
                </w:tcPr>
                <w:p w:rsidR="00CF6B94" w:rsidRDefault="00CF6B94" w:rsidP="00CF6B94">
                  <w:pPr>
                    <w:pStyle w:val="TableBodyText"/>
                    <w:ind w:right="0"/>
                  </w:pPr>
                  <w:r>
                    <w:t>0.10</w:t>
                  </w:r>
                </w:p>
              </w:tc>
              <w:tc>
                <w:tcPr>
                  <w:tcW w:w="194" w:type="pct"/>
                  <w:shd w:val="clear" w:color="auto" w:fill="auto"/>
                </w:tcPr>
                <w:p w:rsidR="00CF6B94" w:rsidRDefault="00CF6B94" w:rsidP="00CF6B94">
                  <w:pPr>
                    <w:pStyle w:val="TableBodyText"/>
                    <w:ind w:left="0"/>
                    <w:jc w:val="left"/>
                  </w:pPr>
                  <w:r>
                    <w:t>***</w:t>
                  </w:r>
                </w:p>
              </w:tc>
              <w:tc>
                <w:tcPr>
                  <w:tcW w:w="1075" w:type="pct"/>
                  <w:shd w:val="clear" w:color="auto" w:fill="auto"/>
                </w:tcPr>
                <w:p w:rsidR="00CF6B94" w:rsidRDefault="00CF6B94" w:rsidP="00CF6B94">
                  <w:pPr>
                    <w:pStyle w:val="TableBodyText"/>
                    <w:ind w:right="0"/>
                  </w:pPr>
                  <w:r>
                    <w:t>-0.03</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Vocational education woman </w:t>
                  </w:r>
                  <w:r w:rsidRPr="00AF1D23">
                    <w:t>×</w:t>
                  </w:r>
                  <w:r>
                    <w:t xml:space="preserve"> 100</w:t>
                  </w:r>
                </w:p>
              </w:tc>
              <w:tc>
                <w:tcPr>
                  <w:tcW w:w="819" w:type="pct"/>
                  <w:shd w:val="clear" w:color="auto" w:fill="auto"/>
                </w:tcPr>
                <w:p w:rsidR="00CF6B94" w:rsidRDefault="00CF6B94" w:rsidP="00CF6B94">
                  <w:pPr>
                    <w:pStyle w:val="TableBodyText"/>
                    <w:ind w:right="0"/>
                  </w:pPr>
                  <w:r>
                    <w:t>-0.24</w:t>
                  </w:r>
                </w:p>
              </w:tc>
              <w:tc>
                <w:tcPr>
                  <w:tcW w:w="194" w:type="pct"/>
                  <w:shd w:val="clear" w:color="auto" w:fill="auto"/>
                </w:tcPr>
                <w:p w:rsidR="00CF6B94" w:rsidRDefault="00CF6B94" w:rsidP="00CF6B94">
                  <w:pPr>
                    <w:pStyle w:val="TableBodyText"/>
                    <w:ind w:left="0"/>
                    <w:jc w:val="left"/>
                  </w:pPr>
                  <w:r>
                    <w:t>***</w:t>
                  </w:r>
                </w:p>
              </w:tc>
              <w:tc>
                <w:tcPr>
                  <w:tcW w:w="1075" w:type="pct"/>
                  <w:shd w:val="clear" w:color="auto" w:fill="auto"/>
                </w:tcPr>
                <w:p w:rsidR="00CF6B94" w:rsidRDefault="00CF6B94" w:rsidP="00CF6B94">
                  <w:pPr>
                    <w:pStyle w:val="TableBodyText"/>
                    <w:ind w:right="0"/>
                  </w:pPr>
                  <w:r>
                    <w:t>0.08</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Diploma woman </w:t>
                  </w:r>
                  <w:r w:rsidRPr="00AF1D23">
                    <w:t>×</w:t>
                  </w:r>
                  <w:r>
                    <w:t xml:space="preserve"> 100</w:t>
                  </w:r>
                </w:p>
              </w:tc>
              <w:tc>
                <w:tcPr>
                  <w:tcW w:w="819" w:type="pct"/>
                  <w:shd w:val="clear" w:color="auto" w:fill="auto"/>
                </w:tcPr>
                <w:p w:rsidR="00CF6B94" w:rsidRDefault="00CF6B94" w:rsidP="00CF6B94">
                  <w:pPr>
                    <w:pStyle w:val="TableBodyText"/>
                    <w:ind w:right="0"/>
                  </w:pPr>
                  <w:r>
                    <w:t>-0.22</w:t>
                  </w:r>
                </w:p>
              </w:tc>
              <w:tc>
                <w:tcPr>
                  <w:tcW w:w="194" w:type="pct"/>
                  <w:shd w:val="clear" w:color="auto" w:fill="auto"/>
                </w:tcPr>
                <w:p w:rsidR="00CF6B94" w:rsidRDefault="00CF6B94" w:rsidP="00CF6B94">
                  <w:pPr>
                    <w:pStyle w:val="TableBodyText"/>
                    <w:ind w:left="0"/>
                    <w:jc w:val="left"/>
                  </w:pPr>
                  <w:r>
                    <w:t>***</w:t>
                  </w:r>
                </w:p>
              </w:tc>
              <w:tc>
                <w:tcPr>
                  <w:tcW w:w="1075" w:type="pct"/>
                  <w:shd w:val="clear" w:color="auto" w:fill="auto"/>
                </w:tcPr>
                <w:p w:rsidR="00CF6B94" w:rsidRDefault="00CF6B94" w:rsidP="00CF6B94">
                  <w:pPr>
                    <w:pStyle w:val="TableBodyText"/>
                    <w:ind w:right="0"/>
                  </w:pPr>
                  <w:r>
                    <w:t>-0.31</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Degree woman </w:t>
                  </w:r>
                  <w:r w:rsidRPr="00AF1D23">
                    <w:t>×</w:t>
                  </w:r>
                  <w:r>
                    <w:t xml:space="preserve"> 100</w:t>
                  </w:r>
                </w:p>
              </w:tc>
              <w:tc>
                <w:tcPr>
                  <w:tcW w:w="819" w:type="pct"/>
                  <w:shd w:val="clear" w:color="auto" w:fill="auto"/>
                </w:tcPr>
                <w:p w:rsidR="00CF6B94" w:rsidRDefault="00CF6B94" w:rsidP="00CF6B94">
                  <w:pPr>
                    <w:pStyle w:val="TableBodyText"/>
                    <w:ind w:right="0"/>
                  </w:pPr>
                  <w:r>
                    <w:t>-0.19</w:t>
                  </w:r>
                </w:p>
              </w:tc>
              <w:tc>
                <w:tcPr>
                  <w:tcW w:w="194" w:type="pct"/>
                  <w:shd w:val="clear" w:color="auto" w:fill="auto"/>
                </w:tcPr>
                <w:p w:rsidR="00CF6B94" w:rsidRDefault="00CF6B94" w:rsidP="00CF6B94">
                  <w:pPr>
                    <w:pStyle w:val="TableBodyText"/>
                    <w:ind w:left="0"/>
                    <w:jc w:val="left"/>
                  </w:pPr>
                  <w:r>
                    <w:t>***</w:t>
                  </w:r>
                </w:p>
              </w:tc>
              <w:tc>
                <w:tcPr>
                  <w:tcW w:w="1075" w:type="pct"/>
                  <w:shd w:val="clear" w:color="auto" w:fill="auto"/>
                </w:tcPr>
                <w:p w:rsidR="00CF6B94" w:rsidRDefault="00CF6B94" w:rsidP="00CF6B94">
                  <w:pPr>
                    <w:pStyle w:val="TableBodyText"/>
                    <w:ind w:right="0"/>
                  </w:pPr>
                  <w:r>
                    <w:t>-0.54</w:t>
                  </w:r>
                </w:p>
              </w:tc>
              <w:tc>
                <w:tcPr>
                  <w:tcW w:w="151" w:type="pct"/>
                  <w:shd w:val="clear" w:color="auto" w:fill="auto"/>
                </w:tcPr>
                <w:p w:rsidR="00CF6B94" w:rsidRDefault="00CF6B94" w:rsidP="00CF6B94">
                  <w:pPr>
                    <w:pStyle w:val="TableBodyText"/>
                    <w:ind w:left="0" w:right="28"/>
                    <w:jc w:val="left"/>
                  </w:pPr>
                  <w:r>
                    <w:t>***</w:t>
                  </w: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Female </w:t>
                  </w:r>
                  <w:r w:rsidRPr="00AF1D23">
                    <w:t>×</w:t>
                  </w:r>
                  <w:r>
                    <w:t xml:space="preserve"> 100</w:t>
                  </w:r>
                </w:p>
              </w:tc>
              <w:tc>
                <w:tcPr>
                  <w:tcW w:w="819" w:type="pct"/>
                  <w:shd w:val="clear" w:color="auto" w:fill="auto"/>
                </w:tcPr>
                <w:p w:rsidR="00CF6B94" w:rsidRDefault="00CF6B94" w:rsidP="00CF6B94">
                  <w:pPr>
                    <w:pStyle w:val="TableBodyText"/>
                    <w:ind w:right="0"/>
                  </w:pPr>
                  <w:proofErr w:type="spellStart"/>
                  <w:r>
                    <w:t>na</w:t>
                  </w:r>
                  <w:proofErr w:type="spellEnd"/>
                </w:p>
              </w:tc>
              <w:tc>
                <w:tcPr>
                  <w:tcW w:w="194" w:type="pct"/>
                  <w:shd w:val="clear" w:color="auto" w:fill="auto"/>
                </w:tcPr>
                <w:p w:rsidR="00CF6B94" w:rsidRDefault="00CF6B94" w:rsidP="00CF6B94">
                  <w:pPr>
                    <w:pStyle w:val="TableBodyText"/>
                    <w:ind w:left="0"/>
                    <w:jc w:val="left"/>
                  </w:pPr>
                </w:p>
              </w:tc>
              <w:tc>
                <w:tcPr>
                  <w:tcW w:w="1075" w:type="pct"/>
                  <w:shd w:val="clear" w:color="auto" w:fill="auto"/>
                </w:tcPr>
                <w:p w:rsidR="00CF6B94" w:rsidRDefault="00CF6B94" w:rsidP="00CF6B94">
                  <w:pPr>
                    <w:pStyle w:val="TableBodyText"/>
                    <w:ind w:right="0"/>
                  </w:pPr>
                  <w:r>
                    <w:t>-0.58</w:t>
                  </w:r>
                </w:p>
              </w:tc>
              <w:tc>
                <w:tcPr>
                  <w:tcW w:w="151" w:type="pct"/>
                  <w:shd w:val="clear" w:color="auto" w:fill="auto"/>
                </w:tcPr>
                <w:p w:rsidR="00CF6B94" w:rsidRDefault="00CF6B94" w:rsidP="00CF6B94">
                  <w:pPr>
                    <w:pStyle w:val="TableBodyText"/>
                    <w:ind w:left="0" w:right="28"/>
                    <w:jc w:val="left"/>
                  </w:pPr>
                  <w:r>
                    <w:t>**</w:t>
                  </w:r>
                </w:p>
              </w:tc>
            </w:tr>
            <w:tr w:rsidR="00CF6B94" w:rsidTr="00CF6B94">
              <w:tc>
                <w:tcPr>
                  <w:tcW w:w="2760" w:type="pct"/>
                  <w:shd w:val="clear" w:color="auto" w:fill="auto"/>
                  <w:vAlign w:val="bottom"/>
                </w:tcPr>
                <w:p w:rsidR="00CF6B94" w:rsidRPr="00AF1D23" w:rsidRDefault="00CF6B94" w:rsidP="00CF6B94">
                  <w:pPr>
                    <w:pStyle w:val="TableBodyText"/>
                    <w:jc w:val="left"/>
                  </w:pPr>
                  <w:r>
                    <w:t>Labour supply</w:t>
                  </w:r>
                </w:p>
              </w:tc>
              <w:tc>
                <w:tcPr>
                  <w:tcW w:w="819" w:type="pct"/>
                  <w:shd w:val="clear" w:color="auto" w:fill="auto"/>
                </w:tcPr>
                <w:p w:rsidR="00CF6B94" w:rsidRDefault="00CF6B94" w:rsidP="00CF6B94">
                  <w:pPr>
                    <w:pStyle w:val="TableBodyText"/>
                    <w:ind w:right="0"/>
                  </w:pPr>
                  <w:r>
                    <w:t>-0.12</w:t>
                  </w:r>
                </w:p>
              </w:tc>
              <w:tc>
                <w:tcPr>
                  <w:tcW w:w="194" w:type="pct"/>
                  <w:shd w:val="clear" w:color="auto" w:fill="auto"/>
                </w:tcPr>
                <w:p w:rsidR="00CF6B94" w:rsidRDefault="00CF6B94" w:rsidP="00CF6B94">
                  <w:pPr>
                    <w:pStyle w:val="TableBodyText"/>
                    <w:ind w:left="0"/>
                    <w:jc w:val="left"/>
                  </w:pPr>
                </w:p>
              </w:tc>
              <w:tc>
                <w:tcPr>
                  <w:tcW w:w="1075" w:type="pct"/>
                  <w:shd w:val="clear" w:color="auto" w:fill="auto"/>
                </w:tcPr>
                <w:p w:rsidR="00CF6B94" w:rsidRDefault="00CF6B94" w:rsidP="00CF6B94">
                  <w:pPr>
                    <w:pStyle w:val="TableBodyText"/>
                    <w:ind w:right="0"/>
                  </w:pPr>
                  <w:r>
                    <w:t>0.38</w:t>
                  </w:r>
                </w:p>
              </w:tc>
              <w:tc>
                <w:tcPr>
                  <w:tcW w:w="151" w:type="pct"/>
                  <w:shd w:val="clear" w:color="auto" w:fill="auto"/>
                </w:tcPr>
                <w:p w:rsidR="00CF6B94" w:rsidRDefault="00CF6B94" w:rsidP="00CF6B94">
                  <w:pPr>
                    <w:pStyle w:val="TableBodyText"/>
                    <w:ind w:left="0" w:right="28"/>
                    <w:jc w:val="left"/>
                  </w:pPr>
                  <w:r>
                    <w:t>**</w:t>
                  </w: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Youngest child aged 0–2 </w:t>
                  </w:r>
                  <w:r w:rsidRPr="00AF1D23">
                    <w:t>×</w:t>
                  </w:r>
                  <w:r>
                    <w:t xml:space="preserve"> 100</w:t>
                  </w:r>
                </w:p>
              </w:tc>
              <w:tc>
                <w:tcPr>
                  <w:tcW w:w="819" w:type="pct"/>
                  <w:shd w:val="clear" w:color="auto" w:fill="auto"/>
                </w:tcPr>
                <w:p w:rsidR="00CF6B94" w:rsidRDefault="00CF6B94" w:rsidP="00CF6B94">
                  <w:pPr>
                    <w:pStyle w:val="TableBodyText"/>
                    <w:ind w:right="0"/>
                  </w:pPr>
                  <w:r>
                    <w:t>-0.60</w:t>
                  </w:r>
                </w:p>
              </w:tc>
              <w:tc>
                <w:tcPr>
                  <w:tcW w:w="194" w:type="pct"/>
                  <w:shd w:val="clear" w:color="auto" w:fill="auto"/>
                </w:tcPr>
                <w:p w:rsidR="00CF6B94" w:rsidRDefault="00CF6B94" w:rsidP="00CF6B94">
                  <w:pPr>
                    <w:pStyle w:val="TableBodyText"/>
                    <w:ind w:left="0"/>
                    <w:jc w:val="left"/>
                  </w:pPr>
                </w:p>
              </w:tc>
              <w:tc>
                <w:tcPr>
                  <w:tcW w:w="1075" w:type="pct"/>
                  <w:shd w:val="clear" w:color="auto" w:fill="auto"/>
                </w:tcPr>
                <w:p w:rsidR="00CF6B94" w:rsidRDefault="00CF6B94" w:rsidP="00CF6B94">
                  <w:pPr>
                    <w:pStyle w:val="TableBodyText"/>
                    <w:ind w:right="0"/>
                  </w:pPr>
                  <w:r>
                    <w:t>-8.79</w:t>
                  </w:r>
                </w:p>
              </w:tc>
              <w:tc>
                <w:tcPr>
                  <w:tcW w:w="151" w:type="pct"/>
                  <w:shd w:val="clear" w:color="auto" w:fill="auto"/>
                </w:tcPr>
                <w:p w:rsidR="00CF6B94" w:rsidRDefault="00CF6B94" w:rsidP="00CF6B94">
                  <w:pPr>
                    <w:pStyle w:val="TableBodyText"/>
                    <w:ind w:left="0" w:right="28"/>
                    <w:jc w:val="left"/>
                  </w:pPr>
                  <w:r>
                    <w:t>***</w:t>
                  </w: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Youngest child aged 3–4 </w:t>
                  </w:r>
                  <w:r w:rsidRPr="00AF1D23">
                    <w:t>×</w:t>
                  </w:r>
                  <w:r>
                    <w:t xml:space="preserve"> 100</w:t>
                  </w:r>
                </w:p>
              </w:tc>
              <w:tc>
                <w:tcPr>
                  <w:tcW w:w="819" w:type="pct"/>
                  <w:shd w:val="clear" w:color="auto" w:fill="auto"/>
                </w:tcPr>
                <w:p w:rsidR="00CF6B94" w:rsidRDefault="00CF6B94" w:rsidP="00CF6B94">
                  <w:pPr>
                    <w:pStyle w:val="TableBodyText"/>
                    <w:ind w:right="0"/>
                  </w:pPr>
                  <w:r>
                    <w:t>1.87</w:t>
                  </w:r>
                </w:p>
              </w:tc>
              <w:tc>
                <w:tcPr>
                  <w:tcW w:w="194" w:type="pct"/>
                  <w:shd w:val="clear" w:color="auto" w:fill="auto"/>
                </w:tcPr>
                <w:p w:rsidR="00CF6B94" w:rsidRDefault="00CF6B94" w:rsidP="00CF6B94">
                  <w:pPr>
                    <w:pStyle w:val="TableBodyText"/>
                    <w:ind w:left="0"/>
                    <w:jc w:val="left"/>
                  </w:pPr>
                </w:p>
              </w:tc>
              <w:tc>
                <w:tcPr>
                  <w:tcW w:w="1075" w:type="pct"/>
                  <w:shd w:val="clear" w:color="auto" w:fill="auto"/>
                </w:tcPr>
                <w:p w:rsidR="00CF6B94" w:rsidRDefault="00CF6B94" w:rsidP="00CF6B94">
                  <w:pPr>
                    <w:pStyle w:val="TableBodyText"/>
                    <w:ind w:right="0"/>
                  </w:pPr>
                  <w:r>
                    <w:t>-4.38</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Youngest child aged 5–9 </w:t>
                  </w:r>
                  <w:r w:rsidRPr="00AF1D23">
                    <w:t>×</w:t>
                  </w:r>
                  <w:r>
                    <w:t xml:space="preserve"> 100</w:t>
                  </w:r>
                </w:p>
              </w:tc>
              <w:tc>
                <w:tcPr>
                  <w:tcW w:w="819" w:type="pct"/>
                  <w:shd w:val="clear" w:color="auto" w:fill="auto"/>
                </w:tcPr>
                <w:p w:rsidR="00CF6B94" w:rsidRDefault="00CF6B94" w:rsidP="00CF6B94">
                  <w:pPr>
                    <w:pStyle w:val="TableBodyText"/>
                    <w:ind w:right="0"/>
                  </w:pPr>
                  <w:r>
                    <w:t>-1.44</w:t>
                  </w:r>
                </w:p>
              </w:tc>
              <w:tc>
                <w:tcPr>
                  <w:tcW w:w="194" w:type="pct"/>
                  <w:shd w:val="clear" w:color="auto" w:fill="auto"/>
                </w:tcPr>
                <w:p w:rsidR="00CF6B94" w:rsidRDefault="00CF6B94" w:rsidP="00CF6B94">
                  <w:pPr>
                    <w:pStyle w:val="TableBodyText"/>
                    <w:ind w:left="0"/>
                    <w:jc w:val="left"/>
                  </w:pPr>
                </w:p>
              </w:tc>
              <w:tc>
                <w:tcPr>
                  <w:tcW w:w="1075" w:type="pct"/>
                  <w:shd w:val="clear" w:color="auto" w:fill="auto"/>
                </w:tcPr>
                <w:p w:rsidR="00CF6B94" w:rsidRDefault="00CF6B94" w:rsidP="00CF6B94">
                  <w:pPr>
                    <w:pStyle w:val="TableBodyText"/>
                    <w:ind w:right="0"/>
                  </w:pPr>
                  <w:r>
                    <w:t>-1.88</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Number of children </w:t>
                  </w:r>
                  <w:r w:rsidRPr="00AF1D23">
                    <w:t>×</w:t>
                  </w:r>
                  <w:r>
                    <w:t xml:space="preserve"> 100</w:t>
                  </w:r>
                </w:p>
              </w:tc>
              <w:tc>
                <w:tcPr>
                  <w:tcW w:w="819" w:type="pct"/>
                  <w:shd w:val="clear" w:color="auto" w:fill="auto"/>
                </w:tcPr>
                <w:p w:rsidR="00CF6B94" w:rsidRDefault="00CF6B94" w:rsidP="00CF6B94">
                  <w:pPr>
                    <w:pStyle w:val="TableBodyText"/>
                    <w:ind w:right="0"/>
                  </w:pPr>
                  <w:r>
                    <w:t>-0.04</w:t>
                  </w:r>
                </w:p>
              </w:tc>
              <w:tc>
                <w:tcPr>
                  <w:tcW w:w="194" w:type="pct"/>
                  <w:shd w:val="clear" w:color="auto" w:fill="auto"/>
                </w:tcPr>
                <w:p w:rsidR="00CF6B94" w:rsidRDefault="00CF6B94" w:rsidP="00CF6B94">
                  <w:pPr>
                    <w:pStyle w:val="TableBodyText"/>
                    <w:ind w:left="0"/>
                    <w:jc w:val="left"/>
                  </w:pPr>
                </w:p>
              </w:tc>
              <w:tc>
                <w:tcPr>
                  <w:tcW w:w="1075" w:type="pct"/>
                  <w:shd w:val="clear" w:color="auto" w:fill="auto"/>
                </w:tcPr>
                <w:p w:rsidR="00CF6B94" w:rsidRDefault="00CF6B94" w:rsidP="00CF6B94">
                  <w:pPr>
                    <w:pStyle w:val="TableBodyText"/>
                    <w:ind w:right="0"/>
                  </w:pPr>
                  <w:r>
                    <w:t>0.47</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Age of woman </w:t>
                  </w:r>
                  <w:r w:rsidRPr="00AF1D23">
                    <w:t>×</w:t>
                  </w:r>
                  <w:r>
                    <w:t xml:space="preserve"> 100</w:t>
                  </w:r>
                </w:p>
              </w:tc>
              <w:tc>
                <w:tcPr>
                  <w:tcW w:w="819" w:type="pct"/>
                  <w:shd w:val="clear" w:color="auto" w:fill="auto"/>
                </w:tcPr>
                <w:p w:rsidR="00CF6B94" w:rsidRDefault="00CF6B94" w:rsidP="00CF6B94">
                  <w:pPr>
                    <w:pStyle w:val="TableBodyText"/>
                    <w:ind w:right="0"/>
                  </w:pPr>
                  <w:r>
                    <w:t>1.87</w:t>
                  </w:r>
                </w:p>
              </w:tc>
              <w:tc>
                <w:tcPr>
                  <w:tcW w:w="194" w:type="pct"/>
                  <w:shd w:val="clear" w:color="auto" w:fill="auto"/>
                </w:tcPr>
                <w:p w:rsidR="00CF6B94" w:rsidRDefault="00CF6B94" w:rsidP="00CF6B94">
                  <w:pPr>
                    <w:pStyle w:val="TableBodyText"/>
                    <w:ind w:left="0"/>
                    <w:jc w:val="left"/>
                  </w:pPr>
                  <w:r>
                    <w:t>***</w:t>
                  </w:r>
                </w:p>
              </w:tc>
              <w:tc>
                <w:tcPr>
                  <w:tcW w:w="1075" w:type="pct"/>
                  <w:shd w:val="clear" w:color="auto" w:fill="auto"/>
                </w:tcPr>
                <w:p w:rsidR="00CF6B94" w:rsidRDefault="00CF6B94" w:rsidP="00CF6B94">
                  <w:pPr>
                    <w:pStyle w:val="TableBodyText"/>
                    <w:ind w:right="0"/>
                  </w:pPr>
                  <w:r>
                    <w:t>0.24</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Age of woman squared </w:t>
                  </w:r>
                  <w:r w:rsidRPr="00AF1D23">
                    <w:t>×</w:t>
                  </w:r>
                  <w:r>
                    <w:t xml:space="preserve"> 10 000</w:t>
                  </w:r>
                </w:p>
              </w:tc>
              <w:tc>
                <w:tcPr>
                  <w:tcW w:w="819" w:type="pct"/>
                  <w:shd w:val="clear" w:color="auto" w:fill="auto"/>
                </w:tcPr>
                <w:p w:rsidR="00CF6B94" w:rsidRDefault="00CF6B94" w:rsidP="00CF6B94">
                  <w:pPr>
                    <w:pStyle w:val="TableBodyText"/>
                    <w:ind w:right="0"/>
                  </w:pPr>
                  <w:r>
                    <w:t>-2.67</w:t>
                  </w:r>
                </w:p>
              </w:tc>
              <w:tc>
                <w:tcPr>
                  <w:tcW w:w="194" w:type="pct"/>
                  <w:shd w:val="clear" w:color="auto" w:fill="auto"/>
                </w:tcPr>
                <w:p w:rsidR="00CF6B94" w:rsidRDefault="00CF6B94" w:rsidP="00CF6B94">
                  <w:pPr>
                    <w:pStyle w:val="TableBodyText"/>
                    <w:ind w:left="0"/>
                    <w:jc w:val="left"/>
                  </w:pPr>
                  <w:r>
                    <w:t>***</w:t>
                  </w:r>
                </w:p>
              </w:tc>
              <w:tc>
                <w:tcPr>
                  <w:tcW w:w="1075" w:type="pct"/>
                  <w:shd w:val="clear" w:color="auto" w:fill="auto"/>
                </w:tcPr>
                <w:p w:rsidR="00CF6B94" w:rsidRDefault="00CF6B94" w:rsidP="00CF6B94">
                  <w:pPr>
                    <w:pStyle w:val="TableBodyText"/>
                    <w:ind w:right="0"/>
                  </w:pPr>
                  <w:r>
                    <w:t>-0.67</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Vocational education woman </w:t>
                  </w:r>
                  <w:r w:rsidRPr="00AF1D23">
                    <w:t>×</w:t>
                  </w:r>
                  <w:r>
                    <w:t xml:space="preserve"> 100</w:t>
                  </w:r>
                </w:p>
              </w:tc>
              <w:tc>
                <w:tcPr>
                  <w:tcW w:w="819" w:type="pct"/>
                  <w:shd w:val="clear" w:color="auto" w:fill="auto"/>
                </w:tcPr>
                <w:p w:rsidR="00CF6B94" w:rsidRDefault="00CF6B94" w:rsidP="00CF6B94">
                  <w:pPr>
                    <w:pStyle w:val="TableBodyText"/>
                    <w:ind w:right="0"/>
                  </w:pPr>
                  <w:r>
                    <w:t>4.19</w:t>
                  </w:r>
                </w:p>
              </w:tc>
              <w:tc>
                <w:tcPr>
                  <w:tcW w:w="194" w:type="pct"/>
                  <w:shd w:val="clear" w:color="auto" w:fill="auto"/>
                </w:tcPr>
                <w:p w:rsidR="00CF6B94" w:rsidRDefault="00CF6B94" w:rsidP="00CF6B94">
                  <w:pPr>
                    <w:pStyle w:val="TableBodyText"/>
                    <w:jc w:val="left"/>
                  </w:pPr>
                  <w:r>
                    <w:t>***</w:t>
                  </w:r>
                </w:p>
              </w:tc>
              <w:tc>
                <w:tcPr>
                  <w:tcW w:w="1075" w:type="pct"/>
                  <w:shd w:val="clear" w:color="auto" w:fill="auto"/>
                </w:tcPr>
                <w:p w:rsidR="00CF6B94" w:rsidRDefault="00CF6B94" w:rsidP="00CF6B94">
                  <w:pPr>
                    <w:pStyle w:val="TableBodyText"/>
                    <w:ind w:right="0"/>
                  </w:pPr>
                  <w:r>
                    <w:t>-0.41</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Diploma woman </w:t>
                  </w:r>
                  <w:r w:rsidRPr="00AF1D23">
                    <w:t>×</w:t>
                  </w:r>
                  <w:r>
                    <w:t xml:space="preserve"> 100</w:t>
                  </w:r>
                </w:p>
              </w:tc>
              <w:tc>
                <w:tcPr>
                  <w:tcW w:w="819" w:type="pct"/>
                  <w:shd w:val="clear" w:color="auto" w:fill="auto"/>
                </w:tcPr>
                <w:p w:rsidR="00CF6B94" w:rsidRDefault="00CF6B94" w:rsidP="00CF6B94">
                  <w:pPr>
                    <w:pStyle w:val="TableBodyText"/>
                    <w:ind w:right="0"/>
                  </w:pPr>
                  <w:r>
                    <w:t>3.91</w:t>
                  </w:r>
                </w:p>
              </w:tc>
              <w:tc>
                <w:tcPr>
                  <w:tcW w:w="194" w:type="pct"/>
                  <w:shd w:val="clear" w:color="auto" w:fill="auto"/>
                </w:tcPr>
                <w:p w:rsidR="00CF6B94" w:rsidRDefault="00CF6B94" w:rsidP="00CF6B94">
                  <w:pPr>
                    <w:pStyle w:val="TableBodyText"/>
                    <w:jc w:val="left"/>
                  </w:pPr>
                  <w:r>
                    <w:t>***</w:t>
                  </w:r>
                </w:p>
              </w:tc>
              <w:tc>
                <w:tcPr>
                  <w:tcW w:w="1075" w:type="pct"/>
                  <w:shd w:val="clear" w:color="auto" w:fill="auto"/>
                </w:tcPr>
                <w:p w:rsidR="00CF6B94" w:rsidRDefault="00CF6B94" w:rsidP="00CF6B94">
                  <w:pPr>
                    <w:pStyle w:val="TableBodyText"/>
                    <w:ind w:right="0"/>
                  </w:pPr>
                  <w:r>
                    <w:t>1.75</w:t>
                  </w:r>
                </w:p>
              </w:tc>
              <w:tc>
                <w:tcPr>
                  <w:tcW w:w="151" w:type="pct"/>
                  <w:shd w:val="clear" w:color="auto" w:fill="auto"/>
                </w:tcPr>
                <w:p w:rsidR="00CF6B94" w:rsidRDefault="00CF6B94" w:rsidP="00CF6B94">
                  <w:pPr>
                    <w:pStyle w:val="TableBodyText"/>
                    <w:ind w:left="0" w:right="28"/>
                    <w:jc w:val="left"/>
                  </w:pP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Degree woman </w:t>
                  </w:r>
                  <w:r w:rsidRPr="00AF1D23">
                    <w:t>×</w:t>
                  </w:r>
                  <w:r>
                    <w:t xml:space="preserve"> 100</w:t>
                  </w:r>
                </w:p>
              </w:tc>
              <w:tc>
                <w:tcPr>
                  <w:tcW w:w="819" w:type="pct"/>
                  <w:shd w:val="clear" w:color="auto" w:fill="auto"/>
                </w:tcPr>
                <w:p w:rsidR="00CF6B94" w:rsidRDefault="00CF6B94" w:rsidP="00CF6B94">
                  <w:pPr>
                    <w:pStyle w:val="TableBodyText"/>
                    <w:ind w:right="0"/>
                  </w:pPr>
                  <w:r>
                    <w:t>4.07</w:t>
                  </w:r>
                </w:p>
              </w:tc>
              <w:tc>
                <w:tcPr>
                  <w:tcW w:w="194" w:type="pct"/>
                  <w:shd w:val="clear" w:color="auto" w:fill="auto"/>
                </w:tcPr>
                <w:p w:rsidR="00CF6B94" w:rsidRDefault="00CF6B94" w:rsidP="00CF6B94">
                  <w:pPr>
                    <w:pStyle w:val="TableBodyText"/>
                    <w:jc w:val="left"/>
                  </w:pPr>
                  <w:r>
                    <w:t>***</w:t>
                  </w:r>
                </w:p>
              </w:tc>
              <w:tc>
                <w:tcPr>
                  <w:tcW w:w="1075" w:type="pct"/>
                  <w:shd w:val="clear" w:color="auto" w:fill="auto"/>
                </w:tcPr>
                <w:p w:rsidR="00CF6B94" w:rsidRDefault="00CF6B94" w:rsidP="00CF6B94">
                  <w:pPr>
                    <w:pStyle w:val="TableBodyText"/>
                    <w:ind w:right="0"/>
                  </w:pPr>
                  <w:r>
                    <w:t>5.75</w:t>
                  </w:r>
                </w:p>
              </w:tc>
              <w:tc>
                <w:tcPr>
                  <w:tcW w:w="151" w:type="pct"/>
                  <w:shd w:val="clear" w:color="auto" w:fill="auto"/>
                </w:tcPr>
                <w:p w:rsidR="00CF6B94" w:rsidRDefault="00CF6B94" w:rsidP="00CF6B94">
                  <w:pPr>
                    <w:pStyle w:val="TableBodyText"/>
                    <w:ind w:left="0" w:right="28"/>
                    <w:jc w:val="left"/>
                  </w:pPr>
                  <w:r>
                    <w:t>**</w:t>
                  </w:r>
                </w:p>
              </w:tc>
            </w:tr>
            <w:tr w:rsidR="00CF6B94" w:rsidTr="00CF6B94">
              <w:tc>
                <w:tcPr>
                  <w:tcW w:w="2760" w:type="pct"/>
                  <w:shd w:val="clear" w:color="auto" w:fill="auto"/>
                  <w:vAlign w:val="bottom"/>
                </w:tcPr>
                <w:p w:rsidR="00CF6B94" w:rsidRPr="00AF1D23" w:rsidRDefault="00CF6B94" w:rsidP="00CF6B94">
                  <w:pPr>
                    <w:pStyle w:val="TableBodyText"/>
                    <w:ind w:left="113"/>
                    <w:jc w:val="left"/>
                  </w:pPr>
                  <w:r>
                    <w:t xml:space="preserve">Female </w:t>
                  </w:r>
                  <w:r w:rsidRPr="00AF1D23">
                    <w:t>×</w:t>
                  </w:r>
                  <w:r>
                    <w:t xml:space="preserve"> 100</w:t>
                  </w:r>
                </w:p>
              </w:tc>
              <w:tc>
                <w:tcPr>
                  <w:tcW w:w="819" w:type="pct"/>
                  <w:shd w:val="clear" w:color="auto" w:fill="auto"/>
                </w:tcPr>
                <w:p w:rsidR="00CF6B94" w:rsidRDefault="00CF6B94" w:rsidP="00CF6B94">
                  <w:pPr>
                    <w:pStyle w:val="TableBodyText"/>
                  </w:pPr>
                  <w:proofErr w:type="spellStart"/>
                  <w:r>
                    <w:t>na</w:t>
                  </w:r>
                  <w:proofErr w:type="spellEnd"/>
                </w:p>
              </w:tc>
              <w:tc>
                <w:tcPr>
                  <w:tcW w:w="194" w:type="pct"/>
                  <w:shd w:val="clear" w:color="auto" w:fill="auto"/>
                </w:tcPr>
                <w:p w:rsidR="00CF6B94" w:rsidRDefault="00CF6B94" w:rsidP="00CF6B94">
                  <w:pPr>
                    <w:pStyle w:val="TableBodyText"/>
                  </w:pPr>
                </w:p>
              </w:tc>
              <w:tc>
                <w:tcPr>
                  <w:tcW w:w="1075" w:type="pct"/>
                  <w:shd w:val="clear" w:color="auto" w:fill="auto"/>
                </w:tcPr>
                <w:p w:rsidR="00CF6B94" w:rsidRDefault="00CF6B94" w:rsidP="00CF6B94">
                  <w:pPr>
                    <w:pStyle w:val="TableBodyText"/>
                    <w:ind w:right="0"/>
                  </w:pPr>
                  <w:r>
                    <w:t>-2.06</w:t>
                  </w:r>
                </w:p>
              </w:tc>
              <w:tc>
                <w:tcPr>
                  <w:tcW w:w="151" w:type="pct"/>
                  <w:shd w:val="clear" w:color="auto" w:fill="auto"/>
                </w:tcPr>
                <w:p w:rsidR="00CF6B94" w:rsidRDefault="00CF6B94" w:rsidP="00CF6B94">
                  <w:pPr>
                    <w:pStyle w:val="TableBodyText"/>
                    <w:ind w:right="28"/>
                  </w:pPr>
                </w:p>
              </w:tc>
            </w:tr>
          </w:tbl>
          <w:p w:rsidR="00CF6B94" w:rsidRDefault="00CF6B94" w:rsidP="00CF6B94">
            <w:pPr>
              <w:pStyle w:val="Box"/>
            </w:pPr>
          </w:p>
        </w:tc>
      </w:tr>
      <w:tr w:rsidR="00CF6B94" w:rsidTr="00CF6B94">
        <w:trPr>
          <w:cantSplit/>
        </w:trPr>
        <w:tc>
          <w:tcPr>
            <w:tcW w:w="8771" w:type="dxa"/>
            <w:tcBorders>
              <w:top w:val="nil"/>
              <w:left w:val="nil"/>
              <w:bottom w:val="nil"/>
              <w:right w:val="nil"/>
            </w:tcBorders>
            <w:shd w:val="clear" w:color="auto" w:fill="auto"/>
          </w:tcPr>
          <w:p w:rsidR="00CF6B94" w:rsidRPr="00195609" w:rsidRDefault="00CF6B94" w:rsidP="00CF6B94">
            <w:pPr>
              <w:pStyle w:val="Continued"/>
              <w:rPr>
                <w:b/>
                <w:i/>
              </w:rPr>
            </w:pPr>
            <w:r w:rsidRPr="00195609">
              <w:rPr>
                <w:rStyle w:val="NoteLabel"/>
              </w:rPr>
              <w:t>(</w:t>
            </w:r>
            <w:proofErr w:type="gramStart"/>
            <w:r w:rsidRPr="00195609">
              <w:rPr>
                <w:rStyle w:val="NoteLabel"/>
              </w:rPr>
              <w:t>continued</w:t>
            </w:r>
            <w:proofErr w:type="gramEnd"/>
            <w:r w:rsidRPr="00195609">
              <w:rPr>
                <w:rStyle w:val="NoteLabel"/>
              </w:rPr>
              <w:t xml:space="preserve"> next page…)</w:t>
            </w:r>
          </w:p>
        </w:tc>
      </w:tr>
      <w:tr w:rsidR="00CF6B94" w:rsidTr="00CF6B94">
        <w:trPr>
          <w:cantSplit/>
        </w:trPr>
        <w:tc>
          <w:tcPr>
            <w:tcW w:w="8771" w:type="dxa"/>
            <w:tcBorders>
              <w:top w:val="nil"/>
              <w:left w:val="nil"/>
              <w:bottom w:val="single" w:sz="6" w:space="0" w:color="78A22F" w:themeColor="accent1"/>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themeColor="accent1"/>
              <w:left w:val="nil"/>
              <w:bottom w:val="nil"/>
              <w:right w:val="nil"/>
            </w:tcBorders>
          </w:tcPr>
          <w:p w:rsidR="00CF6B94" w:rsidRPr="00626D32" w:rsidRDefault="00CF6B94" w:rsidP="00CF6B94">
            <w:pPr>
              <w:pStyle w:val="BoxSpaceBelow"/>
            </w:pPr>
          </w:p>
        </w:tc>
      </w:tr>
    </w:tbl>
    <w:p w:rsidR="00CF6B94" w:rsidRDefault="00CF6B94" w:rsidP="00CF6B94">
      <w:pPr>
        <w:pStyle w:val="BodyText"/>
      </w:pPr>
    </w:p>
    <w:p w:rsidR="00CF6B94" w:rsidRDefault="00CF6B94" w:rsidP="00CF6B9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F6B94" w:rsidTr="00CF6B94">
        <w:tc>
          <w:tcPr>
            <w:tcW w:w="8771" w:type="dxa"/>
            <w:tcBorders>
              <w:top w:val="single" w:sz="6" w:space="0" w:color="78A22F"/>
              <w:left w:val="nil"/>
              <w:bottom w:val="nil"/>
              <w:right w:val="nil"/>
            </w:tcBorders>
            <w:shd w:val="clear" w:color="auto" w:fill="auto"/>
          </w:tcPr>
          <w:p w:rsidR="00CF6B94" w:rsidRPr="00784A05" w:rsidRDefault="00CF6B94" w:rsidP="00CF6B94">
            <w:pPr>
              <w:pStyle w:val="TableTitle"/>
            </w:pPr>
            <w:r>
              <w:rPr>
                <w:b w:val="0"/>
              </w:rPr>
              <w:t>Table C.4</w:t>
            </w:r>
            <w:r>
              <w:tab/>
            </w:r>
            <w:r w:rsidRPr="00AC2583">
              <w:rPr>
                <w:b w:val="0"/>
                <w:sz w:val="20"/>
                <w:szCs w:val="20"/>
              </w:rPr>
              <w:t>(continued)</w:t>
            </w:r>
          </w:p>
        </w:tc>
      </w:tr>
      <w:tr w:rsidR="00CF6B94" w:rsidTr="00CF6B9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507"/>
              <w:gridCol w:w="1689"/>
              <w:gridCol w:w="324"/>
              <w:gridCol w:w="1680"/>
              <w:gridCol w:w="287"/>
            </w:tblGrid>
            <w:tr w:rsidR="00CF6B94" w:rsidTr="00CF6B94">
              <w:tc>
                <w:tcPr>
                  <w:tcW w:w="2655" w:type="pct"/>
                  <w:tcBorders>
                    <w:top w:val="single" w:sz="6" w:space="0" w:color="BFBFBF"/>
                    <w:bottom w:val="single" w:sz="6" w:space="0" w:color="BFBFBF"/>
                  </w:tcBorders>
                  <w:shd w:val="clear" w:color="auto" w:fill="auto"/>
                  <w:tcMar>
                    <w:top w:w="28" w:type="dxa"/>
                  </w:tcMar>
                </w:tcPr>
                <w:p w:rsidR="00CF6B94" w:rsidRDefault="00CF6B94" w:rsidP="00CF6B94">
                  <w:pPr>
                    <w:pStyle w:val="TableColumnHeading"/>
                    <w:jc w:val="left"/>
                  </w:pPr>
                  <w:r>
                    <w:t>Variable</w:t>
                  </w:r>
                </w:p>
              </w:tc>
              <w:tc>
                <w:tcPr>
                  <w:tcW w:w="1186" w:type="pct"/>
                  <w:gridSpan w:val="2"/>
                  <w:tcBorders>
                    <w:top w:val="single" w:sz="6" w:space="0" w:color="BFBFBF"/>
                    <w:bottom w:val="single" w:sz="6" w:space="0" w:color="BFBFBF"/>
                  </w:tcBorders>
                  <w:shd w:val="clear" w:color="auto" w:fill="auto"/>
                  <w:tcMar>
                    <w:top w:w="28" w:type="dxa"/>
                  </w:tcMar>
                </w:tcPr>
                <w:p w:rsidR="00CF6B94" w:rsidRDefault="00CF6B94" w:rsidP="00CF6B94">
                  <w:pPr>
                    <w:pStyle w:val="TableColumnHeading"/>
                  </w:pPr>
                  <w:r>
                    <w:t>Couples</w:t>
                  </w:r>
                </w:p>
              </w:tc>
              <w:tc>
                <w:tcPr>
                  <w:tcW w:w="1159" w:type="pct"/>
                  <w:gridSpan w:val="2"/>
                  <w:tcBorders>
                    <w:top w:val="single" w:sz="6" w:space="0" w:color="BFBFBF"/>
                    <w:bottom w:val="single" w:sz="6" w:space="0" w:color="BFBFBF"/>
                  </w:tcBorders>
                  <w:shd w:val="clear" w:color="auto" w:fill="auto"/>
                  <w:tcMar>
                    <w:top w:w="28" w:type="dxa"/>
                  </w:tcMar>
                </w:tcPr>
                <w:p w:rsidR="00CF6B94" w:rsidRDefault="00CF6B94" w:rsidP="00CF6B94">
                  <w:pPr>
                    <w:pStyle w:val="TableColumnHeading"/>
                    <w:ind w:right="28"/>
                  </w:pPr>
                  <w:r>
                    <w:t>Single parents</w:t>
                  </w:r>
                </w:p>
              </w:tc>
            </w:tr>
            <w:tr w:rsidR="00CF6B94" w:rsidTr="00CF6B94">
              <w:tc>
                <w:tcPr>
                  <w:tcW w:w="2655" w:type="pct"/>
                  <w:tcBorders>
                    <w:top w:val="single" w:sz="6" w:space="0" w:color="BFBFBF"/>
                  </w:tcBorders>
                  <w:vAlign w:val="bottom"/>
                </w:tcPr>
                <w:p w:rsidR="00CF6B94" w:rsidRPr="00AF1D23" w:rsidRDefault="00CF6B94" w:rsidP="00CF6B94">
                  <w:pPr>
                    <w:pStyle w:val="TableBodyText"/>
                    <w:jc w:val="left"/>
                  </w:pPr>
                  <w:r>
                    <w:t>Maternal childcare</w:t>
                  </w:r>
                </w:p>
              </w:tc>
              <w:tc>
                <w:tcPr>
                  <w:tcW w:w="995" w:type="pct"/>
                  <w:tcBorders>
                    <w:top w:val="single" w:sz="6" w:space="0" w:color="BFBFBF"/>
                  </w:tcBorders>
                </w:tcPr>
                <w:p w:rsidR="00CF6B94" w:rsidRDefault="00CF6B94" w:rsidP="00CF6B94">
                  <w:pPr>
                    <w:pStyle w:val="TableUnitsRow"/>
                    <w:ind w:right="0"/>
                  </w:pPr>
                  <w:r>
                    <w:t>0.52</w:t>
                  </w:r>
                </w:p>
              </w:tc>
              <w:tc>
                <w:tcPr>
                  <w:tcW w:w="191" w:type="pct"/>
                  <w:tcBorders>
                    <w:top w:val="single" w:sz="6" w:space="0" w:color="BFBFBF"/>
                  </w:tcBorders>
                </w:tcPr>
                <w:p w:rsidR="00CF6B94" w:rsidRDefault="00CF6B94" w:rsidP="00CF6B94">
                  <w:pPr>
                    <w:pStyle w:val="TableUnitsRow"/>
                    <w:ind w:left="0"/>
                    <w:jc w:val="left"/>
                  </w:pPr>
                  <w:r>
                    <w:t>***</w:t>
                  </w:r>
                </w:p>
              </w:tc>
              <w:tc>
                <w:tcPr>
                  <w:tcW w:w="990" w:type="pct"/>
                  <w:tcBorders>
                    <w:top w:val="single" w:sz="6" w:space="0" w:color="BFBFBF"/>
                  </w:tcBorders>
                </w:tcPr>
                <w:p w:rsidR="00CF6B94" w:rsidRDefault="00CF6B94" w:rsidP="00CF6B94">
                  <w:pPr>
                    <w:pStyle w:val="TableUnitsRow"/>
                    <w:ind w:right="0"/>
                  </w:pPr>
                  <w:r>
                    <w:t>0.56</w:t>
                  </w:r>
                </w:p>
              </w:tc>
              <w:tc>
                <w:tcPr>
                  <w:tcW w:w="169" w:type="pct"/>
                  <w:tcBorders>
                    <w:top w:val="single" w:sz="6" w:space="0" w:color="BFBFBF"/>
                  </w:tcBorders>
                </w:tcPr>
                <w:p w:rsidR="00CF6B94" w:rsidRDefault="00CF6B94" w:rsidP="00CF6B94">
                  <w:pPr>
                    <w:pStyle w:val="TableUnitsRow"/>
                    <w:ind w:left="0" w:right="28"/>
                    <w:jc w:val="left"/>
                  </w:pPr>
                  <w:r>
                    <w:t>***</w:t>
                  </w:r>
                </w:p>
              </w:tc>
            </w:tr>
            <w:tr w:rsidR="00CF6B94" w:rsidTr="00CF6B94">
              <w:tc>
                <w:tcPr>
                  <w:tcW w:w="2655" w:type="pct"/>
                  <w:vAlign w:val="bottom"/>
                </w:tcPr>
                <w:p w:rsidR="00CF6B94" w:rsidRPr="00AF1D23" w:rsidRDefault="00CF6B94" w:rsidP="00CF6B94">
                  <w:pPr>
                    <w:pStyle w:val="TableBodyText"/>
                    <w:ind w:left="113"/>
                    <w:jc w:val="left"/>
                  </w:pPr>
                  <w:r>
                    <w:t>Youngest child aged 0–2</w:t>
                  </w:r>
                </w:p>
              </w:tc>
              <w:tc>
                <w:tcPr>
                  <w:tcW w:w="995" w:type="pct"/>
                </w:tcPr>
                <w:p w:rsidR="00CF6B94" w:rsidRDefault="00CF6B94" w:rsidP="00CF6B94">
                  <w:pPr>
                    <w:pStyle w:val="TableBodyText"/>
                    <w:ind w:right="0"/>
                  </w:pPr>
                  <w:r>
                    <w:t>-0.54</w:t>
                  </w:r>
                </w:p>
              </w:tc>
              <w:tc>
                <w:tcPr>
                  <w:tcW w:w="191" w:type="pct"/>
                </w:tcPr>
                <w:p w:rsidR="00CF6B94" w:rsidRDefault="00CF6B94" w:rsidP="00CF6B94">
                  <w:pPr>
                    <w:pStyle w:val="TableBodyText"/>
                    <w:ind w:left="0"/>
                    <w:jc w:val="left"/>
                  </w:pPr>
                  <w:r>
                    <w:t>***</w:t>
                  </w:r>
                </w:p>
              </w:tc>
              <w:tc>
                <w:tcPr>
                  <w:tcW w:w="990" w:type="pct"/>
                </w:tcPr>
                <w:p w:rsidR="00CF6B94" w:rsidRDefault="00CF6B94" w:rsidP="00CF6B94">
                  <w:pPr>
                    <w:pStyle w:val="TableBodyText"/>
                    <w:ind w:right="0"/>
                  </w:pPr>
                  <w:r>
                    <w:t>-0.45</w:t>
                  </w:r>
                </w:p>
              </w:tc>
              <w:tc>
                <w:tcPr>
                  <w:tcW w:w="169" w:type="pct"/>
                </w:tcPr>
                <w:p w:rsidR="00CF6B94" w:rsidRDefault="00CF6B94" w:rsidP="00CF6B94">
                  <w:pPr>
                    <w:pStyle w:val="TableBodyText"/>
                    <w:ind w:left="0" w:right="28"/>
                    <w:jc w:val="left"/>
                  </w:pPr>
                  <w:r>
                    <w:t>***</w:t>
                  </w:r>
                </w:p>
              </w:tc>
            </w:tr>
            <w:tr w:rsidR="00CF6B94" w:rsidTr="00CF6B94">
              <w:tc>
                <w:tcPr>
                  <w:tcW w:w="2655" w:type="pct"/>
                  <w:shd w:val="clear" w:color="auto" w:fill="auto"/>
                  <w:vAlign w:val="bottom"/>
                </w:tcPr>
                <w:p w:rsidR="00CF6B94" w:rsidRPr="00AF1D23" w:rsidRDefault="00CF6B94" w:rsidP="00CF6B94">
                  <w:pPr>
                    <w:pStyle w:val="TableBodyText"/>
                    <w:ind w:left="113"/>
                    <w:jc w:val="left"/>
                  </w:pPr>
                  <w:r>
                    <w:t>Youngest child aged 3–4</w:t>
                  </w:r>
                </w:p>
              </w:tc>
              <w:tc>
                <w:tcPr>
                  <w:tcW w:w="995" w:type="pct"/>
                  <w:shd w:val="clear" w:color="auto" w:fill="auto"/>
                </w:tcPr>
                <w:p w:rsidR="00CF6B94" w:rsidRDefault="00CF6B94" w:rsidP="00CF6B94">
                  <w:pPr>
                    <w:pStyle w:val="TableBodyText"/>
                    <w:ind w:right="0"/>
                  </w:pPr>
                  <w:r>
                    <w:t>-0.53</w:t>
                  </w:r>
                </w:p>
              </w:tc>
              <w:tc>
                <w:tcPr>
                  <w:tcW w:w="191" w:type="pct"/>
                  <w:shd w:val="clear" w:color="auto" w:fill="auto"/>
                </w:tcPr>
                <w:p w:rsidR="00CF6B94" w:rsidRDefault="00CF6B94" w:rsidP="00CF6B94">
                  <w:pPr>
                    <w:pStyle w:val="TableBodyText"/>
                    <w:ind w:left="0"/>
                    <w:jc w:val="left"/>
                  </w:pPr>
                  <w:r>
                    <w:t>***</w:t>
                  </w:r>
                </w:p>
              </w:tc>
              <w:tc>
                <w:tcPr>
                  <w:tcW w:w="990" w:type="pct"/>
                  <w:shd w:val="clear" w:color="auto" w:fill="auto"/>
                </w:tcPr>
                <w:p w:rsidR="00CF6B94" w:rsidRDefault="00CF6B94" w:rsidP="00CF6B94">
                  <w:pPr>
                    <w:pStyle w:val="TableBodyText"/>
                    <w:ind w:right="0"/>
                  </w:pPr>
                  <w:r>
                    <w:t>-0.44</w:t>
                  </w:r>
                </w:p>
              </w:tc>
              <w:tc>
                <w:tcPr>
                  <w:tcW w:w="169" w:type="pct"/>
                  <w:shd w:val="clear" w:color="auto" w:fill="auto"/>
                </w:tcPr>
                <w:p w:rsidR="00CF6B94" w:rsidRDefault="00CF6B94" w:rsidP="00CF6B94">
                  <w:pPr>
                    <w:pStyle w:val="TableBodyText"/>
                    <w:ind w:left="0" w:right="28"/>
                    <w:jc w:val="left"/>
                  </w:pPr>
                  <w:r>
                    <w:t>***</w:t>
                  </w:r>
                </w:p>
              </w:tc>
            </w:tr>
            <w:tr w:rsidR="00CF6B94" w:rsidTr="00CF6B94">
              <w:tc>
                <w:tcPr>
                  <w:tcW w:w="2655" w:type="pct"/>
                  <w:shd w:val="clear" w:color="auto" w:fill="auto"/>
                  <w:vAlign w:val="bottom"/>
                </w:tcPr>
                <w:p w:rsidR="00CF6B94" w:rsidRPr="00AF1D23" w:rsidRDefault="00CF6B94" w:rsidP="00CF6B94">
                  <w:pPr>
                    <w:pStyle w:val="TableBodyText"/>
                    <w:ind w:left="113"/>
                    <w:jc w:val="left"/>
                  </w:pPr>
                  <w:r>
                    <w:t>Youngest child aged 5–9</w:t>
                  </w:r>
                </w:p>
              </w:tc>
              <w:tc>
                <w:tcPr>
                  <w:tcW w:w="995" w:type="pct"/>
                  <w:shd w:val="clear" w:color="auto" w:fill="auto"/>
                </w:tcPr>
                <w:p w:rsidR="00CF6B94" w:rsidRDefault="00CF6B94" w:rsidP="00CF6B94">
                  <w:pPr>
                    <w:pStyle w:val="TableBodyText"/>
                    <w:ind w:right="0"/>
                  </w:pPr>
                  <w:r>
                    <w:t>-0.27</w:t>
                  </w:r>
                </w:p>
              </w:tc>
              <w:tc>
                <w:tcPr>
                  <w:tcW w:w="191" w:type="pct"/>
                  <w:shd w:val="clear" w:color="auto" w:fill="auto"/>
                </w:tcPr>
                <w:p w:rsidR="00CF6B94" w:rsidRDefault="00CF6B94" w:rsidP="00CF6B94">
                  <w:pPr>
                    <w:pStyle w:val="TableBodyText"/>
                    <w:ind w:left="0"/>
                    <w:jc w:val="left"/>
                  </w:pPr>
                  <w:r>
                    <w:t>***</w:t>
                  </w:r>
                </w:p>
              </w:tc>
              <w:tc>
                <w:tcPr>
                  <w:tcW w:w="990" w:type="pct"/>
                  <w:shd w:val="clear" w:color="auto" w:fill="auto"/>
                </w:tcPr>
                <w:p w:rsidR="00CF6B94" w:rsidRDefault="00CF6B94" w:rsidP="00CF6B94">
                  <w:pPr>
                    <w:pStyle w:val="TableBodyText"/>
                    <w:ind w:right="0"/>
                  </w:pPr>
                  <w:r>
                    <w:t>-0.20</w:t>
                  </w:r>
                </w:p>
              </w:tc>
              <w:tc>
                <w:tcPr>
                  <w:tcW w:w="169" w:type="pct"/>
                  <w:shd w:val="clear" w:color="auto" w:fill="auto"/>
                </w:tcPr>
                <w:p w:rsidR="00CF6B94" w:rsidRDefault="00CF6B94" w:rsidP="00CF6B94">
                  <w:pPr>
                    <w:pStyle w:val="TableBodyText"/>
                    <w:ind w:left="0" w:right="28"/>
                    <w:jc w:val="left"/>
                  </w:pPr>
                  <w:r>
                    <w:t>***</w:t>
                  </w:r>
                </w:p>
              </w:tc>
            </w:tr>
            <w:tr w:rsidR="00CF6B94" w:rsidTr="00CF6B94">
              <w:tc>
                <w:tcPr>
                  <w:tcW w:w="2655" w:type="pct"/>
                  <w:shd w:val="clear" w:color="auto" w:fill="auto"/>
                  <w:vAlign w:val="bottom"/>
                </w:tcPr>
                <w:p w:rsidR="00CF6B94" w:rsidRPr="00AF1D23" w:rsidRDefault="00CF6B94" w:rsidP="00CF6B94">
                  <w:pPr>
                    <w:pStyle w:val="TableBodyText"/>
                    <w:ind w:left="113"/>
                    <w:jc w:val="left"/>
                  </w:pPr>
                  <w:r>
                    <w:t xml:space="preserve">Number of children </w:t>
                  </w:r>
                  <w:r w:rsidRPr="00AF1D23">
                    <w:t>×</w:t>
                  </w:r>
                  <w:r>
                    <w:t xml:space="preserve"> 100</w:t>
                  </w:r>
                </w:p>
              </w:tc>
              <w:tc>
                <w:tcPr>
                  <w:tcW w:w="995" w:type="pct"/>
                  <w:shd w:val="clear" w:color="auto" w:fill="auto"/>
                </w:tcPr>
                <w:p w:rsidR="00CF6B94" w:rsidRDefault="00CF6B94" w:rsidP="00CF6B94">
                  <w:pPr>
                    <w:pStyle w:val="TableBodyText"/>
                    <w:ind w:right="0"/>
                  </w:pPr>
                  <w:r>
                    <w:t>1.18</w:t>
                  </w:r>
                </w:p>
              </w:tc>
              <w:tc>
                <w:tcPr>
                  <w:tcW w:w="191" w:type="pct"/>
                  <w:shd w:val="clear" w:color="auto" w:fill="auto"/>
                </w:tcPr>
                <w:p w:rsidR="00CF6B94" w:rsidRDefault="00CF6B94" w:rsidP="00CF6B94">
                  <w:pPr>
                    <w:pStyle w:val="TableBodyText"/>
                    <w:ind w:left="0"/>
                    <w:jc w:val="left"/>
                  </w:pPr>
                  <w:r>
                    <w:t>***</w:t>
                  </w:r>
                </w:p>
              </w:tc>
              <w:tc>
                <w:tcPr>
                  <w:tcW w:w="990" w:type="pct"/>
                  <w:shd w:val="clear" w:color="auto" w:fill="auto"/>
                </w:tcPr>
                <w:p w:rsidR="00CF6B94" w:rsidRDefault="00CF6B94" w:rsidP="00CF6B94">
                  <w:pPr>
                    <w:pStyle w:val="TableBodyText"/>
                    <w:ind w:right="0"/>
                  </w:pPr>
                  <w:r>
                    <w:t>-2.72</w:t>
                  </w:r>
                </w:p>
              </w:tc>
              <w:tc>
                <w:tcPr>
                  <w:tcW w:w="169" w:type="pct"/>
                  <w:shd w:val="clear" w:color="auto" w:fill="auto"/>
                </w:tcPr>
                <w:p w:rsidR="00CF6B94" w:rsidRDefault="00CF6B94" w:rsidP="00CF6B94">
                  <w:pPr>
                    <w:pStyle w:val="TableBodyText"/>
                    <w:ind w:left="0" w:right="28"/>
                    <w:jc w:val="left"/>
                  </w:pPr>
                </w:p>
              </w:tc>
            </w:tr>
            <w:tr w:rsidR="00CF6B94" w:rsidTr="00CF6B94">
              <w:tc>
                <w:tcPr>
                  <w:tcW w:w="2655" w:type="pct"/>
                  <w:shd w:val="clear" w:color="auto" w:fill="auto"/>
                  <w:vAlign w:val="bottom"/>
                </w:tcPr>
                <w:p w:rsidR="00CF6B94" w:rsidRPr="00AF1D23" w:rsidRDefault="00CF6B94" w:rsidP="00CF6B94">
                  <w:pPr>
                    <w:pStyle w:val="TableBodyText"/>
                    <w:ind w:left="113"/>
                    <w:jc w:val="left"/>
                  </w:pPr>
                  <w:r>
                    <w:t xml:space="preserve">Age of woman </w:t>
                  </w:r>
                  <w:r w:rsidRPr="00AF1D23">
                    <w:t>×</w:t>
                  </w:r>
                  <w:r>
                    <w:t xml:space="preserve"> 100</w:t>
                  </w:r>
                </w:p>
              </w:tc>
              <w:tc>
                <w:tcPr>
                  <w:tcW w:w="995" w:type="pct"/>
                  <w:shd w:val="clear" w:color="auto" w:fill="auto"/>
                </w:tcPr>
                <w:p w:rsidR="00CF6B94" w:rsidRDefault="00CF6B94" w:rsidP="00CF6B94">
                  <w:pPr>
                    <w:pStyle w:val="TableBodyText"/>
                    <w:ind w:right="0"/>
                  </w:pPr>
                  <w:r>
                    <w:t>0.40</w:t>
                  </w:r>
                </w:p>
              </w:tc>
              <w:tc>
                <w:tcPr>
                  <w:tcW w:w="191" w:type="pct"/>
                  <w:shd w:val="clear" w:color="auto" w:fill="auto"/>
                </w:tcPr>
                <w:p w:rsidR="00CF6B94" w:rsidRDefault="00CF6B94" w:rsidP="00CF6B94">
                  <w:pPr>
                    <w:pStyle w:val="TableBodyText"/>
                    <w:ind w:left="0"/>
                    <w:jc w:val="left"/>
                  </w:pPr>
                </w:p>
              </w:tc>
              <w:tc>
                <w:tcPr>
                  <w:tcW w:w="990" w:type="pct"/>
                  <w:shd w:val="clear" w:color="auto" w:fill="auto"/>
                </w:tcPr>
                <w:p w:rsidR="00CF6B94" w:rsidRDefault="00CF6B94" w:rsidP="00CF6B94">
                  <w:pPr>
                    <w:pStyle w:val="TableBodyText"/>
                    <w:ind w:right="0"/>
                  </w:pPr>
                  <w:r>
                    <w:t>-0.08</w:t>
                  </w:r>
                </w:p>
              </w:tc>
              <w:tc>
                <w:tcPr>
                  <w:tcW w:w="169" w:type="pct"/>
                  <w:shd w:val="clear" w:color="auto" w:fill="auto"/>
                </w:tcPr>
                <w:p w:rsidR="00CF6B94" w:rsidRDefault="00CF6B94" w:rsidP="00CF6B94">
                  <w:pPr>
                    <w:pStyle w:val="TableBodyText"/>
                    <w:ind w:left="0" w:right="28"/>
                    <w:jc w:val="left"/>
                  </w:pPr>
                </w:p>
              </w:tc>
            </w:tr>
            <w:tr w:rsidR="00CF6B94" w:rsidTr="00CF6B94">
              <w:tc>
                <w:tcPr>
                  <w:tcW w:w="2655" w:type="pct"/>
                  <w:shd w:val="clear" w:color="auto" w:fill="auto"/>
                  <w:vAlign w:val="bottom"/>
                </w:tcPr>
                <w:p w:rsidR="00CF6B94" w:rsidRPr="00AF1D23" w:rsidRDefault="00CF6B94" w:rsidP="00CF6B94">
                  <w:pPr>
                    <w:pStyle w:val="TableBodyText"/>
                    <w:ind w:left="113"/>
                    <w:jc w:val="left"/>
                  </w:pPr>
                  <w:r>
                    <w:t xml:space="preserve">Age of woman squared </w:t>
                  </w:r>
                  <w:r w:rsidRPr="00AF1D23">
                    <w:t>×</w:t>
                  </w:r>
                  <w:r>
                    <w:t xml:space="preserve"> 10 000</w:t>
                  </w:r>
                </w:p>
              </w:tc>
              <w:tc>
                <w:tcPr>
                  <w:tcW w:w="995" w:type="pct"/>
                  <w:shd w:val="clear" w:color="auto" w:fill="auto"/>
                </w:tcPr>
                <w:p w:rsidR="00CF6B94" w:rsidRDefault="00CF6B94" w:rsidP="00CF6B94">
                  <w:pPr>
                    <w:pStyle w:val="TableBodyText"/>
                    <w:ind w:right="0"/>
                  </w:pPr>
                  <w:r>
                    <w:t>-0.59</w:t>
                  </w:r>
                </w:p>
              </w:tc>
              <w:tc>
                <w:tcPr>
                  <w:tcW w:w="191" w:type="pct"/>
                  <w:shd w:val="clear" w:color="auto" w:fill="auto"/>
                </w:tcPr>
                <w:p w:rsidR="00CF6B94" w:rsidRDefault="00CF6B94" w:rsidP="00CF6B94">
                  <w:pPr>
                    <w:pStyle w:val="TableBodyText"/>
                    <w:ind w:left="0"/>
                    <w:jc w:val="left"/>
                  </w:pPr>
                </w:p>
              </w:tc>
              <w:tc>
                <w:tcPr>
                  <w:tcW w:w="990" w:type="pct"/>
                  <w:shd w:val="clear" w:color="auto" w:fill="auto"/>
                </w:tcPr>
                <w:p w:rsidR="00CF6B94" w:rsidRDefault="00CF6B94" w:rsidP="00CF6B94">
                  <w:pPr>
                    <w:pStyle w:val="TableBodyText"/>
                    <w:ind w:right="0"/>
                  </w:pPr>
                  <w:r>
                    <w:t>-0.03</w:t>
                  </w:r>
                </w:p>
              </w:tc>
              <w:tc>
                <w:tcPr>
                  <w:tcW w:w="169" w:type="pct"/>
                  <w:shd w:val="clear" w:color="auto" w:fill="auto"/>
                </w:tcPr>
                <w:p w:rsidR="00CF6B94" w:rsidRDefault="00CF6B94" w:rsidP="00CF6B94">
                  <w:pPr>
                    <w:pStyle w:val="TableBodyText"/>
                    <w:ind w:left="0" w:right="28"/>
                    <w:jc w:val="left"/>
                  </w:pPr>
                </w:p>
              </w:tc>
            </w:tr>
            <w:tr w:rsidR="00CF6B94" w:rsidTr="00CF6B94">
              <w:tc>
                <w:tcPr>
                  <w:tcW w:w="2655" w:type="pct"/>
                  <w:shd w:val="clear" w:color="auto" w:fill="auto"/>
                  <w:vAlign w:val="bottom"/>
                </w:tcPr>
                <w:p w:rsidR="00CF6B94" w:rsidRPr="00AF1D23" w:rsidRDefault="00CF6B94" w:rsidP="00CF6B94">
                  <w:pPr>
                    <w:pStyle w:val="TableBodyText"/>
                    <w:ind w:left="113"/>
                    <w:jc w:val="left"/>
                  </w:pPr>
                  <w:r>
                    <w:t xml:space="preserve">Vocational education woman </w:t>
                  </w:r>
                  <w:r w:rsidRPr="00AF1D23">
                    <w:t>×</w:t>
                  </w:r>
                  <w:r>
                    <w:t xml:space="preserve"> 100</w:t>
                  </w:r>
                </w:p>
              </w:tc>
              <w:tc>
                <w:tcPr>
                  <w:tcW w:w="995" w:type="pct"/>
                  <w:shd w:val="clear" w:color="auto" w:fill="auto"/>
                </w:tcPr>
                <w:p w:rsidR="00CF6B94" w:rsidRDefault="00CF6B94" w:rsidP="00CF6B94">
                  <w:pPr>
                    <w:pStyle w:val="TableBodyText"/>
                    <w:ind w:right="0"/>
                  </w:pPr>
                  <w:r>
                    <w:t>1.29</w:t>
                  </w:r>
                </w:p>
              </w:tc>
              <w:tc>
                <w:tcPr>
                  <w:tcW w:w="191" w:type="pct"/>
                  <w:shd w:val="clear" w:color="auto" w:fill="auto"/>
                </w:tcPr>
                <w:p w:rsidR="00CF6B94" w:rsidRDefault="00CF6B94" w:rsidP="00CF6B94">
                  <w:pPr>
                    <w:pStyle w:val="TableBodyText"/>
                    <w:ind w:left="0"/>
                    <w:jc w:val="left"/>
                  </w:pPr>
                </w:p>
              </w:tc>
              <w:tc>
                <w:tcPr>
                  <w:tcW w:w="990" w:type="pct"/>
                  <w:shd w:val="clear" w:color="auto" w:fill="auto"/>
                </w:tcPr>
                <w:p w:rsidR="00CF6B94" w:rsidRDefault="00CF6B94" w:rsidP="00CF6B94">
                  <w:pPr>
                    <w:pStyle w:val="TableBodyText"/>
                    <w:ind w:right="0"/>
                  </w:pPr>
                  <w:r>
                    <w:t>-3.04</w:t>
                  </w:r>
                </w:p>
              </w:tc>
              <w:tc>
                <w:tcPr>
                  <w:tcW w:w="169" w:type="pct"/>
                  <w:shd w:val="clear" w:color="auto" w:fill="auto"/>
                </w:tcPr>
                <w:p w:rsidR="00CF6B94" w:rsidRDefault="00CF6B94" w:rsidP="00CF6B94">
                  <w:pPr>
                    <w:pStyle w:val="TableBodyText"/>
                    <w:ind w:left="0" w:right="28"/>
                    <w:jc w:val="left"/>
                  </w:pPr>
                  <w:r>
                    <w:t>*</w:t>
                  </w:r>
                </w:p>
              </w:tc>
            </w:tr>
            <w:tr w:rsidR="00CF6B94" w:rsidTr="00CF6B94">
              <w:tc>
                <w:tcPr>
                  <w:tcW w:w="2655" w:type="pct"/>
                  <w:shd w:val="clear" w:color="auto" w:fill="auto"/>
                  <w:vAlign w:val="bottom"/>
                </w:tcPr>
                <w:p w:rsidR="00CF6B94" w:rsidRPr="00AF1D23" w:rsidRDefault="00CF6B94" w:rsidP="00CF6B94">
                  <w:pPr>
                    <w:pStyle w:val="TableBodyText"/>
                    <w:ind w:left="113"/>
                    <w:jc w:val="left"/>
                  </w:pPr>
                  <w:r>
                    <w:t xml:space="preserve">Diploma woman </w:t>
                  </w:r>
                  <w:r w:rsidRPr="00AF1D23">
                    <w:t>×</w:t>
                  </w:r>
                  <w:r>
                    <w:t xml:space="preserve"> 100</w:t>
                  </w:r>
                </w:p>
              </w:tc>
              <w:tc>
                <w:tcPr>
                  <w:tcW w:w="995" w:type="pct"/>
                  <w:shd w:val="clear" w:color="auto" w:fill="auto"/>
                </w:tcPr>
                <w:p w:rsidR="00CF6B94" w:rsidRDefault="00CF6B94" w:rsidP="00CF6B94">
                  <w:pPr>
                    <w:pStyle w:val="TableBodyText"/>
                    <w:ind w:right="0"/>
                  </w:pPr>
                  <w:r>
                    <w:t>0.01</w:t>
                  </w:r>
                </w:p>
              </w:tc>
              <w:tc>
                <w:tcPr>
                  <w:tcW w:w="191" w:type="pct"/>
                  <w:shd w:val="clear" w:color="auto" w:fill="auto"/>
                </w:tcPr>
                <w:p w:rsidR="00CF6B94" w:rsidRDefault="00CF6B94" w:rsidP="00CF6B94">
                  <w:pPr>
                    <w:pStyle w:val="TableBodyText"/>
                    <w:ind w:left="0"/>
                    <w:jc w:val="left"/>
                  </w:pPr>
                </w:p>
              </w:tc>
              <w:tc>
                <w:tcPr>
                  <w:tcW w:w="990" w:type="pct"/>
                  <w:shd w:val="clear" w:color="auto" w:fill="auto"/>
                </w:tcPr>
                <w:p w:rsidR="00CF6B94" w:rsidRDefault="00CF6B94" w:rsidP="00CF6B94">
                  <w:pPr>
                    <w:pStyle w:val="TableBodyText"/>
                    <w:ind w:right="0"/>
                  </w:pPr>
                  <w:r>
                    <w:t>-5.77</w:t>
                  </w:r>
                </w:p>
              </w:tc>
              <w:tc>
                <w:tcPr>
                  <w:tcW w:w="169" w:type="pct"/>
                  <w:shd w:val="clear" w:color="auto" w:fill="auto"/>
                </w:tcPr>
                <w:p w:rsidR="00CF6B94" w:rsidRDefault="00CF6B94" w:rsidP="00CF6B94">
                  <w:pPr>
                    <w:pStyle w:val="TableBodyText"/>
                    <w:ind w:left="0" w:right="28"/>
                    <w:jc w:val="left"/>
                  </w:pPr>
                  <w:r>
                    <w:t>***</w:t>
                  </w:r>
                </w:p>
              </w:tc>
            </w:tr>
            <w:tr w:rsidR="00CF6B94" w:rsidTr="00CF6B94">
              <w:tc>
                <w:tcPr>
                  <w:tcW w:w="2655" w:type="pct"/>
                  <w:shd w:val="clear" w:color="auto" w:fill="auto"/>
                  <w:vAlign w:val="bottom"/>
                </w:tcPr>
                <w:p w:rsidR="00CF6B94" w:rsidRPr="00AF1D23" w:rsidRDefault="00CF6B94" w:rsidP="00CF6B94">
                  <w:pPr>
                    <w:pStyle w:val="TableBodyText"/>
                    <w:ind w:left="113"/>
                    <w:jc w:val="left"/>
                  </w:pPr>
                  <w:r>
                    <w:t xml:space="preserve">Degree woman </w:t>
                  </w:r>
                  <w:r w:rsidRPr="00AF1D23">
                    <w:t>×</w:t>
                  </w:r>
                  <w:r>
                    <w:t xml:space="preserve"> 10 000</w:t>
                  </w:r>
                </w:p>
              </w:tc>
              <w:tc>
                <w:tcPr>
                  <w:tcW w:w="995" w:type="pct"/>
                  <w:shd w:val="clear" w:color="auto" w:fill="auto"/>
                </w:tcPr>
                <w:p w:rsidR="00CF6B94" w:rsidRDefault="00CF6B94" w:rsidP="00CF6B94">
                  <w:pPr>
                    <w:pStyle w:val="TableBodyText"/>
                    <w:ind w:right="0"/>
                  </w:pPr>
                  <w:r>
                    <w:t>-0.16</w:t>
                  </w:r>
                </w:p>
              </w:tc>
              <w:tc>
                <w:tcPr>
                  <w:tcW w:w="191" w:type="pct"/>
                  <w:shd w:val="clear" w:color="auto" w:fill="auto"/>
                </w:tcPr>
                <w:p w:rsidR="00CF6B94" w:rsidRDefault="00CF6B94" w:rsidP="00CF6B94">
                  <w:pPr>
                    <w:pStyle w:val="TableBodyText"/>
                    <w:ind w:left="0"/>
                    <w:jc w:val="left"/>
                  </w:pPr>
                </w:p>
              </w:tc>
              <w:tc>
                <w:tcPr>
                  <w:tcW w:w="990" w:type="pct"/>
                  <w:shd w:val="clear" w:color="auto" w:fill="auto"/>
                </w:tcPr>
                <w:p w:rsidR="00CF6B94" w:rsidRDefault="00CF6B94" w:rsidP="00CF6B94">
                  <w:pPr>
                    <w:pStyle w:val="TableBodyText"/>
                    <w:ind w:right="0"/>
                  </w:pPr>
                  <w:r>
                    <w:t>-5.73</w:t>
                  </w:r>
                </w:p>
              </w:tc>
              <w:tc>
                <w:tcPr>
                  <w:tcW w:w="169" w:type="pct"/>
                  <w:shd w:val="clear" w:color="auto" w:fill="auto"/>
                </w:tcPr>
                <w:p w:rsidR="00CF6B94" w:rsidRDefault="00CF6B94" w:rsidP="00CF6B94">
                  <w:pPr>
                    <w:pStyle w:val="TableBodyText"/>
                    <w:ind w:left="0" w:right="28"/>
                    <w:jc w:val="left"/>
                  </w:pPr>
                  <w:r>
                    <w:t>***</w:t>
                  </w:r>
                </w:p>
              </w:tc>
            </w:tr>
            <w:tr w:rsidR="00CF6B94" w:rsidTr="00CF6B94">
              <w:tc>
                <w:tcPr>
                  <w:tcW w:w="2655" w:type="pct"/>
                  <w:shd w:val="clear" w:color="auto" w:fill="auto"/>
                  <w:vAlign w:val="bottom"/>
                </w:tcPr>
                <w:p w:rsidR="00CF6B94" w:rsidRDefault="00CF6B94" w:rsidP="00CF6B94">
                  <w:pPr>
                    <w:pStyle w:val="TableBodyText"/>
                    <w:ind w:left="113"/>
                    <w:jc w:val="left"/>
                  </w:pPr>
                  <w:r>
                    <w:t xml:space="preserve">Female </w:t>
                  </w:r>
                  <w:r w:rsidRPr="00AF1D23">
                    <w:t>×</w:t>
                  </w:r>
                  <w:r>
                    <w:t xml:space="preserve"> 100</w:t>
                  </w:r>
                </w:p>
              </w:tc>
              <w:tc>
                <w:tcPr>
                  <w:tcW w:w="995" w:type="pct"/>
                  <w:shd w:val="clear" w:color="auto" w:fill="auto"/>
                </w:tcPr>
                <w:p w:rsidR="00CF6B94" w:rsidRDefault="00CF6B94" w:rsidP="00CF6B94">
                  <w:pPr>
                    <w:pStyle w:val="TableBodyText"/>
                    <w:ind w:right="0"/>
                  </w:pPr>
                  <w:proofErr w:type="spellStart"/>
                  <w:r>
                    <w:t>na</w:t>
                  </w:r>
                  <w:proofErr w:type="spellEnd"/>
                </w:p>
              </w:tc>
              <w:tc>
                <w:tcPr>
                  <w:tcW w:w="191" w:type="pct"/>
                  <w:shd w:val="clear" w:color="auto" w:fill="auto"/>
                </w:tcPr>
                <w:p w:rsidR="00CF6B94" w:rsidRDefault="00CF6B94" w:rsidP="00CF6B94">
                  <w:pPr>
                    <w:pStyle w:val="TableBodyText"/>
                    <w:ind w:left="0"/>
                    <w:jc w:val="left"/>
                  </w:pPr>
                </w:p>
              </w:tc>
              <w:tc>
                <w:tcPr>
                  <w:tcW w:w="990" w:type="pct"/>
                  <w:shd w:val="clear" w:color="auto" w:fill="auto"/>
                </w:tcPr>
                <w:p w:rsidR="00CF6B94" w:rsidRDefault="00CF6B94" w:rsidP="00CF6B94">
                  <w:pPr>
                    <w:pStyle w:val="TableBodyText"/>
                    <w:ind w:right="0"/>
                  </w:pPr>
                  <w:r>
                    <w:t>-0.37</w:t>
                  </w:r>
                </w:p>
              </w:tc>
              <w:tc>
                <w:tcPr>
                  <w:tcW w:w="169" w:type="pct"/>
                  <w:shd w:val="clear" w:color="auto" w:fill="auto"/>
                </w:tcPr>
                <w:p w:rsidR="00CF6B94" w:rsidRDefault="00CF6B94" w:rsidP="00CF6B94">
                  <w:pPr>
                    <w:pStyle w:val="TableBodyText"/>
                    <w:ind w:left="0" w:right="28"/>
                    <w:jc w:val="left"/>
                  </w:pPr>
                </w:p>
              </w:tc>
            </w:tr>
            <w:tr w:rsidR="00CF6B94" w:rsidTr="00CF6B94">
              <w:tc>
                <w:tcPr>
                  <w:tcW w:w="2655" w:type="pct"/>
                  <w:shd w:val="clear" w:color="auto" w:fill="auto"/>
                </w:tcPr>
                <w:p w:rsidR="00CF6B94" w:rsidRDefault="00CF6B94" w:rsidP="00CF6B94">
                  <w:pPr>
                    <w:pStyle w:val="TableBodyText"/>
                    <w:jc w:val="left"/>
                  </w:pPr>
                  <w:r>
                    <w:t>Informal childcare</w:t>
                  </w:r>
                </w:p>
              </w:tc>
              <w:tc>
                <w:tcPr>
                  <w:tcW w:w="995" w:type="pct"/>
                  <w:shd w:val="clear" w:color="auto" w:fill="auto"/>
                </w:tcPr>
                <w:p w:rsidR="00CF6B94" w:rsidRDefault="00CF6B94" w:rsidP="00CF6B94">
                  <w:pPr>
                    <w:pStyle w:val="TableBodyText"/>
                    <w:ind w:right="0"/>
                  </w:pPr>
                  <w:r>
                    <w:t>0.02</w:t>
                  </w:r>
                </w:p>
              </w:tc>
              <w:tc>
                <w:tcPr>
                  <w:tcW w:w="191" w:type="pct"/>
                  <w:shd w:val="clear" w:color="auto" w:fill="auto"/>
                </w:tcPr>
                <w:p w:rsidR="00CF6B94" w:rsidRDefault="00CF6B94" w:rsidP="00CF6B94">
                  <w:pPr>
                    <w:pStyle w:val="TableBodyText"/>
                    <w:ind w:left="0"/>
                    <w:jc w:val="left"/>
                  </w:pPr>
                </w:p>
              </w:tc>
              <w:tc>
                <w:tcPr>
                  <w:tcW w:w="990" w:type="pct"/>
                  <w:shd w:val="clear" w:color="auto" w:fill="auto"/>
                </w:tcPr>
                <w:p w:rsidR="00CF6B94" w:rsidRDefault="00CF6B94" w:rsidP="00CF6B94">
                  <w:pPr>
                    <w:pStyle w:val="TableBodyText"/>
                    <w:ind w:right="0"/>
                  </w:pPr>
                  <w:r>
                    <w:t>-0.68</w:t>
                  </w:r>
                </w:p>
              </w:tc>
              <w:tc>
                <w:tcPr>
                  <w:tcW w:w="169" w:type="pct"/>
                  <w:shd w:val="clear" w:color="auto" w:fill="auto"/>
                </w:tcPr>
                <w:p w:rsidR="00CF6B94" w:rsidRDefault="00CF6B94" w:rsidP="00CF6B94">
                  <w:pPr>
                    <w:pStyle w:val="TableBodyText"/>
                    <w:ind w:left="0" w:right="28"/>
                    <w:jc w:val="left"/>
                  </w:pPr>
                  <w:r>
                    <w:t>***</w:t>
                  </w:r>
                </w:p>
              </w:tc>
            </w:tr>
            <w:tr w:rsidR="00CF6B94" w:rsidTr="00CF6B94">
              <w:tc>
                <w:tcPr>
                  <w:tcW w:w="2655" w:type="pct"/>
                  <w:shd w:val="clear" w:color="auto" w:fill="auto"/>
                  <w:vAlign w:val="bottom"/>
                </w:tcPr>
                <w:p w:rsidR="00CF6B94" w:rsidRPr="00AF1D23" w:rsidRDefault="00CF6B94" w:rsidP="00CF6B94">
                  <w:pPr>
                    <w:pStyle w:val="TableBodyText"/>
                    <w:ind w:left="113"/>
                    <w:jc w:val="left"/>
                  </w:pPr>
                  <w:r>
                    <w:t>Youngest child aged 0–2</w:t>
                  </w:r>
                </w:p>
              </w:tc>
              <w:tc>
                <w:tcPr>
                  <w:tcW w:w="995" w:type="pct"/>
                  <w:shd w:val="clear" w:color="auto" w:fill="auto"/>
                </w:tcPr>
                <w:p w:rsidR="00CF6B94" w:rsidRDefault="00CF6B94" w:rsidP="00CF6B94">
                  <w:pPr>
                    <w:pStyle w:val="TableBodyText"/>
                    <w:ind w:right="0"/>
                  </w:pPr>
                  <w:r>
                    <w:t>-0.53</w:t>
                  </w:r>
                </w:p>
              </w:tc>
              <w:tc>
                <w:tcPr>
                  <w:tcW w:w="191" w:type="pct"/>
                  <w:shd w:val="clear" w:color="auto" w:fill="auto"/>
                </w:tcPr>
                <w:p w:rsidR="00CF6B94" w:rsidRDefault="00CF6B94" w:rsidP="00CF6B94">
                  <w:pPr>
                    <w:pStyle w:val="TableBodyText"/>
                    <w:ind w:left="0"/>
                    <w:jc w:val="left"/>
                  </w:pPr>
                  <w:r>
                    <w:t>***</w:t>
                  </w:r>
                </w:p>
              </w:tc>
              <w:tc>
                <w:tcPr>
                  <w:tcW w:w="990" w:type="pct"/>
                  <w:shd w:val="clear" w:color="auto" w:fill="auto"/>
                </w:tcPr>
                <w:p w:rsidR="00CF6B94" w:rsidRDefault="00CF6B94" w:rsidP="00CF6B94">
                  <w:pPr>
                    <w:pStyle w:val="TableBodyText"/>
                    <w:ind w:right="0"/>
                  </w:pPr>
                  <w:r>
                    <w:t>-0.32</w:t>
                  </w:r>
                </w:p>
              </w:tc>
              <w:tc>
                <w:tcPr>
                  <w:tcW w:w="169" w:type="pct"/>
                  <w:shd w:val="clear" w:color="auto" w:fill="auto"/>
                </w:tcPr>
                <w:p w:rsidR="00CF6B94" w:rsidRDefault="00CF6B94" w:rsidP="00CF6B94">
                  <w:pPr>
                    <w:pStyle w:val="TableBodyText"/>
                    <w:ind w:left="0" w:right="28"/>
                    <w:jc w:val="left"/>
                  </w:pPr>
                  <w:r>
                    <w:t>***</w:t>
                  </w:r>
                </w:p>
              </w:tc>
            </w:tr>
            <w:tr w:rsidR="00CF6B94" w:rsidTr="00CF6B94">
              <w:tc>
                <w:tcPr>
                  <w:tcW w:w="2655" w:type="pct"/>
                  <w:shd w:val="clear" w:color="auto" w:fill="auto"/>
                  <w:vAlign w:val="bottom"/>
                </w:tcPr>
                <w:p w:rsidR="00CF6B94" w:rsidRPr="00AF1D23" w:rsidRDefault="00CF6B94" w:rsidP="00CF6B94">
                  <w:pPr>
                    <w:pStyle w:val="TableBodyText"/>
                    <w:ind w:left="113"/>
                    <w:jc w:val="left"/>
                  </w:pPr>
                  <w:r>
                    <w:t>Youngest child aged 3–4</w:t>
                  </w:r>
                </w:p>
              </w:tc>
              <w:tc>
                <w:tcPr>
                  <w:tcW w:w="995" w:type="pct"/>
                  <w:shd w:val="clear" w:color="auto" w:fill="auto"/>
                </w:tcPr>
                <w:p w:rsidR="00CF6B94" w:rsidRDefault="00CF6B94" w:rsidP="00CF6B94">
                  <w:pPr>
                    <w:pStyle w:val="TableBodyText"/>
                    <w:ind w:right="0"/>
                  </w:pPr>
                  <w:r>
                    <w:t>-0.54</w:t>
                  </w:r>
                </w:p>
              </w:tc>
              <w:tc>
                <w:tcPr>
                  <w:tcW w:w="191" w:type="pct"/>
                  <w:shd w:val="clear" w:color="auto" w:fill="auto"/>
                </w:tcPr>
                <w:p w:rsidR="00CF6B94" w:rsidRDefault="00CF6B94" w:rsidP="00CF6B94">
                  <w:pPr>
                    <w:pStyle w:val="TableBodyText"/>
                    <w:ind w:left="0"/>
                    <w:jc w:val="left"/>
                  </w:pPr>
                  <w:r>
                    <w:t>***</w:t>
                  </w:r>
                </w:p>
              </w:tc>
              <w:tc>
                <w:tcPr>
                  <w:tcW w:w="990" w:type="pct"/>
                  <w:shd w:val="clear" w:color="auto" w:fill="auto"/>
                </w:tcPr>
                <w:p w:rsidR="00CF6B94" w:rsidRDefault="00CF6B94" w:rsidP="00CF6B94">
                  <w:pPr>
                    <w:pStyle w:val="TableBodyText"/>
                    <w:ind w:right="0"/>
                  </w:pPr>
                  <w:r>
                    <w:t>-0.34</w:t>
                  </w:r>
                </w:p>
              </w:tc>
              <w:tc>
                <w:tcPr>
                  <w:tcW w:w="169" w:type="pct"/>
                  <w:shd w:val="clear" w:color="auto" w:fill="auto"/>
                </w:tcPr>
                <w:p w:rsidR="00CF6B94" w:rsidRDefault="00CF6B94" w:rsidP="00CF6B94">
                  <w:pPr>
                    <w:pStyle w:val="TableBodyText"/>
                    <w:ind w:left="0" w:right="28"/>
                    <w:jc w:val="left"/>
                  </w:pPr>
                  <w:r>
                    <w:t>***</w:t>
                  </w:r>
                </w:p>
              </w:tc>
            </w:tr>
            <w:tr w:rsidR="00CF6B94" w:rsidTr="00CF6B94">
              <w:tc>
                <w:tcPr>
                  <w:tcW w:w="2655" w:type="pct"/>
                  <w:shd w:val="clear" w:color="auto" w:fill="auto"/>
                  <w:vAlign w:val="bottom"/>
                </w:tcPr>
                <w:p w:rsidR="00CF6B94" w:rsidRPr="00AF1D23" w:rsidRDefault="00CF6B94" w:rsidP="00CF6B94">
                  <w:pPr>
                    <w:pStyle w:val="TableBodyText"/>
                    <w:ind w:left="113"/>
                    <w:jc w:val="left"/>
                  </w:pPr>
                  <w:r>
                    <w:t>Youngest child aged 5–9</w:t>
                  </w:r>
                </w:p>
              </w:tc>
              <w:tc>
                <w:tcPr>
                  <w:tcW w:w="995" w:type="pct"/>
                  <w:shd w:val="clear" w:color="auto" w:fill="auto"/>
                </w:tcPr>
                <w:p w:rsidR="00CF6B94" w:rsidRDefault="00CF6B94" w:rsidP="00CF6B94">
                  <w:pPr>
                    <w:pStyle w:val="TableBodyText"/>
                    <w:ind w:right="0"/>
                  </w:pPr>
                  <w:r>
                    <w:t>-0.26</w:t>
                  </w:r>
                </w:p>
              </w:tc>
              <w:tc>
                <w:tcPr>
                  <w:tcW w:w="191" w:type="pct"/>
                  <w:shd w:val="clear" w:color="auto" w:fill="auto"/>
                </w:tcPr>
                <w:p w:rsidR="00CF6B94" w:rsidRDefault="00CF6B94" w:rsidP="00CF6B94">
                  <w:pPr>
                    <w:pStyle w:val="TableBodyText"/>
                    <w:ind w:left="0"/>
                    <w:jc w:val="left"/>
                  </w:pPr>
                  <w:r>
                    <w:t>***</w:t>
                  </w:r>
                </w:p>
              </w:tc>
              <w:tc>
                <w:tcPr>
                  <w:tcW w:w="990" w:type="pct"/>
                  <w:shd w:val="clear" w:color="auto" w:fill="auto"/>
                </w:tcPr>
                <w:p w:rsidR="00CF6B94" w:rsidRDefault="00CF6B94" w:rsidP="00CF6B94">
                  <w:pPr>
                    <w:pStyle w:val="TableBodyText"/>
                    <w:ind w:right="0"/>
                  </w:pPr>
                  <w:r>
                    <w:t>-0.18</w:t>
                  </w:r>
                </w:p>
              </w:tc>
              <w:tc>
                <w:tcPr>
                  <w:tcW w:w="169" w:type="pct"/>
                  <w:shd w:val="clear" w:color="auto" w:fill="auto"/>
                </w:tcPr>
                <w:p w:rsidR="00CF6B94" w:rsidRDefault="00CF6B94" w:rsidP="00CF6B94">
                  <w:pPr>
                    <w:pStyle w:val="TableBodyText"/>
                    <w:ind w:left="0" w:right="28"/>
                    <w:jc w:val="left"/>
                  </w:pPr>
                  <w:r>
                    <w:t>***</w:t>
                  </w:r>
                </w:p>
              </w:tc>
            </w:tr>
            <w:tr w:rsidR="00CF6B94" w:rsidTr="00CF6B94">
              <w:tc>
                <w:tcPr>
                  <w:tcW w:w="2655" w:type="pct"/>
                  <w:shd w:val="clear" w:color="auto" w:fill="auto"/>
                  <w:vAlign w:val="bottom"/>
                </w:tcPr>
                <w:p w:rsidR="00CF6B94" w:rsidRPr="00AF1D23" w:rsidRDefault="00CF6B94" w:rsidP="00CF6B94">
                  <w:pPr>
                    <w:pStyle w:val="TableBodyText"/>
                    <w:ind w:left="113"/>
                    <w:jc w:val="left"/>
                  </w:pPr>
                  <w:r>
                    <w:t xml:space="preserve">Number of children </w:t>
                  </w:r>
                  <w:r w:rsidRPr="00AF1D23">
                    <w:t>×</w:t>
                  </w:r>
                  <w:r>
                    <w:t xml:space="preserve"> 100</w:t>
                  </w:r>
                </w:p>
              </w:tc>
              <w:tc>
                <w:tcPr>
                  <w:tcW w:w="995" w:type="pct"/>
                  <w:shd w:val="clear" w:color="auto" w:fill="auto"/>
                </w:tcPr>
                <w:p w:rsidR="00CF6B94" w:rsidRDefault="00CF6B94" w:rsidP="00CF6B94">
                  <w:pPr>
                    <w:pStyle w:val="TableBodyText"/>
                    <w:ind w:right="0"/>
                  </w:pPr>
                  <w:r>
                    <w:t>0.98</w:t>
                  </w:r>
                </w:p>
              </w:tc>
              <w:tc>
                <w:tcPr>
                  <w:tcW w:w="191" w:type="pct"/>
                  <w:shd w:val="clear" w:color="auto" w:fill="auto"/>
                </w:tcPr>
                <w:p w:rsidR="00CF6B94" w:rsidRDefault="00CF6B94" w:rsidP="00CF6B94">
                  <w:pPr>
                    <w:pStyle w:val="TableBodyText"/>
                    <w:ind w:left="0"/>
                    <w:jc w:val="left"/>
                  </w:pPr>
                  <w:r>
                    <w:t>***</w:t>
                  </w:r>
                </w:p>
              </w:tc>
              <w:tc>
                <w:tcPr>
                  <w:tcW w:w="990" w:type="pct"/>
                  <w:shd w:val="clear" w:color="auto" w:fill="auto"/>
                </w:tcPr>
                <w:p w:rsidR="00CF6B94" w:rsidRDefault="00CF6B94" w:rsidP="00CF6B94">
                  <w:pPr>
                    <w:pStyle w:val="TableBodyText"/>
                    <w:ind w:right="0"/>
                  </w:pPr>
                  <w:r>
                    <w:t>1.63</w:t>
                  </w:r>
                </w:p>
              </w:tc>
              <w:tc>
                <w:tcPr>
                  <w:tcW w:w="169" w:type="pct"/>
                  <w:shd w:val="clear" w:color="auto" w:fill="auto"/>
                </w:tcPr>
                <w:p w:rsidR="00CF6B94" w:rsidRDefault="00CF6B94" w:rsidP="00CF6B94">
                  <w:pPr>
                    <w:pStyle w:val="TableBodyText"/>
                    <w:ind w:left="0" w:right="28"/>
                    <w:jc w:val="left"/>
                  </w:pPr>
                  <w:r>
                    <w:t>**</w:t>
                  </w:r>
                </w:p>
              </w:tc>
            </w:tr>
            <w:tr w:rsidR="00CF6B94" w:rsidTr="00CF6B94">
              <w:tc>
                <w:tcPr>
                  <w:tcW w:w="2655" w:type="pct"/>
                  <w:shd w:val="clear" w:color="auto" w:fill="auto"/>
                  <w:vAlign w:val="bottom"/>
                </w:tcPr>
                <w:p w:rsidR="00CF6B94" w:rsidRPr="00AF1D23" w:rsidRDefault="00CF6B94" w:rsidP="00CF6B94">
                  <w:pPr>
                    <w:pStyle w:val="TableBodyText"/>
                    <w:ind w:left="113"/>
                    <w:jc w:val="left"/>
                  </w:pPr>
                  <w:r>
                    <w:t xml:space="preserve">Age of woman </w:t>
                  </w:r>
                  <w:r w:rsidRPr="00AF1D23">
                    <w:t>×</w:t>
                  </w:r>
                  <w:r>
                    <w:t xml:space="preserve"> 100</w:t>
                  </w:r>
                </w:p>
              </w:tc>
              <w:tc>
                <w:tcPr>
                  <w:tcW w:w="995" w:type="pct"/>
                  <w:shd w:val="clear" w:color="auto" w:fill="auto"/>
                </w:tcPr>
                <w:p w:rsidR="00CF6B94" w:rsidRDefault="00CF6B94" w:rsidP="00CF6B94">
                  <w:pPr>
                    <w:pStyle w:val="TableBodyText"/>
                    <w:ind w:right="0"/>
                  </w:pPr>
                  <w:r>
                    <w:t>-0.44</w:t>
                  </w:r>
                </w:p>
              </w:tc>
              <w:tc>
                <w:tcPr>
                  <w:tcW w:w="191" w:type="pct"/>
                  <w:shd w:val="clear" w:color="auto" w:fill="auto"/>
                </w:tcPr>
                <w:p w:rsidR="00CF6B94" w:rsidRDefault="00CF6B94" w:rsidP="00CF6B94">
                  <w:pPr>
                    <w:pStyle w:val="TableBodyText"/>
                    <w:ind w:left="0"/>
                    <w:jc w:val="left"/>
                  </w:pPr>
                </w:p>
              </w:tc>
              <w:tc>
                <w:tcPr>
                  <w:tcW w:w="990" w:type="pct"/>
                  <w:shd w:val="clear" w:color="auto" w:fill="auto"/>
                </w:tcPr>
                <w:p w:rsidR="00CF6B94" w:rsidRDefault="00CF6B94" w:rsidP="00CF6B94">
                  <w:pPr>
                    <w:pStyle w:val="TableBodyText"/>
                    <w:ind w:right="0"/>
                  </w:pPr>
                  <w:r>
                    <w:t>-0.32</w:t>
                  </w:r>
                </w:p>
              </w:tc>
              <w:tc>
                <w:tcPr>
                  <w:tcW w:w="169" w:type="pct"/>
                  <w:shd w:val="clear" w:color="auto" w:fill="auto"/>
                </w:tcPr>
                <w:p w:rsidR="00CF6B94" w:rsidRDefault="00CF6B94" w:rsidP="00CF6B94">
                  <w:pPr>
                    <w:pStyle w:val="TableBodyText"/>
                    <w:ind w:left="0" w:right="28"/>
                    <w:jc w:val="left"/>
                  </w:pPr>
                </w:p>
              </w:tc>
            </w:tr>
            <w:tr w:rsidR="00CF6B94" w:rsidTr="00CF6B94">
              <w:tc>
                <w:tcPr>
                  <w:tcW w:w="2655" w:type="pct"/>
                  <w:shd w:val="clear" w:color="auto" w:fill="auto"/>
                  <w:vAlign w:val="bottom"/>
                </w:tcPr>
                <w:p w:rsidR="00CF6B94" w:rsidRPr="00AF1D23" w:rsidRDefault="00CF6B94" w:rsidP="00CF6B94">
                  <w:pPr>
                    <w:pStyle w:val="TableBodyText"/>
                    <w:ind w:left="113"/>
                    <w:jc w:val="left"/>
                  </w:pPr>
                  <w:r>
                    <w:t xml:space="preserve">Age of woman squared </w:t>
                  </w:r>
                  <w:r w:rsidRPr="00AF1D23">
                    <w:t>×</w:t>
                  </w:r>
                  <w:r>
                    <w:t xml:space="preserve"> 10 000</w:t>
                  </w:r>
                </w:p>
              </w:tc>
              <w:tc>
                <w:tcPr>
                  <w:tcW w:w="995" w:type="pct"/>
                  <w:shd w:val="clear" w:color="auto" w:fill="auto"/>
                </w:tcPr>
                <w:p w:rsidR="00CF6B94" w:rsidRDefault="00CF6B94" w:rsidP="00CF6B94">
                  <w:pPr>
                    <w:pStyle w:val="TableBodyText"/>
                    <w:ind w:right="0"/>
                  </w:pPr>
                  <w:r>
                    <w:t>0.56</w:t>
                  </w:r>
                </w:p>
              </w:tc>
              <w:tc>
                <w:tcPr>
                  <w:tcW w:w="191" w:type="pct"/>
                  <w:shd w:val="clear" w:color="auto" w:fill="auto"/>
                </w:tcPr>
                <w:p w:rsidR="00CF6B94" w:rsidRDefault="00CF6B94" w:rsidP="00CF6B94">
                  <w:pPr>
                    <w:pStyle w:val="TableBodyText"/>
                    <w:ind w:left="0"/>
                    <w:jc w:val="left"/>
                  </w:pPr>
                </w:p>
              </w:tc>
              <w:tc>
                <w:tcPr>
                  <w:tcW w:w="990" w:type="pct"/>
                  <w:shd w:val="clear" w:color="auto" w:fill="auto"/>
                </w:tcPr>
                <w:p w:rsidR="00CF6B94" w:rsidRDefault="00CF6B94" w:rsidP="00CF6B94">
                  <w:pPr>
                    <w:pStyle w:val="TableBodyText"/>
                    <w:ind w:right="0"/>
                  </w:pPr>
                  <w:r>
                    <w:t>0.53</w:t>
                  </w:r>
                </w:p>
              </w:tc>
              <w:tc>
                <w:tcPr>
                  <w:tcW w:w="169" w:type="pct"/>
                  <w:shd w:val="clear" w:color="auto" w:fill="auto"/>
                </w:tcPr>
                <w:p w:rsidR="00CF6B94" w:rsidRDefault="00CF6B94" w:rsidP="00CF6B94">
                  <w:pPr>
                    <w:pStyle w:val="TableBodyText"/>
                    <w:ind w:left="0" w:right="28"/>
                    <w:jc w:val="left"/>
                  </w:pPr>
                </w:p>
              </w:tc>
            </w:tr>
            <w:tr w:rsidR="00CF6B94" w:rsidTr="00BD2E8E">
              <w:tc>
                <w:tcPr>
                  <w:tcW w:w="2655" w:type="pct"/>
                  <w:shd w:val="clear" w:color="auto" w:fill="auto"/>
                </w:tcPr>
                <w:p w:rsidR="00CF6B94" w:rsidRDefault="00CF6B94" w:rsidP="00CF6B94">
                  <w:pPr>
                    <w:pStyle w:val="TableBodyText"/>
                    <w:jc w:val="left"/>
                  </w:pPr>
                  <w:r>
                    <w:t>Fixed cost of working</w:t>
                  </w:r>
                </w:p>
              </w:tc>
              <w:tc>
                <w:tcPr>
                  <w:tcW w:w="995" w:type="pct"/>
                  <w:shd w:val="clear" w:color="auto" w:fill="auto"/>
                </w:tcPr>
                <w:p w:rsidR="00CF6B94" w:rsidRDefault="00CF6B94" w:rsidP="00CF6B94">
                  <w:pPr>
                    <w:pStyle w:val="TableBodyText"/>
                    <w:ind w:right="0"/>
                  </w:pPr>
                  <w:r>
                    <w:t>-1.86</w:t>
                  </w:r>
                </w:p>
              </w:tc>
              <w:tc>
                <w:tcPr>
                  <w:tcW w:w="191" w:type="pct"/>
                  <w:shd w:val="clear" w:color="auto" w:fill="auto"/>
                </w:tcPr>
                <w:p w:rsidR="00CF6B94" w:rsidRDefault="00CF6B94" w:rsidP="00CF6B94">
                  <w:pPr>
                    <w:pStyle w:val="TableBodyText"/>
                    <w:ind w:left="0"/>
                    <w:jc w:val="left"/>
                  </w:pPr>
                  <w:r>
                    <w:t>***</w:t>
                  </w:r>
                </w:p>
              </w:tc>
              <w:tc>
                <w:tcPr>
                  <w:tcW w:w="990" w:type="pct"/>
                  <w:shd w:val="clear" w:color="auto" w:fill="auto"/>
                </w:tcPr>
                <w:p w:rsidR="00CF6B94" w:rsidRDefault="00CF6B94" w:rsidP="00CF6B94">
                  <w:pPr>
                    <w:pStyle w:val="TableBodyText"/>
                    <w:ind w:right="0"/>
                  </w:pPr>
                  <w:r>
                    <w:t>-4.88</w:t>
                  </w:r>
                </w:p>
              </w:tc>
              <w:tc>
                <w:tcPr>
                  <w:tcW w:w="169" w:type="pct"/>
                  <w:shd w:val="clear" w:color="auto" w:fill="auto"/>
                </w:tcPr>
                <w:p w:rsidR="00CF6B94" w:rsidRDefault="00CF6B94" w:rsidP="00CF6B94">
                  <w:pPr>
                    <w:pStyle w:val="TableBodyText"/>
                    <w:ind w:left="0" w:right="28"/>
                    <w:jc w:val="left"/>
                  </w:pPr>
                  <w:r>
                    <w:t>***</w:t>
                  </w:r>
                </w:p>
              </w:tc>
            </w:tr>
            <w:tr w:rsidR="00CF6B94" w:rsidTr="00BD2E8E">
              <w:tc>
                <w:tcPr>
                  <w:tcW w:w="2655" w:type="pct"/>
                  <w:tcBorders>
                    <w:bottom w:val="single" w:sz="4" w:space="0" w:color="C8C8C8"/>
                  </w:tcBorders>
                  <w:shd w:val="clear" w:color="auto" w:fill="auto"/>
                  <w:vAlign w:val="bottom"/>
                </w:tcPr>
                <w:p w:rsidR="00CF6B94" w:rsidRPr="00AF1D23" w:rsidRDefault="00CF6B94" w:rsidP="00CF6B94">
                  <w:pPr>
                    <w:pStyle w:val="TableBodyText"/>
                    <w:ind w:left="113"/>
                    <w:jc w:val="left"/>
                  </w:pPr>
                  <w:r>
                    <w:t>Female</w:t>
                  </w:r>
                </w:p>
              </w:tc>
              <w:tc>
                <w:tcPr>
                  <w:tcW w:w="995" w:type="pct"/>
                  <w:tcBorders>
                    <w:bottom w:val="single" w:sz="4" w:space="0" w:color="C8C8C8"/>
                  </w:tcBorders>
                  <w:shd w:val="clear" w:color="auto" w:fill="auto"/>
                </w:tcPr>
                <w:p w:rsidR="00CF6B94" w:rsidRDefault="00CF6B94" w:rsidP="00CF6B94">
                  <w:pPr>
                    <w:pStyle w:val="TableBodyText"/>
                  </w:pPr>
                  <w:proofErr w:type="spellStart"/>
                  <w:r>
                    <w:t>na</w:t>
                  </w:r>
                  <w:proofErr w:type="spellEnd"/>
                </w:p>
              </w:tc>
              <w:tc>
                <w:tcPr>
                  <w:tcW w:w="191" w:type="pct"/>
                  <w:tcBorders>
                    <w:bottom w:val="single" w:sz="4" w:space="0" w:color="C8C8C8"/>
                  </w:tcBorders>
                  <w:shd w:val="clear" w:color="auto" w:fill="auto"/>
                </w:tcPr>
                <w:p w:rsidR="00CF6B94" w:rsidRDefault="00CF6B94" w:rsidP="00CF6B94">
                  <w:pPr>
                    <w:pStyle w:val="TableBodyText"/>
                  </w:pPr>
                </w:p>
              </w:tc>
              <w:tc>
                <w:tcPr>
                  <w:tcW w:w="990" w:type="pct"/>
                  <w:tcBorders>
                    <w:bottom w:val="single" w:sz="4" w:space="0" w:color="C8C8C8"/>
                  </w:tcBorders>
                  <w:shd w:val="clear" w:color="auto" w:fill="auto"/>
                </w:tcPr>
                <w:p w:rsidR="00CF6B94" w:rsidRDefault="00CF6B94" w:rsidP="00CF6B94">
                  <w:pPr>
                    <w:pStyle w:val="TableBodyText"/>
                    <w:ind w:right="0"/>
                  </w:pPr>
                  <w:r>
                    <w:t>1.86</w:t>
                  </w:r>
                </w:p>
              </w:tc>
              <w:tc>
                <w:tcPr>
                  <w:tcW w:w="169" w:type="pct"/>
                  <w:tcBorders>
                    <w:bottom w:val="single" w:sz="4" w:space="0" w:color="C8C8C8"/>
                  </w:tcBorders>
                  <w:shd w:val="clear" w:color="auto" w:fill="auto"/>
                </w:tcPr>
                <w:p w:rsidR="00CF6B94" w:rsidRDefault="00CF6B94" w:rsidP="00CF6B94">
                  <w:pPr>
                    <w:pStyle w:val="TableBodyText"/>
                    <w:ind w:left="0" w:right="28"/>
                    <w:jc w:val="left"/>
                  </w:pPr>
                  <w:r>
                    <w:t>***</w:t>
                  </w:r>
                </w:p>
              </w:tc>
            </w:tr>
          </w:tbl>
          <w:p w:rsidR="00CF6B94" w:rsidRDefault="00CF6B94" w:rsidP="00CF6B94">
            <w:pPr>
              <w:pStyle w:val="Box"/>
            </w:pP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Note"/>
              <w:rPr>
                <w:i/>
              </w:rPr>
            </w:pPr>
            <w:r>
              <w:t xml:space="preserve">*** </w:t>
            </w:r>
            <w:proofErr w:type="gramStart"/>
            <w:r>
              <w:t>significant</w:t>
            </w:r>
            <w:proofErr w:type="gramEnd"/>
            <w:r>
              <w:t xml:space="preserve"> at 1 per cent, ** 5 per cent and * 10 per cent.</w:t>
            </w:r>
          </w:p>
        </w:tc>
      </w:tr>
      <w:tr w:rsidR="00CF6B94" w:rsidTr="00CF6B94">
        <w:trPr>
          <w:cantSplit/>
        </w:trPr>
        <w:tc>
          <w:tcPr>
            <w:tcW w:w="8771" w:type="dxa"/>
            <w:tcBorders>
              <w:top w:val="nil"/>
              <w:left w:val="nil"/>
              <w:bottom w:val="nil"/>
              <w:right w:val="nil"/>
            </w:tcBorders>
            <w:shd w:val="clear" w:color="auto" w:fill="auto"/>
          </w:tcPr>
          <w:p w:rsidR="00CF6B94" w:rsidRDefault="00CF6B94" w:rsidP="00CF6B94">
            <w:pPr>
              <w:pStyle w:val="Source"/>
            </w:pPr>
            <w:r>
              <w:rPr>
                <w:i/>
              </w:rPr>
              <w:t>Source</w:t>
            </w:r>
            <w:r w:rsidRPr="00167F06">
              <w:t xml:space="preserve">: </w:t>
            </w:r>
            <w:r>
              <w:t>Productivity Commission estimates.</w:t>
            </w:r>
          </w:p>
        </w:tc>
      </w:tr>
      <w:tr w:rsidR="00CF6B94" w:rsidTr="00CF6B94">
        <w:trPr>
          <w:cantSplit/>
        </w:trPr>
        <w:tc>
          <w:tcPr>
            <w:tcW w:w="8771" w:type="dxa"/>
            <w:tcBorders>
              <w:top w:val="nil"/>
              <w:left w:val="nil"/>
              <w:bottom w:val="single" w:sz="6" w:space="0" w:color="78A22F"/>
              <w:right w:val="nil"/>
            </w:tcBorders>
            <w:shd w:val="clear" w:color="auto" w:fill="auto"/>
          </w:tcPr>
          <w:p w:rsidR="00CF6B94" w:rsidRDefault="00CF6B94" w:rsidP="00CF6B94">
            <w:pPr>
              <w:pStyle w:val="Box"/>
              <w:spacing w:before="0" w:line="120" w:lineRule="exact"/>
            </w:pPr>
          </w:p>
        </w:tc>
      </w:tr>
      <w:tr w:rsidR="00CF6B94" w:rsidRPr="000863A5" w:rsidTr="00CF6B94">
        <w:tc>
          <w:tcPr>
            <w:tcW w:w="8771" w:type="dxa"/>
            <w:tcBorders>
              <w:top w:val="single" w:sz="6" w:space="0" w:color="78A22F"/>
              <w:left w:val="nil"/>
              <w:bottom w:val="nil"/>
              <w:right w:val="nil"/>
            </w:tcBorders>
          </w:tcPr>
          <w:p w:rsidR="00CF6B94" w:rsidRPr="00626D32" w:rsidRDefault="00CF6B94" w:rsidP="00BD2E8E">
            <w:pPr>
              <w:pStyle w:val="BoxSpaceBelow"/>
              <w:spacing w:after="0"/>
            </w:pPr>
          </w:p>
        </w:tc>
      </w:tr>
    </w:tbl>
    <w:p w:rsidR="00BD2E8E" w:rsidRDefault="00BD2E8E" w:rsidP="00BD2E8E">
      <w:pPr>
        <w:pStyle w:val="BodyText"/>
      </w:pPr>
      <w:r>
        <w:t xml:space="preserve">Labour supply could be expected to have a positive or negative effect on utility: increasing hours worked can be a source of utility for those who enjoy work, but it reduces the amount of time spent on leisure or caring for children. In the model, the linear term for labour supply is negative for females with partners, but positive (and statistically significant) for single parents. The squared term parameter estimate for labour supply is negative for both couples and sole parents. </w:t>
      </w:r>
    </w:p>
    <w:p w:rsidR="00BD2E8E" w:rsidRDefault="00BD2E8E" w:rsidP="00BD2E8E">
      <w:pPr>
        <w:pStyle w:val="BodyText"/>
      </w:pPr>
      <w:r>
        <w:t>Households also derive utility from spending time with children and from informal childcare (for example, children spending time with grandparents or with the partner in partnered households). The results include a positive parameter estimate for the linear maternal childcare term for couples and sole parents. The squared term parameter estimate is positive for couples and negative for sole parents. For informal childcare, the linear term is close to zero for couples and negative (and statistically significant) for sole parents. Quadratic terms for informal childcare are positive for both couples and sole parents.</w:t>
      </w:r>
    </w:p>
    <w:p w:rsidR="00BD2E8E" w:rsidRDefault="00BD2E8E" w:rsidP="00BD2E8E">
      <w:pPr>
        <w:pStyle w:val="BodyText"/>
      </w:pPr>
      <w:r>
        <w:t>The many interaction terms account for the potential diversity in effects across different demographic groups.</w:t>
      </w:r>
    </w:p>
    <w:p w:rsidR="00CF6B94" w:rsidRDefault="00CF6B94" w:rsidP="00CF6B94">
      <w:pPr>
        <w:pStyle w:val="Heading2"/>
      </w:pPr>
      <w:r>
        <w:lastRenderedPageBreak/>
        <w:t>Appendix D — Workshop and referee’s report</w:t>
      </w:r>
    </w:p>
    <w:p w:rsidR="00CF6B94" w:rsidRPr="00D27768" w:rsidRDefault="00CF6B94" w:rsidP="00CF6B94">
      <w:pPr>
        <w:pStyle w:val="BodyText"/>
      </w:pPr>
      <w:r w:rsidRPr="00161C22">
        <w:t xml:space="preserve">In accordance with the </w:t>
      </w:r>
      <w:r w:rsidRPr="00161C22">
        <w:rPr>
          <w:i/>
        </w:rPr>
        <w:t>Productivity Commission Act 1998 (</w:t>
      </w:r>
      <w:proofErr w:type="spellStart"/>
      <w:r w:rsidRPr="00161C22">
        <w:rPr>
          <w:i/>
        </w:rPr>
        <w:t>Cwlth</w:t>
      </w:r>
      <w:proofErr w:type="spellEnd"/>
      <w:r w:rsidRPr="00161C22">
        <w:rPr>
          <w:i/>
        </w:rPr>
        <w:t>)</w:t>
      </w:r>
      <w:r w:rsidRPr="00161C22">
        <w:t>, the Commission</w:t>
      </w:r>
      <w:r>
        <w:t xml:space="preserve"> </w:t>
      </w:r>
      <w:r w:rsidRPr="00161C22">
        <w:t xml:space="preserve">appointed </w:t>
      </w:r>
      <w:r>
        <w:t xml:space="preserve">as referee </w:t>
      </w:r>
      <w:r w:rsidRPr="00161C22">
        <w:t xml:space="preserve">Professor </w:t>
      </w:r>
      <w:r>
        <w:t xml:space="preserve">Guyonne Kalb, Director of the Labour Economics and Social Policy Program at the Melbourne Institute </w:t>
      </w:r>
      <w:r w:rsidRPr="00161C22">
        <w:t xml:space="preserve">(University of </w:t>
      </w:r>
      <w:r>
        <w:t>Melbourne</w:t>
      </w:r>
      <w:r w:rsidRPr="00161C22">
        <w:t>)</w:t>
      </w:r>
      <w:r>
        <w:t xml:space="preserve"> and conducted a workshop on 6 August 2014 </w:t>
      </w:r>
      <w:r w:rsidRPr="00161C22">
        <w:t>for the</w:t>
      </w:r>
      <w:r>
        <w:t xml:space="preserve"> </w:t>
      </w:r>
      <w:r w:rsidRPr="00161C22">
        <w:t xml:space="preserve">purpose of reporting on the modelling. </w:t>
      </w:r>
      <w:r>
        <w:t>A list of participants at the Comm</w:t>
      </w:r>
      <w:r w:rsidRPr="00D27768">
        <w:t>iss</w:t>
      </w:r>
      <w:r>
        <w:t xml:space="preserve">ion’s modelling workshop is presented in </w:t>
      </w:r>
      <w:r w:rsidRPr="00376777">
        <w:t>appendix A</w:t>
      </w:r>
      <w:r>
        <w:t xml:space="preserve"> of the inquiry report.</w:t>
      </w:r>
    </w:p>
    <w:p w:rsidR="00CF6B94" w:rsidRDefault="00CF6B94" w:rsidP="00CF6B94">
      <w:pPr>
        <w:pStyle w:val="Heading3"/>
      </w:pPr>
      <w:r>
        <w:t>Comments from Professor Guyonne Kalb</w:t>
      </w:r>
    </w:p>
    <w:p w:rsidR="00CF6B94" w:rsidRDefault="00CF6B94" w:rsidP="00CF6B94">
      <w:pPr>
        <w:pStyle w:val="BodyText"/>
      </w:pPr>
      <w:r>
        <w:t xml:space="preserve">Overall the technical paper is easy to read, and provides good intuition behind some of the anticipated effects, which is useful for understanding the impact of the proposed policy change. </w:t>
      </w:r>
    </w:p>
    <w:p w:rsidR="00CF6B94" w:rsidRDefault="00CF6B94" w:rsidP="00CF6B94">
      <w:pPr>
        <w:pStyle w:val="Heading4"/>
      </w:pPr>
      <w:r>
        <w:t xml:space="preserve">Simulation results by subgroups </w:t>
      </w:r>
    </w:p>
    <w:p w:rsidR="00CF6B94" w:rsidRDefault="00CF6B94" w:rsidP="00CF6B94">
      <w:pPr>
        <w:pStyle w:val="BodyText"/>
      </w:pPr>
      <w:r>
        <w:t xml:space="preserve">Detailing the differential impacts that the policy may have on different groups of families is an important feature of this paper. Grouping families by whether they use formal childcare and whether the primary carer supplies labour in the base case provides useful insights. However, I would suggest an additional separate set of results by whether the family is a single-parent family or a two-parent family. Given the different circumstances of single parents compared to couples with children, and the importance of supporting single-parent families particularly with regard to labour force participation, it would be important to assess the effects of a policy change on each group separately. </w:t>
      </w:r>
    </w:p>
    <w:p w:rsidR="00CF6B94" w:rsidRDefault="00CF6B94" w:rsidP="00CF6B94">
      <w:pPr>
        <w:pStyle w:val="Heading4"/>
      </w:pPr>
      <w:r>
        <w:t xml:space="preserve">The number of separate models, two vs four </w:t>
      </w:r>
    </w:p>
    <w:p w:rsidR="00CF6B94" w:rsidRDefault="00CF6B94" w:rsidP="00CF6B94">
      <w:pPr>
        <w:pStyle w:val="BodyText"/>
      </w:pPr>
      <w:r>
        <w:t xml:space="preserve">I agree with the authors of the report that estimating separate models for single parents and couple families is essential. However, I would probably not further divide these two groups in a subgroup with a youngest child of pre-school age and a subgroup with a youngest child of school age. Especially, since this would only be feasible for couple families, given the small sample size of single parents, whereas the distinction is probably more important for single parents who do not have a “back-up” carer at home. </w:t>
      </w:r>
    </w:p>
    <w:p w:rsidR="00CF6B94" w:rsidRDefault="00CF6B94" w:rsidP="00CF6B94">
      <w:pPr>
        <w:pStyle w:val="Heading4"/>
      </w:pPr>
      <w:r>
        <w:t xml:space="preserve">Using parameters from previous studies vs estimation </w:t>
      </w:r>
    </w:p>
    <w:p w:rsidR="00CF6B94" w:rsidRDefault="00CF6B94" w:rsidP="00BD2E8E">
      <w:pPr>
        <w:pStyle w:val="BodyText"/>
        <w:spacing w:before="200"/>
      </w:pPr>
      <w:r>
        <w:t xml:space="preserve">I also agree with the authors that the simulation results presented here are preliminary, and need to be redone after estimating the suggested model on recent data. Should this not be feasible within the time available, then I suggest </w:t>
      </w:r>
      <w:proofErr w:type="gramStart"/>
      <w:r>
        <w:t>to check</w:t>
      </w:r>
      <w:proofErr w:type="gramEnd"/>
      <w:r>
        <w:t xml:space="preserve"> the appropriateness of the current parameter values by carrying out a simulation without calibrating to the observed labour supply and formal childcare demand. This would allow you to compute the expected </w:t>
      </w:r>
      <w:r>
        <w:lastRenderedPageBreak/>
        <w:t xml:space="preserve">proportions working at each of the discretised </w:t>
      </w:r>
      <w:proofErr w:type="gramStart"/>
      <w:r>
        <w:t>hours</w:t>
      </w:r>
      <w:proofErr w:type="gramEnd"/>
      <w:r>
        <w:t xml:space="preserve"> points and using each of the discretised hours of formal childcare. The expected proportions could then be compared to the actual observed proportions at each hours point. If these proportions are reasonably similar, it would suggest that the chosen parameters are a reasonable fit to the observed data. I am making this suggestion, because I am not sure that the sensitivity testing is enough. I may misunderstand what is done, but it seems as if all parameters are just </w:t>
      </w:r>
      <w:proofErr w:type="gramStart"/>
      <w:r>
        <w:t>increased/decreased</w:t>
      </w:r>
      <w:proofErr w:type="gramEnd"/>
      <w:r>
        <w:t xml:space="preserve"> across the board by a certain percentage, whereas the key issue may be how the parameters relate to each other. </w:t>
      </w:r>
    </w:p>
    <w:p w:rsidR="00CF6B94" w:rsidRDefault="00CF6B94" w:rsidP="00BD2E8E">
      <w:pPr>
        <w:pStyle w:val="BodyText"/>
        <w:spacing w:before="200"/>
      </w:pPr>
      <w:r>
        <w:t>When using parameters from previous studies, additional information on where each parameter has come from would be useful. Perhaps a few notes could be added to the tables presented in Appendix C to indicate where each coefficient has come from.</w:t>
      </w:r>
    </w:p>
    <w:p w:rsidR="00CF6B94" w:rsidRDefault="00CF6B94" w:rsidP="00BD2E8E">
      <w:pPr>
        <w:pStyle w:val="Heading4"/>
        <w:keepNext w:val="0"/>
        <w:spacing w:before="200" w:line="300" w:lineRule="atLeast"/>
        <w:jc w:val="both"/>
      </w:pPr>
      <w:r>
        <w:t xml:space="preserve">Model specification </w:t>
      </w:r>
    </w:p>
    <w:p w:rsidR="00CF6B94" w:rsidRDefault="00CF6B94" w:rsidP="00BD2E8E">
      <w:pPr>
        <w:pStyle w:val="BodyText"/>
        <w:spacing w:before="200"/>
      </w:pPr>
      <w:r>
        <w:t xml:space="preserve">I do like the way in which the model is specified, allowing labour supply by the primary carer (h), net household income (y), formal care (f) and care by the primary carer (m) to influence the household’s utility. However, there is an inconsistency between the model specification and how it is described. On p.6 the paper states “Households derive utility from caring for children directly” and on p.34 the utility function in equations 1, 2 and 3 includes m (childcare provided by the primary care giver). From these functions, the authors go on to derive a utility function just depending on hours of work and formal childcare demand. They argue that m is still part of this, but is substituted out by replacing m by a function of h and f. However this does not take into account the informal care that may be used by the family, and so h and f are not sufficient to determine m. Therefore the resulting model does not implicitly take into account the utility of m, but is just based on the utility derived from net income, labour supply and formal childcare. There is no way to distinguish m from informal care; both types of care would be equally valued. </w:t>
      </w:r>
    </w:p>
    <w:p w:rsidR="00CF6B94" w:rsidRDefault="00CF6B94" w:rsidP="00BD2E8E">
      <w:pPr>
        <w:pStyle w:val="BodyText"/>
        <w:spacing w:before="200"/>
      </w:pPr>
      <w:r>
        <w:t xml:space="preserve">Informal care and m can only be distinguished if we observe how many hours of either informal care or m are used. Is this observed in SIH? I am assuming the answer is yes, given that ‘primary carer childcare’ terms are included in the tables in Appendix C. To enable estimation of such terms using recent data, the choice for primary carer childcare hours needs to be endogenous in the model. That is in addition to choosing labour supply and formal childcare hours, the hours of childcare by the primary carer also need to be chosen. </w:t>
      </w:r>
    </w:p>
    <w:p w:rsidR="00CF6B94" w:rsidRDefault="00CF6B94" w:rsidP="00BD2E8E">
      <w:pPr>
        <w:pStyle w:val="BodyText"/>
        <w:spacing w:before="200"/>
      </w:pPr>
      <w:r>
        <w:t xml:space="preserve">The utility functions presented in equations 1 and 2 are not quite complete as some linear, quadratic and interaction terms are missing from both equations, whereas in equation 2, the terms including h1 should be left out since hours of the primary earner are assumed to be exogenous. However, h1 could enter preference parameters β as an explanatory variable influencing the hours worked by the primary carer and the demand for formal childcare. The income earned from labour supply by the primary earner would enter y as other household income. </w:t>
      </w:r>
    </w:p>
    <w:p w:rsidR="00CF6B94" w:rsidRPr="00BD2E8E" w:rsidRDefault="00CF6B94" w:rsidP="00BD2E8E">
      <w:pPr>
        <w:pStyle w:val="BodyText"/>
      </w:pPr>
      <w:r>
        <w:t>Before estimating the specified models, the utility functions need to be properly defined.</w:t>
      </w:r>
    </w:p>
    <w:p w:rsidR="00CF6B94" w:rsidRDefault="00CF6B94" w:rsidP="00B37383">
      <w:pPr>
        <w:pStyle w:val="Heading1nochapterno"/>
        <w:spacing w:after="1200"/>
      </w:pPr>
      <w:r>
        <w:lastRenderedPageBreak/>
        <w:t>References</w:t>
      </w:r>
    </w:p>
    <w:p w:rsidR="00CF6B94" w:rsidRPr="00B37383" w:rsidRDefault="00CF6B94" w:rsidP="00B37383">
      <w:pPr>
        <w:pStyle w:val="Reference"/>
        <w:spacing w:before="100"/>
        <w:rPr>
          <w:spacing w:val="-4"/>
        </w:rPr>
      </w:pPr>
      <w:r w:rsidRPr="00B37383">
        <w:rPr>
          <w:spacing w:val="-4"/>
        </w:rPr>
        <w:t xml:space="preserve">ABS (Australian Bureau of Statistics) 2013a, </w:t>
      </w:r>
      <w:r w:rsidRPr="00B37383">
        <w:rPr>
          <w:i/>
          <w:spacing w:val="-4"/>
        </w:rPr>
        <w:t>Information Paper: Survey of Income and Housing, User Guide, Australia</w:t>
      </w:r>
      <w:r w:rsidRPr="00B37383">
        <w:rPr>
          <w:spacing w:val="-4"/>
        </w:rPr>
        <w:t xml:space="preserve">, August, Cat. </w:t>
      </w:r>
      <w:proofErr w:type="gramStart"/>
      <w:r w:rsidRPr="00B37383">
        <w:rPr>
          <w:spacing w:val="-4"/>
        </w:rPr>
        <w:t>no</w:t>
      </w:r>
      <w:proofErr w:type="gramEnd"/>
      <w:r w:rsidRPr="00B37383">
        <w:rPr>
          <w:spacing w:val="-4"/>
        </w:rPr>
        <w:t>. 6553.0, Canberra.</w:t>
      </w:r>
    </w:p>
    <w:p w:rsidR="00CF6B94" w:rsidRPr="00B37383" w:rsidRDefault="00CF6B94" w:rsidP="00B37383">
      <w:pPr>
        <w:pStyle w:val="Reference"/>
        <w:spacing w:before="100"/>
        <w:rPr>
          <w:spacing w:val="-4"/>
        </w:rPr>
      </w:pPr>
      <w:r w:rsidRPr="00B37383">
        <w:rPr>
          <w:spacing w:val="-4"/>
        </w:rPr>
        <w:t xml:space="preserve">—— 2013b, </w:t>
      </w:r>
      <w:proofErr w:type="spellStart"/>
      <w:r w:rsidRPr="00B37383">
        <w:rPr>
          <w:i/>
          <w:spacing w:val="-4"/>
        </w:rPr>
        <w:t>Microdata</w:t>
      </w:r>
      <w:proofErr w:type="spellEnd"/>
      <w:r w:rsidRPr="00B37383">
        <w:rPr>
          <w:i/>
          <w:spacing w:val="-4"/>
        </w:rPr>
        <w:t>: Income and Housing, Australia, 2011</w:t>
      </w:r>
      <w:r w:rsidRPr="00B37383">
        <w:rPr>
          <w:i/>
          <w:spacing w:val="-4"/>
        </w:rPr>
        <w:noBreakHyphen/>
        <w:t>12</w:t>
      </w:r>
      <w:r w:rsidRPr="00B37383">
        <w:rPr>
          <w:spacing w:val="-4"/>
        </w:rPr>
        <w:t>, http://www.abs.gov.au</w:t>
      </w:r>
      <w:r w:rsidR="00BD2E8E" w:rsidRPr="00B37383">
        <w:rPr>
          <w:spacing w:val="-4"/>
        </w:rPr>
        <w:br/>
      </w:r>
      <w:r w:rsidRPr="00B37383">
        <w:rPr>
          <w:spacing w:val="-4"/>
        </w:rPr>
        <w:t>/AUSSTATS/abs@.nsf/Lookup/6541.0.30.001Main+Features12011-12?OpenDocument (accessed 26 June 2014).</w:t>
      </w:r>
    </w:p>
    <w:p w:rsidR="00CF6B94" w:rsidRPr="00B37383" w:rsidRDefault="00CF6B94" w:rsidP="00B37383">
      <w:pPr>
        <w:pStyle w:val="Reference"/>
        <w:spacing w:before="100"/>
        <w:rPr>
          <w:spacing w:val="-4"/>
        </w:rPr>
      </w:pPr>
      <w:r w:rsidRPr="00B37383">
        <w:rPr>
          <w:spacing w:val="-4"/>
        </w:rPr>
        <w:t xml:space="preserve">Bourguignon, F., Fournier, M. and </w:t>
      </w:r>
      <w:proofErr w:type="spellStart"/>
      <w:r w:rsidRPr="00B37383">
        <w:rPr>
          <w:spacing w:val="-4"/>
        </w:rPr>
        <w:t>Gurgand</w:t>
      </w:r>
      <w:proofErr w:type="spellEnd"/>
      <w:r w:rsidRPr="00B37383">
        <w:rPr>
          <w:spacing w:val="-4"/>
        </w:rPr>
        <w:t xml:space="preserve">, M. 1998, </w:t>
      </w:r>
      <w:r w:rsidRPr="00B37383">
        <w:rPr>
          <w:i/>
          <w:spacing w:val="-4"/>
        </w:rPr>
        <w:t>Distribution, Development and Education: Taiwan, 1979-1994</w:t>
      </w:r>
      <w:r w:rsidRPr="00B37383">
        <w:rPr>
          <w:spacing w:val="-4"/>
        </w:rPr>
        <w:t>, http://ssrn.com/abstract=587202 orhttp://dx.doi.org</w:t>
      </w:r>
      <w:r w:rsidR="00BD2E8E" w:rsidRPr="00B37383">
        <w:rPr>
          <w:spacing w:val="-4"/>
        </w:rPr>
        <w:br/>
      </w:r>
      <w:r w:rsidRPr="00B37383">
        <w:rPr>
          <w:spacing w:val="-4"/>
        </w:rPr>
        <w:t>/10.2139/ssrn.587202.</w:t>
      </w:r>
    </w:p>
    <w:p w:rsidR="00CF6B94" w:rsidRPr="00B37383" w:rsidRDefault="00CF6B94" w:rsidP="00B37383">
      <w:pPr>
        <w:pStyle w:val="Reference"/>
        <w:spacing w:before="100"/>
        <w:rPr>
          <w:spacing w:val="-4"/>
        </w:rPr>
      </w:pPr>
      <w:proofErr w:type="spellStart"/>
      <w:r w:rsidRPr="00B37383">
        <w:rPr>
          <w:spacing w:val="-4"/>
        </w:rPr>
        <w:t>Breunig</w:t>
      </w:r>
      <w:proofErr w:type="spellEnd"/>
      <w:r w:rsidRPr="00B37383">
        <w:rPr>
          <w:spacing w:val="-4"/>
        </w:rPr>
        <w:t xml:space="preserve">, R. and Gong, X. 2011, </w:t>
      </w:r>
      <w:r w:rsidRPr="00B37383">
        <w:rPr>
          <w:i/>
          <w:spacing w:val="-4"/>
        </w:rPr>
        <w:t xml:space="preserve">Estimating net child care price </w:t>
      </w:r>
      <w:proofErr w:type="spellStart"/>
      <w:r w:rsidRPr="00B37383">
        <w:rPr>
          <w:i/>
          <w:spacing w:val="-4"/>
        </w:rPr>
        <w:t>elasticities</w:t>
      </w:r>
      <w:proofErr w:type="spellEnd"/>
      <w:r w:rsidRPr="00B37383">
        <w:rPr>
          <w:i/>
          <w:spacing w:val="-4"/>
        </w:rPr>
        <w:t xml:space="preserve"> of partnered women with pre</w:t>
      </w:r>
      <w:r w:rsidRPr="00B37383">
        <w:rPr>
          <w:i/>
          <w:spacing w:val="-4"/>
        </w:rPr>
        <w:noBreakHyphen/>
        <w:t>school children using a discrete structural labour supply</w:t>
      </w:r>
      <w:r w:rsidRPr="00B37383">
        <w:rPr>
          <w:i/>
          <w:spacing w:val="-4"/>
        </w:rPr>
        <w:noBreakHyphen/>
        <w:t>child care model</w:t>
      </w:r>
      <w:r w:rsidRPr="00B37383">
        <w:rPr>
          <w:spacing w:val="-4"/>
        </w:rPr>
        <w:t>, Discussion Paper, Centre for Economic Policy Research.</w:t>
      </w:r>
    </w:p>
    <w:p w:rsidR="00CF6B94" w:rsidRPr="00B37383" w:rsidRDefault="00CF6B94" w:rsidP="00B37383">
      <w:pPr>
        <w:pStyle w:val="Reference"/>
        <w:spacing w:before="100"/>
        <w:rPr>
          <w:spacing w:val="-4"/>
        </w:rPr>
      </w:pPr>
      <w:r w:rsidRPr="00B37383">
        <w:rPr>
          <w:spacing w:val="-4"/>
        </w:rPr>
        <w:t xml:space="preserve">——, —— and King, A. 2010, </w:t>
      </w:r>
      <w:r w:rsidRPr="00B37383">
        <w:rPr>
          <w:i/>
          <w:spacing w:val="-4"/>
        </w:rPr>
        <w:t xml:space="preserve">How responsive is female labour supply to child care costs </w:t>
      </w:r>
      <w:r w:rsidRPr="00B37383">
        <w:rPr>
          <w:i/>
          <w:spacing w:val="-4"/>
        </w:rPr>
        <w:noBreakHyphen/>
        <w:t xml:space="preserve"> new Australian estimates</w:t>
      </w:r>
      <w:r w:rsidRPr="00B37383">
        <w:rPr>
          <w:spacing w:val="-4"/>
        </w:rPr>
        <w:t xml:space="preserve">, Working Paper, The Treasury. </w:t>
      </w:r>
    </w:p>
    <w:p w:rsidR="00CF6B94" w:rsidRPr="00B37383" w:rsidRDefault="00CF6B94" w:rsidP="00B37383">
      <w:pPr>
        <w:pStyle w:val="Reference"/>
        <w:spacing w:before="100"/>
        <w:rPr>
          <w:spacing w:val="-4"/>
        </w:rPr>
      </w:pPr>
      <w:proofErr w:type="spellStart"/>
      <w:r w:rsidRPr="00B37383">
        <w:rPr>
          <w:spacing w:val="-4"/>
        </w:rPr>
        <w:t>Creedy</w:t>
      </w:r>
      <w:proofErr w:type="spellEnd"/>
      <w:r w:rsidRPr="00B37383">
        <w:rPr>
          <w:spacing w:val="-4"/>
        </w:rPr>
        <w:t xml:space="preserve">, J., Duncan, A., Kalb, G., Kew, H. and </w:t>
      </w:r>
      <w:proofErr w:type="spellStart"/>
      <w:r w:rsidRPr="00B37383">
        <w:rPr>
          <w:spacing w:val="-4"/>
        </w:rPr>
        <w:t>Scutella</w:t>
      </w:r>
      <w:proofErr w:type="spellEnd"/>
      <w:r w:rsidRPr="00B37383">
        <w:rPr>
          <w:spacing w:val="-4"/>
        </w:rPr>
        <w:t xml:space="preserve">, R. 2004, </w:t>
      </w:r>
      <w:r w:rsidRPr="00B37383">
        <w:rPr>
          <w:i/>
          <w:spacing w:val="-4"/>
        </w:rPr>
        <w:t>The Melbourne Institute Tax and Transfer Simulator</w:t>
      </w:r>
      <w:r w:rsidRPr="00B37383">
        <w:rPr>
          <w:spacing w:val="-4"/>
        </w:rPr>
        <w:t xml:space="preserve"> (MITTS), The Melbourne Institute of Applied Economic and Social Research.</w:t>
      </w:r>
    </w:p>
    <w:p w:rsidR="00CF6B94" w:rsidRPr="00B37383" w:rsidRDefault="00CF6B94" w:rsidP="00B37383">
      <w:pPr>
        <w:pStyle w:val="Reference"/>
        <w:spacing w:before="100"/>
        <w:rPr>
          <w:spacing w:val="-4"/>
        </w:rPr>
      </w:pPr>
      <w:proofErr w:type="spellStart"/>
      <w:r w:rsidRPr="00B37383">
        <w:rPr>
          <w:spacing w:val="-4"/>
        </w:rPr>
        <w:t>Creedy</w:t>
      </w:r>
      <w:proofErr w:type="spellEnd"/>
      <w:r w:rsidRPr="00B37383">
        <w:rPr>
          <w:spacing w:val="-4"/>
        </w:rPr>
        <w:t xml:space="preserve">, J. and Kalb, G. 2005, Discrete Hours Labour Supply Modelling: Specification, Estimation and Simulation. </w:t>
      </w:r>
      <w:r w:rsidRPr="00B37383">
        <w:rPr>
          <w:i/>
          <w:spacing w:val="-4"/>
        </w:rPr>
        <w:t>Journal of Economic Surveys</w:t>
      </w:r>
      <w:r w:rsidRPr="00B37383">
        <w:rPr>
          <w:spacing w:val="-4"/>
        </w:rPr>
        <w:t>, 19(5), 697–734.</w:t>
      </w:r>
    </w:p>
    <w:p w:rsidR="00CF6B94" w:rsidRPr="00B37383" w:rsidRDefault="00CF6B94" w:rsidP="00B37383">
      <w:pPr>
        <w:pStyle w:val="Reference"/>
        <w:spacing w:before="100"/>
        <w:rPr>
          <w:spacing w:val="-4"/>
        </w:rPr>
      </w:pPr>
      <w:proofErr w:type="spellStart"/>
      <w:r w:rsidRPr="00B37383">
        <w:rPr>
          <w:spacing w:val="-4"/>
        </w:rPr>
        <w:t>Creedy</w:t>
      </w:r>
      <w:proofErr w:type="spellEnd"/>
      <w:r w:rsidRPr="00B37383">
        <w:rPr>
          <w:spacing w:val="-4"/>
        </w:rPr>
        <w:t>, J. and Kalb, G. 2006, Labour Supply and Micro-simulation: The E</w:t>
      </w:r>
      <w:r w:rsidR="002C2544" w:rsidRPr="00B37383">
        <w:rPr>
          <w:spacing w:val="-4"/>
        </w:rPr>
        <w:t>valuation of Tax Policy Reforms,</w:t>
      </w:r>
      <w:r w:rsidRPr="00B37383">
        <w:rPr>
          <w:spacing w:val="-4"/>
        </w:rPr>
        <w:t xml:space="preserve"> Cheltenham: Edward Elgar.</w:t>
      </w:r>
    </w:p>
    <w:p w:rsidR="00CF6B94" w:rsidRPr="00B37383" w:rsidRDefault="00CF6B94" w:rsidP="00B37383">
      <w:pPr>
        <w:pStyle w:val="Reference"/>
        <w:spacing w:before="100"/>
        <w:rPr>
          <w:spacing w:val="-4"/>
        </w:rPr>
      </w:pPr>
      <w:proofErr w:type="spellStart"/>
      <w:r w:rsidRPr="00B37383">
        <w:rPr>
          <w:spacing w:val="-4"/>
        </w:rPr>
        <w:t>Doiron</w:t>
      </w:r>
      <w:proofErr w:type="spellEnd"/>
      <w:r w:rsidRPr="00B37383">
        <w:rPr>
          <w:spacing w:val="-4"/>
        </w:rPr>
        <w:t>, D. and Kalb, G. 2005, Demands for childcare and house</w:t>
      </w:r>
      <w:r w:rsidR="002C2544" w:rsidRPr="00B37383">
        <w:rPr>
          <w:spacing w:val="-4"/>
        </w:rPr>
        <w:t>hold labour supply in Australia,</w:t>
      </w:r>
      <w:r w:rsidRPr="00B37383">
        <w:rPr>
          <w:spacing w:val="-4"/>
        </w:rPr>
        <w:t xml:space="preserve"> </w:t>
      </w:r>
      <w:r w:rsidRPr="00B37383">
        <w:rPr>
          <w:i/>
          <w:spacing w:val="-4"/>
        </w:rPr>
        <w:t>Economic Record</w:t>
      </w:r>
      <w:r w:rsidRPr="00B37383">
        <w:rPr>
          <w:spacing w:val="-4"/>
        </w:rPr>
        <w:t xml:space="preserve">, </w:t>
      </w:r>
      <w:r w:rsidR="002C2544" w:rsidRPr="00B37383">
        <w:rPr>
          <w:spacing w:val="-4"/>
        </w:rPr>
        <w:t xml:space="preserve">vol. </w:t>
      </w:r>
      <w:r w:rsidRPr="00B37383">
        <w:rPr>
          <w:spacing w:val="-4"/>
        </w:rPr>
        <w:t>81, 215–236.</w:t>
      </w:r>
    </w:p>
    <w:p w:rsidR="00CF6B94" w:rsidRPr="00B37383" w:rsidRDefault="00CF6B94" w:rsidP="00B37383">
      <w:pPr>
        <w:pStyle w:val="Reference"/>
        <w:spacing w:before="100"/>
        <w:rPr>
          <w:spacing w:val="-4"/>
        </w:rPr>
      </w:pPr>
      <w:r w:rsidRPr="00B37383">
        <w:rPr>
          <w:spacing w:val="-4"/>
        </w:rPr>
        <w:t xml:space="preserve">Gong, X. and </w:t>
      </w:r>
      <w:proofErr w:type="spellStart"/>
      <w:r w:rsidRPr="00B37383">
        <w:rPr>
          <w:spacing w:val="-4"/>
        </w:rPr>
        <w:t>Breunig</w:t>
      </w:r>
      <w:proofErr w:type="spellEnd"/>
      <w:r w:rsidRPr="00B37383">
        <w:rPr>
          <w:spacing w:val="-4"/>
        </w:rPr>
        <w:t xml:space="preserve">, R. 2012, Estimating Net Child Care Price </w:t>
      </w:r>
      <w:proofErr w:type="spellStart"/>
      <w:r w:rsidRPr="00B37383">
        <w:rPr>
          <w:spacing w:val="-4"/>
        </w:rPr>
        <w:t>Elasticities</w:t>
      </w:r>
      <w:proofErr w:type="spellEnd"/>
      <w:r w:rsidRPr="00B37383">
        <w:rPr>
          <w:spacing w:val="-4"/>
        </w:rPr>
        <w:t xml:space="preserve"> of Partnered Women with Pre</w:t>
      </w:r>
      <w:r w:rsidRPr="00B37383">
        <w:rPr>
          <w:spacing w:val="-4"/>
        </w:rPr>
        <w:noBreakHyphen/>
        <w:t>school Children Using a Discrete Structural Labour Supply</w:t>
      </w:r>
      <w:r w:rsidRPr="00B37383">
        <w:rPr>
          <w:spacing w:val="-4"/>
        </w:rPr>
        <w:noBreakHyphen/>
        <w:t xml:space="preserve">Child Care Model, November, </w:t>
      </w:r>
      <w:r w:rsidR="002C2544" w:rsidRPr="00B37383">
        <w:rPr>
          <w:spacing w:val="-4"/>
        </w:rPr>
        <w:t>Working P</w:t>
      </w:r>
      <w:r w:rsidRPr="00B37383">
        <w:rPr>
          <w:spacing w:val="-4"/>
        </w:rPr>
        <w:t>aper, Australian Treasury, Canberra.</w:t>
      </w:r>
    </w:p>
    <w:p w:rsidR="00CF6B94" w:rsidRPr="00B37383" w:rsidRDefault="00CF6B94" w:rsidP="00B37383">
      <w:pPr>
        <w:pStyle w:val="Reference"/>
        <w:spacing w:before="100"/>
        <w:rPr>
          <w:spacing w:val="-4"/>
        </w:rPr>
      </w:pPr>
      <w:proofErr w:type="gramStart"/>
      <w:r w:rsidRPr="00B37383">
        <w:rPr>
          <w:spacing w:val="-4"/>
        </w:rPr>
        <w:t xml:space="preserve">Heckman, J. 1979, ‘Sample Selection Bias as a Specification Error’, </w:t>
      </w:r>
      <w:proofErr w:type="spellStart"/>
      <w:r w:rsidRPr="00B37383">
        <w:rPr>
          <w:i/>
          <w:spacing w:val="-4"/>
        </w:rPr>
        <w:t>Econometrica</w:t>
      </w:r>
      <w:proofErr w:type="spellEnd"/>
      <w:r w:rsidRPr="00B37383">
        <w:rPr>
          <w:spacing w:val="-4"/>
        </w:rPr>
        <w:t>, vol. 47, no. 1, pp. 153–</w:t>
      </w:r>
      <w:r w:rsidRPr="00B37383">
        <w:rPr>
          <w:spacing w:val="-4"/>
        </w:rPr>
        <w:softHyphen/>
        <w:t>61.</w:t>
      </w:r>
      <w:proofErr w:type="gramEnd"/>
    </w:p>
    <w:p w:rsidR="00CF6B94" w:rsidRPr="00B37383" w:rsidRDefault="00CF6B94" w:rsidP="00B37383">
      <w:pPr>
        <w:pStyle w:val="Reference"/>
        <w:spacing w:before="100"/>
        <w:rPr>
          <w:spacing w:val="-4"/>
        </w:rPr>
      </w:pPr>
      <w:proofErr w:type="gramStart"/>
      <w:r w:rsidRPr="00B37383">
        <w:rPr>
          <w:spacing w:val="-4"/>
        </w:rPr>
        <w:t xml:space="preserve">Household, Income and Labour Dynamics in Australia (HILDA) 2013, </w:t>
      </w:r>
      <w:r w:rsidRPr="00B37383">
        <w:rPr>
          <w:i/>
          <w:spacing w:val="-4"/>
        </w:rPr>
        <w:t>2013 Annual Report.</w:t>
      </w:r>
      <w:proofErr w:type="gramEnd"/>
    </w:p>
    <w:p w:rsidR="00CF6B94" w:rsidRPr="00B37383" w:rsidRDefault="00CF6B94" w:rsidP="00B37383">
      <w:pPr>
        <w:pStyle w:val="Reference"/>
        <w:spacing w:before="100"/>
        <w:rPr>
          <w:spacing w:val="-4"/>
        </w:rPr>
      </w:pPr>
      <w:r w:rsidRPr="00B37383">
        <w:rPr>
          <w:spacing w:val="-4"/>
        </w:rPr>
        <w:t xml:space="preserve">Kalb, G. and </w:t>
      </w:r>
      <w:proofErr w:type="spellStart"/>
      <w:r w:rsidRPr="00B37383">
        <w:rPr>
          <w:spacing w:val="-4"/>
        </w:rPr>
        <w:t>Scutella</w:t>
      </w:r>
      <w:proofErr w:type="spellEnd"/>
      <w:r w:rsidRPr="00B37383">
        <w:rPr>
          <w:spacing w:val="-4"/>
        </w:rPr>
        <w:t xml:space="preserve">, R. 2002, Estimation of Wage Equations in Australia: Allowing for Censored Observations of Labour Supply, May, Working Paper No. </w:t>
      </w:r>
      <w:proofErr w:type="gramStart"/>
      <w:r w:rsidRPr="00B37383">
        <w:rPr>
          <w:spacing w:val="-4"/>
        </w:rPr>
        <w:t>8/02, Melbourne Institute.</w:t>
      </w:r>
      <w:proofErr w:type="gramEnd"/>
    </w:p>
    <w:p w:rsidR="00CF6B94" w:rsidRPr="00B37383" w:rsidRDefault="00CF6B94" w:rsidP="00B37383">
      <w:pPr>
        <w:pStyle w:val="Reference"/>
        <w:spacing w:before="100"/>
        <w:rPr>
          <w:spacing w:val="-4"/>
        </w:rPr>
      </w:pPr>
      <w:r w:rsidRPr="00B37383">
        <w:rPr>
          <w:spacing w:val="-4"/>
        </w:rPr>
        <w:t xml:space="preserve">Summerfield, M., </w:t>
      </w:r>
      <w:proofErr w:type="spellStart"/>
      <w:r w:rsidRPr="00B37383">
        <w:rPr>
          <w:spacing w:val="-4"/>
        </w:rPr>
        <w:t>Freidin</w:t>
      </w:r>
      <w:proofErr w:type="spellEnd"/>
      <w:r w:rsidRPr="00B37383">
        <w:rPr>
          <w:spacing w:val="-4"/>
        </w:rPr>
        <w:t xml:space="preserve">, S., Hahn, M., </w:t>
      </w:r>
      <w:proofErr w:type="spellStart"/>
      <w:r w:rsidRPr="00B37383">
        <w:rPr>
          <w:spacing w:val="-4"/>
        </w:rPr>
        <w:t>Ittak</w:t>
      </w:r>
      <w:proofErr w:type="spellEnd"/>
      <w:r w:rsidRPr="00B37383">
        <w:rPr>
          <w:spacing w:val="-4"/>
        </w:rPr>
        <w:t xml:space="preserve">, P., Li, N., </w:t>
      </w:r>
      <w:proofErr w:type="spellStart"/>
      <w:r w:rsidRPr="00B37383">
        <w:rPr>
          <w:spacing w:val="-4"/>
        </w:rPr>
        <w:t>Macalalad</w:t>
      </w:r>
      <w:proofErr w:type="spellEnd"/>
      <w:r w:rsidRPr="00B37383">
        <w:rPr>
          <w:spacing w:val="-4"/>
        </w:rPr>
        <w:t xml:space="preserve">, N., Watson, N., Wilkins, R. and Wooden, M. 2014, </w:t>
      </w:r>
      <w:r w:rsidR="002C2544" w:rsidRPr="00B37383">
        <w:rPr>
          <w:i/>
          <w:spacing w:val="-4"/>
        </w:rPr>
        <w:t>HILDA User Manual,</w:t>
      </w:r>
      <w:r w:rsidRPr="00B37383">
        <w:rPr>
          <w:spacing w:val="-4"/>
        </w:rPr>
        <w:t xml:space="preserve"> Release 12 June, The Melbourne Institute of Applied Economic and Social Research.</w:t>
      </w:r>
    </w:p>
    <w:sectPr w:rsidR="00CF6B94" w:rsidRPr="00B37383" w:rsidSect="00DB39D6">
      <w:headerReference w:type="even" r:id="rId24"/>
      <w:headerReference w:type="default" r:id="rId25"/>
      <w:footerReference w:type="even" r:id="rId26"/>
      <w:footerReference w:type="default" r:id="rId27"/>
      <w:type w:val="evenPage"/>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383" w:rsidRDefault="00B37383">
      <w:r>
        <w:separator/>
      </w:r>
    </w:p>
  </w:endnote>
  <w:endnote w:type="continuationSeparator" w:id="0">
    <w:p w:rsidR="00B37383" w:rsidRDefault="00B3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37383" w:rsidRPr="00415BFA" w:rsidTr="00CF6B94">
      <w:trPr>
        <w:trHeight w:hRule="exact" w:val="567"/>
      </w:trPr>
      <w:tc>
        <w:tcPr>
          <w:tcW w:w="510" w:type="dxa"/>
        </w:tcPr>
        <w:p w:rsidR="00B37383" w:rsidRPr="00415BFA" w:rsidRDefault="00B37383" w:rsidP="00CF6B94">
          <w:pPr>
            <w:pStyle w:val="Footer"/>
            <w:rPr>
              <w:rStyle w:val="PageNumber"/>
            </w:rPr>
          </w:pPr>
          <w:r w:rsidRPr="00415BFA">
            <w:rPr>
              <w:rStyle w:val="PageNumber"/>
            </w:rPr>
            <w:fldChar w:fldCharType="begin"/>
          </w:r>
          <w:r w:rsidRPr="00415BFA">
            <w:rPr>
              <w:rStyle w:val="PageNumber"/>
            </w:rPr>
            <w:instrText xml:space="preserve">PAGE  </w:instrText>
          </w:r>
          <w:r w:rsidRPr="00415BFA">
            <w:rPr>
              <w:rStyle w:val="PageNumber"/>
            </w:rPr>
            <w:fldChar w:fldCharType="separate"/>
          </w:r>
          <w:r w:rsidR="0002236C">
            <w:rPr>
              <w:rStyle w:val="PageNumber"/>
              <w:noProof/>
            </w:rPr>
            <w:t>2</w:t>
          </w:r>
          <w:r w:rsidRPr="00415BFA">
            <w:rPr>
              <w:rStyle w:val="PageNumber"/>
            </w:rPr>
            <w:fldChar w:fldCharType="end"/>
          </w:r>
        </w:p>
      </w:tc>
      <w:tc>
        <w:tcPr>
          <w:tcW w:w="7767" w:type="dxa"/>
        </w:tcPr>
        <w:p w:rsidR="00B37383" w:rsidRPr="00415BFA" w:rsidRDefault="007B7F17" w:rsidP="00CF6B94">
          <w:pPr>
            <w:pStyle w:val="Footer"/>
          </w:pPr>
          <w:r>
            <w:fldChar w:fldCharType="begin"/>
          </w:r>
          <w:r>
            <w:instrText xml:space="preserve"> SUBJECT  \* MERGEFORMAT </w:instrText>
          </w:r>
          <w:r>
            <w:fldChar w:fldCharType="separate"/>
          </w:r>
          <w:r w:rsidR="001C2DE2">
            <w:t>childcare and early childhood learning - Technical supplement</w:t>
          </w:r>
          <w:r>
            <w:fldChar w:fldCharType="end"/>
          </w:r>
        </w:p>
      </w:tc>
      <w:tc>
        <w:tcPr>
          <w:tcW w:w="510" w:type="dxa"/>
        </w:tcPr>
        <w:p w:rsidR="00B37383" w:rsidRPr="00415BFA" w:rsidRDefault="00B37383" w:rsidP="00CF6B94">
          <w:pPr>
            <w:pStyle w:val="Footer"/>
          </w:pPr>
        </w:p>
      </w:tc>
    </w:tr>
  </w:tbl>
  <w:p w:rsidR="00B37383" w:rsidRDefault="00B37383">
    <w:pPr>
      <w:pStyle w:val="FooterEn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37383" w:rsidTr="00CF6B94">
      <w:trPr>
        <w:trHeight w:hRule="exact" w:val="567"/>
      </w:trPr>
      <w:tc>
        <w:tcPr>
          <w:tcW w:w="510" w:type="dxa"/>
        </w:tcPr>
        <w:p w:rsidR="00B37383" w:rsidRDefault="00B37383" w:rsidP="00CF6B94">
          <w:pPr>
            <w:pStyle w:val="Footer"/>
            <w:ind w:right="360" w:firstLine="360"/>
          </w:pPr>
        </w:p>
      </w:tc>
      <w:tc>
        <w:tcPr>
          <w:tcW w:w="7767" w:type="dxa"/>
        </w:tcPr>
        <w:p w:rsidR="00B37383" w:rsidRPr="00BA5B14" w:rsidRDefault="00B37383" w:rsidP="00CF6B94">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1C2DE2">
            <w:rPr>
              <w:rFonts w:cs="Arial"/>
            </w:rPr>
            <w:t>Modelling the effects of childcare policy changes</w:t>
          </w:r>
          <w:r w:rsidRPr="00BA5B14">
            <w:rPr>
              <w:rFonts w:cs="Arial"/>
            </w:rPr>
            <w:fldChar w:fldCharType="end"/>
          </w:r>
        </w:p>
      </w:tc>
      <w:tc>
        <w:tcPr>
          <w:tcW w:w="510" w:type="dxa"/>
        </w:tcPr>
        <w:p w:rsidR="00B37383" w:rsidRPr="00A24443" w:rsidRDefault="00B37383" w:rsidP="00CF6B9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E3FBB">
            <w:rPr>
              <w:rStyle w:val="PageNumber"/>
              <w:caps w:val="0"/>
              <w:noProof/>
            </w:rPr>
            <w:t>3</w:t>
          </w:r>
          <w:r w:rsidRPr="00A24443">
            <w:rPr>
              <w:rStyle w:val="PageNumber"/>
              <w:caps w:val="0"/>
            </w:rPr>
            <w:fldChar w:fldCharType="end"/>
          </w:r>
        </w:p>
      </w:tc>
    </w:tr>
  </w:tbl>
  <w:p w:rsidR="00B37383" w:rsidRDefault="00B37383" w:rsidP="00CF6B94">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383" w:rsidRDefault="00B37383" w:rsidP="00CF6B94">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37383" w:rsidTr="005F48ED">
      <w:trPr>
        <w:trHeight w:hRule="exact" w:val="567"/>
      </w:trPr>
      <w:tc>
        <w:tcPr>
          <w:tcW w:w="510" w:type="dxa"/>
        </w:tcPr>
        <w:p w:rsidR="00B37383" w:rsidRPr="00A24443" w:rsidRDefault="00B37383"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E3FBB">
            <w:rPr>
              <w:rStyle w:val="PageNumber"/>
              <w:caps w:val="0"/>
              <w:noProof/>
            </w:rPr>
            <w:t>54</w:t>
          </w:r>
          <w:r w:rsidRPr="00A24443">
            <w:rPr>
              <w:rStyle w:val="PageNumber"/>
              <w:caps w:val="0"/>
            </w:rPr>
            <w:fldChar w:fldCharType="end"/>
          </w:r>
        </w:p>
      </w:tc>
      <w:tc>
        <w:tcPr>
          <w:tcW w:w="7767" w:type="dxa"/>
        </w:tcPr>
        <w:p w:rsidR="00B37383" w:rsidRPr="0013739A" w:rsidRDefault="00B37383"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1C2DE2">
            <w:rPr>
              <w:rFonts w:cs="Arial"/>
            </w:rPr>
            <w:t>childcare and early childhood learning - Technical supplement</w:t>
          </w:r>
          <w:r w:rsidRPr="00BA5B14">
            <w:rPr>
              <w:rFonts w:cs="Arial"/>
            </w:rPr>
            <w:fldChar w:fldCharType="end"/>
          </w:r>
          <w:bookmarkStart w:id="5" w:name="DraftReportEven"/>
          <w:bookmarkEnd w:id="5"/>
        </w:p>
      </w:tc>
      <w:tc>
        <w:tcPr>
          <w:tcW w:w="510" w:type="dxa"/>
        </w:tcPr>
        <w:p w:rsidR="00B37383" w:rsidRDefault="00B37383" w:rsidP="0019293B">
          <w:pPr>
            <w:pStyle w:val="Footer"/>
          </w:pPr>
        </w:p>
      </w:tc>
    </w:tr>
  </w:tbl>
  <w:p w:rsidR="00B37383" w:rsidRDefault="00B37383"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37383" w:rsidTr="005F48ED">
      <w:trPr>
        <w:trHeight w:hRule="exact" w:val="567"/>
      </w:trPr>
      <w:tc>
        <w:tcPr>
          <w:tcW w:w="510" w:type="dxa"/>
        </w:tcPr>
        <w:p w:rsidR="00B37383" w:rsidRDefault="00B37383">
          <w:pPr>
            <w:pStyle w:val="Footer"/>
            <w:ind w:right="360" w:firstLine="360"/>
          </w:pPr>
        </w:p>
      </w:tc>
      <w:tc>
        <w:tcPr>
          <w:tcW w:w="7767" w:type="dxa"/>
        </w:tcPr>
        <w:p w:rsidR="00B37383" w:rsidRPr="00BA5B14" w:rsidRDefault="00B37383"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1C2DE2">
            <w:rPr>
              <w:rFonts w:cs="Arial"/>
            </w:rPr>
            <w:t>Modelling the effects of childcare policy changes</w:t>
          </w:r>
          <w:r w:rsidRPr="00BA5B14">
            <w:rPr>
              <w:rFonts w:cs="Arial"/>
            </w:rPr>
            <w:fldChar w:fldCharType="end"/>
          </w:r>
          <w:bookmarkStart w:id="6" w:name="DraftReportOdd"/>
          <w:bookmarkEnd w:id="6"/>
        </w:p>
      </w:tc>
      <w:tc>
        <w:tcPr>
          <w:tcW w:w="510" w:type="dxa"/>
        </w:tcPr>
        <w:p w:rsidR="00B37383" w:rsidRPr="00A24443" w:rsidRDefault="00B37383">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E3FBB">
            <w:rPr>
              <w:rStyle w:val="PageNumber"/>
              <w:caps w:val="0"/>
              <w:noProof/>
            </w:rPr>
            <w:t>55</w:t>
          </w:r>
          <w:r w:rsidRPr="00A24443">
            <w:rPr>
              <w:rStyle w:val="PageNumber"/>
              <w:caps w:val="0"/>
            </w:rPr>
            <w:fldChar w:fldCharType="end"/>
          </w:r>
        </w:p>
      </w:tc>
    </w:tr>
  </w:tbl>
  <w:p w:rsidR="00B37383" w:rsidRDefault="00B37383">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383" w:rsidRDefault="00B37383">
      <w:r>
        <w:separator/>
      </w:r>
    </w:p>
  </w:footnote>
  <w:footnote w:type="continuationSeparator" w:id="0">
    <w:p w:rsidR="00B37383" w:rsidRDefault="00B37383">
      <w:r>
        <w:continuationSeparator/>
      </w:r>
    </w:p>
  </w:footnote>
  <w:footnote w:id="1">
    <w:p w:rsidR="00B37383" w:rsidRDefault="00B37383">
      <w:pPr>
        <w:pStyle w:val="FootnoteText"/>
      </w:pPr>
      <w:r>
        <w:rPr>
          <w:rStyle w:val="FootnoteReference"/>
        </w:rPr>
        <w:footnoteRef/>
      </w:r>
      <w:r>
        <w:tab/>
        <w:t>Note that this labour supply change is referring to the change in labour supply from households, some of which use ECEC services, not any changes in the ECEC workforce that could be induced by changes in the childcare market.</w:t>
      </w:r>
    </w:p>
  </w:footnote>
  <w:footnote w:id="2">
    <w:p w:rsidR="00B37383" w:rsidRDefault="00B37383" w:rsidP="00CF6B94">
      <w:pPr>
        <w:pStyle w:val="FootnoteText"/>
      </w:pPr>
      <w:r>
        <w:rPr>
          <w:rStyle w:val="FootnoteReference"/>
        </w:rPr>
        <w:footnoteRef/>
      </w:r>
      <w:r>
        <w:t xml:space="preserve"> </w:t>
      </w:r>
      <w:proofErr w:type="gramStart"/>
      <w:r>
        <w:t>Using pre-2014 Budget parameter values.</w:t>
      </w:r>
      <w:proofErr w:type="gramEnd"/>
    </w:p>
  </w:footnote>
  <w:footnote w:id="3">
    <w:p w:rsidR="00B37383" w:rsidRDefault="00B37383" w:rsidP="00CF6B94">
      <w:pPr>
        <w:pStyle w:val="FootnoteText"/>
      </w:pPr>
      <w:r>
        <w:rPr>
          <w:rStyle w:val="FootnoteReference"/>
        </w:rPr>
        <w:footnoteRef/>
      </w:r>
      <w:r>
        <w:t xml:space="preserve"> The model holds constant income from sources other than hours worked (e.g. capital income is assumed not to change as a result of childcare policies).</w:t>
      </w:r>
    </w:p>
  </w:footnote>
  <w:footnote w:id="4">
    <w:p w:rsidR="00B37383" w:rsidRDefault="00B37383" w:rsidP="00CF6B94">
      <w:pPr>
        <w:pStyle w:val="FootnoteText"/>
      </w:pPr>
      <w:r>
        <w:rPr>
          <w:rStyle w:val="FootnoteReference"/>
        </w:rPr>
        <w:footnoteRef/>
      </w:r>
      <w:r>
        <w:t xml:space="preserve"> </w:t>
      </w:r>
      <w:r>
        <w:tab/>
        <w:t xml:space="preserve">This is represented by the intercept utility parameter associated with zero work. </w:t>
      </w:r>
    </w:p>
  </w:footnote>
  <w:footnote w:id="5">
    <w:p w:rsidR="00B37383" w:rsidRDefault="00B37383" w:rsidP="00CF6B94">
      <w:pPr>
        <w:pStyle w:val="FootnoteText"/>
      </w:pPr>
      <w:r>
        <w:rPr>
          <w:rStyle w:val="FootnoteReference"/>
        </w:rPr>
        <w:footnoteRef/>
      </w:r>
      <w:r>
        <w:tab/>
      </w:r>
      <w:r w:rsidRPr="00D71079">
        <w:t xml:space="preserve">The SIH covers urban and rural areas (excluding very remote areas) of </w:t>
      </w:r>
      <w:r>
        <w:t>Australia covering about 97 per </w:t>
      </w:r>
      <w:r w:rsidRPr="00D71079">
        <w:t>cent of the population (A</w:t>
      </w:r>
      <w:r>
        <w:t>BS</w:t>
      </w:r>
      <w:r w:rsidRPr="00D71079">
        <w:t xml:space="preserve"> 2013</w:t>
      </w:r>
      <w:r>
        <w:t>a</w:t>
      </w:r>
      <w:r w:rsidRPr="00D71079">
        <w:t>). The ABS (2013</w:t>
      </w:r>
      <w:r>
        <w:t>a</w:t>
      </w:r>
      <w:r w:rsidRPr="00D71079">
        <w:t>) noted that while excluding very remote areas only has a minor impact on aggregate estimates, nearly a quarter of all households in the Northern Territory live in very remote areas.</w:t>
      </w:r>
    </w:p>
  </w:footnote>
  <w:footnote w:id="6">
    <w:p w:rsidR="00B37383" w:rsidRDefault="00B37383" w:rsidP="00CF6B94">
      <w:pPr>
        <w:pStyle w:val="FootnoteText"/>
      </w:pPr>
      <w:r>
        <w:rPr>
          <w:rStyle w:val="FootnoteReference"/>
        </w:rPr>
        <w:footnoteRef/>
      </w:r>
      <w:r>
        <w:t xml:space="preserve"> </w:t>
      </w:r>
      <w:r>
        <w:tab/>
        <w:t>Further, GDP is not a measure of social welfare. Important components of social welfare that are relevant to this policy are excluded from GDP. In particular, while formal childcare contributes to GDP as part of economic activity, informal and parental care (valued by households) are not accounted for, and nor is the value of home production or that of leisure, or the possible longer term benefits of improved child development associated with participation in some types of formal childcare. Similarly, GDP will include a measurable increase in those who move from the cash economy to the measured economy. Some of the longer-term benefits might appear as positive GDP effects in the long run, which is not reflected in the micro-simulation model.</w:t>
      </w:r>
    </w:p>
  </w:footnote>
  <w:footnote w:id="7">
    <w:p w:rsidR="00B37383" w:rsidRDefault="00B37383" w:rsidP="00CF6B94">
      <w:pPr>
        <w:pStyle w:val="FootnoteText"/>
      </w:pPr>
      <w:r>
        <w:rPr>
          <w:rStyle w:val="FootnoteReference"/>
        </w:rPr>
        <w:footnoteRef/>
      </w:r>
      <w:r>
        <w:t xml:space="preserve"> </w:t>
      </w:r>
      <w:r>
        <w:tab/>
        <w:t>Conditional on assuming no changes in wages and no changes in childcare fees, and that childcare services and employment are available at any quantity at current prices.</w:t>
      </w:r>
    </w:p>
  </w:footnote>
  <w:footnote w:id="8">
    <w:p w:rsidR="00B37383" w:rsidRDefault="00B37383" w:rsidP="00CF6B94">
      <w:pPr>
        <w:pStyle w:val="FootnoteText"/>
      </w:pPr>
      <w:r>
        <w:rPr>
          <w:rStyle w:val="FootnoteReference"/>
        </w:rPr>
        <w:footnoteRef/>
      </w:r>
      <w:r>
        <w:t xml:space="preserve"> </w:t>
      </w:r>
      <w:r>
        <w:tab/>
        <w:t>The benchmark price was set such that it is less/more than the actual childcare fees paid by approximately 50 per cent of the households in the population.</w:t>
      </w:r>
    </w:p>
  </w:footnote>
  <w:footnote w:id="9">
    <w:p w:rsidR="00B37383" w:rsidRDefault="00B37383" w:rsidP="00CF6B94">
      <w:pPr>
        <w:pStyle w:val="FootnoteText"/>
      </w:pPr>
      <w:r>
        <w:rPr>
          <w:rStyle w:val="FootnoteReference"/>
        </w:rPr>
        <w:footnoteRef/>
      </w:r>
      <w:r>
        <w:t xml:space="preserve"> </w:t>
      </w:r>
      <w:r>
        <w:tab/>
        <w:t>Two possible specifications were examined for subsidy payments relative to the benchmark price for the case where the dollar subsidy (subsidy rate applied to the benchmark price) exceeds childcare fees. In the first case, the dollar subsidy is reduced to 100 per cent of the childcare fee. In the second case, the subsidy is calculated on the basis of the scheduled rate. The ‘scheduled rate’ refers to the rate of the benchmark price that would be subsidised, as opposed to the share of the childcare fee that is actually subsidised.</w:t>
      </w:r>
    </w:p>
  </w:footnote>
  <w:footnote w:id="10">
    <w:p w:rsidR="00B37383" w:rsidRDefault="00B37383" w:rsidP="00CF6B94">
      <w:pPr>
        <w:pStyle w:val="FootnoteText"/>
      </w:pPr>
      <w:r>
        <w:rPr>
          <w:rStyle w:val="FootnoteReference"/>
        </w:rPr>
        <w:footnoteRef/>
      </w:r>
      <w:r>
        <w:tab/>
        <w:t xml:space="preserve">The activity test is applied for all families other than for grandparents or other non-parental primary carers, when parents receive a Disability Support Pension or Carer Payment (other than for the child using the ECEC service), when children are assessed to be at risk, or </w:t>
      </w:r>
      <w:r w:rsidRPr="009B3CA8">
        <w:t>in exceptional circumstances including due to a loss of a job for a short period</w:t>
      </w:r>
      <w:r>
        <w:t>. These exemptions to the activity test were not included in the draft report modelling. Variations of activity tests that were modelled include a 16 hour fortnightly test, a 24 hour fortnightly test, as well as either a 10 hour or complete exemption for households receiving the Parenting Payment.</w:t>
      </w:r>
    </w:p>
  </w:footnote>
  <w:footnote w:id="11">
    <w:p w:rsidR="00B37383" w:rsidRDefault="00B37383" w:rsidP="00CF6B94">
      <w:pPr>
        <w:pStyle w:val="FootnoteText"/>
      </w:pPr>
      <w:r>
        <w:rPr>
          <w:rStyle w:val="FootnoteReference"/>
        </w:rPr>
        <w:footnoteRef/>
      </w:r>
      <w:r>
        <w:tab/>
        <w:t>In particular, uncertainty over current cost and use of early childhood services (as discussed in chapter 16 of the inquiry report) impacts the estimated fiscal cost.</w:t>
      </w:r>
    </w:p>
  </w:footnote>
  <w:footnote w:id="12">
    <w:p w:rsidR="00B37383" w:rsidRDefault="00B37383" w:rsidP="00CF6B94">
      <w:pPr>
        <w:pStyle w:val="FootnoteText"/>
      </w:pPr>
      <w:r>
        <w:rPr>
          <w:rStyle w:val="FootnoteReference"/>
        </w:rPr>
        <w:footnoteRef/>
      </w:r>
      <w:r>
        <w:tab/>
        <w:t>It can be argued that the benchmark price could place downwards pressure on prices charged by higher cost providers. Similarly, the benchmark price could provide incentives for lower cost providers to increase their prices to the benchmark price.</w:t>
      </w:r>
    </w:p>
  </w:footnote>
  <w:footnote w:id="13">
    <w:p w:rsidR="00B37383" w:rsidRDefault="00B37383" w:rsidP="00CF6B94">
      <w:pPr>
        <w:pStyle w:val="FootnoteText"/>
      </w:pPr>
      <w:r>
        <w:rPr>
          <w:rStyle w:val="FootnoteReference"/>
        </w:rPr>
        <w:footnoteRef/>
      </w:r>
      <w:r>
        <w:t xml:space="preserve"> The impact of the Parenting Payment activity test exemption, as well as the activity test more broadly, is covered in greater detail in the section 5.</w:t>
      </w:r>
    </w:p>
  </w:footnote>
  <w:footnote w:id="14">
    <w:p w:rsidR="00B37383" w:rsidRDefault="00B37383" w:rsidP="00CF6B94">
      <w:pPr>
        <w:pStyle w:val="FootnoteText"/>
      </w:pPr>
      <w:r>
        <w:rPr>
          <w:rStyle w:val="FootnoteReference"/>
        </w:rPr>
        <w:footnoteRef/>
      </w:r>
      <w:r>
        <w:t xml:space="preserve"> The labour supply decrease in the top two income brackets are driven by two factors: 1) a small number of observations in that cohort; 2) compositional change, as some within the group receive less favourable subsidies and decrease labour supply (typically households hitting the $7500 CCR limit under current arrangements who receive a subsidy rate of at least 20 per cent of the benchmark price under the new arrangements), while others within the group receive lower rates of assistance, but do not reduce work (instead funding formal childcare out-of-pocket).</w:t>
      </w:r>
    </w:p>
  </w:footnote>
  <w:footnote w:id="15">
    <w:p w:rsidR="00B37383" w:rsidRDefault="00B37383" w:rsidP="00CF6B94">
      <w:pPr>
        <w:pStyle w:val="FootnoteText"/>
      </w:pPr>
      <w:r>
        <w:rPr>
          <w:rStyle w:val="FootnoteReference"/>
        </w:rPr>
        <w:footnoteRef/>
      </w:r>
      <w:r>
        <w:tab/>
        <w:t>The household income levels at which rates change — for the recommended policy, $60 000 for the maximum subsidies rate, $250 000 for the minimum subsidy rate.</w:t>
      </w:r>
    </w:p>
  </w:footnote>
  <w:footnote w:id="16">
    <w:p w:rsidR="00B37383" w:rsidRDefault="00B37383" w:rsidP="00CF6B94">
      <w:pPr>
        <w:pStyle w:val="FootnoteText"/>
      </w:pPr>
      <w:r>
        <w:rPr>
          <w:rStyle w:val="FootnoteReference"/>
        </w:rPr>
        <w:footnoteRef/>
      </w:r>
      <w:r>
        <w:tab/>
        <w:t>Note that the model does not account for the societal benefits that could result from this exemption, discussed below.</w:t>
      </w:r>
    </w:p>
  </w:footnote>
  <w:footnote w:id="17">
    <w:p w:rsidR="00B37383" w:rsidRDefault="00B37383" w:rsidP="00CF6B94">
      <w:pPr>
        <w:pStyle w:val="FootnoteText"/>
      </w:pPr>
      <w:r>
        <w:rPr>
          <w:rStyle w:val="FootnoteReference"/>
        </w:rPr>
        <w:footnoteRef/>
      </w:r>
      <w:r>
        <w:tab/>
        <w:t xml:space="preserve">The ‘scheduled rate’ refers to the rate that the household would receive, paid on the benchmark price, as opposed to the actual share of the total supply price that is subsidised. For example, a household earning $50 000 would have a scheduled rate of 85 per cent, despite the fact that </w:t>
      </w:r>
      <w:proofErr w:type="gramStart"/>
      <w:r>
        <w:t>it’s</w:t>
      </w:r>
      <w:proofErr w:type="gramEnd"/>
      <w:r>
        <w:t xml:space="preserve"> actual subsidy rate might be higher if the supply price is below the benchmark price.</w:t>
      </w:r>
    </w:p>
  </w:footnote>
  <w:footnote w:id="18">
    <w:p w:rsidR="00B37383" w:rsidRDefault="00B37383" w:rsidP="00CF6B94">
      <w:pPr>
        <w:pStyle w:val="FootnoteText"/>
      </w:pPr>
      <w:r>
        <w:rPr>
          <w:rStyle w:val="FootnoteReference"/>
        </w:rPr>
        <w:footnoteRef/>
      </w:r>
      <w:r>
        <w:tab/>
        <w:t>Childcare price was derived by dividing total fees by the number of hours charged for childcare.</w:t>
      </w:r>
    </w:p>
  </w:footnote>
  <w:footnote w:id="19">
    <w:p w:rsidR="00B37383" w:rsidRDefault="00B37383" w:rsidP="00CF6B94">
      <w:pPr>
        <w:pStyle w:val="FootnoteText"/>
      </w:pPr>
      <w:r>
        <w:rPr>
          <w:rStyle w:val="FootnoteReference"/>
        </w:rPr>
        <w:footnoteRef/>
      </w:r>
      <w:r>
        <w:tab/>
        <w:t xml:space="preserve">For a </w:t>
      </w:r>
      <w:r w:rsidRPr="00495447">
        <w:t>couple with dependent children</w:t>
      </w:r>
      <w:r>
        <w:t xml:space="preserve">, it was sufficient for </w:t>
      </w:r>
      <w:r>
        <w:rPr>
          <w:i/>
        </w:rPr>
        <w:t xml:space="preserve">either </w:t>
      </w:r>
      <w:r>
        <w:t xml:space="preserve">member of the couple to identify as a parent or guardian of a child </w:t>
      </w:r>
      <w:proofErr w:type="gramStart"/>
      <w:r>
        <w:t>under</w:t>
      </w:r>
      <w:proofErr w:type="gramEnd"/>
      <w:r>
        <w:t xml:space="preserve"> 12 years. </w:t>
      </w:r>
    </w:p>
  </w:footnote>
  <w:footnote w:id="20">
    <w:p w:rsidR="00B37383" w:rsidRDefault="00B37383" w:rsidP="00CF6B94">
      <w:pPr>
        <w:pStyle w:val="FootnoteText"/>
      </w:pPr>
      <w:r>
        <w:rPr>
          <w:rStyle w:val="FootnoteReference"/>
        </w:rPr>
        <w:footnoteRef/>
      </w:r>
      <w:r>
        <w:t xml:space="preserve"> For some households, the primary earner reported working no hours but earning wage income. As these households were dropped, any work reported by the primary carer would be excluded.</w:t>
      </w:r>
    </w:p>
  </w:footnote>
  <w:footnote w:id="21">
    <w:p w:rsidR="00B37383" w:rsidRDefault="00B37383" w:rsidP="00CF6B94">
      <w:pPr>
        <w:pStyle w:val="FootnoteText"/>
      </w:pPr>
      <w:r>
        <w:rPr>
          <w:rStyle w:val="FootnoteReference"/>
        </w:rPr>
        <w:footnoteRef/>
      </w:r>
      <w:r>
        <w:tab/>
        <w:t>OSHC care can be 0,4,8,12,16 or 20 hours. This is equal to two fifths of the formal child care choices.</w:t>
      </w:r>
    </w:p>
  </w:footnote>
  <w:footnote w:id="22">
    <w:p w:rsidR="00B37383" w:rsidRDefault="00B37383" w:rsidP="00CF6B94">
      <w:pPr>
        <w:pStyle w:val="FootnoteText"/>
      </w:pPr>
      <w:r>
        <w:rPr>
          <w:rStyle w:val="FootnoteReference"/>
        </w:rPr>
        <w:footnoteRef/>
      </w:r>
      <w:r>
        <w:tab/>
        <w:t>Note that labour supply is also driving the level of income.</w:t>
      </w:r>
    </w:p>
  </w:footnote>
  <w:footnote w:id="23">
    <w:p w:rsidR="00B37383" w:rsidRDefault="00B37383" w:rsidP="00CF6B94">
      <w:pPr>
        <w:pStyle w:val="FootnoteText"/>
      </w:pPr>
      <w:r>
        <w:rPr>
          <w:rStyle w:val="FootnoteReference"/>
        </w:rPr>
        <w:footnoteRef/>
      </w:r>
      <w:r>
        <w:tab/>
        <w:t>Informal care is defined as a residual, such that informal childcare equals the minimum of either (a) formal care less primary</w:t>
      </w:r>
      <w:r>
        <w:noBreakHyphen/>
        <w:t xml:space="preserve">carer labour supply or (b) zero. Informal childcare can be treated as a residual because </w:t>
      </w:r>
      <w:r w:rsidRPr="00E52A6B">
        <w:t>it is assumed that any formal childcare used by a household will be used while the primary carer is working, unless the formal childcare hours are greater than hours of labour supply.</w:t>
      </w:r>
      <w:r>
        <w:t xml:space="preserve"> This is consistent with the approach adopted by Gong and </w:t>
      </w:r>
      <w:proofErr w:type="spellStart"/>
      <w:r>
        <w:t>Breunig</w:t>
      </w:r>
      <w:proofErr w:type="spellEnd"/>
      <w:r>
        <w:t xml:space="preserve"> (2012).</w:t>
      </w:r>
    </w:p>
  </w:footnote>
  <w:footnote w:id="24">
    <w:p w:rsidR="00B37383" w:rsidRDefault="00B37383" w:rsidP="00CF6B94">
      <w:pPr>
        <w:pStyle w:val="FootnoteText"/>
      </w:pPr>
      <w:r>
        <w:rPr>
          <w:rStyle w:val="FootnoteReference"/>
        </w:rPr>
        <w:footnoteRef/>
      </w:r>
      <w:r>
        <w:tab/>
        <w:t>Note that the model used by the Commission does not substitute out these terms. This substitution is made for illustrative purposes in this section only.</w:t>
      </w:r>
    </w:p>
  </w:footnote>
  <w:footnote w:id="25">
    <w:p w:rsidR="00B37383" w:rsidRDefault="00B37383" w:rsidP="00CF6B94">
      <w:pPr>
        <w:pStyle w:val="FootnoteText"/>
      </w:pPr>
      <w:r>
        <w:rPr>
          <w:rStyle w:val="FootnoteReference"/>
        </w:rPr>
        <w:footnoteRef/>
      </w:r>
      <w:r>
        <w:tab/>
        <w:t>Approximately 10 per cent of observations are dropped.</w:t>
      </w:r>
    </w:p>
  </w:footnote>
  <w:footnote w:id="26">
    <w:p w:rsidR="00B37383" w:rsidRDefault="00B37383" w:rsidP="00CF6B94">
      <w:pPr>
        <w:pStyle w:val="FootnoteText"/>
      </w:pPr>
      <w:r>
        <w:rPr>
          <w:rStyle w:val="FootnoteReference"/>
        </w:rPr>
        <w:footnoteRef/>
      </w:r>
      <w:r>
        <w:t xml:space="preserve"> </w:t>
      </w:r>
      <w:r>
        <w:tab/>
        <w:t>Note that k can vary from 1 to 48, since the PCMC model contains 48 possible labour-childcare combinations (8 possible ‘8 hour’ increment labour choices, and 6 possible ‘10 hour’ increment care choices) as documented in appendix B.</w:t>
      </w:r>
    </w:p>
  </w:footnote>
  <w:footnote w:id="27">
    <w:p w:rsidR="00B37383" w:rsidRDefault="00B37383" w:rsidP="00CF6B94">
      <w:pPr>
        <w:pStyle w:val="FootnoteText"/>
      </w:pPr>
      <w:r>
        <w:rPr>
          <w:rStyle w:val="FootnoteReference"/>
        </w:rPr>
        <w:footnoteRef/>
      </w:r>
      <w:r>
        <w:t xml:space="preserve"> </w:t>
      </w:r>
      <w:r>
        <w:tab/>
        <w:t>Income net of tax and transfers less out-of-pocket childcare cost is derived by: (1) multiplying the wage by the hours worked; (2) passing this number through the tax and transfer module of the PCMC model, giving net disposable income; and (3) reducing the resultant net disposable income by the out-of-pocket childcare cost from the childcare module of the PCMC model.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B37383" w:rsidTr="00CF6B94">
      <w:tc>
        <w:tcPr>
          <w:tcW w:w="2155" w:type="dxa"/>
          <w:tcBorders>
            <w:top w:val="single" w:sz="24" w:space="0" w:color="auto"/>
          </w:tcBorders>
        </w:tcPr>
        <w:p w:rsidR="00B37383" w:rsidRDefault="00B37383" w:rsidP="00CF6B94">
          <w:pPr>
            <w:pStyle w:val="HeaderEven"/>
          </w:pPr>
        </w:p>
      </w:tc>
      <w:tc>
        <w:tcPr>
          <w:tcW w:w="6634" w:type="dxa"/>
          <w:tcBorders>
            <w:top w:val="single" w:sz="6" w:space="0" w:color="auto"/>
          </w:tcBorders>
        </w:tcPr>
        <w:p w:rsidR="00B37383" w:rsidRDefault="00B37383" w:rsidP="00CF6B94">
          <w:pPr>
            <w:pStyle w:val="HeaderEven"/>
          </w:pPr>
        </w:p>
      </w:tc>
    </w:tr>
  </w:tbl>
  <w:p w:rsidR="00B37383" w:rsidRDefault="00B37383">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37383" w:rsidTr="00CF6B94">
      <w:tc>
        <w:tcPr>
          <w:tcW w:w="6634" w:type="dxa"/>
          <w:tcBorders>
            <w:top w:val="single" w:sz="6" w:space="0" w:color="auto"/>
          </w:tcBorders>
        </w:tcPr>
        <w:p w:rsidR="00B37383" w:rsidRDefault="00B37383" w:rsidP="00CF6B94">
          <w:pPr>
            <w:pStyle w:val="HeaderOdd"/>
          </w:pPr>
        </w:p>
      </w:tc>
      <w:tc>
        <w:tcPr>
          <w:tcW w:w="2155" w:type="dxa"/>
          <w:tcBorders>
            <w:top w:val="single" w:sz="24" w:space="0" w:color="auto"/>
          </w:tcBorders>
        </w:tcPr>
        <w:p w:rsidR="00B37383" w:rsidRDefault="00B37383" w:rsidP="00CF6B94">
          <w:pPr>
            <w:pStyle w:val="HeaderOdd"/>
          </w:pPr>
        </w:p>
      </w:tc>
    </w:tr>
  </w:tbl>
  <w:p w:rsidR="00B37383" w:rsidRDefault="00B37383">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383" w:rsidRDefault="00B37383">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B37383">
      <w:tc>
        <w:tcPr>
          <w:tcW w:w="2155" w:type="dxa"/>
          <w:tcBorders>
            <w:top w:val="single" w:sz="24" w:space="0" w:color="auto"/>
          </w:tcBorders>
        </w:tcPr>
        <w:p w:rsidR="00B37383" w:rsidRDefault="00B37383" w:rsidP="0019293B">
          <w:pPr>
            <w:pStyle w:val="HeaderEven"/>
          </w:pPr>
        </w:p>
      </w:tc>
      <w:tc>
        <w:tcPr>
          <w:tcW w:w="6634" w:type="dxa"/>
          <w:tcBorders>
            <w:top w:val="single" w:sz="6" w:space="0" w:color="auto"/>
          </w:tcBorders>
        </w:tcPr>
        <w:p w:rsidR="00B37383" w:rsidRDefault="00B37383" w:rsidP="0019293B">
          <w:pPr>
            <w:pStyle w:val="HeaderEven"/>
          </w:pPr>
        </w:p>
      </w:tc>
    </w:tr>
  </w:tbl>
  <w:p w:rsidR="00B37383" w:rsidRDefault="00B37383"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37383">
      <w:tc>
        <w:tcPr>
          <w:tcW w:w="6634" w:type="dxa"/>
          <w:tcBorders>
            <w:top w:val="single" w:sz="6" w:space="0" w:color="auto"/>
          </w:tcBorders>
        </w:tcPr>
        <w:p w:rsidR="00B37383" w:rsidRDefault="00B37383" w:rsidP="00E669E2">
          <w:pPr>
            <w:pStyle w:val="HeaderOdd"/>
          </w:pPr>
        </w:p>
      </w:tc>
      <w:tc>
        <w:tcPr>
          <w:tcW w:w="2155" w:type="dxa"/>
          <w:tcBorders>
            <w:top w:val="single" w:sz="24" w:space="0" w:color="auto"/>
          </w:tcBorders>
        </w:tcPr>
        <w:p w:rsidR="00B37383" w:rsidRDefault="00B37383" w:rsidP="00E669E2">
          <w:pPr>
            <w:pStyle w:val="HeaderOdd"/>
          </w:pPr>
        </w:p>
      </w:tc>
    </w:tr>
  </w:tbl>
  <w:p w:rsidR="00B37383" w:rsidRDefault="00B37383"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4B033C6"/>
    <w:multiLevelType w:val="hybridMultilevel"/>
    <w:tmpl w:val="F7D40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nsid w:val="346B2063"/>
    <w:multiLevelType w:val="hybridMultilevel"/>
    <w:tmpl w:val="48FC3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1A14561"/>
    <w:multiLevelType w:val="hybridMultilevel"/>
    <w:tmpl w:val="2770821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nsid w:val="7AEC7117"/>
    <w:multiLevelType w:val="hybridMultilevel"/>
    <w:tmpl w:val="F5F8F438"/>
    <w:lvl w:ilvl="0" w:tplc="199618A6">
      <w:start w:val="126"/>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5">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3"/>
  </w:num>
  <w:num w:numId="3">
    <w:abstractNumId w:val="17"/>
  </w:num>
  <w:num w:numId="4">
    <w:abstractNumId w:val="4"/>
  </w:num>
  <w:num w:numId="5">
    <w:abstractNumId w:val="22"/>
  </w:num>
  <w:num w:numId="6">
    <w:abstractNumId w:val="19"/>
  </w:num>
  <w:num w:numId="7">
    <w:abstractNumId w:val="8"/>
  </w:num>
  <w:num w:numId="8">
    <w:abstractNumId w:val="18"/>
  </w:num>
  <w:num w:numId="9">
    <w:abstractNumId w:val="7"/>
  </w:num>
  <w:num w:numId="10">
    <w:abstractNumId w:val="6"/>
  </w:num>
  <w:num w:numId="11">
    <w:abstractNumId w:val="10"/>
  </w:num>
  <w:num w:numId="12">
    <w:abstractNumId w:val="12"/>
  </w:num>
  <w:num w:numId="13">
    <w:abstractNumId w:val="5"/>
  </w:num>
  <w:num w:numId="14">
    <w:abstractNumId w:val="20"/>
  </w:num>
  <w:num w:numId="15">
    <w:abstractNumId w:val="23"/>
  </w:num>
  <w:num w:numId="16">
    <w:abstractNumId w:val="15"/>
  </w:num>
  <w:num w:numId="17">
    <w:abstractNumId w:val="25"/>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1"/>
  </w:num>
  <w:num w:numId="21">
    <w:abstractNumId w:val="9"/>
  </w:num>
  <w:num w:numId="22">
    <w:abstractNumId w:val="16"/>
  </w:num>
  <w:num w:numId="23">
    <w:abstractNumId w:val="1"/>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Modelling the effects of childcare policy changes"/>
    <w:docVar w:name="ShortReportTitle" w:val="childcare and early childhood learning - Technical supplement"/>
  </w:docVars>
  <w:rsids>
    <w:rsidRoot w:val="00CF6B94"/>
    <w:rsid w:val="0002236C"/>
    <w:rsid w:val="000227D5"/>
    <w:rsid w:val="000245AA"/>
    <w:rsid w:val="0003664B"/>
    <w:rsid w:val="0004111F"/>
    <w:rsid w:val="00053D21"/>
    <w:rsid w:val="00055077"/>
    <w:rsid w:val="000565B3"/>
    <w:rsid w:val="0007150B"/>
    <w:rsid w:val="000938F5"/>
    <w:rsid w:val="00095663"/>
    <w:rsid w:val="00096E55"/>
    <w:rsid w:val="0009783E"/>
    <w:rsid w:val="000B1022"/>
    <w:rsid w:val="000B601B"/>
    <w:rsid w:val="000C207E"/>
    <w:rsid w:val="000D41E9"/>
    <w:rsid w:val="000F0035"/>
    <w:rsid w:val="000F04E7"/>
    <w:rsid w:val="000F060A"/>
    <w:rsid w:val="000F420B"/>
    <w:rsid w:val="00110116"/>
    <w:rsid w:val="00120072"/>
    <w:rsid w:val="00126EB8"/>
    <w:rsid w:val="001274D4"/>
    <w:rsid w:val="001363AA"/>
    <w:rsid w:val="0013739A"/>
    <w:rsid w:val="00142165"/>
    <w:rsid w:val="00162434"/>
    <w:rsid w:val="00183E82"/>
    <w:rsid w:val="001878BB"/>
    <w:rsid w:val="00191AE0"/>
    <w:rsid w:val="0019293B"/>
    <w:rsid w:val="0019426B"/>
    <w:rsid w:val="00197084"/>
    <w:rsid w:val="001A6A4B"/>
    <w:rsid w:val="001C0865"/>
    <w:rsid w:val="001C0AED"/>
    <w:rsid w:val="001C2DE2"/>
    <w:rsid w:val="001C3ABA"/>
    <w:rsid w:val="001C5111"/>
    <w:rsid w:val="001E7BE8"/>
    <w:rsid w:val="001F0248"/>
    <w:rsid w:val="001F3EB3"/>
    <w:rsid w:val="001F4F86"/>
    <w:rsid w:val="00202C2C"/>
    <w:rsid w:val="00203050"/>
    <w:rsid w:val="002135AB"/>
    <w:rsid w:val="002144BE"/>
    <w:rsid w:val="00242279"/>
    <w:rsid w:val="00243997"/>
    <w:rsid w:val="0024516C"/>
    <w:rsid w:val="00245C82"/>
    <w:rsid w:val="002724BA"/>
    <w:rsid w:val="00291B40"/>
    <w:rsid w:val="002B4008"/>
    <w:rsid w:val="002C2544"/>
    <w:rsid w:val="002C439F"/>
    <w:rsid w:val="002D0C42"/>
    <w:rsid w:val="002D0E8E"/>
    <w:rsid w:val="00301189"/>
    <w:rsid w:val="00301E4A"/>
    <w:rsid w:val="003168B8"/>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B23C2"/>
    <w:rsid w:val="003C38B5"/>
    <w:rsid w:val="003C5D99"/>
    <w:rsid w:val="003D1087"/>
    <w:rsid w:val="003E2F59"/>
    <w:rsid w:val="003E746B"/>
    <w:rsid w:val="003F0789"/>
    <w:rsid w:val="00401882"/>
    <w:rsid w:val="004100C8"/>
    <w:rsid w:val="00411DBD"/>
    <w:rsid w:val="00412ACE"/>
    <w:rsid w:val="004145D2"/>
    <w:rsid w:val="00426CB4"/>
    <w:rsid w:val="00431249"/>
    <w:rsid w:val="00434C19"/>
    <w:rsid w:val="00450810"/>
    <w:rsid w:val="00462C59"/>
    <w:rsid w:val="00470737"/>
    <w:rsid w:val="00477144"/>
    <w:rsid w:val="00491380"/>
    <w:rsid w:val="0049459F"/>
    <w:rsid w:val="004A38DD"/>
    <w:rsid w:val="004A6F49"/>
    <w:rsid w:val="004B43AE"/>
    <w:rsid w:val="004C30ED"/>
    <w:rsid w:val="004D5675"/>
    <w:rsid w:val="00517795"/>
    <w:rsid w:val="00523639"/>
    <w:rsid w:val="00531FE5"/>
    <w:rsid w:val="005402FA"/>
    <w:rsid w:val="005729BD"/>
    <w:rsid w:val="00580154"/>
    <w:rsid w:val="00583C39"/>
    <w:rsid w:val="00586A90"/>
    <w:rsid w:val="00587F28"/>
    <w:rsid w:val="005909CF"/>
    <w:rsid w:val="00591E71"/>
    <w:rsid w:val="005A0D41"/>
    <w:rsid w:val="005D329F"/>
    <w:rsid w:val="005F48ED"/>
    <w:rsid w:val="00602F4A"/>
    <w:rsid w:val="00606E78"/>
    <w:rsid w:val="00607BF1"/>
    <w:rsid w:val="00630D4D"/>
    <w:rsid w:val="00632A74"/>
    <w:rsid w:val="00654D42"/>
    <w:rsid w:val="00666E02"/>
    <w:rsid w:val="006A4655"/>
    <w:rsid w:val="006B2B3C"/>
    <w:rsid w:val="006C1D81"/>
    <w:rsid w:val="006C7038"/>
    <w:rsid w:val="006E73EF"/>
    <w:rsid w:val="007079C9"/>
    <w:rsid w:val="00714D4D"/>
    <w:rsid w:val="007266D3"/>
    <w:rsid w:val="00732029"/>
    <w:rsid w:val="007438EE"/>
    <w:rsid w:val="007604BB"/>
    <w:rsid w:val="00772909"/>
    <w:rsid w:val="00785232"/>
    <w:rsid w:val="0079701E"/>
    <w:rsid w:val="007A21EB"/>
    <w:rsid w:val="007B1A93"/>
    <w:rsid w:val="007C36C9"/>
    <w:rsid w:val="007D6401"/>
    <w:rsid w:val="007E01E4"/>
    <w:rsid w:val="007E7A12"/>
    <w:rsid w:val="007F7107"/>
    <w:rsid w:val="00800D4C"/>
    <w:rsid w:val="0081030F"/>
    <w:rsid w:val="00812F4A"/>
    <w:rsid w:val="0082087D"/>
    <w:rsid w:val="00835771"/>
    <w:rsid w:val="00842933"/>
    <w:rsid w:val="0086082C"/>
    <w:rsid w:val="00864ADC"/>
    <w:rsid w:val="00880153"/>
    <w:rsid w:val="00880F97"/>
    <w:rsid w:val="0088133A"/>
    <w:rsid w:val="0089285E"/>
    <w:rsid w:val="0089436C"/>
    <w:rsid w:val="008D365C"/>
    <w:rsid w:val="008D7622"/>
    <w:rsid w:val="008F6729"/>
    <w:rsid w:val="009021A6"/>
    <w:rsid w:val="009030BF"/>
    <w:rsid w:val="00903B52"/>
    <w:rsid w:val="0091032F"/>
    <w:rsid w:val="00914368"/>
    <w:rsid w:val="00931076"/>
    <w:rsid w:val="009345D9"/>
    <w:rsid w:val="00934B15"/>
    <w:rsid w:val="00940C87"/>
    <w:rsid w:val="00942B62"/>
    <w:rsid w:val="0095323B"/>
    <w:rsid w:val="00956A0C"/>
    <w:rsid w:val="00956BD9"/>
    <w:rsid w:val="00962489"/>
    <w:rsid w:val="00967CD3"/>
    <w:rsid w:val="00990C2C"/>
    <w:rsid w:val="009A5171"/>
    <w:rsid w:val="009C4DE0"/>
    <w:rsid w:val="009C6D44"/>
    <w:rsid w:val="009E1844"/>
    <w:rsid w:val="009F0D1B"/>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FA6"/>
    <w:rsid w:val="00AA49A0"/>
    <w:rsid w:val="00AA6710"/>
    <w:rsid w:val="00AB0681"/>
    <w:rsid w:val="00AC3A15"/>
    <w:rsid w:val="00AD520B"/>
    <w:rsid w:val="00AE3BCC"/>
    <w:rsid w:val="00AE3FBB"/>
    <w:rsid w:val="00B14997"/>
    <w:rsid w:val="00B37383"/>
    <w:rsid w:val="00B425C3"/>
    <w:rsid w:val="00B440AD"/>
    <w:rsid w:val="00B479BB"/>
    <w:rsid w:val="00B52F6E"/>
    <w:rsid w:val="00B53E7E"/>
    <w:rsid w:val="00B6342E"/>
    <w:rsid w:val="00B7113F"/>
    <w:rsid w:val="00BA2BCF"/>
    <w:rsid w:val="00BA5B14"/>
    <w:rsid w:val="00BA73B6"/>
    <w:rsid w:val="00BA7E27"/>
    <w:rsid w:val="00BB2603"/>
    <w:rsid w:val="00BB4FCD"/>
    <w:rsid w:val="00BC04E9"/>
    <w:rsid w:val="00BD13EA"/>
    <w:rsid w:val="00BD2E8E"/>
    <w:rsid w:val="00BE3808"/>
    <w:rsid w:val="00C03B88"/>
    <w:rsid w:val="00C062E9"/>
    <w:rsid w:val="00C07B64"/>
    <w:rsid w:val="00C13721"/>
    <w:rsid w:val="00C14FE4"/>
    <w:rsid w:val="00C3066D"/>
    <w:rsid w:val="00C52416"/>
    <w:rsid w:val="00C543F4"/>
    <w:rsid w:val="00C6291C"/>
    <w:rsid w:val="00C633CB"/>
    <w:rsid w:val="00C664CD"/>
    <w:rsid w:val="00C736B7"/>
    <w:rsid w:val="00C81D4A"/>
    <w:rsid w:val="00C8762C"/>
    <w:rsid w:val="00CA00F9"/>
    <w:rsid w:val="00CA2961"/>
    <w:rsid w:val="00CB50D7"/>
    <w:rsid w:val="00CB7177"/>
    <w:rsid w:val="00CB7CED"/>
    <w:rsid w:val="00CC070F"/>
    <w:rsid w:val="00CC1998"/>
    <w:rsid w:val="00CC4946"/>
    <w:rsid w:val="00CC64A1"/>
    <w:rsid w:val="00CF3B11"/>
    <w:rsid w:val="00CF6B94"/>
    <w:rsid w:val="00D270A4"/>
    <w:rsid w:val="00D31FE9"/>
    <w:rsid w:val="00D34E1B"/>
    <w:rsid w:val="00D376BA"/>
    <w:rsid w:val="00D434A0"/>
    <w:rsid w:val="00D45634"/>
    <w:rsid w:val="00D5568A"/>
    <w:rsid w:val="00D63D73"/>
    <w:rsid w:val="00D64452"/>
    <w:rsid w:val="00D66E1E"/>
    <w:rsid w:val="00D70696"/>
    <w:rsid w:val="00D75722"/>
    <w:rsid w:val="00D80CF5"/>
    <w:rsid w:val="00DA5BBA"/>
    <w:rsid w:val="00DB26D2"/>
    <w:rsid w:val="00DB39D6"/>
    <w:rsid w:val="00DB67C9"/>
    <w:rsid w:val="00DC0C95"/>
    <w:rsid w:val="00DC4F0B"/>
    <w:rsid w:val="00DD6580"/>
    <w:rsid w:val="00DE1F1B"/>
    <w:rsid w:val="00E01D7F"/>
    <w:rsid w:val="00E04E42"/>
    <w:rsid w:val="00E05C03"/>
    <w:rsid w:val="00E15700"/>
    <w:rsid w:val="00E17C72"/>
    <w:rsid w:val="00E21FC6"/>
    <w:rsid w:val="00E431A9"/>
    <w:rsid w:val="00E44627"/>
    <w:rsid w:val="00E669E2"/>
    <w:rsid w:val="00E66A24"/>
    <w:rsid w:val="00E76135"/>
    <w:rsid w:val="00E82F4F"/>
    <w:rsid w:val="00E864DF"/>
    <w:rsid w:val="00EB2CC3"/>
    <w:rsid w:val="00EC2844"/>
    <w:rsid w:val="00EC5500"/>
    <w:rsid w:val="00ED18F8"/>
    <w:rsid w:val="00EE6EDA"/>
    <w:rsid w:val="00EE778E"/>
    <w:rsid w:val="00EF6719"/>
    <w:rsid w:val="00EF6C6C"/>
    <w:rsid w:val="00F056FC"/>
    <w:rsid w:val="00F0632F"/>
    <w:rsid w:val="00F069AE"/>
    <w:rsid w:val="00F10476"/>
    <w:rsid w:val="00F135D8"/>
    <w:rsid w:val="00F31299"/>
    <w:rsid w:val="00F3534A"/>
    <w:rsid w:val="00F35BFB"/>
    <w:rsid w:val="00F363DC"/>
    <w:rsid w:val="00F36ACC"/>
    <w:rsid w:val="00F51609"/>
    <w:rsid w:val="00F55C25"/>
    <w:rsid w:val="00F60F22"/>
    <w:rsid w:val="00F73727"/>
    <w:rsid w:val="00F766A7"/>
    <w:rsid w:val="00F81006"/>
    <w:rsid w:val="00F85325"/>
    <w:rsid w:val="00FD22B1"/>
    <w:rsid w:val="00FD33F1"/>
    <w:rsid w:val="00FD3566"/>
    <w:rsid w:val="00FE45A7"/>
    <w:rsid w:val="00FE5397"/>
    <w:rsid w:val="00FF50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uiPriority="99"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CF6B94"/>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uiPriority w:val="99"/>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rsid w:val="00A17328"/>
    <w:rPr>
      <w:b/>
      <w:vanish/>
      <w:color w:val="FF00FF"/>
      <w:sz w:val="20"/>
    </w:rPr>
  </w:style>
  <w:style w:type="paragraph" w:styleId="CommentText">
    <w:name w:val="annotation text"/>
    <w:basedOn w:val="Normal"/>
    <w:link w:val="CommentTextChar3"/>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uiPriority w:val="99"/>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FootnoteTextChar">
    <w:name w:val="Footnote Text Char"/>
    <w:basedOn w:val="DefaultParagraphFont"/>
    <w:link w:val="FootnoteText"/>
    <w:rsid w:val="00CF6B94"/>
  </w:style>
  <w:style w:type="character" w:customStyle="1" w:styleId="HeaderChar">
    <w:name w:val="Header Char"/>
    <w:basedOn w:val="DefaultParagraphFont"/>
    <w:link w:val="Header"/>
    <w:rsid w:val="00CF6B94"/>
    <w:rPr>
      <w:rFonts w:ascii="Arial" w:hAnsi="Arial"/>
      <w:caps/>
      <w:sz w:val="24"/>
    </w:rPr>
  </w:style>
  <w:style w:type="character" w:customStyle="1" w:styleId="CommentTextChar2">
    <w:name w:val="Comment Text Char2"/>
    <w:basedOn w:val="DefaultParagraphFont"/>
    <w:rsid w:val="00CF6B94"/>
    <w:rPr>
      <w:szCs w:val="24"/>
    </w:rPr>
  </w:style>
  <w:style w:type="character" w:customStyle="1" w:styleId="CommentTextChar1">
    <w:name w:val="Comment Text Char1"/>
    <w:basedOn w:val="DefaultParagraphFont"/>
    <w:rsid w:val="00CF6B94"/>
    <w:rPr>
      <w:szCs w:val="24"/>
    </w:rPr>
  </w:style>
  <w:style w:type="paragraph" w:styleId="Bibliography">
    <w:name w:val="Bibliography"/>
    <w:basedOn w:val="Normal"/>
    <w:next w:val="Normal"/>
    <w:uiPriority w:val="37"/>
    <w:unhideWhenUsed/>
    <w:rsid w:val="00CF6B94"/>
    <w:pPr>
      <w:spacing w:after="240" w:line="276" w:lineRule="auto"/>
      <w:ind w:left="720" w:hanging="720"/>
    </w:pPr>
    <w:rPr>
      <w:rFonts w:asciiTheme="minorHAnsi" w:eastAsiaTheme="minorHAnsi" w:hAnsiTheme="minorHAnsi" w:cstheme="minorBidi"/>
      <w:sz w:val="22"/>
      <w:szCs w:val="22"/>
      <w:lang w:eastAsia="en-US"/>
    </w:rPr>
  </w:style>
  <w:style w:type="paragraph" w:customStyle="1" w:styleId="Headings">
    <w:name w:val="Headings"/>
    <w:basedOn w:val="Normal"/>
    <w:autoRedefine/>
    <w:rsid w:val="00CF6B94"/>
    <w:pPr>
      <w:spacing w:after="200" w:line="320" w:lineRule="atLeast"/>
    </w:pPr>
    <w:rPr>
      <w:rFonts w:ascii="Goudy Old Style" w:eastAsiaTheme="minorHAnsi" w:hAnsi="Goudy Old Style" w:cstheme="minorBidi"/>
      <w:position w:val="2"/>
      <w:sz w:val="22"/>
      <w:szCs w:val="22"/>
      <w:lang w:eastAsia="en-US"/>
    </w:rPr>
  </w:style>
  <w:style w:type="paragraph" w:customStyle="1" w:styleId="SectionHead">
    <w:name w:val="SectionHead"/>
    <w:basedOn w:val="Normal"/>
    <w:rsid w:val="00CF6B94"/>
    <w:pPr>
      <w:spacing w:after="200" w:line="276" w:lineRule="auto"/>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rsid w:val="00CF6B94"/>
    <w:rPr>
      <w:sz w:val="24"/>
      <w:szCs w:val="24"/>
    </w:rPr>
  </w:style>
  <w:style w:type="paragraph" w:styleId="CommentSubject">
    <w:name w:val="annotation subject"/>
    <w:basedOn w:val="CommentText"/>
    <w:next w:val="CommentText"/>
    <w:link w:val="CommentSubjectChar"/>
    <w:rsid w:val="00CF6B94"/>
    <w:pPr>
      <w:spacing w:before="0" w:after="200" w:line="240" w:lineRule="auto"/>
      <w:ind w:left="0" w:firstLine="0"/>
    </w:pPr>
    <w:rPr>
      <w:rFonts w:asciiTheme="minorHAnsi" w:eastAsiaTheme="minorHAnsi" w:hAnsiTheme="minorHAnsi" w:cstheme="minorBidi"/>
      <w:b/>
      <w:bCs/>
      <w:szCs w:val="20"/>
      <w:lang w:eastAsia="en-US"/>
    </w:rPr>
  </w:style>
  <w:style w:type="character" w:customStyle="1" w:styleId="CommentTextChar3">
    <w:name w:val="Comment Text Char3"/>
    <w:basedOn w:val="DefaultParagraphFont"/>
    <w:link w:val="CommentText"/>
    <w:rsid w:val="00CF6B94"/>
    <w:rPr>
      <w:szCs w:val="24"/>
    </w:rPr>
  </w:style>
  <w:style w:type="character" w:customStyle="1" w:styleId="CommentSubjectChar">
    <w:name w:val="Comment Subject Char"/>
    <w:basedOn w:val="CommentTextChar3"/>
    <w:link w:val="CommentSubject"/>
    <w:rsid w:val="00CF6B94"/>
    <w:rPr>
      <w:rFonts w:asciiTheme="minorHAnsi" w:eastAsiaTheme="minorHAnsi" w:hAnsiTheme="minorHAnsi" w:cstheme="minorBidi"/>
      <w:b/>
      <w:bCs/>
      <w:szCs w:val="24"/>
      <w:lang w:eastAsia="en-US"/>
    </w:rPr>
  </w:style>
  <w:style w:type="paragraph" w:customStyle="1" w:styleId="Copyrightheading">
    <w:name w:val="Copyright heading"/>
    <w:basedOn w:val="TOC1"/>
    <w:link w:val="CopyrightheadingChar"/>
    <w:qFormat/>
    <w:rsid w:val="00CF6B94"/>
    <w:pPr>
      <w:spacing w:after="200" w:line="300" w:lineRule="exact"/>
    </w:pPr>
    <w:rPr>
      <w:rFonts w:eastAsiaTheme="minorHAnsi" w:cstheme="minorBidi"/>
      <w:sz w:val="22"/>
    </w:rPr>
  </w:style>
  <w:style w:type="character" w:customStyle="1" w:styleId="CopyrightheadingChar">
    <w:name w:val="Copyright heading Char"/>
    <w:basedOn w:val="TOC1Char"/>
    <w:link w:val="Copyrightheading"/>
    <w:rsid w:val="00CF6B94"/>
    <w:rPr>
      <w:rFonts w:ascii="Arial" w:eastAsiaTheme="minorHAnsi" w:hAnsi="Arial" w:cstheme="minorBidi"/>
      <w:b/>
      <w:sz w:val="22"/>
      <w:szCs w:val="26"/>
      <w:lang w:eastAsia="en-US"/>
    </w:rPr>
  </w:style>
  <w:style w:type="paragraph" w:customStyle="1" w:styleId="Copyrightsubtitle">
    <w:name w:val="Copyright subtitle"/>
    <w:basedOn w:val="BodyText"/>
    <w:rsid w:val="00CF6B94"/>
    <w:rPr>
      <w:rFonts w:ascii="Arial" w:hAnsi="Arial"/>
      <w:b/>
      <w:sz w:val="22"/>
      <w:szCs w:val="25"/>
    </w:rPr>
  </w:style>
  <w:style w:type="paragraph" w:customStyle="1" w:styleId="Copyrightbodytext">
    <w:name w:val="Copyright bodytext"/>
    <w:basedOn w:val="BodyText"/>
    <w:link w:val="CopyrightbodytextChar"/>
    <w:qFormat/>
    <w:rsid w:val="00CF6B94"/>
    <w:pPr>
      <w:spacing w:before="60"/>
    </w:pPr>
  </w:style>
  <w:style w:type="character" w:customStyle="1" w:styleId="CopyrightbodytextChar">
    <w:name w:val="Copyright bodytext Char"/>
    <w:basedOn w:val="BodyTextChar"/>
    <w:link w:val="Copyrightbodytext"/>
    <w:rsid w:val="00CF6B94"/>
    <w:rPr>
      <w:sz w:val="24"/>
    </w:rPr>
  </w:style>
  <w:style w:type="paragraph" w:styleId="ListParagraph">
    <w:name w:val="List Paragraph"/>
    <w:basedOn w:val="Normal"/>
    <w:uiPriority w:val="34"/>
    <w:qFormat/>
    <w:rsid w:val="00CF6B94"/>
    <w:pPr>
      <w:spacing w:after="200" w:line="276" w:lineRule="auto"/>
      <w:ind w:left="720"/>
    </w:pPr>
    <w:rPr>
      <w:rFonts w:ascii="Calibri" w:eastAsiaTheme="minorHAnsi" w:hAnsi="Calibri" w:cstheme="minorBidi"/>
      <w:sz w:val="22"/>
      <w:szCs w:val="22"/>
      <w:lang w:eastAsia="en-US"/>
    </w:rPr>
  </w:style>
  <w:style w:type="character" w:styleId="Hyperlink">
    <w:name w:val="Hyperlink"/>
    <w:basedOn w:val="DefaultParagraphFont"/>
    <w:uiPriority w:val="99"/>
    <w:unhideWhenUsed/>
    <w:rsid w:val="00CF6B94"/>
    <w:rPr>
      <w:rFonts w:ascii="Times New Roman" w:hAnsi="Times New Roman" w:cs="Times New Roman" w:hint="default"/>
      <w:color w:val="000000"/>
      <w:u w:val="single"/>
    </w:rPr>
  </w:style>
  <w:style w:type="character" w:customStyle="1" w:styleId="apple-converted-space">
    <w:name w:val="apple-converted-space"/>
    <w:basedOn w:val="DefaultParagraphFont"/>
    <w:rsid w:val="00CF6B94"/>
    <w:rPr>
      <w:rFonts w:ascii="Times New Roman" w:hAnsi="Times New Roman" w:cs="Times New Roman" w:hint="default"/>
    </w:rPr>
  </w:style>
  <w:style w:type="paragraph" w:styleId="EndnoteText">
    <w:name w:val="endnote text"/>
    <w:basedOn w:val="Normal"/>
    <w:link w:val="EndnoteTextChar"/>
    <w:unhideWhenUsed/>
    <w:rsid w:val="00CF6B94"/>
    <w:pPr>
      <w:spacing w:after="200" w:line="276"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rsid w:val="00CF6B94"/>
    <w:rPr>
      <w:rFonts w:asciiTheme="minorHAnsi" w:eastAsiaTheme="minorHAnsi" w:hAnsiTheme="minorHAnsi" w:cstheme="minorBidi"/>
      <w:lang w:eastAsia="en-US"/>
    </w:rPr>
  </w:style>
  <w:style w:type="character" w:styleId="EndnoteReference">
    <w:name w:val="endnote reference"/>
    <w:basedOn w:val="DefaultParagraphFont"/>
    <w:unhideWhenUsed/>
    <w:rsid w:val="00CF6B94"/>
    <w:rPr>
      <w:vertAlign w:val="superscript"/>
    </w:rPr>
  </w:style>
  <w:style w:type="paragraph" w:styleId="Revision">
    <w:name w:val="Revision"/>
    <w:hidden/>
    <w:uiPriority w:val="99"/>
    <w:semiHidden/>
    <w:rsid w:val="00CF6B9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uiPriority="99"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CF6B94"/>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uiPriority w:val="99"/>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rsid w:val="00A17328"/>
    <w:rPr>
      <w:b/>
      <w:vanish/>
      <w:color w:val="FF00FF"/>
      <w:sz w:val="20"/>
    </w:rPr>
  </w:style>
  <w:style w:type="paragraph" w:styleId="CommentText">
    <w:name w:val="annotation text"/>
    <w:basedOn w:val="Normal"/>
    <w:link w:val="CommentTextChar3"/>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uiPriority w:val="99"/>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FootnoteTextChar">
    <w:name w:val="Footnote Text Char"/>
    <w:basedOn w:val="DefaultParagraphFont"/>
    <w:link w:val="FootnoteText"/>
    <w:rsid w:val="00CF6B94"/>
  </w:style>
  <w:style w:type="character" w:customStyle="1" w:styleId="HeaderChar">
    <w:name w:val="Header Char"/>
    <w:basedOn w:val="DefaultParagraphFont"/>
    <w:link w:val="Header"/>
    <w:rsid w:val="00CF6B94"/>
    <w:rPr>
      <w:rFonts w:ascii="Arial" w:hAnsi="Arial"/>
      <w:caps/>
      <w:sz w:val="24"/>
    </w:rPr>
  </w:style>
  <w:style w:type="character" w:customStyle="1" w:styleId="CommentTextChar2">
    <w:name w:val="Comment Text Char2"/>
    <w:basedOn w:val="DefaultParagraphFont"/>
    <w:rsid w:val="00CF6B94"/>
    <w:rPr>
      <w:szCs w:val="24"/>
    </w:rPr>
  </w:style>
  <w:style w:type="character" w:customStyle="1" w:styleId="CommentTextChar1">
    <w:name w:val="Comment Text Char1"/>
    <w:basedOn w:val="DefaultParagraphFont"/>
    <w:rsid w:val="00CF6B94"/>
    <w:rPr>
      <w:szCs w:val="24"/>
    </w:rPr>
  </w:style>
  <w:style w:type="paragraph" w:styleId="Bibliography">
    <w:name w:val="Bibliography"/>
    <w:basedOn w:val="Normal"/>
    <w:next w:val="Normal"/>
    <w:uiPriority w:val="37"/>
    <w:unhideWhenUsed/>
    <w:rsid w:val="00CF6B94"/>
    <w:pPr>
      <w:spacing w:after="240" w:line="276" w:lineRule="auto"/>
      <w:ind w:left="720" w:hanging="720"/>
    </w:pPr>
    <w:rPr>
      <w:rFonts w:asciiTheme="minorHAnsi" w:eastAsiaTheme="minorHAnsi" w:hAnsiTheme="minorHAnsi" w:cstheme="minorBidi"/>
      <w:sz w:val="22"/>
      <w:szCs w:val="22"/>
      <w:lang w:eastAsia="en-US"/>
    </w:rPr>
  </w:style>
  <w:style w:type="paragraph" w:customStyle="1" w:styleId="Headings">
    <w:name w:val="Headings"/>
    <w:basedOn w:val="Normal"/>
    <w:autoRedefine/>
    <w:rsid w:val="00CF6B94"/>
    <w:pPr>
      <w:spacing w:after="200" w:line="320" w:lineRule="atLeast"/>
    </w:pPr>
    <w:rPr>
      <w:rFonts w:ascii="Goudy Old Style" w:eastAsiaTheme="minorHAnsi" w:hAnsi="Goudy Old Style" w:cstheme="minorBidi"/>
      <w:position w:val="2"/>
      <w:sz w:val="22"/>
      <w:szCs w:val="22"/>
      <w:lang w:eastAsia="en-US"/>
    </w:rPr>
  </w:style>
  <w:style w:type="paragraph" w:customStyle="1" w:styleId="SectionHead">
    <w:name w:val="SectionHead"/>
    <w:basedOn w:val="Normal"/>
    <w:rsid w:val="00CF6B94"/>
    <w:pPr>
      <w:spacing w:after="200" w:line="276" w:lineRule="auto"/>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rsid w:val="00CF6B94"/>
    <w:rPr>
      <w:sz w:val="24"/>
      <w:szCs w:val="24"/>
    </w:rPr>
  </w:style>
  <w:style w:type="paragraph" w:styleId="CommentSubject">
    <w:name w:val="annotation subject"/>
    <w:basedOn w:val="CommentText"/>
    <w:next w:val="CommentText"/>
    <w:link w:val="CommentSubjectChar"/>
    <w:rsid w:val="00CF6B94"/>
    <w:pPr>
      <w:spacing w:before="0" w:after="200" w:line="240" w:lineRule="auto"/>
      <w:ind w:left="0" w:firstLine="0"/>
    </w:pPr>
    <w:rPr>
      <w:rFonts w:asciiTheme="minorHAnsi" w:eastAsiaTheme="minorHAnsi" w:hAnsiTheme="minorHAnsi" w:cstheme="minorBidi"/>
      <w:b/>
      <w:bCs/>
      <w:szCs w:val="20"/>
      <w:lang w:eastAsia="en-US"/>
    </w:rPr>
  </w:style>
  <w:style w:type="character" w:customStyle="1" w:styleId="CommentTextChar3">
    <w:name w:val="Comment Text Char3"/>
    <w:basedOn w:val="DefaultParagraphFont"/>
    <w:link w:val="CommentText"/>
    <w:rsid w:val="00CF6B94"/>
    <w:rPr>
      <w:szCs w:val="24"/>
    </w:rPr>
  </w:style>
  <w:style w:type="character" w:customStyle="1" w:styleId="CommentSubjectChar">
    <w:name w:val="Comment Subject Char"/>
    <w:basedOn w:val="CommentTextChar3"/>
    <w:link w:val="CommentSubject"/>
    <w:rsid w:val="00CF6B94"/>
    <w:rPr>
      <w:rFonts w:asciiTheme="minorHAnsi" w:eastAsiaTheme="minorHAnsi" w:hAnsiTheme="minorHAnsi" w:cstheme="minorBidi"/>
      <w:b/>
      <w:bCs/>
      <w:szCs w:val="24"/>
      <w:lang w:eastAsia="en-US"/>
    </w:rPr>
  </w:style>
  <w:style w:type="paragraph" w:customStyle="1" w:styleId="Copyrightheading">
    <w:name w:val="Copyright heading"/>
    <w:basedOn w:val="TOC1"/>
    <w:link w:val="CopyrightheadingChar"/>
    <w:qFormat/>
    <w:rsid w:val="00CF6B94"/>
    <w:pPr>
      <w:spacing w:after="200" w:line="300" w:lineRule="exact"/>
    </w:pPr>
    <w:rPr>
      <w:rFonts w:eastAsiaTheme="minorHAnsi" w:cstheme="minorBidi"/>
      <w:sz w:val="22"/>
    </w:rPr>
  </w:style>
  <w:style w:type="character" w:customStyle="1" w:styleId="CopyrightheadingChar">
    <w:name w:val="Copyright heading Char"/>
    <w:basedOn w:val="TOC1Char"/>
    <w:link w:val="Copyrightheading"/>
    <w:rsid w:val="00CF6B94"/>
    <w:rPr>
      <w:rFonts w:ascii="Arial" w:eastAsiaTheme="minorHAnsi" w:hAnsi="Arial" w:cstheme="minorBidi"/>
      <w:b/>
      <w:sz w:val="22"/>
      <w:szCs w:val="26"/>
      <w:lang w:eastAsia="en-US"/>
    </w:rPr>
  </w:style>
  <w:style w:type="paragraph" w:customStyle="1" w:styleId="Copyrightsubtitle">
    <w:name w:val="Copyright subtitle"/>
    <w:basedOn w:val="BodyText"/>
    <w:rsid w:val="00CF6B94"/>
    <w:rPr>
      <w:rFonts w:ascii="Arial" w:hAnsi="Arial"/>
      <w:b/>
      <w:sz w:val="22"/>
      <w:szCs w:val="25"/>
    </w:rPr>
  </w:style>
  <w:style w:type="paragraph" w:customStyle="1" w:styleId="Copyrightbodytext">
    <w:name w:val="Copyright bodytext"/>
    <w:basedOn w:val="BodyText"/>
    <w:link w:val="CopyrightbodytextChar"/>
    <w:qFormat/>
    <w:rsid w:val="00CF6B94"/>
    <w:pPr>
      <w:spacing w:before="60"/>
    </w:pPr>
  </w:style>
  <w:style w:type="character" w:customStyle="1" w:styleId="CopyrightbodytextChar">
    <w:name w:val="Copyright bodytext Char"/>
    <w:basedOn w:val="BodyTextChar"/>
    <w:link w:val="Copyrightbodytext"/>
    <w:rsid w:val="00CF6B94"/>
    <w:rPr>
      <w:sz w:val="24"/>
    </w:rPr>
  </w:style>
  <w:style w:type="paragraph" w:styleId="ListParagraph">
    <w:name w:val="List Paragraph"/>
    <w:basedOn w:val="Normal"/>
    <w:uiPriority w:val="34"/>
    <w:qFormat/>
    <w:rsid w:val="00CF6B94"/>
    <w:pPr>
      <w:spacing w:after="200" w:line="276" w:lineRule="auto"/>
      <w:ind w:left="720"/>
    </w:pPr>
    <w:rPr>
      <w:rFonts w:ascii="Calibri" w:eastAsiaTheme="minorHAnsi" w:hAnsi="Calibri" w:cstheme="minorBidi"/>
      <w:sz w:val="22"/>
      <w:szCs w:val="22"/>
      <w:lang w:eastAsia="en-US"/>
    </w:rPr>
  </w:style>
  <w:style w:type="character" w:styleId="Hyperlink">
    <w:name w:val="Hyperlink"/>
    <w:basedOn w:val="DefaultParagraphFont"/>
    <w:uiPriority w:val="99"/>
    <w:unhideWhenUsed/>
    <w:rsid w:val="00CF6B94"/>
    <w:rPr>
      <w:rFonts w:ascii="Times New Roman" w:hAnsi="Times New Roman" w:cs="Times New Roman" w:hint="default"/>
      <w:color w:val="000000"/>
      <w:u w:val="single"/>
    </w:rPr>
  </w:style>
  <w:style w:type="character" w:customStyle="1" w:styleId="apple-converted-space">
    <w:name w:val="apple-converted-space"/>
    <w:basedOn w:val="DefaultParagraphFont"/>
    <w:rsid w:val="00CF6B94"/>
    <w:rPr>
      <w:rFonts w:ascii="Times New Roman" w:hAnsi="Times New Roman" w:cs="Times New Roman" w:hint="default"/>
    </w:rPr>
  </w:style>
  <w:style w:type="paragraph" w:styleId="EndnoteText">
    <w:name w:val="endnote text"/>
    <w:basedOn w:val="Normal"/>
    <w:link w:val="EndnoteTextChar"/>
    <w:unhideWhenUsed/>
    <w:rsid w:val="00CF6B94"/>
    <w:pPr>
      <w:spacing w:after="200" w:line="276"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rsid w:val="00CF6B94"/>
    <w:rPr>
      <w:rFonts w:asciiTheme="minorHAnsi" w:eastAsiaTheme="minorHAnsi" w:hAnsiTheme="minorHAnsi" w:cstheme="minorBidi"/>
      <w:lang w:eastAsia="en-US"/>
    </w:rPr>
  </w:style>
  <w:style w:type="character" w:styleId="EndnoteReference">
    <w:name w:val="endnote reference"/>
    <w:basedOn w:val="DefaultParagraphFont"/>
    <w:unhideWhenUsed/>
    <w:rsid w:val="00CF6B94"/>
    <w:rPr>
      <w:vertAlign w:val="superscript"/>
    </w:rPr>
  </w:style>
  <w:style w:type="paragraph" w:styleId="Revision">
    <w:name w:val="Revision"/>
    <w:hidden/>
    <w:uiPriority w:val="99"/>
    <w:semiHidden/>
    <w:rsid w:val="00CF6B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sanhonour.gov.au"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itsanhonour.gov.au/coat-arms/index.cfm"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3.0/au"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c.gov.au/" TargetMode="External"/><Relationship Id="rId22" Type="http://schemas.openxmlformats.org/officeDocument/2006/relationships/image" Target="media/image4.emf"/><Relationship Id="rId2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51922-C2E3-4E51-AFCF-A30D34A6E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TotalTime>
  <Pages>60</Pages>
  <Words>20516</Words>
  <Characters>110434</Characters>
  <Application>Microsoft Office Word</Application>
  <DocSecurity>0</DocSecurity>
  <Lines>920</Lines>
  <Paragraphs>261</Paragraphs>
  <ScaleCrop>false</ScaleCrop>
  <HeadingPairs>
    <vt:vector size="2" baseType="variant">
      <vt:variant>
        <vt:lpstr>Title</vt:lpstr>
      </vt:variant>
      <vt:variant>
        <vt:i4>1</vt:i4>
      </vt:variant>
    </vt:vector>
  </HeadingPairs>
  <TitlesOfParts>
    <vt:vector size="1" baseType="lpstr">
      <vt:lpstr>Modelling the effects of childcare policy changes</vt:lpstr>
    </vt:vector>
  </TitlesOfParts>
  <Company>Productivity Commission</Company>
  <LinksUpToDate>false</LinksUpToDate>
  <CharactersWithSpaces>130689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Modelling the effects of childcare policy changes</dc:title>
  <dc:subject>Childcare and early childhood learning - Technical supplement</dc:subject>
  <dc:creator>Productivity Commission</dc:creator>
  <dc:description>1.</dc:description>
  <cp:lastModifiedBy>Productivity Commission</cp:lastModifiedBy>
  <cp:revision>2</cp:revision>
  <cp:lastPrinted>2014-12-02T00:57:00Z</cp:lastPrinted>
  <dcterms:created xsi:type="dcterms:W3CDTF">2015-02-19T00:39:00Z</dcterms:created>
  <dcterms:modified xsi:type="dcterms:W3CDTF">2015-02-19T00:39:00Z</dcterms:modified>
</cp:coreProperties>
</file>